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noProof/>
          <w:sz w:val="32"/>
          <w:szCs w:val="32"/>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193FA4">
        <w:rPr>
          <w:rFonts w:ascii="Traditional Arabic" w:hAnsi="Traditional Arabic" w:cs="Traditional Arabic" w:hint="cs"/>
          <w:b/>
          <w:bCs/>
          <w:sz w:val="32"/>
          <w:szCs w:val="32"/>
          <w:rtl/>
          <w:lang w:bidi="ar-EG"/>
        </w:rPr>
        <w:t>جامعة ميد اوشن</w:t>
      </w:r>
    </w:p>
    <w:p w14:paraId="1D62B67A"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lang w:bidi="ar-EG"/>
        </w:rPr>
        <w:t>كلية الإدارة</w:t>
      </w:r>
    </w:p>
    <w:p w14:paraId="6EFF3960"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rPr>
      </w:pPr>
    </w:p>
    <w:p w14:paraId="63503F9A" w14:textId="77777777" w:rsidR="00DA4621" w:rsidRDefault="00DA4621" w:rsidP="00C553B1">
      <w:pPr>
        <w:spacing w:before="100" w:beforeAutospacing="1" w:after="100" w:afterAutospacing="1" w:line="360" w:lineRule="auto"/>
        <w:ind w:left="-2"/>
        <w:jc w:val="center"/>
        <w:rPr>
          <w:rFonts w:ascii="Traditional Arabic" w:hAnsi="Traditional Arabic" w:cs="Traditional Arabic"/>
          <w:b/>
          <w:bCs/>
          <w:sz w:val="28"/>
          <w:szCs w:val="28"/>
        </w:rPr>
      </w:pPr>
      <w:r w:rsidRPr="00DA4621">
        <w:rPr>
          <w:rFonts w:ascii="Traditional Arabic" w:hAnsi="Traditional Arabic" w:cs="Traditional Arabic"/>
          <w:b/>
          <w:bCs/>
          <w:noProof/>
          <w:kern w:val="0"/>
          <w:sz w:val="32"/>
          <w:szCs w:val="32"/>
          <w:rtl/>
          <w14:ligatures w14:val="none"/>
        </w:rPr>
        <w:t>دور الذكاء الاصطناعي التوليدي في إعادة تشكيل بيئة العمل الحديثة: دراسة ميدانية على المؤسسات الحكومية السعودية.</w:t>
      </w:r>
    </w:p>
    <w:p w14:paraId="30C8826C" w14:textId="77777777" w:rsidR="00DA4621" w:rsidRDefault="00DA4621" w:rsidP="00DA4621">
      <w:pPr>
        <w:bidi w:val="0"/>
        <w:spacing w:before="100" w:beforeAutospacing="1" w:after="100" w:afterAutospacing="1" w:line="360" w:lineRule="auto"/>
        <w:ind w:left="-2"/>
        <w:jc w:val="center"/>
        <w:rPr>
          <w:rFonts w:ascii="Traditional Arabic" w:hAnsi="Traditional Arabic" w:cs="Traditional Arabic"/>
          <w:b/>
          <w:bCs/>
          <w:sz w:val="32"/>
          <w:szCs w:val="32"/>
          <w:rtl/>
        </w:rPr>
      </w:pPr>
      <w:r w:rsidRPr="00DA4621">
        <w:rPr>
          <w:rFonts w:ascii="Traditional Arabic" w:hAnsi="Traditional Arabic" w:cs="Traditional Arabic"/>
          <w:b/>
          <w:bCs/>
          <w:sz w:val="28"/>
          <w:szCs w:val="28"/>
        </w:rPr>
        <w:t>The Role of Generative Artificial Intelligence in Reshaping the Modern Work Environment: A Field Study on Saudi Government Institutions</w:t>
      </w:r>
    </w:p>
    <w:p w14:paraId="1E4EC300" w14:textId="6D6AAF00" w:rsidR="00761E9B" w:rsidRPr="00193FA4" w:rsidRDefault="00761E9B" w:rsidP="00DA4621">
      <w:pPr>
        <w:spacing w:before="100" w:beforeAutospacing="1" w:after="100" w:afterAutospacing="1" w:line="360" w:lineRule="auto"/>
        <w:ind w:left="-2"/>
        <w:jc w:val="center"/>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rPr>
        <w:t>مشروع خطة أطروحة للتسجيل لدرجة الدكتوراه</w:t>
      </w:r>
    </w:p>
    <w:p w14:paraId="426F4139" w14:textId="27423D69" w:rsidR="00761E9B" w:rsidRPr="00193FA4" w:rsidRDefault="00761E9B" w:rsidP="00761E9B">
      <w:pPr>
        <w:pStyle w:val="NormalWeb"/>
        <w:bidi/>
        <w:spacing w:line="360" w:lineRule="auto"/>
        <w:ind w:left="-2"/>
        <w:jc w:val="center"/>
        <w:rPr>
          <w:rFonts w:ascii="Traditional Arabic" w:eastAsiaTheme="minorHAnsi" w:hAnsi="Traditional Arabic" w:cs="Traditional Arabic"/>
          <w:b/>
          <w:bCs/>
          <w:noProof/>
          <w:sz w:val="32"/>
          <w:szCs w:val="32"/>
          <w:rtl/>
        </w:rPr>
      </w:pPr>
      <w:r w:rsidRPr="00193FA4">
        <w:rPr>
          <w:rFonts w:ascii="Traditional Arabic" w:eastAsiaTheme="minorHAnsi" w:hAnsi="Traditional Arabic" w:cs="Traditional Arabic" w:hint="cs"/>
          <w:b/>
          <w:bCs/>
          <w:noProof/>
          <w:sz w:val="32"/>
          <w:szCs w:val="32"/>
          <w:rtl/>
        </w:rPr>
        <w:t>إعداد الباحث</w:t>
      </w:r>
      <w:r w:rsidR="00BB40D2">
        <w:rPr>
          <w:rFonts w:ascii="Traditional Arabic" w:eastAsiaTheme="minorHAnsi" w:hAnsi="Traditional Arabic" w:cs="Traditional Arabic" w:hint="cs"/>
          <w:b/>
          <w:bCs/>
          <w:noProof/>
          <w:sz w:val="32"/>
          <w:szCs w:val="32"/>
          <w:rtl/>
        </w:rPr>
        <w:t>ة</w:t>
      </w:r>
      <w:r w:rsidRPr="00193FA4">
        <w:rPr>
          <w:rFonts w:ascii="Traditional Arabic" w:eastAsiaTheme="minorHAnsi" w:hAnsi="Traditional Arabic" w:cs="Traditional Arabic" w:hint="cs"/>
          <w:b/>
          <w:bCs/>
          <w:noProof/>
          <w:sz w:val="32"/>
          <w:szCs w:val="32"/>
          <w:rtl/>
        </w:rPr>
        <w:t>:</w:t>
      </w:r>
      <w:r w:rsidR="00BB40D2">
        <w:rPr>
          <w:rFonts w:ascii="Traditional Arabic" w:eastAsiaTheme="minorHAnsi" w:hAnsi="Traditional Arabic" w:cs="Traditional Arabic" w:hint="cs"/>
          <w:b/>
          <w:bCs/>
          <w:noProof/>
          <w:sz w:val="32"/>
          <w:szCs w:val="32"/>
          <w:rtl/>
        </w:rPr>
        <w:t xml:space="preserve"> الجوهره منصور الناصر</w:t>
      </w:r>
    </w:p>
    <w:p w14:paraId="5723564B" w14:textId="77777777" w:rsidR="000C7C01" w:rsidRPr="00193FA4" w:rsidRDefault="000C7C01" w:rsidP="00761E9B">
      <w:pPr>
        <w:pStyle w:val="NormalWeb"/>
        <w:spacing w:line="360" w:lineRule="auto"/>
        <w:ind w:left="-2"/>
        <w:jc w:val="center"/>
        <w:rPr>
          <w:rFonts w:ascii="Traditional Arabic" w:hAnsi="Traditional Arabic" w:cs="Traditional Arabic"/>
          <w:b/>
          <w:bCs/>
          <w:sz w:val="32"/>
          <w:szCs w:val="32"/>
        </w:rPr>
      </w:pPr>
    </w:p>
    <w:p w14:paraId="00A8D996" w14:textId="5C2A203B" w:rsidR="00761E9B" w:rsidRPr="00193FA4" w:rsidRDefault="00761E9B" w:rsidP="00761E9B">
      <w:pPr>
        <w:pStyle w:val="NormalWeb"/>
        <w:spacing w:line="360" w:lineRule="auto"/>
        <w:ind w:left="-2"/>
        <w:jc w:val="center"/>
        <w:rPr>
          <w:rFonts w:ascii="Traditional Arabic" w:hAnsi="Traditional Arabic" w:cs="Traditional Arabic"/>
          <w:b/>
          <w:bCs/>
          <w:sz w:val="32"/>
          <w:szCs w:val="32"/>
          <w:rtl/>
        </w:rPr>
      </w:pPr>
      <w:r w:rsidRPr="00193FA4">
        <w:rPr>
          <w:rFonts w:ascii="Traditional Arabic" w:hAnsi="Traditional Arabic" w:cs="Traditional Arabic" w:hint="cs"/>
          <w:b/>
          <w:bCs/>
          <w:sz w:val="32"/>
          <w:szCs w:val="32"/>
          <w:rtl/>
        </w:rPr>
        <w:t>144</w:t>
      </w:r>
      <w:r w:rsidR="008F4DEA" w:rsidRPr="00193FA4">
        <w:rPr>
          <w:rFonts w:ascii="Traditional Arabic" w:hAnsi="Traditional Arabic" w:cs="Traditional Arabic" w:hint="cs"/>
          <w:b/>
          <w:bCs/>
          <w:sz w:val="32"/>
          <w:szCs w:val="32"/>
          <w:rtl/>
          <w:lang w:bidi="ar-EG"/>
        </w:rPr>
        <w:t>8</w:t>
      </w:r>
      <w:r w:rsidRPr="00193FA4">
        <w:rPr>
          <w:rFonts w:ascii="Traditional Arabic" w:hAnsi="Traditional Arabic" w:cs="Traditional Arabic" w:hint="cs"/>
          <w:b/>
          <w:bCs/>
          <w:sz w:val="32"/>
          <w:szCs w:val="32"/>
          <w:rtl/>
        </w:rPr>
        <w:t xml:space="preserve">هـ/ </w:t>
      </w:r>
      <w:r w:rsidR="008F4DEA" w:rsidRPr="00193FA4">
        <w:rPr>
          <w:rFonts w:ascii="Traditional Arabic" w:hAnsi="Traditional Arabic" w:cs="Traditional Arabic" w:hint="cs"/>
          <w:b/>
          <w:bCs/>
          <w:sz w:val="32"/>
          <w:szCs w:val="32"/>
          <w:rtl/>
        </w:rPr>
        <w:t xml:space="preserve"> </w:t>
      </w:r>
      <w:r w:rsidRPr="00193FA4">
        <w:rPr>
          <w:rFonts w:ascii="Traditional Arabic" w:hAnsi="Traditional Arabic" w:cs="Traditional Arabic" w:hint="cs"/>
          <w:b/>
          <w:bCs/>
          <w:sz w:val="32"/>
          <w:szCs w:val="32"/>
          <w:rtl/>
        </w:rPr>
        <w:t>202</w:t>
      </w:r>
      <w:r w:rsidR="008F4DEA" w:rsidRPr="00193FA4">
        <w:rPr>
          <w:rFonts w:ascii="Traditional Arabic" w:hAnsi="Traditional Arabic" w:cs="Traditional Arabic" w:hint="cs"/>
          <w:b/>
          <w:bCs/>
          <w:sz w:val="32"/>
          <w:szCs w:val="32"/>
          <w:rtl/>
        </w:rPr>
        <w:t>6</w:t>
      </w:r>
    </w:p>
    <w:p w14:paraId="769B4CFC" w14:textId="35038ACF" w:rsidR="00806D0F" w:rsidRPr="00193FA4" w:rsidRDefault="00761E9B" w:rsidP="00D325E6">
      <w:pPr>
        <w:spacing w:after="200" w:line="276" w:lineRule="auto"/>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br w:type="page"/>
      </w:r>
    </w:p>
    <w:bookmarkStart w:id="0" w:name="_Toc233382397" w:displacedByCustomXml="next"/>
    <w:sdt>
      <w:sdtPr>
        <w:rPr>
          <w:rFonts w:asciiTheme="minorHAnsi" w:hAnsiTheme="minorHAnsi" w:cstheme="minorBidi" w:hint="cs"/>
          <w:b w:val="0"/>
          <w:bCs w:val="0"/>
          <w:sz w:val="24"/>
          <w:szCs w:val="24"/>
          <w:rtl/>
          <w:lang w:val="ar-SA" w:bidi="ar-SA"/>
        </w:rPr>
        <w:id w:val="-519011622"/>
        <w:docPartObj>
          <w:docPartGallery w:val="Table of Contents"/>
          <w:docPartUnique/>
        </w:docPartObj>
      </w:sdtPr>
      <w:sdtEndPr>
        <w:rPr>
          <w:rFonts w:ascii="Traditional Arabic" w:hAnsi="Traditional Arabic" w:cs="Traditional Arabic"/>
          <w:sz w:val="28"/>
          <w:szCs w:val="28"/>
          <w:lang w:val="en-US"/>
        </w:rPr>
      </w:sdtEndPr>
      <w:sdtContent>
        <w:p w14:paraId="64FFD528" w14:textId="118A1A6F" w:rsidR="00D439AC" w:rsidRPr="00193FA4" w:rsidRDefault="00D439AC" w:rsidP="00D325E6">
          <w:pPr>
            <w:pStyle w:val="Heading1"/>
          </w:pPr>
          <w:r w:rsidRPr="00193FA4">
            <w:rPr>
              <w:rFonts w:hint="cs"/>
              <w:lang w:val="ar-SA"/>
            </w:rPr>
            <w:t>المحتويات</w:t>
          </w:r>
          <w:bookmarkEnd w:id="0"/>
        </w:p>
        <w:p w14:paraId="0E66C265" w14:textId="696799A9" w:rsidR="00E74BB1" w:rsidRPr="00E74BB1" w:rsidRDefault="00D439AC">
          <w:pPr>
            <w:pStyle w:val="TOC1"/>
            <w:tabs>
              <w:tab w:val="right" w:leader="dot" w:pos="9016"/>
            </w:tabs>
            <w:rPr>
              <w:rFonts w:ascii="Traditional Arabic" w:eastAsiaTheme="minorEastAsia" w:hAnsi="Traditional Arabic" w:cs="Traditional Arabic"/>
              <w:noProof/>
              <w:sz w:val="28"/>
              <w:szCs w:val="28"/>
              <w:rtl/>
            </w:rPr>
          </w:pPr>
          <w:r w:rsidRPr="00E74BB1">
            <w:rPr>
              <w:rFonts w:ascii="Traditional Arabic" w:hAnsi="Traditional Arabic" w:cs="Traditional Arabic" w:hint="cs"/>
              <w:sz w:val="28"/>
              <w:szCs w:val="28"/>
            </w:rPr>
            <w:fldChar w:fldCharType="begin"/>
          </w:r>
          <w:r w:rsidRPr="00E74BB1">
            <w:rPr>
              <w:rFonts w:ascii="Traditional Arabic" w:hAnsi="Traditional Arabic" w:cs="Traditional Arabic" w:hint="cs"/>
              <w:sz w:val="28"/>
              <w:szCs w:val="28"/>
            </w:rPr>
            <w:instrText xml:space="preserve"> TOC \o "1-3" \h \z \u </w:instrText>
          </w:r>
          <w:r w:rsidRPr="00E74BB1">
            <w:rPr>
              <w:rFonts w:ascii="Traditional Arabic" w:hAnsi="Traditional Arabic" w:cs="Traditional Arabic" w:hint="cs"/>
              <w:sz w:val="28"/>
              <w:szCs w:val="28"/>
            </w:rPr>
            <w:fldChar w:fldCharType="separate"/>
          </w:r>
          <w:hyperlink w:anchor="_Toc233382397" w:history="1">
            <w:r w:rsidR="00E74BB1" w:rsidRPr="00E74BB1">
              <w:rPr>
                <w:rStyle w:val="Hyperlink"/>
                <w:rFonts w:ascii="Traditional Arabic" w:hAnsi="Traditional Arabic" w:cs="Traditional Arabic" w:hint="cs"/>
                <w:noProof/>
                <w:sz w:val="28"/>
                <w:szCs w:val="28"/>
                <w:lang w:val="ar-SA" w:bidi="ar-EG"/>
              </w:rPr>
              <w:t>المحتويات</w:t>
            </w:r>
            <w:r w:rsidR="00E74BB1" w:rsidRPr="00E74BB1">
              <w:rPr>
                <w:rFonts w:ascii="Traditional Arabic" w:hAnsi="Traditional Arabic" w:cs="Traditional Arabic" w:hint="cs"/>
                <w:noProof/>
                <w:webHidden/>
                <w:sz w:val="28"/>
                <w:szCs w:val="28"/>
                <w:rtl/>
              </w:rPr>
              <w:tab/>
            </w:r>
            <w:r w:rsidR="00E74BB1" w:rsidRPr="00E74BB1">
              <w:rPr>
                <w:rStyle w:val="Hyperlink"/>
                <w:rFonts w:ascii="Traditional Arabic" w:hAnsi="Traditional Arabic" w:cs="Traditional Arabic" w:hint="cs"/>
                <w:noProof/>
                <w:sz w:val="28"/>
                <w:szCs w:val="28"/>
                <w:rtl/>
              </w:rPr>
              <w:fldChar w:fldCharType="begin"/>
            </w:r>
            <w:r w:rsidR="00E74BB1" w:rsidRPr="00E74BB1">
              <w:rPr>
                <w:rFonts w:ascii="Traditional Arabic" w:hAnsi="Traditional Arabic" w:cs="Traditional Arabic" w:hint="cs"/>
                <w:noProof/>
                <w:webHidden/>
                <w:sz w:val="28"/>
                <w:szCs w:val="28"/>
                <w:rtl/>
              </w:rPr>
              <w:instrText xml:space="preserve"> </w:instrText>
            </w:r>
            <w:r w:rsidR="00E74BB1" w:rsidRPr="00E74BB1">
              <w:rPr>
                <w:rFonts w:ascii="Traditional Arabic" w:hAnsi="Traditional Arabic" w:cs="Traditional Arabic" w:hint="cs"/>
                <w:noProof/>
                <w:webHidden/>
                <w:sz w:val="28"/>
                <w:szCs w:val="28"/>
              </w:rPr>
              <w:instrText>PAGEREF</w:instrText>
            </w:r>
            <w:r w:rsidR="00E74BB1" w:rsidRPr="00E74BB1">
              <w:rPr>
                <w:rFonts w:ascii="Traditional Arabic" w:hAnsi="Traditional Arabic" w:cs="Traditional Arabic" w:hint="cs"/>
                <w:noProof/>
                <w:webHidden/>
                <w:sz w:val="28"/>
                <w:szCs w:val="28"/>
                <w:rtl/>
              </w:rPr>
              <w:instrText xml:space="preserve"> _</w:instrText>
            </w:r>
            <w:r w:rsidR="00E74BB1" w:rsidRPr="00E74BB1">
              <w:rPr>
                <w:rFonts w:ascii="Traditional Arabic" w:hAnsi="Traditional Arabic" w:cs="Traditional Arabic" w:hint="cs"/>
                <w:noProof/>
                <w:webHidden/>
                <w:sz w:val="28"/>
                <w:szCs w:val="28"/>
              </w:rPr>
              <w:instrText>Toc233382397 \h</w:instrText>
            </w:r>
            <w:r w:rsidR="00E74BB1" w:rsidRPr="00E74BB1">
              <w:rPr>
                <w:rFonts w:ascii="Traditional Arabic" w:hAnsi="Traditional Arabic" w:cs="Traditional Arabic" w:hint="cs"/>
                <w:noProof/>
                <w:webHidden/>
                <w:sz w:val="28"/>
                <w:szCs w:val="28"/>
                <w:rtl/>
              </w:rPr>
              <w:instrText xml:space="preserve"> </w:instrText>
            </w:r>
            <w:r w:rsidR="00E74BB1" w:rsidRPr="00E74BB1">
              <w:rPr>
                <w:rStyle w:val="Hyperlink"/>
                <w:rFonts w:ascii="Traditional Arabic" w:hAnsi="Traditional Arabic" w:cs="Traditional Arabic" w:hint="cs"/>
                <w:noProof/>
                <w:sz w:val="28"/>
                <w:szCs w:val="28"/>
                <w:rtl/>
              </w:rPr>
            </w:r>
            <w:r w:rsidR="00E74BB1"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2</w:t>
            </w:r>
            <w:r w:rsidR="00E74BB1" w:rsidRPr="00E74BB1">
              <w:rPr>
                <w:rStyle w:val="Hyperlink"/>
                <w:rFonts w:ascii="Traditional Arabic" w:hAnsi="Traditional Arabic" w:cs="Traditional Arabic" w:hint="cs"/>
                <w:noProof/>
                <w:sz w:val="28"/>
                <w:szCs w:val="28"/>
                <w:rtl/>
              </w:rPr>
              <w:fldChar w:fldCharType="end"/>
            </w:r>
          </w:hyperlink>
        </w:p>
        <w:p w14:paraId="173C58A3" w14:textId="7435FB10"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398" w:history="1">
            <w:r w:rsidRPr="00E74BB1">
              <w:rPr>
                <w:rStyle w:val="Hyperlink"/>
                <w:rFonts w:ascii="Traditional Arabic" w:hAnsi="Traditional Arabic" w:cs="Traditional Arabic" w:hint="cs"/>
                <w:noProof/>
                <w:sz w:val="28"/>
                <w:szCs w:val="28"/>
                <w:rtl/>
                <w:lang w:bidi="ar-EG"/>
              </w:rPr>
              <w:t>المقدمة: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Toc233382398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3</w:t>
            </w:r>
            <w:r w:rsidRPr="00E74BB1">
              <w:rPr>
                <w:rStyle w:val="Hyperlink"/>
                <w:rFonts w:ascii="Traditional Arabic" w:hAnsi="Traditional Arabic" w:cs="Traditional Arabic" w:hint="cs"/>
                <w:noProof/>
                <w:sz w:val="28"/>
                <w:szCs w:val="28"/>
                <w:rtl/>
              </w:rPr>
              <w:fldChar w:fldCharType="end"/>
            </w:r>
          </w:hyperlink>
        </w:p>
        <w:p w14:paraId="012124AF" w14:textId="67CF43A8"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399" w:history="1">
            <w:r w:rsidRPr="00E74BB1">
              <w:rPr>
                <w:rStyle w:val="Hyperlink"/>
                <w:rFonts w:ascii="Traditional Arabic" w:hAnsi="Traditional Arabic" w:cs="Traditional Arabic" w:hint="cs"/>
                <w:noProof/>
                <w:sz w:val="28"/>
                <w:szCs w:val="28"/>
                <w:rtl/>
                <w:lang w:bidi="ar-EG"/>
              </w:rPr>
              <w:t>مشكلة الدراسة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Toc233382399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5</w:t>
            </w:r>
            <w:r w:rsidRPr="00E74BB1">
              <w:rPr>
                <w:rStyle w:val="Hyperlink"/>
                <w:rFonts w:ascii="Traditional Arabic" w:hAnsi="Traditional Arabic" w:cs="Traditional Arabic" w:hint="cs"/>
                <w:noProof/>
                <w:sz w:val="28"/>
                <w:szCs w:val="28"/>
                <w:rtl/>
              </w:rPr>
              <w:fldChar w:fldCharType="end"/>
            </w:r>
          </w:hyperlink>
        </w:p>
        <w:p w14:paraId="6F88FB47" w14:textId="56DCA2E4"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0" w:history="1">
            <w:r w:rsidRPr="00E74BB1">
              <w:rPr>
                <w:rStyle w:val="Hyperlink"/>
                <w:rFonts w:ascii="Traditional Arabic" w:hAnsi="Traditional Arabic" w:cs="Traditional Arabic" w:hint="cs"/>
                <w:noProof/>
                <w:sz w:val="28"/>
                <w:szCs w:val="28"/>
                <w:rtl/>
                <w:lang w:bidi="ar-EG"/>
              </w:rPr>
              <w:t>أهمية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Toc233382400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7</w:t>
            </w:r>
            <w:r w:rsidRPr="00E74BB1">
              <w:rPr>
                <w:rStyle w:val="Hyperlink"/>
                <w:rFonts w:ascii="Traditional Arabic" w:hAnsi="Traditional Arabic" w:cs="Traditional Arabic" w:hint="cs"/>
                <w:noProof/>
                <w:sz w:val="28"/>
                <w:szCs w:val="28"/>
                <w:rtl/>
              </w:rPr>
              <w:fldChar w:fldCharType="end"/>
            </w:r>
          </w:hyperlink>
        </w:p>
        <w:p w14:paraId="751CCB5A" w14:textId="4CDB1B35"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1" w:history="1">
            <w:r w:rsidRPr="00E74BB1">
              <w:rPr>
                <w:rStyle w:val="Hyperlink"/>
                <w:rFonts w:ascii="Traditional Arabic" w:hAnsi="Traditional Arabic" w:cs="Traditional Arabic" w:hint="cs"/>
                <w:noProof/>
                <w:sz w:val="28"/>
                <w:szCs w:val="28"/>
                <w:rtl/>
                <w:lang w:bidi="ar-EG"/>
              </w:rPr>
              <w:t>أهداف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Toc233382401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7</w:t>
            </w:r>
            <w:r w:rsidRPr="00E74BB1">
              <w:rPr>
                <w:rStyle w:val="Hyperlink"/>
                <w:rFonts w:ascii="Traditional Arabic" w:hAnsi="Traditional Arabic" w:cs="Traditional Arabic" w:hint="cs"/>
                <w:noProof/>
                <w:sz w:val="28"/>
                <w:szCs w:val="28"/>
                <w:rtl/>
              </w:rPr>
              <w:fldChar w:fldCharType="end"/>
            </w:r>
          </w:hyperlink>
        </w:p>
        <w:p w14:paraId="6CB22B1C" w14:textId="7B64A69E"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2" w:history="1">
            <w:r w:rsidRPr="00E74BB1">
              <w:rPr>
                <w:rStyle w:val="Hyperlink"/>
                <w:rFonts w:ascii="Traditional Arabic" w:hAnsi="Traditional Arabic" w:cs="Traditional Arabic" w:hint="cs"/>
                <w:noProof/>
                <w:sz w:val="28"/>
                <w:szCs w:val="28"/>
                <w:rtl/>
                <w:lang w:bidi="ar-EG"/>
              </w:rPr>
              <w:t>فرضيات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Toc233382402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9</w:t>
            </w:r>
            <w:r w:rsidRPr="00E74BB1">
              <w:rPr>
                <w:rStyle w:val="Hyperlink"/>
                <w:rFonts w:ascii="Traditional Arabic" w:hAnsi="Traditional Arabic" w:cs="Traditional Arabic" w:hint="cs"/>
                <w:noProof/>
                <w:sz w:val="28"/>
                <w:szCs w:val="28"/>
                <w:rtl/>
              </w:rPr>
              <w:fldChar w:fldCharType="end"/>
            </w:r>
          </w:hyperlink>
        </w:p>
        <w:p w14:paraId="0A2CD546" w14:textId="0B6ABC0A"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3" w:history="1">
            <w:r w:rsidRPr="00E74BB1">
              <w:rPr>
                <w:rStyle w:val="Hyperlink"/>
                <w:rFonts w:ascii="Traditional Arabic" w:hAnsi="Traditional Arabic" w:cs="Traditional Arabic" w:hint="cs"/>
                <w:noProof/>
                <w:sz w:val="28"/>
                <w:szCs w:val="28"/>
                <w:rtl/>
                <w:lang w:bidi="ar-EG"/>
              </w:rPr>
              <w:t>النظرية التي تعتمد عليها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Toc233382403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9</w:t>
            </w:r>
            <w:r w:rsidRPr="00E74BB1">
              <w:rPr>
                <w:rStyle w:val="Hyperlink"/>
                <w:rFonts w:ascii="Traditional Arabic" w:hAnsi="Traditional Arabic" w:cs="Traditional Arabic" w:hint="cs"/>
                <w:noProof/>
                <w:sz w:val="28"/>
                <w:szCs w:val="28"/>
                <w:rtl/>
              </w:rPr>
              <w:fldChar w:fldCharType="end"/>
            </w:r>
          </w:hyperlink>
        </w:p>
        <w:p w14:paraId="74FE9AE5" w14:textId="3116A75F"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4" w:history="1">
            <w:r w:rsidRPr="00E74BB1">
              <w:rPr>
                <w:rStyle w:val="Hyperlink"/>
                <w:rFonts w:ascii="Traditional Arabic" w:hAnsi="Traditional Arabic" w:cs="Traditional Arabic" w:hint="cs"/>
                <w:noProof/>
                <w:sz w:val="28"/>
                <w:szCs w:val="28"/>
                <w:rtl/>
                <w:lang w:bidi="ar-EG"/>
              </w:rPr>
              <w:t>نموذج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Toc233382404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11</w:t>
            </w:r>
            <w:r w:rsidRPr="00E74BB1">
              <w:rPr>
                <w:rStyle w:val="Hyperlink"/>
                <w:rFonts w:ascii="Traditional Arabic" w:hAnsi="Traditional Arabic" w:cs="Traditional Arabic" w:hint="cs"/>
                <w:noProof/>
                <w:sz w:val="28"/>
                <w:szCs w:val="28"/>
                <w:rtl/>
              </w:rPr>
              <w:fldChar w:fldCharType="end"/>
            </w:r>
          </w:hyperlink>
        </w:p>
        <w:p w14:paraId="6689336F" w14:textId="0B86488E"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5" w:history="1">
            <w:r w:rsidRPr="00E74BB1">
              <w:rPr>
                <w:rStyle w:val="Hyperlink"/>
                <w:rFonts w:ascii="Traditional Arabic" w:hAnsi="Traditional Arabic" w:cs="Traditional Arabic" w:hint="cs"/>
                <w:noProof/>
                <w:sz w:val="28"/>
                <w:szCs w:val="28"/>
                <w:rtl/>
                <w:lang w:bidi="ar-EG"/>
              </w:rPr>
              <w:t>مصطلحات الدراسة وتعريفاتها الإجرائية: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Toc233382405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12</w:t>
            </w:r>
            <w:r w:rsidRPr="00E74BB1">
              <w:rPr>
                <w:rStyle w:val="Hyperlink"/>
                <w:rFonts w:ascii="Traditional Arabic" w:hAnsi="Traditional Arabic" w:cs="Traditional Arabic" w:hint="cs"/>
                <w:noProof/>
                <w:sz w:val="28"/>
                <w:szCs w:val="28"/>
                <w:rtl/>
              </w:rPr>
              <w:fldChar w:fldCharType="end"/>
            </w:r>
          </w:hyperlink>
        </w:p>
        <w:p w14:paraId="3887070F" w14:textId="56EBEFC7"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6" w:history="1">
            <w:r w:rsidRPr="00E74BB1">
              <w:rPr>
                <w:rStyle w:val="Hyperlink"/>
                <w:rFonts w:ascii="Traditional Arabic" w:hAnsi="Traditional Arabic" w:cs="Traditional Arabic" w:hint="cs"/>
                <w:noProof/>
                <w:sz w:val="28"/>
                <w:szCs w:val="28"/>
                <w:rtl/>
                <w:lang w:bidi="ar-EG"/>
              </w:rPr>
              <w:t>منهج الدراسة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Toc233382406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14</w:t>
            </w:r>
            <w:r w:rsidRPr="00E74BB1">
              <w:rPr>
                <w:rStyle w:val="Hyperlink"/>
                <w:rFonts w:ascii="Traditional Arabic" w:hAnsi="Traditional Arabic" w:cs="Traditional Arabic" w:hint="cs"/>
                <w:noProof/>
                <w:sz w:val="28"/>
                <w:szCs w:val="28"/>
                <w:rtl/>
              </w:rPr>
              <w:fldChar w:fldCharType="end"/>
            </w:r>
          </w:hyperlink>
        </w:p>
        <w:p w14:paraId="2F26AD35" w14:textId="45DF33DF"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7" w:history="1">
            <w:r w:rsidRPr="00E74BB1">
              <w:rPr>
                <w:rStyle w:val="Hyperlink"/>
                <w:rFonts w:ascii="Traditional Arabic" w:hAnsi="Traditional Arabic" w:cs="Traditional Arabic" w:hint="cs"/>
                <w:noProof/>
                <w:sz w:val="28"/>
                <w:szCs w:val="28"/>
                <w:rtl/>
                <w:lang w:bidi="ar-EG"/>
              </w:rPr>
              <w:t>مجتمع وعينة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Toc233382407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15</w:t>
            </w:r>
            <w:r w:rsidRPr="00E74BB1">
              <w:rPr>
                <w:rStyle w:val="Hyperlink"/>
                <w:rFonts w:ascii="Traditional Arabic" w:hAnsi="Traditional Arabic" w:cs="Traditional Arabic" w:hint="cs"/>
                <w:noProof/>
                <w:sz w:val="28"/>
                <w:szCs w:val="28"/>
                <w:rtl/>
              </w:rPr>
              <w:fldChar w:fldCharType="end"/>
            </w:r>
          </w:hyperlink>
        </w:p>
        <w:p w14:paraId="79CF8D29" w14:textId="1710B448"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8" w:history="1">
            <w:r w:rsidRPr="00E74BB1">
              <w:rPr>
                <w:rStyle w:val="Hyperlink"/>
                <w:rFonts w:ascii="Traditional Arabic" w:hAnsi="Traditional Arabic" w:cs="Traditional Arabic" w:hint="cs"/>
                <w:noProof/>
                <w:sz w:val="28"/>
                <w:szCs w:val="28"/>
                <w:rtl/>
                <w:lang w:bidi="ar-EG"/>
              </w:rPr>
              <w:t>مصادر جمع البيانات</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Toc233382408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15</w:t>
            </w:r>
            <w:r w:rsidRPr="00E74BB1">
              <w:rPr>
                <w:rStyle w:val="Hyperlink"/>
                <w:rFonts w:ascii="Traditional Arabic" w:hAnsi="Traditional Arabic" w:cs="Traditional Arabic" w:hint="cs"/>
                <w:noProof/>
                <w:sz w:val="28"/>
                <w:szCs w:val="28"/>
                <w:rtl/>
              </w:rPr>
              <w:fldChar w:fldCharType="end"/>
            </w:r>
          </w:hyperlink>
        </w:p>
        <w:p w14:paraId="2A6765F7" w14:textId="601F3ACE"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9" w:history="1">
            <w:r w:rsidRPr="00E74BB1">
              <w:rPr>
                <w:rStyle w:val="Hyperlink"/>
                <w:rFonts w:ascii="Traditional Arabic" w:hAnsi="Traditional Arabic" w:cs="Traditional Arabic" w:hint="cs"/>
                <w:noProof/>
                <w:sz w:val="28"/>
                <w:szCs w:val="28"/>
                <w:rtl/>
                <w:lang w:bidi="ar-EG"/>
              </w:rPr>
              <w:t>أداة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Toc233382409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16</w:t>
            </w:r>
            <w:r w:rsidRPr="00E74BB1">
              <w:rPr>
                <w:rStyle w:val="Hyperlink"/>
                <w:rFonts w:ascii="Traditional Arabic" w:hAnsi="Traditional Arabic" w:cs="Traditional Arabic" w:hint="cs"/>
                <w:noProof/>
                <w:sz w:val="28"/>
                <w:szCs w:val="28"/>
                <w:rtl/>
              </w:rPr>
              <w:fldChar w:fldCharType="end"/>
            </w:r>
          </w:hyperlink>
        </w:p>
        <w:p w14:paraId="5BBF892C" w14:textId="620484BD"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0" w:history="1">
            <w:r w:rsidRPr="00E74BB1">
              <w:rPr>
                <w:rStyle w:val="Hyperlink"/>
                <w:rFonts w:ascii="Traditional Arabic" w:hAnsi="Traditional Arabic" w:cs="Traditional Arabic" w:hint="cs"/>
                <w:noProof/>
                <w:sz w:val="28"/>
                <w:szCs w:val="28"/>
                <w:rtl/>
                <w:lang w:bidi="ar-EG"/>
              </w:rPr>
              <w:t>المعالجات الإحصائية المقترحة: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Toc233382410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16</w:t>
            </w:r>
            <w:r w:rsidRPr="00E74BB1">
              <w:rPr>
                <w:rStyle w:val="Hyperlink"/>
                <w:rFonts w:ascii="Traditional Arabic" w:hAnsi="Traditional Arabic" w:cs="Traditional Arabic" w:hint="cs"/>
                <w:noProof/>
                <w:sz w:val="28"/>
                <w:szCs w:val="28"/>
                <w:rtl/>
              </w:rPr>
              <w:fldChar w:fldCharType="end"/>
            </w:r>
          </w:hyperlink>
        </w:p>
        <w:p w14:paraId="5DFE5205" w14:textId="16245E24"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1" w:history="1">
            <w:r w:rsidRPr="00E74BB1">
              <w:rPr>
                <w:rStyle w:val="Hyperlink"/>
                <w:rFonts w:ascii="Traditional Arabic" w:hAnsi="Traditional Arabic" w:cs="Traditional Arabic" w:hint="cs"/>
                <w:noProof/>
                <w:sz w:val="28"/>
                <w:szCs w:val="28"/>
                <w:rtl/>
                <w:lang w:bidi="ar-EG"/>
              </w:rPr>
              <w:t>حدود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Toc233382411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17</w:t>
            </w:r>
            <w:r w:rsidRPr="00E74BB1">
              <w:rPr>
                <w:rStyle w:val="Hyperlink"/>
                <w:rFonts w:ascii="Traditional Arabic" w:hAnsi="Traditional Arabic" w:cs="Traditional Arabic" w:hint="cs"/>
                <w:noProof/>
                <w:sz w:val="28"/>
                <w:szCs w:val="28"/>
                <w:rtl/>
              </w:rPr>
              <w:fldChar w:fldCharType="end"/>
            </w:r>
          </w:hyperlink>
        </w:p>
        <w:p w14:paraId="009D7F62" w14:textId="34F011D5"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2" w:history="1">
            <w:r w:rsidRPr="00E74BB1">
              <w:rPr>
                <w:rStyle w:val="Hyperlink"/>
                <w:rFonts w:ascii="Traditional Arabic" w:hAnsi="Traditional Arabic" w:cs="Traditional Arabic" w:hint="cs"/>
                <w:noProof/>
                <w:sz w:val="28"/>
                <w:szCs w:val="28"/>
                <w:rtl/>
                <w:lang w:bidi="ar-EG"/>
              </w:rPr>
              <w:t>الدراسات السابقة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Toc233382412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18</w:t>
            </w:r>
            <w:r w:rsidRPr="00E74BB1">
              <w:rPr>
                <w:rStyle w:val="Hyperlink"/>
                <w:rFonts w:ascii="Traditional Arabic" w:hAnsi="Traditional Arabic" w:cs="Traditional Arabic" w:hint="cs"/>
                <w:noProof/>
                <w:sz w:val="28"/>
                <w:szCs w:val="28"/>
                <w:rtl/>
              </w:rPr>
              <w:fldChar w:fldCharType="end"/>
            </w:r>
          </w:hyperlink>
        </w:p>
        <w:p w14:paraId="352C85DA" w14:textId="57DD6D38"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3" w:history="1">
            <w:r w:rsidRPr="00E74BB1">
              <w:rPr>
                <w:rStyle w:val="Hyperlink"/>
                <w:rFonts w:ascii="Traditional Arabic" w:hAnsi="Traditional Arabic" w:cs="Traditional Arabic" w:hint="cs"/>
                <w:noProof/>
                <w:sz w:val="28"/>
                <w:szCs w:val="28"/>
                <w:rtl/>
                <w:lang w:bidi="ar-EG"/>
              </w:rPr>
              <w:t>الفجوة البحثية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Toc233382413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18</w:t>
            </w:r>
            <w:r w:rsidRPr="00E74BB1">
              <w:rPr>
                <w:rStyle w:val="Hyperlink"/>
                <w:rFonts w:ascii="Traditional Arabic" w:hAnsi="Traditional Arabic" w:cs="Traditional Arabic" w:hint="cs"/>
                <w:noProof/>
                <w:sz w:val="28"/>
                <w:szCs w:val="28"/>
                <w:rtl/>
              </w:rPr>
              <w:fldChar w:fldCharType="end"/>
            </w:r>
          </w:hyperlink>
        </w:p>
        <w:p w14:paraId="16DF6469" w14:textId="5D8A2784"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5" w:history="1">
            <w:r w:rsidRPr="00E74BB1">
              <w:rPr>
                <w:rStyle w:val="Hyperlink"/>
                <w:rFonts w:ascii="Traditional Arabic" w:hAnsi="Traditional Arabic" w:cs="Traditional Arabic" w:hint="cs"/>
                <w:noProof/>
                <w:sz w:val="28"/>
                <w:szCs w:val="28"/>
                <w:rtl/>
                <w:lang w:bidi="ar-EG"/>
              </w:rPr>
              <w:t>قائمة المراجع:</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Toc233382415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39</w:t>
            </w:r>
            <w:r w:rsidRPr="00E74BB1">
              <w:rPr>
                <w:rStyle w:val="Hyperlink"/>
                <w:rFonts w:ascii="Traditional Arabic" w:hAnsi="Traditional Arabic" w:cs="Traditional Arabic" w:hint="cs"/>
                <w:noProof/>
                <w:sz w:val="28"/>
                <w:szCs w:val="28"/>
                <w:rtl/>
              </w:rPr>
              <w:fldChar w:fldCharType="end"/>
            </w:r>
          </w:hyperlink>
        </w:p>
        <w:p w14:paraId="45A14A9B" w14:textId="131BC589" w:rsidR="00D439AC" w:rsidRPr="00E74BB1" w:rsidRDefault="00D439AC">
          <w:pPr>
            <w:rPr>
              <w:rFonts w:ascii="Traditional Arabic" w:hAnsi="Traditional Arabic" w:cs="Traditional Arabic"/>
              <w:sz w:val="28"/>
              <w:szCs w:val="28"/>
            </w:rPr>
          </w:pPr>
          <w:r w:rsidRPr="00E74BB1">
            <w:rPr>
              <w:rFonts w:ascii="Traditional Arabic" w:hAnsi="Traditional Arabic" w:cs="Traditional Arabic" w:hint="cs"/>
              <w:b/>
              <w:bCs/>
              <w:sz w:val="28"/>
              <w:szCs w:val="28"/>
              <w:lang w:val="ar-SA"/>
            </w:rPr>
            <w:fldChar w:fldCharType="end"/>
          </w:r>
        </w:p>
      </w:sdtContent>
    </w:sdt>
    <w:p w14:paraId="501DDDC0" w14:textId="77777777" w:rsidR="005C5DF8" w:rsidRPr="00193FA4" w:rsidRDefault="005C5DF8">
      <w:pPr>
        <w:bidi w:val="0"/>
        <w:rPr>
          <w:rFonts w:ascii="Traditional Arabic" w:eastAsiaTheme="majorEastAsia" w:hAnsi="Traditional Arabic" w:cs="Traditional Arabic"/>
          <w:b/>
          <w:bCs/>
          <w:sz w:val="32"/>
          <w:szCs w:val="32"/>
          <w:lang w:bidi="ar-EG"/>
        </w:rPr>
      </w:pPr>
      <w:r w:rsidRPr="00193FA4">
        <w:rPr>
          <w:rFonts w:ascii="Traditional Arabic" w:hAnsi="Traditional Arabic" w:cs="Traditional Arabic" w:hint="cs"/>
          <w:sz w:val="32"/>
          <w:szCs w:val="32"/>
          <w:rtl/>
        </w:rPr>
        <w:br w:type="page"/>
      </w:r>
    </w:p>
    <w:p w14:paraId="3CDC3DA5" w14:textId="259E9744" w:rsidR="00D8772F" w:rsidRPr="00193FA4" w:rsidRDefault="004D35D3" w:rsidP="00D325E6">
      <w:pPr>
        <w:pStyle w:val="Heading1"/>
        <w:rPr>
          <w:rtl/>
        </w:rPr>
      </w:pPr>
      <w:bookmarkStart w:id="1" w:name="_Toc233382398"/>
      <w:r w:rsidRPr="00193FA4">
        <w:rPr>
          <w:rFonts w:hint="cs"/>
          <w:rtl/>
        </w:rPr>
        <w:lastRenderedPageBreak/>
        <w:t>المقدمة:</w:t>
      </w:r>
      <w:bookmarkEnd w:id="1"/>
    </w:p>
    <w:p w14:paraId="08308380" w14:textId="530B4ACB"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يشهد العالم المعاصر تحولات متسارعة وغير مسبوقة في مختلف مناحي الحياة، حيث أ</w:t>
      </w:r>
      <w:r w:rsidR="002B7A02">
        <w:rPr>
          <w:rFonts w:ascii="Traditional Arabic" w:hAnsi="Traditional Arabic" w:cs="Traditional Arabic" w:hint="cs"/>
          <w:sz w:val="32"/>
          <w:szCs w:val="32"/>
          <w:rtl/>
        </w:rPr>
        <w:t>نتجت</w:t>
      </w:r>
      <w:r w:rsidRPr="004E24C0">
        <w:rPr>
          <w:rFonts w:ascii="Traditional Arabic" w:hAnsi="Traditional Arabic" w:cs="Traditional Arabic"/>
          <w:sz w:val="32"/>
          <w:szCs w:val="32"/>
          <w:rtl/>
        </w:rPr>
        <w:t xml:space="preserve"> الثورة الصناعية الرابعة وما تبعها من تطورات تقنية متلاحقة جملة من التغيرات الجوهرية التي أعادت صياغة المفاهيم التقليدية للأعمال والإدارة والإنتاج</w:t>
      </w:r>
      <w:r>
        <w:rPr>
          <w:rFonts w:ascii="Traditional Arabic" w:hAnsi="Traditional Arabic" w:cs="Traditional Arabic" w:hint="cs"/>
          <w:sz w:val="32"/>
          <w:szCs w:val="32"/>
          <w:rtl/>
        </w:rPr>
        <w:t>،</w:t>
      </w:r>
      <w:r w:rsidRPr="004E24C0">
        <w:rPr>
          <w:rFonts w:ascii="Traditional Arabic" w:hAnsi="Traditional Arabic" w:cs="Traditional Arabic"/>
          <w:sz w:val="32"/>
          <w:szCs w:val="32"/>
          <w:rtl/>
        </w:rPr>
        <w:t xml:space="preserve"> وقد أصبحت التكنولوجيا الرقمية محركاً رئيسياً للتحول في بنية المنظمات وأنماط عملها، إذ لم يعد التطور التقني مجرد أداة مساعدة، بل غدا عنصراً استراتيجياً يعيد تشكيل النماذج التنظيمية ويحدد ملامح المستقبل المؤسسي في ظل بيئة عالمية تتسم بالتعقيد والتنافسية العالية والتحول الرقمي الشامل</w:t>
      </w:r>
      <w:r w:rsidRPr="004E24C0">
        <w:rPr>
          <w:rFonts w:ascii="Traditional Arabic" w:hAnsi="Traditional Arabic" w:cs="Traditional Arabic"/>
          <w:sz w:val="32"/>
          <w:szCs w:val="32"/>
        </w:rPr>
        <w:t xml:space="preserve"> (Rane, 2023).</w:t>
      </w:r>
    </w:p>
    <w:p w14:paraId="48317741" w14:textId="34E4D449"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وفي ظل هذه التحولات العالمية المتسارعة، برزت ظاهرة العولمة كقوة محورية تعيد تشكيل بيئات العمل الحديثة، حيث أسهمت في تعزيز التكامل الاقتصادي والتنوع الثقافي وتسريع تبني التقنيات الرقمية في المنظمات على اختلاف أنواعها</w:t>
      </w:r>
      <w:r>
        <w:rPr>
          <w:rFonts w:ascii="Traditional Arabic" w:hAnsi="Traditional Arabic" w:cs="Traditional Arabic" w:hint="cs"/>
          <w:sz w:val="32"/>
          <w:szCs w:val="32"/>
          <w:rtl/>
        </w:rPr>
        <w:t>،</w:t>
      </w:r>
      <w:r w:rsidRPr="004E24C0">
        <w:rPr>
          <w:rFonts w:ascii="Traditional Arabic" w:hAnsi="Traditional Arabic" w:cs="Traditional Arabic"/>
          <w:sz w:val="32"/>
          <w:szCs w:val="32"/>
          <w:rtl/>
        </w:rPr>
        <w:t xml:space="preserve"> وقد فرضت هذه التحولات على المؤسسات ضرورة إعادة النظر في هياكلها التنظيمية وممارساتها الإدارية للتكيف مع المتطلبات الجديدة لسوق العمل العالمي، الأمر الذي جعل التحول الرقمي وتبني التقنيات الذكية ضرورة استراتيجية لا غنى عنها لضمان البقاء والاستمرار في ظل بيئة الأعمال المعاصرة</w:t>
      </w:r>
      <w:r w:rsidRPr="004E24C0">
        <w:rPr>
          <w:rFonts w:ascii="Traditional Arabic" w:hAnsi="Traditional Arabic" w:cs="Traditional Arabic"/>
          <w:sz w:val="32"/>
          <w:szCs w:val="32"/>
        </w:rPr>
        <w:t xml:space="preserve"> (Yadav, 2025).</w:t>
      </w:r>
    </w:p>
    <w:p w14:paraId="2CB8C378" w14:textId="3AAC56BF" w:rsidR="004E24C0" w:rsidRPr="004E24C0" w:rsidRDefault="004E24C0" w:rsidP="004E24C0">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Pr="004E24C0">
        <w:rPr>
          <w:rFonts w:ascii="Traditional Arabic" w:hAnsi="Traditional Arabic" w:cs="Traditional Arabic"/>
          <w:sz w:val="32"/>
          <w:szCs w:val="32"/>
          <w:rtl/>
        </w:rPr>
        <w:t>يبرز الذكاء الاصطناعي التوليدي</w:t>
      </w:r>
      <w:r w:rsidRPr="004E24C0">
        <w:rPr>
          <w:rFonts w:ascii="Traditional Arabic" w:hAnsi="Traditional Arabic" w:cs="Traditional Arabic"/>
          <w:sz w:val="32"/>
          <w:szCs w:val="32"/>
        </w:rPr>
        <w:t xml:space="preserve"> (Generative AI) </w:t>
      </w:r>
      <w:r w:rsidRPr="004E24C0">
        <w:rPr>
          <w:rFonts w:ascii="Traditional Arabic" w:hAnsi="Traditional Arabic" w:cs="Traditional Arabic"/>
          <w:sz w:val="32"/>
          <w:szCs w:val="32"/>
          <w:rtl/>
        </w:rPr>
        <w:t>باعتباره أحد أبرز الابتكارات التقنية التي أحدثت نقلة نوعية في طبيعة التفاعل بين الإنسان والآلة، إذ يمتاز هذا النوع من الذكاء الاصطناعي بقدرته الفائقة على إنتاج محتوى جديد يشمل النصوص والصور والأكواد البرمجية والتحليلات المعقدة بصورة تحاكي القدرات البشرية وتفوقها في بعض الأحيان</w:t>
      </w:r>
      <w:r>
        <w:rPr>
          <w:rFonts w:ascii="Traditional Arabic" w:hAnsi="Traditional Arabic" w:cs="Traditional Arabic" w:hint="cs"/>
          <w:sz w:val="32"/>
          <w:szCs w:val="32"/>
          <w:rtl/>
        </w:rPr>
        <w:t xml:space="preserve">، </w:t>
      </w:r>
      <w:r w:rsidRPr="004E24C0">
        <w:rPr>
          <w:rFonts w:ascii="Traditional Arabic" w:hAnsi="Traditional Arabic" w:cs="Traditional Arabic"/>
          <w:sz w:val="32"/>
          <w:szCs w:val="32"/>
          <w:rtl/>
        </w:rPr>
        <w:t>وقد أتاحت هذه التقنية إمكانات واسعة لأتمتة المهام الروتينية وتوليد المحتوى الرقمي وتعزيز الإنتاجية في مختلف القطاعات، مما جعلها محوراً للاهتمام البحثي والتطبيقي على المستويين الأكاديمي والمؤسسي</w:t>
      </w:r>
      <w:r w:rsidRPr="004E24C0">
        <w:rPr>
          <w:rFonts w:ascii="Traditional Arabic" w:hAnsi="Traditional Arabic" w:cs="Traditional Arabic"/>
          <w:sz w:val="32"/>
          <w:szCs w:val="32"/>
        </w:rPr>
        <w:t xml:space="preserve"> (Al Naqbi et al.,  2024).</w:t>
      </w:r>
    </w:p>
    <w:p w14:paraId="472F97AD" w14:textId="4F473DB3"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ولم يقتصر دور الذكاء الاصطناعي التوليدي على إنتاج المحتوى فحسب، بل امتد ليشمل دعم اتخاذ القرارات الاستراتيجية والتشغيلية وتحليل البيانات الضخمة وتوفير رؤى ذكية تسهم في تطوير ممارسات إدارة الموارد البشرية والعمليات التنظيمية</w:t>
      </w:r>
      <w:r>
        <w:rPr>
          <w:rFonts w:ascii="Traditional Arabic" w:hAnsi="Traditional Arabic" w:cs="Traditional Arabic" w:hint="cs"/>
          <w:sz w:val="32"/>
          <w:szCs w:val="32"/>
          <w:rtl/>
        </w:rPr>
        <w:t xml:space="preserve">، </w:t>
      </w:r>
      <w:r w:rsidRPr="004E24C0">
        <w:rPr>
          <w:rFonts w:ascii="Traditional Arabic" w:hAnsi="Traditional Arabic" w:cs="Traditional Arabic"/>
          <w:sz w:val="32"/>
          <w:szCs w:val="32"/>
          <w:rtl/>
        </w:rPr>
        <w:t>كما أصبح يلعب دوراً محورياً في تنمية المهارات الرقمية والإبداعية للعاملين وتعزيز كفاءتهم الذاتية التقنية، فضلاً عن إسهامه في إعادة تشكيل البنى المعرفية والثقافية داخل المنظمات وخارجها، الأمر الذي يجعله متغيراً جوهرياً يستحق الدراسة المعمّقة في سياق بيئة العمل المعاصرة</w:t>
      </w:r>
      <w:r w:rsidRPr="004E24C0">
        <w:rPr>
          <w:rFonts w:ascii="Traditional Arabic" w:hAnsi="Traditional Arabic" w:cs="Traditional Arabic"/>
          <w:sz w:val="32"/>
          <w:szCs w:val="32"/>
        </w:rPr>
        <w:t xml:space="preserve"> (Chowdhury et al.,  2024).</w:t>
      </w:r>
    </w:p>
    <w:p w14:paraId="07DAB3D3" w14:textId="6D82FD44"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 xml:space="preserve">تُعدّ بيئة العمل من المفاهيم الإدارية المحورية التي حظيت باهتمام بالغ من قِبل الباحثين والممارسين، إذ تمثل المنظومة المتكاملة التي تتشكل من مجموعة من العناصر المادية والتنظيمية والإنسانية التي تحيط بالعامل وتؤثر في أدائه وسلوكه </w:t>
      </w:r>
      <w:r w:rsidRPr="004E24C0">
        <w:rPr>
          <w:rFonts w:ascii="Traditional Arabic" w:hAnsi="Traditional Arabic" w:cs="Traditional Arabic"/>
          <w:sz w:val="32"/>
          <w:szCs w:val="32"/>
          <w:rtl/>
        </w:rPr>
        <w:lastRenderedPageBreak/>
        <w:t xml:space="preserve">وانتمائه المؤسسي. وتتضمن بيئة العمل أبعاداً متعددة تشمل البيئة المادية والتكنولوجية والثقافة التنظيمية والعلاقات الإنسانية وأنماط القيادة وأنظمة الحوافز والاتصال التنظيمي، وكلها عناصر تتفاعل فيما بينها لتشكّل المناخ العام الذي يعمل فيه الأفراد ويحدد مستوى رضاهم وإنتاجيتهم وإبداعهم </w:t>
      </w:r>
      <w:r>
        <w:rPr>
          <w:rFonts w:ascii="Traditional Arabic" w:hAnsi="Traditional Arabic" w:cs="Traditional Arabic"/>
          <w:sz w:val="32"/>
          <w:szCs w:val="32"/>
        </w:rPr>
        <w:t>)</w:t>
      </w:r>
      <w:r w:rsidRPr="004E24C0">
        <w:rPr>
          <w:rFonts w:ascii="Traditional Arabic" w:hAnsi="Traditional Arabic" w:cs="Traditional Arabic"/>
          <w:sz w:val="32"/>
          <w:szCs w:val="32"/>
          <w:rtl/>
        </w:rPr>
        <w:t>المطيري والحازمي، 2023</w:t>
      </w:r>
      <w:r>
        <w:rPr>
          <w:rFonts w:ascii="Traditional Arabic" w:hAnsi="Traditional Arabic" w:cs="Traditional Arabic"/>
          <w:sz w:val="32"/>
          <w:szCs w:val="32"/>
        </w:rPr>
        <w:t>(</w:t>
      </w:r>
    </w:p>
    <w:p w14:paraId="6C314F4F" w14:textId="4A6D3BDC"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 xml:space="preserve">وقد شهد مفهوم بيئة العمل تحولات جوهرية في العقد الأخير، حيث ظهر مفهوم "بيئة العمل الحديثة" ليعكس التغيرات المتسارعة التي طرأت على طبيعة العمل في ظل التحول الرقمي والعولمة وتغير توقعات الموظفين. ولم تعد بيئة العمل الحديثة تقتصر على المكان المادي الذي يؤدي فيه العامل مهامه، بل امتدت لتشمل تجربة الموظف الشاملة والمرونة التنظيمية والثقافة الرقمية والسياسات التنظيمية وأمن المعلومات، فضلاً عن العلاقات الإنسانية التي تتشكل في فضاءات العمل الافتراضية والهجينة، مما يستدعي إعادة النظر في الأطر التقليدية لتصميم بيئات العمل وتطويرها </w:t>
      </w:r>
      <w:r w:rsidRPr="004E24C0">
        <w:rPr>
          <w:rFonts w:ascii="Traditional Arabic" w:hAnsi="Traditional Arabic" w:cs="Traditional Arabic"/>
          <w:sz w:val="32"/>
          <w:szCs w:val="32"/>
        </w:rPr>
        <w:t>(Mangarella</w:t>
      </w:r>
      <w:r>
        <w:rPr>
          <w:rFonts w:ascii="Traditional Arabic" w:hAnsi="Traditional Arabic" w:cs="Traditional Arabic"/>
          <w:sz w:val="32"/>
          <w:szCs w:val="32"/>
        </w:rPr>
        <w:t xml:space="preserve"> et al.,</w:t>
      </w:r>
      <w:r w:rsidRPr="004E24C0">
        <w:rPr>
          <w:rFonts w:ascii="Traditional Arabic" w:hAnsi="Traditional Arabic" w:cs="Traditional Arabic"/>
          <w:sz w:val="32"/>
          <w:szCs w:val="32"/>
        </w:rPr>
        <w:t xml:space="preserve"> 2025).</w:t>
      </w:r>
    </w:p>
    <w:p w14:paraId="3ABC899A" w14:textId="1965309B"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 xml:space="preserve">يتضح أن </w:t>
      </w:r>
      <w:r>
        <w:rPr>
          <w:rFonts w:ascii="Traditional Arabic" w:hAnsi="Traditional Arabic" w:cs="Traditional Arabic" w:hint="cs"/>
          <w:sz w:val="32"/>
          <w:szCs w:val="32"/>
          <w:rtl/>
        </w:rPr>
        <w:t xml:space="preserve">هناك </w:t>
      </w:r>
      <w:r w:rsidRPr="004E24C0">
        <w:rPr>
          <w:rFonts w:ascii="Traditional Arabic" w:hAnsi="Traditional Arabic" w:cs="Traditional Arabic"/>
          <w:sz w:val="32"/>
          <w:szCs w:val="32"/>
          <w:rtl/>
        </w:rPr>
        <w:t xml:space="preserve">علاقة وثيقة ومتشابكة بين الذكاء الاصطناعي التوليدي وبيئة العمل الحديثة، إذ يعمل الذكاء الاصطناعي التوليدي بوصفه قوة دافعة تعيد تشكيل ملامح بيئة العمل من خلال أتمتة المهام وتطوير المهارات ودعم اتخاذ القرار وتعزيز الابتكار التنظيمي، في حين تُهيّئ بيئة العمل الحديثة بأبعادها المادية والتنظيمية والثقافية المناخ المناسب لتبني هذه التقنية وتعظيم الاستفادة منها. وقد بات من الواضح أن المنظمات التي تتبنى تطبيقات الذكاء الاصطناعي التوليدي تشهد تحولات جوهرية في ديناميكيات بيئة عملها، مما يستدعي دراسة هذه العلاقة بصورة منهجية للوقوف على طبيعة التأثير المتبادل بين المتغيرين </w:t>
      </w:r>
      <w:r w:rsidRPr="004E24C0">
        <w:rPr>
          <w:rFonts w:ascii="Traditional Arabic" w:hAnsi="Traditional Arabic" w:cs="Traditional Arabic"/>
          <w:sz w:val="32"/>
          <w:szCs w:val="32"/>
        </w:rPr>
        <w:t>(Rayhan, 2024).</w:t>
      </w:r>
    </w:p>
    <w:p w14:paraId="6DF7B52E" w14:textId="79666F15"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ولأن المؤسسات الحكومية السعودية تُعدّ من المؤسسات المحورية التي تشهد تحولات رقمية واسعة في إطار رؤية المملكة العربية السعودية 2030، التي تضع التحول الرقمي وتبني التقنيات الذكية في صدارة أولوياتها الاستراتيجية، فإن دراسة دور الذكاء الاصطناعي التوليدي في إعادة تشكيل بيئة العمل الحديثة في هذه المؤسسات تكتسب أهمية بالغة على المستويين النظري والتطبيقي. ومن هذا المنطلق، تأتي الدراسة الحالية لتسليط الضوء على هذه العلاقة من خلال دراسة ميدانية على المؤسسات الحكومية السعودية، سعياً للإسهام في إثراء الأدبيات العلمية في هذا المجال وتقديم رؤى يمكن البناء عليها في تطوير بيئات العمل في القطاع الحكومي السعودي</w:t>
      </w:r>
      <w:r w:rsidRPr="004E24C0">
        <w:rPr>
          <w:rFonts w:ascii="Traditional Arabic" w:hAnsi="Traditional Arabic" w:cs="Traditional Arabic"/>
          <w:sz w:val="32"/>
          <w:szCs w:val="32"/>
        </w:rPr>
        <w:t>.</w:t>
      </w:r>
    </w:p>
    <w:p w14:paraId="180F5BD5" w14:textId="776BFAA2" w:rsidR="00D8772F" w:rsidRPr="00193FA4" w:rsidRDefault="000E0033" w:rsidP="00D325E6">
      <w:pPr>
        <w:pStyle w:val="Heading1"/>
        <w:rPr>
          <w:rtl/>
        </w:rPr>
      </w:pPr>
      <w:bookmarkStart w:id="2" w:name="_Toc233382399"/>
      <w:r w:rsidRPr="00193FA4">
        <w:rPr>
          <w:rFonts w:hint="cs"/>
          <w:rtl/>
        </w:rPr>
        <w:lastRenderedPageBreak/>
        <w:t xml:space="preserve">مشكلة الدراسة </w:t>
      </w:r>
      <w:r w:rsidR="00804FE9" w:rsidRPr="00193FA4">
        <w:rPr>
          <w:rFonts w:hint="cs"/>
          <w:rtl/>
        </w:rPr>
        <w:t>:</w:t>
      </w:r>
      <w:bookmarkEnd w:id="2"/>
    </w:p>
    <w:p w14:paraId="319C39FF" w14:textId="7AFFB513"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تُمثّل الثورة الراهنة في مجال الذكاء الاصطناعي التوليدي نقطة تحول جوهرية في طبيعة العمل وممارساته داخل المنظمات المعاصرة، إذ لم يعد هذا التحول مجرد ترف تقني تتباهى به المؤسسات، بل غدا ضرورة استراتيجية تفرضها متطلبات بيئة الأعمال المتسارعة والتحولات الرقمية المتلاحقة. وقد كشفت الإحصائيات الحديثة عن وتيرة متسارعة في تبني هذه التقنية على المستوى العالمي، حيث أشار تقرير</w:t>
      </w:r>
      <w:r w:rsidRPr="004E24C0">
        <w:rPr>
          <w:rFonts w:ascii="Traditional Arabic" w:hAnsi="Traditional Arabic" w:cs="Traditional Arabic"/>
          <w:sz w:val="32"/>
          <w:szCs w:val="32"/>
        </w:rPr>
        <w:t xml:space="preserve"> McKinsey </w:t>
      </w:r>
      <w:r w:rsidRPr="004E24C0">
        <w:rPr>
          <w:rFonts w:ascii="Traditional Arabic" w:hAnsi="Traditional Arabic" w:cs="Traditional Arabic"/>
          <w:sz w:val="32"/>
          <w:szCs w:val="32"/>
          <w:rtl/>
        </w:rPr>
        <w:t>العالمي للذكاء الاصطناعي (2024) إلى أن نسبة المنظمات التي تستخدم الذكاء الاصطناعي التوليدي بشكل منتظم قد ارتفعت إلى (65%)، وهو ما يمثل قرابة الضعف مقارنة بالعام السابق. كما أفاد تقرير مؤشر اتجاهات العمل الصادر عن</w:t>
      </w:r>
      <w:r w:rsidRPr="004E24C0">
        <w:rPr>
          <w:rFonts w:ascii="Traditional Arabic" w:hAnsi="Traditional Arabic" w:cs="Traditional Arabic"/>
          <w:sz w:val="32"/>
          <w:szCs w:val="32"/>
        </w:rPr>
        <w:t xml:space="preserve"> Microsoft </w:t>
      </w:r>
      <w:r>
        <w:rPr>
          <w:rFonts w:ascii="Traditional Arabic" w:hAnsi="Traditional Arabic" w:cs="Traditional Arabic"/>
          <w:sz w:val="32"/>
          <w:szCs w:val="32"/>
        </w:rPr>
        <w:t>&amp;</w:t>
      </w:r>
      <w:r w:rsidRPr="004E24C0">
        <w:rPr>
          <w:rFonts w:ascii="Traditional Arabic" w:hAnsi="Traditional Arabic" w:cs="Traditional Arabic"/>
          <w:sz w:val="32"/>
          <w:szCs w:val="32"/>
        </w:rPr>
        <w:t xml:space="preserve">LinkedIn (2024) </w:t>
      </w:r>
      <w:r w:rsidRPr="004E24C0">
        <w:rPr>
          <w:rFonts w:ascii="Traditional Arabic" w:hAnsi="Traditional Arabic" w:cs="Traditional Arabic"/>
          <w:sz w:val="32"/>
          <w:szCs w:val="32"/>
          <w:rtl/>
        </w:rPr>
        <w:t>بأن (75%) من العاملين في مجال المعرفة حول العالم يستخدمون أدوات الذكاء الاصطناعي التوليدي في أعمالهم اليومية، في حين أشار تقرير</w:t>
      </w:r>
      <w:r w:rsidRPr="004E24C0">
        <w:rPr>
          <w:rFonts w:ascii="Traditional Arabic" w:hAnsi="Traditional Arabic" w:cs="Traditional Arabic"/>
          <w:sz w:val="32"/>
          <w:szCs w:val="32"/>
        </w:rPr>
        <w:t xml:space="preserve"> LinkedIn </w:t>
      </w:r>
      <w:r w:rsidRPr="004E24C0">
        <w:rPr>
          <w:rFonts w:ascii="Traditional Arabic" w:hAnsi="Traditional Arabic" w:cs="Traditional Arabic"/>
          <w:sz w:val="32"/>
          <w:szCs w:val="32"/>
          <w:rtl/>
        </w:rPr>
        <w:t>للاقتصاد الرقمي إلى أن (55%) من أعضاء المنصة عالمياً سيشهدون تغيرات جوهرية في طبيعة وظائفهم نتيجة لانتشار الذكاء الاصطناعي التوليدي، مما يعكس حجم التحول الذي تشهده بيئات العمل الحديثة</w:t>
      </w:r>
      <w:r w:rsidRPr="004E24C0">
        <w:rPr>
          <w:rFonts w:ascii="Traditional Arabic" w:hAnsi="Traditional Arabic" w:cs="Traditional Arabic"/>
          <w:sz w:val="32"/>
          <w:szCs w:val="32"/>
        </w:rPr>
        <w:t xml:space="preserve"> (Al Naqbi</w:t>
      </w:r>
      <w:r>
        <w:rPr>
          <w:rFonts w:ascii="Traditional Arabic" w:hAnsi="Traditional Arabic" w:cs="Traditional Arabic"/>
          <w:sz w:val="32"/>
          <w:szCs w:val="32"/>
        </w:rPr>
        <w:t xml:space="preserve"> et al.,</w:t>
      </w:r>
      <w:r w:rsidRPr="004E24C0">
        <w:rPr>
          <w:rFonts w:ascii="Traditional Arabic" w:hAnsi="Traditional Arabic" w:cs="Traditional Arabic"/>
          <w:sz w:val="32"/>
          <w:szCs w:val="32"/>
        </w:rPr>
        <w:t xml:space="preserve"> 2024).</w:t>
      </w:r>
    </w:p>
    <w:p w14:paraId="5169CC12" w14:textId="77777777"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وعلى الصعيد المحلي، تولي المملكة العربية السعودية اهتماماً بالغاً بتقنيات الذكاء الاصطناعي التوليدي بوصفها ركيزة محورية لتحقيق مستهدفات رؤية المملكة 2030، حيث تشير بيانات الهيئة العامة للإحصاء (2025) إلى أن نسبة استخدام الذكاء الاصطناعي في منشآت القطاعين العام والخاص قد ارتفعت إلى (33.1%) خلال عام 2025، بزيادة بلغت (20%) مقارنة بالعام السابق، في حين تشير تقديرات الهيئة السعودية للبيانات والذكاء الاصطناعي (سدايا) إلى أن (66) هدفاً من إجمالي (96) هدفاً مباشراً وغير مباشر من أهداف رؤية المملكة 2030 ترتبط ارتباطاً وثيقاً بتوظيف البيانات والذكاء الاصطناعي. كما توقعت دراسات متخصصة أن يصل الإنفاق الحكومي على تقنيات الذكاء الاصطناعي في المملكة إلى أرقام قياسية خلال السنوات القادمة، الأمر الذي يعكس التوجه الاستراتيجي للدولة نحو تبني هذه التقنية في القطاع الحكومي</w:t>
      </w:r>
      <w:r w:rsidRPr="004E24C0">
        <w:rPr>
          <w:rFonts w:ascii="Traditional Arabic" w:hAnsi="Traditional Arabic" w:cs="Traditional Arabic"/>
          <w:sz w:val="32"/>
          <w:szCs w:val="32"/>
        </w:rPr>
        <w:t xml:space="preserve"> (Rane, 2023).</w:t>
      </w:r>
    </w:p>
    <w:p w14:paraId="62C69F9C" w14:textId="5DFA4122"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وعلى الرغم من هذا التوجه الاستراتيجي الواضح والاستثمارات الضخمة في مجال الذكاء الاصطناعي التوليدي، فإن ثمة فجوة بحثية واضحة في الأدبيات العربية والمحلية تتعلق بطبيعة التأثير الذي تُحدثه هذه التقنية في إعادة تشكيل بيئة العمل الحديثة داخل المؤسسات الحكومية السعودي</w:t>
      </w:r>
      <w:r>
        <w:rPr>
          <w:rFonts w:ascii="Traditional Arabic" w:hAnsi="Traditional Arabic" w:cs="Traditional Arabic" w:hint="cs"/>
          <w:sz w:val="32"/>
          <w:szCs w:val="32"/>
          <w:rtl/>
        </w:rPr>
        <w:t>ة ،</w:t>
      </w:r>
      <w:r w:rsidRPr="004E24C0">
        <w:rPr>
          <w:rFonts w:ascii="Traditional Arabic" w:hAnsi="Traditional Arabic" w:cs="Traditional Arabic"/>
          <w:sz w:val="32"/>
          <w:szCs w:val="32"/>
          <w:rtl/>
        </w:rPr>
        <w:t xml:space="preserve"> فقد ركزت معظم الدراسات السابقة على الجوانب التعليمية والأكاديمية لتوظيف الذكاء الاصطناعي التوليدي، كدراسة عالم والفراني (2024) التي تناولت أثره في تنمية مهارات البرمجة، ودراسة الغامدي، ريم (2025) التي بحثت أثره في جودة الأداء التدريسي، ودراسة الغامدي، </w:t>
      </w:r>
      <w:r w:rsidRPr="004E24C0">
        <w:rPr>
          <w:rFonts w:ascii="Traditional Arabic" w:hAnsi="Traditional Arabic" w:cs="Traditional Arabic"/>
          <w:sz w:val="32"/>
          <w:szCs w:val="32"/>
          <w:rtl/>
        </w:rPr>
        <w:lastRenderedPageBreak/>
        <w:t>نحاء (2025) التي ركزت على تنمية مهارات التصميم الرقمي. كما اهتمت دراسات أخرى بالجوانب المالية والمحاسبية، كدراسة عقيلي (2024)، أو الجوانب الثقافية كدراسة أحمد (2025)، في حين تناولت دراسة حراز وأبو العز وشبانة (2025) ممارسات إدارة الموارد البشرية في الشركات الصناعية، مما يُبرز محدودية الدراسات التي تناولت بيئة العمل الحديثة بشكل متكامل في القطاع الحكومي</w:t>
      </w:r>
      <w:r w:rsidRPr="004E24C0">
        <w:rPr>
          <w:rFonts w:ascii="Traditional Arabic" w:hAnsi="Traditional Arabic" w:cs="Traditional Arabic"/>
          <w:sz w:val="32"/>
          <w:szCs w:val="32"/>
        </w:rPr>
        <w:t xml:space="preserve"> (Chowdhury</w:t>
      </w:r>
      <w:r>
        <w:rPr>
          <w:rFonts w:ascii="Traditional Arabic" w:hAnsi="Traditional Arabic" w:cs="Traditional Arabic"/>
          <w:sz w:val="32"/>
          <w:szCs w:val="32"/>
        </w:rPr>
        <w:t xml:space="preserve"> et al.</w:t>
      </w:r>
      <w:r w:rsidRPr="004E24C0">
        <w:rPr>
          <w:rFonts w:ascii="Traditional Arabic" w:hAnsi="Traditional Arabic" w:cs="Traditional Arabic"/>
          <w:sz w:val="32"/>
          <w:szCs w:val="32"/>
        </w:rPr>
        <w:t>, 2024).</w:t>
      </w:r>
    </w:p>
    <w:p w14:paraId="78E6120A" w14:textId="20DAA315"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ومن جهة أخرى، تواجه بيئة العمل في المؤسسات الحكومية السعودية تحولات جوهرية تستدعي الدراسة والتحليل، فقد أعادت العولمة والتحول الرقمي صياغة المفاهيم التقليدية لبيئة العمل، وأصبحت المرونة التنظيمية وتجربة الموظف وأمن المعلومات والثقافة الرقمية من المحاور الجوهرية التي تحدد ملامح بيئة العمل الحديثة. وقد أشارت دراسة</w:t>
      </w:r>
      <w:r w:rsidRPr="004E24C0">
        <w:rPr>
          <w:rFonts w:ascii="Traditional Arabic" w:hAnsi="Traditional Arabic" w:cs="Traditional Arabic"/>
          <w:sz w:val="32"/>
          <w:szCs w:val="32"/>
        </w:rPr>
        <w:t xml:space="preserve"> Mangarella et al., (2025) </w:t>
      </w:r>
      <w:r w:rsidRPr="004E24C0">
        <w:rPr>
          <w:rFonts w:ascii="Traditional Arabic" w:hAnsi="Traditional Arabic" w:cs="Traditional Arabic"/>
          <w:sz w:val="32"/>
          <w:szCs w:val="32"/>
          <w:rtl/>
        </w:rPr>
        <w:t>إلى أن تجربة الموظف باتت محركاً رئيسياً في إعادة تشكيل بيئات العمل المعاصرة، كما أكدت دراسة</w:t>
      </w:r>
      <w:r w:rsidRPr="004E24C0">
        <w:rPr>
          <w:rFonts w:ascii="Traditional Arabic" w:hAnsi="Traditional Arabic" w:cs="Traditional Arabic"/>
          <w:sz w:val="32"/>
          <w:szCs w:val="32"/>
        </w:rPr>
        <w:t xml:space="preserve"> Yadav (2025) </w:t>
      </w:r>
      <w:r w:rsidRPr="004E24C0">
        <w:rPr>
          <w:rFonts w:ascii="Traditional Arabic" w:hAnsi="Traditional Arabic" w:cs="Traditional Arabic"/>
          <w:sz w:val="32"/>
          <w:szCs w:val="32"/>
          <w:rtl/>
        </w:rPr>
        <w:t>أن العولمة فرضت تحديات جديدة تتعلق بالتنوع والمرونة والاعتماد على التقنيات الرقمية. غير أن الدراسات التي تناولت بيئة العمل في السياق العربي، كدراسة المطيري والحازمي (2023) ودراسة السلمي وحداد (2022)، ركزت في معظمها على الأبعاد التقليدية لبيئة العمل دون ربطها بتقنيات الذكاء الاصطناعي التوليدي بوصفها متغيراً مستقلاً مؤثراً</w:t>
      </w:r>
      <w:r w:rsidRPr="004E24C0">
        <w:rPr>
          <w:rFonts w:ascii="Traditional Arabic" w:hAnsi="Traditional Arabic" w:cs="Traditional Arabic"/>
          <w:sz w:val="32"/>
          <w:szCs w:val="32"/>
        </w:rPr>
        <w:t xml:space="preserve"> (Rayhan, 2024).</w:t>
      </w:r>
    </w:p>
    <w:p w14:paraId="2D4EF8D4" w14:textId="77777777"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وفي ضوء هذه المعطيات، يلاحظ الباحث وجود فجوة بحثية مزدوجة تتمثل في: ندرة الدراسات التي تجمع بين متغيري الذكاء الاصطناعي التوليدي وبيئة العمل الحديثة في إطار بحثي متكامل، ومحدودية الدراسات الميدانية التي تستهدف المؤسسات الحكومية السعودية تحديداً، رغم كونها من أكثر القطاعات تأثراً بالتحول الرقمي في إطار رؤية 2030. وقد أكدت دراسة السماني وآخرون (2025) على أهمية دراسة أثر الذكاء الاصطناعي التوليدي في السياقات المؤسسية المختلفة، في حين أشارت دراسة</w:t>
      </w:r>
      <w:r w:rsidRPr="004E24C0">
        <w:rPr>
          <w:rFonts w:ascii="Traditional Arabic" w:hAnsi="Traditional Arabic" w:cs="Traditional Arabic"/>
          <w:sz w:val="32"/>
          <w:szCs w:val="32"/>
        </w:rPr>
        <w:t xml:space="preserve"> Ooi et al. (2025) </w:t>
      </w:r>
      <w:r w:rsidRPr="004E24C0">
        <w:rPr>
          <w:rFonts w:ascii="Traditional Arabic" w:hAnsi="Traditional Arabic" w:cs="Traditional Arabic"/>
          <w:sz w:val="32"/>
          <w:szCs w:val="32"/>
          <w:rtl/>
        </w:rPr>
        <w:t>إلى الحاجة الماسة لإجراء دراسات بحثية متعددة التخصصات تستكشف تطبيقات الذكاء الاصطناعي التوليدي في بيئات العمل المتنوعة، مما يعزز الحاجة العلمية الملحة لإجراء الدراسة الحالية لسد هذه الفجوة</w:t>
      </w:r>
      <w:r w:rsidRPr="004E24C0">
        <w:rPr>
          <w:rFonts w:ascii="Traditional Arabic" w:hAnsi="Traditional Arabic" w:cs="Traditional Arabic"/>
          <w:sz w:val="32"/>
          <w:szCs w:val="32"/>
        </w:rPr>
        <w:t xml:space="preserve"> (Ooi et al., 2025).</w:t>
      </w:r>
    </w:p>
    <w:p w14:paraId="49ACA5C5" w14:textId="77777777"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ومن خلال ما تقدم، تتبلور مشكلة الدراسة في محاولة الإجابة عن التساؤل الرئيسي التالي</w:t>
      </w:r>
      <w:r w:rsidRPr="004E24C0">
        <w:rPr>
          <w:rFonts w:ascii="Traditional Arabic" w:hAnsi="Traditional Arabic" w:cs="Traditional Arabic"/>
          <w:sz w:val="32"/>
          <w:szCs w:val="32"/>
        </w:rPr>
        <w:t>:</w:t>
      </w:r>
    </w:p>
    <w:p w14:paraId="7F605EB7" w14:textId="77777777"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b/>
          <w:bCs/>
          <w:sz w:val="32"/>
          <w:szCs w:val="32"/>
          <w:rtl/>
        </w:rPr>
        <w:t>ما أثر الذكاء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p>
    <w:p w14:paraId="1907E80E" w14:textId="77777777" w:rsidR="00391CB5" w:rsidRPr="00193FA4" w:rsidRDefault="00391CB5" w:rsidP="00391CB5">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tl/>
        </w:rPr>
        <w:lastRenderedPageBreak/>
        <w:t>ويتفرع من هذا التساؤل الرئيس مجموعة من التساؤلات الفرعية التالية</w:t>
      </w:r>
      <w:r w:rsidRPr="00193FA4">
        <w:rPr>
          <w:rFonts w:ascii="Traditional Arabic" w:hAnsi="Traditional Arabic" w:cs="Traditional Arabic" w:hint="cs"/>
          <w:sz w:val="32"/>
          <w:szCs w:val="32"/>
        </w:rPr>
        <w:t>:</w:t>
      </w:r>
    </w:p>
    <w:p w14:paraId="723DD840"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bookmarkStart w:id="3" w:name="_Toc233382400"/>
      <w:r w:rsidRPr="004E24C0">
        <w:rPr>
          <w:rFonts w:ascii="Traditional Arabic" w:hAnsi="Traditional Arabic" w:cs="Traditional Arabic" w:hint="cs"/>
          <w:sz w:val="32"/>
          <w:szCs w:val="32"/>
          <w:rtl/>
        </w:rPr>
        <w:t>ما أثر بُعد أتمتة المهام وتوليد المحتوى على إعادة تشكيل بيئة العمل الحديثة بأبعادها في المؤسسات الحكومية السعودية؟</w:t>
      </w:r>
    </w:p>
    <w:p w14:paraId="499E0E41"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أثر بُعد دعم اتخاذ القرار والتحليل الذكي على إعادة تشكيل بيئة العمل الحديثة بأبعادها في المؤسسات الحكومية السعودية؟</w:t>
      </w:r>
    </w:p>
    <w:p w14:paraId="4F95A8F5"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أثر بُعد تطوير المهارات والتعلم التنظيمي على إعادة تشكيل بيئة العمل الحديثة بأبعادها في المؤسسات الحكومية السعودية؟</w:t>
      </w:r>
    </w:p>
    <w:p w14:paraId="3B7F9493"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أثر بُعد تعزيز التواصل والابتكار التنظيمي على إعادة تشكيل بيئة العمل الحديثة بأبعادها في المؤسسات الحكومية السعودية؟</w:t>
      </w:r>
    </w:p>
    <w:p w14:paraId="572F0B15"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التوصيات والمقترحات التي تسهم في تفعيل دور الذكاء الاصطناعي التوليدي في إعادة تشكيل بيئة العمل الحديثة بالمؤسسات الحكومية السعودية؟</w:t>
      </w:r>
    </w:p>
    <w:p w14:paraId="552CDDD3" w14:textId="487F6482" w:rsidR="001B43EF" w:rsidRPr="00D325E6" w:rsidRDefault="001B43EF" w:rsidP="00D325E6">
      <w:pPr>
        <w:pStyle w:val="Heading1"/>
        <w:rPr>
          <w:rtl/>
        </w:rPr>
      </w:pPr>
      <w:r w:rsidRPr="00D325E6">
        <w:rPr>
          <w:rFonts w:hint="cs"/>
          <w:rtl/>
        </w:rPr>
        <w:t xml:space="preserve">أهمية </w:t>
      </w:r>
      <w:r w:rsidR="00D439AC" w:rsidRPr="00D325E6">
        <w:rPr>
          <w:rFonts w:hint="cs"/>
          <w:rtl/>
        </w:rPr>
        <w:t>الدراسة</w:t>
      </w:r>
      <w:bookmarkEnd w:id="3"/>
      <w:r w:rsidR="00D439AC" w:rsidRPr="00D325E6">
        <w:rPr>
          <w:rFonts w:hint="cs"/>
          <w:rtl/>
        </w:rPr>
        <w:t xml:space="preserve"> </w:t>
      </w:r>
    </w:p>
    <w:p w14:paraId="144B7A3E" w14:textId="77777777" w:rsidR="004E24C0" w:rsidRPr="004E24C0" w:rsidRDefault="004E24C0" w:rsidP="004E24C0">
      <w:pPr>
        <w:rPr>
          <w:rFonts w:ascii="Traditional Arabic" w:hAnsi="Traditional Arabic" w:cs="Traditional Arabic"/>
          <w:b/>
          <w:bCs/>
          <w:sz w:val="32"/>
          <w:szCs w:val="32"/>
          <w:rtl/>
          <w:lang w:bidi="ar-EG"/>
        </w:rPr>
      </w:pPr>
      <w:bookmarkStart w:id="4" w:name="_Toc233382401"/>
      <w:r w:rsidRPr="004E24C0">
        <w:rPr>
          <w:rFonts w:ascii="Traditional Arabic" w:hAnsi="Traditional Arabic" w:cs="Traditional Arabic" w:hint="cs"/>
          <w:b/>
          <w:bCs/>
          <w:sz w:val="32"/>
          <w:szCs w:val="32"/>
          <w:rtl/>
        </w:rPr>
        <w:t>أولاً: الأهمية العلمية (النظرية)</w:t>
      </w:r>
    </w:p>
    <w:p w14:paraId="2E9D5A1E"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تستمد الدراسة أهميتها العلمية من حداثة موضوعها، حيث تتناول الذكاء الاصطناعي التوليدي بوصفه أحد أبرز التقنيات الناشئة التي تستقطب اهتمام الباحثين على المستويين العربي والعالمي</w:t>
      </w:r>
      <w:r w:rsidRPr="004E24C0">
        <w:rPr>
          <w:rFonts w:ascii="Traditional Arabic" w:hAnsi="Traditional Arabic" w:cs="Traditional Arabic" w:hint="cs"/>
          <w:sz w:val="32"/>
          <w:szCs w:val="32"/>
        </w:rPr>
        <w:t>.</w:t>
      </w:r>
    </w:p>
    <w:p w14:paraId="6596F036"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تُسهم الدراسة في إثراء الأدبيات العلمية العربية المتعلقة بالذكاء الاصطناعي التوليدي وعلاقته بإعادة تشكيل بيئة العمل الحديثة، نظراً لمحدودية الدراسات التي جمعت بين هذين المتغيرين في سياق واحد</w:t>
      </w:r>
      <w:r w:rsidRPr="004E24C0">
        <w:rPr>
          <w:rFonts w:ascii="Traditional Arabic" w:hAnsi="Traditional Arabic" w:cs="Traditional Arabic" w:hint="cs"/>
          <w:sz w:val="32"/>
          <w:szCs w:val="32"/>
        </w:rPr>
        <w:t>.</w:t>
      </w:r>
    </w:p>
    <w:p w14:paraId="6A8A341C"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تُقدّم الدراسة إطاراً نظرياً متكاملاً يربط بين أبعاد الذكاء الاصطناعي التوليدي وأبعاد بيئة العمل الحديثة، مما يُسهم في بناء قاعدة معرفية يمكن البناء عليها في الدراسات المستقبلية</w:t>
      </w:r>
      <w:r w:rsidRPr="004E24C0">
        <w:rPr>
          <w:rFonts w:ascii="Traditional Arabic" w:hAnsi="Traditional Arabic" w:cs="Traditional Arabic" w:hint="cs"/>
          <w:sz w:val="32"/>
          <w:szCs w:val="32"/>
        </w:rPr>
        <w:t>.</w:t>
      </w:r>
    </w:p>
    <w:p w14:paraId="52FE16F9"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تسد الدراسة فجوة بحثية ملحوظة في الدراسات العربية، خاصة فيما يتعلق بتطبيق هذه المتغيرات على القطاع الحكومي السعودي</w:t>
      </w:r>
      <w:r w:rsidRPr="004E24C0">
        <w:rPr>
          <w:rFonts w:ascii="Traditional Arabic" w:hAnsi="Traditional Arabic" w:cs="Traditional Arabic" w:hint="cs"/>
          <w:sz w:val="32"/>
          <w:szCs w:val="32"/>
        </w:rPr>
        <w:t>.</w:t>
      </w:r>
    </w:p>
    <w:p w14:paraId="78C43182"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تُقدّم الدراسة أداة قياس متكاملة (استبانة) يمكن للباحثين توظيفها في دراسات مستقبلية مماثلة في بيئات وقطاعات مختلفة</w:t>
      </w:r>
      <w:r w:rsidRPr="004E24C0">
        <w:rPr>
          <w:rFonts w:ascii="Traditional Arabic" w:hAnsi="Traditional Arabic" w:cs="Traditional Arabic" w:hint="cs"/>
          <w:sz w:val="32"/>
          <w:szCs w:val="32"/>
        </w:rPr>
        <w:t>.</w:t>
      </w:r>
    </w:p>
    <w:p w14:paraId="19AC4D60" w14:textId="77777777" w:rsidR="004E24C0" w:rsidRPr="004E24C0" w:rsidRDefault="004E24C0" w:rsidP="004E24C0">
      <w:pPr>
        <w:rPr>
          <w:rFonts w:ascii="Traditional Arabic" w:hAnsi="Traditional Arabic" w:cs="Traditional Arabic"/>
          <w:b/>
          <w:bCs/>
          <w:sz w:val="32"/>
          <w:szCs w:val="32"/>
        </w:rPr>
      </w:pPr>
      <w:r w:rsidRPr="004E24C0">
        <w:rPr>
          <w:rFonts w:ascii="Traditional Arabic" w:hAnsi="Traditional Arabic" w:cs="Traditional Arabic" w:hint="cs"/>
          <w:b/>
          <w:bCs/>
          <w:sz w:val="32"/>
          <w:szCs w:val="32"/>
          <w:rtl/>
        </w:rPr>
        <w:lastRenderedPageBreak/>
        <w:t>ثانياً: الأهمية العملية (التطبيقية)</w:t>
      </w:r>
    </w:p>
    <w:p w14:paraId="02212D2D"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تُقدّم الدراسة رؤى عملية لصانعي القرار في المؤسسات الحكومية السعودية حول كيفية توظيف تقنيات الذكاء الاصطناعي التوليدي في تطوير بيئة العمل</w:t>
      </w:r>
      <w:r w:rsidRPr="004E24C0">
        <w:rPr>
          <w:rFonts w:ascii="Traditional Arabic" w:hAnsi="Traditional Arabic" w:cs="Traditional Arabic" w:hint="cs"/>
          <w:sz w:val="32"/>
          <w:szCs w:val="32"/>
        </w:rPr>
        <w:t>.</w:t>
      </w:r>
    </w:p>
    <w:p w14:paraId="4DCECDE5"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تُسهم نتائج الدراسة في دعم تحقيق مستهدفات رؤية المملكة العربية السعودية 2030 المتعلقة بالتحول الرقمي وتبني التقنيات الذكية في القطاع الحكومي</w:t>
      </w:r>
      <w:r w:rsidRPr="004E24C0">
        <w:rPr>
          <w:rFonts w:ascii="Traditional Arabic" w:hAnsi="Traditional Arabic" w:cs="Traditional Arabic" w:hint="cs"/>
          <w:sz w:val="32"/>
          <w:szCs w:val="32"/>
        </w:rPr>
        <w:t>.</w:t>
      </w:r>
    </w:p>
    <w:p w14:paraId="11BDAD07"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تُمكّن الدراسة المؤسسات الحكومية من تحديد أولوياتها الاستثمارية في مجال تقنيات الذكاء الاصطناعي التوليدي بما يتوافق مع متطلبات بيئة العمل الحديثة</w:t>
      </w:r>
      <w:r w:rsidRPr="004E24C0">
        <w:rPr>
          <w:rFonts w:ascii="Traditional Arabic" w:hAnsi="Traditional Arabic" w:cs="Traditional Arabic" w:hint="cs"/>
          <w:sz w:val="32"/>
          <w:szCs w:val="32"/>
        </w:rPr>
        <w:t>.</w:t>
      </w:r>
    </w:p>
    <w:p w14:paraId="34A3A010"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تُقدّم الدراسة توصيات عملية يمكن للجهات المعنية الاسترشاد بها في بناء سياسات وأطر تنظيمية تدعم توظيف الذكاء الاصطناعي التوليدي في المؤسسات الحكومية</w:t>
      </w:r>
      <w:r w:rsidRPr="004E24C0">
        <w:rPr>
          <w:rFonts w:ascii="Traditional Arabic" w:hAnsi="Traditional Arabic" w:cs="Traditional Arabic" w:hint="cs"/>
          <w:sz w:val="32"/>
          <w:szCs w:val="32"/>
        </w:rPr>
        <w:t>.</w:t>
      </w:r>
    </w:p>
    <w:p w14:paraId="04405A56"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تُسهم الدراسة في رفع وعي القيادات الإدارية والعاملين في المؤسسات الحكومية السعودية بأهمية الذكاء الاصطناعي التوليدي ودوره في تطوير بيئة العمل</w:t>
      </w:r>
      <w:r w:rsidRPr="004E24C0">
        <w:rPr>
          <w:rFonts w:ascii="Traditional Arabic" w:hAnsi="Traditional Arabic" w:cs="Traditional Arabic" w:hint="cs"/>
          <w:sz w:val="32"/>
          <w:szCs w:val="32"/>
        </w:rPr>
        <w:t>.</w:t>
      </w:r>
    </w:p>
    <w:p w14:paraId="328F39B1" w14:textId="244C87D9" w:rsidR="00D42274" w:rsidRPr="00193FA4" w:rsidRDefault="00D42274" w:rsidP="00D325E6">
      <w:pPr>
        <w:pStyle w:val="Heading1"/>
        <w:rPr>
          <w:rtl/>
        </w:rPr>
      </w:pPr>
      <w:r w:rsidRPr="00193FA4">
        <w:rPr>
          <w:rFonts w:hint="cs"/>
          <w:rtl/>
        </w:rPr>
        <w:t xml:space="preserve">أهداف </w:t>
      </w:r>
      <w:r w:rsidR="00D439AC" w:rsidRPr="00193FA4">
        <w:rPr>
          <w:rFonts w:hint="cs"/>
          <w:rtl/>
        </w:rPr>
        <w:t>الدراسة</w:t>
      </w:r>
      <w:bookmarkEnd w:id="4"/>
      <w:r w:rsidR="00D439AC" w:rsidRPr="00193FA4">
        <w:rPr>
          <w:rFonts w:hint="cs"/>
          <w:rtl/>
        </w:rPr>
        <w:t xml:space="preserve"> </w:t>
      </w:r>
    </w:p>
    <w:p w14:paraId="7247B5EA" w14:textId="77777777" w:rsidR="00890556" w:rsidRPr="00890556" w:rsidRDefault="00890556" w:rsidP="00890556">
      <w:pPr>
        <w:pStyle w:val="NormalWeb"/>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 xml:space="preserve">تهدف الدراسة إلى </w:t>
      </w:r>
      <w:r w:rsidRPr="00890556">
        <w:rPr>
          <w:rStyle w:val="Strong"/>
          <w:rFonts w:ascii="Traditional Arabic" w:hAnsi="Traditional Arabic" w:cs="Traditional Arabic" w:hint="cs"/>
          <w:sz w:val="32"/>
          <w:szCs w:val="32"/>
          <w:rtl/>
        </w:rPr>
        <w:t>دراسة أثر الذكاء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Style w:val="Strong"/>
          <w:rFonts w:ascii="Traditional Arabic" w:hAnsi="Traditional Arabic" w:cs="Traditional Arabic" w:hint="cs"/>
          <w:sz w:val="32"/>
          <w:szCs w:val="32"/>
        </w:rPr>
        <w:t>.</w:t>
      </w:r>
    </w:p>
    <w:p w14:paraId="54FF07C7" w14:textId="77777777" w:rsidR="00890556" w:rsidRPr="00890556" w:rsidRDefault="00890556" w:rsidP="00890556">
      <w:pPr>
        <w:pStyle w:val="NormalWeb"/>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ويتفرع من هذا الهدف الرئيسي مجموعة من الأهداف الفرعية، تتمثل فيما يلي</w:t>
      </w:r>
      <w:r w:rsidRPr="00890556">
        <w:rPr>
          <w:rFonts w:ascii="Traditional Arabic" w:hAnsi="Traditional Arabic" w:cs="Traditional Arabic" w:hint="cs"/>
          <w:sz w:val="32"/>
          <w:szCs w:val="32"/>
        </w:rPr>
        <w:t>:</w:t>
      </w:r>
    </w:p>
    <w:p w14:paraId="56DA478A"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التعرف على مستوى توظيف الذكاء الاصطناعي التوليدي بأبعاده المختلفة في المؤسسات الحكومية السعودية من وجهة نظر العاملين فيها</w:t>
      </w:r>
      <w:r w:rsidRPr="00890556">
        <w:rPr>
          <w:rFonts w:ascii="Traditional Arabic" w:hAnsi="Traditional Arabic" w:cs="Traditional Arabic" w:hint="cs"/>
          <w:sz w:val="32"/>
          <w:szCs w:val="32"/>
        </w:rPr>
        <w:t>.</w:t>
      </w:r>
    </w:p>
    <w:p w14:paraId="0EF768B4"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التعرف على واقع بيئة العمل الحديثة بأبعادها المختلفة في المؤسسات الحكومية السعودية من وجهة نظر العاملين فيها</w:t>
      </w:r>
      <w:r w:rsidRPr="00890556">
        <w:rPr>
          <w:rFonts w:ascii="Traditional Arabic" w:hAnsi="Traditional Arabic" w:cs="Traditional Arabic" w:hint="cs"/>
          <w:sz w:val="32"/>
          <w:szCs w:val="32"/>
        </w:rPr>
        <w:t>.</w:t>
      </w:r>
    </w:p>
    <w:p w14:paraId="447886A0"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الكشف عن أثر بُعد أتمتة المهام وتوليد المحتوى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5ED17BAB"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lastRenderedPageBreak/>
        <w:t>الكشف عن أثر بُعد دعم اتخاذ القرار والتحليل الذكي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25823D45"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الكشف عن أثر بُعد تطوير المهارات والتعلم التنظيمي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107533FF"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الكشف عن أثر بُعد تعزيز التواصل والابتكار التنظيمي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1E683C44"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تقديم مجموعة من التوصيات والمقترحات التي تسهم في تفعيل دور الذكاء الاصطناعي التوليدي في إعادة تشكيل بيئة العمل الحديثة بالمؤسسات الحكومية السعودية</w:t>
      </w:r>
      <w:r w:rsidRPr="00890556">
        <w:rPr>
          <w:rFonts w:ascii="Traditional Arabic" w:hAnsi="Traditional Arabic" w:cs="Traditional Arabic" w:hint="cs"/>
          <w:sz w:val="32"/>
          <w:szCs w:val="32"/>
        </w:rPr>
        <w:t>.</w:t>
      </w:r>
    </w:p>
    <w:p w14:paraId="62EDF9F6" w14:textId="522A596E" w:rsidR="00D42274" w:rsidRPr="00193FA4" w:rsidRDefault="00D42274" w:rsidP="00D325E6">
      <w:pPr>
        <w:pStyle w:val="Heading1"/>
        <w:rPr>
          <w:rtl/>
          <w:lang w:bidi="ar-SA"/>
        </w:rPr>
      </w:pPr>
      <w:bookmarkStart w:id="5" w:name="_Toc233382402"/>
      <w:r w:rsidRPr="00193FA4">
        <w:rPr>
          <w:rFonts w:hint="cs"/>
          <w:rtl/>
        </w:rPr>
        <w:t>فرضيات ال</w:t>
      </w:r>
      <w:r w:rsidR="00F41775" w:rsidRPr="00193FA4">
        <w:rPr>
          <w:rFonts w:hint="cs"/>
          <w:rtl/>
        </w:rPr>
        <w:t>دراسة</w:t>
      </w:r>
      <w:bookmarkEnd w:id="5"/>
      <w:r w:rsidR="00F41775" w:rsidRPr="00193FA4">
        <w:rPr>
          <w:rFonts w:hint="cs"/>
          <w:rtl/>
        </w:rPr>
        <w:t xml:space="preserve"> </w:t>
      </w:r>
    </w:p>
    <w:p w14:paraId="4B1D99C2" w14:textId="77777777" w:rsidR="00890556" w:rsidRPr="00890556" w:rsidRDefault="00CE333E" w:rsidP="00890556">
      <w:pPr>
        <w:spacing w:line="276" w:lineRule="auto"/>
        <w:jc w:val="both"/>
        <w:rPr>
          <w:rFonts w:ascii="Traditional Arabic" w:hAnsi="Traditional Arabic" w:cs="Traditional Arabic"/>
          <w:b/>
          <w:bCs/>
          <w:sz w:val="32"/>
          <w:szCs w:val="32"/>
        </w:rPr>
      </w:pPr>
      <w:r w:rsidRPr="00193FA4">
        <w:rPr>
          <w:rFonts w:ascii="Traditional Arabic" w:hAnsi="Traditional Arabic" w:cs="Traditional Arabic" w:hint="cs"/>
          <w:sz w:val="32"/>
          <w:szCs w:val="32"/>
        </w:rPr>
        <w:t> </w:t>
      </w:r>
      <w:bookmarkStart w:id="6" w:name="_Toc233382403"/>
      <w:r w:rsidR="00890556" w:rsidRPr="00890556">
        <w:rPr>
          <w:rFonts w:ascii="Traditional Arabic" w:hAnsi="Traditional Arabic" w:cs="Traditional Arabic"/>
          <w:b/>
          <w:bCs/>
          <w:sz w:val="32"/>
          <w:szCs w:val="32"/>
          <w:rtl/>
        </w:rPr>
        <w:t>الفرض الرئيسي</w:t>
      </w:r>
    </w:p>
    <w:p w14:paraId="49A09266"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يوجد أثر ذو دلالة إحصائية عند مستوى معنوية</w:t>
      </w:r>
      <w:r w:rsidRPr="00890556">
        <w:rPr>
          <w:rFonts w:ascii="Traditional Arabic" w:hAnsi="Traditional Arabic" w:cs="Traditional Arabic"/>
          <w:b/>
          <w:bCs/>
          <w:sz w:val="32"/>
          <w:szCs w:val="32"/>
        </w:rPr>
        <w:t xml:space="preserve"> (</w:t>
      </w:r>
      <w:r w:rsidRPr="00890556">
        <w:rPr>
          <w:rFonts w:ascii="Cambria" w:hAnsi="Cambria" w:cs="Cambria"/>
          <w:b/>
          <w:bCs/>
          <w:sz w:val="32"/>
          <w:szCs w:val="32"/>
        </w:rPr>
        <w:t>α</w:t>
      </w:r>
      <w:r w:rsidRPr="00890556">
        <w:rPr>
          <w:rFonts w:ascii="Traditional Arabic" w:hAnsi="Traditional Arabic" w:cs="Traditional Arabic"/>
          <w:b/>
          <w:bCs/>
          <w:sz w:val="32"/>
          <w:szCs w:val="32"/>
        </w:rPr>
        <w:t xml:space="preserve"> </w:t>
      </w:r>
      <w:r w:rsidRPr="00890556">
        <w:rPr>
          <w:rFonts w:ascii="Cambria Math" w:hAnsi="Cambria Math" w:cs="Cambria Math"/>
          <w:b/>
          <w:bCs/>
          <w:sz w:val="32"/>
          <w:szCs w:val="32"/>
        </w:rPr>
        <w:t>≤</w:t>
      </w:r>
      <w:r w:rsidRPr="00890556">
        <w:rPr>
          <w:rFonts w:ascii="Traditional Arabic" w:hAnsi="Traditional Arabic" w:cs="Traditional Arabic"/>
          <w:b/>
          <w:bCs/>
          <w:sz w:val="32"/>
          <w:szCs w:val="32"/>
        </w:rPr>
        <w:t xml:space="preserve"> 0.05) </w:t>
      </w:r>
      <w:r w:rsidRPr="00890556">
        <w:rPr>
          <w:rFonts w:ascii="Traditional Arabic" w:hAnsi="Traditional Arabic" w:cs="Traditional Arabic"/>
          <w:b/>
          <w:bCs/>
          <w:sz w:val="32"/>
          <w:szCs w:val="32"/>
          <w:rtl/>
        </w:rPr>
        <w:t>للذكاء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في المؤسسات الحكومية السعودية</w:t>
      </w:r>
      <w:r w:rsidRPr="00890556">
        <w:rPr>
          <w:rFonts w:ascii="Traditional Arabic" w:hAnsi="Traditional Arabic" w:cs="Traditional Arabic"/>
          <w:b/>
          <w:bCs/>
          <w:sz w:val="32"/>
          <w:szCs w:val="32"/>
        </w:rPr>
        <w:t>.</w:t>
      </w:r>
    </w:p>
    <w:p w14:paraId="301D349D" w14:textId="77777777" w:rsidR="00890556" w:rsidRPr="00890556" w:rsidRDefault="00890556" w:rsidP="00890556">
      <w:pPr>
        <w:spacing w:line="276" w:lineRule="auto"/>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الفروض الفرعية</w:t>
      </w:r>
    </w:p>
    <w:p w14:paraId="6B78318A"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sz w:val="32"/>
          <w:szCs w:val="32"/>
          <w:rtl/>
        </w:rPr>
        <w:t>ويتفرع من هذا الفرض الرئيسي مجموعة من الفروض الفرعية، تتمثل فيما يلي</w:t>
      </w:r>
      <w:r w:rsidRPr="00890556">
        <w:rPr>
          <w:rFonts w:ascii="Traditional Arabic" w:hAnsi="Traditional Arabic" w:cs="Traditional Arabic"/>
          <w:sz w:val="32"/>
          <w:szCs w:val="32"/>
        </w:rPr>
        <w:t>:</w:t>
      </w:r>
    </w:p>
    <w:p w14:paraId="7D117869"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الفرض الفرعي الأول</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أتمتة المهام وتوليد المحتوى</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224548F6"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الفرض الفرعي الثاني</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دعم اتخاذ القرار والتحليل الذكي</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570CBFBC"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lastRenderedPageBreak/>
        <w:t>الفرض الفرعي الثالث</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تطوير المهارات والتعلم التنظيمي</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1F247C3F"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الفرض الفرعي الرابع</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تعزيز التواصل والابتكار التنظيمي</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0C0E7760" w14:textId="7FA82697" w:rsidR="008F4DEA" w:rsidRPr="00193FA4" w:rsidRDefault="008F4DEA" w:rsidP="00890556">
      <w:pPr>
        <w:pStyle w:val="Heading1"/>
      </w:pPr>
      <w:r w:rsidRPr="00193FA4">
        <w:rPr>
          <w:rFonts w:hint="cs"/>
          <w:rtl/>
        </w:rPr>
        <w:t>النظرية التي تعتمد عليها الدراسة</w:t>
      </w:r>
      <w:bookmarkEnd w:id="6"/>
    </w:p>
    <w:p w14:paraId="43A893B2"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 xml:space="preserve">تعتمد الدراسة الحالية على </w:t>
      </w:r>
      <w:r w:rsidRPr="002B7A02">
        <w:rPr>
          <w:rFonts w:ascii="Traditional Arabic" w:hAnsi="Traditional Arabic" w:cs="Traditional Arabic"/>
          <w:b/>
          <w:bCs/>
          <w:sz w:val="32"/>
          <w:szCs w:val="32"/>
          <w:rtl/>
        </w:rPr>
        <w:t>نظرية النظم الاجتماعية التقنية</w:t>
      </w:r>
      <w:r w:rsidRPr="002B7A02">
        <w:rPr>
          <w:rFonts w:ascii="Traditional Arabic" w:hAnsi="Traditional Arabic" w:cs="Traditional Arabic"/>
          <w:sz w:val="32"/>
          <w:szCs w:val="32"/>
          <w:rtl/>
        </w:rPr>
        <w:t xml:space="preserve"> </w:t>
      </w:r>
      <w:r w:rsidRPr="002B7A02">
        <w:rPr>
          <w:rFonts w:ascii="Traditional Arabic" w:hAnsi="Traditional Arabic" w:cs="Traditional Arabic"/>
          <w:sz w:val="32"/>
          <w:szCs w:val="32"/>
        </w:rPr>
        <w:t xml:space="preserve">(Socio-Technical Systems Theory) </w:t>
      </w:r>
      <w:r w:rsidRPr="002B7A02">
        <w:rPr>
          <w:rFonts w:ascii="Traditional Arabic" w:hAnsi="Traditional Arabic" w:cs="Traditional Arabic"/>
          <w:sz w:val="32"/>
          <w:szCs w:val="32"/>
          <w:rtl/>
        </w:rPr>
        <w:t>بوصفها الإطار النظري الحاكم لمتغيراتها وعلاقاتها، وهي النظرية التي وضع أسسها كل من إريك تريست</w:t>
      </w:r>
      <w:r w:rsidRPr="002B7A02">
        <w:rPr>
          <w:rFonts w:ascii="Traditional Arabic" w:hAnsi="Traditional Arabic" w:cs="Traditional Arabic"/>
          <w:sz w:val="32"/>
          <w:szCs w:val="32"/>
        </w:rPr>
        <w:t xml:space="preserve"> (Eric Trist) </w:t>
      </w:r>
      <w:r w:rsidRPr="002B7A02">
        <w:rPr>
          <w:rFonts w:ascii="Traditional Arabic" w:hAnsi="Traditional Arabic" w:cs="Traditional Arabic"/>
          <w:sz w:val="32"/>
          <w:szCs w:val="32"/>
          <w:rtl/>
        </w:rPr>
        <w:t>وكين بامفورث</w:t>
      </w:r>
      <w:r w:rsidRPr="002B7A02">
        <w:rPr>
          <w:rFonts w:ascii="Traditional Arabic" w:hAnsi="Traditional Arabic" w:cs="Traditional Arabic"/>
          <w:sz w:val="32"/>
          <w:szCs w:val="32"/>
        </w:rPr>
        <w:t xml:space="preserve"> (Ken Bamforth) </w:t>
      </w:r>
      <w:r w:rsidRPr="002B7A02">
        <w:rPr>
          <w:rFonts w:ascii="Traditional Arabic" w:hAnsi="Traditional Arabic" w:cs="Traditional Arabic"/>
          <w:sz w:val="32"/>
          <w:szCs w:val="32"/>
          <w:rtl/>
        </w:rPr>
        <w:t>في معهد تافيستوك للعلاقات الإنسانية في لندن عام 1951م، ثم طُوّرت لاحقاً على يد عدد من الباحثين في مجال السلوك التنظيمي وإدارة الأعمال</w:t>
      </w:r>
      <w:r w:rsidRPr="002B7A02">
        <w:rPr>
          <w:rFonts w:ascii="Traditional Arabic" w:hAnsi="Traditional Arabic" w:cs="Traditional Arabic"/>
          <w:sz w:val="32"/>
          <w:szCs w:val="32"/>
        </w:rPr>
        <w:t>.</w:t>
      </w:r>
    </w:p>
    <w:p w14:paraId="3536E88F"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تنطلق هذه النظرية من فرضية جوهرية مفادها أن أي منظمة تتكون من نظامين متفاعلين ومترابطين هما</w:t>
      </w:r>
      <w:r w:rsidRPr="002B7A02">
        <w:rPr>
          <w:rFonts w:ascii="Traditional Arabic" w:hAnsi="Traditional Arabic" w:cs="Traditional Arabic"/>
          <w:sz w:val="32"/>
          <w:szCs w:val="32"/>
        </w:rPr>
        <w:t xml:space="preserve">: </w:t>
      </w:r>
      <w:r w:rsidRPr="002B7A02">
        <w:rPr>
          <w:rFonts w:ascii="Traditional Arabic" w:hAnsi="Traditional Arabic" w:cs="Traditional Arabic"/>
          <w:sz w:val="32"/>
          <w:szCs w:val="32"/>
          <w:rtl/>
        </w:rPr>
        <w:t>النظام التقني الذي يشمل التكنولوجيا والأدوات والآلات وأساليب العمل، والنظام الاجتماعي الذي يشمل الأفراد والعلاقات الإنسانية والثقافة التنظيمية والهياكل والسياسات. وتؤكد النظرية أن الأداء الأمثل للمنظمة لا يتحقق إلا من خلال التكامل والمواءمة بين هذين النظامين، حيث إن أي تغيير في النظام التقني يستلزم تغييرات متوازية في النظام الاجتماعي، والعكس صحيح</w:t>
      </w:r>
      <w:r w:rsidRPr="002B7A02">
        <w:rPr>
          <w:rFonts w:ascii="Traditional Arabic" w:hAnsi="Traditional Arabic" w:cs="Traditional Arabic"/>
          <w:sz w:val="32"/>
          <w:szCs w:val="32"/>
        </w:rPr>
        <w:t>.</w:t>
      </w:r>
    </w:p>
    <w:p w14:paraId="16848813"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 xml:space="preserve">وتُعدّ هذه النظرية الإطار الأنسب للدراسة الحالية لعدة اعتبارات؛ إذ يُمثّل الذكاء الاصطناعي التوليدي بأبعاده المختلفة جزءاً من النظام التقني المتطور الذي تتبناه المؤسسات الحكومية السعودية، في حين تُمثّل بيئة العمل الحديثة بأبعادها (المادية والتكنولوجية، والثقافة التنظيمية، والمرونة التنظيمية وتجربة الموظف، والسياسات التنظيمية وأمن المعلومات) النظام الاجتماعي-التقني المتكامل الذي يتشكل نتيجة تفاعل التقنية مع العنصر البشري والتنظيمي. ومن ثم، فإن دراسة أثر الذكاء الاصطناعي التوليدي على إعادة تشكيل بيئة العمل الحديثة تنسجم انسجاماً تاماً </w:t>
      </w:r>
      <w:r w:rsidRPr="002B7A02">
        <w:rPr>
          <w:rFonts w:ascii="Traditional Arabic" w:hAnsi="Traditional Arabic" w:cs="Traditional Arabic"/>
          <w:sz w:val="32"/>
          <w:szCs w:val="32"/>
          <w:rtl/>
        </w:rPr>
        <w:lastRenderedPageBreak/>
        <w:t>مع الفرضيات الأساسية لهذه النظرية التي تؤكد أن إدخال تقنيات جديدة كالذكاء الاصطناعي التوليدي يُحدث تحولات جوهرية في البنى التنظيمية والاجتماعية للمنظمات</w:t>
      </w:r>
      <w:r w:rsidRPr="002B7A02">
        <w:rPr>
          <w:rFonts w:ascii="Traditional Arabic" w:hAnsi="Traditional Arabic" w:cs="Traditional Arabic"/>
          <w:sz w:val="32"/>
          <w:szCs w:val="32"/>
        </w:rPr>
        <w:t>.</w:t>
      </w:r>
    </w:p>
    <w:p w14:paraId="7564F75F"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 xml:space="preserve">كما تستند الدراسة بشكل مكمّل إلى </w:t>
      </w:r>
      <w:r w:rsidRPr="002B7A02">
        <w:rPr>
          <w:rFonts w:ascii="Traditional Arabic" w:hAnsi="Traditional Arabic" w:cs="Traditional Arabic"/>
          <w:b/>
          <w:bCs/>
          <w:sz w:val="32"/>
          <w:szCs w:val="32"/>
          <w:rtl/>
        </w:rPr>
        <w:t>نظرية انتشار الابتكار</w:t>
      </w:r>
      <w:r w:rsidRPr="002B7A02">
        <w:rPr>
          <w:rFonts w:ascii="Traditional Arabic" w:hAnsi="Traditional Arabic" w:cs="Traditional Arabic"/>
          <w:sz w:val="32"/>
          <w:szCs w:val="32"/>
          <w:rtl/>
        </w:rPr>
        <w:t xml:space="preserve"> </w:t>
      </w:r>
      <w:r w:rsidRPr="002B7A02">
        <w:rPr>
          <w:rFonts w:ascii="Traditional Arabic" w:hAnsi="Traditional Arabic" w:cs="Traditional Arabic"/>
          <w:sz w:val="32"/>
          <w:szCs w:val="32"/>
        </w:rPr>
        <w:t xml:space="preserve">(Diffusion of Innovations Theory) </w:t>
      </w:r>
      <w:r w:rsidRPr="002B7A02">
        <w:rPr>
          <w:rFonts w:ascii="Traditional Arabic" w:hAnsi="Traditional Arabic" w:cs="Traditional Arabic"/>
          <w:sz w:val="32"/>
          <w:szCs w:val="32"/>
          <w:rtl/>
        </w:rPr>
        <w:t xml:space="preserve">لـ </w:t>
      </w:r>
      <w:r w:rsidRPr="002B7A02">
        <w:rPr>
          <w:rFonts w:ascii="Traditional Arabic" w:hAnsi="Traditional Arabic" w:cs="Traditional Arabic"/>
          <w:b/>
          <w:bCs/>
          <w:sz w:val="32"/>
          <w:szCs w:val="32"/>
          <w:rtl/>
        </w:rPr>
        <w:t>إيفريت روجرز</w:t>
      </w:r>
      <w:r w:rsidRPr="002B7A02">
        <w:rPr>
          <w:rFonts w:ascii="Traditional Arabic" w:hAnsi="Traditional Arabic" w:cs="Traditional Arabic"/>
          <w:b/>
          <w:bCs/>
          <w:sz w:val="32"/>
          <w:szCs w:val="32"/>
        </w:rPr>
        <w:t xml:space="preserve"> (Everett Rogers, 1962)</w:t>
      </w:r>
      <w:r w:rsidRPr="002B7A02">
        <w:rPr>
          <w:rFonts w:ascii="Traditional Arabic" w:hAnsi="Traditional Arabic" w:cs="Traditional Arabic"/>
          <w:sz w:val="32"/>
          <w:szCs w:val="32"/>
          <w:rtl/>
        </w:rPr>
        <w:t>، التي تُفسّر كيفية تبني التقنيات والابتكارات الجديدة داخل المنظمات والمجتمعات عبر مراحل متعاقبة، وتحدد العوامل المؤثرة في سرعة تبنيها كالميزة النسبية والتوافق والتعقيد والقابلية للتجربة والملاحظة. وتُسهم هذه النظرية في تفسير ديناميكيات تبني المؤسسات الحكومية السعودية لتقنيات الذكاء الاصطناعي التوليدي والآليات التي من خلالها تنتشر هذه التقنية لتُعيد تشكيل بيئة العمل الحديثة</w:t>
      </w:r>
      <w:r w:rsidRPr="002B7A02">
        <w:rPr>
          <w:rFonts w:ascii="Traditional Arabic" w:hAnsi="Traditional Arabic" w:cs="Traditional Arabic"/>
          <w:sz w:val="32"/>
          <w:szCs w:val="32"/>
        </w:rPr>
        <w:t>.</w:t>
      </w:r>
    </w:p>
    <w:p w14:paraId="3D72F9BD"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ومن خلال توظيف هاتين النظريتين معاً، تُقدّم الدراسة الحالية إطاراً نظرياً متكاملاً يُسهم في تفسير العلاقات بين متغيراتها وفهم الديناميكيات التي تحكم أثر الذكاء الاصطناعي التوليدي على إعادة تشكيل بيئة العمل الحديثة في المؤسسات الحكومية السعودية</w:t>
      </w:r>
    </w:p>
    <w:p w14:paraId="5C939E67" w14:textId="53BA6FC0" w:rsidR="00D42274" w:rsidRPr="00193FA4" w:rsidRDefault="00D42274" w:rsidP="00D325E6">
      <w:pPr>
        <w:pStyle w:val="Heading1"/>
        <w:rPr>
          <w:rtl/>
        </w:rPr>
      </w:pPr>
      <w:bookmarkStart w:id="7" w:name="_Toc233382404"/>
      <w:r w:rsidRPr="00193FA4">
        <w:rPr>
          <w:rFonts w:hint="cs"/>
          <w:rtl/>
        </w:rPr>
        <w:t>نموذج الدراسة:</w:t>
      </w:r>
      <w:bookmarkEnd w:id="7"/>
    </w:p>
    <w:p w14:paraId="1BDFBB56"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 xml:space="preserve">يهدف هذا النموذج إلى التعرف على أثر </w:t>
      </w:r>
      <w:r w:rsidRPr="00642250">
        <w:rPr>
          <w:rFonts w:ascii="Traditional Arabic" w:hAnsi="Traditional Arabic" w:cs="Traditional Arabic"/>
          <w:b/>
          <w:bCs/>
          <w:sz w:val="32"/>
          <w:szCs w:val="32"/>
          <w:rtl/>
        </w:rPr>
        <w:t>الذكاء الاصطناعي التوليدي</w:t>
      </w:r>
      <w:r w:rsidRPr="00642250">
        <w:rPr>
          <w:rFonts w:ascii="Traditional Arabic" w:hAnsi="Traditional Arabic" w:cs="Traditional Arabic"/>
          <w:sz w:val="32"/>
          <w:szCs w:val="32"/>
          <w:rtl/>
        </w:rPr>
        <w:t xml:space="preserve"> بأبعاده في </w:t>
      </w:r>
      <w:r w:rsidRPr="00642250">
        <w:rPr>
          <w:rFonts w:ascii="Traditional Arabic" w:hAnsi="Traditional Arabic" w:cs="Traditional Arabic"/>
          <w:b/>
          <w:bCs/>
          <w:sz w:val="32"/>
          <w:szCs w:val="32"/>
          <w:rtl/>
        </w:rPr>
        <w:t>إعادة تشكيل بيئة العمل الحديثة</w:t>
      </w:r>
      <w:r w:rsidRPr="00642250">
        <w:rPr>
          <w:rFonts w:ascii="Traditional Arabic" w:hAnsi="Traditional Arabic" w:cs="Traditional Arabic"/>
          <w:sz w:val="32"/>
          <w:szCs w:val="32"/>
          <w:rtl/>
        </w:rPr>
        <w:t>، وذلك في سياق المؤسسات الحكومية السعودية، ويتضمن المتغيرات التالية</w:t>
      </w:r>
      <w:r w:rsidRPr="00642250">
        <w:rPr>
          <w:rFonts w:ascii="Traditional Arabic" w:hAnsi="Traditional Arabic" w:cs="Traditional Arabic"/>
          <w:sz w:val="32"/>
          <w:szCs w:val="32"/>
        </w:rPr>
        <w:t>:</w:t>
      </w:r>
    </w:p>
    <w:p w14:paraId="71228C62" w14:textId="75E9064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المتغير المستقل</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الذكاء الاصطناعي التوليدي بأبعاده (أتمتة المهام وتوليد المحتوى – دعم اتخاذ القرار والتحليل الذكي – تطوير المهارات والتعلم التنظيمي – تعزيز التواصل والابتكار التنظيمي) بالاعتماد على دراسة</w:t>
      </w:r>
      <w:r w:rsidRPr="00642250">
        <w:rPr>
          <w:rFonts w:ascii="Traditional Arabic" w:hAnsi="Traditional Arabic" w:cs="Traditional Arabic"/>
          <w:sz w:val="32"/>
          <w:szCs w:val="32"/>
        </w:rPr>
        <w:t xml:space="preserve"> (Al Naqbi et al.,  2024) </w:t>
      </w:r>
      <w:r w:rsidRPr="00642250">
        <w:rPr>
          <w:rFonts w:ascii="Traditional Arabic" w:hAnsi="Traditional Arabic" w:cs="Traditional Arabic"/>
          <w:sz w:val="32"/>
          <w:szCs w:val="32"/>
          <w:rtl/>
        </w:rPr>
        <w:t>ودراسة</w:t>
      </w:r>
      <w:r w:rsidRPr="00642250">
        <w:rPr>
          <w:rFonts w:ascii="Traditional Arabic" w:hAnsi="Traditional Arabic" w:cs="Traditional Arabic"/>
          <w:sz w:val="32"/>
          <w:szCs w:val="32"/>
        </w:rPr>
        <w:t xml:space="preserve"> (Chowdhury</w:t>
      </w:r>
      <w:r>
        <w:rPr>
          <w:rFonts w:ascii="Traditional Arabic" w:hAnsi="Traditional Arabic" w:cs="Traditional Arabic"/>
          <w:sz w:val="32"/>
          <w:szCs w:val="32"/>
        </w:rPr>
        <w:t xml:space="preserve"> et al.,</w:t>
      </w:r>
      <w:r w:rsidRPr="00642250">
        <w:rPr>
          <w:rFonts w:ascii="Traditional Arabic" w:hAnsi="Traditional Arabic" w:cs="Traditional Arabic"/>
          <w:sz w:val="32"/>
          <w:szCs w:val="32"/>
        </w:rPr>
        <w:t xml:space="preserve"> 2024) </w:t>
      </w:r>
      <w:r w:rsidRPr="00642250">
        <w:rPr>
          <w:rFonts w:ascii="Traditional Arabic" w:hAnsi="Traditional Arabic" w:cs="Traditional Arabic"/>
          <w:sz w:val="32"/>
          <w:szCs w:val="32"/>
          <w:rtl/>
        </w:rPr>
        <w:t>ودراسة</w:t>
      </w:r>
      <w:r w:rsidRPr="00642250">
        <w:rPr>
          <w:rFonts w:ascii="Traditional Arabic" w:hAnsi="Traditional Arabic" w:cs="Traditional Arabic"/>
          <w:sz w:val="32"/>
          <w:szCs w:val="32"/>
        </w:rPr>
        <w:t xml:space="preserve"> (Rayhan, 2024).</w:t>
      </w:r>
    </w:p>
    <w:p w14:paraId="55708A01" w14:textId="644F67D3"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المتغير التابع</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بيئة العمل الحديثة بأبعادها (البيئة المادية والتكنولوجية – الثقافة التنظيمية والعلاقات الإنسانية – المرونة التنظيمية وتجربة الموظف – السياسات التنظيمية وأمن المعلومات) بالاعتماد على دراسة</w:t>
      </w:r>
      <w:r w:rsidRPr="00642250">
        <w:rPr>
          <w:rFonts w:ascii="Traditional Arabic" w:hAnsi="Traditional Arabic" w:cs="Traditional Arabic"/>
          <w:sz w:val="32"/>
          <w:szCs w:val="32"/>
        </w:rPr>
        <w:t xml:space="preserve"> (Mangarella</w:t>
      </w:r>
      <w:r>
        <w:rPr>
          <w:rFonts w:ascii="Traditional Arabic" w:hAnsi="Traditional Arabic" w:cs="Traditional Arabic"/>
          <w:sz w:val="32"/>
          <w:szCs w:val="32"/>
        </w:rPr>
        <w:t xml:space="preserve"> et al.</w:t>
      </w:r>
      <w:r w:rsidRPr="00642250">
        <w:rPr>
          <w:rFonts w:ascii="Traditional Arabic" w:hAnsi="Traditional Arabic" w:cs="Traditional Arabic"/>
          <w:sz w:val="32"/>
          <w:szCs w:val="32"/>
        </w:rPr>
        <w:t xml:space="preserve">, 2025) </w:t>
      </w:r>
      <w:r w:rsidRPr="00642250">
        <w:rPr>
          <w:rFonts w:ascii="Traditional Arabic" w:hAnsi="Traditional Arabic" w:cs="Traditional Arabic"/>
          <w:sz w:val="32"/>
          <w:szCs w:val="32"/>
          <w:rtl/>
        </w:rPr>
        <w:t>ودراسة</w:t>
      </w:r>
      <w:r w:rsidRPr="00642250">
        <w:rPr>
          <w:rFonts w:ascii="Traditional Arabic" w:hAnsi="Traditional Arabic" w:cs="Traditional Arabic"/>
          <w:sz w:val="32"/>
          <w:szCs w:val="32"/>
        </w:rPr>
        <w:t xml:space="preserve"> (Yas et al., 2024) </w:t>
      </w:r>
      <w:r w:rsidRPr="00642250">
        <w:rPr>
          <w:rFonts w:ascii="Traditional Arabic" w:hAnsi="Traditional Arabic" w:cs="Traditional Arabic"/>
          <w:sz w:val="32"/>
          <w:szCs w:val="32"/>
          <w:rtl/>
        </w:rPr>
        <w:t>ودراسة (المطيري والحازمي، 2023</w:t>
      </w:r>
      <w:r>
        <w:rPr>
          <w:rFonts w:ascii="Traditional Arabic" w:hAnsi="Traditional Arabic" w:cs="Traditional Arabic" w:hint="cs"/>
          <w:sz w:val="32"/>
          <w:szCs w:val="32"/>
          <w:rtl/>
        </w:rPr>
        <w:t>)</w:t>
      </w:r>
    </w:p>
    <w:p w14:paraId="2C7EFEEE" w14:textId="30C99EFA" w:rsidR="005C5DF8" w:rsidRPr="00642250" w:rsidRDefault="00642250" w:rsidP="00E74BB1">
      <w:pPr>
        <w:jc w:val="both"/>
        <w:rPr>
          <w:rFonts w:ascii="Traditional Arabic" w:hAnsi="Traditional Arabic" w:cs="Traditional Arabic"/>
          <w:noProof/>
          <w:sz w:val="32"/>
          <w:szCs w:val="32"/>
          <w:rtl/>
          <w:lang w:bidi="ar-EG"/>
        </w:rPr>
      </w:pPr>
      <w:r>
        <w:rPr>
          <w:rFonts w:ascii="Traditional Arabic" w:hAnsi="Traditional Arabic" w:cs="Traditional Arabic"/>
          <w:noProof/>
          <w:sz w:val="32"/>
          <w:szCs w:val="32"/>
        </w:rPr>
        <w:lastRenderedPageBreak/>
        <w:drawing>
          <wp:inline distT="0" distB="0" distL="0" distR="0" wp14:anchorId="41E4B682" wp14:editId="25CCE8C9">
            <wp:extent cx="5570220" cy="3713480"/>
            <wp:effectExtent l="0" t="0" r="0" b="1270"/>
            <wp:docPr id="4156082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70220" cy="3713480"/>
                    </a:xfrm>
                    <a:prstGeom prst="rect">
                      <a:avLst/>
                    </a:prstGeom>
                    <a:noFill/>
                  </pic:spPr>
                </pic:pic>
              </a:graphicData>
            </a:graphic>
          </wp:inline>
        </w:drawing>
      </w:r>
    </w:p>
    <w:p w14:paraId="235306AD" w14:textId="77777777" w:rsidR="000E0033" w:rsidRPr="00193FA4" w:rsidRDefault="000E0033" w:rsidP="00D325E6">
      <w:pPr>
        <w:pStyle w:val="Heading1"/>
        <w:rPr>
          <w:rtl/>
        </w:rPr>
      </w:pPr>
      <w:bookmarkStart w:id="8" w:name="_Toc233382405"/>
      <w:r w:rsidRPr="00193FA4">
        <w:rPr>
          <w:rFonts w:hint="cs"/>
          <w:rtl/>
        </w:rPr>
        <w:t>مصطلحات الدراسة وتعريفاتها الإجرائية:</w:t>
      </w:r>
      <w:bookmarkEnd w:id="8"/>
    </w:p>
    <w:p w14:paraId="7CFAAC75" w14:textId="533073B3"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الذكاء الاصطناعي التوليدي</w:t>
      </w:r>
      <w:r w:rsidRPr="00642250">
        <w:rPr>
          <w:rFonts w:ascii="Traditional Arabic" w:hAnsi="Traditional Arabic" w:cs="Traditional Arabic"/>
          <w:b/>
          <w:bCs/>
          <w:sz w:val="32"/>
          <w:szCs w:val="32"/>
        </w:rPr>
        <w:t xml:space="preserve"> (Generative Artificial Intelligence)</w:t>
      </w:r>
    </w:p>
    <w:p w14:paraId="3FAC1656" w14:textId="77777777" w:rsid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الذكاء الاصطناعي التوليدي بأنه "فرع من فروع الذكاء الاصطناعي يعتمد على نماذج التعلم العميق والشبكات العصبية القادرة على إنتاج محتوى جديد يشمل النصوص والصور والأصوات والأكواد البرمجية والفيديوهات، بناءً على البيانات التي تم تدريبها عليها، بصورة تحاكي القدرات الإبداعية البشرية</w:t>
      </w:r>
    </w:p>
    <w:p w14:paraId="37B6F439" w14:textId="2F76E160"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sz w:val="32"/>
          <w:szCs w:val="32"/>
        </w:rPr>
        <w:t>" (Al Naqbi</w:t>
      </w:r>
      <w:r>
        <w:rPr>
          <w:rFonts w:ascii="Traditional Arabic" w:hAnsi="Traditional Arabic" w:cs="Traditional Arabic"/>
          <w:sz w:val="32"/>
          <w:szCs w:val="32"/>
        </w:rPr>
        <w:t xml:space="preserve"> et al.</w:t>
      </w:r>
      <w:r w:rsidRPr="00642250">
        <w:rPr>
          <w:rFonts w:ascii="Traditional Arabic" w:hAnsi="Traditional Arabic" w:cs="Traditional Arabic"/>
          <w:sz w:val="32"/>
          <w:szCs w:val="32"/>
        </w:rPr>
        <w:t>, 2024, p. 3).</w:t>
      </w:r>
    </w:p>
    <w:p w14:paraId="00C401F5"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مجموعة التقنيات والتطبيقات الذكية التي توظفها المؤسسات الحكومية السعودية لإنتاج المحتوى الرقمي ودعم اتخاذ القرارات وتطوير مهارات العاملين وتعزيز التواصل والابتكار التنظيمي، ويُقاس بأبعاده الأربعة (أتمتة المهام وتوليد المحتوى، دعم اتخاذ القرار والتحليل الذكي، تطوير المهارات والتعلم التنظيمي، تعزيز التواصل والابتكار التنظيمي) من خلال استجابات أفراد العينة على فقرات الاستبانة المعدّة لهذا الغرض</w:t>
      </w:r>
      <w:r w:rsidRPr="00642250">
        <w:rPr>
          <w:rFonts w:ascii="Traditional Arabic" w:hAnsi="Traditional Arabic" w:cs="Traditional Arabic"/>
          <w:sz w:val="32"/>
          <w:szCs w:val="32"/>
        </w:rPr>
        <w:t>.</w:t>
      </w:r>
    </w:p>
    <w:p w14:paraId="086B6D49" w14:textId="77777777" w:rsidR="00642250" w:rsidRDefault="00642250" w:rsidP="00642250">
      <w:pPr>
        <w:spacing w:line="276" w:lineRule="auto"/>
        <w:jc w:val="both"/>
        <w:rPr>
          <w:rFonts w:ascii="Traditional Arabic" w:hAnsi="Traditional Arabic" w:cs="Traditional Arabic"/>
          <w:b/>
          <w:bCs/>
          <w:sz w:val="32"/>
          <w:szCs w:val="32"/>
        </w:rPr>
      </w:pPr>
    </w:p>
    <w:p w14:paraId="7A8BBFE9" w14:textId="3453A847"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lastRenderedPageBreak/>
        <w:t>أتمتة المهام وتوليد المحتوى</w:t>
      </w:r>
      <w:r w:rsidRPr="00642250">
        <w:rPr>
          <w:rFonts w:ascii="Traditional Arabic" w:hAnsi="Traditional Arabic" w:cs="Traditional Arabic"/>
          <w:b/>
          <w:bCs/>
          <w:sz w:val="32"/>
          <w:szCs w:val="32"/>
        </w:rPr>
        <w:t xml:space="preserve"> (Task Automation and Content Generation)</w:t>
      </w:r>
    </w:p>
    <w:p w14:paraId="5E4E386B"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"القدرة على تنفيذ المهام الروتينية والمتكررة بشكل آلي وإنتاج المحتوى الرقمي بمختلف أشكاله من خلال خوارزميات الذكاء الاصطناعي التوليدي، بما يُسهم في تقليل الجهد البشري وتسريع إنجاز الأعمال</w:t>
      </w:r>
      <w:r w:rsidRPr="00642250">
        <w:rPr>
          <w:rFonts w:ascii="Traditional Arabic" w:hAnsi="Traditional Arabic" w:cs="Traditional Arabic"/>
          <w:sz w:val="32"/>
          <w:szCs w:val="32"/>
        </w:rPr>
        <w:t>" (Rayhan, 2024, p. 5).</w:t>
      </w:r>
    </w:p>
    <w:p w14:paraId="79D7401A"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استخدام المؤسسات الحكومية السعودية لتقنيات الذكاء الاصطناعي التوليدي في أتمتة المهام الروتينية وتوليد المحتوى الرقمي</w:t>
      </w:r>
      <w:r w:rsidRPr="00642250">
        <w:rPr>
          <w:rFonts w:ascii="Traditional Arabic" w:hAnsi="Traditional Arabic" w:cs="Traditional Arabic"/>
          <w:sz w:val="32"/>
          <w:szCs w:val="32"/>
        </w:rPr>
        <w:t>.</w:t>
      </w:r>
    </w:p>
    <w:p w14:paraId="51C3207A" w14:textId="1C4C338F"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دعم اتخاذ القرار والتحليل الذكي</w:t>
      </w:r>
      <w:r w:rsidRPr="00642250">
        <w:rPr>
          <w:rFonts w:ascii="Traditional Arabic" w:hAnsi="Traditional Arabic" w:cs="Traditional Arabic"/>
          <w:b/>
          <w:bCs/>
          <w:sz w:val="32"/>
          <w:szCs w:val="32"/>
        </w:rPr>
        <w:t xml:space="preserve"> (Decision Support and Smart Analytics)</w:t>
      </w:r>
    </w:p>
    <w:p w14:paraId="45C1CC0D" w14:textId="0DEF2B09"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"قدرة تطبيقات الذكاء الاصطناعي التوليدي على تحليل البيانات الضخمة واستخلاص الرؤى الذكية وتقديم توصيات تدعم متخذي القرار في المستويات الإدارية المختلفة</w:t>
      </w:r>
      <w:r w:rsidRPr="00642250">
        <w:rPr>
          <w:rFonts w:ascii="Traditional Arabic" w:hAnsi="Traditional Arabic" w:cs="Traditional Arabic"/>
          <w:sz w:val="32"/>
          <w:szCs w:val="32"/>
        </w:rPr>
        <w:t>" (Chowdhury et al.,  2024, p. 1683).</w:t>
      </w:r>
    </w:p>
    <w:p w14:paraId="36BDDF7F"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توظيف المؤسسات الحكومية السعودية لتقنيات الذكاء الاصطناعي التوليدي في تحليل البيانات ودعم اتخاذ القرارات التشغيلية والاستراتيجية</w:t>
      </w:r>
      <w:r w:rsidRPr="00642250">
        <w:rPr>
          <w:rFonts w:ascii="Traditional Arabic" w:hAnsi="Traditional Arabic" w:cs="Traditional Arabic"/>
          <w:sz w:val="32"/>
          <w:szCs w:val="32"/>
        </w:rPr>
        <w:t>.</w:t>
      </w:r>
    </w:p>
    <w:p w14:paraId="2D33DDA2" w14:textId="1EB8C2DF"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تطوير المهارات والتعلم التنظيمي</w:t>
      </w:r>
      <w:r w:rsidRPr="00642250">
        <w:rPr>
          <w:rFonts w:ascii="Traditional Arabic" w:hAnsi="Traditional Arabic" w:cs="Traditional Arabic"/>
          <w:b/>
          <w:bCs/>
          <w:sz w:val="32"/>
          <w:szCs w:val="32"/>
        </w:rPr>
        <w:t xml:space="preserve"> (Skills Development and Organizational Learning)</w:t>
      </w:r>
    </w:p>
    <w:p w14:paraId="39CA692B" w14:textId="25622E45"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"العملية المنهجية التي توظف من خلالها المنظمات تطبيقات الذكاء الاصطناعي التوليدي في تنمية المهارات الرقمية والإبداعية للعاملين وتعزيز كفاءتهم الذاتية التقنية ومرونتهم المعرفية" (الغامدي، 2025، ص 45)</w:t>
      </w:r>
      <w:r w:rsidRPr="00642250">
        <w:rPr>
          <w:rFonts w:ascii="Traditional Arabic" w:hAnsi="Traditional Arabic" w:cs="Traditional Arabic"/>
          <w:sz w:val="32"/>
          <w:szCs w:val="32"/>
        </w:rPr>
        <w:t>.</w:t>
      </w:r>
    </w:p>
    <w:p w14:paraId="25315DE1"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إسهام تقنيات الذكاء الاصطناعي التوليدي في تطوير مهارات العاملين وتعزيز التعلم التنظيمي في المؤسسات الحكومية السعودية</w:t>
      </w:r>
      <w:r w:rsidRPr="00642250">
        <w:rPr>
          <w:rFonts w:ascii="Traditional Arabic" w:hAnsi="Traditional Arabic" w:cs="Traditional Arabic"/>
          <w:sz w:val="32"/>
          <w:szCs w:val="32"/>
        </w:rPr>
        <w:t>.</w:t>
      </w:r>
    </w:p>
    <w:p w14:paraId="71EB509C" w14:textId="4295E149"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lastRenderedPageBreak/>
        <w:t>تعزيز التواصل والابتكار التنظيمي</w:t>
      </w:r>
      <w:r w:rsidRPr="00642250">
        <w:rPr>
          <w:rFonts w:ascii="Traditional Arabic" w:hAnsi="Traditional Arabic" w:cs="Traditional Arabic"/>
          <w:b/>
          <w:bCs/>
          <w:sz w:val="32"/>
          <w:szCs w:val="32"/>
        </w:rPr>
        <w:t xml:space="preserve"> (Communication Enhancement and Organizational Innovation)</w:t>
      </w:r>
    </w:p>
    <w:p w14:paraId="6B8062A3"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"الدور الذي تؤديه تطبيقات الذكاء الاصطناعي التوليدي في تحسين قنوات التواصل الداخلي والخارجي للمنظمة وتعزيز قدراتها الابتكارية من خلال توليد الأفكار الجديدة ودعم العمليات الإبداعية</w:t>
      </w:r>
      <w:r w:rsidRPr="00642250">
        <w:rPr>
          <w:rFonts w:ascii="Traditional Arabic" w:hAnsi="Traditional Arabic" w:cs="Traditional Arabic"/>
          <w:sz w:val="32"/>
          <w:szCs w:val="32"/>
        </w:rPr>
        <w:t>" (Rane, 2023, p. 8).</w:t>
      </w:r>
    </w:p>
    <w:p w14:paraId="3754EBB2"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إسهام تقنيات الذكاء الاصطناعي التوليدي في تعزيز التواصل والابتكار التنظيمي في المؤسسات الحكومية السعودية</w:t>
      </w:r>
      <w:r w:rsidRPr="00642250">
        <w:rPr>
          <w:rFonts w:ascii="Traditional Arabic" w:hAnsi="Traditional Arabic" w:cs="Traditional Arabic"/>
          <w:sz w:val="32"/>
          <w:szCs w:val="32"/>
        </w:rPr>
        <w:t>.</w:t>
      </w:r>
    </w:p>
    <w:p w14:paraId="4FE2D578" w14:textId="0AF08DA8"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بيئة العمل الحديثة</w:t>
      </w:r>
      <w:r w:rsidRPr="00642250">
        <w:rPr>
          <w:rFonts w:ascii="Traditional Arabic" w:hAnsi="Traditional Arabic" w:cs="Traditional Arabic"/>
          <w:b/>
          <w:bCs/>
          <w:sz w:val="32"/>
          <w:szCs w:val="32"/>
        </w:rPr>
        <w:t xml:space="preserve"> (Modern Work Environment)</w:t>
      </w:r>
    </w:p>
    <w:p w14:paraId="4C243336" w14:textId="72A2FBE6"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تُعرَّف بأنها "المنظومة المتكاملة من العناصر المادية والتكنولوجية والتنظيمية والثقافية والإنسانية التي تحيط بالعاملين في المنظمات المعاصرة، وتتشكل في ضوء التحولات الرقمية والعولمة وتغير توقعات الموظفين، بما ينعكس على أدائهم ورفاهيتهم وانتمائهم المؤسسي</w:t>
      </w:r>
      <w:r w:rsidRPr="00642250">
        <w:rPr>
          <w:rFonts w:ascii="Traditional Arabic" w:hAnsi="Traditional Arabic" w:cs="Traditional Arabic"/>
          <w:sz w:val="32"/>
          <w:szCs w:val="32"/>
        </w:rPr>
        <w:t xml:space="preserve"> (Mangarella et al.,  p. 139).</w:t>
      </w:r>
    </w:p>
    <w:p w14:paraId="23CD778F"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يُعرّفها الباحث إجرائياً بأنها: الدرجة التي يحصل عليها المستجيب من خلال إجابته على فقرات محور بيئة العمل الحديثة في استبانة الدراسة، والتي تقيس واقع بيئة العمل في المؤسسات الحكومية السعودية في ضوء التحولات الراهنة المرتبطة بالتحول الرقمي وتوظيف تقنيات الذكاء الاصطناعي التوليدي</w:t>
      </w:r>
      <w:r w:rsidRPr="00642250">
        <w:rPr>
          <w:rFonts w:ascii="Traditional Arabic" w:hAnsi="Traditional Arabic" w:cs="Traditional Arabic"/>
          <w:sz w:val="32"/>
          <w:szCs w:val="32"/>
        </w:rPr>
        <w:t>.</w:t>
      </w:r>
    </w:p>
    <w:p w14:paraId="64199120" w14:textId="521E7D11" w:rsidR="000E0033" w:rsidRPr="00193FA4" w:rsidRDefault="000E0033" w:rsidP="00D325E6">
      <w:pPr>
        <w:pStyle w:val="Heading1"/>
        <w:rPr>
          <w:rtl/>
        </w:rPr>
      </w:pPr>
      <w:bookmarkStart w:id="9" w:name="_Toc233382406"/>
      <w:r w:rsidRPr="00193FA4">
        <w:rPr>
          <w:rFonts w:hint="cs"/>
          <w:rtl/>
        </w:rPr>
        <w:t xml:space="preserve">منهج </w:t>
      </w:r>
      <w:r w:rsidR="00D439AC" w:rsidRPr="00193FA4">
        <w:rPr>
          <w:rFonts w:hint="cs"/>
          <w:rtl/>
        </w:rPr>
        <w:t xml:space="preserve">الدراسة </w:t>
      </w:r>
      <w:r w:rsidRPr="00193FA4">
        <w:rPr>
          <w:rFonts w:hint="cs"/>
          <w:rtl/>
        </w:rPr>
        <w:t>:</w:t>
      </w:r>
      <w:bookmarkEnd w:id="9"/>
    </w:p>
    <w:p w14:paraId="64B45672" w14:textId="77777777" w:rsidR="00642250" w:rsidRPr="00642250" w:rsidRDefault="00110881" w:rsidP="00642250">
      <w:pPr>
        <w:ind w:firstLine="720"/>
        <w:jc w:val="both"/>
        <w:rPr>
          <w:rFonts w:ascii="Traditional Arabic" w:hAnsi="Traditional Arabic" w:cs="Traditional Arabic"/>
          <w:sz w:val="32"/>
          <w:szCs w:val="32"/>
        </w:rPr>
      </w:pPr>
      <w:r w:rsidRPr="00110881">
        <w:rPr>
          <w:rFonts w:ascii="Traditional Arabic" w:hAnsi="Traditional Arabic" w:cs="Traditional Arabic"/>
          <w:sz w:val="32"/>
          <w:szCs w:val="32"/>
        </w:rPr>
        <w:t> </w:t>
      </w:r>
      <w:r w:rsidR="00642250" w:rsidRPr="00642250">
        <w:rPr>
          <w:rFonts w:ascii="Traditional Arabic" w:hAnsi="Traditional Arabic" w:cs="Traditional Arabic"/>
          <w:sz w:val="32"/>
          <w:szCs w:val="32"/>
          <w:rtl/>
        </w:rPr>
        <w:t xml:space="preserve">سوف يعتمد الباحث في الدراسة الحالية على </w:t>
      </w:r>
      <w:r w:rsidR="00642250" w:rsidRPr="00642250">
        <w:rPr>
          <w:rFonts w:ascii="Traditional Arabic" w:hAnsi="Traditional Arabic" w:cs="Traditional Arabic"/>
          <w:b/>
          <w:bCs/>
          <w:sz w:val="32"/>
          <w:szCs w:val="32"/>
          <w:rtl/>
        </w:rPr>
        <w:t>المنهج الوصفي التحليلي</w:t>
      </w:r>
      <w:r w:rsidR="00642250" w:rsidRPr="00642250">
        <w:rPr>
          <w:rFonts w:ascii="Traditional Arabic" w:hAnsi="Traditional Arabic" w:cs="Traditional Arabic"/>
          <w:sz w:val="32"/>
          <w:szCs w:val="32"/>
          <w:rtl/>
        </w:rPr>
        <w:t xml:space="preserve"> بوصفه المنهج الأنسب لطبيعة الدراسة وأهدافها، حيث يقوم هذا المنهج على وصف الظاهرة موضوع الدراسة وصفاً دقيقاً، وجمع البيانات والمعلومات المتعلقة بها، وتحليلها تحليلاً علمياً منظماً للوصول إلى استنتاجات يمكن تعميمها على مجتمع الدراسة. وسوف يتم توظيف هذا المنهج في الإطار النظري من خلال مراجعة الأدبيات والدراسات السابقة ذات الصلة بمتغيرات الدراسة، وفي الإطار الميداني من خلال جمع البيانات الأولية من أفراد عينة الدراسة باستخدام الاستبانة بوصفها الأداة الرئيسية لجمع البيانات</w:t>
      </w:r>
      <w:r w:rsidR="00642250" w:rsidRPr="00642250">
        <w:rPr>
          <w:rFonts w:ascii="Traditional Arabic" w:hAnsi="Traditional Arabic" w:cs="Traditional Arabic"/>
          <w:sz w:val="32"/>
          <w:szCs w:val="32"/>
        </w:rPr>
        <w:t>.</w:t>
      </w:r>
    </w:p>
    <w:p w14:paraId="7565442E"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sz w:val="32"/>
          <w:szCs w:val="32"/>
          <w:rtl/>
        </w:rPr>
        <w:lastRenderedPageBreak/>
        <w:t>كما سوف يتم الاستعانة بالأسلوب الإحصائي في تحليل البيانات الميدانية باستخدام برنامج الحزمة الإحصائية للعلوم الاجتماعية</w:t>
      </w:r>
      <w:r w:rsidRPr="00642250">
        <w:rPr>
          <w:rFonts w:ascii="Traditional Arabic" w:hAnsi="Traditional Arabic" w:cs="Traditional Arabic"/>
          <w:sz w:val="32"/>
          <w:szCs w:val="32"/>
        </w:rPr>
        <w:t xml:space="preserve"> (SPSS)</w:t>
      </w:r>
      <w:r w:rsidRPr="00642250">
        <w:rPr>
          <w:rFonts w:ascii="Traditional Arabic" w:hAnsi="Traditional Arabic" w:cs="Traditional Arabic"/>
          <w:sz w:val="32"/>
          <w:szCs w:val="32"/>
          <w:rtl/>
        </w:rPr>
        <w:t>، وذلك للوصول إلى نتائج دقيقة تُجيب عن تساؤلات الدراسة وتختبر فروضها، ومن ثم صياغة التوصيات والمقترحات في ضوء النتائج التي سيتم التوصل إليها</w:t>
      </w:r>
      <w:r w:rsidRPr="00642250">
        <w:rPr>
          <w:rFonts w:ascii="Traditional Arabic" w:hAnsi="Traditional Arabic" w:cs="Traditional Arabic"/>
          <w:sz w:val="32"/>
          <w:szCs w:val="32"/>
        </w:rPr>
        <w:t>.</w:t>
      </w:r>
    </w:p>
    <w:p w14:paraId="1C9FCAA2" w14:textId="77777777" w:rsidR="00EE20A1" w:rsidRPr="00EE20A1" w:rsidRDefault="00EE20A1" w:rsidP="00EE20A1">
      <w:pPr>
        <w:pStyle w:val="Heading1"/>
      </w:pPr>
      <w:bookmarkStart w:id="10" w:name="_Toc233382407"/>
      <w:r w:rsidRPr="00EE20A1">
        <w:rPr>
          <w:rtl/>
        </w:rPr>
        <w:t>مجتمع وعينة الدراسة</w:t>
      </w:r>
      <w:bookmarkEnd w:id="10"/>
    </w:p>
    <w:p w14:paraId="497B3488"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sz w:val="32"/>
          <w:szCs w:val="32"/>
          <w:rtl/>
        </w:rPr>
        <w:t xml:space="preserve">سوف يتكون </w:t>
      </w:r>
      <w:r w:rsidRPr="00642250">
        <w:rPr>
          <w:rFonts w:ascii="Traditional Arabic" w:hAnsi="Traditional Arabic" w:cs="Traditional Arabic"/>
          <w:b/>
          <w:bCs/>
          <w:sz w:val="32"/>
          <w:szCs w:val="32"/>
          <w:rtl/>
        </w:rPr>
        <w:t>مجتمع الدراسة</w:t>
      </w:r>
      <w:r w:rsidRPr="00642250">
        <w:rPr>
          <w:rFonts w:ascii="Traditional Arabic" w:hAnsi="Traditional Arabic" w:cs="Traditional Arabic"/>
          <w:sz w:val="32"/>
          <w:szCs w:val="32"/>
          <w:rtl/>
        </w:rPr>
        <w:t xml:space="preserve"> من جميع العاملين في المؤسسات الحكومية بالمملكة العربية السعودية على اختلاف مستوياتهم الإدارية وتخصصاتهم الوظيفية، حيث تُشير إحصائيات وزارة الموارد البشرية والتنمية الاجتماعية إلى أن إجمالي عدد العاملين في القطاع الحكومي السعودي يتجاوز (1.2 مليون) موظف وموظفة، يتوزعون على مختلف الوزارات والهيئات والجهات الحكومية في المملكة. ونظراً لكِبَر حجم مجتمع الدراسة وصعوبة حصره بالكامل، سوف يلجأ الباحث إلى أسلوب العينة في جمع البيانات</w:t>
      </w:r>
      <w:r w:rsidRPr="00642250">
        <w:rPr>
          <w:rFonts w:ascii="Traditional Arabic" w:hAnsi="Traditional Arabic" w:cs="Traditional Arabic"/>
          <w:sz w:val="32"/>
          <w:szCs w:val="32"/>
        </w:rPr>
        <w:t>.</w:t>
      </w:r>
    </w:p>
    <w:p w14:paraId="169B1163"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sz w:val="32"/>
          <w:szCs w:val="32"/>
          <w:rtl/>
        </w:rPr>
        <w:t xml:space="preserve">وسوف يتم اختيار </w:t>
      </w:r>
      <w:r w:rsidRPr="00642250">
        <w:rPr>
          <w:rFonts w:ascii="Traditional Arabic" w:hAnsi="Traditional Arabic" w:cs="Traditional Arabic"/>
          <w:b/>
          <w:bCs/>
          <w:sz w:val="32"/>
          <w:szCs w:val="32"/>
          <w:rtl/>
        </w:rPr>
        <w:t>عينة الدراسة</w:t>
      </w:r>
      <w:r w:rsidRPr="00642250">
        <w:rPr>
          <w:rFonts w:ascii="Traditional Arabic" w:hAnsi="Traditional Arabic" w:cs="Traditional Arabic"/>
          <w:sz w:val="32"/>
          <w:szCs w:val="32"/>
          <w:rtl/>
        </w:rPr>
        <w:t xml:space="preserve"> بأسلوب العينة العشوائية الميسّرة، وقد تم تحديد حجم العينة وفقاً لمعادلة </w:t>
      </w:r>
      <w:r w:rsidRPr="00642250">
        <w:rPr>
          <w:rFonts w:ascii="Traditional Arabic" w:hAnsi="Traditional Arabic" w:cs="Traditional Arabic"/>
          <w:sz w:val="32"/>
          <w:szCs w:val="32"/>
        </w:rPr>
        <w:t xml:space="preserve">Steven Thompson </w:t>
      </w:r>
      <w:r w:rsidRPr="00642250">
        <w:rPr>
          <w:rFonts w:ascii="Traditional Arabic" w:hAnsi="Traditional Arabic" w:cs="Traditional Arabic"/>
          <w:sz w:val="32"/>
          <w:szCs w:val="32"/>
          <w:rtl/>
        </w:rPr>
        <w:t>لتحديد حجم العينة عند مستوى ثقة (95%) وهامش خطأ</w:t>
      </w:r>
      <w:r w:rsidRPr="00642250">
        <w:rPr>
          <w:rFonts w:ascii="Traditional Arabic" w:hAnsi="Traditional Arabic" w:cs="Traditional Arabic"/>
          <w:sz w:val="32"/>
          <w:szCs w:val="32"/>
        </w:rPr>
        <w:t xml:space="preserve"> (5%)</w:t>
      </w:r>
      <w:r w:rsidRPr="00642250">
        <w:rPr>
          <w:rFonts w:ascii="Traditional Arabic" w:hAnsi="Traditional Arabic" w:cs="Traditional Arabic"/>
          <w:sz w:val="32"/>
          <w:szCs w:val="32"/>
          <w:rtl/>
        </w:rPr>
        <w:t>، حيث بلغ حجم العينة المستهدفة (385) مفردة من العاملين في المؤسسات الحكومية السعودية. وسوف يتم توزيع الاستبانة إلكترونياً على أفراد العينة، ومن ثم استرداد الاستبانات الصالحة للتحليل الإحصائي وفق المعايير العلمية المعتمدة، مع مراعاة التنوع في خصائص العينة من حيث الجنس والعمر والمؤهل العلمي وسنوات الخبرة والمسمى الوظيفي</w:t>
      </w:r>
      <w:r w:rsidRPr="00642250">
        <w:rPr>
          <w:rFonts w:ascii="Traditional Arabic" w:hAnsi="Traditional Arabic" w:cs="Traditional Arabic"/>
          <w:sz w:val="32"/>
          <w:szCs w:val="32"/>
        </w:rPr>
        <w:t>.</w:t>
      </w:r>
    </w:p>
    <w:p w14:paraId="349B92BE" w14:textId="77777777" w:rsidR="00EE20A1" w:rsidRPr="00EE20A1" w:rsidRDefault="00EE20A1" w:rsidP="00EE20A1">
      <w:pPr>
        <w:pStyle w:val="Heading1"/>
      </w:pPr>
      <w:bookmarkStart w:id="11" w:name="_Toc233382408"/>
      <w:r w:rsidRPr="00EE20A1">
        <w:rPr>
          <w:rtl/>
        </w:rPr>
        <w:t>مصادر جمع البيانات</w:t>
      </w:r>
      <w:bookmarkEnd w:id="11"/>
    </w:p>
    <w:p w14:paraId="5FA6CAA1"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sz w:val="32"/>
          <w:szCs w:val="32"/>
          <w:rtl/>
        </w:rPr>
        <w:t>سوف يعتمد الباحث في جمع بيانات الدراسة على مصدرين رئيسيين، هما</w:t>
      </w:r>
      <w:r w:rsidRPr="00642250">
        <w:rPr>
          <w:rFonts w:ascii="Traditional Arabic" w:hAnsi="Traditional Arabic" w:cs="Traditional Arabic"/>
          <w:sz w:val="32"/>
          <w:szCs w:val="32"/>
        </w:rPr>
        <w:t>:</w:t>
      </w:r>
    </w:p>
    <w:p w14:paraId="1CB85F8D"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المصادر الثانوية</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وتشمل الكتب والمراجع العلمية والدوريات المحكمة والرسائل الجامعية والأبحاث المنشورة والتقارير الرسمية وقواعد البيانات الإلكترونية ذات الصلة بمتغيرات الدراسة، وذلك لبناء الإطار النظري للدراسة وصياغة فروضها وتساؤلاتها</w:t>
      </w:r>
      <w:r w:rsidRPr="00642250">
        <w:rPr>
          <w:rFonts w:ascii="Traditional Arabic" w:hAnsi="Traditional Arabic" w:cs="Traditional Arabic"/>
          <w:sz w:val="32"/>
          <w:szCs w:val="32"/>
        </w:rPr>
        <w:t>.</w:t>
      </w:r>
    </w:p>
    <w:p w14:paraId="68366EA0"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المصادر الأولية</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وتتمثل في البيانات الميدانية التي سوف يتم جمعها من أفراد عينة الدراسة باستخدام الاستبانة بوصفها الأداة الرئيسية لجمع البيانات الأولية المتعلقة بمتغيرات الدراسة</w:t>
      </w:r>
      <w:r w:rsidRPr="00642250">
        <w:rPr>
          <w:rFonts w:ascii="Traditional Arabic" w:hAnsi="Traditional Arabic" w:cs="Traditional Arabic"/>
          <w:sz w:val="32"/>
          <w:szCs w:val="32"/>
        </w:rPr>
        <w:t>.</w:t>
      </w:r>
    </w:p>
    <w:p w14:paraId="652BDD1C" w14:textId="11457916" w:rsidR="00D439AC" w:rsidRPr="00193FA4" w:rsidRDefault="00D439AC" w:rsidP="00D325E6">
      <w:pPr>
        <w:pStyle w:val="Heading1"/>
        <w:rPr>
          <w:rtl/>
        </w:rPr>
      </w:pPr>
      <w:bookmarkStart w:id="12" w:name="_Toc233382409"/>
      <w:r w:rsidRPr="00193FA4">
        <w:rPr>
          <w:rFonts w:hint="cs"/>
          <w:rtl/>
        </w:rPr>
        <w:lastRenderedPageBreak/>
        <w:t>أداة الدراسة</w:t>
      </w:r>
      <w:bookmarkEnd w:id="12"/>
      <w:r w:rsidRPr="00193FA4">
        <w:rPr>
          <w:rFonts w:hint="cs"/>
          <w:rtl/>
        </w:rPr>
        <w:t xml:space="preserve"> </w:t>
      </w:r>
    </w:p>
    <w:p w14:paraId="6A9EBBA5"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سوف يقوم الباحث ببناء استبانة الدراسة استناداً إلى الإطار النظري والدراسات السابقة ذات الصلة بمتغيرات الدراسة، وسوف تتكون الاستبانة من ثلاثة أقسام رئيسية على النحو التالي</w:t>
      </w:r>
      <w:r w:rsidRPr="00642250">
        <w:rPr>
          <w:rFonts w:ascii="Traditional Arabic" w:hAnsi="Traditional Arabic" w:cs="Traditional Arabic"/>
          <w:sz w:val="32"/>
          <w:szCs w:val="32"/>
        </w:rPr>
        <w:t>:</w:t>
      </w:r>
    </w:p>
    <w:p w14:paraId="66919C2E"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القسم الأول</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البيانات الديموغرافية لأفراد عينة الدراسة، وتشمل (الجنس، العمر، المؤهل العلمي، سنوات الخبرة، المسمى الوظيفي)</w:t>
      </w:r>
      <w:r w:rsidRPr="00642250">
        <w:rPr>
          <w:rFonts w:ascii="Traditional Arabic" w:hAnsi="Traditional Arabic" w:cs="Traditional Arabic"/>
          <w:sz w:val="32"/>
          <w:szCs w:val="32"/>
        </w:rPr>
        <w:t>.</w:t>
      </w:r>
    </w:p>
    <w:p w14:paraId="7B21787C"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القسم الثاني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المتغير المستقل (الذكاء الاصطناعي التوليدي)، ويتكون من أربعة أبعاد رئيسية على النحو التالي</w:t>
      </w:r>
      <w:r w:rsidRPr="00642250">
        <w:rPr>
          <w:rFonts w:ascii="Traditional Arabic" w:hAnsi="Traditional Arabic" w:cs="Traditional Arabic"/>
          <w:sz w:val="32"/>
          <w:szCs w:val="32"/>
        </w:rPr>
        <w:t>:</w:t>
      </w:r>
    </w:p>
    <w:p w14:paraId="4E181CD7"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الأول: أتمتة المهام وتوليد المحتوى، ويتكون من (4) فقرات</w:t>
      </w:r>
      <w:r w:rsidRPr="00642250">
        <w:rPr>
          <w:rFonts w:ascii="Traditional Arabic" w:hAnsi="Traditional Arabic" w:cs="Traditional Arabic"/>
          <w:sz w:val="32"/>
          <w:szCs w:val="32"/>
        </w:rPr>
        <w:t>.</w:t>
      </w:r>
    </w:p>
    <w:p w14:paraId="0E173E3F"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الثاني: دعم اتخاذ القرار والتحليل الذكي، ويتكون من (4) فقرات</w:t>
      </w:r>
      <w:r w:rsidRPr="00642250">
        <w:rPr>
          <w:rFonts w:ascii="Traditional Arabic" w:hAnsi="Traditional Arabic" w:cs="Traditional Arabic"/>
          <w:sz w:val="32"/>
          <w:szCs w:val="32"/>
        </w:rPr>
        <w:t>.</w:t>
      </w:r>
    </w:p>
    <w:p w14:paraId="2CBBBE12"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الثالث: تطوير المهارات والتعلم التنظيمي، ويتكون من (4) فقرات</w:t>
      </w:r>
      <w:r w:rsidRPr="00642250">
        <w:rPr>
          <w:rFonts w:ascii="Traditional Arabic" w:hAnsi="Traditional Arabic" w:cs="Traditional Arabic"/>
          <w:sz w:val="32"/>
          <w:szCs w:val="32"/>
        </w:rPr>
        <w:t>.</w:t>
      </w:r>
    </w:p>
    <w:p w14:paraId="39778172"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الرابع: تعزيز التواصل والابتكار التنظيمي، ويتكون من (4) فقرات</w:t>
      </w:r>
      <w:r w:rsidRPr="00642250">
        <w:rPr>
          <w:rFonts w:ascii="Traditional Arabic" w:hAnsi="Traditional Arabic" w:cs="Traditional Arabic"/>
          <w:sz w:val="32"/>
          <w:szCs w:val="32"/>
        </w:rPr>
        <w:t>.</w:t>
      </w:r>
    </w:p>
    <w:p w14:paraId="38ADC223"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وبذلك يكون إجمالي عدد فقرات المتغير المستقل (16) فقرة</w:t>
      </w:r>
      <w:r w:rsidRPr="00642250">
        <w:rPr>
          <w:rFonts w:ascii="Traditional Arabic" w:hAnsi="Traditional Arabic" w:cs="Traditional Arabic"/>
          <w:sz w:val="32"/>
          <w:szCs w:val="32"/>
        </w:rPr>
        <w:t>.</w:t>
      </w:r>
    </w:p>
    <w:p w14:paraId="7CFD9CBE"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القسم الثالث</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المتغير التابع (بيئة العمل الحديثة)، وهو محور أحادي يتكون من (10) فقرات تقيس واقع بيئة العمل الحديثة في المؤسسات الحكومية السعودية</w:t>
      </w:r>
      <w:r w:rsidRPr="00642250">
        <w:rPr>
          <w:rFonts w:ascii="Traditional Arabic" w:hAnsi="Traditional Arabic" w:cs="Traditional Arabic"/>
          <w:sz w:val="32"/>
          <w:szCs w:val="32"/>
        </w:rPr>
        <w:t>.</w:t>
      </w:r>
    </w:p>
    <w:p w14:paraId="287311AC"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 xml:space="preserve">وسوف يتم استخدام </w:t>
      </w:r>
      <w:r w:rsidRPr="00642250">
        <w:rPr>
          <w:rFonts w:ascii="Traditional Arabic" w:hAnsi="Traditional Arabic" w:cs="Traditional Arabic"/>
          <w:b/>
          <w:bCs/>
          <w:sz w:val="32"/>
          <w:szCs w:val="32"/>
          <w:rtl/>
        </w:rPr>
        <w:t>مقياس ليكرت الخماسي</w:t>
      </w:r>
      <w:r w:rsidRPr="00642250">
        <w:rPr>
          <w:rFonts w:ascii="Traditional Arabic" w:hAnsi="Traditional Arabic" w:cs="Traditional Arabic"/>
          <w:sz w:val="32"/>
          <w:szCs w:val="32"/>
          <w:rtl/>
        </w:rPr>
        <w:t xml:space="preserve"> </w:t>
      </w:r>
      <w:r w:rsidRPr="00642250">
        <w:rPr>
          <w:rFonts w:ascii="Traditional Arabic" w:hAnsi="Traditional Arabic" w:cs="Traditional Arabic"/>
          <w:sz w:val="32"/>
          <w:szCs w:val="32"/>
        </w:rPr>
        <w:t xml:space="preserve">(Likert Scale) </w:t>
      </w:r>
      <w:r w:rsidRPr="00642250">
        <w:rPr>
          <w:rFonts w:ascii="Traditional Arabic" w:hAnsi="Traditional Arabic" w:cs="Traditional Arabic"/>
          <w:sz w:val="32"/>
          <w:szCs w:val="32"/>
          <w:rtl/>
        </w:rPr>
        <w:t>لقياس استجابات أفراد العينة، بحيث تتدرج الاستجابات من (موافق بشدة = 5) إلى (غير موافق بشدة = 1)</w:t>
      </w:r>
      <w:r w:rsidRPr="00642250">
        <w:rPr>
          <w:rFonts w:ascii="Traditional Arabic" w:hAnsi="Traditional Arabic" w:cs="Traditional Arabic"/>
          <w:sz w:val="32"/>
          <w:szCs w:val="32"/>
        </w:rPr>
        <w:t>.</w:t>
      </w:r>
    </w:p>
    <w:p w14:paraId="0E66248D" w14:textId="4D30F27C" w:rsidR="000E0033" w:rsidRPr="00193FA4" w:rsidRDefault="000E0033" w:rsidP="00D325E6">
      <w:pPr>
        <w:pStyle w:val="Heading1"/>
        <w:rPr>
          <w:rtl/>
        </w:rPr>
      </w:pPr>
      <w:bookmarkStart w:id="13" w:name="_Toc233382410"/>
      <w:r w:rsidRPr="00193FA4">
        <w:rPr>
          <w:rFonts w:hint="cs"/>
          <w:rtl/>
        </w:rPr>
        <w:t>المعالجات الإحصائية المقترحة:</w:t>
      </w:r>
      <w:bookmarkEnd w:id="13"/>
    </w:p>
    <w:p w14:paraId="2BD1F2C4" w14:textId="77777777" w:rsidR="00642250" w:rsidRPr="00642250" w:rsidRDefault="00642250" w:rsidP="00642250">
      <w:pPr>
        <w:pStyle w:val="NormalWeb"/>
        <w:bidi/>
        <w:spacing w:line="276" w:lineRule="auto"/>
        <w:jc w:val="both"/>
        <w:rPr>
          <w:rFonts w:ascii="Traditional Arabic" w:hAnsi="Traditional Arabic" w:cs="Traditional Arabic"/>
          <w:sz w:val="32"/>
          <w:szCs w:val="32"/>
        </w:rPr>
      </w:pPr>
      <w:r w:rsidRPr="00642250">
        <w:rPr>
          <w:rFonts w:ascii="Traditional Arabic" w:hAnsi="Traditional Arabic" w:cs="Traditional Arabic" w:hint="cs"/>
          <w:sz w:val="32"/>
          <w:szCs w:val="32"/>
          <w:rtl/>
        </w:rPr>
        <w:t>سوف يستخدم الباحث في تحليل بيانات الدراسة برنامج الحزمة الإحصائية للعلوم الاجتماعية</w:t>
      </w:r>
      <w:r w:rsidRPr="00642250">
        <w:rPr>
          <w:rFonts w:ascii="Traditional Arabic" w:hAnsi="Traditional Arabic" w:cs="Traditional Arabic" w:hint="cs"/>
          <w:sz w:val="32"/>
          <w:szCs w:val="32"/>
        </w:rPr>
        <w:t xml:space="preserve"> (SPSS)</w:t>
      </w:r>
      <w:r w:rsidRPr="00642250">
        <w:rPr>
          <w:rFonts w:ascii="Traditional Arabic" w:hAnsi="Traditional Arabic" w:cs="Traditional Arabic" w:hint="cs"/>
          <w:sz w:val="32"/>
          <w:szCs w:val="32"/>
          <w:rtl/>
        </w:rPr>
        <w:t>، وذلك من خلال توظيف مجموعة من الأساليب الإحصائية المناسبة لطبيعة الدراسة وفروضها، وتشمل ما يلي</w:t>
      </w:r>
      <w:r w:rsidRPr="00642250">
        <w:rPr>
          <w:rFonts w:ascii="Traditional Arabic" w:hAnsi="Traditional Arabic" w:cs="Traditional Arabic" w:hint="cs"/>
          <w:sz w:val="32"/>
          <w:szCs w:val="32"/>
        </w:rPr>
        <w:t>:</w:t>
      </w:r>
    </w:p>
    <w:p w14:paraId="305B0632"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التكرارات والنسب المئوية</w:t>
      </w:r>
      <w:r w:rsidRPr="00642250">
        <w:rPr>
          <w:rFonts w:ascii="Traditional Arabic" w:hAnsi="Traditional Arabic" w:cs="Traditional Arabic" w:hint="cs"/>
          <w:sz w:val="32"/>
          <w:szCs w:val="32"/>
          <w:rtl/>
        </w:rPr>
        <w:t xml:space="preserve"> لوصف خصائص عينة الدراسة الديموغرافية</w:t>
      </w:r>
      <w:r w:rsidRPr="00642250">
        <w:rPr>
          <w:rFonts w:ascii="Traditional Arabic" w:hAnsi="Traditional Arabic" w:cs="Traditional Arabic" w:hint="cs"/>
          <w:sz w:val="32"/>
          <w:szCs w:val="32"/>
        </w:rPr>
        <w:t>.</w:t>
      </w:r>
    </w:p>
    <w:p w14:paraId="2F098076"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المتوسطات الحسابية والانحرافات المعيارية</w:t>
      </w:r>
      <w:r w:rsidRPr="00642250">
        <w:rPr>
          <w:rFonts w:ascii="Traditional Arabic" w:hAnsi="Traditional Arabic" w:cs="Traditional Arabic" w:hint="cs"/>
          <w:sz w:val="32"/>
          <w:szCs w:val="32"/>
          <w:rtl/>
        </w:rPr>
        <w:t xml:space="preserve"> لتحديد مستوى استجابات أفراد العينة على فقرات الاستبانة</w:t>
      </w:r>
      <w:r w:rsidRPr="00642250">
        <w:rPr>
          <w:rFonts w:ascii="Traditional Arabic" w:hAnsi="Traditional Arabic" w:cs="Traditional Arabic" w:hint="cs"/>
          <w:sz w:val="32"/>
          <w:szCs w:val="32"/>
        </w:rPr>
        <w:t>.</w:t>
      </w:r>
    </w:p>
    <w:p w14:paraId="1A91EF9C"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lastRenderedPageBreak/>
        <w:t>معامل ألفا كرونباخ</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(Cronbach's Alpha) </w:t>
      </w:r>
      <w:r w:rsidRPr="00642250">
        <w:rPr>
          <w:rFonts w:ascii="Traditional Arabic" w:hAnsi="Traditional Arabic" w:cs="Traditional Arabic" w:hint="cs"/>
          <w:sz w:val="32"/>
          <w:szCs w:val="32"/>
          <w:rtl/>
        </w:rPr>
        <w:t>لقياس ثبات أداة الدراسة</w:t>
      </w:r>
      <w:r w:rsidRPr="00642250">
        <w:rPr>
          <w:rFonts w:ascii="Traditional Arabic" w:hAnsi="Traditional Arabic" w:cs="Traditional Arabic" w:hint="cs"/>
          <w:sz w:val="32"/>
          <w:szCs w:val="32"/>
        </w:rPr>
        <w:t>.</w:t>
      </w:r>
    </w:p>
    <w:p w14:paraId="6BA1E4BF"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معامل ارتباط بيرسون</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(Pearson Correlation) </w:t>
      </w:r>
      <w:r w:rsidRPr="00642250">
        <w:rPr>
          <w:rFonts w:ascii="Traditional Arabic" w:hAnsi="Traditional Arabic" w:cs="Traditional Arabic" w:hint="cs"/>
          <w:sz w:val="32"/>
          <w:szCs w:val="32"/>
          <w:rtl/>
        </w:rPr>
        <w:t>لقياس صدق الاتساق الداخلي للاستبانة والعلاقة بين متغيرات الدراسة</w:t>
      </w:r>
      <w:r w:rsidRPr="00642250">
        <w:rPr>
          <w:rFonts w:ascii="Traditional Arabic" w:hAnsi="Traditional Arabic" w:cs="Traditional Arabic" w:hint="cs"/>
          <w:sz w:val="32"/>
          <w:szCs w:val="32"/>
        </w:rPr>
        <w:t>.</w:t>
      </w:r>
    </w:p>
    <w:p w14:paraId="3CD1729E"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تحليل الانحدار الخطي البسيط والمتعدد</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(Simple and Multiple Regression Analysis) </w:t>
      </w:r>
      <w:r w:rsidRPr="00642250">
        <w:rPr>
          <w:rFonts w:ascii="Traditional Arabic" w:hAnsi="Traditional Arabic" w:cs="Traditional Arabic" w:hint="cs"/>
          <w:sz w:val="32"/>
          <w:szCs w:val="32"/>
          <w:rtl/>
        </w:rPr>
        <w:t>لاختبار فروض الدراسة المتعلقة بأثر المتغير المستقل بأبعاده على المتغير التابع</w:t>
      </w:r>
      <w:r w:rsidRPr="00642250">
        <w:rPr>
          <w:rFonts w:ascii="Traditional Arabic" w:hAnsi="Traditional Arabic" w:cs="Traditional Arabic" w:hint="cs"/>
          <w:sz w:val="32"/>
          <w:szCs w:val="32"/>
        </w:rPr>
        <w:t>.</w:t>
      </w:r>
    </w:p>
    <w:p w14:paraId="4A26DB5C"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اختبار</w:t>
      </w:r>
      <w:r w:rsidRPr="00642250">
        <w:rPr>
          <w:rStyle w:val="Strong"/>
          <w:rFonts w:ascii="Traditional Arabic" w:hAnsi="Traditional Arabic" w:cs="Traditional Arabic" w:hint="cs"/>
          <w:sz w:val="32"/>
          <w:szCs w:val="32"/>
        </w:rPr>
        <w:t xml:space="preserve"> (T-Test)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للعينات المستقلة للكشف عن الفروق في الاستجابات وفقاً للمتغيرات الديموغرافية ثنائية الفئات</w:t>
      </w:r>
      <w:r w:rsidRPr="00642250">
        <w:rPr>
          <w:rFonts w:ascii="Traditional Arabic" w:hAnsi="Traditional Arabic" w:cs="Traditional Arabic" w:hint="cs"/>
          <w:sz w:val="32"/>
          <w:szCs w:val="32"/>
        </w:rPr>
        <w:t>.</w:t>
      </w:r>
    </w:p>
    <w:p w14:paraId="4FBA2898"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تحليل التباين الأحادي</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(One-Way ANOVA) </w:t>
      </w:r>
      <w:r w:rsidRPr="00642250">
        <w:rPr>
          <w:rFonts w:ascii="Traditional Arabic" w:hAnsi="Traditional Arabic" w:cs="Traditional Arabic" w:hint="cs"/>
          <w:sz w:val="32"/>
          <w:szCs w:val="32"/>
          <w:rtl/>
        </w:rPr>
        <w:t>للكشف عن الفروق في الاستجابات وفقاً للمتغيرات الديموغرافية متعددة الفئات</w:t>
      </w:r>
      <w:r w:rsidRPr="00642250">
        <w:rPr>
          <w:rFonts w:ascii="Traditional Arabic" w:hAnsi="Traditional Arabic" w:cs="Traditional Arabic" w:hint="cs"/>
          <w:sz w:val="32"/>
          <w:szCs w:val="32"/>
        </w:rPr>
        <w:t>.</w:t>
      </w:r>
    </w:p>
    <w:p w14:paraId="33B436B2"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اختبار شيفيه</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(Scheffé Test) </w:t>
      </w:r>
      <w:r w:rsidRPr="00642250">
        <w:rPr>
          <w:rFonts w:ascii="Traditional Arabic" w:hAnsi="Traditional Arabic" w:cs="Traditional Arabic" w:hint="cs"/>
          <w:sz w:val="32"/>
          <w:szCs w:val="32"/>
          <w:rtl/>
        </w:rPr>
        <w:t>للمقارنات البعدية في حال وجود فروق ذات دلالة إحصائية</w:t>
      </w:r>
      <w:r w:rsidRPr="00642250">
        <w:rPr>
          <w:rFonts w:ascii="Traditional Arabic" w:hAnsi="Traditional Arabic" w:cs="Traditional Arabic" w:hint="cs"/>
          <w:sz w:val="32"/>
          <w:szCs w:val="32"/>
        </w:rPr>
        <w:t>.</w:t>
      </w:r>
    </w:p>
    <w:p w14:paraId="7B94BB6B" w14:textId="52A3FCAD" w:rsidR="000E0033" w:rsidRPr="00193FA4" w:rsidRDefault="000E0033" w:rsidP="00D325E6">
      <w:pPr>
        <w:pStyle w:val="Heading1"/>
        <w:rPr>
          <w:rtl/>
        </w:rPr>
      </w:pPr>
      <w:bookmarkStart w:id="14" w:name="_Toc233382411"/>
      <w:r w:rsidRPr="00193FA4">
        <w:rPr>
          <w:rFonts w:hint="cs"/>
          <w:rtl/>
        </w:rPr>
        <w:t xml:space="preserve">حدود </w:t>
      </w:r>
      <w:r w:rsidR="00D439AC" w:rsidRPr="00193FA4">
        <w:rPr>
          <w:rFonts w:hint="cs"/>
          <w:rtl/>
        </w:rPr>
        <w:t>الدراسة</w:t>
      </w:r>
      <w:bookmarkEnd w:id="14"/>
      <w:r w:rsidR="00D439AC" w:rsidRPr="00193FA4">
        <w:rPr>
          <w:rFonts w:hint="cs"/>
          <w:rtl/>
        </w:rPr>
        <w:t xml:space="preserve"> </w:t>
      </w:r>
    </w:p>
    <w:p w14:paraId="733B87E7"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Fonts w:ascii="Traditional Arabic" w:hAnsi="Traditional Arabic" w:cs="Traditional Arabic" w:hint="cs"/>
          <w:sz w:val="32"/>
          <w:szCs w:val="32"/>
          <w:rtl/>
        </w:rPr>
        <w:t>تلتزم الدراسة الحالية بمجموعة من الحدود التي تُحدد إطارها البحثي، وذلك على النحو التالي</w:t>
      </w:r>
      <w:r w:rsidRPr="00642250">
        <w:rPr>
          <w:rFonts w:ascii="Traditional Arabic" w:hAnsi="Traditional Arabic" w:cs="Traditional Arabic" w:hint="cs"/>
          <w:sz w:val="32"/>
          <w:szCs w:val="32"/>
        </w:rPr>
        <w:t>:</w:t>
      </w:r>
    </w:p>
    <w:p w14:paraId="4DD99A0F" w14:textId="0B78FA80"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الموضوعية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تقتصر الدراسة على بحث أثر الذكاء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w:t>
      </w:r>
      <w:r>
        <w:rPr>
          <w:rFonts w:ascii="Traditional Arabic" w:hAnsi="Traditional Arabic" w:cs="Traditional Arabic"/>
          <w:sz w:val="32"/>
          <w:szCs w:val="32"/>
        </w:rPr>
        <w:t>(</w:t>
      </w:r>
      <w:r w:rsidRPr="00642250">
        <w:rPr>
          <w:rFonts w:ascii="Traditional Arabic" w:hAnsi="Traditional Arabic" w:cs="Traditional Arabic" w:hint="cs"/>
          <w:sz w:val="32"/>
          <w:szCs w:val="32"/>
        </w:rPr>
        <w:t>.</w:t>
      </w:r>
    </w:p>
    <w:p w14:paraId="2FF81614"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المكانية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تقتصر الدراسة على المؤسسات الحكومية في المملكة العربية السعودية</w:t>
      </w:r>
      <w:r w:rsidRPr="00642250">
        <w:rPr>
          <w:rFonts w:ascii="Traditional Arabic" w:hAnsi="Traditional Arabic" w:cs="Traditional Arabic" w:hint="cs"/>
          <w:sz w:val="32"/>
          <w:szCs w:val="32"/>
        </w:rPr>
        <w:t>.</w:t>
      </w:r>
    </w:p>
    <w:p w14:paraId="5B73D4EE"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البشرية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تقتصر الدراسة على العاملين في المؤسسات الحكومية السعودية من مختلف المستويات الإدارية</w:t>
      </w:r>
      <w:r w:rsidRPr="00642250">
        <w:rPr>
          <w:rFonts w:ascii="Traditional Arabic" w:hAnsi="Traditional Arabic" w:cs="Traditional Arabic" w:hint="cs"/>
          <w:sz w:val="32"/>
          <w:szCs w:val="32"/>
        </w:rPr>
        <w:t>.</w:t>
      </w:r>
    </w:p>
    <w:p w14:paraId="05BC9C3C"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الزمانية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تُطبَّق الدراسة الميدانية خلال العام (2026م)</w:t>
      </w:r>
      <w:r w:rsidRPr="00642250">
        <w:rPr>
          <w:rFonts w:ascii="Traditional Arabic" w:hAnsi="Traditional Arabic" w:cs="Traditional Arabic" w:hint="cs"/>
          <w:sz w:val="32"/>
          <w:szCs w:val="32"/>
        </w:rPr>
        <w:t>.</w:t>
      </w:r>
    </w:p>
    <w:p w14:paraId="7C361C5B" w14:textId="4A0AC010" w:rsidR="00D8772F" w:rsidRPr="00193FA4" w:rsidRDefault="00D8772F" w:rsidP="00D325E6">
      <w:pPr>
        <w:pStyle w:val="Heading1"/>
        <w:rPr>
          <w:rtl/>
        </w:rPr>
      </w:pPr>
      <w:bookmarkStart w:id="15" w:name="_Toc233382412"/>
      <w:r w:rsidRPr="00193FA4">
        <w:rPr>
          <w:rFonts w:hint="cs"/>
          <w:rtl/>
        </w:rPr>
        <w:lastRenderedPageBreak/>
        <w:t>الدراسات ال</w:t>
      </w:r>
      <w:r w:rsidR="00F41775" w:rsidRPr="00193FA4">
        <w:rPr>
          <w:rFonts w:hint="cs"/>
          <w:rtl/>
        </w:rPr>
        <w:t xml:space="preserve">سابقة </w:t>
      </w:r>
      <w:r w:rsidRPr="00193FA4">
        <w:rPr>
          <w:rFonts w:hint="cs"/>
          <w:rtl/>
        </w:rPr>
        <w:t>:</w:t>
      </w:r>
      <w:bookmarkEnd w:id="15"/>
    </w:p>
    <w:p w14:paraId="34E3902B" w14:textId="77777777" w:rsidR="00890556" w:rsidRPr="00890556" w:rsidRDefault="00890556" w:rsidP="00890556">
      <w:pPr>
        <w:jc w:val="both"/>
        <w:rPr>
          <w:rFonts w:ascii="Traditional Arabic" w:hAnsi="Traditional Arabic" w:cs="Traditional Arabic"/>
          <w:sz w:val="32"/>
          <w:szCs w:val="32"/>
        </w:rPr>
      </w:pPr>
      <w:bookmarkStart w:id="16" w:name="_Toc233382413"/>
      <w:r w:rsidRPr="00890556">
        <w:rPr>
          <w:rFonts w:ascii="Traditional Arabic" w:hAnsi="Traditional Arabic" w:cs="Traditional Arabic"/>
          <w:sz w:val="32"/>
          <w:szCs w:val="32"/>
          <w:rtl/>
        </w:rPr>
        <w:t>يتناول الباحث في هذا الجزء مجموعة من الدراسات السابقة ذات الصلة بموضوع الدراسة، وقد تم تقسيم تلك الدراسات إلى مجموعتين رئيسيتين، وهما</w:t>
      </w:r>
      <w:r w:rsidRPr="00890556">
        <w:rPr>
          <w:rFonts w:ascii="Traditional Arabic" w:hAnsi="Traditional Arabic" w:cs="Traditional Arabic"/>
          <w:sz w:val="32"/>
          <w:szCs w:val="32"/>
        </w:rPr>
        <w:t>:</w:t>
      </w:r>
    </w:p>
    <w:p w14:paraId="191E85F5" w14:textId="77777777" w:rsidR="00890556" w:rsidRPr="00890556" w:rsidRDefault="00890556" w:rsidP="00890556">
      <w:pPr>
        <w:numPr>
          <w:ilvl w:val="0"/>
          <w:numId w:val="36"/>
        </w:num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المجموعة الأولى</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الدراسات التي تناولت الذكاء الاصطناعي التوليدي وعلاقته بالمتغيرات الأخرى</w:t>
      </w:r>
      <w:r w:rsidRPr="00890556">
        <w:rPr>
          <w:rFonts w:ascii="Traditional Arabic" w:hAnsi="Traditional Arabic" w:cs="Traditional Arabic"/>
          <w:sz w:val="32"/>
          <w:szCs w:val="32"/>
        </w:rPr>
        <w:t>.</w:t>
      </w:r>
    </w:p>
    <w:p w14:paraId="4305D4A8" w14:textId="77777777" w:rsidR="00890556" w:rsidRPr="00890556" w:rsidRDefault="00890556" w:rsidP="00890556">
      <w:pPr>
        <w:numPr>
          <w:ilvl w:val="0"/>
          <w:numId w:val="36"/>
        </w:num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المجموعة الثانية</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الدراسات التي تناولت بيئة العمل وعلاقتها بالمتغيرات الأخرى</w:t>
      </w:r>
      <w:r w:rsidRPr="00890556">
        <w:rPr>
          <w:rFonts w:ascii="Traditional Arabic" w:hAnsi="Traditional Arabic" w:cs="Traditional Arabic"/>
          <w:sz w:val="32"/>
          <w:szCs w:val="32"/>
        </w:rPr>
        <w:t>.</w:t>
      </w:r>
    </w:p>
    <w:p w14:paraId="51BC03E7"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ويتم في نهاية كل مجموعة التعقيب على الدراسات وبيان أوجه الاستفادة منها، ثم يُختتم العرض بالتعقيب العام على جميع الدراسات السابقة</w:t>
      </w:r>
      <w:r w:rsidRPr="00890556">
        <w:rPr>
          <w:rFonts w:ascii="Traditional Arabic" w:hAnsi="Traditional Arabic" w:cs="Traditional Arabic"/>
          <w:sz w:val="32"/>
          <w:szCs w:val="32"/>
        </w:rPr>
        <w:t>.</w:t>
      </w:r>
    </w:p>
    <w:p w14:paraId="3E4C4122"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المجموعة الأولى: الدراسات التي تناولت الذكاء الاصطناعي التوليدي وعلاقته بالمتغيرات الأخرى</w:t>
      </w:r>
    </w:p>
    <w:p w14:paraId="0E6B871A"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أولاً: الدراسات العربية</w:t>
      </w:r>
    </w:p>
    <w:p w14:paraId="4E2AAA70" w14:textId="77ECA7DC"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عالم والفراني (2024) بعنوان: “أثر توظيف الذكاء الاصطناعي التوليدي في تنمية مهارات البرمجة لدى الطالبات في مقرر المهارات الرقمية</w:t>
      </w:r>
      <w:r w:rsidRPr="00890556">
        <w:rPr>
          <w:rFonts w:ascii="Traditional Arabic" w:hAnsi="Traditional Arabic" w:cs="Traditional Arabic"/>
          <w:b/>
          <w:bCs/>
          <w:sz w:val="32"/>
          <w:szCs w:val="32"/>
        </w:rPr>
        <w:t>”</w:t>
      </w:r>
    </w:p>
    <w:p w14:paraId="55D97B27"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توظيف الذكاء الاصطناعي التوليدي بأبعاده (توليد الأكواد البرمجية، تصحيح الأخطاء، الشرح التفاعلي، التوجيه التعليمي) على تنمية مهارات البرمجة لدى الطالبات في مقرر المهارات الرقمية. واستخدمت الدراسة المنهج شبه التجريبي، وتكونت العينة من (40) طالبة قُسّمن إلى مجموعتين: تجريبية وضابطة. وتوصلت نتائج الدراسة إلى وجود فروق دالة إحصائياً عند مستوى (0.05) لصالح المجموعة التجريبية في تنمية مهارات البرمجة، مما يؤكد فاعلية توظيف الذكاء الاصطناعي التوليدي في تنمية تلك المهارات. وأوصت الدراسة بضرورة دمج أدوات الذكاء الاصطناعي التوليدي في المناهج الدراسية وتدريب المعلمين على توظيفها بفاعلية في العملية التعليمية</w:t>
      </w:r>
      <w:r w:rsidRPr="00890556">
        <w:rPr>
          <w:rFonts w:ascii="Traditional Arabic" w:hAnsi="Traditional Arabic" w:cs="Traditional Arabic"/>
          <w:sz w:val="32"/>
          <w:szCs w:val="32"/>
        </w:rPr>
        <w:t>.</w:t>
      </w:r>
    </w:p>
    <w:p w14:paraId="135679A9" w14:textId="4CF0ACB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أحمد (2025) بعنوان: “أثر الذكاء الاصطناعي التوليدي</w:t>
      </w:r>
      <w:r w:rsidRPr="00890556">
        <w:rPr>
          <w:rFonts w:ascii="Traditional Arabic" w:hAnsi="Traditional Arabic" w:cs="Traditional Arabic"/>
          <w:b/>
          <w:bCs/>
          <w:sz w:val="32"/>
          <w:szCs w:val="32"/>
        </w:rPr>
        <w:t xml:space="preserve"> ChatGPT </w:t>
      </w:r>
      <w:r w:rsidRPr="00890556">
        <w:rPr>
          <w:rFonts w:ascii="Traditional Arabic" w:hAnsi="Traditional Arabic" w:cs="Traditional Arabic"/>
          <w:b/>
          <w:bCs/>
          <w:sz w:val="32"/>
          <w:szCs w:val="32"/>
          <w:rtl/>
        </w:rPr>
        <w:t>في تشكيل المعرفة والهوية الثقافية: بحث ميداني على عينة من جيل</w:t>
      </w:r>
      <w:r w:rsidRPr="00890556">
        <w:rPr>
          <w:rFonts w:ascii="Traditional Arabic" w:hAnsi="Traditional Arabic" w:cs="Traditional Arabic"/>
          <w:b/>
          <w:bCs/>
          <w:sz w:val="32"/>
          <w:szCs w:val="32"/>
        </w:rPr>
        <w:t xml:space="preserve"> Z </w:t>
      </w:r>
      <w:r w:rsidRPr="00890556">
        <w:rPr>
          <w:rFonts w:ascii="Traditional Arabic" w:hAnsi="Traditional Arabic" w:cs="Traditional Arabic"/>
          <w:b/>
          <w:bCs/>
          <w:sz w:val="32"/>
          <w:szCs w:val="32"/>
          <w:rtl/>
        </w:rPr>
        <w:t>في محافظة القاهرة</w:t>
      </w:r>
      <w:r w:rsidRPr="00890556">
        <w:rPr>
          <w:rFonts w:ascii="Traditional Arabic" w:hAnsi="Traditional Arabic" w:cs="Traditional Arabic"/>
          <w:b/>
          <w:bCs/>
          <w:sz w:val="32"/>
          <w:szCs w:val="32"/>
        </w:rPr>
        <w:t>”</w:t>
      </w:r>
    </w:p>
    <w:p w14:paraId="778610D9"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بأبعاده (إنتاج المحتوى المعرفي، التفاعل اللغوي، التأثير القيمي، تشكيل الاتجاهات الثقافية) على تشكيل المعرفة والهوية الثقافية لدى جيل</w:t>
      </w:r>
      <w:r w:rsidRPr="00890556">
        <w:rPr>
          <w:rFonts w:ascii="Traditional Arabic" w:hAnsi="Traditional Arabic" w:cs="Traditional Arabic"/>
          <w:sz w:val="32"/>
          <w:szCs w:val="32"/>
        </w:rPr>
        <w:t xml:space="preserve"> Z </w:t>
      </w:r>
      <w:r w:rsidRPr="00890556">
        <w:rPr>
          <w:rFonts w:ascii="Traditional Arabic" w:hAnsi="Traditional Arabic" w:cs="Traditional Arabic"/>
          <w:sz w:val="32"/>
          <w:szCs w:val="32"/>
          <w:rtl/>
        </w:rPr>
        <w:t xml:space="preserve">في </w:t>
      </w:r>
      <w:r w:rsidRPr="00890556">
        <w:rPr>
          <w:rFonts w:ascii="Traditional Arabic" w:hAnsi="Traditional Arabic" w:cs="Traditional Arabic"/>
          <w:sz w:val="32"/>
          <w:szCs w:val="32"/>
          <w:rtl/>
        </w:rPr>
        <w:lastRenderedPageBreak/>
        <w:t>محافظة القاهرة. واستخدمت الدراسة المنهج الوصفي التحليلي، وتكونت العينة من (400) مفردة من شباب جيل</w:t>
      </w:r>
      <w:r w:rsidRPr="00890556">
        <w:rPr>
          <w:rFonts w:ascii="Traditional Arabic" w:hAnsi="Traditional Arabic" w:cs="Traditional Arabic"/>
          <w:sz w:val="32"/>
          <w:szCs w:val="32"/>
        </w:rPr>
        <w:t xml:space="preserve"> Z </w:t>
      </w:r>
      <w:r w:rsidRPr="00890556">
        <w:rPr>
          <w:rFonts w:ascii="Traditional Arabic" w:hAnsi="Traditional Arabic" w:cs="Traditional Arabic"/>
          <w:sz w:val="32"/>
          <w:szCs w:val="32"/>
          <w:rtl/>
        </w:rPr>
        <w:t>في محافظة القاهرة تم اختيارهم بأسلوب العينة العشوائية. وتوصلت نتائج الدراسة إلى وجود تأثير ملحوظ للذكاء الاصطناعي التوليدي في إعادة تشكيل البنى المعرفية لدى الشباب، مع وجود مخاوف تتعلق بالهوية الثقافية والتبعية المعرفية وضعف التفكير النقدي. وأوصت الدراسة بضرورة تعزيز الوعي النقدي لدى المستخدمين وتطوير محتوى عربي يدعم الهوية الثقافية في تطبيقات الذكاء الاصطناعي التوليدي</w:t>
      </w:r>
      <w:r w:rsidRPr="00890556">
        <w:rPr>
          <w:rFonts w:ascii="Traditional Arabic" w:hAnsi="Traditional Arabic" w:cs="Traditional Arabic"/>
          <w:sz w:val="32"/>
          <w:szCs w:val="32"/>
        </w:rPr>
        <w:t>.</w:t>
      </w:r>
    </w:p>
    <w:p w14:paraId="6D414778" w14:textId="39586A04"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 xml:space="preserve">دراسة حراز </w:t>
      </w:r>
      <w:r>
        <w:rPr>
          <w:rFonts w:ascii="Traditional Arabic" w:hAnsi="Traditional Arabic" w:cs="Traditional Arabic" w:hint="cs"/>
          <w:b/>
          <w:bCs/>
          <w:sz w:val="32"/>
          <w:szCs w:val="32"/>
          <w:rtl/>
        </w:rPr>
        <w:t>واخرون</w:t>
      </w:r>
      <w:r w:rsidRPr="00890556">
        <w:rPr>
          <w:rFonts w:ascii="Traditional Arabic" w:hAnsi="Traditional Arabic" w:cs="Traditional Arabic"/>
          <w:b/>
          <w:bCs/>
          <w:sz w:val="32"/>
          <w:szCs w:val="32"/>
          <w:rtl/>
        </w:rPr>
        <w:t xml:space="preserve"> (2025) بعنوان: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w:t>
      </w:r>
      <w:r w:rsidRPr="00890556">
        <w:rPr>
          <w:rFonts w:ascii="Traditional Arabic" w:hAnsi="Traditional Arabic" w:cs="Traditional Arabic"/>
          <w:b/>
          <w:bCs/>
          <w:sz w:val="32"/>
          <w:szCs w:val="32"/>
        </w:rPr>
        <w:t>”</w:t>
      </w:r>
    </w:p>
    <w:p w14:paraId="7C5FC37F"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جودة القرارات التشغيلية كمتغير وسيط بين الذكاء الاصطناعي التوليدي بأبعاده (الاستقطاب والتعيين، التدريب والتطوير، تقييم الأداء، التخطيط الاستراتيجي للموارد البشرية) وممارسات إدارة الموارد البشرية في الشركات العاملة بالمنطقة الصناعية بمدينة دمياط الجديدة. واستخدمت الدراسة المنهج الوصفي التحليلي، وتكونت العينة من (384) مفردة من العاملين في الشركات الصناعية بدمياط الجديدة. وتوصلت نتائج الدراسة إلى وجود أثر إيجابي ودال إحصائياً للذكاء الاصطناعي التوليدي على ممارسات إدارة الموارد البشرية، وأن جودة القرارات التشغيلية تتوسط جزئياً تلك العلاقة. وأوصت الدراسة بضرورة تبني الشركات الصناعية لتطبيقات الذكاء الاصطناعي التوليدي في تطوير ممارسات الموارد البشرية وتحسين جودة قراراتها التشغيلية</w:t>
      </w:r>
      <w:r w:rsidRPr="00890556">
        <w:rPr>
          <w:rFonts w:ascii="Traditional Arabic" w:hAnsi="Traditional Arabic" w:cs="Traditional Arabic"/>
          <w:sz w:val="32"/>
          <w:szCs w:val="32"/>
        </w:rPr>
        <w:t>.</w:t>
      </w:r>
    </w:p>
    <w:p w14:paraId="00DBD78D" w14:textId="51B9E468"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الغامدي (2025) بعنوان: “أثر توظيف تطبيقات الذكاء الاصطناعي التوليدي على جودة الأداء التدريسي لدى معلمي العلوم: دراسة تحليلية للتأثيرات الوسيطة للكفاءة الذاتية التقنية والمرونة المعرفية</w:t>
      </w:r>
      <w:r w:rsidRPr="00890556">
        <w:rPr>
          <w:rFonts w:ascii="Traditional Arabic" w:hAnsi="Traditional Arabic" w:cs="Traditional Arabic"/>
          <w:b/>
          <w:bCs/>
          <w:sz w:val="32"/>
          <w:szCs w:val="32"/>
        </w:rPr>
        <w:t>”</w:t>
      </w:r>
    </w:p>
    <w:p w14:paraId="0CE8EBCE"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 xml:space="preserve">هدفت الدراسة إلى التعرف على أثر توظيف تطبيقات الذكاء الاصطناعي التوليدي بأبعاده (تصميم الأنشطة التعليمية، إعداد التقييمات، توليد المحتوى التعليمي، التغذية الراجعة) على جودة الأداء التدريسي لدى معلمي العلوم، مع دراسة التأثير الوسيط للكفاءة الذاتية التقنية والمرونة المعرفية. واستخدمت الدراسة المنهج الوصفي التحليلي، وتكونت العينة من (250) معلماً ومعلمة من معلمي العلوم. وتوصلت نتائج الدراسة إلى وجود أثر إيجابي دال إحصائياً لتوظيف تطبيقات الذكاء الاصطناعي التوليدي على جودة الأداء التدريسي، وأن كلاً من الكفاءة الذاتية التقنية والمرونة المعرفية يقومان بدور وسيط في تلك العلاقة. وأوصت الدراسة بضرورة عقد برامج </w:t>
      </w:r>
      <w:r w:rsidRPr="00890556">
        <w:rPr>
          <w:rFonts w:ascii="Traditional Arabic" w:hAnsi="Traditional Arabic" w:cs="Traditional Arabic"/>
          <w:sz w:val="32"/>
          <w:szCs w:val="32"/>
          <w:rtl/>
        </w:rPr>
        <w:lastRenderedPageBreak/>
        <w:t>تدريبية لتنمية الكفاءة التقنية والمرونة المعرفية لدى المعلمين لتعظيم الاستفادة من تطبيقات الذكاء الاصطناعي التوليدي</w:t>
      </w:r>
      <w:r w:rsidRPr="00890556">
        <w:rPr>
          <w:rFonts w:ascii="Traditional Arabic" w:hAnsi="Traditional Arabic" w:cs="Traditional Arabic"/>
          <w:sz w:val="32"/>
          <w:szCs w:val="32"/>
        </w:rPr>
        <w:t>.</w:t>
      </w:r>
    </w:p>
    <w:p w14:paraId="5EAAFE6C" w14:textId="637C540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الفالح (2025) بعنوان: “تأثير أدوات الذكاء الاصطناعي التوليدي في منصة</w:t>
      </w:r>
      <w:r w:rsidRPr="00890556">
        <w:rPr>
          <w:rFonts w:ascii="Traditional Arabic" w:hAnsi="Traditional Arabic" w:cs="Traditional Arabic"/>
          <w:b/>
          <w:bCs/>
          <w:sz w:val="32"/>
          <w:szCs w:val="32"/>
        </w:rPr>
        <w:t xml:space="preserve"> Canva </w:t>
      </w:r>
      <w:r w:rsidRPr="00890556">
        <w:rPr>
          <w:rFonts w:ascii="Traditional Arabic" w:hAnsi="Traditional Arabic" w:cs="Traditional Arabic"/>
          <w:b/>
          <w:bCs/>
          <w:sz w:val="32"/>
          <w:szCs w:val="32"/>
          <w:rtl/>
        </w:rPr>
        <w:t>على تشكيل الهوية البصرية: دراسة تحليلية</w:t>
      </w:r>
      <w:r w:rsidRPr="00890556">
        <w:rPr>
          <w:rFonts w:ascii="Traditional Arabic" w:hAnsi="Traditional Arabic" w:cs="Traditional Arabic"/>
          <w:b/>
          <w:bCs/>
          <w:sz w:val="32"/>
          <w:szCs w:val="32"/>
        </w:rPr>
        <w:t>”</w:t>
      </w:r>
    </w:p>
    <w:p w14:paraId="60EF709A"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تأثير أدوات الذكاء الاصطناعي التوليدي في منصة</w:t>
      </w:r>
      <w:r w:rsidRPr="00890556">
        <w:rPr>
          <w:rFonts w:ascii="Traditional Arabic" w:hAnsi="Traditional Arabic" w:cs="Traditional Arabic"/>
          <w:sz w:val="32"/>
          <w:szCs w:val="32"/>
        </w:rPr>
        <w:t xml:space="preserve"> Canva </w:t>
      </w:r>
      <w:r w:rsidRPr="00890556">
        <w:rPr>
          <w:rFonts w:ascii="Traditional Arabic" w:hAnsi="Traditional Arabic" w:cs="Traditional Arabic"/>
          <w:sz w:val="32"/>
          <w:szCs w:val="32"/>
          <w:rtl/>
        </w:rPr>
        <w:t>بأبعادها (توليد الصور، اقتراح التصاميم، تخصيص الألوان، توليد النصوص البصرية) على تشكيل الهوية البصرية. واستخدمت الدراسة المنهج الوصفي التحليلي، وتكونت عينة الدراسة من (50) نموذجاً تصميمياً تم تحليلها بأسلوب التحليل البصري والمضمون. وتوصلت نتائج الدراسة إلى أن أدوات الذكاء الاصطناعي التوليدي في منصة</w:t>
      </w:r>
      <w:r w:rsidRPr="00890556">
        <w:rPr>
          <w:rFonts w:ascii="Traditional Arabic" w:hAnsi="Traditional Arabic" w:cs="Traditional Arabic"/>
          <w:sz w:val="32"/>
          <w:szCs w:val="32"/>
        </w:rPr>
        <w:t xml:space="preserve"> Canva </w:t>
      </w:r>
      <w:r w:rsidRPr="00890556">
        <w:rPr>
          <w:rFonts w:ascii="Traditional Arabic" w:hAnsi="Traditional Arabic" w:cs="Traditional Arabic"/>
          <w:sz w:val="32"/>
          <w:szCs w:val="32"/>
          <w:rtl/>
        </w:rPr>
        <w:t>تساهم بشكل ملحوظ في تشكيل الهوية البصرية، إلا أنها قد تؤدي إلى تنميط التصاميم وتراجع الأصالة الإبداعية. وأوصت الدراسة بضرورة توعية المصممين بأهمية الموازنة بين توظيف أدوات الذكاء الاصطناعي والحفاظ على البصمة الإبداعية الشخصية</w:t>
      </w:r>
      <w:r w:rsidRPr="00890556">
        <w:rPr>
          <w:rFonts w:ascii="Traditional Arabic" w:hAnsi="Traditional Arabic" w:cs="Traditional Arabic"/>
          <w:sz w:val="32"/>
          <w:szCs w:val="32"/>
        </w:rPr>
        <w:t>.</w:t>
      </w:r>
    </w:p>
    <w:p w14:paraId="5CBFB3BD" w14:textId="5EC4621C"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الغامدي</w:t>
      </w:r>
      <w:r>
        <w:rPr>
          <w:rFonts w:ascii="Traditional Arabic" w:hAnsi="Traditional Arabic" w:cs="Traditional Arabic" w:hint="cs"/>
          <w:b/>
          <w:bCs/>
          <w:sz w:val="32"/>
          <w:szCs w:val="32"/>
          <w:rtl/>
        </w:rPr>
        <w:t xml:space="preserve"> </w:t>
      </w:r>
      <w:r w:rsidRPr="00890556">
        <w:rPr>
          <w:rFonts w:ascii="Traditional Arabic" w:hAnsi="Traditional Arabic" w:cs="Traditional Arabic"/>
          <w:b/>
          <w:bCs/>
          <w:sz w:val="32"/>
          <w:szCs w:val="32"/>
          <w:rtl/>
        </w:rPr>
        <w:t xml:space="preserve"> (2025) بعنوان: “أثر توظيف أدوات الذكاء الاصطناعي التوليدي في تنمية مهارات التصميم الرقمي والتفكير الإبداعي لدى طالبات المرحلة الابتدائية</w:t>
      </w:r>
      <w:r w:rsidRPr="00890556">
        <w:rPr>
          <w:rFonts w:ascii="Traditional Arabic" w:hAnsi="Traditional Arabic" w:cs="Traditional Arabic"/>
          <w:b/>
          <w:bCs/>
          <w:sz w:val="32"/>
          <w:szCs w:val="32"/>
        </w:rPr>
        <w:t>”</w:t>
      </w:r>
    </w:p>
    <w:p w14:paraId="415F33CD"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توظيف أدوات الذكاء الاصطناعي التوليدي بأبعادها (توليد الصور، تصميم الرسومات، إنشاء العروض التقديمية، تحرير المحتوى الرقمي) في تنمية مهارات التصميم الرقمي والتفكير الإبداعي لدى طالبات المرحلة الابتدائية. واستخدمت الدراسة المنهج شبه التجريبي، وتكونت العينة من (60) طالبة من طالبات المرحلة الابتدائية قُسّمن إلى مجموعتين تجريبية وضابطة. وتوصلت نتائج الدراسة إلى وجود فروق دالة إحصائياً لصالح المجموعة التجريبية في تنمية مهارات التصميم الرقمي والتفكير الإبداعي. وأوصت الدراسة بدمج أدوات الذكاء الاصطناعي التوليدي في مناهج المرحلة الابتدائية لتنمية مهارات التصميم والإبداع لدى الطالبات</w:t>
      </w:r>
      <w:r w:rsidRPr="00890556">
        <w:rPr>
          <w:rFonts w:ascii="Traditional Arabic" w:hAnsi="Traditional Arabic" w:cs="Traditional Arabic"/>
          <w:sz w:val="32"/>
          <w:szCs w:val="32"/>
        </w:rPr>
        <w:t>.</w:t>
      </w:r>
    </w:p>
    <w:p w14:paraId="7C5306A7" w14:textId="2EF4BA51"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عقيلي (2024) بعنوان: “أثر تطبيق الذكاء الاصطناعي التوليدي</w:t>
      </w:r>
      <w:r w:rsidRPr="00890556">
        <w:rPr>
          <w:rFonts w:ascii="Traditional Arabic" w:hAnsi="Traditional Arabic" w:cs="Traditional Arabic"/>
          <w:b/>
          <w:bCs/>
          <w:sz w:val="32"/>
          <w:szCs w:val="32"/>
        </w:rPr>
        <w:t xml:space="preserve"> ChatGPT </w:t>
      </w:r>
      <w:r w:rsidRPr="00890556">
        <w:rPr>
          <w:rFonts w:ascii="Traditional Arabic" w:hAnsi="Traditional Arabic" w:cs="Traditional Arabic"/>
          <w:b/>
          <w:bCs/>
          <w:sz w:val="32"/>
          <w:szCs w:val="32"/>
          <w:rtl/>
        </w:rPr>
        <w:t>على جودة التقارير المالية بالتطبيق على شركات التشييد والاستثمار العقاري المسجلة بسوق الأوراق المالية المصري</w:t>
      </w:r>
      <w:r w:rsidRPr="00890556">
        <w:rPr>
          <w:rFonts w:ascii="Traditional Arabic" w:hAnsi="Traditional Arabic" w:cs="Traditional Arabic"/>
          <w:b/>
          <w:bCs/>
          <w:sz w:val="32"/>
          <w:szCs w:val="32"/>
        </w:rPr>
        <w:t>”</w:t>
      </w:r>
    </w:p>
    <w:p w14:paraId="183323F0"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تطبيق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 xml:space="preserve">بأبعاده (تحليل البيانات المالية، إعداد التقارير، الكشف عن الأخطاء، دعم اتخاذ القرار) على جودة التقارير المالية في شركات التشييد </w:t>
      </w:r>
      <w:r w:rsidRPr="00890556">
        <w:rPr>
          <w:rFonts w:ascii="Traditional Arabic" w:hAnsi="Traditional Arabic" w:cs="Traditional Arabic"/>
          <w:sz w:val="32"/>
          <w:szCs w:val="32"/>
          <w:rtl/>
        </w:rPr>
        <w:lastRenderedPageBreak/>
        <w:t>والاستثمار العقاري المسجلة بسوق الأوراق المالية المصري. واستخدمت الدراسة المنهج الوصفي التحليلي، وتكونت العينة من (120) مفردة من المحاسبين والمراجعين والمديرين الماليين في شركات التشييد والاستثمار العقاري. وتوصلت نتائج الدراسة إلى وجود أثر إيجابي دال إحصائياً لتطبيق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على جودة التقارير المالية بأبعادها (الملاءمة، الموثوقية، القابلية للمقارنة، القابلية للفهم). وأوصت الدراسة بضرورة تبني شركات التشييد والاستثمار العقاري لتطبيقات الذكاء الاصطناعي التوليدي وتطوير الكوادر المحاسبية على استخدامها</w:t>
      </w:r>
      <w:r w:rsidRPr="00890556">
        <w:rPr>
          <w:rFonts w:ascii="Traditional Arabic" w:hAnsi="Traditional Arabic" w:cs="Traditional Arabic"/>
          <w:sz w:val="32"/>
          <w:szCs w:val="32"/>
        </w:rPr>
        <w:t>.</w:t>
      </w:r>
    </w:p>
    <w:p w14:paraId="7CF67DFC" w14:textId="7D9C8FB6"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الشريف (2026) بعنوان: “أثر استراتيجية</w:t>
      </w:r>
      <w:r w:rsidRPr="00890556">
        <w:rPr>
          <w:rFonts w:ascii="Traditional Arabic" w:hAnsi="Traditional Arabic" w:cs="Traditional Arabic"/>
          <w:b/>
          <w:bCs/>
          <w:sz w:val="32"/>
          <w:szCs w:val="32"/>
        </w:rPr>
        <w:t xml:space="preserve"> KWHLAQ </w:t>
      </w:r>
      <w:r w:rsidRPr="00890556">
        <w:rPr>
          <w:rFonts w:ascii="Traditional Arabic" w:hAnsi="Traditional Arabic" w:cs="Traditional Arabic"/>
          <w:b/>
          <w:bCs/>
          <w:sz w:val="32"/>
          <w:szCs w:val="32"/>
          <w:rtl/>
        </w:rPr>
        <w:t>في تنمية كفاءة الباحثات المتخصصات في تقنيات التعليم في البحث عن المعلومات البحثية الرقمية ومعالجتها باستخدام تقنيات الذكاء الاصطناعي التوليدي</w:t>
      </w:r>
      <w:r w:rsidRPr="00890556">
        <w:rPr>
          <w:rFonts w:ascii="Traditional Arabic" w:hAnsi="Traditional Arabic" w:cs="Traditional Arabic"/>
          <w:b/>
          <w:bCs/>
          <w:sz w:val="32"/>
          <w:szCs w:val="32"/>
        </w:rPr>
        <w:t>”</w:t>
      </w:r>
    </w:p>
    <w:p w14:paraId="174C178C"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استراتيجية</w:t>
      </w:r>
      <w:r w:rsidRPr="00890556">
        <w:rPr>
          <w:rFonts w:ascii="Traditional Arabic" w:hAnsi="Traditional Arabic" w:cs="Traditional Arabic"/>
          <w:sz w:val="32"/>
          <w:szCs w:val="32"/>
        </w:rPr>
        <w:t xml:space="preserve"> KWHLAQ </w:t>
      </w:r>
      <w:r w:rsidRPr="00890556">
        <w:rPr>
          <w:rFonts w:ascii="Traditional Arabic" w:hAnsi="Traditional Arabic" w:cs="Traditional Arabic"/>
          <w:sz w:val="32"/>
          <w:szCs w:val="32"/>
          <w:rtl/>
        </w:rPr>
        <w:t>بأبعادها (ما أعرفه، ما أريد معرفته، كيف أتعلمه، ما تعلمته، التطبيق، التساؤل) في تنمية كفاءة الباحثات المتخصصات في تقنيات التعليم في البحث عن المعلومات الرقمية ومعالجتها باستخدام تقنيات الذكاء الاصطناعي التوليدي. واستخدمت الدراسة المنهج شبه التجريبي، وتكونت العينة من (30) باحثة من المتخصصات في تقنيات التعليم. وتوصلت نتائج الدراسة إلى وجود فروق دالة إحصائياً لصالح التطبيق البعدي في تنمية كفاءة الباحثات في البحث عن المعلومات الرقمية ومعالجتها باستخدام تقنيات الذكاء الاصطناعي التوليدي. وأوصت الدراسة بتبني استراتيجية</w:t>
      </w:r>
      <w:r w:rsidRPr="00890556">
        <w:rPr>
          <w:rFonts w:ascii="Traditional Arabic" w:hAnsi="Traditional Arabic" w:cs="Traditional Arabic"/>
          <w:sz w:val="32"/>
          <w:szCs w:val="32"/>
        </w:rPr>
        <w:t xml:space="preserve"> KWHLAQ </w:t>
      </w:r>
      <w:r w:rsidRPr="00890556">
        <w:rPr>
          <w:rFonts w:ascii="Traditional Arabic" w:hAnsi="Traditional Arabic" w:cs="Traditional Arabic"/>
          <w:sz w:val="32"/>
          <w:szCs w:val="32"/>
          <w:rtl/>
        </w:rPr>
        <w:t>في برامج تدريب الباحثين على توظيف تقنيات الذكاء الاصطناعي التوليدي في البحث العلمي</w:t>
      </w:r>
      <w:r w:rsidRPr="00890556">
        <w:rPr>
          <w:rFonts w:ascii="Traditional Arabic" w:hAnsi="Traditional Arabic" w:cs="Traditional Arabic"/>
          <w:sz w:val="32"/>
          <w:szCs w:val="32"/>
        </w:rPr>
        <w:t>.</w:t>
      </w:r>
    </w:p>
    <w:p w14:paraId="5D301805" w14:textId="7A423499"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السماني وآخرون (2025) بعنوان: “أثر الذكاء الاصطناعي التوليدي على التعليم العالي في المؤسسات السودانية: دراسة مسحية وتحليل شامل للفجوات والمخاطر واستراتيجيات التطوير</w:t>
      </w:r>
      <w:r w:rsidRPr="00890556">
        <w:rPr>
          <w:rFonts w:ascii="Traditional Arabic" w:hAnsi="Traditional Arabic" w:cs="Traditional Arabic"/>
          <w:b/>
          <w:bCs/>
          <w:sz w:val="32"/>
          <w:szCs w:val="32"/>
        </w:rPr>
        <w:t>”</w:t>
      </w:r>
    </w:p>
    <w:p w14:paraId="19166092"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الذكاء الاصطناعي التوليدي بأبعاده (التدريس والتعلم، البحث العلمي، الإدارة الأكاديمية، التقييم) على التعليم العالي في المؤسسات السودانية مع تحليل الفجوات والمخاطر واستراتيجيات التطوير. واستخدمت الدراسة المنهج الوصفي المسحي، وتكونت العينة من (210) مفردة من أعضاء هيئة التدريس والإداريين في مؤسسات التعليم العالي السودانية. وتوصلت نتائج الدراسة إلى وجود أثر إيجابي للذكاء الاصطناعي التوليدي على التعليم العالي، مع وجود فجوات تقنية وتدريبية وأخلاقية تحد من توظيفه بشكل فعّال. وأوصت الدراسة بضرورة تطوير البنية التحتية التقنية وبناء سياسات أخلاقية وتدريب الكوادر الأكاديمية على توظيف الذكاء الاصطناعي التوليدي</w:t>
      </w:r>
      <w:r w:rsidRPr="00890556">
        <w:rPr>
          <w:rFonts w:ascii="Traditional Arabic" w:hAnsi="Traditional Arabic" w:cs="Traditional Arabic"/>
          <w:sz w:val="32"/>
          <w:szCs w:val="32"/>
        </w:rPr>
        <w:t>.</w:t>
      </w:r>
    </w:p>
    <w:p w14:paraId="0A8371F9" w14:textId="58E8B89B"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lastRenderedPageBreak/>
        <w:t>دراسة الدرايسة (2025) بعنوان: “استكشاف الإمكانات والتحديات المتعلقة بتوظيف الذكاء الاصطناعي التوليدي</w:t>
      </w:r>
      <w:r w:rsidRPr="00890556">
        <w:rPr>
          <w:rFonts w:ascii="Traditional Arabic" w:hAnsi="Traditional Arabic" w:cs="Traditional Arabic"/>
          <w:b/>
          <w:bCs/>
          <w:sz w:val="32"/>
          <w:szCs w:val="32"/>
        </w:rPr>
        <w:t xml:space="preserve"> ChatGPT </w:t>
      </w:r>
      <w:r w:rsidRPr="00890556">
        <w:rPr>
          <w:rFonts w:ascii="Traditional Arabic" w:hAnsi="Traditional Arabic" w:cs="Traditional Arabic"/>
          <w:b/>
          <w:bCs/>
          <w:sz w:val="32"/>
          <w:szCs w:val="32"/>
          <w:rtl/>
        </w:rPr>
        <w:t>أنموذجاً في النظم التعليمية: دراسة تحليلية</w:t>
      </w:r>
      <w:r w:rsidRPr="00890556">
        <w:rPr>
          <w:rFonts w:ascii="Traditional Arabic" w:hAnsi="Traditional Arabic" w:cs="Traditional Arabic"/>
          <w:b/>
          <w:bCs/>
          <w:sz w:val="32"/>
          <w:szCs w:val="32"/>
        </w:rPr>
        <w:t>”</w:t>
      </w:r>
    </w:p>
    <w:p w14:paraId="6FB80205"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الإمكانات والتحديات المتعلقة بتوظيف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بأبعاده (التخطيط للتعلم، توليد المحتوى، التقييم، التغذية الراجعة) في النظم التعليمية. واستخدمت الدراسة المنهج الوصفي التحليلي القائم على تحليل الأدبيات والدراسات السابقة، حيث اعتمدت على التحليل النظري دون عينة ميدانية. وتوصلت نتائج الدراسة إلى أن توظيف</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يقدم إمكانات واسعة لتطوير العملية التعليمية في مجالات التخصيص والتفاعل وتوليد المحتوى، إلا أن هناك تحديات تتعلق بالدقة العلمية والأمانة الأكاديمية وحماية الخصوصية. وأوصت الدراسة بضرورة وضع أطر تشريعية وأخلاقية لتنظيم استخدام الذكاء الاصطناعي التوليدي في النظم التعليمية</w:t>
      </w:r>
      <w:r w:rsidRPr="00890556">
        <w:rPr>
          <w:rFonts w:ascii="Traditional Arabic" w:hAnsi="Traditional Arabic" w:cs="Traditional Arabic"/>
          <w:sz w:val="32"/>
          <w:szCs w:val="32"/>
        </w:rPr>
        <w:t>.</w:t>
      </w:r>
    </w:p>
    <w:p w14:paraId="01326C3C"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ثانياً: الدراسات الأجنبية</w:t>
      </w:r>
    </w:p>
    <w:p w14:paraId="066EFB5D" w14:textId="4677DF94"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Al Naqbi</w:t>
      </w:r>
      <w:r>
        <w:rPr>
          <w:rFonts w:ascii="Traditional Arabic" w:hAnsi="Traditional Arabic" w:cs="Traditional Arabic"/>
          <w:b/>
          <w:bCs/>
          <w:sz w:val="32"/>
          <w:szCs w:val="32"/>
        </w:rPr>
        <w:t xml:space="preserve"> et al.,</w:t>
      </w:r>
      <w:r w:rsidRPr="00890556">
        <w:rPr>
          <w:rFonts w:ascii="Traditional Arabic" w:hAnsi="Traditional Arabic" w:cs="Traditional Arabic"/>
          <w:b/>
          <w:bCs/>
          <w:sz w:val="32"/>
          <w:szCs w:val="32"/>
        </w:rPr>
        <w:t xml:space="preserve">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“Enhancing work productivity through generative artificial intelligence: A comprehensive literature review”</w:t>
      </w:r>
    </w:p>
    <w:p w14:paraId="6AADCFCA"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دور الذكاء الاصطناعي التوليدي بأبعاده (أتمتة المهام، دعم اتخاذ القرار، توليد المحتوى، تحسين التواصل) في تعزيز إنتاجية العمل. واستخدمت الدراسة منهج المراجعة الأدبية الشاملة</w:t>
      </w:r>
      <w:r w:rsidRPr="00890556">
        <w:rPr>
          <w:rFonts w:ascii="Traditional Arabic" w:hAnsi="Traditional Arabic" w:cs="Traditional Arabic"/>
          <w:sz w:val="32"/>
          <w:szCs w:val="32"/>
        </w:rPr>
        <w:t xml:space="preserve"> (Systematic Literature Review)</w:t>
      </w:r>
      <w:r w:rsidRPr="00890556">
        <w:rPr>
          <w:rFonts w:ascii="Traditional Arabic" w:hAnsi="Traditional Arabic" w:cs="Traditional Arabic"/>
          <w:sz w:val="32"/>
          <w:szCs w:val="32"/>
          <w:rtl/>
        </w:rPr>
        <w:t>، وتكونت العينة من (74) دراسة علمية محكّمة تم تحليلها وفقاً لمعايير محددة. وتوصلت نتائج الدراسة إلى أن توظيف الذكاء الاصطناعي التوليدي يسهم بشكل كبير في تحسين الإنتاجية وتسريع إنجاز المهام وتعزيز الإبداع، مع وجود تحديات تتعلق بالأخلاقيات والخصوصية ومهارات العاملين. وأوصت الدراسة بضرورة تطوير الإطار التنظيمي والتدريبي لتعظيم الفوائد المتحققة من تطبيقات الذكاء الاصطناعي التوليدي في بيئات العمل</w:t>
      </w:r>
      <w:r w:rsidRPr="00890556">
        <w:rPr>
          <w:rFonts w:ascii="Traditional Arabic" w:hAnsi="Traditional Arabic" w:cs="Traditional Arabic"/>
          <w:sz w:val="32"/>
          <w:szCs w:val="32"/>
        </w:rPr>
        <w:t>.</w:t>
      </w:r>
    </w:p>
    <w:p w14:paraId="290955C7" w14:textId="7FC8FA6B"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Rane (2023)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“ChatGPT and similar generative artificial intelligence (AI) for smart industry: role, challenges and opportunities for industry 4.0, industry 5.0 and society 5.0”</w:t>
      </w:r>
    </w:p>
    <w:p w14:paraId="662C8244"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lastRenderedPageBreak/>
        <w:t>هدفت الدراسة إلى التعرف على دور</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والذكاء الاصطناعي التوليدي بأبعاده (الأتمتة الذكية، التحليل التنبؤي، التفاعل التشاركي، التصنيع المخصص) في الصناعة الذكية ضمن إطار الصناعة 4.0 و5.0 ومجتمع 5.0. واستخدمت الدراسة المنهج الوصفي التحليلي القائم على تحليل الأدبيات، حيث اعتمدت على المراجعة النظرية دون عينة ميدانية. وتوصلت نتائج الدراسة إلى أن الذكاء الاصطناعي التوليدي يلعب دوراً محورياً في تحويل الصناعة نحو التكامل بين الإنسان والآلة، مع وجود تحديات تتعلق بالأمن السيبراني والقضايا الأخلاقية والتأثير على سوق العمل. وأوصت الدراسة بضرورة بناء استراتيجيات متكاملة لتبني الذكاء الاصطناعي التوليدي في الصناعات الذكية مع مراعاة الجوانب الإنسانية والاجتماعية</w:t>
      </w:r>
      <w:r w:rsidRPr="00890556">
        <w:rPr>
          <w:rFonts w:ascii="Traditional Arabic" w:hAnsi="Traditional Arabic" w:cs="Traditional Arabic"/>
          <w:sz w:val="32"/>
          <w:szCs w:val="32"/>
        </w:rPr>
        <w:t>.</w:t>
      </w:r>
    </w:p>
    <w:p w14:paraId="548E55C6" w14:textId="59D6360D"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Chowdhury</w:t>
      </w:r>
      <w:r>
        <w:rPr>
          <w:rFonts w:ascii="Traditional Arabic" w:hAnsi="Traditional Arabic" w:cs="Traditional Arabic"/>
          <w:b/>
          <w:bCs/>
          <w:sz w:val="32"/>
          <w:szCs w:val="32"/>
        </w:rPr>
        <w:t xml:space="preserve"> et al.,</w:t>
      </w:r>
      <w:r w:rsidRPr="00890556">
        <w:rPr>
          <w:rFonts w:ascii="Traditional Arabic" w:hAnsi="Traditional Arabic" w:cs="Traditional Arabic"/>
          <w:b/>
          <w:bCs/>
          <w:sz w:val="32"/>
          <w:szCs w:val="32"/>
        </w:rPr>
        <w:t xml:space="preserve">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“Generative artificial intelligence in business: towards a strategic human resource management framework”</w:t>
      </w:r>
    </w:p>
    <w:p w14:paraId="737D7C6C"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بناء إطار استراتيجي لإدارة الموارد البشرية في ضوء الذكاء الاصطناعي التوليدي بأبعاده (الاستقطاب والاختيار، التدريب والتطوير، إدارة الأداء، التخطيط الوظيفي) في بيئة الأعمال. واستخدمت الدراسة المنهج النظري التحليلي القائم على بناء الإطار المفاهيمي من خلال مراجعة الأدبيات، دون عينة ميدانية. وتوصلت نتائج الدراسة إلى ضرورة إعادة النظر في ممارسات إدارة الموارد البشرية في ضوء الذكاء الاصطناعي التوليدي، مع التركيز على تطوير المهارات الجديدة وإعادة تصميم الوظائف ومعالجة القضايا الأخلاقية. وأوصت الدراسة بتبني إطار استراتيجي متكامل لإدارة الموارد البشرية يدمج الذكاء الاصطناعي التوليدي مع الحفاظ على البُعد الإنساني في المنظمات</w:t>
      </w:r>
      <w:r w:rsidRPr="00890556">
        <w:rPr>
          <w:rFonts w:ascii="Traditional Arabic" w:hAnsi="Traditional Arabic" w:cs="Traditional Arabic"/>
          <w:sz w:val="32"/>
          <w:szCs w:val="32"/>
        </w:rPr>
        <w:t>.</w:t>
      </w:r>
    </w:p>
    <w:p w14:paraId="301B1FDD" w14:textId="09E46578"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Ooi et al. (2025)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“The potential of generative artificial intelligence across disciplines: Perspectives and future directions”</w:t>
      </w:r>
    </w:p>
    <w:p w14:paraId="1BA23907"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 xml:space="preserve">هدفت الدراسة إلى التعرف على إمكانات الذكاء الاصطناعي التوليدي بأبعاده (التعليم، الأعمال، الصحة، التقنية، الإعلام) عبر مختلف التخصصات وتقديم رؤى للتوجهات المستقبلية. واستخدمت الدراسة المنهج النظري التحليلي القائم على آراء الخبراء والمراجعة الأدبية المتعددة التخصصات، وشاركت فيها مجموعة من الباحثين المتخصصين دون عينة ميدانية كمية. وتوصلت نتائج الدراسة إلى أن الذكاء الاصطناعي التوليدي يمتلك إمكانات هائلة لإحداث </w:t>
      </w:r>
      <w:r w:rsidRPr="00890556">
        <w:rPr>
          <w:rFonts w:ascii="Traditional Arabic" w:hAnsi="Traditional Arabic" w:cs="Traditional Arabic"/>
          <w:sz w:val="32"/>
          <w:szCs w:val="32"/>
          <w:rtl/>
        </w:rPr>
        <w:lastRenderedPageBreak/>
        <w:t>تحولات جوهرية في مختلف التخصصات، مع وجود تحديات مشتركة تتعلق بالأخلاقيات والتحيز والشفافية. وأوصت الدراسة بضرورة تطوير أطر بحثية متعددة التخصصات لاستكشاف تطبيقات الذكاء الاصطناعي التوليدي ومعالجة تحدياته</w:t>
      </w:r>
      <w:r w:rsidRPr="00890556">
        <w:rPr>
          <w:rFonts w:ascii="Traditional Arabic" w:hAnsi="Traditional Arabic" w:cs="Traditional Arabic"/>
          <w:sz w:val="32"/>
          <w:szCs w:val="32"/>
        </w:rPr>
        <w:t>.</w:t>
      </w:r>
    </w:p>
    <w:p w14:paraId="39728FEB" w14:textId="1A1570C8"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Rayhan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“Exploring The Role and Impact of Generative AI in Enhancing Skilled Workforce Efficiency and Modern Workplace Dynamics for Maximum Organizational Output”</w:t>
      </w:r>
    </w:p>
    <w:p w14:paraId="7B08040F"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استكشاف دور وأثر الذكاء الاصطناعي التوليدي بأبعاده (تعزيز الكفاءة، تطوير المهارات، تحسين التواصل، دعم الابتكار) في تعزيز كفاءة القوى العاملة الماهرة وديناميكيات بيئة العمل الحديثة لتحقيق أقصى مخرجات تنظيمية. واستخدمت الدراسة منهج المراجعة النصية والتقييم المفاهيمي القائم على تحليل الأدبيات، دون عينة ميدانية. وتوصلت نتائج الدراسة إلى أن الذكاء الاصطناعي التوليدي يعزز كفاءة العاملين ويعيد تشكيل ديناميكيات بيئة العمل من خلال أتمتة المهام الروتينية وتمكين العاملين من التركيز على المهام الإبداعية والاستراتيجية. وأوصت الدراسة بضرورة الاستثمار في تدريب القوى العاملة على توظيف الذكاء الاصطناعي التوليدي ووضع سياسات تنظيمية تدعم تبنيه</w:t>
      </w:r>
      <w:r w:rsidRPr="00890556">
        <w:rPr>
          <w:rFonts w:ascii="Traditional Arabic" w:hAnsi="Traditional Arabic" w:cs="Traditional Arabic"/>
          <w:sz w:val="32"/>
          <w:szCs w:val="32"/>
        </w:rPr>
        <w:t>.</w:t>
      </w:r>
    </w:p>
    <w:p w14:paraId="2FF8E57E"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المجموعة الثانية: الدراسات التي تناولت بيئة العمل وعلاقتها بالمتغيرات الأخرى</w:t>
      </w:r>
    </w:p>
    <w:p w14:paraId="7A88E052"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أولاً: الدراسات العربية</w:t>
      </w:r>
    </w:p>
    <w:p w14:paraId="7012A9EA" w14:textId="2F4E82A0"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شحات (2021) بعنوان: “تصميم نظم العمل وتطوير بيئة العمل التنظيمية في المكتبات العامة</w:t>
      </w:r>
      <w:r w:rsidRPr="00890556">
        <w:rPr>
          <w:rFonts w:ascii="Traditional Arabic" w:hAnsi="Traditional Arabic" w:cs="Traditional Arabic"/>
          <w:b/>
          <w:bCs/>
          <w:sz w:val="32"/>
          <w:szCs w:val="32"/>
        </w:rPr>
        <w:t>”</w:t>
      </w:r>
    </w:p>
    <w:p w14:paraId="170D673A"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دور تصميم نظم العمل بأبعاده (هيكلة الوظائف، توزيع المهام، تصميم سير العمل، البيئة المادية) في تطوير بيئة العمل التنظيمية في المكتبات العامة. واستخدمت الدراسة المنهج الوصفي التحليلي، وتكونت العينة من (85) مفردة من العاملين في المكتبات العامة. وتوصلت نتائج الدراسة إلى أن تصميم نظم العمل بشكل علمي ومدروس يسهم بشكل ملحوظ في تطوير بيئة العمل التنظيمية في المكتبات العامة، مما ينعكس إيجاباً على أداء العاملين وجودة الخدمات المقدمة. وأوصت الدراسة بضرورة تبني المكتبات العامة لمنهجيات حديثة في تصميم نظم العمل وتطوير بيئة العمل التنظيمية</w:t>
      </w:r>
      <w:r w:rsidRPr="00890556">
        <w:rPr>
          <w:rFonts w:ascii="Traditional Arabic" w:hAnsi="Traditional Arabic" w:cs="Traditional Arabic"/>
          <w:sz w:val="32"/>
          <w:szCs w:val="32"/>
        </w:rPr>
        <w:t>.</w:t>
      </w:r>
    </w:p>
    <w:p w14:paraId="783DE13A" w14:textId="71F6092A"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lastRenderedPageBreak/>
        <w:t>دراسة المطيري والحازمي (2023) بعنوان: “أثر بيئة العمل التنظيمية على أداء العاملين: دراسة تطبيقية في مستشفيات وزارة الصحة بمنطقة المدينة المنورة</w:t>
      </w:r>
      <w:r w:rsidRPr="00890556">
        <w:rPr>
          <w:rFonts w:ascii="Traditional Arabic" w:hAnsi="Traditional Arabic" w:cs="Traditional Arabic"/>
          <w:b/>
          <w:bCs/>
          <w:sz w:val="32"/>
          <w:szCs w:val="32"/>
        </w:rPr>
        <w:t>”</w:t>
      </w:r>
    </w:p>
    <w:p w14:paraId="78F66102"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بيئة العمل التنظيمية بأبعادها (البيئة المادية، العلاقات الإنسانية، القيادة، الحوافز، الاتصال التنظيمي) على أداء العاملين في مستشفيات وزارة الصحة بمنطقة المدينة المنورة. واستخدمت الدراسة المنهج الوصفي التحليلي، وتكونت العينة من (370) مفردة من العاملين في مستشفيات وزارة الصحة بالمدينة المنورة. وتوصلت نتائج الدراسة إلى وجود أثر إيجابي ودال إحصائياً لبيئة العمل التنظيمية بأبعادها على أداء العاملين. وأوصت الدراسة بضرورة الاهتمام بتحسين بيئة العمل التنظيمية في المستشفيات من خلال تطوير العلاقات الإنسانية وأنظمة الحوافز والقيادة الفاعلة</w:t>
      </w:r>
      <w:r w:rsidRPr="00890556">
        <w:rPr>
          <w:rFonts w:ascii="Traditional Arabic" w:hAnsi="Traditional Arabic" w:cs="Traditional Arabic"/>
          <w:sz w:val="32"/>
          <w:szCs w:val="32"/>
        </w:rPr>
        <w:t>.</w:t>
      </w:r>
    </w:p>
    <w:p w14:paraId="1EF47C25" w14:textId="06CA96AF"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الجماعين وجودة (2022) بعنوان: “مستجدات بيئة الأعمال الحديثة وأثرها على الإنتاج في ظل استخدام مدخل إدارة التكلفة في الشركات الصناعية المدرجة في بورصة عمان</w:t>
      </w:r>
      <w:r w:rsidRPr="00890556">
        <w:rPr>
          <w:rFonts w:ascii="Traditional Arabic" w:hAnsi="Traditional Arabic" w:cs="Traditional Arabic"/>
          <w:b/>
          <w:bCs/>
          <w:sz w:val="32"/>
          <w:szCs w:val="32"/>
        </w:rPr>
        <w:t>”</w:t>
      </w:r>
    </w:p>
    <w:p w14:paraId="244B5901"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مستجدات بيئة الأعمال الحديثة بأبعادها (التطور التكنولوجي، المنافسة العالمية، توقعات العملاء، الجودة الشاملة) وأثرها على الإنتاج في ظل استخدام مدخل إدارة التكلفة في الشركات الصناعية المدرجة في بورصة عمان. واستخدمت الدراسة المنهج الوصفي التحليلي، وتكونت العينة من (110) مفردة من المديرين الماليين والمحاسبين في الشركات الصناعية المدرجة في بورصة عمان. وتوصلت نتائج الدراسة إلى وجود أثر إيجابي ودال إحصائياً لمستجدات بيئة الأعمال الحديثة على الإنتاج في ظل تطبيق مدخل إدارة التكلفة. وأوصت الدراسة بضرورة مواكبة الشركات الصناعية لمستجدات بيئة الأعمال الحديثة وتبني مداخل إدارة التكلفة لتعزيز كفاءة الإنتاج</w:t>
      </w:r>
      <w:r w:rsidRPr="00890556">
        <w:rPr>
          <w:rFonts w:ascii="Traditional Arabic" w:hAnsi="Traditional Arabic" w:cs="Traditional Arabic"/>
          <w:sz w:val="32"/>
          <w:szCs w:val="32"/>
        </w:rPr>
        <w:t>.</w:t>
      </w:r>
    </w:p>
    <w:p w14:paraId="79A252BA" w14:textId="250365F5"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السلمي وحداد (2022) بعنوان: “أثر بيئة العمل الداخلية على الإبداع الإداري: بالتطبيق على عينة من الأكاديميين بجامعة الملك عبدالعزيز بمدينة جدة</w:t>
      </w:r>
      <w:r w:rsidRPr="00890556">
        <w:rPr>
          <w:rFonts w:ascii="Traditional Arabic" w:hAnsi="Traditional Arabic" w:cs="Traditional Arabic"/>
          <w:b/>
          <w:bCs/>
          <w:sz w:val="32"/>
          <w:szCs w:val="32"/>
        </w:rPr>
        <w:t>”</w:t>
      </w:r>
    </w:p>
    <w:p w14:paraId="634CA1D4"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 xml:space="preserve">هدفت الدراسة إلى التعرف على أثر بيئة العمل الداخلية بأبعادها (البيئة المادية، نمط القيادة، الحوافز، العلاقات بين الزملاء، الاتصال الإداري) على الإبداع الإداري لدى الأكاديميين بجامعة الملك عبدالعزيز بمدينة جدة. واستخدمت الدراسة المنهج الوصفي التحليلي، وتكونت العينة من (250) مفردة من الأكاديميين بجامعة الملك عبدالعزيز. وتوصلت نتائج الدراسة إلى وجود أثر إيجابي ودال إحصائياً لبيئة العمل الداخلية بأبعادها على الإبداع الإداري لدى </w:t>
      </w:r>
      <w:r w:rsidRPr="00890556">
        <w:rPr>
          <w:rFonts w:ascii="Traditional Arabic" w:hAnsi="Traditional Arabic" w:cs="Traditional Arabic"/>
          <w:sz w:val="32"/>
          <w:szCs w:val="32"/>
          <w:rtl/>
        </w:rPr>
        <w:lastRenderedPageBreak/>
        <w:t>الأكاديميين. وأوصت الدراسة بضرورة تطوير بيئة العمل الداخلية في الجامعات بما يدعم الإبداع الإداري لدى أعضاء هيئة التدريس</w:t>
      </w:r>
      <w:r w:rsidRPr="00890556">
        <w:rPr>
          <w:rFonts w:ascii="Traditional Arabic" w:hAnsi="Traditional Arabic" w:cs="Traditional Arabic"/>
          <w:sz w:val="32"/>
          <w:szCs w:val="32"/>
        </w:rPr>
        <w:t>.</w:t>
      </w:r>
    </w:p>
    <w:p w14:paraId="0DE93063"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ثانياً: الدراسات الأجنبية</w:t>
      </w:r>
    </w:p>
    <w:p w14:paraId="45F20ECC" w14:textId="0E6B2C31"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Yadav (2025)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“The Role of Globalization in Shaping Modern Workplaces: Trends, Opportunities, and Challenges”</w:t>
      </w:r>
    </w:p>
    <w:p w14:paraId="722E70DD"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دور العولمة بأبعادها (التكامل الاقتصادي، التنوع الثقافي، التطور التكنولوجي، تنقل العمالة) في تشكيل بيئات العمل الحديثة من حيث الاتجاهات والفرص والتحديات. واستخدمت الدراسة المنهج الوصفي التحليلي القائم على مراجعة الأدبيات، دون عينة ميدانية كمية. وتوصلت نتائج الدراسة إلى أن العولمة قد أعادت تشكيل بيئات العمل الحديثة من خلال تعزيز التنوع الثقافي والمرونة في العمل وتبني التقنيات الرقمية، مع وجود تحديات تتعلق بالفجوة الرقمية والتفاوت الاقتصادي. وأوصت الدراسة بضرورة بناء سياسات تنظيمية مرنة تواكب تأثيرات العولمة على بيئات العمل الحديثة</w:t>
      </w:r>
      <w:r w:rsidRPr="00890556">
        <w:rPr>
          <w:rFonts w:ascii="Traditional Arabic" w:hAnsi="Traditional Arabic" w:cs="Traditional Arabic"/>
          <w:sz w:val="32"/>
          <w:szCs w:val="32"/>
        </w:rPr>
        <w:t>.</w:t>
      </w:r>
    </w:p>
    <w:p w14:paraId="7AACB66F" w14:textId="3CA8BB29"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Mangarella</w:t>
      </w:r>
      <w:r>
        <w:rPr>
          <w:rFonts w:ascii="Traditional Arabic" w:hAnsi="Traditional Arabic" w:cs="Traditional Arabic"/>
          <w:b/>
          <w:bCs/>
          <w:sz w:val="32"/>
          <w:szCs w:val="32"/>
        </w:rPr>
        <w:t xml:space="preserve"> et al.,</w:t>
      </w:r>
      <w:r w:rsidRPr="00890556">
        <w:rPr>
          <w:rFonts w:ascii="Traditional Arabic" w:hAnsi="Traditional Arabic" w:cs="Traditional Arabic"/>
          <w:b/>
          <w:bCs/>
          <w:sz w:val="32"/>
          <w:szCs w:val="32"/>
        </w:rPr>
        <w:t xml:space="preserve"> (2025)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“Shifting expectations: How employee experience is shaping the modern workplace”</w:t>
      </w:r>
    </w:p>
    <w:p w14:paraId="4EDFACBF"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كيفية تشكيل تجربة الموظف بأبعادها (البيئة المادية، الثقافة التنظيمية، التكنولوجيا، الرفاهية، المرونة) لبيئة العمل الحديثة في ضوء التوقعات المتغيرة. واستخدمت الدراسة المنهج الوصفي التحليلي القائم على مراجعة الممارسات والأدبيات الحديثة في إدارة العقارات المؤسسية وتجربة الموظف، حيث استندت إلى تحليل حالات وممارسات تنظيمية دون عينة إحصائية محددة. وتوصلت نتائج الدراسة إلى أن تجربة الموظف أصبحت محركاً رئيسياً في إعادة تشكيل بيئات العمل الحديثة، حيث تتطلب المنظمات تصميم بيئات عمل مرنة وداعمة لرفاهية الموظفين. وأوصت الدراسة بضرورة تبني المنظمات لاستراتيجيات شاملة تركز على تجربة الموظف في تصميم بيئات العمل الحديثة</w:t>
      </w:r>
      <w:r w:rsidRPr="00890556">
        <w:rPr>
          <w:rFonts w:ascii="Traditional Arabic" w:hAnsi="Traditional Arabic" w:cs="Traditional Arabic"/>
          <w:sz w:val="32"/>
          <w:szCs w:val="32"/>
        </w:rPr>
        <w:t>.</w:t>
      </w:r>
    </w:p>
    <w:p w14:paraId="75F2EEEE" w14:textId="3020E6C4"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Yas et al.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“The Impact of Intellectual Property Rights and the Work Environment on Information Security in the United Arab Emirates”</w:t>
      </w:r>
    </w:p>
    <w:p w14:paraId="03C50E9C"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lastRenderedPageBreak/>
        <w:t>هدفت الدراسة إلى التعرف على أثر حقوق الملكية الفكرية وبيئة العمل بأبعادها (البيئة المادية، السياسات التنظيمية، الثقافة المؤسسية، التدريب) على أمن المعلومات في دولة الإمارات العربية المتحدة. واستخدمت الدراسة المنهج الوصفي التحليلي، وتكونت العينة من (300) مفردة من العاملين في المؤسسات الإماراتية المعنية بأمن المعلومات. وتوصلت نتائج الدراسة إلى وجود أثر إيجابي ودال إحصائياً لكل من حقوق الملكية الفكرية وبيئة العمل على أمن المعلومات في المؤسسات الإماراتية. وأوصت الدراسة بضرورة تعزيز التشريعات المتعلقة بحقوق الملكية الفكرية وتطوير بيئة العمل لدعم أمن المعلومات في المؤسسات</w:t>
      </w:r>
      <w:r w:rsidRPr="00890556">
        <w:rPr>
          <w:rFonts w:ascii="Traditional Arabic" w:hAnsi="Traditional Arabic" w:cs="Traditional Arabic"/>
          <w:sz w:val="32"/>
          <w:szCs w:val="32"/>
        </w:rPr>
        <w:t>.</w:t>
      </w:r>
    </w:p>
    <w:p w14:paraId="0C5779D2" w14:textId="27D63FF7" w:rsidR="008D1C82" w:rsidRPr="00193FA4" w:rsidRDefault="00D439AC" w:rsidP="00890556">
      <w:pPr>
        <w:pStyle w:val="Heading1"/>
        <w:rPr>
          <w:rtl/>
        </w:rPr>
      </w:pPr>
      <w:r w:rsidRPr="00193FA4">
        <w:rPr>
          <w:rFonts w:hint="cs"/>
          <w:rtl/>
        </w:rPr>
        <w:t>الفجوة البحثية</w:t>
      </w:r>
      <w:bookmarkEnd w:id="16"/>
      <w:r w:rsidRPr="00193FA4">
        <w:rPr>
          <w:rFonts w:hint="cs"/>
          <w:rtl/>
        </w:rPr>
        <w:t xml:space="preserve"> </w:t>
      </w:r>
    </w:p>
    <w:p w14:paraId="0AEBDB77" w14:textId="0D5F4F75" w:rsidR="002B7A02" w:rsidRPr="002B7A02" w:rsidRDefault="002B7A02" w:rsidP="002B7A02">
      <w:pPr>
        <w:jc w:val="both"/>
        <w:rPr>
          <w:rFonts w:ascii="Traditional Arabic" w:hAnsi="Traditional Arabic" w:cs="Traditional Arabic"/>
          <w:sz w:val="32"/>
          <w:szCs w:val="32"/>
        </w:rPr>
      </w:pPr>
      <w:r w:rsidRPr="002B7A02">
        <w:rPr>
          <w:rFonts w:ascii="Traditional Arabic" w:hAnsi="Traditional Arabic" w:cs="Traditional Arabic"/>
          <w:sz w:val="32"/>
          <w:szCs w:val="32"/>
          <w:rtl/>
        </w:rPr>
        <w:t xml:space="preserve">من خلال الاستعراض المتأني للدراسات السابقة بمجموعتيها، يتضح أن معظم تلك الدراسات قد تناولت متغير الذكاء الاصطناعي التوليدي بشكل منفصل عن متغير بيئة العمل الحديثة، حيث ركزت الدراسات التي تناولت الذكاء الاصطناعي التوليدي على ربطه بمتغيرات أخرى متنوعة كمهارات البرمجة في دراسة عالم والفراني (2024)، والهوية الثقافية في دراسة أحمد </w:t>
      </w:r>
      <w:r w:rsidRPr="002B7A02">
        <w:rPr>
          <w:rFonts w:ascii="Traditional Arabic" w:hAnsi="Traditional Arabic" w:cs="Traditional Arabic"/>
          <w:sz w:val="32"/>
          <w:szCs w:val="32"/>
        </w:rPr>
        <w:t>(2025)</w:t>
      </w:r>
      <w:r w:rsidRPr="002B7A02">
        <w:rPr>
          <w:rFonts w:ascii="Traditional Arabic" w:hAnsi="Traditional Arabic" w:cs="Traditional Arabic"/>
          <w:sz w:val="32"/>
          <w:szCs w:val="32"/>
          <w:rtl/>
        </w:rPr>
        <w:t xml:space="preserve">، وممارسات إدارة الموارد البشرية في دراسة حراز وأبو العز وشبانة </w:t>
      </w:r>
      <w:r w:rsidRPr="002B7A02">
        <w:rPr>
          <w:rFonts w:ascii="Traditional Arabic" w:hAnsi="Traditional Arabic" w:cs="Traditional Arabic"/>
          <w:sz w:val="32"/>
          <w:szCs w:val="32"/>
        </w:rPr>
        <w:t>(2025)</w:t>
      </w:r>
      <w:r w:rsidRPr="002B7A02">
        <w:rPr>
          <w:rFonts w:ascii="Traditional Arabic" w:hAnsi="Traditional Arabic" w:cs="Traditional Arabic"/>
          <w:sz w:val="32"/>
          <w:szCs w:val="32"/>
          <w:rtl/>
        </w:rPr>
        <w:t>، وجودة الأداء التدريسي في دراسة الغامدي، ريم (2025)، وجودة التقارير المالية في دراسة عقيلي (2024)، والتعليم العالي في دراسة السماني وآخرون (2025). في حين تناولت الدراسات التي اهتمت ببيئة العمل علاقتها بمتغيرات تقليدية كأداء العاملين في دراسة المطيري والحازمي</w:t>
      </w:r>
      <w:r w:rsidRPr="002B7A02">
        <w:rPr>
          <w:rFonts w:ascii="Traditional Arabic" w:hAnsi="Traditional Arabic" w:cs="Traditional Arabic"/>
          <w:sz w:val="32"/>
          <w:szCs w:val="32"/>
        </w:rPr>
        <w:t xml:space="preserve"> (2023)</w:t>
      </w:r>
      <w:r w:rsidRPr="002B7A02">
        <w:rPr>
          <w:rFonts w:ascii="Traditional Arabic" w:hAnsi="Traditional Arabic" w:cs="Traditional Arabic"/>
          <w:sz w:val="32"/>
          <w:szCs w:val="32"/>
          <w:rtl/>
        </w:rPr>
        <w:t>، والإبداع الإداري في دراسة السلمي وحداد (2022)، والإنتاج في دراسة الجماعين وجودة (2022)، وأمن المعلومات في دراسة</w:t>
      </w:r>
      <w:r w:rsidRPr="002B7A02">
        <w:rPr>
          <w:rFonts w:ascii="Traditional Arabic" w:hAnsi="Traditional Arabic" w:cs="Traditional Arabic"/>
          <w:sz w:val="32"/>
          <w:szCs w:val="32"/>
        </w:rPr>
        <w:t xml:space="preserve"> Yas et al. (2024). </w:t>
      </w:r>
      <w:r w:rsidRPr="002B7A02">
        <w:rPr>
          <w:rFonts w:ascii="Traditional Arabic" w:hAnsi="Traditional Arabic" w:cs="Traditional Arabic"/>
          <w:sz w:val="32"/>
          <w:szCs w:val="32"/>
          <w:rtl/>
        </w:rPr>
        <w:t xml:space="preserve">ومن هنا تبرز الفجوة البحثية الأولى المتمثلة في ندرة الدراسات التي جمعت بين متغيري الذكاء الاصطناعي التوليدي وبيئة العمل الحديثة في إطار بحثي متكامل، حيث تُعدّ الدراسة الحالية من الدراسات الرائدة التي تستهدف الكشف عن أثر الذكاء الاصطناعي التوليدي بأبعاده الأربعة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w:t>
      </w:r>
      <w:r>
        <w:rPr>
          <w:rFonts w:ascii="Traditional Arabic" w:hAnsi="Traditional Arabic" w:cs="Traditional Arabic" w:hint="cs"/>
          <w:sz w:val="32"/>
          <w:szCs w:val="32"/>
          <w:rtl/>
        </w:rPr>
        <w:t>(</w:t>
      </w:r>
      <w:r w:rsidRPr="002B7A02">
        <w:rPr>
          <w:rFonts w:ascii="Traditional Arabic" w:hAnsi="Traditional Arabic" w:cs="Traditional Arabic"/>
          <w:sz w:val="32"/>
          <w:szCs w:val="32"/>
          <w:rtl/>
        </w:rPr>
        <w:t>البيئة المادية والتكنولوجية، الثقافة التنظيمية والعلاقات الإنسانية، المرونة التنظيمية وتجربة الموظف، السياسات التنظيمية وأمن المعلومات</w:t>
      </w:r>
      <w:r>
        <w:rPr>
          <w:rFonts w:ascii="Traditional Arabic" w:hAnsi="Traditional Arabic" w:cs="Traditional Arabic" w:hint="cs"/>
          <w:sz w:val="32"/>
          <w:szCs w:val="32"/>
          <w:rtl/>
        </w:rPr>
        <w:t>)</w:t>
      </w:r>
      <w:r w:rsidRPr="002B7A02">
        <w:rPr>
          <w:rFonts w:ascii="Traditional Arabic" w:hAnsi="Traditional Arabic" w:cs="Traditional Arabic"/>
          <w:sz w:val="32"/>
          <w:szCs w:val="32"/>
        </w:rPr>
        <w:t>.</w:t>
      </w:r>
    </w:p>
    <w:p w14:paraId="1481611F" w14:textId="77777777" w:rsidR="002B7A02" w:rsidRPr="002B7A02" w:rsidRDefault="002B7A02" w:rsidP="002B7A02">
      <w:pPr>
        <w:jc w:val="both"/>
        <w:rPr>
          <w:rFonts w:ascii="Traditional Arabic" w:hAnsi="Traditional Arabic" w:cs="Traditional Arabic"/>
          <w:sz w:val="32"/>
          <w:szCs w:val="32"/>
        </w:rPr>
      </w:pPr>
      <w:r w:rsidRPr="002B7A02">
        <w:rPr>
          <w:rFonts w:ascii="Traditional Arabic" w:hAnsi="Traditional Arabic" w:cs="Traditional Arabic"/>
          <w:sz w:val="32"/>
          <w:szCs w:val="32"/>
          <w:rtl/>
        </w:rPr>
        <w:t>على صعيد المنهجية وبيئة التطبيق، يلاحظ الباحث أن الدراسات السابقة قد تنوعت في مناهجها بين المنهج شبه التجريبي كدراسة عالم والفراني (2024) ودراسة الغامدي، نحاء (2025) ودراسة الشريف</w:t>
      </w:r>
      <w:r w:rsidRPr="002B7A02">
        <w:rPr>
          <w:rFonts w:ascii="Traditional Arabic" w:hAnsi="Traditional Arabic" w:cs="Traditional Arabic"/>
          <w:sz w:val="32"/>
          <w:szCs w:val="32"/>
        </w:rPr>
        <w:t xml:space="preserve"> (2026)</w:t>
      </w:r>
      <w:r w:rsidRPr="002B7A02">
        <w:rPr>
          <w:rFonts w:ascii="Traditional Arabic" w:hAnsi="Traditional Arabic" w:cs="Traditional Arabic"/>
          <w:sz w:val="32"/>
          <w:szCs w:val="32"/>
          <w:rtl/>
        </w:rPr>
        <w:t>، والمنهج النظري التحليلي القائم على مراجعة الأدبيات كدراسة</w:t>
      </w:r>
      <w:r w:rsidRPr="002B7A02">
        <w:rPr>
          <w:rFonts w:ascii="Traditional Arabic" w:hAnsi="Traditional Arabic" w:cs="Traditional Arabic"/>
          <w:sz w:val="32"/>
          <w:szCs w:val="32"/>
        </w:rPr>
        <w:t xml:space="preserve"> Al Naqbi, Bahroun, &amp; Ahmed (2024) </w:t>
      </w:r>
      <w:r w:rsidRPr="002B7A02">
        <w:rPr>
          <w:rFonts w:ascii="Traditional Arabic" w:hAnsi="Traditional Arabic" w:cs="Traditional Arabic"/>
          <w:sz w:val="32"/>
          <w:szCs w:val="32"/>
          <w:rtl/>
        </w:rPr>
        <w:lastRenderedPageBreak/>
        <w:t>ودراسة</w:t>
      </w:r>
      <w:r w:rsidRPr="002B7A02">
        <w:rPr>
          <w:rFonts w:ascii="Traditional Arabic" w:hAnsi="Traditional Arabic" w:cs="Traditional Arabic"/>
          <w:sz w:val="32"/>
          <w:szCs w:val="32"/>
        </w:rPr>
        <w:t xml:space="preserve"> Rane (2023)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Chowdhury, Budhwar, &amp; Wood (2024)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Rayhan (2024)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Yadav (2025)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Mangarella, Black, &amp; Ward (2025)</w:t>
      </w:r>
      <w:r w:rsidRPr="002B7A02">
        <w:rPr>
          <w:rFonts w:ascii="Traditional Arabic" w:hAnsi="Traditional Arabic" w:cs="Traditional Arabic"/>
          <w:sz w:val="32"/>
          <w:szCs w:val="32"/>
          <w:rtl/>
        </w:rPr>
        <w:t>، والمنهج الوصفي التحليلي في عدد من الدراسات الأخرى. كما تنوعت بيئات التطبيق بين القطاع التعليمي والصناعي والمالي والصحي والأكاديمي والإعلامي في بيئات جغرافية متعددة كمصر والأردن والسودان والإمارات والمملكة العربية السعودية ودول أخرى. ومن هنا تبرز الفجوة البحثية الثانية المتمثلة في محدودية الدراسات الميدانية التي تستهدف المؤسسات الحكومية السعودية تحديداً في دراسة أثر الذكاء الاصطناعي التوليدي على بيئة العمل الحديثة، رغم أن القطاع الحكومي السعودي يُعدّ من أكثر القطاعات تأثراً بالتحول الرقمي في إطار رؤية المملكة 2030، وهو ما يستدعي إجراء دراسات ميدانية تستند إلى المنهج الوصفي التحليلي وتعتمد على الاستبانة كأداة رئيسية لجمع البيانات من العاملين في هذه المؤسسات</w:t>
      </w:r>
      <w:r w:rsidRPr="002B7A02">
        <w:rPr>
          <w:rFonts w:ascii="Traditional Arabic" w:hAnsi="Traditional Arabic" w:cs="Traditional Arabic"/>
          <w:sz w:val="32"/>
          <w:szCs w:val="32"/>
        </w:rPr>
        <w:t>.</w:t>
      </w:r>
    </w:p>
    <w:p w14:paraId="42779C7B" w14:textId="691299BE" w:rsidR="002B7A02" w:rsidRPr="002B7A02" w:rsidRDefault="002B7A02" w:rsidP="002B7A02">
      <w:pPr>
        <w:jc w:val="both"/>
        <w:rPr>
          <w:rFonts w:ascii="Traditional Arabic" w:hAnsi="Traditional Arabic" w:cs="Traditional Arabic"/>
          <w:b/>
          <w:bCs/>
          <w:sz w:val="32"/>
          <w:szCs w:val="32"/>
        </w:rPr>
      </w:pPr>
      <w:r w:rsidRPr="002B7A02">
        <w:rPr>
          <w:rFonts w:ascii="Traditional Arabic" w:hAnsi="Traditional Arabic" w:cs="Traditional Arabic"/>
          <w:b/>
          <w:bCs/>
          <w:sz w:val="32"/>
          <w:szCs w:val="32"/>
          <w:rtl/>
        </w:rPr>
        <w:t>ما تميزت به الدراسة الحالية</w:t>
      </w:r>
    </w:p>
    <w:p w14:paraId="01BAF9B2" w14:textId="77777777" w:rsidR="002B7A02" w:rsidRPr="002B7A02" w:rsidRDefault="002B7A02" w:rsidP="002B7A02">
      <w:pPr>
        <w:jc w:val="both"/>
        <w:rPr>
          <w:rFonts w:ascii="Traditional Arabic" w:hAnsi="Traditional Arabic" w:cs="Traditional Arabic"/>
          <w:sz w:val="32"/>
          <w:szCs w:val="32"/>
        </w:rPr>
      </w:pPr>
      <w:r w:rsidRPr="002B7A02">
        <w:rPr>
          <w:rFonts w:ascii="Traditional Arabic" w:hAnsi="Traditional Arabic" w:cs="Traditional Arabic"/>
          <w:sz w:val="32"/>
          <w:szCs w:val="32"/>
          <w:rtl/>
        </w:rPr>
        <w:t>في ضوء ما سبق، تتميز الدراسة الحالية عن سابقاتها بجملة من الإسهامات التي تسد الفجوات البحثية المرصودة، إذ تُعدّ من الدراسات العربية الأولى التي تجمع بين متغيري الذكاء الاصطناعي التوليدي وبيئة العمل الحديثة في إطار بحثي متكامل ومتعدد الأبعاد، حيث تتبنى نموذجاً تحليلياً يربط بين أربعة أبعاد للذكاء الاصطناعي التوليدي وأربعة أبعاد لبيئة العمل الحديثة، وهي أبعاد لم يسبق دراستها مجتمعةً في الأدبيات العربية. كما تتميز الدراسة بكونها تستهدف بيئة تطبيقية بكرٍ نسبياً تتمثل في المؤسسات الحكومية السعودية التي تشهد تحولات رقمية متسارعة في إطار رؤية المملكة 2030، مما يضفي عليها بُعداً استراتيجياً يخدم صانعي القرار. وتتميز كذلك بحداثة بياناتها الإحصائية الداعمة لمشكلتها، واعتمادها على أداة قياس مطورة (استبانة) تستند إلى مزيج من المراجع العربية والأجنبية الحديثة في صياغة أبعادها وفقراتها، فضلاً عن توظيفها لأساليب إحصائية متقدمة كتحليل الانحدار المتعدد لاختبار العلاقات بين المتغيرات، الأمر الذي يُسهم في إثراء الأدبيات العلمية في هذا المجال وتقديم رؤى تطبيقية تخدم القطاع الحكومي السعودي</w:t>
      </w:r>
      <w:r w:rsidRPr="002B7A02">
        <w:rPr>
          <w:rFonts w:ascii="Traditional Arabic" w:hAnsi="Traditional Arabic" w:cs="Traditional Arabic"/>
          <w:sz w:val="32"/>
          <w:szCs w:val="32"/>
        </w:rPr>
        <w:t>.</w:t>
      </w:r>
    </w:p>
    <w:p w14:paraId="50532D78" w14:textId="0D36D090" w:rsidR="00E74BB1" w:rsidRPr="00E74BB1" w:rsidRDefault="00E74BB1" w:rsidP="00E74BB1">
      <w:pPr>
        <w:jc w:val="both"/>
        <w:rPr>
          <w:rFonts w:ascii="Traditional Arabic" w:hAnsi="Traditional Arabic" w:cs="Traditional Arabic"/>
          <w:sz w:val="32"/>
          <w:szCs w:val="32"/>
        </w:rPr>
      </w:pPr>
      <w:r w:rsidRPr="00E74BB1">
        <w:rPr>
          <w:rFonts w:ascii="Traditional Arabic" w:hAnsi="Traditional Arabic" w:cs="Traditional Arabic"/>
          <w:sz w:val="32"/>
          <w:szCs w:val="32"/>
        </w:rPr>
        <w:t>.</w:t>
      </w:r>
    </w:p>
    <w:p w14:paraId="12819775" w14:textId="77777777" w:rsidR="002B7A02" w:rsidRDefault="002B7A02" w:rsidP="00D325E6">
      <w:pPr>
        <w:jc w:val="both"/>
        <w:rPr>
          <w:rFonts w:ascii="Traditional Arabic" w:hAnsi="Traditional Arabic" w:cs="Traditional Arabic"/>
          <w:b/>
          <w:bCs/>
          <w:sz w:val="32"/>
          <w:szCs w:val="32"/>
          <w:rtl/>
        </w:rPr>
      </w:pPr>
    </w:p>
    <w:p w14:paraId="4D899F9B" w14:textId="77777777" w:rsidR="002B7A02" w:rsidRDefault="002B7A02" w:rsidP="00D325E6">
      <w:pPr>
        <w:jc w:val="both"/>
        <w:rPr>
          <w:rFonts w:ascii="Traditional Arabic" w:hAnsi="Traditional Arabic" w:cs="Traditional Arabic"/>
          <w:b/>
          <w:bCs/>
          <w:sz w:val="32"/>
          <w:szCs w:val="32"/>
          <w:rtl/>
        </w:rPr>
      </w:pPr>
    </w:p>
    <w:p w14:paraId="71D55919" w14:textId="77777777" w:rsidR="002B7A02" w:rsidRDefault="002B7A02" w:rsidP="00D325E6">
      <w:pPr>
        <w:jc w:val="both"/>
        <w:rPr>
          <w:rFonts w:ascii="Traditional Arabic" w:hAnsi="Traditional Arabic" w:cs="Traditional Arabic"/>
          <w:b/>
          <w:bCs/>
          <w:sz w:val="32"/>
          <w:szCs w:val="32"/>
          <w:rtl/>
        </w:rPr>
      </w:pPr>
    </w:p>
    <w:p w14:paraId="70FBF059" w14:textId="33BCECCE" w:rsidR="00D325E6" w:rsidRDefault="00D325E6" w:rsidP="00D325E6">
      <w:pPr>
        <w:jc w:val="both"/>
        <w:rPr>
          <w:rFonts w:ascii="Traditional Arabic" w:hAnsi="Traditional Arabic" w:cs="Traditional Arabic"/>
          <w:b/>
          <w:bCs/>
          <w:sz w:val="32"/>
          <w:szCs w:val="32"/>
          <w:rtl/>
        </w:rPr>
      </w:pPr>
      <w:r w:rsidRPr="00D325E6">
        <w:rPr>
          <w:rFonts w:ascii="Traditional Arabic" w:hAnsi="Traditional Arabic" w:cs="Traditional Arabic"/>
          <w:b/>
          <w:bCs/>
          <w:sz w:val="32"/>
          <w:szCs w:val="32"/>
          <w:rtl/>
        </w:rPr>
        <w:t>جدول (</w:t>
      </w:r>
      <w:r w:rsidR="00877278">
        <w:rPr>
          <w:rFonts w:ascii="Traditional Arabic" w:hAnsi="Traditional Arabic" w:cs="Traditional Arabic" w:hint="cs"/>
          <w:b/>
          <w:bCs/>
          <w:sz w:val="32"/>
          <w:szCs w:val="32"/>
          <w:rtl/>
        </w:rPr>
        <w:t>1</w:t>
      </w:r>
      <w:r w:rsidRPr="00D325E6">
        <w:rPr>
          <w:rFonts w:ascii="Traditional Arabic" w:hAnsi="Traditional Arabic" w:cs="Traditional Arabic"/>
          <w:b/>
          <w:bCs/>
          <w:sz w:val="32"/>
          <w:szCs w:val="32"/>
          <w:rtl/>
        </w:rPr>
        <w:t>): ملخص للدراسات السابقة</w:t>
      </w:r>
    </w:p>
    <w:p w14:paraId="5C56F9F6" w14:textId="20C8121D" w:rsidR="002B7A02" w:rsidRPr="002B7A02" w:rsidRDefault="002B7A02" w:rsidP="002B7A02">
      <w:pPr>
        <w:jc w:val="both"/>
        <w:rPr>
          <w:rFonts w:ascii="Traditional Arabic" w:hAnsi="Traditional Arabic" w:cs="Traditional Arabic"/>
          <w:b/>
          <w:bCs/>
          <w:sz w:val="32"/>
          <w:szCs w:val="32"/>
        </w:rPr>
      </w:pPr>
      <w:r w:rsidRPr="002B7A02">
        <w:rPr>
          <w:rFonts w:ascii="Traditional Arabic" w:hAnsi="Traditional Arabic" w:cs="Traditional Arabic"/>
          <w:b/>
          <w:bCs/>
          <w:sz w:val="32"/>
          <w:szCs w:val="32"/>
          <w:rtl/>
        </w:rPr>
        <w:t>أولاً: المجموعة الأولى  الدراسات التي تناولت الذكاء الاصطناعي التوليدي وعلاقته بالمتغيرات الأخرى</w:t>
      </w:r>
    </w:p>
    <w:tbl>
      <w:tblPr>
        <w:tblStyle w:val="TableGrid"/>
        <w:bidiVisual/>
        <w:tblW w:w="0" w:type="auto"/>
        <w:tblLook w:val="04A0" w:firstRow="1" w:lastRow="0" w:firstColumn="1" w:lastColumn="0" w:noHBand="0" w:noVBand="1"/>
      </w:tblPr>
      <w:tblGrid>
        <w:gridCol w:w="1453"/>
        <w:gridCol w:w="1405"/>
        <w:gridCol w:w="1321"/>
        <w:gridCol w:w="1320"/>
        <w:gridCol w:w="1291"/>
        <w:gridCol w:w="1172"/>
        <w:gridCol w:w="1054"/>
      </w:tblGrid>
      <w:tr w:rsidR="002B7A02" w:rsidRPr="002B7A02" w14:paraId="3EC87BD5" w14:textId="77777777" w:rsidTr="002B7A02">
        <w:tc>
          <w:tcPr>
            <w:tcW w:w="0" w:type="auto"/>
            <w:hideMark/>
          </w:tcPr>
          <w:p w14:paraId="0FC02C22"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الباحث / السنة</w:t>
            </w:r>
          </w:p>
        </w:tc>
        <w:tc>
          <w:tcPr>
            <w:tcW w:w="0" w:type="auto"/>
            <w:hideMark/>
          </w:tcPr>
          <w:p w14:paraId="5A69DF0E"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عنوان الدراسة</w:t>
            </w:r>
          </w:p>
        </w:tc>
        <w:tc>
          <w:tcPr>
            <w:tcW w:w="0" w:type="auto"/>
            <w:hideMark/>
          </w:tcPr>
          <w:p w14:paraId="2A9EF999"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الهدف الرئيس</w:t>
            </w:r>
          </w:p>
        </w:tc>
        <w:tc>
          <w:tcPr>
            <w:tcW w:w="0" w:type="auto"/>
            <w:hideMark/>
          </w:tcPr>
          <w:p w14:paraId="2FDA306F"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المتغيرات الرئيسة</w:t>
            </w:r>
          </w:p>
        </w:tc>
        <w:tc>
          <w:tcPr>
            <w:tcW w:w="0" w:type="auto"/>
            <w:hideMark/>
          </w:tcPr>
          <w:p w14:paraId="6080E199"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المنهج والأداة</w:t>
            </w:r>
          </w:p>
        </w:tc>
        <w:tc>
          <w:tcPr>
            <w:tcW w:w="0" w:type="auto"/>
            <w:hideMark/>
          </w:tcPr>
          <w:p w14:paraId="4B5B8B2A"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أبرز النتائج</w:t>
            </w:r>
          </w:p>
        </w:tc>
        <w:tc>
          <w:tcPr>
            <w:tcW w:w="0" w:type="auto"/>
            <w:hideMark/>
          </w:tcPr>
          <w:p w14:paraId="11F6A945"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أوجه الاتفاق والاختلاف مع الدراسة الحالية</w:t>
            </w:r>
          </w:p>
        </w:tc>
      </w:tr>
      <w:tr w:rsidR="002B7A02" w:rsidRPr="002B7A02" w14:paraId="400C69B0" w14:textId="77777777" w:rsidTr="002B7A02">
        <w:tc>
          <w:tcPr>
            <w:tcW w:w="0" w:type="auto"/>
            <w:hideMark/>
          </w:tcPr>
          <w:p w14:paraId="2C4363F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عالم والفراني</w:t>
            </w:r>
            <w:r w:rsidRPr="002B7A02">
              <w:rPr>
                <w:rFonts w:ascii="Traditional Arabic" w:hAnsi="Traditional Arabic" w:cs="Traditional Arabic"/>
              </w:rPr>
              <w:t xml:space="preserve"> (2024)</w:t>
            </w:r>
          </w:p>
        </w:tc>
        <w:tc>
          <w:tcPr>
            <w:tcW w:w="0" w:type="auto"/>
            <w:hideMark/>
          </w:tcPr>
          <w:p w14:paraId="305E961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توظيف الذكاء الاصطناعي التوليدي في تنمية مهارات البرمجة لدى الطالبات في مقرر المهارات الرقمية</w:t>
            </w:r>
          </w:p>
        </w:tc>
        <w:tc>
          <w:tcPr>
            <w:tcW w:w="0" w:type="auto"/>
            <w:hideMark/>
          </w:tcPr>
          <w:p w14:paraId="37B0629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أثر توظيف الذكاء الاصطناعي التوليدي في تنمية مهارات البرمجة لدى الطالبات</w:t>
            </w:r>
          </w:p>
        </w:tc>
        <w:tc>
          <w:tcPr>
            <w:tcW w:w="0" w:type="auto"/>
            <w:hideMark/>
          </w:tcPr>
          <w:p w14:paraId="04C244B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التابع: مهارات البرمجة</w:t>
            </w:r>
          </w:p>
        </w:tc>
        <w:tc>
          <w:tcPr>
            <w:tcW w:w="0" w:type="auto"/>
            <w:hideMark/>
          </w:tcPr>
          <w:p w14:paraId="2BD2295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شبه التجريبي – الاختبار والبطاقة الملاحظة</w:t>
            </w:r>
          </w:p>
        </w:tc>
        <w:tc>
          <w:tcPr>
            <w:tcW w:w="0" w:type="auto"/>
            <w:hideMark/>
          </w:tcPr>
          <w:p w14:paraId="3888F62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لتوظيف الذكاء الاصطناعي التوليدي في تنمية مهارات البرمجة لصالح المجموعة التجريبية</w:t>
            </w:r>
          </w:p>
        </w:tc>
        <w:tc>
          <w:tcPr>
            <w:tcW w:w="0" w:type="auto"/>
            <w:hideMark/>
          </w:tcPr>
          <w:p w14:paraId="7958003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كمتغير مستقل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المجال التعليمي ومهارات البرمجة، بينما تركز الدراسة الحالية على بيئة العمل في المؤسسات الحكومية</w:t>
            </w:r>
          </w:p>
        </w:tc>
      </w:tr>
      <w:tr w:rsidR="002B7A02" w:rsidRPr="002B7A02" w14:paraId="181B7A44" w14:textId="77777777" w:rsidTr="002B7A02">
        <w:tc>
          <w:tcPr>
            <w:tcW w:w="0" w:type="auto"/>
            <w:hideMark/>
          </w:tcPr>
          <w:p w14:paraId="373F519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أحمد</w:t>
            </w:r>
            <w:r w:rsidRPr="002B7A02">
              <w:rPr>
                <w:rFonts w:ascii="Traditional Arabic" w:hAnsi="Traditional Arabic" w:cs="Traditional Arabic"/>
              </w:rPr>
              <w:t xml:space="preserve"> (2025)</w:t>
            </w:r>
          </w:p>
        </w:tc>
        <w:tc>
          <w:tcPr>
            <w:tcW w:w="0" w:type="auto"/>
            <w:hideMark/>
          </w:tcPr>
          <w:p w14:paraId="1329E0B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الذكاء الاصطناعي التوليدي</w:t>
            </w:r>
            <w:r w:rsidRPr="002B7A02">
              <w:rPr>
                <w:rFonts w:ascii="Traditional Arabic" w:hAnsi="Traditional Arabic" w:cs="Traditional Arabic"/>
              </w:rPr>
              <w:t xml:space="preserve"> ChatGPT </w:t>
            </w:r>
            <w:r w:rsidRPr="002B7A02">
              <w:rPr>
                <w:rFonts w:ascii="Traditional Arabic" w:hAnsi="Traditional Arabic" w:cs="Traditional Arabic"/>
                <w:rtl/>
              </w:rPr>
              <w:t xml:space="preserve">في تشكيل المعرفة والهوية الثقافية: </w:t>
            </w:r>
            <w:r w:rsidRPr="002B7A02">
              <w:rPr>
                <w:rFonts w:ascii="Traditional Arabic" w:hAnsi="Traditional Arabic" w:cs="Traditional Arabic"/>
                <w:rtl/>
              </w:rPr>
              <w:lastRenderedPageBreak/>
              <w:t>بحث ميداني على جيل</w:t>
            </w:r>
            <w:r w:rsidRPr="002B7A02">
              <w:rPr>
                <w:rFonts w:ascii="Traditional Arabic" w:hAnsi="Traditional Arabic" w:cs="Traditional Arabic"/>
              </w:rPr>
              <w:t xml:space="preserve"> Z </w:t>
            </w:r>
            <w:r w:rsidRPr="002B7A02">
              <w:rPr>
                <w:rFonts w:ascii="Traditional Arabic" w:hAnsi="Traditional Arabic" w:cs="Traditional Arabic"/>
                <w:rtl/>
              </w:rPr>
              <w:t>في القاهرة</w:t>
            </w:r>
          </w:p>
        </w:tc>
        <w:tc>
          <w:tcPr>
            <w:tcW w:w="0" w:type="auto"/>
            <w:hideMark/>
          </w:tcPr>
          <w:p w14:paraId="489F155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التعرف على أثر</w:t>
            </w:r>
            <w:r w:rsidRPr="002B7A02">
              <w:rPr>
                <w:rFonts w:ascii="Traditional Arabic" w:hAnsi="Traditional Arabic" w:cs="Traditional Arabic"/>
              </w:rPr>
              <w:t xml:space="preserve"> ChatGPT </w:t>
            </w:r>
            <w:r w:rsidRPr="002B7A02">
              <w:rPr>
                <w:rFonts w:ascii="Traditional Arabic" w:hAnsi="Traditional Arabic" w:cs="Traditional Arabic"/>
                <w:rtl/>
              </w:rPr>
              <w:t>في تشكيل المعرفة والهوية الثقافية لدى جيل</w:t>
            </w:r>
            <w:r w:rsidRPr="002B7A02">
              <w:rPr>
                <w:rFonts w:ascii="Traditional Arabic" w:hAnsi="Traditional Arabic" w:cs="Traditional Arabic"/>
              </w:rPr>
              <w:t xml:space="preserve"> Z</w:t>
            </w:r>
          </w:p>
        </w:tc>
        <w:tc>
          <w:tcPr>
            <w:tcW w:w="0" w:type="auto"/>
            <w:hideMark/>
          </w:tcPr>
          <w:p w14:paraId="1A0369C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w:t>
            </w:r>
            <w:r w:rsidRPr="002B7A02">
              <w:rPr>
                <w:rFonts w:ascii="Traditional Arabic" w:hAnsi="Traditional Arabic" w:cs="Traditional Arabic"/>
              </w:rPr>
              <w:t xml:space="preserve"> ChatGPT / </w:t>
            </w:r>
            <w:r w:rsidRPr="002B7A02">
              <w:rPr>
                <w:rFonts w:ascii="Traditional Arabic" w:hAnsi="Traditional Arabic" w:cs="Traditional Arabic"/>
                <w:rtl/>
              </w:rPr>
              <w:t xml:space="preserve">التابع: تشكيل </w:t>
            </w:r>
            <w:r w:rsidRPr="002B7A02">
              <w:rPr>
                <w:rFonts w:ascii="Traditional Arabic" w:hAnsi="Traditional Arabic" w:cs="Traditional Arabic"/>
                <w:rtl/>
              </w:rPr>
              <w:lastRenderedPageBreak/>
              <w:t>المعرفة والهوية الثقافية</w:t>
            </w:r>
          </w:p>
        </w:tc>
        <w:tc>
          <w:tcPr>
            <w:tcW w:w="0" w:type="auto"/>
            <w:hideMark/>
          </w:tcPr>
          <w:p w14:paraId="0FFEAF3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المنهج الوصفي التحليلي – الاستبانة</w:t>
            </w:r>
          </w:p>
        </w:tc>
        <w:tc>
          <w:tcPr>
            <w:tcW w:w="0" w:type="auto"/>
            <w:hideMark/>
          </w:tcPr>
          <w:p w14:paraId="3894D7B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 xml:space="preserve">وجود تأثير ملحوظ للذكاء الاصطناعي التوليدي في إعادة تشكيل البنى المعرفية </w:t>
            </w:r>
            <w:r w:rsidRPr="002B7A02">
              <w:rPr>
                <w:rFonts w:ascii="Traditional Arabic" w:hAnsi="Traditional Arabic" w:cs="Traditional Arabic"/>
                <w:rtl/>
              </w:rPr>
              <w:lastRenderedPageBreak/>
              <w:t>لدى الشباب مع مخاوف تتعلق بالهوية الثقافية</w:t>
            </w:r>
          </w:p>
        </w:tc>
        <w:tc>
          <w:tcPr>
            <w:tcW w:w="0" w:type="auto"/>
            <w:hideMark/>
          </w:tcPr>
          <w:p w14:paraId="4123DE7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lastRenderedPageBreak/>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الوصفي والاستبانة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lastRenderedPageBreak/>
              <w:t>ركزت على البُعد الثقافي والمعرفي لدى جيل</w:t>
            </w:r>
            <w:r w:rsidRPr="002B7A02">
              <w:rPr>
                <w:rFonts w:ascii="Traditional Arabic" w:hAnsi="Traditional Arabic" w:cs="Traditional Arabic"/>
              </w:rPr>
              <w:t xml:space="preserve"> Z</w:t>
            </w:r>
            <w:r w:rsidRPr="002B7A02">
              <w:rPr>
                <w:rFonts w:ascii="Traditional Arabic" w:hAnsi="Traditional Arabic" w:cs="Traditional Arabic"/>
                <w:rtl/>
              </w:rPr>
              <w:t>، بينما تركز الدراسة الحالية على بيئة العمل</w:t>
            </w:r>
          </w:p>
        </w:tc>
      </w:tr>
      <w:tr w:rsidR="002B7A02" w:rsidRPr="002B7A02" w14:paraId="04647977" w14:textId="77777777" w:rsidTr="002B7A02">
        <w:tc>
          <w:tcPr>
            <w:tcW w:w="0" w:type="auto"/>
            <w:hideMark/>
          </w:tcPr>
          <w:p w14:paraId="712E4B2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حراز وأبو العز وشبانة</w:t>
            </w:r>
            <w:r w:rsidRPr="002B7A02">
              <w:rPr>
                <w:rFonts w:ascii="Traditional Arabic" w:hAnsi="Traditional Arabic" w:cs="Traditional Arabic"/>
              </w:rPr>
              <w:t xml:space="preserve"> (2025)</w:t>
            </w:r>
          </w:p>
        </w:tc>
        <w:tc>
          <w:tcPr>
            <w:tcW w:w="0" w:type="auto"/>
            <w:hideMark/>
          </w:tcPr>
          <w:p w14:paraId="1806302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جودة القرارات التشغيلية كمتغير وسيط بين الذكاء الاصطناعي التوليدي وممارسات إدارة الموارد البشرية</w:t>
            </w:r>
          </w:p>
        </w:tc>
        <w:tc>
          <w:tcPr>
            <w:tcW w:w="0" w:type="auto"/>
            <w:hideMark/>
          </w:tcPr>
          <w:p w14:paraId="4072DE8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بحث أثر جودة القرارات التشغيلية كمتغير وسيط بين الذكاء الاصطناعي التوليدي وممارسات إدارة الموارد البشرية</w:t>
            </w:r>
          </w:p>
        </w:tc>
        <w:tc>
          <w:tcPr>
            <w:tcW w:w="0" w:type="auto"/>
            <w:hideMark/>
          </w:tcPr>
          <w:p w14:paraId="11CFB30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الوسيط: جودة القرارات / التابع: ممارسات الموارد البشرية</w:t>
            </w:r>
          </w:p>
        </w:tc>
        <w:tc>
          <w:tcPr>
            <w:tcW w:w="0" w:type="auto"/>
            <w:hideMark/>
          </w:tcPr>
          <w:p w14:paraId="68136F5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4CA3B3C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للذكاء الاصطناعي التوليدي على ممارسات إدارة الموارد البشرية بتوسط جزئي لجودة القرارات</w:t>
            </w:r>
          </w:p>
        </w:tc>
        <w:tc>
          <w:tcPr>
            <w:tcW w:w="0" w:type="auto"/>
            <w:hideMark/>
          </w:tcPr>
          <w:p w14:paraId="3F358CB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طُبقت على الشركات الصناعية بدمياط الجديدة بمصر، بينما تستهدف الدراسة الحالية المؤسسات الحكومية السعودية</w:t>
            </w:r>
          </w:p>
        </w:tc>
      </w:tr>
      <w:tr w:rsidR="002B7A02" w:rsidRPr="002B7A02" w14:paraId="388380DF" w14:textId="77777777" w:rsidTr="002B7A02">
        <w:tc>
          <w:tcPr>
            <w:tcW w:w="0" w:type="auto"/>
            <w:hideMark/>
          </w:tcPr>
          <w:p w14:paraId="1D947F0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الغامدي، ريم</w:t>
            </w:r>
            <w:r w:rsidRPr="002B7A02">
              <w:rPr>
                <w:rFonts w:ascii="Traditional Arabic" w:hAnsi="Traditional Arabic" w:cs="Traditional Arabic"/>
              </w:rPr>
              <w:t xml:space="preserve"> (2025)</w:t>
            </w:r>
          </w:p>
        </w:tc>
        <w:tc>
          <w:tcPr>
            <w:tcW w:w="0" w:type="auto"/>
            <w:hideMark/>
          </w:tcPr>
          <w:p w14:paraId="64DB181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توظيف تطبيقات الذكاء الاصطناعي التوليدي على جودة الأداء التدريسي لدى معلمي العلوم</w:t>
            </w:r>
          </w:p>
        </w:tc>
        <w:tc>
          <w:tcPr>
            <w:tcW w:w="0" w:type="auto"/>
            <w:hideMark/>
          </w:tcPr>
          <w:p w14:paraId="4438530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تطبيقات الذكاء الاصطناعي التوليدي على جودة الأداء التدريسي مع التأثيرات الوسيطة</w:t>
            </w:r>
          </w:p>
        </w:tc>
        <w:tc>
          <w:tcPr>
            <w:tcW w:w="0" w:type="auto"/>
            <w:hideMark/>
          </w:tcPr>
          <w:p w14:paraId="3FD5BBC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الوسيط: الكفاءة الذاتية والمرونة المعرفية / التابع: جودة الأداء التدريسي</w:t>
            </w:r>
          </w:p>
        </w:tc>
        <w:tc>
          <w:tcPr>
            <w:tcW w:w="0" w:type="auto"/>
            <w:hideMark/>
          </w:tcPr>
          <w:p w14:paraId="0591E71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495BF5E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 xml:space="preserve">وجود أثر إيجابي دال إحصائياً للذكاء الاصطناعي التوليدي على جودة الأداء التدريسي مع </w:t>
            </w:r>
            <w:r w:rsidRPr="002B7A02">
              <w:rPr>
                <w:rFonts w:ascii="Traditional Arabic" w:hAnsi="Traditional Arabic" w:cs="Traditional Arabic"/>
                <w:rtl/>
              </w:rPr>
              <w:lastRenderedPageBreak/>
              <w:t>دور وسيط للكفاءة والمرونة</w:t>
            </w:r>
          </w:p>
        </w:tc>
        <w:tc>
          <w:tcPr>
            <w:tcW w:w="0" w:type="auto"/>
            <w:hideMark/>
          </w:tcPr>
          <w:p w14:paraId="67F4E1B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lastRenderedPageBreak/>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ركزت على معلمي العلوم في المجال </w:t>
            </w:r>
            <w:r w:rsidRPr="002B7A02">
              <w:rPr>
                <w:rFonts w:ascii="Traditional Arabic" w:hAnsi="Traditional Arabic" w:cs="Traditional Arabic"/>
                <w:rtl/>
              </w:rPr>
              <w:lastRenderedPageBreak/>
              <w:t>التعليمي، بينما تركز الدراسة الحالية على المؤسسات الحكومية</w:t>
            </w:r>
          </w:p>
        </w:tc>
      </w:tr>
      <w:tr w:rsidR="002B7A02" w:rsidRPr="002B7A02" w14:paraId="41993D0D" w14:textId="77777777" w:rsidTr="002B7A02">
        <w:tc>
          <w:tcPr>
            <w:tcW w:w="0" w:type="auto"/>
            <w:hideMark/>
          </w:tcPr>
          <w:p w14:paraId="27F3B39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الفالح</w:t>
            </w:r>
            <w:r w:rsidRPr="002B7A02">
              <w:rPr>
                <w:rFonts w:ascii="Traditional Arabic" w:hAnsi="Traditional Arabic" w:cs="Traditional Arabic"/>
              </w:rPr>
              <w:t xml:space="preserve"> (2025)</w:t>
            </w:r>
          </w:p>
        </w:tc>
        <w:tc>
          <w:tcPr>
            <w:tcW w:w="0" w:type="auto"/>
            <w:hideMark/>
          </w:tcPr>
          <w:p w14:paraId="4B3E8E9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تأثير أدوات الذكاء الاصطناعي التوليدي في منصة</w:t>
            </w:r>
            <w:r w:rsidRPr="002B7A02">
              <w:rPr>
                <w:rFonts w:ascii="Traditional Arabic" w:hAnsi="Traditional Arabic" w:cs="Traditional Arabic"/>
              </w:rPr>
              <w:t xml:space="preserve"> Canva </w:t>
            </w:r>
            <w:r w:rsidRPr="002B7A02">
              <w:rPr>
                <w:rFonts w:ascii="Traditional Arabic" w:hAnsi="Traditional Arabic" w:cs="Traditional Arabic"/>
                <w:rtl/>
              </w:rPr>
              <w:t>على تشكيل الهوية البصرية</w:t>
            </w:r>
          </w:p>
        </w:tc>
        <w:tc>
          <w:tcPr>
            <w:tcW w:w="0" w:type="auto"/>
            <w:hideMark/>
          </w:tcPr>
          <w:p w14:paraId="39F1EB3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تأثير أدوات الذكاء الاصطناعي التوليدي في</w:t>
            </w:r>
            <w:r w:rsidRPr="002B7A02">
              <w:rPr>
                <w:rFonts w:ascii="Traditional Arabic" w:hAnsi="Traditional Arabic" w:cs="Traditional Arabic"/>
              </w:rPr>
              <w:t xml:space="preserve"> Canva </w:t>
            </w:r>
            <w:r w:rsidRPr="002B7A02">
              <w:rPr>
                <w:rFonts w:ascii="Traditional Arabic" w:hAnsi="Traditional Arabic" w:cs="Traditional Arabic"/>
                <w:rtl/>
              </w:rPr>
              <w:t>على تشكيل الهوية البصرية</w:t>
            </w:r>
          </w:p>
        </w:tc>
        <w:tc>
          <w:tcPr>
            <w:tcW w:w="0" w:type="auto"/>
            <w:hideMark/>
          </w:tcPr>
          <w:p w14:paraId="10D8553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أدوات الذكاء الاصطناعي التوليدي / التابع: الهوية البصرية</w:t>
            </w:r>
          </w:p>
        </w:tc>
        <w:tc>
          <w:tcPr>
            <w:tcW w:w="0" w:type="auto"/>
            <w:hideMark/>
          </w:tcPr>
          <w:p w14:paraId="564A3BC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التحليل البصري والمضمون</w:t>
            </w:r>
          </w:p>
        </w:tc>
        <w:tc>
          <w:tcPr>
            <w:tcW w:w="0" w:type="auto"/>
            <w:hideMark/>
          </w:tcPr>
          <w:p w14:paraId="78E52E5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إسهام أدوات الذكاء الاصطناعي التوليدي في تشكيل الهوية البصرية مع احتمالية تنميط التصاميم</w:t>
            </w:r>
          </w:p>
        </w:tc>
        <w:tc>
          <w:tcPr>
            <w:tcW w:w="0" w:type="auto"/>
            <w:hideMark/>
          </w:tcPr>
          <w:p w14:paraId="0B2FBE0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كمتغير مستقل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مجال التصميم والهوية البصرية، بينما تتناول الدراسة الحالية بيئة العمل</w:t>
            </w:r>
          </w:p>
        </w:tc>
      </w:tr>
      <w:tr w:rsidR="002B7A02" w:rsidRPr="002B7A02" w14:paraId="46C572EC" w14:textId="77777777" w:rsidTr="002B7A02">
        <w:tc>
          <w:tcPr>
            <w:tcW w:w="0" w:type="auto"/>
            <w:hideMark/>
          </w:tcPr>
          <w:p w14:paraId="2EC7EBE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الغامدي، نحاء</w:t>
            </w:r>
            <w:r w:rsidRPr="002B7A02">
              <w:rPr>
                <w:rFonts w:ascii="Traditional Arabic" w:hAnsi="Traditional Arabic" w:cs="Traditional Arabic"/>
              </w:rPr>
              <w:t xml:space="preserve"> (2025)</w:t>
            </w:r>
          </w:p>
        </w:tc>
        <w:tc>
          <w:tcPr>
            <w:tcW w:w="0" w:type="auto"/>
            <w:hideMark/>
          </w:tcPr>
          <w:p w14:paraId="46B197A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توظيف أدوات الذكاء الاصطناعي التوليدي في تنمية مهارات التصميم الرقمي والتفكير الإبداعي</w:t>
            </w:r>
          </w:p>
        </w:tc>
        <w:tc>
          <w:tcPr>
            <w:tcW w:w="0" w:type="auto"/>
            <w:hideMark/>
          </w:tcPr>
          <w:p w14:paraId="26144F0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أدوات الذكاء الاصطناعي التوليدي في تنمية مهارات التصميم والتفكير الإبداعي لدى طالبات الابتدائية</w:t>
            </w:r>
          </w:p>
        </w:tc>
        <w:tc>
          <w:tcPr>
            <w:tcW w:w="0" w:type="auto"/>
            <w:hideMark/>
          </w:tcPr>
          <w:p w14:paraId="74291D4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أدوات الذكاء الاصطناعي التوليدي / التابع: مهارات التصميم والتفكير الإبداعي</w:t>
            </w:r>
          </w:p>
        </w:tc>
        <w:tc>
          <w:tcPr>
            <w:tcW w:w="0" w:type="auto"/>
            <w:hideMark/>
          </w:tcPr>
          <w:p w14:paraId="685432A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شبه التجريبي – الاختبار والمقياس</w:t>
            </w:r>
          </w:p>
        </w:tc>
        <w:tc>
          <w:tcPr>
            <w:tcW w:w="0" w:type="auto"/>
            <w:hideMark/>
          </w:tcPr>
          <w:p w14:paraId="0128548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فروق دالة إحصائياً لصالح المجموعة التجريبية في تنمية مهارات التصميم والتفكير الإبداعي</w:t>
            </w:r>
          </w:p>
        </w:tc>
        <w:tc>
          <w:tcPr>
            <w:tcW w:w="0" w:type="auto"/>
            <w:hideMark/>
          </w:tcPr>
          <w:p w14:paraId="033FEF2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المنهج التجريبي والعينة من طالبات الابتدائية، بينما الدراسة الحالية وصفية </w:t>
            </w:r>
            <w:r w:rsidRPr="002B7A02">
              <w:rPr>
                <w:rFonts w:ascii="Traditional Arabic" w:hAnsi="Traditional Arabic" w:cs="Traditional Arabic"/>
                <w:rtl/>
              </w:rPr>
              <w:lastRenderedPageBreak/>
              <w:t>تحليلية على العاملين</w:t>
            </w:r>
          </w:p>
        </w:tc>
      </w:tr>
      <w:tr w:rsidR="002B7A02" w:rsidRPr="002B7A02" w14:paraId="32F2A295" w14:textId="77777777" w:rsidTr="002B7A02">
        <w:tc>
          <w:tcPr>
            <w:tcW w:w="0" w:type="auto"/>
            <w:hideMark/>
          </w:tcPr>
          <w:p w14:paraId="1FD693F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عقيلي</w:t>
            </w:r>
            <w:r w:rsidRPr="002B7A02">
              <w:rPr>
                <w:rFonts w:ascii="Traditional Arabic" w:hAnsi="Traditional Arabic" w:cs="Traditional Arabic"/>
              </w:rPr>
              <w:t xml:space="preserve"> (2024)</w:t>
            </w:r>
          </w:p>
        </w:tc>
        <w:tc>
          <w:tcPr>
            <w:tcW w:w="0" w:type="auto"/>
            <w:hideMark/>
          </w:tcPr>
          <w:p w14:paraId="05F7869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تطبيق الذكاء الاصطناعي التوليدي</w:t>
            </w:r>
            <w:r w:rsidRPr="002B7A02">
              <w:rPr>
                <w:rFonts w:ascii="Traditional Arabic" w:hAnsi="Traditional Arabic" w:cs="Traditional Arabic"/>
              </w:rPr>
              <w:t xml:space="preserve"> ChatGPT </w:t>
            </w:r>
            <w:r w:rsidRPr="002B7A02">
              <w:rPr>
                <w:rFonts w:ascii="Traditional Arabic" w:hAnsi="Traditional Arabic" w:cs="Traditional Arabic"/>
                <w:rtl/>
              </w:rPr>
              <w:t>على جودة التقارير المالية في شركات التشييد والاستثمار العقاري</w:t>
            </w:r>
          </w:p>
        </w:tc>
        <w:tc>
          <w:tcPr>
            <w:tcW w:w="0" w:type="auto"/>
            <w:hideMark/>
          </w:tcPr>
          <w:p w14:paraId="03F2D4C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بحث أثر</w:t>
            </w:r>
            <w:r w:rsidRPr="002B7A02">
              <w:rPr>
                <w:rFonts w:ascii="Traditional Arabic" w:hAnsi="Traditional Arabic" w:cs="Traditional Arabic"/>
              </w:rPr>
              <w:t xml:space="preserve"> ChatGPT </w:t>
            </w:r>
            <w:r w:rsidRPr="002B7A02">
              <w:rPr>
                <w:rFonts w:ascii="Traditional Arabic" w:hAnsi="Traditional Arabic" w:cs="Traditional Arabic"/>
                <w:rtl/>
              </w:rPr>
              <w:t>على جودة التقارير المالية</w:t>
            </w:r>
          </w:p>
        </w:tc>
        <w:tc>
          <w:tcPr>
            <w:tcW w:w="0" w:type="auto"/>
            <w:hideMark/>
          </w:tcPr>
          <w:p w14:paraId="15D9972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w:t>
            </w:r>
            <w:r w:rsidRPr="002B7A02">
              <w:rPr>
                <w:rFonts w:ascii="Traditional Arabic" w:hAnsi="Traditional Arabic" w:cs="Traditional Arabic"/>
              </w:rPr>
              <w:t xml:space="preserve"> ChatGPT / </w:t>
            </w:r>
            <w:r w:rsidRPr="002B7A02">
              <w:rPr>
                <w:rFonts w:ascii="Traditional Arabic" w:hAnsi="Traditional Arabic" w:cs="Traditional Arabic"/>
                <w:rtl/>
              </w:rPr>
              <w:t>التابع: جودة التقارير المالية</w:t>
            </w:r>
          </w:p>
        </w:tc>
        <w:tc>
          <w:tcPr>
            <w:tcW w:w="0" w:type="auto"/>
            <w:hideMark/>
          </w:tcPr>
          <w:p w14:paraId="5789A51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568F33F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لتطبيق</w:t>
            </w:r>
            <w:r w:rsidRPr="002B7A02">
              <w:rPr>
                <w:rFonts w:ascii="Traditional Arabic" w:hAnsi="Traditional Arabic" w:cs="Traditional Arabic"/>
              </w:rPr>
              <w:t xml:space="preserve"> ChatGPT </w:t>
            </w:r>
            <w:r w:rsidRPr="002B7A02">
              <w:rPr>
                <w:rFonts w:ascii="Traditional Arabic" w:hAnsi="Traditional Arabic" w:cs="Traditional Arabic"/>
                <w:rtl/>
              </w:rPr>
              <w:t>على جودة التقارير المالية بأبعادها</w:t>
            </w:r>
          </w:p>
        </w:tc>
        <w:tc>
          <w:tcPr>
            <w:tcW w:w="0" w:type="auto"/>
            <w:hideMark/>
          </w:tcPr>
          <w:p w14:paraId="4EC9E8B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طُبقت على المجال المحاسبي والمالي، بينما تركز الدراسة الحالية على بيئة العمل في القطاع الحكومي</w:t>
            </w:r>
          </w:p>
        </w:tc>
      </w:tr>
      <w:tr w:rsidR="002B7A02" w:rsidRPr="002B7A02" w14:paraId="143752C7" w14:textId="77777777" w:rsidTr="002B7A02">
        <w:tc>
          <w:tcPr>
            <w:tcW w:w="0" w:type="auto"/>
            <w:hideMark/>
          </w:tcPr>
          <w:p w14:paraId="2153F4A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الشريف</w:t>
            </w:r>
            <w:r w:rsidRPr="002B7A02">
              <w:rPr>
                <w:rFonts w:ascii="Traditional Arabic" w:hAnsi="Traditional Arabic" w:cs="Traditional Arabic"/>
              </w:rPr>
              <w:t xml:space="preserve"> (2026)</w:t>
            </w:r>
          </w:p>
        </w:tc>
        <w:tc>
          <w:tcPr>
            <w:tcW w:w="0" w:type="auto"/>
            <w:hideMark/>
          </w:tcPr>
          <w:p w14:paraId="2CDCE82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استراتيجية</w:t>
            </w:r>
            <w:r w:rsidRPr="002B7A02">
              <w:rPr>
                <w:rFonts w:ascii="Traditional Arabic" w:hAnsi="Traditional Arabic" w:cs="Traditional Arabic"/>
              </w:rPr>
              <w:t xml:space="preserve"> KWHLAQ </w:t>
            </w:r>
            <w:r w:rsidRPr="002B7A02">
              <w:rPr>
                <w:rFonts w:ascii="Traditional Arabic" w:hAnsi="Traditional Arabic" w:cs="Traditional Arabic"/>
                <w:rtl/>
              </w:rPr>
              <w:t>في تنمية كفاءة الباحثات في البحث ومعالجة المعلومات باستخدام الذكاء الاصطناعي التوليدي</w:t>
            </w:r>
          </w:p>
        </w:tc>
        <w:tc>
          <w:tcPr>
            <w:tcW w:w="0" w:type="auto"/>
            <w:hideMark/>
          </w:tcPr>
          <w:p w14:paraId="31C22EC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استراتيجية</w:t>
            </w:r>
            <w:r w:rsidRPr="002B7A02">
              <w:rPr>
                <w:rFonts w:ascii="Traditional Arabic" w:hAnsi="Traditional Arabic" w:cs="Traditional Arabic"/>
              </w:rPr>
              <w:t xml:space="preserve"> KWHLAQ </w:t>
            </w:r>
            <w:r w:rsidRPr="002B7A02">
              <w:rPr>
                <w:rFonts w:ascii="Traditional Arabic" w:hAnsi="Traditional Arabic" w:cs="Traditional Arabic"/>
                <w:rtl/>
              </w:rPr>
              <w:t>في تنمية كفاءة الباحثات في توظيف الذكاء الاصطناعي التوليدي</w:t>
            </w:r>
          </w:p>
        </w:tc>
        <w:tc>
          <w:tcPr>
            <w:tcW w:w="0" w:type="auto"/>
            <w:hideMark/>
          </w:tcPr>
          <w:p w14:paraId="018A4F2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استراتيجية</w:t>
            </w:r>
            <w:r w:rsidRPr="002B7A02">
              <w:rPr>
                <w:rFonts w:ascii="Traditional Arabic" w:hAnsi="Traditional Arabic" w:cs="Traditional Arabic"/>
              </w:rPr>
              <w:t xml:space="preserve"> KWHLAQ / </w:t>
            </w:r>
            <w:r w:rsidRPr="002B7A02">
              <w:rPr>
                <w:rFonts w:ascii="Traditional Arabic" w:hAnsi="Traditional Arabic" w:cs="Traditional Arabic"/>
                <w:rtl/>
              </w:rPr>
              <w:t>التابع: كفاءة البحث ومعالجة المعلومات</w:t>
            </w:r>
          </w:p>
        </w:tc>
        <w:tc>
          <w:tcPr>
            <w:tcW w:w="0" w:type="auto"/>
            <w:hideMark/>
          </w:tcPr>
          <w:p w14:paraId="320A8AF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شبه التجريبي – الاختبار والمقياس</w:t>
            </w:r>
          </w:p>
        </w:tc>
        <w:tc>
          <w:tcPr>
            <w:tcW w:w="0" w:type="auto"/>
            <w:hideMark/>
          </w:tcPr>
          <w:p w14:paraId="598207B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فروق دالة إحصائياً لصالح التطبيق البعدي في تنمية كفاءة الباحثات</w:t>
            </w:r>
          </w:p>
        </w:tc>
        <w:tc>
          <w:tcPr>
            <w:tcW w:w="0" w:type="auto"/>
            <w:hideMark/>
          </w:tcPr>
          <w:p w14:paraId="6C6FB31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الاهتمام بتقنيات الذكاء الاصطناعي التوليدي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اعتبرت الذكاء الاصطناعي التوليدي أداة لا متغيراً مستقلاً، وركزت على البحث العلمي</w:t>
            </w:r>
          </w:p>
        </w:tc>
      </w:tr>
      <w:tr w:rsidR="002B7A02" w:rsidRPr="002B7A02" w14:paraId="2C27D947" w14:textId="77777777" w:rsidTr="002B7A02">
        <w:tc>
          <w:tcPr>
            <w:tcW w:w="0" w:type="auto"/>
            <w:hideMark/>
          </w:tcPr>
          <w:p w14:paraId="296F5DD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السماني وآخرون</w:t>
            </w:r>
            <w:r w:rsidRPr="002B7A02">
              <w:rPr>
                <w:rFonts w:ascii="Traditional Arabic" w:hAnsi="Traditional Arabic" w:cs="Traditional Arabic"/>
              </w:rPr>
              <w:t xml:space="preserve"> (2025)</w:t>
            </w:r>
          </w:p>
        </w:tc>
        <w:tc>
          <w:tcPr>
            <w:tcW w:w="0" w:type="auto"/>
            <w:hideMark/>
          </w:tcPr>
          <w:p w14:paraId="307071E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الذكاء الاصطناعي التوليدي على التعليم العالي في المؤسسات السودانية</w:t>
            </w:r>
          </w:p>
        </w:tc>
        <w:tc>
          <w:tcPr>
            <w:tcW w:w="0" w:type="auto"/>
            <w:hideMark/>
          </w:tcPr>
          <w:p w14:paraId="64CF62F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الذكاء الاصطناعي التوليدي على التعليم العالي وتحليل الفجوات والمخاطر</w:t>
            </w:r>
          </w:p>
        </w:tc>
        <w:tc>
          <w:tcPr>
            <w:tcW w:w="0" w:type="auto"/>
            <w:hideMark/>
          </w:tcPr>
          <w:p w14:paraId="0315989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التابع: التعليم العالي</w:t>
            </w:r>
          </w:p>
        </w:tc>
        <w:tc>
          <w:tcPr>
            <w:tcW w:w="0" w:type="auto"/>
            <w:hideMark/>
          </w:tcPr>
          <w:p w14:paraId="6E8ADAE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المسحي – الاستبانة</w:t>
            </w:r>
          </w:p>
        </w:tc>
        <w:tc>
          <w:tcPr>
            <w:tcW w:w="0" w:type="auto"/>
            <w:hideMark/>
          </w:tcPr>
          <w:p w14:paraId="5FFC9CC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إيجابي للذكاء الاصطناعي التوليدي على التعليم العالي مع وجود فجوات تقنية وتدريبية</w:t>
            </w:r>
          </w:p>
        </w:tc>
        <w:tc>
          <w:tcPr>
            <w:tcW w:w="0" w:type="auto"/>
            <w:hideMark/>
          </w:tcPr>
          <w:p w14:paraId="7918169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المجال التعليمي في السودان، بينما الدراسة الحالية على القطاع الحكومي السعودي</w:t>
            </w:r>
          </w:p>
        </w:tc>
      </w:tr>
      <w:tr w:rsidR="002B7A02" w:rsidRPr="002B7A02" w14:paraId="3A4420CF" w14:textId="77777777" w:rsidTr="002B7A02">
        <w:tc>
          <w:tcPr>
            <w:tcW w:w="0" w:type="auto"/>
            <w:hideMark/>
          </w:tcPr>
          <w:p w14:paraId="0FC74FA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الدرايسة</w:t>
            </w:r>
            <w:r w:rsidRPr="002B7A02">
              <w:rPr>
                <w:rFonts w:ascii="Traditional Arabic" w:hAnsi="Traditional Arabic" w:cs="Traditional Arabic"/>
              </w:rPr>
              <w:t xml:space="preserve"> (2025)</w:t>
            </w:r>
          </w:p>
        </w:tc>
        <w:tc>
          <w:tcPr>
            <w:tcW w:w="0" w:type="auto"/>
            <w:hideMark/>
          </w:tcPr>
          <w:p w14:paraId="6C46E7B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استكشاف الإمكانات والتحديات المتعلقة بتوظيف</w:t>
            </w:r>
            <w:r w:rsidRPr="002B7A02">
              <w:rPr>
                <w:rFonts w:ascii="Traditional Arabic" w:hAnsi="Traditional Arabic" w:cs="Traditional Arabic"/>
              </w:rPr>
              <w:t xml:space="preserve"> ChatGPT </w:t>
            </w:r>
            <w:r w:rsidRPr="002B7A02">
              <w:rPr>
                <w:rFonts w:ascii="Traditional Arabic" w:hAnsi="Traditional Arabic" w:cs="Traditional Arabic"/>
                <w:rtl/>
              </w:rPr>
              <w:t>في النظم التعليمية</w:t>
            </w:r>
          </w:p>
        </w:tc>
        <w:tc>
          <w:tcPr>
            <w:tcW w:w="0" w:type="auto"/>
            <w:hideMark/>
          </w:tcPr>
          <w:p w14:paraId="77337C7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إمكانات وتحديات توظيف</w:t>
            </w:r>
            <w:r w:rsidRPr="002B7A02">
              <w:rPr>
                <w:rFonts w:ascii="Traditional Arabic" w:hAnsi="Traditional Arabic" w:cs="Traditional Arabic"/>
              </w:rPr>
              <w:t xml:space="preserve"> ChatGPT </w:t>
            </w:r>
            <w:r w:rsidRPr="002B7A02">
              <w:rPr>
                <w:rFonts w:ascii="Traditional Arabic" w:hAnsi="Traditional Arabic" w:cs="Traditional Arabic"/>
                <w:rtl/>
              </w:rPr>
              <w:t>في النظم التعليمية</w:t>
            </w:r>
          </w:p>
        </w:tc>
        <w:tc>
          <w:tcPr>
            <w:tcW w:w="0" w:type="auto"/>
            <w:hideMark/>
          </w:tcPr>
          <w:p w14:paraId="0D39E0B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w:t>
            </w:r>
            <w:r w:rsidRPr="002B7A02">
              <w:rPr>
                <w:rFonts w:ascii="Traditional Arabic" w:hAnsi="Traditional Arabic" w:cs="Traditional Arabic"/>
              </w:rPr>
              <w:t xml:space="preserve"> ChatGPT </w:t>
            </w:r>
            <w:r w:rsidRPr="002B7A02">
              <w:rPr>
                <w:rFonts w:ascii="Traditional Arabic" w:hAnsi="Traditional Arabic" w:cs="Traditional Arabic"/>
                <w:rtl/>
              </w:rPr>
              <w:t>والنظم التعليمية</w:t>
            </w:r>
          </w:p>
        </w:tc>
        <w:tc>
          <w:tcPr>
            <w:tcW w:w="0" w:type="auto"/>
            <w:hideMark/>
          </w:tcPr>
          <w:p w14:paraId="006F2C2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تحليل الأدبيات</w:t>
            </w:r>
          </w:p>
        </w:tc>
        <w:tc>
          <w:tcPr>
            <w:tcW w:w="0" w:type="auto"/>
            <w:hideMark/>
          </w:tcPr>
          <w:p w14:paraId="43FD427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تقديم</w:t>
            </w:r>
            <w:r w:rsidRPr="002B7A02">
              <w:rPr>
                <w:rFonts w:ascii="Traditional Arabic" w:hAnsi="Traditional Arabic" w:cs="Traditional Arabic"/>
              </w:rPr>
              <w:t xml:space="preserve"> ChatGPT </w:t>
            </w:r>
            <w:r w:rsidRPr="002B7A02">
              <w:rPr>
                <w:rFonts w:ascii="Traditional Arabic" w:hAnsi="Traditional Arabic" w:cs="Traditional Arabic"/>
                <w:rtl/>
              </w:rPr>
              <w:t>إمكانات واسعة في التخصيص والتفاعل مع تحديات الدقة والأمانة الأكاديمية</w:t>
            </w:r>
          </w:p>
        </w:tc>
        <w:tc>
          <w:tcPr>
            <w:tcW w:w="0" w:type="auto"/>
            <w:hideMark/>
          </w:tcPr>
          <w:p w14:paraId="65EC6DF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تحليلية نظرية في المجال التعليمي، بينما الدراسة الحالية ميدانية في القطاع الحكومي</w:t>
            </w:r>
          </w:p>
        </w:tc>
      </w:tr>
      <w:tr w:rsidR="002B7A02" w:rsidRPr="002B7A02" w14:paraId="7A49CED7" w14:textId="77777777" w:rsidTr="002B7A02">
        <w:tc>
          <w:tcPr>
            <w:tcW w:w="0" w:type="auto"/>
            <w:hideMark/>
          </w:tcPr>
          <w:p w14:paraId="62AB6AE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Al Naqbi, Bahroun, &amp; Ahmed (2024)</w:t>
            </w:r>
          </w:p>
        </w:tc>
        <w:tc>
          <w:tcPr>
            <w:tcW w:w="0" w:type="auto"/>
            <w:hideMark/>
          </w:tcPr>
          <w:p w14:paraId="6530371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Enhancing work productivity through generative artificial intelligence</w:t>
            </w:r>
          </w:p>
        </w:tc>
        <w:tc>
          <w:tcPr>
            <w:tcW w:w="0" w:type="auto"/>
            <w:hideMark/>
          </w:tcPr>
          <w:p w14:paraId="05BE692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الذكاء الاصطناعي التوليدي في تعزيز إنتاجية العمل</w:t>
            </w:r>
          </w:p>
        </w:tc>
        <w:tc>
          <w:tcPr>
            <w:tcW w:w="0" w:type="auto"/>
            <w:hideMark/>
          </w:tcPr>
          <w:p w14:paraId="74D4404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التابع: إنتاجية العمل</w:t>
            </w:r>
          </w:p>
        </w:tc>
        <w:tc>
          <w:tcPr>
            <w:tcW w:w="0" w:type="auto"/>
            <w:hideMark/>
          </w:tcPr>
          <w:p w14:paraId="0DB1BD9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مراجعة أدبية شاملة</w:t>
            </w:r>
            <w:r w:rsidRPr="002B7A02">
              <w:rPr>
                <w:rFonts w:ascii="Traditional Arabic" w:hAnsi="Traditional Arabic" w:cs="Traditional Arabic"/>
              </w:rPr>
              <w:t xml:space="preserve"> (Systematic Literature Review) – </w:t>
            </w:r>
            <w:r w:rsidRPr="002B7A02">
              <w:rPr>
                <w:rFonts w:ascii="Traditional Arabic" w:hAnsi="Traditional Arabic" w:cs="Traditional Arabic"/>
                <w:rtl/>
              </w:rPr>
              <w:t>تحليل 74 دراسة</w:t>
            </w:r>
          </w:p>
        </w:tc>
        <w:tc>
          <w:tcPr>
            <w:tcW w:w="0" w:type="auto"/>
            <w:hideMark/>
          </w:tcPr>
          <w:p w14:paraId="76C39B9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إسهام الذكاء الاصطناعي التوليدي في تحسين الإنتاجية وتسريع المهام وتعزيز الإبداع</w:t>
            </w:r>
          </w:p>
        </w:tc>
        <w:tc>
          <w:tcPr>
            <w:tcW w:w="0" w:type="auto"/>
            <w:hideMark/>
          </w:tcPr>
          <w:p w14:paraId="4934666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وعلاقته ببيئة العمل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lastRenderedPageBreak/>
              <w:t>دراسة نظرية مراجعة، بينما الدراسة الحالية ميدانية تطبيقية</w:t>
            </w:r>
          </w:p>
        </w:tc>
      </w:tr>
      <w:tr w:rsidR="002B7A02" w:rsidRPr="002B7A02" w14:paraId="2D74BD7C" w14:textId="77777777" w:rsidTr="002B7A02">
        <w:tc>
          <w:tcPr>
            <w:tcW w:w="0" w:type="auto"/>
            <w:hideMark/>
          </w:tcPr>
          <w:p w14:paraId="7C91023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lastRenderedPageBreak/>
              <w:t>Rane (2023)</w:t>
            </w:r>
          </w:p>
        </w:tc>
        <w:tc>
          <w:tcPr>
            <w:tcW w:w="0" w:type="auto"/>
            <w:hideMark/>
          </w:tcPr>
          <w:p w14:paraId="620FF35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ChatGPT and similar generative AI for smart industry: Industry 4.0, 5.0 and Society 5.0</w:t>
            </w:r>
          </w:p>
        </w:tc>
        <w:tc>
          <w:tcPr>
            <w:tcW w:w="0" w:type="auto"/>
            <w:hideMark/>
          </w:tcPr>
          <w:p w14:paraId="18F7435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الذكاء الاصطناعي التوليدي في الصناعة الذكية</w:t>
            </w:r>
          </w:p>
        </w:tc>
        <w:tc>
          <w:tcPr>
            <w:tcW w:w="0" w:type="auto"/>
            <w:hideMark/>
          </w:tcPr>
          <w:p w14:paraId="60DE7E2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والصناعة الذكية</w:t>
            </w:r>
          </w:p>
        </w:tc>
        <w:tc>
          <w:tcPr>
            <w:tcW w:w="0" w:type="auto"/>
            <w:hideMark/>
          </w:tcPr>
          <w:p w14:paraId="529A5E1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مراجعة الأدبيات</w:t>
            </w:r>
          </w:p>
        </w:tc>
        <w:tc>
          <w:tcPr>
            <w:tcW w:w="0" w:type="auto"/>
            <w:hideMark/>
          </w:tcPr>
          <w:p w14:paraId="0718232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دور محوري للذكاء الاصطناعي التوليدي في تحويل الصناعة نحو التكامل بين الإنسان والآلة</w:t>
            </w:r>
          </w:p>
        </w:tc>
        <w:tc>
          <w:tcPr>
            <w:tcW w:w="0" w:type="auto"/>
            <w:hideMark/>
          </w:tcPr>
          <w:p w14:paraId="4409224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وعلاقته بالتحولات التنظيمية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القطاع الصناعي، بينما الدراسة الحالية على القطاع الحكومي</w:t>
            </w:r>
          </w:p>
        </w:tc>
      </w:tr>
      <w:tr w:rsidR="002B7A02" w:rsidRPr="002B7A02" w14:paraId="7FC4A13B" w14:textId="77777777" w:rsidTr="002B7A02">
        <w:tc>
          <w:tcPr>
            <w:tcW w:w="0" w:type="auto"/>
            <w:hideMark/>
          </w:tcPr>
          <w:p w14:paraId="729600A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Chowdhury, Budhwar, &amp; Wood (2024)</w:t>
            </w:r>
          </w:p>
        </w:tc>
        <w:tc>
          <w:tcPr>
            <w:tcW w:w="0" w:type="auto"/>
            <w:hideMark/>
          </w:tcPr>
          <w:p w14:paraId="7FA4193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Generative AI in business: towards a strategic HRM framework</w:t>
            </w:r>
          </w:p>
        </w:tc>
        <w:tc>
          <w:tcPr>
            <w:tcW w:w="0" w:type="auto"/>
            <w:hideMark/>
          </w:tcPr>
          <w:p w14:paraId="5568AAF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بناء إطار استراتيجي لإدارة الموارد البشرية في ضوء الذكاء الاصطناعي التوليدي</w:t>
            </w:r>
          </w:p>
        </w:tc>
        <w:tc>
          <w:tcPr>
            <w:tcW w:w="0" w:type="auto"/>
            <w:hideMark/>
          </w:tcPr>
          <w:p w14:paraId="2B74EC4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وإدارة الموارد البشرية الاستراتيجية</w:t>
            </w:r>
          </w:p>
        </w:tc>
        <w:tc>
          <w:tcPr>
            <w:tcW w:w="0" w:type="auto"/>
            <w:hideMark/>
          </w:tcPr>
          <w:p w14:paraId="3F98378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النظري التحليلي – بناء إطار مفاهيمي</w:t>
            </w:r>
          </w:p>
        </w:tc>
        <w:tc>
          <w:tcPr>
            <w:tcW w:w="0" w:type="auto"/>
            <w:hideMark/>
          </w:tcPr>
          <w:p w14:paraId="4D962B0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ضرورة إعادة النظر في ممارسات إدارة الموارد البشرية مع التركيز على المهارات الجديدة</w:t>
            </w:r>
          </w:p>
        </w:tc>
        <w:tc>
          <w:tcPr>
            <w:tcW w:w="0" w:type="auto"/>
            <w:hideMark/>
          </w:tcPr>
          <w:p w14:paraId="14FE6DB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وعلاقته بإدارة المنظمات</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نظرية لبناء إطار، بينما الدراسة الحالية تطبيقية ميدانية</w:t>
            </w:r>
          </w:p>
        </w:tc>
      </w:tr>
      <w:tr w:rsidR="002B7A02" w:rsidRPr="002B7A02" w14:paraId="5F76043B" w14:textId="77777777" w:rsidTr="002B7A02">
        <w:tc>
          <w:tcPr>
            <w:tcW w:w="0" w:type="auto"/>
            <w:hideMark/>
          </w:tcPr>
          <w:p w14:paraId="356A4FC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lastRenderedPageBreak/>
              <w:t>Ooi et al. (2025)</w:t>
            </w:r>
          </w:p>
        </w:tc>
        <w:tc>
          <w:tcPr>
            <w:tcW w:w="0" w:type="auto"/>
            <w:hideMark/>
          </w:tcPr>
          <w:p w14:paraId="4A82EB7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The potential of generative AI across disciplines: Perspectives and future directions</w:t>
            </w:r>
          </w:p>
        </w:tc>
        <w:tc>
          <w:tcPr>
            <w:tcW w:w="0" w:type="auto"/>
            <w:hideMark/>
          </w:tcPr>
          <w:p w14:paraId="1B8F34B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استكشاف إمكانات الذكاء الاصطناعي التوليدي عبر التخصصات</w:t>
            </w:r>
          </w:p>
        </w:tc>
        <w:tc>
          <w:tcPr>
            <w:tcW w:w="0" w:type="auto"/>
            <w:hideMark/>
          </w:tcPr>
          <w:p w14:paraId="5FE5B16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والتخصصات المتعددة</w:t>
            </w:r>
          </w:p>
        </w:tc>
        <w:tc>
          <w:tcPr>
            <w:tcW w:w="0" w:type="auto"/>
            <w:hideMark/>
          </w:tcPr>
          <w:p w14:paraId="09D2EE3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النظري التحليلي – آراء الخبراء</w:t>
            </w:r>
          </w:p>
        </w:tc>
        <w:tc>
          <w:tcPr>
            <w:tcW w:w="0" w:type="auto"/>
            <w:hideMark/>
          </w:tcPr>
          <w:p w14:paraId="7C08B5B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امتلاك الذكاء الاصطناعي التوليدي إمكانات هائلة لتحولات جوهرية مع تحديات أخلاقية</w:t>
            </w:r>
          </w:p>
        </w:tc>
        <w:tc>
          <w:tcPr>
            <w:tcW w:w="0" w:type="auto"/>
            <w:hideMark/>
          </w:tcPr>
          <w:p w14:paraId="753077E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نظرية متعددة التخصصات، بينما الدراسة الحالية ميدانية في قطاع محدد</w:t>
            </w:r>
          </w:p>
        </w:tc>
      </w:tr>
      <w:tr w:rsidR="002B7A02" w:rsidRPr="002B7A02" w14:paraId="7E354E83" w14:textId="77777777" w:rsidTr="002B7A02">
        <w:tc>
          <w:tcPr>
            <w:tcW w:w="0" w:type="auto"/>
            <w:hideMark/>
          </w:tcPr>
          <w:p w14:paraId="4D8D47B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Rayhan (2024)</w:t>
            </w:r>
          </w:p>
        </w:tc>
        <w:tc>
          <w:tcPr>
            <w:tcW w:w="0" w:type="auto"/>
            <w:hideMark/>
          </w:tcPr>
          <w:p w14:paraId="4006049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Exploring the Role and Impact of Generative AI in Enhancing Skilled Workforce Efficiency and Modern Workplace Dynamics</w:t>
            </w:r>
          </w:p>
        </w:tc>
        <w:tc>
          <w:tcPr>
            <w:tcW w:w="0" w:type="auto"/>
            <w:hideMark/>
          </w:tcPr>
          <w:p w14:paraId="41EBC48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استكشاف دور وأثر الذكاء الاصطناعي التوليدي في كفاءة القوى العاملة وديناميكيات بيئة العمل</w:t>
            </w:r>
          </w:p>
        </w:tc>
        <w:tc>
          <w:tcPr>
            <w:tcW w:w="0" w:type="auto"/>
            <w:hideMark/>
          </w:tcPr>
          <w:p w14:paraId="0CDFC33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وكفاءة القوى العاملة وبيئة العمل</w:t>
            </w:r>
          </w:p>
        </w:tc>
        <w:tc>
          <w:tcPr>
            <w:tcW w:w="0" w:type="auto"/>
            <w:hideMark/>
          </w:tcPr>
          <w:p w14:paraId="7F51E49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المراجعة النصية والتقييم المفاهيمي</w:t>
            </w:r>
          </w:p>
        </w:tc>
        <w:tc>
          <w:tcPr>
            <w:tcW w:w="0" w:type="auto"/>
            <w:hideMark/>
          </w:tcPr>
          <w:p w14:paraId="03BB17C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تعزيز الذكاء الاصطناعي التوليدي لكفاءة العاملين وإعادة تشكيل ديناميكيات بيئة العمل</w:t>
            </w:r>
          </w:p>
        </w:tc>
        <w:tc>
          <w:tcPr>
            <w:tcW w:w="0" w:type="auto"/>
            <w:hideMark/>
          </w:tcPr>
          <w:p w14:paraId="3B8BD34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الجمع بين الذكاء الاصطناعي التوليدي وبيئة العمل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نظرية مراجعة، بينما الدراسة الحالية ميدانية على المؤسسات الحكومية السعودية</w:t>
            </w:r>
          </w:p>
        </w:tc>
      </w:tr>
    </w:tbl>
    <w:p w14:paraId="74392306" w14:textId="680A5592" w:rsidR="002B7A02" w:rsidRPr="002B7A02" w:rsidRDefault="002B7A02" w:rsidP="002B7A02">
      <w:pPr>
        <w:jc w:val="both"/>
        <w:rPr>
          <w:rFonts w:ascii="Traditional Arabic" w:hAnsi="Traditional Arabic" w:cs="Traditional Arabic"/>
          <w:b/>
          <w:bCs/>
          <w:sz w:val="32"/>
          <w:szCs w:val="32"/>
          <w:rtl/>
          <w:lang w:bidi="ar-EG"/>
        </w:rPr>
      </w:pPr>
      <w:r w:rsidRPr="002B7A02">
        <w:rPr>
          <w:rFonts w:ascii="Traditional Arabic" w:hAnsi="Traditional Arabic" w:cs="Traditional Arabic"/>
          <w:b/>
          <w:bCs/>
          <w:sz w:val="32"/>
          <w:szCs w:val="32"/>
          <w:rtl/>
        </w:rPr>
        <w:t>ثانياً: المجموعة الثانية  الدراسات التي تناولت بيئة العمل وعلاقتها بالمتغيرات الأخرى</w:t>
      </w:r>
    </w:p>
    <w:tbl>
      <w:tblPr>
        <w:tblStyle w:val="TableGrid"/>
        <w:bidiVisual/>
        <w:tblW w:w="0" w:type="auto"/>
        <w:tblLook w:val="04A0" w:firstRow="1" w:lastRow="0" w:firstColumn="1" w:lastColumn="0" w:noHBand="0" w:noVBand="1"/>
      </w:tblPr>
      <w:tblGrid>
        <w:gridCol w:w="1433"/>
        <w:gridCol w:w="2059"/>
        <w:gridCol w:w="1099"/>
        <w:gridCol w:w="963"/>
        <w:gridCol w:w="831"/>
        <w:gridCol w:w="1121"/>
        <w:gridCol w:w="1510"/>
      </w:tblGrid>
      <w:tr w:rsidR="002B7A02" w:rsidRPr="002B7A02" w14:paraId="51E15783" w14:textId="77777777" w:rsidTr="002B7A02">
        <w:tc>
          <w:tcPr>
            <w:tcW w:w="0" w:type="auto"/>
            <w:hideMark/>
          </w:tcPr>
          <w:p w14:paraId="4F0183FB" w14:textId="77777777" w:rsidR="002B7A02" w:rsidRPr="002B7A02" w:rsidRDefault="002B7A02" w:rsidP="002B7A02">
            <w:pPr>
              <w:spacing w:after="160" w:line="278" w:lineRule="auto"/>
              <w:jc w:val="both"/>
              <w:rPr>
                <w:rFonts w:ascii="Traditional Arabic" w:hAnsi="Traditional Arabic" w:cs="Traditional Arabic"/>
                <w:b/>
                <w:bCs/>
                <w:rtl/>
                <w:lang w:bidi="ar-EG"/>
              </w:rPr>
            </w:pPr>
            <w:r w:rsidRPr="002B7A02">
              <w:rPr>
                <w:rFonts w:ascii="Traditional Arabic" w:hAnsi="Traditional Arabic" w:cs="Traditional Arabic"/>
                <w:b/>
                <w:bCs/>
                <w:rtl/>
              </w:rPr>
              <w:t>الباحث / السنة</w:t>
            </w:r>
          </w:p>
        </w:tc>
        <w:tc>
          <w:tcPr>
            <w:tcW w:w="0" w:type="auto"/>
            <w:hideMark/>
          </w:tcPr>
          <w:p w14:paraId="0831161E"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عنوان الدراسة</w:t>
            </w:r>
          </w:p>
        </w:tc>
        <w:tc>
          <w:tcPr>
            <w:tcW w:w="0" w:type="auto"/>
            <w:hideMark/>
          </w:tcPr>
          <w:p w14:paraId="5E2A3FE2"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الهدف الرئيس</w:t>
            </w:r>
          </w:p>
        </w:tc>
        <w:tc>
          <w:tcPr>
            <w:tcW w:w="0" w:type="auto"/>
            <w:hideMark/>
          </w:tcPr>
          <w:p w14:paraId="15E1A9C7"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المتغيرات الرئيسة</w:t>
            </w:r>
          </w:p>
        </w:tc>
        <w:tc>
          <w:tcPr>
            <w:tcW w:w="0" w:type="auto"/>
            <w:hideMark/>
          </w:tcPr>
          <w:p w14:paraId="0D3B079F"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المنهج والأداة</w:t>
            </w:r>
          </w:p>
        </w:tc>
        <w:tc>
          <w:tcPr>
            <w:tcW w:w="0" w:type="auto"/>
            <w:hideMark/>
          </w:tcPr>
          <w:p w14:paraId="2CA00773"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أبرز النتائج</w:t>
            </w:r>
          </w:p>
        </w:tc>
        <w:tc>
          <w:tcPr>
            <w:tcW w:w="0" w:type="auto"/>
            <w:hideMark/>
          </w:tcPr>
          <w:p w14:paraId="124A9275"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أوجه الاتفاق والاختلاف مع الدراسة الحالية</w:t>
            </w:r>
          </w:p>
        </w:tc>
      </w:tr>
      <w:tr w:rsidR="002B7A02" w:rsidRPr="002B7A02" w14:paraId="7DF09BF8" w14:textId="77777777" w:rsidTr="002B7A02">
        <w:tc>
          <w:tcPr>
            <w:tcW w:w="0" w:type="auto"/>
            <w:hideMark/>
          </w:tcPr>
          <w:p w14:paraId="4CE7219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شحات</w:t>
            </w:r>
            <w:r w:rsidRPr="002B7A02">
              <w:rPr>
                <w:rFonts w:ascii="Traditional Arabic" w:hAnsi="Traditional Arabic" w:cs="Traditional Arabic"/>
              </w:rPr>
              <w:t xml:space="preserve"> (2021)</w:t>
            </w:r>
          </w:p>
        </w:tc>
        <w:tc>
          <w:tcPr>
            <w:tcW w:w="0" w:type="auto"/>
            <w:hideMark/>
          </w:tcPr>
          <w:p w14:paraId="5A00985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تصميم نظم العمل وتطوير بيئة العمل التنظيمية في المكتبات العامة</w:t>
            </w:r>
          </w:p>
        </w:tc>
        <w:tc>
          <w:tcPr>
            <w:tcW w:w="0" w:type="auto"/>
            <w:hideMark/>
          </w:tcPr>
          <w:p w14:paraId="63E200F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تصميم نظم العمل في تطوير بيئة العمل التنظيمية في المكتبات العامة</w:t>
            </w:r>
          </w:p>
        </w:tc>
        <w:tc>
          <w:tcPr>
            <w:tcW w:w="0" w:type="auto"/>
            <w:hideMark/>
          </w:tcPr>
          <w:p w14:paraId="704B49F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تصميم نظم العمل / التابع: بيئة العمل التنظيمية</w:t>
            </w:r>
          </w:p>
        </w:tc>
        <w:tc>
          <w:tcPr>
            <w:tcW w:w="0" w:type="auto"/>
            <w:hideMark/>
          </w:tcPr>
          <w:p w14:paraId="13613A7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140D71E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إسهام تصميم نظم العمل بشكل علمي في تطوير بيئة العمل التنظيمية وانعكاسه على الأداء</w:t>
            </w:r>
          </w:p>
        </w:tc>
        <w:tc>
          <w:tcPr>
            <w:tcW w:w="0" w:type="auto"/>
            <w:hideMark/>
          </w:tcPr>
          <w:p w14:paraId="62D7700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التنظيمية كمتغير والمنهج الوصفي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طُبقت على المكتبات العامة، بينما تستهدف الدراسة الحالية المؤسسات الحكومية السعودية</w:t>
            </w:r>
          </w:p>
        </w:tc>
      </w:tr>
      <w:tr w:rsidR="002B7A02" w:rsidRPr="002B7A02" w14:paraId="132F17B7" w14:textId="77777777" w:rsidTr="002B7A02">
        <w:tc>
          <w:tcPr>
            <w:tcW w:w="0" w:type="auto"/>
            <w:hideMark/>
          </w:tcPr>
          <w:p w14:paraId="129C6F7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المطيري والحازمي</w:t>
            </w:r>
            <w:r w:rsidRPr="002B7A02">
              <w:rPr>
                <w:rFonts w:ascii="Traditional Arabic" w:hAnsi="Traditional Arabic" w:cs="Traditional Arabic"/>
              </w:rPr>
              <w:t xml:space="preserve"> (2023)</w:t>
            </w:r>
          </w:p>
        </w:tc>
        <w:tc>
          <w:tcPr>
            <w:tcW w:w="0" w:type="auto"/>
            <w:hideMark/>
          </w:tcPr>
          <w:p w14:paraId="166D9B3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بيئة العمل التنظيمية على أداء العاملين في مستشفيات وزارة الصحة بمنطقة المدينة المنورة</w:t>
            </w:r>
          </w:p>
        </w:tc>
        <w:tc>
          <w:tcPr>
            <w:tcW w:w="0" w:type="auto"/>
            <w:hideMark/>
          </w:tcPr>
          <w:p w14:paraId="05E8B5D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بيئة العمل التنظيمية على أداء العاملين</w:t>
            </w:r>
          </w:p>
        </w:tc>
        <w:tc>
          <w:tcPr>
            <w:tcW w:w="0" w:type="auto"/>
            <w:hideMark/>
          </w:tcPr>
          <w:p w14:paraId="4B95EF8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بيئة العمل التنظيمية / التابع: أداء العاملين</w:t>
            </w:r>
          </w:p>
        </w:tc>
        <w:tc>
          <w:tcPr>
            <w:tcW w:w="0" w:type="auto"/>
            <w:hideMark/>
          </w:tcPr>
          <w:p w14:paraId="5212B46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329FD39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ودال إحصائياً لبيئة العمل التنظيمية بأبعادها على أداء العاملين</w:t>
            </w:r>
          </w:p>
        </w:tc>
        <w:tc>
          <w:tcPr>
            <w:tcW w:w="0" w:type="auto"/>
            <w:hideMark/>
          </w:tcPr>
          <w:p w14:paraId="38864C6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بيئة العمل والمنهج والأداة والبيئة السعودية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اعتبرت بيئة العمل متغيراً مستقلاً، بينما تعدها الدراسة الحالية متغيراً تابعاً، وطُبقت على القطاع الصحي</w:t>
            </w:r>
          </w:p>
        </w:tc>
      </w:tr>
      <w:tr w:rsidR="002B7A02" w:rsidRPr="002B7A02" w14:paraId="32BAB2CA" w14:textId="77777777" w:rsidTr="002B7A02">
        <w:tc>
          <w:tcPr>
            <w:tcW w:w="0" w:type="auto"/>
            <w:hideMark/>
          </w:tcPr>
          <w:p w14:paraId="10AD95B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الجماعين وجودة</w:t>
            </w:r>
            <w:r w:rsidRPr="002B7A02">
              <w:rPr>
                <w:rFonts w:ascii="Traditional Arabic" w:hAnsi="Traditional Arabic" w:cs="Traditional Arabic"/>
              </w:rPr>
              <w:t xml:space="preserve"> (2022)</w:t>
            </w:r>
          </w:p>
        </w:tc>
        <w:tc>
          <w:tcPr>
            <w:tcW w:w="0" w:type="auto"/>
            <w:hideMark/>
          </w:tcPr>
          <w:p w14:paraId="6E550C8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مستجدات بيئة الأعمال الحديثة وأثرها على الإنتاج في ظل إدارة التكلفة في الشركات الصناعية في بورصة عمان</w:t>
            </w:r>
          </w:p>
        </w:tc>
        <w:tc>
          <w:tcPr>
            <w:tcW w:w="0" w:type="auto"/>
            <w:hideMark/>
          </w:tcPr>
          <w:p w14:paraId="4FCDA33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بحث أثر مستجدات بيئة الأعمال الحديثة على الإنتاج في ظل إدارة التكلفة</w:t>
            </w:r>
          </w:p>
        </w:tc>
        <w:tc>
          <w:tcPr>
            <w:tcW w:w="0" w:type="auto"/>
            <w:hideMark/>
          </w:tcPr>
          <w:p w14:paraId="1EFAE2E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بيئة الأعمال الحديثة / التابع: الإنتاج / مدخل إدارة التكلفة</w:t>
            </w:r>
          </w:p>
        </w:tc>
        <w:tc>
          <w:tcPr>
            <w:tcW w:w="0" w:type="auto"/>
            <w:hideMark/>
          </w:tcPr>
          <w:p w14:paraId="19E05A3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4EF0D73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لمستجدات بيئة الأعمال الحديثة على الإنتاج في ظل إدارة التكلفة</w:t>
            </w:r>
          </w:p>
        </w:tc>
        <w:tc>
          <w:tcPr>
            <w:tcW w:w="0" w:type="auto"/>
            <w:hideMark/>
          </w:tcPr>
          <w:p w14:paraId="087CB1B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الأعمال الحديثة والمنهج</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الشركات الصناعية في الأردن وعلى الإنتاج، بينما تركز الدراسة الحالية على القطاع الحكومي السعودي</w:t>
            </w:r>
          </w:p>
        </w:tc>
      </w:tr>
      <w:tr w:rsidR="002B7A02" w:rsidRPr="002B7A02" w14:paraId="5F999E15" w14:textId="77777777" w:rsidTr="002B7A02">
        <w:tc>
          <w:tcPr>
            <w:tcW w:w="0" w:type="auto"/>
            <w:hideMark/>
          </w:tcPr>
          <w:p w14:paraId="3F69CC2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السلمي وحداد</w:t>
            </w:r>
            <w:r w:rsidRPr="002B7A02">
              <w:rPr>
                <w:rFonts w:ascii="Traditional Arabic" w:hAnsi="Traditional Arabic" w:cs="Traditional Arabic"/>
              </w:rPr>
              <w:t xml:space="preserve"> (2022)</w:t>
            </w:r>
          </w:p>
        </w:tc>
        <w:tc>
          <w:tcPr>
            <w:tcW w:w="0" w:type="auto"/>
            <w:hideMark/>
          </w:tcPr>
          <w:p w14:paraId="58C97C55" w14:textId="77777777" w:rsidR="002B7A02" w:rsidRPr="002B7A02" w:rsidRDefault="002B7A02" w:rsidP="002B7A02">
            <w:pPr>
              <w:spacing w:after="160" w:line="278" w:lineRule="auto"/>
              <w:jc w:val="both"/>
              <w:rPr>
                <w:rFonts w:ascii="Traditional Arabic" w:hAnsi="Traditional Arabic" w:cs="Traditional Arabic"/>
                <w:rtl/>
                <w:lang w:bidi="ar-EG"/>
              </w:rPr>
            </w:pPr>
            <w:r w:rsidRPr="002B7A02">
              <w:rPr>
                <w:rFonts w:ascii="Traditional Arabic" w:hAnsi="Traditional Arabic" w:cs="Traditional Arabic"/>
                <w:rtl/>
              </w:rPr>
              <w:t xml:space="preserve">أثر بيئة العمل الداخلية على الإبداع الإداري بالتطبيق على </w:t>
            </w:r>
            <w:r w:rsidRPr="002B7A02">
              <w:rPr>
                <w:rFonts w:ascii="Traditional Arabic" w:hAnsi="Traditional Arabic" w:cs="Traditional Arabic"/>
                <w:rtl/>
              </w:rPr>
              <w:lastRenderedPageBreak/>
              <w:t>الأكاديميين بجامعة الملك عبدالعزيز بجدة</w:t>
            </w:r>
          </w:p>
        </w:tc>
        <w:tc>
          <w:tcPr>
            <w:tcW w:w="0" w:type="auto"/>
            <w:hideMark/>
          </w:tcPr>
          <w:p w14:paraId="44B3C15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الكشف عن أثر بيئة العمل الداخلية على </w:t>
            </w:r>
            <w:r w:rsidRPr="002B7A02">
              <w:rPr>
                <w:rFonts w:ascii="Traditional Arabic" w:hAnsi="Traditional Arabic" w:cs="Traditional Arabic"/>
                <w:rtl/>
              </w:rPr>
              <w:lastRenderedPageBreak/>
              <w:t>الإبداع الإداري</w:t>
            </w:r>
          </w:p>
        </w:tc>
        <w:tc>
          <w:tcPr>
            <w:tcW w:w="0" w:type="auto"/>
            <w:hideMark/>
          </w:tcPr>
          <w:p w14:paraId="3F0DE99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المستقل: بيئة العمل الداخلية / التابع: </w:t>
            </w:r>
            <w:r w:rsidRPr="002B7A02">
              <w:rPr>
                <w:rFonts w:ascii="Traditional Arabic" w:hAnsi="Traditional Arabic" w:cs="Traditional Arabic"/>
                <w:rtl/>
              </w:rPr>
              <w:lastRenderedPageBreak/>
              <w:t>الإبداع الإداري</w:t>
            </w:r>
          </w:p>
        </w:tc>
        <w:tc>
          <w:tcPr>
            <w:tcW w:w="0" w:type="auto"/>
            <w:hideMark/>
          </w:tcPr>
          <w:p w14:paraId="13C854A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المنهج الوصفي التحليلي </w:t>
            </w:r>
            <w:r w:rsidRPr="002B7A02">
              <w:rPr>
                <w:rFonts w:ascii="Traditional Arabic" w:hAnsi="Traditional Arabic" w:cs="Traditional Arabic"/>
                <w:rtl/>
              </w:rPr>
              <w:lastRenderedPageBreak/>
              <w:t>– الاستبانة</w:t>
            </w:r>
          </w:p>
        </w:tc>
        <w:tc>
          <w:tcPr>
            <w:tcW w:w="0" w:type="auto"/>
            <w:hideMark/>
          </w:tcPr>
          <w:p w14:paraId="07634C2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وجود أثر إيجابي ودال إحصائياً لبيئة العمل الداخلية </w:t>
            </w:r>
            <w:r w:rsidRPr="002B7A02">
              <w:rPr>
                <w:rFonts w:ascii="Traditional Arabic" w:hAnsi="Traditional Arabic" w:cs="Traditional Arabic"/>
                <w:rtl/>
              </w:rPr>
              <w:lastRenderedPageBreak/>
              <w:t>بأبعادها على الإبداع الإداري</w:t>
            </w:r>
          </w:p>
        </w:tc>
        <w:tc>
          <w:tcPr>
            <w:tcW w:w="0" w:type="auto"/>
            <w:hideMark/>
          </w:tcPr>
          <w:p w14:paraId="076C44D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lastRenderedPageBreak/>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بيئة العمل والمنهج والأداة والبيئة السعودية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اعتبرت </w:t>
            </w:r>
            <w:r w:rsidRPr="002B7A02">
              <w:rPr>
                <w:rFonts w:ascii="Traditional Arabic" w:hAnsi="Traditional Arabic" w:cs="Traditional Arabic"/>
                <w:rtl/>
              </w:rPr>
              <w:lastRenderedPageBreak/>
              <w:t>بيئة العمل متغيراً مستقلاً، وطُبقت على القطاع الأكاديمي، بينما تركز الدراسة الحالية على القطاع الحكومي</w:t>
            </w:r>
          </w:p>
        </w:tc>
      </w:tr>
      <w:tr w:rsidR="002B7A02" w:rsidRPr="002B7A02" w14:paraId="4E253561" w14:textId="77777777" w:rsidTr="002B7A02">
        <w:tc>
          <w:tcPr>
            <w:tcW w:w="0" w:type="auto"/>
            <w:hideMark/>
          </w:tcPr>
          <w:p w14:paraId="23526B6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lastRenderedPageBreak/>
              <w:t>Yadav (2025)</w:t>
            </w:r>
          </w:p>
        </w:tc>
        <w:tc>
          <w:tcPr>
            <w:tcW w:w="0" w:type="auto"/>
            <w:hideMark/>
          </w:tcPr>
          <w:p w14:paraId="2BEE940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The Role of Globalization in Shaping Modern Workplaces: Trends, Opportunities, and Challenges</w:t>
            </w:r>
          </w:p>
        </w:tc>
        <w:tc>
          <w:tcPr>
            <w:tcW w:w="0" w:type="auto"/>
            <w:hideMark/>
          </w:tcPr>
          <w:p w14:paraId="7AB27D7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العولمة في تشكيل بيئات العمل الحديثة</w:t>
            </w:r>
          </w:p>
        </w:tc>
        <w:tc>
          <w:tcPr>
            <w:tcW w:w="0" w:type="auto"/>
            <w:hideMark/>
          </w:tcPr>
          <w:p w14:paraId="2C83B6F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العولمة / التابع: بيئات العمل الحديثة</w:t>
            </w:r>
          </w:p>
        </w:tc>
        <w:tc>
          <w:tcPr>
            <w:tcW w:w="0" w:type="auto"/>
            <w:hideMark/>
          </w:tcPr>
          <w:p w14:paraId="540EE3E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مراجعة أدبية</w:t>
            </w:r>
          </w:p>
        </w:tc>
        <w:tc>
          <w:tcPr>
            <w:tcW w:w="0" w:type="auto"/>
            <w:hideMark/>
          </w:tcPr>
          <w:p w14:paraId="5A498A9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إعادة العولمة لتشكيل بيئات العمل الحديثة عبر التنوع الثقافي والمرونة والتقنيات الرقمية</w:t>
            </w:r>
          </w:p>
        </w:tc>
        <w:tc>
          <w:tcPr>
            <w:tcW w:w="0" w:type="auto"/>
            <w:hideMark/>
          </w:tcPr>
          <w:p w14:paraId="5256270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الحديثة كمتغير تابع</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العولمة كمتغير مستقل ودراسة نظرية، بينما الدراسة الحالية تركز على الذكاء الاصطناعي التوليدي وميدانية</w:t>
            </w:r>
          </w:p>
        </w:tc>
      </w:tr>
      <w:tr w:rsidR="002B7A02" w:rsidRPr="002B7A02" w14:paraId="489C90A9" w14:textId="77777777" w:rsidTr="002B7A02">
        <w:tc>
          <w:tcPr>
            <w:tcW w:w="0" w:type="auto"/>
            <w:hideMark/>
          </w:tcPr>
          <w:p w14:paraId="047D964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Mangarella, Black, &amp; Ward (2025)</w:t>
            </w:r>
          </w:p>
        </w:tc>
        <w:tc>
          <w:tcPr>
            <w:tcW w:w="0" w:type="auto"/>
            <w:hideMark/>
          </w:tcPr>
          <w:p w14:paraId="60FB7CB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Shifting expectations: How employee experience is shaping the modern workplace</w:t>
            </w:r>
          </w:p>
        </w:tc>
        <w:tc>
          <w:tcPr>
            <w:tcW w:w="0" w:type="auto"/>
            <w:hideMark/>
          </w:tcPr>
          <w:p w14:paraId="2AED08B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تجربة الموظف في تشكيل بيئة العمل الحديثة</w:t>
            </w:r>
          </w:p>
        </w:tc>
        <w:tc>
          <w:tcPr>
            <w:tcW w:w="0" w:type="auto"/>
            <w:hideMark/>
          </w:tcPr>
          <w:p w14:paraId="62736AA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تجربة الموظف / التابع: بيئة العمل الحديثة</w:t>
            </w:r>
          </w:p>
        </w:tc>
        <w:tc>
          <w:tcPr>
            <w:tcW w:w="0" w:type="auto"/>
            <w:hideMark/>
          </w:tcPr>
          <w:p w14:paraId="00D0832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تحليل ممارسات</w:t>
            </w:r>
          </w:p>
        </w:tc>
        <w:tc>
          <w:tcPr>
            <w:tcW w:w="0" w:type="auto"/>
            <w:hideMark/>
          </w:tcPr>
          <w:p w14:paraId="5A4374B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أن تجربة الموظف محرك رئيسي في إعادة تشكيل بيئات العمل الحديثة</w:t>
            </w:r>
          </w:p>
        </w:tc>
        <w:tc>
          <w:tcPr>
            <w:tcW w:w="0" w:type="auto"/>
            <w:hideMark/>
          </w:tcPr>
          <w:p w14:paraId="68E231C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الحديثة كمتغير تابع</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تجربة الموظف، بينما تركز الدراسة الحالية على الذكاء الاصطناعي التوليدي</w:t>
            </w:r>
          </w:p>
        </w:tc>
      </w:tr>
      <w:tr w:rsidR="002B7A02" w:rsidRPr="002B7A02" w14:paraId="3EB7CF87" w14:textId="77777777" w:rsidTr="002B7A02">
        <w:tc>
          <w:tcPr>
            <w:tcW w:w="0" w:type="auto"/>
            <w:hideMark/>
          </w:tcPr>
          <w:p w14:paraId="3966766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Yas et al. (2024)</w:t>
            </w:r>
          </w:p>
        </w:tc>
        <w:tc>
          <w:tcPr>
            <w:tcW w:w="0" w:type="auto"/>
            <w:hideMark/>
          </w:tcPr>
          <w:p w14:paraId="2AD9A43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 xml:space="preserve">The Impact of Intellectual Property Rights and the Work Environment on Information </w:t>
            </w:r>
            <w:r w:rsidRPr="002B7A02">
              <w:rPr>
                <w:rFonts w:ascii="Traditional Arabic" w:hAnsi="Traditional Arabic" w:cs="Traditional Arabic"/>
              </w:rPr>
              <w:lastRenderedPageBreak/>
              <w:t>Security in the UAE</w:t>
            </w:r>
          </w:p>
        </w:tc>
        <w:tc>
          <w:tcPr>
            <w:tcW w:w="0" w:type="auto"/>
            <w:hideMark/>
          </w:tcPr>
          <w:p w14:paraId="7A7E88E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التعرف على أثر حقوق الملكية الفكرية وبيئة العمل على أمن المعلومات</w:t>
            </w:r>
          </w:p>
        </w:tc>
        <w:tc>
          <w:tcPr>
            <w:tcW w:w="0" w:type="auto"/>
            <w:hideMark/>
          </w:tcPr>
          <w:p w14:paraId="63580B5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حقوق الملكية الفكرية وبيئة العمل / التابع: أمن المعلومات</w:t>
            </w:r>
          </w:p>
        </w:tc>
        <w:tc>
          <w:tcPr>
            <w:tcW w:w="0" w:type="auto"/>
            <w:hideMark/>
          </w:tcPr>
          <w:p w14:paraId="43B7222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63A70CE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ودال إحصائياً لحقوق الملكية الفكرية وبيئة العمل على أمن المعلومات</w:t>
            </w:r>
          </w:p>
        </w:tc>
        <w:tc>
          <w:tcPr>
            <w:tcW w:w="0" w:type="auto"/>
            <w:hideMark/>
          </w:tcPr>
          <w:p w14:paraId="1AA81EF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اعتبرت بيئة العمل متغيراً مستقلاً وأمن المعلومات تابعاً، وطُبقت في الإمارات، بينما تركز الدراسة </w:t>
            </w:r>
            <w:r w:rsidRPr="002B7A02">
              <w:rPr>
                <w:rFonts w:ascii="Traditional Arabic" w:hAnsi="Traditional Arabic" w:cs="Traditional Arabic"/>
                <w:rtl/>
              </w:rPr>
              <w:lastRenderedPageBreak/>
              <w:t>الحالية على المؤسسات الحكومية السعودية</w:t>
            </w:r>
          </w:p>
        </w:tc>
      </w:tr>
    </w:tbl>
    <w:p w14:paraId="45971CF8" w14:textId="77777777" w:rsidR="002B7A02" w:rsidRPr="002B7A02" w:rsidRDefault="002B7A02" w:rsidP="00D325E6">
      <w:pPr>
        <w:jc w:val="both"/>
        <w:rPr>
          <w:rFonts w:ascii="Traditional Arabic" w:hAnsi="Traditional Arabic" w:cs="Traditional Arabic"/>
          <w:sz w:val="32"/>
          <w:szCs w:val="32"/>
        </w:rPr>
      </w:pPr>
    </w:p>
    <w:p w14:paraId="34478D0F" w14:textId="77777777" w:rsidR="00EE20A1" w:rsidRDefault="00EE20A1" w:rsidP="00D325E6">
      <w:pPr>
        <w:pStyle w:val="Heading1"/>
        <w:rPr>
          <w:rtl/>
        </w:rPr>
      </w:pPr>
    </w:p>
    <w:p w14:paraId="3BA57FB1" w14:textId="77777777" w:rsidR="00EE20A1" w:rsidRDefault="00EE20A1" w:rsidP="00D325E6">
      <w:pPr>
        <w:pStyle w:val="Heading1"/>
        <w:rPr>
          <w:rtl/>
        </w:rPr>
      </w:pPr>
    </w:p>
    <w:p w14:paraId="12545048" w14:textId="7539A410" w:rsidR="002B7A02" w:rsidRDefault="002B7A02">
      <w:pPr>
        <w:bidi w:val="0"/>
        <w:rPr>
          <w:rFonts w:ascii="Traditional Arabic" w:hAnsi="Traditional Arabic" w:cs="Traditional Arabic"/>
          <w:b/>
          <w:bCs/>
          <w:sz w:val="36"/>
          <w:szCs w:val="36"/>
          <w:lang w:bidi="ar-EG"/>
        </w:rPr>
      </w:pPr>
      <w:r>
        <w:rPr>
          <w:rtl/>
        </w:rPr>
        <w:br w:type="page"/>
      </w:r>
    </w:p>
    <w:p w14:paraId="4ED778C2" w14:textId="57206F22" w:rsidR="00DE18A5" w:rsidRPr="00193FA4" w:rsidRDefault="00DE18A5" w:rsidP="00D325E6">
      <w:pPr>
        <w:pStyle w:val="Heading1"/>
        <w:rPr>
          <w:rtl/>
        </w:rPr>
      </w:pPr>
      <w:bookmarkStart w:id="17" w:name="_Toc233382415"/>
      <w:r w:rsidRPr="00193FA4">
        <w:rPr>
          <w:rFonts w:hint="cs"/>
          <w:rtl/>
        </w:rPr>
        <w:lastRenderedPageBreak/>
        <w:t>قائمة المراجع:</w:t>
      </w:r>
      <w:bookmarkEnd w:id="17"/>
    </w:p>
    <w:p w14:paraId="1D71F00E" w14:textId="77777777" w:rsidR="00EB0316" w:rsidRDefault="00EB0316" w:rsidP="00EB0316">
      <w:pPr>
        <w:pStyle w:val="ListParagraph"/>
        <w:ind w:left="0"/>
        <w:jc w:val="lowKashida"/>
        <w:rPr>
          <w:rFonts w:ascii="Traditional Arabic" w:hAnsi="Traditional Arabic" w:cs="Traditional Arabic"/>
          <w:sz w:val="32"/>
          <w:szCs w:val="32"/>
          <w:lang w:bidi="ar-EG"/>
        </w:rPr>
      </w:pPr>
    </w:p>
    <w:p w14:paraId="535C852A"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4E7FB1">
        <w:rPr>
          <w:rFonts w:ascii="Traditional Arabic" w:hAnsi="Traditional Arabic" w:cs="Traditional Arabic"/>
          <w:sz w:val="32"/>
          <w:szCs w:val="32"/>
          <w:rtl/>
          <w:lang w:bidi="ar-EG"/>
        </w:rPr>
        <w:t xml:space="preserve">أحمد، لبنى محمد فتوح السيد. (2025). أثر الذكاء الاصطناعي التوليدي </w:t>
      </w:r>
      <w:r w:rsidRPr="004E7FB1">
        <w:rPr>
          <w:rFonts w:ascii="Traditional Arabic" w:hAnsi="Traditional Arabic" w:cs="Traditional Arabic"/>
          <w:sz w:val="32"/>
          <w:szCs w:val="32"/>
          <w:lang w:bidi="ar-EG"/>
        </w:rPr>
        <w:t>ChatGpt</w:t>
      </w:r>
      <w:r w:rsidRPr="004E7FB1">
        <w:rPr>
          <w:rFonts w:ascii="Traditional Arabic" w:hAnsi="Traditional Arabic" w:cs="Traditional Arabic"/>
          <w:sz w:val="32"/>
          <w:szCs w:val="32"/>
          <w:rtl/>
          <w:lang w:bidi="ar-EG"/>
        </w:rPr>
        <w:t xml:space="preserve"> في تشكيل المعرفة والهوية الثقافية: بحث ميداني على عينة من جيل </w:t>
      </w:r>
      <w:r w:rsidRPr="004E7FB1">
        <w:rPr>
          <w:rFonts w:ascii="Traditional Arabic" w:hAnsi="Traditional Arabic" w:cs="Traditional Arabic"/>
          <w:sz w:val="32"/>
          <w:szCs w:val="32"/>
          <w:lang w:bidi="ar-EG"/>
        </w:rPr>
        <w:t>Z</w:t>
      </w:r>
      <w:r w:rsidRPr="004E7FB1">
        <w:rPr>
          <w:rFonts w:ascii="Traditional Arabic" w:hAnsi="Traditional Arabic" w:cs="Traditional Arabic"/>
          <w:sz w:val="32"/>
          <w:szCs w:val="32"/>
          <w:rtl/>
          <w:lang w:bidi="ar-EG"/>
        </w:rPr>
        <w:t xml:space="preserve"> في محافظة القاهرة. مجلة البحث العلمي في الآداب، ع26, ج2 ، 285 - 353. مسترجع من </w:t>
      </w:r>
      <w:hyperlink r:id="rId10" w:history="1">
        <w:r w:rsidRPr="00E64F6A">
          <w:rPr>
            <w:rStyle w:val="Hyperlink"/>
            <w:rFonts w:ascii="Traditional Arabic" w:hAnsi="Traditional Arabic" w:cs="Traditional Arabic"/>
            <w:sz w:val="32"/>
            <w:szCs w:val="32"/>
            <w:lang w:bidi="ar-EG"/>
          </w:rPr>
          <w:t>http://search.mandumah.com/Record/1620412</w:t>
        </w:r>
      </w:hyperlink>
    </w:p>
    <w:p w14:paraId="1F6D77F9"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الجماعين، نقاء فهد محمد، و جودة، عبدالحكيم مصطفى محمود. (2022). مستجدات بيئة الأعمال الحديثة وأثرها على الإنتاج في ظل استخدام مدخل إدارة التكلفة في الشركات الصناعية المدرجة في بورصة عمان (رسالة ماجستير غير منشورة). جامعة الاسراء الخاصة، عمان. مسترجع من </w:t>
      </w:r>
      <w:hyperlink r:id="rId11" w:history="1">
        <w:r w:rsidRPr="00E64F6A">
          <w:rPr>
            <w:rStyle w:val="Hyperlink"/>
            <w:rFonts w:ascii="Traditional Arabic" w:hAnsi="Traditional Arabic" w:cs="Traditional Arabic"/>
            <w:sz w:val="32"/>
            <w:szCs w:val="32"/>
            <w:lang w:bidi="ar-EG"/>
          </w:rPr>
          <w:t>http://search.mandumah.com/Record/1257382</w:t>
        </w:r>
      </w:hyperlink>
    </w:p>
    <w:p w14:paraId="45A04B85"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حراز، السيد يوسف السيد رجب، أبو العز، معتز السيد، و شبانه، مها مصباح محمد عبدالرازق. (2025).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 المجلة العلمية للدراسات والبحوث المالية والتجارية، مج6, ع1 ، 115 - 163. مسترجع من </w:t>
      </w:r>
      <w:hyperlink r:id="rId12" w:history="1">
        <w:r w:rsidRPr="00E64F6A">
          <w:rPr>
            <w:rStyle w:val="Hyperlink"/>
            <w:rFonts w:ascii="Traditional Arabic" w:hAnsi="Traditional Arabic" w:cs="Traditional Arabic"/>
            <w:sz w:val="32"/>
            <w:szCs w:val="32"/>
            <w:lang w:bidi="ar-EG"/>
          </w:rPr>
          <w:t>http://search.mandumah.com/Record/1616465</w:t>
        </w:r>
      </w:hyperlink>
    </w:p>
    <w:p w14:paraId="317E12C5"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الدرايسة، عبدالله صالح محمد. (2025). استكشاف الإمكانات والتحديات المتعلقة بتوظيف الذكاء الاصطناعي التوليدي: </w:t>
      </w:r>
      <w:r w:rsidRPr="006621D1">
        <w:rPr>
          <w:rFonts w:ascii="Traditional Arabic" w:hAnsi="Traditional Arabic" w:cs="Traditional Arabic"/>
          <w:sz w:val="32"/>
          <w:szCs w:val="32"/>
          <w:lang w:bidi="ar-EG"/>
        </w:rPr>
        <w:t>ChatGPT</w:t>
      </w:r>
      <w:r w:rsidRPr="006621D1">
        <w:rPr>
          <w:rFonts w:ascii="Traditional Arabic" w:hAnsi="Traditional Arabic" w:cs="Traditional Arabic"/>
          <w:sz w:val="32"/>
          <w:szCs w:val="32"/>
          <w:rtl/>
          <w:lang w:bidi="ar-EG"/>
        </w:rPr>
        <w:t xml:space="preserve"> أنموذجاً في النظم التعليمية: دراسة تحليلية. مجلة التطوير العلمي للدراسات والبحوث، ع21 ، 58 - 72. مسترجع من </w:t>
      </w:r>
      <w:hyperlink r:id="rId13" w:history="1">
        <w:r w:rsidRPr="00E64F6A">
          <w:rPr>
            <w:rStyle w:val="Hyperlink"/>
            <w:rFonts w:ascii="Traditional Arabic" w:hAnsi="Traditional Arabic" w:cs="Traditional Arabic"/>
            <w:sz w:val="32"/>
            <w:szCs w:val="32"/>
            <w:lang w:bidi="ar-EG"/>
          </w:rPr>
          <w:t>http://search.mandumah.com/Record/1555917</w:t>
        </w:r>
      </w:hyperlink>
    </w:p>
    <w:p w14:paraId="4CA2E728"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السلمي، خالد عبدالله، و حداد، محمد عبدالكريم أحمد بخاري. (2022). أثر بيئة العمل الداخلية على الإبداع الإداري "بالتطبيق على عينة من الأكاديميين بجامعة الملك عبدالعزيز بمدينة جدة". المجلة العربية للآداب والدراسات الانسانية، ع23 ، 221 - 249. مسترجع من </w:t>
      </w:r>
      <w:hyperlink r:id="rId14" w:history="1">
        <w:r w:rsidRPr="00E64F6A">
          <w:rPr>
            <w:rStyle w:val="Hyperlink"/>
            <w:rFonts w:ascii="Traditional Arabic" w:hAnsi="Traditional Arabic" w:cs="Traditional Arabic"/>
            <w:sz w:val="32"/>
            <w:szCs w:val="32"/>
            <w:lang w:bidi="ar-EG"/>
          </w:rPr>
          <w:t>http://search.mandumah.com/Record/1290807</w:t>
        </w:r>
      </w:hyperlink>
    </w:p>
    <w:p w14:paraId="208AD056"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السماني، الطيب السماني عبدالجبار، مأمون، محمد، حمادي، محمد الطيب، و أحمد، مصعب إبراهيم الرشيد سيد. (2025). أثر الذكاء الاصطناعي التوليدي على التعليم العالي في المؤسسات السودانية: دراسة مسحية </w:t>
      </w:r>
      <w:r w:rsidRPr="006621D1">
        <w:rPr>
          <w:rFonts w:ascii="Traditional Arabic" w:hAnsi="Traditional Arabic" w:cs="Traditional Arabic"/>
          <w:sz w:val="32"/>
          <w:szCs w:val="32"/>
          <w:rtl/>
          <w:lang w:bidi="ar-EG"/>
        </w:rPr>
        <w:lastRenderedPageBreak/>
        <w:t xml:space="preserve">وتحليل شامل للفجوات والمخاطر واستراتيجيات التطوير. مجلة النيل الأبيض للدراسات والبحوث، ع26 ، 43 - 60. مسترجع من </w:t>
      </w:r>
      <w:hyperlink r:id="rId15" w:history="1">
        <w:r w:rsidRPr="00E64F6A">
          <w:rPr>
            <w:rStyle w:val="Hyperlink"/>
            <w:rFonts w:ascii="Traditional Arabic" w:hAnsi="Traditional Arabic" w:cs="Traditional Arabic"/>
            <w:sz w:val="32"/>
            <w:szCs w:val="32"/>
            <w:lang w:bidi="ar-EG"/>
          </w:rPr>
          <w:t>http://search.mandumah.com/Record/1640957</w:t>
        </w:r>
      </w:hyperlink>
    </w:p>
    <w:p w14:paraId="08672ED0"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شحات، سيد محمد سيد. (2021). تصميم نظم العمل وتطوير بيئة العمل التنظيمية في المكتبات العامة. مجلة سوهاج لشباب الباحثين، ع1 ، 73 - 90. مسترجع من </w:t>
      </w:r>
      <w:hyperlink r:id="rId16" w:history="1">
        <w:r w:rsidRPr="00E64F6A">
          <w:rPr>
            <w:rStyle w:val="Hyperlink"/>
            <w:rFonts w:ascii="Traditional Arabic" w:hAnsi="Traditional Arabic" w:cs="Traditional Arabic"/>
            <w:sz w:val="32"/>
            <w:szCs w:val="32"/>
            <w:lang w:bidi="ar-EG"/>
          </w:rPr>
          <w:t>http://search.mandumah.com/Record/1123935</w:t>
        </w:r>
      </w:hyperlink>
    </w:p>
    <w:p w14:paraId="797BA48C"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الشريف، إيمان بنت فهد بن فايز. (2026). أثر استراتيجية </w:t>
      </w:r>
      <w:r w:rsidRPr="006621D1">
        <w:rPr>
          <w:rFonts w:ascii="Traditional Arabic" w:hAnsi="Traditional Arabic" w:cs="Traditional Arabic"/>
          <w:sz w:val="32"/>
          <w:szCs w:val="32"/>
          <w:lang w:bidi="ar-EG"/>
        </w:rPr>
        <w:t>KWHLAQ</w:t>
      </w:r>
      <w:r w:rsidRPr="006621D1">
        <w:rPr>
          <w:rFonts w:ascii="Traditional Arabic" w:hAnsi="Traditional Arabic" w:cs="Traditional Arabic"/>
          <w:sz w:val="32"/>
          <w:szCs w:val="32"/>
          <w:rtl/>
          <w:lang w:bidi="ar-EG"/>
        </w:rPr>
        <w:t xml:space="preserve"> في تنمية كفاءة الباحثات المتخصصات في تقنيات التعليم في البحث عن المعلومات البحثية الرقمية ومعالجتها باستخدام تقنيات الذكاء الاصطناعي التوليدي. مجلة الشمال للعلوم الإنسانية، مج11, ع1 ، 1 - 17. مسترجع من </w:t>
      </w:r>
      <w:hyperlink r:id="rId17" w:history="1">
        <w:r w:rsidRPr="00E64F6A">
          <w:rPr>
            <w:rStyle w:val="Hyperlink"/>
            <w:rFonts w:ascii="Traditional Arabic" w:hAnsi="Traditional Arabic" w:cs="Traditional Arabic"/>
            <w:sz w:val="32"/>
            <w:szCs w:val="32"/>
            <w:lang w:bidi="ar-EG"/>
          </w:rPr>
          <w:t>http://search.mandumah.com/Record/1655401</w:t>
        </w:r>
      </w:hyperlink>
    </w:p>
    <w:p w14:paraId="17647789"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4E7FB1">
        <w:rPr>
          <w:rFonts w:ascii="Traditional Arabic" w:hAnsi="Traditional Arabic" w:cs="Traditional Arabic"/>
          <w:sz w:val="32"/>
          <w:szCs w:val="32"/>
          <w:rtl/>
          <w:lang w:bidi="ar-EG"/>
        </w:rPr>
        <w:t>عالم، رؤى مصطفى محمد، و الفراني، لينا بنت أحمد بن خليل. (2024). أثر توظيف الذكاء الاصطناعي التوليدي في تنمية مهارات البرمجة لدى الطالبات في مقرر المهارات الرقمية. المجلة الدولية للمناهج والتربية التكنولوجية، ع30 ، 31 - 83. مسترجع من</w:t>
      </w:r>
      <w:r w:rsidRPr="004E7FB1">
        <w:rPr>
          <w:rFonts w:ascii="Traditional Arabic" w:hAnsi="Traditional Arabic" w:cs="Traditional Arabic"/>
          <w:sz w:val="32"/>
          <w:szCs w:val="32"/>
          <w:lang w:bidi="ar-EG"/>
        </w:rPr>
        <w:t xml:space="preserve"> </w:t>
      </w:r>
      <w:hyperlink r:id="rId18" w:history="1">
        <w:r w:rsidRPr="00E64F6A">
          <w:rPr>
            <w:rStyle w:val="Hyperlink"/>
            <w:rFonts w:ascii="Traditional Arabic" w:hAnsi="Traditional Arabic" w:cs="Traditional Arabic"/>
            <w:sz w:val="32"/>
            <w:szCs w:val="32"/>
            <w:lang w:bidi="ar-EG"/>
          </w:rPr>
          <w:t>http://search.mandumah.com/Record/1537570</w:t>
        </w:r>
      </w:hyperlink>
    </w:p>
    <w:p w14:paraId="044A932C"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عقيلي، خالد إسماعيل عبدالرحيم. (2024). أثر تطبيق الذكاء الاصطناعي التوليدي "</w:t>
      </w:r>
      <w:r w:rsidRPr="006621D1">
        <w:rPr>
          <w:rFonts w:ascii="Traditional Arabic" w:hAnsi="Traditional Arabic" w:cs="Traditional Arabic"/>
          <w:sz w:val="32"/>
          <w:szCs w:val="32"/>
          <w:lang w:bidi="ar-EG"/>
        </w:rPr>
        <w:t>Chat GPT</w:t>
      </w:r>
      <w:r w:rsidRPr="006621D1">
        <w:rPr>
          <w:rFonts w:ascii="Traditional Arabic" w:hAnsi="Traditional Arabic" w:cs="Traditional Arabic"/>
          <w:sz w:val="32"/>
          <w:szCs w:val="32"/>
          <w:rtl/>
          <w:lang w:bidi="ar-EG"/>
        </w:rPr>
        <w:t xml:space="preserve">" على جودة التقارير المالية بالتطبيق على شركات التشييد والاستثمار العقاري المسجلة بسوق الأوراق المالية المصري. مجلة البحوث المالية والتجارية، ع2 ، 23 - 68. مسترجع من </w:t>
      </w:r>
      <w:hyperlink r:id="rId19" w:history="1">
        <w:r w:rsidRPr="00E64F6A">
          <w:rPr>
            <w:rStyle w:val="Hyperlink"/>
            <w:rFonts w:ascii="Traditional Arabic" w:hAnsi="Traditional Arabic" w:cs="Traditional Arabic"/>
            <w:sz w:val="32"/>
            <w:szCs w:val="32"/>
            <w:lang w:bidi="ar-EG"/>
          </w:rPr>
          <w:t>http://search.mandumah.com/Record/1461419</w:t>
        </w:r>
      </w:hyperlink>
    </w:p>
    <w:p w14:paraId="3BFCAEA4"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الغامدي، ريم أحمد رمزي. (2025). أثر توظيف تطبيقات الذكاء الاصطناعي التوليدي على جودة الأداء التدريسي لدى معلمي العلوم: دراسة تحليلية للتأثيرات الوسيطة للكفاءة الذاتية التقنية والمرونة المعرفية. مجلة كلية التربية بالمنصورة، ع131, ج1 ، 41 - 79. مسترجع من </w:t>
      </w:r>
      <w:hyperlink r:id="rId20" w:history="1">
        <w:r w:rsidRPr="00E64F6A">
          <w:rPr>
            <w:rStyle w:val="Hyperlink"/>
            <w:rFonts w:ascii="Traditional Arabic" w:hAnsi="Traditional Arabic" w:cs="Traditional Arabic"/>
            <w:sz w:val="32"/>
            <w:szCs w:val="32"/>
            <w:lang w:bidi="ar-EG"/>
          </w:rPr>
          <w:t>http://search.mandumah.com/Record/1620657</w:t>
        </w:r>
      </w:hyperlink>
    </w:p>
    <w:p w14:paraId="67C49122"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الغامدي، نحاء سعد فرج. (2025). أثر توظيف أدوات الذكاء الاصطناعي التوليدي في تنمية مهارات التصميم الرقمي والتفكير الإبداعي لدى طالبات المرحلة الابتدائية. المجلة العربية للتربية النوعية، ع41 ، 265 - 306. مسترجع من </w:t>
      </w:r>
      <w:hyperlink r:id="rId21" w:history="1">
        <w:r w:rsidRPr="00E64F6A">
          <w:rPr>
            <w:rStyle w:val="Hyperlink"/>
            <w:rFonts w:ascii="Traditional Arabic" w:hAnsi="Traditional Arabic" w:cs="Traditional Arabic"/>
            <w:sz w:val="32"/>
            <w:szCs w:val="32"/>
            <w:lang w:bidi="ar-EG"/>
          </w:rPr>
          <w:t>http://search.mandumah.com/Record/1638541</w:t>
        </w:r>
      </w:hyperlink>
    </w:p>
    <w:p w14:paraId="7B00B118"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lastRenderedPageBreak/>
        <w:t xml:space="preserve">الفالح، راكان غازي عبدالله. (2025). تأثير أدوات الذكاء الاصطناعي التوليدي في منصة </w:t>
      </w:r>
      <w:r w:rsidRPr="006621D1">
        <w:rPr>
          <w:rFonts w:ascii="Traditional Arabic" w:hAnsi="Traditional Arabic" w:cs="Traditional Arabic"/>
          <w:sz w:val="32"/>
          <w:szCs w:val="32"/>
          <w:lang w:bidi="ar-EG"/>
        </w:rPr>
        <w:t>Canva</w:t>
      </w:r>
      <w:r w:rsidRPr="006621D1">
        <w:rPr>
          <w:rFonts w:ascii="Traditional Arabic" w:hAnsi="Traditional Arabic" w:cs="Traditional Arabic"/>
          <w:sz w:val="32"/>
          <w:szCs w:val="32"/>
          <w:rtl/>
          <w:lang w:bidi="ar-EG"/>
        </w:rPr>
        <w:t xml:space="preserve"> على تشكيل الهوية البصرية: دراسة تحليلية. مجلة ابن خلدون للدراسات والأبحاث، مج5, ع12 ، 269 - 296. مسترجع من </w:t>
      </w:r>
      <w:hyperlink r:id="rId22" w:history="1">
        <w:r w:rsidRPr="00E64F6A">
          <w:rPr>
            <w:rStyle w:val="Hyperlink"/>
            <w:rFonts w:ascii="Traditional Arabic" w:hAnsi="Traditional Arabic" w:cs="Traditional Arabic"/>
            <w:sz w:val="32"/>
            <w:szCs w:val="32"/>
            <w:lang w:bidi="ar-EG"/>
          </w:rPr>
          <w:t>http://search.mandumah.com/Record/1644376</w:t>
        </w:r>
      </w:hyperlink>
    </w:p>
    <w:p w14:paraId="6496ED90"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المطيري، فهد زاكي، و الحازمي، فهد ناصر. (2023). أثر بيئة العمل التنظيمية على أداء العاملين: دراسة تطبيقية في مستشفيات وزارة الصحة بمنطقة المدينة المنورة. مجلة البحوث التجارية، مج45, ع2 ، 559 - 592. مسترجع من </w:t>
      </w:r>
      <w:hyperlink r:id="rId23" w:history="1">
        <w:r w:rsidRPr="00E64F6A">
          <w:rPr>
            <w:rStyle w:val="Hyperlink"/>
            <w:rFonts w:ascii="Traditional Arabic" w:hAnsi="Traditional Arabic" w:cs="Traditional Arabic"/>
            <w:sz w:val="32"/>
            <w:szCs w:val="32"/>
            <w:lang w:bidi="ar-EG"/>
          </w:rPr>
          <w:t>http://search.mandumah.com/Record/1531175</w:t>
        </w:r>
      </w:hyperlink>
    </w:p>
    <w:p w14:paraId="1BB9A038" w14:textId="77777777" w:rsidR="006621D1" w:rsidRPr="006621D1" w:rsidRDefault="006621D1" w:rsidP="004E7FB1">
      <w:pPr>
        <w:pStyle w:val="ListParagraph"/>
        <w:jc w:val="both"/>
        <w:rPr>
          <w:rFonts w:ascii="Traditional Arabic" w:hAnsi="Traditional Arabic" w:cs="Traditional Arabic"/>
          <w:sz w:val="32"/>
          <w:szCs w:val="32"/>
          <w:rtl/>
          <w:lang w:bidi="ar-EG"/>
        </w:rPr>
      </w:pPr>
    </w:p>
    <w:p w14:paraId="4C49857B" w14:textId="77777777" w:rsidR="004E7FB1" w:rsidRPr="00193FA4" w:rsidRDefault="004E7FB1" w:rsidP="004E7FB1">
      <w:pPr>
        <w:pStyle w:val="ListParagraph"/>
        <w:bidi w:val="0"/>
        <w:jc w:val="both"/>
        <w:rPr>
          <w:rFonts w:ascii="Traditional Arabic" w:hAnsi="Traditional Arabic" w:cs="Traditional Arabic"/>
          <w:sz w:val="32"/>
          <w:szCs w:val="32"/>
          <w:lang w:bidi="ar-EG"/>
        </w:rPr>
      </w:pPr>
    </w:p>
    <w:p w14:paraId="03DC685D" w14:textId="77777777" w:rsidR="002B7A02" w:rsidRDefault="002B7A02" w:rsidP="002B7A02">
      <w:pPr>
        <w:pStyle w:val="ListParagraph"/>
        <w:numPr>
          <w:ilvl w:val="0"/>
          <w:numId w:val="48"/>
        </w:numPr>
        <w:bidi w:val="0"/>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Pr>
        <w:t xml:space="preserve">Al Naqbi, H., Bahroun, Z., &amp; Ahmed, V. (2024). Enhancing work productivity through generative artificial intelligence: A comprehensive literature review. </w:t>
      </w:r>
      <w:r w:rsidRPr="006621D1">
        <w:rPr>
          <w:rFonts w:ascii="Traditional Arabic" w:hAnsi="Traditional Arabic" w:cs="Traditional Arabic"/>
          <w:i/>
          <w:iCs/>
          <w:sz w:val="32"/>
          <w:szCs w:val="32"/>
        </w:rPr>
        <w:t>Sustainability</w:t>
      </w:r>
      <w:r w:rsidRPr="006621D1">
        <w:rPr>
          <w:rFonts w:ascii="Traditional Arabic" w:hAnsi="Traditional Arabic" w:cs="Traditional Arabic"/>
          <w:sz w:val="32"/>
          <w:szCs w:val="32"/>
        </w:rPr>
        <w:t xml:space="preserve">, </w:t>
      </w:r>
      <w:r w:rsidRPr="006621D1">
        <w:rPr>
          <w:rFonts w:ascii="Traditional Arabic" w:hAnsi="Traditional Arabic" w:cs="Traditional Arabic"/>
          <w:i/>
          <w:iCs/>
          <w:sz w:val="32"/>
          <w:szCs w:val="32"/>
        </w:rPr>
        <w:t>16</w:t>
      </w:r>
      <w:r w:rsidRPr="006621D1">
        <w:rPr>
          <w:rFonts w:ascii="Traditional Arabic" w:hAnsi="Traditional Arabic" w:cs="Traditional Arabic"/>
          <w:sz w:val="32"/>
          <w:szCs w:val="32"/>
        </w:rPr>
        <w:t>(3), 1166.</w:t>
      </w:r>
    </w:p>
    <w:p w14:paraId="399C78E6"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Chowdhury, S., Budhwar, P., &amp; Wood, G. (2024). Generative artificial intelligence in business: towards a strategic human resource management framework. British Journal of Management, 35(4), 1680-1691</w:t>
      </w:r>
    </w:p>
    <w:p w14:paraId="42D6E379"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Mangarella, N., Black, C., &amp; Ward, C. (2025). Shifting expectations: How employee experience is shaping the modern workplace. Corporate Real Estate Journal, 15(2), 137-147</w:t>
      </w:r>
    </w:p>
    <w:p w14:paraId="48E18394"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Ooi, K. B., Tan, G. W. H., Al-Emran, M., Al-Sharafi, M. A., Capatina, A., Chakraborty, A., ... &amp; Wong, L. W. (2025). The potential of generative artificial intelligence across disciplines: Perspectives and future directions. Journal of Computer Information Systems, 65(1), 76-107.</w:t>
      </w:r>
    </w:p>
    <w:p w14:paraId="0E81B0D1"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 xml:space="preserve">Rane, N. (2023). ChatGPT and similar generative artificial intelligence (AI) for smart industry: role, challenges and opportunities </w:t>
      </w:r>
      <w:r w:rsidRPr="006621D1">
        <w:rPr>
          <w:rFonts w:ascii="Traditional Arabic" w:hAnsi="Traditional Arabic" w:cs="Traditional Arabic"/>
          <w:sz w:val="32"/>
          <w:szCs w:val="32"/>
          <w:lang w:bidi="ar-EG"/>
        </w:rPr>
        <w:lastRenderedPageBreak/>
        <w:t>for industry 4.0, industry 5.0 and society 5.0. Challenges and Opportunities for Industry, 4.</w:t>
      </w:r>
      <w:r w:rsidRPr="006621D1">
        <w:rPr>
          <w:rFonts w:ascii="Traditional Arabic" w:hAnsi="Traditional Arabic" w:cs="Traditional Arabic"/>
          <w:sz w:val="32"/>
          <w:szCs w:val="32"/>
          <w:rtl/>
          <w:lang w:bidi="ar-EG"/>
        </w:rPr>
        <w:t>‏</w:t>
      </w:r>
    </w:p>
    <w:p w14:paraId="2068F28E"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Rayhan, J. (2024). Exploring The Role and Impact of Generative AI in Enhancing Skilled Workforce Efficiency and Modern Workplace Dynamics for Maximum Organizational Output: A Textual Review and Conceptual Assessment. Globsyn Management Journal, 18.</w:t>
      </w:r>
      <w:r w:rsidRPr="006621D1">
        <w:rPr>
          <w:rFonts w:ascii="Traditional Arabic" w:hAnsi="Traditional Arabic" w:cs="Traditional Arabic"/>
          <w:sz w:val="32"/>
          <w:szCs w:val="32"/>
          <w:rtl/>
          <w:lang w:bidi="ar-EG"/>
        </w:rPr>
        <w:t>‏</w:t>
      </w:r>
    </w:p>
    <w:p w14:paraId="752E0700"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Yadav, P. (2025). The Role of Globalization in Shaping Modern Workplaces: Trends, Opportunities, and Challenges. Exploresearch, 2(1), 102-113.</w:t>
      </w:r>
      <w:r w:rsidRPr="006621D1">
        <w:rPr>
          <w:rFonts w:ascii="Traditional Arabic" w:hAnsi="Traditional Arabic" w:cs="Traditional Arabic"/>
          <w:sz w:val="32"/>
          <w:szCs w:val="32"/>
          <w:rtl/>
          <w:lang w:bidi="ar-EG"/>
        </w:rPr>
        <w:t>‏</w:t>
      </w:r>
    </w:p>
    <w:p w14:paraId="01CF8DE7"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Yas, N., Elyat, M. N. I., Saeed, M., Shwedeh, F., &amp; Lootah, S. (2024). The Impact of Intellectual Property Rights and the Work Environment on Information Security in the United Arab Emirates. Kurdish Studies, 12(1), 3931-3948.</w:t>
      </w:r>
      <w:r w:rsidRPr="006621D1">
        <w:rPr>
          <w:rFonts w:ascii="Traditional Arabic" w:hAnsi="Traditional Arabic" w:cs="Traditional Arabic"/>
          <w:sz w:val="32"/>
          <w:szCs w:val="32"/>
          <w:rtl/>
          <w:lang w:bidi="ar-EG"/>
        </w:rPr>
        <w:t>‏</w:t>
      </w:r>
    </w:p>
    <w:p w14:paraId="5088D46C" w14:textId="77777777" w:rsidR="00034BAC" w:rsidRDefault="00034BAC" w:rsidP="00034BAC">
      <w:pPr>
        <w:pStyle w:val="ListParagraph"/>
        <w:bidi w:val="0"/>
        <w:jc w:val="both"/>
        <w:rPr>
          <w:rFonts w:ascii="Traditional Arabic" w:hAnsi="Traditional Arabic" w:cs="Traditional Arabic"/>
          <w:sz w:val="32"/>
          <w:szCs w:val="32"/>
          <w:lang w:bidi="ar-EG"/>
        </w:rPr>
      </w:pPr>
    </w:p>
    <w:p w14:paraId="3D96BA70" w14:textId="77777777" w:rsidR="00EB0316" w:rsidRPr="00193FA4" w:rsidRDefault="00EB0316" w:rsidP="00EB0316">
      <w:pPr>
        <w:pStyle w:val="ListParagraph"/>
        <w:bidi w:val="0"/>
        <w:jc w:val="both"/>
        <w:rPr>
          <w:rFonts w:ascii="Traditional Arabic" w:hAnsi="Traditional Arabic" w:cs="Traditional Arabic"/>
          <w:sz w:val="32"/>
          <w:szCs w:val="32"/>
          <w:lang w:bidi="ar-EG"/>
        </w:rPr>
      </w:pPr>
    </w:p>
    <w:sectPr w:rsidR="00EB0316" w:rsidRPr="00193FA4" w:rsidSect="00CB6D93">
      <w:footerReference w:type="default" r:id="rId24"/>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62B76" w14:textId="77777777" w:rsidR="00360DF8" w:rsidRDefault="00360DF8" w:rsidP="00621DED">
      <w:pPr>
        <w:spacing w:after="0" w:line="240" w:lineRule="auto"/>
      </w:pPr>
      <w:r>
        <w:separator/>
      </w:r>
    </w:p>
  </w:endnote>
  <w:endnote w:type="continuationSeparator" w:id="0">
    <w:p w14:paraId="6628C03B" w14:textId="77777777" w:rsidR="00360DF8" w:rsidRDefault="00360DF8"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A10BC" w14:textId="77777777" w:rsidR="00360DF8" w:rsidRDefault="00360DF8" w:rsidP="00621DED">
      <w:pPr>
        <w:spacing w:after="0" w:line="240" w:lineRule="auto"/>
      </w:pPr>
      <w:r>
        <w:separator/>
      </w:r>
    </w:p>
  </w:footnote>
  <w:footnote w:type="continuationSeparator" w:id="0">
    <w:p w14:paraId="1D9F5A2D" w14:textId="77777777" w:rsidR="00360DF8" w:rsidRDefault="00360DF8"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893"/>
    <w:multiLevelType w:val="multilevel"/>
    <w:tmpl w:val="EA98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A34E5"/>
    <w:multiLevelType w:val="hybridMultilevel"/>
    <w:tmpl w:val="E5FC9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7F18E0"/>
    <w:multiLevelType w:val="hybridMultilevel"/>
    <w:tmpl w:val="142E8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5D1879"/>
    <w:multiLevelType w:val="multilevel"/>
    <w:tmpl w:val="33360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FE25D4"/>
    <w:multiLevelType w:val="hybridMultilevel"/>
    <w:tmpl w:val="60A64D28"/>
    <w:lvl w:ilvl="0" w:tplc="6626382E">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F18216D"/>
    <w:multiLevelType w:val="hybridMultilevel"/>
    <w:tmpl w:val="F3F6DC0A"/>
    <w:lvl w:ilvl="0" w:tplc="3BFCAB20">
      <w:numFmt w:val="bullet"/>
      <w:lvlText w:val="-"/>
      <w:lvlJc w:val="left"/>
      <w:pPr>
        <w:ind w:left="1222"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77073E"/>
    <w:multiLevelType w:val="hybridMultilevel"/>
    <w:tmpl w:val="F38E4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D6217C"/>
    <w:multiLevelType w:val="multilevel"/>
    <w:tmpl w:val="8702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9118A6"/>
    <w:multiLevelType w:val="multilevel"/>
    <w:tmpl w:val="BE68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A10234"/>
    <w:multiLevelType w:val="multilevel"/>
    <w:tmpl w:val="7E00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BD2835"/>
    <w:multiLevelType w:val="multilevel"/>
    <w:tmpl w:val="68D0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2D341E"/>
    <w:multiLevelType w:val="hybridMultilevel"/>
    <w:tmpl w:val="7A1E53C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17443F"/>
    <w:multiLevelType w:val="multilevel"/>
    <w:tmpl w:val="C3A2C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0E2126"/>
    <w:multiLevelType w:val="multilevel"/>
    <w:tmpl w:val="CF58F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B80FA4"/>
    <w:multiLevelType w:val="multilevel"/>
    <w:tmpl w:val="7EB4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0CA38CE"/>
    <w:multiLevelType w:val="hybridMultilevel"/>
    <w:tmpl w:val="40DA6108"/>
    <w:lvl w:ilvl="0" w:tplc="3BFCAB20">
      <w:numFmt w:val="bullet"/>
      <w:lvlText w:val="-"/>
      <w:lvlJc w:val="left"/>
      <w:pPr>
        <w:ind w:left="502"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043755"/>
    <w:multiLevelType w:val="hybridMultilevel"/>
    <w:tmpl w:val="F15CFEC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E23E4B"/>
    <w:multiLevelType w:val="multilevel"/>
    <w:tmpl w:val="E8A6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2B2DF6"/>
    <w:multiLevelType w:val="multilevel"/>
    <w:tmpl w:val="037AD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47D0B49"/>
    <w:multiLevelType w:val="multilevel"/>
    <w:tmpl w:val="1E2A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3A57E7"/>
    <w:multiLevelType w:val="multilevel"/>
    <w:tmpl w:val="F03AA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2A665C"/>
    <w:multiLevelType w:val="multilevel"/>
    <w:tmpl w:val="5838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252853"/>
    <w:multiLevelType w:val="multilevel"/>
    <w:tmpl w:val="61F0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4165D1"/>
    <w:multiLevelType w:val="multilevel"/>
    <w:tmpl w:val="9B545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6C4730"/>
    <w:multiLevelType w:val="hybridMultilevel"/>
    <w:tmpl w:val="9A02E9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B178C8"/>
    <w:multiLevelType w:val="multilevel"/>
    <w:tmpl w:val="CB2A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C8544A"/>
    <w:multiLevelType w:val="hybridMultilevel"/>
    <w:tmpl w:val="CDDC1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36533B"/>
    <w:multiLevelType w:val="hybridMultilevel"/>
    <w:tmpl w:val="A080D632"/>
    <w:lvl w:ilvl="0" w:tplc="6626382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8C60423"/>
    <w:multiLevelType w:val="multilevel"/>
    <w:tmpl w:val="E90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B85659"/>
    <w:multiLevelType w:val="hybridMultilevel"/>
    <w:tmpl w:val="7C52EE4E"/>
    <w:lvl w:ilvl="0" w:tplc="6626382E">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7E3B011A"/>
    <w:multiLevelType w:val="multilevel"/>
    <w:tmpl w:val="D40C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7969897">
    <w:abstractNumId w:val="5"/>
  </w:num>
  <w:num w:numId="2" w16cid:durableId="1815683809">
    <w:abstractNumId w:val="23"/>
  </w:num>
  <w:num w:numId="3" w16cid:durableId="740252984">
    <w:abstractNumId w:val="41"/>
  </w:num>
  <w:num w:numId="4" w16cid:durableId="1794791461">
    <w:abstractNumId w:val="2"/>
  </w:num>
  <w:num w:numId="5" w16cid:durableId="2012297942">
    <w:abstractNumId w:val="19"/>
  </w:num>
  <w:num w:numId="6" w16cid:durableId="2056778">
    <w:abstractNumId w:val="28"/>
  </w:num>
  <w:num w:numId="7" w16cid:durableId="676273138">
    <w:abstractNumId w:val="30"/>
  </w:num>
  <w:num w:numId="8" w16cid:durableId="1551041446">
    <w:abstractNumId w:val="11"/>
  </w:num>
  <w:num w:numId="9" w16cid:durableId="318583201">
    <w:abstractNumId w:val="20"/>
  </w:num>
  <w:num w:numId="10" w16cid:durableId="1245802160">
    <w:abstractNumId w:val="17"/>
  </w:num>
  <w:num w:numId="11" w16cid:durableId="512230715">
    <w:abstractNumId w:val="34"/>
  </w:num>
  <w:num w:numId="12" w16cid:durableId="1423263331">
    <w:abstractNumId w:val="12"/>
  </w:num>
  <w:num w:numId="13" w16cid:durableId="944531421">
    <w:abstractNumId w:val="3"/>
  </w:num>
  <w:num w:numId="14" w16cid:durableId="516044291">
    <w:abstractNumId w:val="7"/>
  </w:num>
  <w:num w:numId="15" w16cid:durableId="1888757911">
    <w:abstractNumId w:val="33"/>
  </w:num>
  <w:num w:numId="16" w16cid:durableId="188836156">
    <w:abstractNumId w:val="8"/>
  </w:num>
  <w:num w:numId="17" w16cid:durableId="521667881">
    <w:abstractNumId w:val="27"/>
  </w:num>
  <w:num w:numId="18" w16cid:durableId="77409804">
    <w:abstractNumId w:val="21"/>
  </w:num>
  <w:num w:numId="19" w16cid:durableId="539321222">
    <w:abstractNumId w:val="42"/>
  </w:num>
  <w:num w:numId="20" w16cid:durableId="194932124">
    <w:abstractNumId w:val="39"/>
  </w:num>
  <w:num w:numId="21" w16cid:durableId="2070180636">
    <w:abstractNumId w:val="29"/>
  </w:num>
  <w:num w:numId="22" w16cid:durableId="1801263807">
    <w:abstractNumId w:val="26"/>
  </w:num>
  <w:num w:numId="23" w16cid:durableId="486363411">
    <w:abstractNumId w:val="38"/>
  </w:num>
  <w:num w:numId="24" w16cid:durableId="1395396334">
    <w:abstractNumId w:val="0"/>
  </w:num>
  <w:num w:numId="25" w16cid:durableId="1774323883">
    <w:abstractNumId w:val="45"/>
  </w:num>
  <w:num w:numId="26" w16cid:durableId="782654425">
    <w:abstractNumId w:val="16"/>
  </w:num>
  <w:num w:numId="27" w16cid:durableId="393967771">
    <w:abstractNumId w:val="10"/>
  </w:num>
  <w:num w:numId="28" w16cid:durableId="1020005589">
    <w:abstractNumId w:val="44"/>
  </w:num>
  <w:num w:numId="29" w16cid:durableId="1196966580">
    <w:abstractNumId w:val="18"/>
  </w:num>
  <w:num w:numId="30" w16cid:durableId="1938825629">
    <w:abstractNumId w:val="15"/>
  </w:num>
  <w:num w:numId="31" w16cid:durableId="792095619">
    <w:abstractNumId w:val="25"/>
  </w:num>
  <w:num w:numId="32" w16cid:durableId="789786847">
    <w:abstractNumId w:val="31"/>
  </w:num>
  <w:num w:numId="33" w16cid:durableId="1766883202">
    <w:abstractNumId w:val="37"/>
  </w:num>
  <w:num w:numId="34" w16cid:durableId="1708406323">
    <w:abstractNumId w:val="47"/>
  </w:num>
  <w:num w:numId="35" w16cid:durableId="594365744">
    <w:abstractNumId w:val="40"/>
  </w:num>
  <w:num w:numId="36" w16cid:durableId="2140760113">
    <w:abstractNumId w:val="14"/>
  </w:num>
  <w:num w:numId="37" w16cid:durableId="1677725203">
    <w:abstractNumId w:val="6"/>
  </w:num>
  <w:num w:numId="38" w16cid:durableId="1401172595">
    <w:abstractNumId w:val="36"/>
  </w:num>
  <w:num w:numId="39" w16cid:durableId="1591114039">
    <w:abstractNumId w:val="4"/>
  </w:num>
  <w:num w:numId="40" w16cid:durableId="2136290011">
    <w:abstractNumId w:val="32"/>
  </w:num>
  <w:num w:numId="41" w16cid:durableId="572937943">
    <w:abstractNumId w:val="24"/>
  </w:num>
  <w:num w:numId="42" w16cid:durableId="1914460702">
    <w:abstractNumId w:val="43"/>
  </w:num>
  <w:num w:numId="43" w16cid:durableId="670793607">
    <w:abstractNumId w:val="13"/>
  </w:num>
  <w:num w:numId="44" w16cid:durableId="1186140697">
    <w:abstractNumId w:val="35"/>
  </w:num>
  <w:num w:numId="45" w16cid:durableId="115955431">
    <w:abstractNumId w:val="22"/>
  </w:num>
  <w:num w:numId="46" w16cid:durableId="931619442">
    <w:abstractNumId w:val="1"/>
  </w:num>
  <w:num w:numId="47" w16cid:durableId="1293830873">
    <w:abstractNumId w:val="46"/>
  </w:num>
  <w:num w:numId="48" w16cid:durableId="167321956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4BAC"/>
    <w:rsid w:val="00036AD0"/>
    <w:rsid w:val="000672A4"/>
    <w:rsid w:val="00087250"/>
    <w:rsid w:val="000C7C01"/>
    <w:rsid w:val="000D1962"/>
    <w:rsid w:val="000E0033"/>
    <w:rsid w:val="000F2B75"/>
    <w:rsid w:val="00105A15"/>
    <w:rsid w:val="00110881"/>
    <w:rsid w:val="00110FA8"/>
    <w:rsid w:val="00127792"/>
    <w:rsid w:val="001548C1"/>
    <w:rsid w:val="00193FA4"/>
    <w:rsid w:val="001B43EF"/>
    <w:rsid w:val="001C5E53"/>
    <w:rsid w:val="001E3435"/>
    <w:rsid w:val="00246856"/>
    <w:rsid w:val="002765C1"/>
    <w:rsid w:val="002B55DD"/>
    <w:rsid w:val="002B7920"/>
    <w:rsid w:val="002B7A02"/>
    <w:rsid w:val="00324475"/>
    <w:rsid w:val="003372C0"/>
    <w:rsid w:val="0034535E"/>
    <w:rsid w:val="003579FF"/>
    <w:rsid w:val="00360DF8"/>
    <w:rsid w:val="00391CB5"/>
    <w:rsid w:val="003A2075"/>
    <w:rsid w:val="003A2D4F"/>
    <w:rsid w:val="003D06DF"/>
    <w:rsid w:val="003F5D9C"/>
    <w:rsid w:val="00424D5B"/>
    <w:rsid w:val="004372D5"/>
    <w:rsid w:val="004A7FE3"/>
    <w:rsid w:val="004D35D3"/>
    <w:rsid w:val="004E24C0"/>
    <w:rsid w:val="004E7FB1"/>
    <w:rsid w:val="004F0620"/>
    <w:rsid w:val="00527766"/>
    <w:rsid w:val="00537E59"/>
    <w:rsid w:val="005673FD"/>
    <w:rsid w:val="00592685"/>
    <w:rsid w:val="00593280"/>
    <w:rsid w:val="005C5DF8"/>
    <w:rsid w:val="005D0670"/>
    <w:rsid w:val="005D603E"/>
    <w:rsid w:val="005E52A1"/>
    <w:rsid w:val="005F3A85"/>
    <w:rsid w:val="006114F7"/>
    <w:rsid w:val="00621DED"/>
    <w:rsid w:val="006247AC"/>
    <w:rsid w:val="00642250"/>
    <w:rsid w:val="0064753C"/>
    <w:rsid w:val="006621D1"/>
    <w:rsid w:val="00673D30"/>
    <w:rsid w:val="006C2178"/>
    <w:rsid w:val="007543D1"/>
    <w:rsid w:val="00761E9B"/>
    <w:rsid w:val="007F2519"/>
    <w:rsid w:val="008019E7"/>
    <w:rsid w:val="00804576"/>
    <w:rsid w:val="00804FE9"/>
    <w:rsid w:val="00806D0F"/>
    <w:rsid w:val="00813640"/>
    <w:rsid w:val="00860640"/>
    <w:rsid w:val="00877278"/>
    <w:rsid w:val="00881070"/>
    <w:rsid w:val="00890556"/>
    <w:rsid w:val="008D1C82"/>
    <w:rsid w:val="008D2A48"/>
    <w:rsid w:val="008F4DEA"/>
    <w:rsid w:val="0090511D"/>
    <w:rsid w:val="0091397D"/>
    <w:rsid w:val="00917C1F"/>
    <w:rsid w:val="00930406"/>
    <w:rsid w:val="009432FC"/>
    <w:rsid w:val="0095065B"/>
    <w:rsid w:val="00955C78"/>
    <w:rsid w:val="00975E90"/>
    <w:rsid w:val="009A6035"/>
    <w:rsid w:val="009C14F2"/>
    <w:rsid w:val="009D3DFA"/>
    <w:rsid w:val="009E740B"/>
    <w:rsid w:val="009F4099"/>
    <w:rsid w:val="00A254EC"/>
    <w:rsid w:val="00A275FC"/>
    <w:rsid w:val="00AB73A9"/>
    <w:rsid w:val="00AE31B2"/>
    <w:rsid w:val="00B04F4C"/>
    <w:rsid w:val="00B3427B"/>
    <w:rsid w:val="00B41819"/>
    <w:rsid w:val="00B729F2"/>
    <w:rsid w:val="00B91104"/>
    <w:rsid w:val="00BA0969"/>
    <w:rsid w:val="00BB40D2"/>
    <w:rsid w:val="00BC7BAC"/>
    <w:rsid w:val="00BD7DC7"/>
    <w:rsid w:val="00BD7F58"/>
    <w:rsid w:val="00C01E57"/>
    <w:rsid w:val="00C07C7F"/>
    <w:rsid w:val="00C47709"/>
    <w:rsid w:val="00C553B1"/>
    <w:rsid w:val="00C62BF9"/>
    <w:rsid w:val="00CA0442"/>
    <w:rsid w:val="00CB6D93"/>
    <w:rsid w:val="00CC209D"/>
    <w:rsid w:val="00CC3A23"/>
    <w:rsid w:val="00CE333E"/>
    <w:rsid w:val="00CE3A56"/>
    <w:rsid w:val="00CF7204"/>
    <w:rsid w:val="00D15B17"/>
    <w:rsid w:val="00D17C01"/>
    <w:rsid w:val="00D325E6"/>
    <w:rsid w:val="00D41B42"/>
    <w:rsid w:val="00D42274"/>
    <w:rsid w:val="00D43095"/>
    <w:rsid w:val="00D439AC"/>
    <w:rsid w:val="00D7373E"/>
    <w:rsid w:val="00D8772F"/>
    <w:rsid w:val="00DA4621"/>
    <w:rsid w:val="00DE18A5"/>
    <w:rsid w:val="00E14367"/>
    <w:rsid w:val="00E71F05"/>
    <w:rsid w:val="00E74BB1"/>
    <w:rsid w:val="00E819C0"/>
    <w:rsid w:val="00E931BE"/>
    <w:rsid w:val="00EB0316"/>
    <w:rsid w:val="00EC2DAD"/>
    <w:rsid w:val="00EC46FD"/>
    <w:rsid w:val="00EC51BE"/>
    <w:rsid w:val="00ED3794"/>
    <w:rsid w:val="00EE20A1"/>
    <w:rsid w:val="00EE4C90"/>
    <w:rsid w:val="00EF1163"/>
    <w:rsid w:val="00F01497"/>
    <w:rsid w:val="00F019DB"/>
    <w:rsid w:val="00F036C9"/>
    <w:rsid w:val="00F10871"/>
    <w:rsid w:val="00F21AAC"/>
    <w:rsid w:val="00F40CAA"/>
    <w:rsid w:val="00F41775"/>
    <w:rsid w:val="00F451A2"/>
    <w:rsid w:val="00F515BC"/>
    <w:rsid w:val="00F83102"/>
    <w:rsid w:val="00F9537A"/>
    <w:rsid w:val="00FA6EC3"/>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325E6"/>
    <w:pPr>
      <w:keepNext/>
      <w:keepLines/>
      <w:spacing w:before="360" w:after="80"/>
      <w:outlineLvl w:val="0"/>
    </w:pPr>
    <w:rPr>
      <w:rFonts w:ascii="Traditional Arabic" w:hAnsi="Traditional Arabic" w:cs="Traditional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5E6"/>
    <w:rPr>
      <w:rFonts w:ascii="Traditional Arabic" w:hAnsi="Traditional Arabic" w:cs="Traditional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 w:type="paragraph" w:styleId="TOC2">
    <w:name w:val="toc 2"/>
    <w:basedOn w:val="Normal"/>
    <w:next w:val="Normal"/>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55917" TargetMode="External"/><Relationship Id="rId18" Type="http://schemas.openxmlformats.org/officeDocument/2006/relationships/hyperlink" Target="http://search.mandumah.com/Record/153757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arch.mandumah.com/Record/1638541" TargetMode="External"/><Relationship Id="rId7" Type="http://schemas.openxmlformats.org/officeDocument/2006/relationships/endnotes" Target="endnotes.xml"/><Relationship Id="rId12" Type="http://schemas.openxmlformats.org/officeDocument/2006/relationships/hyperlink" Target="http://search.mandumah.com/Record/1616465" TargetMode="External"/><Relationship Id="rId17" Type="http://schemas.openxmlformats.org/officeDocument/2006/relationships/hyperlink" Target="http://search.mandumah.com/Record/165540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1123935" TargetMode="External"/><Relationship Id="rId20" Type="http://schemas.openxmlformats.org/officeDocument/2006/relationships/hyperlink" Target="http://search.mandumah.com/Record/16206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57382"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1640957" TargetMode="External"/><Relationship Id="rId23" Type="http://schemas.openxmlformats.org/officeDocument/2006/relationships/hyperlink" Target="http://search.mandumah.com/Record/1531175" TargetMode="External"/><Relationship Id="rId10" Type="http://schemas.openxmlformats.org/officeDocument/2006/relationships/hyperlink" Target="http://search.mandumah.com/Record/1620412" TargetMode="External"/><Relationship Id="rId19" Type="http://schemas.openxmlformats.org/officeDocument/2006/relationships/hyperlink" Target="http://search.mandumah.com/Record/14614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290807" TargetMode="External"/><Relationship Id="rId22" Type="http://schemas.openxmlformats.org/officeDocument/2006/relationships/hyperlink" Target="http://search.mandumah.com/Record/1644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42</Pages>
  <Words>10164</Words>
  <Characters>57937</Characters>
  <Application>Microsoft Office Word</Application>
  <DocSecurity>0</DocSecurity>
  <Lines>482</Lines>
  <Paragraphs>135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Aljowharah Alnaseer</cp:lastModifiedBy>
  <cp:revision>4</cp:revision>
  <cp:lastPrinted>2026-06-26T14:14:00Z</cp:lastPrinted>
  <dcterms:created xsi:type="dcterms:W3CDTF">2026-06-29T04:07:00Z</dcterms:created>
  <dcterms:modified xsi:type="dcterms:W3CDTF">2026-07-03T20:27:00Z</dcterms:modified>
</cp:coreProperties>
</file>