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545BB" w14:textId="77777777" w:rsidR="00813AA9" w:rsidRPr="00E07E9C" w:rsidRDefault="00813AA9" w:rsidP="00E07E9C">
      <w:pPr>
        <w:bidi w:val="0"/>
        <w:spacing w:before="240" w:line="360" w:lineRule="auto"/>
        <w:rPr>
          <w:rFonts w:asciiTheme="minorBidi" w:hAnsiTheme="minorBidi"/>
          <w:sz w:val="24"/>
          <w:szCs w:val="24"/>
          <w:u w:val="single"/>
          <w:rtl/>
        </w:rPr>
      </w:pP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r w:rsidRPr="00E07E9C">
        <w:rPr>
          <w:rFonts w:asciiTheme="minorBidi" w:hAnsiTheme="minorBidi"/>
          <w:b/>
          <w:bCs/>
          <w:sz w:val="24"/>
          <w:szCs w:val="24"/>
        </w:rPr>
        <w:tab/>
      </w:r>
    </w:p>
    <w:p w14:paraId="1306ADFD" w14:textId="4C9EAE7D" w:rsidR="00813AA9" w:rsidRPr="00E07E9C" w:rsidRDefault="00813AA9" w:rsidP="00E07E9C">
      <w:pPr>
        <w:bidi w:val="0"/>
        <w:spacing w:before="240" w:line="360" w:lineRule="auto"/>
        <w:rPr>
          <w:rFonts w:asciiTheme="minorBidi" w:hAnsiTheme="minorBidi"/>
          <w:sz w:val="24"/>
          <w:szCs w:val="24"/>
          <w:u w:val="single"/>
          <w:rtl/>
        </w:rPr>
      </w:pPr>
    </w:p>
    <w:p w14:paraId="024D8500" w14:textId="77777777" w:rsidR="00813AA9" w:rsidRPr="00E07E9C" w:rsidRDefault="00813AA9" w:rsidP="00E07E9C">
      <w:pPr>
        <w:bidi w:val="0"/>
        <w:spacing w:before="240" w:line="360" w:lineRule="auto"/>
        <w:rPr>
          <w:rFonts w:asciiTheme="minorBidi" w:hAnsiTheme="minorBidi"/>
          <w:sz w:val="24"/>
          <w:szCs w:val="24"/>
          <w:u w:val="single"/>
          <w:rtl/>
        </w:rPr>
      </w:pPr>
    </w:p>
    <w:p w14:paraId="72F40C6A" w14:textId="77777777" w:rsidR="00813AA9" w:rsidRPr="00E07E9C" w:rsidRDefault="00813AA9" w:rsidP="00E07E9C">
      <w:pPr>
        <w:bidi w:val="0"/>
        <w:spacing w:before="240" w:line="360" w:lineRule="auto"/>
        <w:rPr>
          <w:rFonts w:asciiTheme="minorBidi" w:hAnsiTheme="minorBidi"/>
          <w:b/>
          <w:bCs/>
          <w:sz w:val="32"/>
          <w:szCs w:val="32"/>
          <w:u w:val="single"/>
        </w:rPr>
      </w:pPr>
      <w:r w:rsidRPr="00E07E9C">
        <w:rPr>
          <w:rFonts w:asciiTheme="minorBidi" w:hAnsiTheme="minorBidi"/>
          <w:b/>
          <w:bCs/>
          <w:noProof/>
          <w:sz w:val="32"/>
          <w:szCs w:val="32"/>
        </w:rPr>
        <w:drawing>
          <wp:anchor distT="0" distB="0" distL="114300" distR="114300" simplePos="0" relativeHeight="251662336" behindDoc="0" locked="0" layoutInCell="1" allowOverlap="1" wp14:anchorId="3C19F767" wp14:editId="4B350EE5">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E07E9C">
        <w:rPr>
          <w:rFonts w:asciiTheme="minorBidi" w:hAnsiTheme="minorBidi"/>
          <w:b/>
          <w:bCs/>
          <w:sz w:val="32"/>
          <w:szCs w:val="32"/>
          <w:u w:val="single"/>
        </w:rPr>
        <w:t xml:space="preserve">Midocean University </w:t>
      </w:r>
    </w:p>
    <w:p w14:paraId="178D404A" w14:textId="77777777" w:rsidR="00813AA9" w:rsidRPr="00E07E9C" w:rsidRDefault="00813AA9" w:rsidP="00E07E9C">
      <w:pPr>
        <w:bidi w:val="0"/>
        <w:spacing w:before="240" w:line="360" w:lineRule="auto"/>
        <w:rPr>
          <w:rFonts w:asciiTheme="minorBidi" w:hAnsiTheme="minorBidi"/>
          <w:b/>
          <w:bCs/>
          <w:sz w:val="32"/>
          <w:szCs w:val="32"/>
          <w:u w:val="single"/>
        </w:rPr>
      </w:pPr>
      <w:r w:rsidRPr="00E07E9C">
        <w:rPr>
          <w:rFonts w:asciiTheme="minorBidi" w:hAnsiTheme="minorBidi"/>
          <w:b/>
          <w:bCs/>
          <w:sz w:val="32"/>
          <w:szCs w:val="32"/>
          <w:u w:val="single"/>
        </w:rPr>
        <w:t>College of Management</w:t>
      </w:r>
    </w:p>
    <w:p w14:paraId="4EE99FBD" w14:textId="6FEF0E2A" w:rsidR="00813AA9" w:rsidRPr="00E07E9C" w:rsidRDefault="00813AA9" w:rsidP="00E07E9C">
      <w:pPr>
        <w:bidi w:val="0"/>
        <w:spacing w:before="240" w:line="360" w:lineRule="auto"/>
        <w:rPr>
          <w:rFonts w:asciiTheme="minorBidi" w:hAnsiTheme="minorBidi"/>
          <w:b/>
          <w:bCs/>
          <w:sz w:val="32"/>
          <w:szCs w:val="32"/>
          <w:u w:val="single"/>
        </w:rPr>
      </w:pPr>
      <w:r w:rsidRPr="00E07E9C">
        <w:rPr>
          <w:rFonts w:asciiTheme="minorBidi" w:hAnsiTheme="minorBidi"/>
          <w:b/>
          <w:bCs/>
          <w:sz w:val="32"/>
          <w:szCs w:val="32"/>
          <w:u w:val="single"/>
        </w:rPr>
        <w:t>Department of</w:t>
      </w:r>
      <w:r w:rsidR="002403A8" w:rsidRPr="00E07E9C">
        <w:rPr>
          <w:rFonts w:asciiTheme="minorBidi" w:hAnsiTheme="minorBidi"/>
          <w:b/>
          <w:bCs/>
          <w:sz w:val="32"/>
          <w:szCs w:val="32"/>
          <w:u w:val="single"/>
        </w:rPr>
        <w:t xml:space="preserve"> Business Administration</w:t>
      </w:r>
    </w:p>
    <w:p w14:paraId="40FF424A" w14:textId="77777777" w:rsidR="002403A8" w:rsidRPr="00E07E9C" w:rsidRDefault="002403A8" w:rsidP="00E07E9C">
      <w:pPr>
        <w:bidi w:val="0"/>
        <w:spacing w:before="240" w:line="360" w:lineRule="auto"/>
        <w:rPr>
          <w:rFonts w:asciiTheme="minorBidi" w:hAnsiTheme="minorBidi"/>
          <w:b/>
          <w:bCs/>
          <w:sz w:val="32"/>
          <w:szCs w:val="32"/>
          <w:rtl/>
        </w:rPr>
      </w:pPr>
    </w:p>
    <w:p w14:paraId="619AACFC" w14:textId="5CB1F18F" w:rsidR="00813AA9" w:rsidRPr="00E07E9C" w:rsidRDefault="001620B5" w:rsidP="00E07E9C">
      <w:pPr>
        <w:tabs>
          <w:tab w:val="left" w:pos="5562"/>
        </w:tabs>
        <w:bidi w:val="0"/>
        <w:spacing w:before="240" w:line="360" w:lineRule="auto"/>
        <w:jc w:val="center"/>
        <w:rPr>
          <w:rFonts w:asciiTheme="minorBidi" w:hAnsiTheme="minorBidi"/>
          <w:sz w:val="32"/>
          <w:szCs w:val="32"/>
          <w:rtl/>
        </w:rPr>
      </w:pPr>
      <w:r w:rsidRPr="00E07E9C">
        <w:rPr>
          <w:rFonts w:asciiTheme="minorBidi" w:hAnsiTheme="minorBidi"/>
          <w:b/>
          <w:bCs/>
          <w:sz w:val="32"/>
          <w:szCs w:val="32"/>
          <w:u w:val="single"/>
        </w:rPr>
        <w:t>The Aggregation Solution Resolving the MRV Viability Gap to Unlock Carbon Revenue in Saudi Arabia's Facility Management Sector</w:t>
      </w:r>
    </w:p>
    <w:p w14:paraId="05EB29F3" w14:textId="77777777" w:rsidR="00813AA9" w:rsidRPr="00E07E9C" w:rsidRDefault="00813AA9" w:rsidP="00E07E9C">
      <w:pPr>
        <w:bidi w:val="0"/>
        <w:spacing w:before="240" w:line="360" w:lineRule="auto"/>
        <w:jc w:val="center"/>
        <w:rPr>
          <w:rFonts w:asciiTheme="minorBidi" w:hAnsiTheme="minorBidi"/>
          <w:b/>
          <w:bCs/>
          <w:sz w:val="32"/>
          <w:szCs w:val="32"/>
        </w:rPr>
      </w:pPr>
      <w:r w:rsidRPr="00E07E9C">
        <w:rPr>
          <w:rFonts w:asciiTheme="minorBidi" w:hAnsiTheme="minorBidi"/>
          <w:b/>
          <w:bCs/>
          <w:sz w:val="32"/>
          <w:szCs w:val="32"/>
        </w:rPr>
        <w:t>Prepared by:</w:t>
      </w:r>
    </w:p>
    <w:p w14:paraId="29B5000F" w14:textId="0538129C" w:rsidR="00813AA9" w:rsidRPr="00E07E9C" w:rsidRDefault="00813AA9" w:rsidP="00E07E9C">
      <w:pPr>
        <w:bidi w:val="0"/>
        <w:spacing w:before="240" w:line="360" w:lineRule="auto"/>
        <w:jc w:val="center"/>
        <w:rPr>
          <w:rFonts w:asciiTheme="minorBidi" w:hAnsiTheme="minorBidi"/>
          <w:b/>
          <w:bCs/>
          <w:sz w:val="32"/>
          <w:szCs w:val="32"/>
        </w:rPr>
      </w:pPr>
      <w:r w:rsidRPr="00E07E9C">
        <w:rPr>
          <w:rFonts w:asciiTheme="minorBidi" w:hAnsiTheme="minorBidi"/>
          <w:b/>
          <w:bCs/>
          <w:sz w:val="32"/>
          <w:szCs w:val="32"/>
        </w:rPr>
        <w:t>Ahmed Salih</w:t>
      </w:r>
    </w:p>
    <w:p w14:paraId="1FCFFC71" w14:textId="77777777" w:rsidR="00813AA9" w:rsidRPr="00E07E9C" w:rsidRDefault="00813AA9" w:rsidP="00E07E9C">
      <w:pPr>
        <w:bidi w:val="0"/>
        <w:spacing w:before="240" w:line="360" w:lineRule="auto"/>
        <w:jc w:val="center"/>
        <w:rPr>
          <w:rFonts w:asciiTheme="minorBidi" w:hAnsiTheme="minorBidi"/>
          <w:b/>
          <w:bCs/>
          <w:sz w:val="16"/>
          <w:szCs w:val="16"/>
        </w:rPr>
      </w:pPr>
    </w:p>
    <w:p w14:paraId="09144F59" w14:textId="77777777" w:rsidR="00813AA9" w:rsidRPr="00E07E9C" w:rsidRDefault="00813AA9" w:rsidP="00E07E9C">
      <w:pPr>
        <w:bidi w:val="0"/>
        <w:spacing w:before="240" w:line="360" w:lineRule="auto"/>
        <w:jc w:val="center"/>
        <w:rPr>
          <w:rFonts w:asciiTheme="minorBidi" w:hAnsiTheme="minorBidi"/>
          <w:b/>
          <w:bCs/>
          <w:sz w:val="32"/>
          <w:szCs w:val="32"/>
        </w:rPr>
      </w:pPr>
      <w:r w:rsidRPr="00E07E9C">
        <w:rPr>
          <w:rFonts w:asciiTheme="minorBidi" w:hAnsiTheme="minorBidi"/>
          <w:b/>
          <w:bCs/>
          <w:sz w:val="32"/>
          <w:szCs w:val="32"/>
        </w:rPr>
        <w:t>Supervised by:</w:t>
      </w:r>
    </w:p>
    <w:p w14:paraId="6B34CA11" w14:textId="3896FBB7" w:rsidR="00813AA9" w:rsidRPr="00E07E9C" w:rsidRDefault="00745534" w:rsidP="00E07E9C">
      <w:pPr>
        <w:spacing w:before="240" w:line="360" w:lineRule="auto"/>
        <w:jc w:val="center"/>
        <w:rPr>
          <w:rFonts w:asciiTheme="minorBidi" w:hAnsiTheme="minorBidi"/>
          <w:b/>
          <w:bCs/>
          <w:sz w:val="32"/>
          <w:szCs w:val="32"/>
        </w:rPr>
      </w:pPr>
      <w:r w:rsidRPr="00E07E9C">
        <w:rPr>
          <w:rFonts w:asciiTheme="minorBidi" w:hAnsiTheme="minorBidi"/>
          <w:b/>
          <w:bCs/>
          <w:sz w:val="32"/>
          <w:szCs w:val="32"/>
        </w:rPr>
        <w:t xml:space="preserve">Dr. </w:t>
      </w:r>
      <w:r w:rsidR="002403A8" w:rsidRPr="00E07E9C">
        <w:rPr>
          <w:rFonts w:asciiTheme="minorBidi" w:hAnsiTheme="minorBidi"/>
          <w:b/>
          <w:bCs/>
          <w:sz w:val="32"/>
          <w:szCs w:val="32"/>
        </w:rPr>
        <w:t>Fayez Jrad</w:t>
      </w:r>
    </w:p>
    <w:p w14:paraId="22FA850E" w14:textId="192861CE" w:rsidR="002403A8" w:rsidRPr="00E07E9C" w:rsidRDefault="002403A8" w:rsidP="00E07E9C">
      <w:pPr>
        <w:bidi w:val="0"/>
        <w:spacing w:before="240" w:line="360" w:lineRule="auto"/>
        <w:rPr>
          <w:rFonts w:asciiTheme="minorBidi" w:hAnsiTheme="minorBidi"/>
          <w:b/>
          <w:bCs/>
          <w:sz w:val="2"/>
          <w:szCs w:val="2"/>
        </w:rPr>
      </w:pPr>
    </w:p>
    <w:p w14:paraId="613E9535" w14:textId="49230EA6" w:rsidR="004C62A5" w:rsidRPr="00E07E9C" w:rsidRDefault="004C62A5" w:rsidP="00E07E9C">
      <w:pPr>
        <w:bidi w:val="0"/>
        <w:spacing w:before="240" w:line="360" w:lineRule="auto"/>
        <w:rPr>
          <w:rFonts w:asciiTheme="minorBidi" w:hAnsiTheme="minorBidi"/>
          <w:b/>
          <w:bCs/>
          <w:sz w:val="32"/>
          <w:szCs w:val="32"/>
        </w:rPr>
      </w:pPr>
    </w:p>
    <w:p w14:paraId="60F5CDAB" w14:textId="77777777" w:rsidR="00435216" w:rsidRPr="00E07E9C" w:rsidRDefault="00435216" w:rsidP="00E07E9C">
      <w:pPr>
        <w:bidi w:val="0"/>
        <w:spacing w:before="240" w:line="360" w:lineRule="auto"/>
        <w:rPr>
          <w:rFonts w:asciiTheme="minorBidi" w:hAnsiTheme="minorBidi"/>
          <w:b/>
          <w:bCs/>
          <w:sz w:val="32"/>
          <w:szCs w:val="32"/>
        </w:rPr>
      </w:pPr>
    </w:p>
    <w:p w14:paraId="55500933" w14:textId="77777777" w:rsidR="00972AD9" w:rsidRPr="00E07E9C" w:rsidRDefault="00972AD9" w:rsidP="00E07E9C">
      <w:pPr>
        <w:bidi w:val="0"/>
        <w:spacing w:before="240" w:line="360" w:lineRule="auto"/>
        <w:rPr>
          <w:rFonts w:asciiTheme="minorBidi" w:hAnsiTheme="minorBidi"/>
          <w:b/>
          <w:bCs/>
          <w:sz w:val="32"/>
          <w:szCs w:val="32"/>
        </w:rPr>
      </w:pPr>
    </w:p>
    <w:p w14:paraId="481B4388" w14:textId="77777777" w:rsidR="00972AD9" w:rsidRPr="00E07E9C" w:rsidRDefault="00972AD9" w:rsidP="00E07E9C">
      <w:pPr>
        <w:bidi w:val="0"/>
        <w:spacing w:before="240" w:line="360" w:lineRule="auto"/>
        <w:rPr>
          <w:rFonts w:asciiTheme="minorBidi" w:hAnsiTheme="minorBidi"/>
          <w:b/>
          <w:bCs/>
          <w:sz w:val="32"/>
          <w:szCs w:val="32"/>
        </w:rPr>
      </w:pPr>
    </w:p>
    <w:p w14:paraId="21A67718" w14:textId="77777777" w:rsidR="00972AD9" w:rsidRPr="00E07E9C" w:rsidRDefault="00972AD9" w:rsidP="00E07E9C">
      <w:pPr>
        <w:bidi w:val="0"/>
        <w:spacing w:before="240" w:line="360" w:lineRule="auto"/>
        <w:rPr>
          <w:rFonts w:asciiTheme="minorBidi" w:hAnsiTheme="minorBidi"/>
          <w:b/>
          <w:bCs/>
          <w:sz w:val="32"/>
          <w:szCs w:val="32"/>
        </w:rPr>
      </w:pPr>
    </w:p>
    <w:p w14:paraId="3E39C40D" w14:textId="77777777" w:rsidR="00435216" w:rsidRPr="00E07E9C" w:rsidRDefault="00435216" w:rsidP="00E07E9C">
      <w:pPr>
        <w:bidi w:val="0"/>
        <w:spacing w:before="240" w:line="360" w:lineRule="auto"/>
        <w:ind w:left="7200" w:firstLine="720"/>
        <w:rPr>
          <w:rFonts w:asciiTheme="minorBidi" w:hAnsiTheme="minorBidi"/>
          <w:b/>
          <w:bCs/>
          <w:sz w:val="32"/>
          <w:szCs w:val="32"/>
        </w:rPr>
      </w:pPr>
      <w:r w:rsidRPr="00E07E9C">
        <w:rPr>
          <w:rFonts w:asciiTheme="minorBidi" w:hAnsiTheme="minorBidi"/>
          <w:b/>
          <w:bCs/>
          <w:sz w:val="32"/>
          <w:szCs w:val="32"/>
        </w:rPr>
        <w:t>Year:2026</w:t>
      </w:r>
    </w:p>
    <w:sdt>
      <w:sdtPr>
        <w:rPr>
          <w:rFonts w:asciiTheme="minorBidi" w:eastAsiaTheme="minorHAnsi" w:hAnsiTheme="minorBidi" w:cstheme="minorBidi"/>
          <w:b/>
          <w:bCs/>
          <w:color w:val="000000" w:themeColor="text1"/>
          <w:kern w:val="2"/>
          <w:sz w:val="22"/>
          <w:szCs w:val="22"/>
          <w:u w:val="single"/>
          <w14:ligatures w14:val="standardContextual"/>
        </w:rPr>
        <w:id w:val="-753197838"/>
        <w:docPartObj>
          <w:docPartGallery w:val="Table of Contents"/>
          <w:docPartUnique/>
        </w:docPartObj>
      </w:sdtPr>
      <w:sdtEndPr>
        <w:rPr>
          <w:noProof/>
          <w:color w:val="auto"/>
          <w:u w:val="none"/>
        </w:rPr>
      </w:sdtEndPr>
      <w:sdtContent>
        <w:p w14:paraId="6792FAFB" w14:textId="2F014299" w:rsidR="00ED2476" w:rsidRPr="00E07E9C" w:rsidRDefault="00ED2476" w:rsidP="00E07E9C">
          <w:pPr>
            <w:pStyle w:val="TOCHeading"/>
            <w:spacing w:line="360" w:lineRule="auto"/>
            <w:jc w:val="center"/>
            <w:rPr>
              <w:rFonts w:asciiTheme="minorBidi" w:hAnsiTheme="minorBidi" w:cstheme="minorBidi"/>
              <w:b/>
              <w:bCs/>
              <w:color w:val="000000" w:themeColor="text1"/>
              <w:sz w:val="28"/>
              <w:szCs w:val="28"/>
              <w:u w:val="single"/>
            </w:rPr>
          </w:pPr>
          <w:r w:rsidRPr="00E07E9C">
            <w:rPr>
              <w:rFonts w:asciiTheme="minorBidi" w:hAnsiTheme="minorBidi" w:cstheme="minorBidi"/>
              <w:b/>
              <w:bCs/>
              <w:color w:val="000000" w:themeColor="text1"/>
              <w:sz w:val="28"/>
              <w:szCs w:val="28"/>
              <w:u w:val="single"/>
            </w:rPr>
            <w:t>Table of Contents</w:t>
          </w:r>
        </w:p>
        <w:p w14:paraId="5E64C158" w14:textId="3747D480" w:rsidR="00ED2476" w:rsidRPr="00E07E9C" w:rsidRDefault="00ED2476" w:rsidP="00E07E9C">
          <w:pPr>
            <w:bidi w:val="0"/>
            <w:spacing w:line="360" w:lineRule="auto"/>
            <w:rPr>
              <w:rFonts w:asciiTheme="minorBidi" w:hAnsiTheme="minorBidi"/>
              <w:sz w:val="28"/>
              <w:szCs w:val="28"/>
            </w:rPr>
          </w:pPr>
        </w:p>
        <w:p w14:paraId="59B01315" w14:textId="77777777" w:rsidR="00ED2476" w:rsidRPr="00E07E9C" w:rsidRDefault="00ED2476" w:rsidP="00E07E9C">
          <w:pPr>
            <w:bidi w:val="0"/>
            <w:spacing w:line="360" w:lineRule="auto"/>
            <w:rPr>
              <w:rFonts w:asciiTheme="minorBidi" w:hAnsiTheme="minorBidi"/>
              <w:sz w:val="28"/>
              <w:szCs w:val="28"/>
            </w:rPr>
          </w:pPr>
        </w:p>
        <w:p w14:paraId="72A428CE" w14:textId="595167FF"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r w:rsidRPr="00E07E9C">
            <w:rPr>
              <w:rFonts w:asciiTheme="minorBidi" w:hAnsiTheme="minorBidi"/>
              <w:sz w:val="28"/>
              <w:szCs w:val="28"/>
            </w:rPr>
            <w:fldChar w:fldCharType="begin"/>
          </w:r>
          <w:r w:rsidRPr="00E07E9C">
            <w:rPr>
              <w:rFonts w:asciiTheme="minorBidi" w:hAnsiTheme="minorBidi"/>
              <w:sz w:val="28"/>
              <w:szCs w:val="28"/>
            </w:rPr>
            <w:instrText xml:space="preserve"> TOC \o "1-3" \h \z \u </w:instrText>
          </w:r>
          <w:r w:rsidRPr="00E07E9C">
            <w:rPr>
              <w:rFonts w:asciiTheme="minorBidi" w:hAnsiTheme="minorBidi"/>
              <w:sz w:val="28"/>
              <w:szCs w:val="28"/>
            </w:rPr>
            <w:fldChar w:fldCharType="separate"/>
          </w:r>
          <w:hyperlink w:anchor="_Toc225367426" w:history="1">
            <w:r w:rsidRPr="00E07E9C">
              <w:rPr>
                <w:rStyle w:val="Hyperlink"/>
                <w:rFonts w:asciiTheme="minorBidi" w:hAnsiTheme="minorBidi"/>
                <w:b/>
                <w:bCs/>
                <w:noProof/>
                <w:sz w:val="28"/>
                <w:szCs w:val="28"/>
              </w:rPr>
              <w:t>1.</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Introduction</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Toc225367426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3</w:t>
            </w:r>
            <w:r w:rsidRPr="00E07E9C">
              <w:rPr>
                <w:rFonts w:asciiTheme="minorBidi" w:hAnsiTheme="minorBidi"/>
                <w:noProof/>
                <w:webHidden/>
                <w:sz w:val="28"/>
                <w:szCs w:val="28"/>
                <w:rtl/>
              </w:rPr>
              <w:fldChar w:fldCharType="end"/>
            </w:r>
          </w:hyperlink>
        </w:p>
        <w:p w14:paraId="1EBE6551" w14:textId="6C882192"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27" w:history="1">
            <w:r w:rsidRPr="00E07E9C">
              <w:rPr>
                <w:rStyle w:val="Hyperlink"/>
                <w:rFonts w:asciiTheme="minorBidi" w:hAnsiTheme="minorBidi"/>
                <w:b/>
                <w:bCs/>
                <w:noProof/>
                <w:sz w:val="28"/>
                <w:szCs w:val="28"/>
              </w:rPr>
              <w:t>2.</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Problem Statement</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Toc225367427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5</w:t>
            </w:r>
            <w:r w:rsidRPr="00E07E9C">
              <w:rPr>
                <w:rFonts w:asciiTheme="minorBidi" w:hAnsiTheme="minorBidi"/>
                <w:noProof/>
                <w:webHidden/>
                <w:sz w:val="28"/>
                <w:szCs w:val="28"/>
                <w:rtl/>
              </w:rPr>
              <w:fldChar w:fldCharType="end"/>
            </w:r>
          </w:hyperlink>
        </w:p>
        <w:p w14:paraId="09419F48" w14:textId="1FF232B9"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28" w:history="1">
            <w:r w:rsidRPr="00E07E9C">
              <w:rPr>
                <w:rStyle w:val="Hyperlink"/>
                <w:rFonts w:asciiTheme="minorBidi" w:hAnsiTheme="minorBidi"/>
                <w:b/>
                <w:bCs/>
                <w:noProof/>
                <w:sz w:val="28"/>
                <w:szCs w:val="28"/>
              </w:rPr>
              <w:t>3.</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Importance of the Study</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Toc225367428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6</w:t>
            </w:r>
            <w:r w:rsidRPr="00E07E9C">
              <w:rPr>
                <w:rFonts w:asciiTheme="minorBidi" w:hAnsiTheme="minorBidi"/>
                <w:noProof/>
                <w:webHidden/>
                <w:sz w:val="28"/>
                <w:szCs w:val="28"/>
                <w:rtl/>
              </w:rPr>
              <w:fldChar w:fldCharType="end"/>
            </w:r>
          </w:hyperlink>
        </w:p>
        <w:p w14:paraId="3588523E" w14:textId="6948D274"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29" w:history="1">
            <w:r w:rsidRPr="00E07E9C">
              <w:rPr>
                <w:rStyle w:val="Hyperlink"/>
                <w:rFonts w:asciiTheme="minorBidi" w:hAnsiTheme="minorBidi"/>
                <w:b/>
                <w:bCs/>
                <w:noProof/>
                <w:sz w:val="28"/>
                <w:szCs w:val="28"/>
              </w:rPr>
              <w:t>4.</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Research Objectives</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Toc225367429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6</w:t>
            </w:r>
            <w:r w:rsidRPr="00E07E9C">
              <w:rPr>
                <w:rFonts w:asciiTheme="minorBidi" w:hAnsiTheme="minorBidi"/>
                <w:noProof/>
                <w:webHidden/>
                <w:sz w:val="28"/>
                <w:szCs w:val="28"/>
                <w:rtl/>
              </w:rPr>
              <w:fldChar w:fldCharType="end"/>
            </w:r>
          </w:hyperlink>
        </w:p>
        <w:p w14:paraId="38E8AE6A" w14:textId="175A3677"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32" w:history="1">
            <w:r w:rsidRPr="00E07E9C">
              <w:rPr>
                <w:rStyle w:val="Hyperlink"/>
                <w:rFonts w:asciiTheme="minorBidi" w:hAnsiTheme="minorBidi"/>
                <w:b/>
                <w:bCs/>
                <w:noProof/>
                <w:sz w:val="28"/>
                <w:szCs w:val="28"/>
              </w:rPr>
              <w:t>5.</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 xml:space="preserve">Research </w:t>
            </w:r>
            <w:r w:rsidRPr="00E07E9C">
              <w:rPr>
                <w:rStyle w:val="Hyperlink"/>
                <w:rFonts w:asciiTheme="minorBidi" w:hAnsiTheme="minorBidi"/>
                <w:b/>
                <w:bCs/>
                <w:noProof/>
                <w:sz w:val="28"/>
                <w:szCs w:val="28"/>
                <w:u w:val="none"/>
              </w:rPr>
              <w:t>Questions</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Toc225367432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9</w:t>
            </w:r>
            <w:r w:rsidRPr="00E07E9C">
              <w:rPr>
                <w:rFonts w:asciiTheme="minorBidi" w:hAnsiTheme="minorBidi"/>
                <w:noProof/>
                <w:webHidden/>
                <w:sz w:val="28"/>
                <w:szCs w:val="28"/>
                <w:rtl/>
              </w:rPr>
              <w:fldChar w:fldCharType="end"/>
            </w:r>
          </w:hyperlink>
        </w:p>
        <w:p w14:paraId="5177F4AB" w14:textId="1D1486A6"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33" w:history="1">
            <w:r w:rsidRPr="00E07E9C">
              <w:rPr>
                <w:rStyle w:val="Hyperlink"/>
                <w:rFonts w:asciiTheme="minorBidi" w:hAnsiTheme="minorBidi"/>
                <w:b/>
                <w:bCs/>
                <w:noProof/>
                <w:sz w:val="28"/>
                <w:szCs w:val="28"/>
              </w:rPr>
              <w:t>6.</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Research Hypotheses</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Toc225367433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9</w:t>
            </w:r>
            <w:r w:rsidRPr="00E07E9C">
              <w:rPr>
                <w:rFonts w:asciiTheme="minorBidi" w:hAnsiTheme="minorBidi"/>
                <w:noProof/>
                <w:webHidden/>
                <w:sz w:val="28"/>
                <w:szCs w:val="28"/>
                <w:rtl/>
              </w:rPr>
              <w:fldChar w:fldCharType="end"/>
            </w:r>
          </w:hyperlink>
        </w:p>
        <w:p w14:paraId="01F22E00" w14:textId="35273C79"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34" w:history="1">
            <w:r w:rsidRPr="00E07E9C">
              <w:rPr>
                <w:rStyle w:val="Hyperlink"/>
                <w:rFonts w:asciiTheme="minorBidi" w:hAnsiTheme="minorBidi"/>
                <w:b/>
                <w:bCs/>
                <w:noProof/>
                <w:sz w:val="28"/>
                <w:szCs w:val="28"/>
              </w:rPr>
              <w:t>7.</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Previous Research</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Toc225367434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11</w:t>
            </w:r>
            <w:r w:rsidRPr="00E07E9C">
              <w:rPr>
                <w:rFonts w:asciiTheme="minorBidi" w:hAnsiTheme="minorBidi"/>
                <w:noProof/>
                <w:webHidden/>
                <w:sz w:val="28"/>
                <w:szCs w:val="28"/>
                <w:rtl/>
              </w:rPr>
              <w:fldChar w:fldCharType="end"/>
            </w:r>
          </w:hyperlink>
        </w:p>
        <w:p w14:paraId="08BFBEFF" w14:textId="367EB998"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42" w:history="1">
            <w:r w:rsidRPr="00E07E9C">
              <w:rPr>
                <w:rStyle w:val="Hyperlink"/>
                <w:rFonts w:asciiTheme="minorBidi" w:hAnsiTheme="minorBidi"/>
                <w:b/>
                <w:bCs/>
                <w:noProof/>
                <w:sz w:val="28"/>
                <w:szCs w:val="28"/>
              </w:rPr>
              <w:t>8.</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Theoretical Framework</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Toc225367442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11</w:t>
            </w:r>
            <w:r w:rsidRPr="00E07E9C">
              <w:rPr>
                <w:rFonts w:asciiTheme="minorBidi" w:hAnsiTheme="minorBidi"/>
                <w:noProof/>
                <w:webHidden/>
                <w:sz w:val="28"/>
                <w:szCs w:val="28"/>
                <w:rtl/>
              </w:rPr>
              <w:fldChar w:fldCharType="end"/>
            </w:r>
          </w:hyperlink>
        </w:p>
        <w:p w14:paraId="3C2EE43F" w14:textId="0340D747"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45" w:history="1">
            <w:r w:rsidRPr="00E07E9C">
              <w:rPr>
                <w:rStyle w:val="Hyperlink"/>
                <w:rFonts w:asciiTheme="minorBidi" w:hAnsiTheme="minorBidi"/>
                <w:b/>
                <w:bCs/>
                <w:noProof/>
                <w:sz w:val="28"/>
                <w:szCs w:val="28"/>
              </w:rPr>
              <w:t>9.</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Research Methodology</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Toc225367445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16</w:t>
            </w:r>
            <w:r w:rsidRPr="00E07E9C">
              <w:rPr>
                <w:rFonts w:asciiTheme="minorBidi" w:hAnsiTheme="minorBidi"/>
                <w:noProof/>
                <w:webHidden/>
                <w:sz w:val="28"/>
                <w:szCs w:val="28"/>
                <w:rtl/>
              </w:rPr>
              <w:fldChar w:fldCharType="end"/>
            </w:r>
          </w:hyperlink>
        </w:p>
        <w:p w14:paraId="6A69F1F3" w14:textId="20C4423C" w:rsidR="00ED2476" w:rsidRPr="00E07E9C" w:rsidRDefault="00ED2476" w:rsidP="00E07E9C">
          <w:pPr>
            <w:pStyle w:val="TOC2"/>
            <w:spacing w:line="360" w:lineRule="auto"/>
            <w:rPr>
              <w:rFonts w:asciiTheme="minorBidi" w:eastAsiaTheme="minorEastAsia" w:hAnsiTheme="minorBidi"/>
              <w:noProof/>
              <w:kern w:val="0"/>
              <w:sz w:val="28"/>
              <w:szCs w:val="28"/>
              <w:rtl/>
              <w14:ligatures w14:val="none"/>
            </w:rPr>
          </w:pPr>
          <w:hyperlink w:anchor="_Toc225367449" w:history="1">
            <w:r w:rsidRPr="00E07E9C">
              <w:rPr>
                <w:rStyle w:val="Hyperlink"/>
                <w:rFonts w:asciiTheme="minorBidi" w:hAnsiTheme="minorBidi"/>
                <w:b/>
                <w:bCs/>
                <w:noProof/>
                <w:sz w:val="28"/>
                <w:szCs w:val="28"/>
              </w:rPr>
              <w:t>10.</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Research Instruments / Tools</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Toc225367449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16</w:t>
            </w:r>
            <w:r w:rsidRPr="00E07E9C">
              <w:rPr>
                <w:rFonts w:asciiTheme="minorBidi" w:hAnsiTheme="minorBidi"/>
                <w:noProof/>
                <w:webHidden/>
                <w:sz w:val="28"/>
                <w:szCs w:val="28"/>
                <w:rtl/>
              </w:rPr>
              <w:fldChar w:fldCharType="end"/>
            </w:r>
          </w:hyperlink>
        </w:p>
        <w:p w14:paraId="0CB34E0C" w14:textId="7215480A" w:rsidR="00ED2476" w:rsidRPr="00764D29" w:rsidRDefault="00ED2476" w:rsidP="00764D29">
          <w:pPr>
            <w:pStyle w:val="TOC2"/>
            <w:spacing w:line="360" w:lineRule="auto"/>
            <w:rPr>
              <w:rFonts w:asciiTheme="minorBidi" w:eastAsiaTheme="minorEastAsia" w:hAnsiTheme="minorBidi"/>
              <w:noProof/>
              <w:kern w:val="0"/>
              <w:sz w:val="28"/>
              <w:szCs w:val="28"/>
              <w14:ligatures w14:val="none"/>
            </w:rPr>
          </w:pPr>
          <w:hyperlink w:anchor="_Toc225367453" w:history="1">
            <w:r w:rsidRPr="00E07E9C">
              <w:rPr>
                <w:rStyle w:val="Hyperlink"/>
                <w:rFonts w:asciiTheme="minorBidi" w:hAnsiTheme="minorBidi"/>
                <w:b/>
                <w:bCs/>
                <w:noProof/>
                <w:sz w:val="28"/>
                <w:szCs w:val="28"/>
              </w:rPr>
              <w:t>11.</w:t>
            </w:r>
            <w:r w:rsidRPr="00E07E9C">
              <w:rPr>
                <w:rFonts w:asciiTheme="minorBidi" w:eastAsiaTheme="minorEastAsia" w:hAnsiTheme="minorBidi"/>
                <w:noProof/>
                <w:kern w:val="0"/>
                <w:sz w:val="28"/>
                <w:szCs w:val="28"/>
                <w:rtl/>
                <w14:ligatures w14:val="none"/>
              </w:rPr>
              <w:tab/>
            </w:r>
            <w:r w:rsidRPr="00E07E9C">
              <w:rPr>
                <w:rStyle w:val="Hyperlink"/>
                <w:rFonts w:asciiTheme="minorBidi" w:hAnsiTheme="minorBidi"/>
                <w:b/>
                <w:bCs/>
                <w:noProof/>
                <w:sz w:val="28"/>
                <w:szCs w:val="28"/>
              </w:rPr>
              <w:t>Research Limitations</w:t>
            </w:r>
            <w:r w:rsidRPr="00E07E9C">
              <w:rPr>
                <w:rFonts w:asciiTheme="minorBidi" w:hAnsiTheme="minorBidi"/>
                <w:noProof/>
                <w:webHidden/>
                <w:sz w:val="28"/>
                <w:szCs w:val="28"/>
                <w:rtl/>
              </w:rPr>
              <w:tab/>
            </w:r>
            <w:r w:rsidRPr="00E07E9C">
              <w:rPr>
                <w:rFonts w:asciiTheme="minorBidi" w:hAnsiTheme="minorBidi"/>
                <w:noProof/>
                <w:webHidden/>
                <w:sz w:val="28"/>
                <w:szCs w:val="28"/>
                <w:rtl/>
              </w:rPr>
              <w:fldChar w:fldCharType="begin"/>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Pr>
              <w:instrText xml:space="preserve">PAGEREF </w:instrText>
            </w:r>
            <w:r w:rsidRPr="00E07E9C">
              <w:rPr>
                <w:rFonts w:asciiTheme="minorBidi" w:hAnsiTheme="minorBidi"/>
                <w:noProof/>
                <w:webHidden/>
                <w:sz w:val="28"/>
                <w:szCs w:val="28"/>
                <w:rtl/>
              </w:rPr>
              <w:instrText>_</w:instrText>
            </w:r>
            <w:r w:rsidRPr="00E07E9C">
              <w:rPr>
                <w:rFonts w:asciiTheme="minorBidi" w:hAnsiTheme="minorBidi"/>
                <w:noProof/>
                <w:webHidden/>
                <w:sz w:val="28"/>
                <w:szCs w:val="28"/>
              </w:rPr>
              <w:instrText>Toc225367453 \h</w:instrText>
            </w:r>
            <w:r w:rsidRPr="00E07E9C">
              <w:rPr>
                <w:rFonts w:asciiTheme="minorBidi" w:hAnsiTheme="minorBidi"/>
                <w:noProof/>
                <w:webHidden/>
                <w:sz w:val="28"/>
                <w:szCs w:val="28"/>
                <w:rtl/>
              </w:rPr>
              <w:instrText xml:space="preserve"> </w:instrText>
            </w:r>
            <w:r w:rsidRPr="00E07E9C">
              <w:rPr>
                <w:rFonts w:asciiTheme="minorBidi" w:hAnsiTheme="minorBidi"/>
                <w:noProof/>
                <w:webHidden/>
                <w:sz w:val="28"/>
                <w:szCs w:val="28"/>
                <w:rtl/>
              </w:rPr>
            </w:r>
            <w:r w:rsidRPr="00E07E9C">
              <w:rPr>
                <w:rFonts w:asciiTheme="minorBidi" w:hAnsiTheme="minorBidi"/>
                <w:noProof/>
                <w:webHidden/>
                <w:sz w:val="28"/>
                <w:szCs w:val="28"/>
                <w:rtl/>
              </w:rPr>
              <w:fldChar w:fldCharType="separate"/>
            </w:r>
            <w:r w:rsidR="00764D29">
              <w:rPr>
                <w:rFonts w:asciiTheme="minorBidi" w:hAnsiTheme="minorBidi"/>
                <w:noProof/>
                <w:webHidden/>
                <w:sz w:val="28"/>
                <w:szCs w:val="28"/>
              </w:rPr>
              <w:t>22</w:t>
            </w:r>
            <w:r w:rsidRPr="00E07E9C">
              <w:rPr>
                <w:rFonts w:asciiTheme="minorBidi" w:hAnsiTheme="minorBidi"/>
                <w:noProof/>
                <w:webHidden/>
                <w:sz w:val="28"/>
                <w:szCs w:val="28"/>
                <w:rtl/>
              </w:rPr>
              <w:fldChar w:fldCharType="end"/>
            </w:r>
          </w:hyperlink>
          <w:r w:rsidRPr="00E07E9C">
            <w:rPr>
              <w:rFonts w:asciiTheme="minorBidi" w:hAnsiTheme="minorBidi"/>
              <w:b/>
              <w:bCs/>
              <w:noProof/>
              <w:sz w:val="28"/>
              <w:szCs w:val="28"/>
            </w:rPr>
            <w:fldChar w:fldCharType="end"/>
          </w:r>
        </w:p>
      </w:sdtContent>
    </w:sdt>
    <w:p w14:paraId="3A805DC6" w14:textId="77777777" w:rsidR="00435216" w:rsidRPr="00E07E9C" w:rsidRDefault="00435216" w:rsidP="00E07E9C">
      <w:pPr>
        <w:bidi w:val="0"/>
        <w:spacing w:before="240" w:line="360" w:lineRule="auto"/>
        <w:ind w:left="7200" w:firstLine="720"/>
        <w:rPr>
          <w:rFonts w:asciiTheme="minorBidi" w:hAnsiTheme="minorBidi"/>
          <w:b/>
          <w:bCs/>
          <w:sz w:val="32"/>
          <w:szCs w:val="32"/>
        </w:rPr>
      </w:pPr>
    </w:p>
    <w:p w14:paraId="152218E5" w14:textId="3F07A488" w:rsidR="00435216" w:rsidRPr="00E07E9C" w:rsidRDefault="00435216" w:rsidP="00E07E9C">
      <w:pPr>
        <w:bidi w:val="0"/>
        <w:spacing w:line="360" w:lineRule="auto"/>
        <w:rPr>
          <w:rFonts w:asciiTheme="minorBidi" w:hAnsiTheme="minorBidi"/>
          <w:b/>
          <w:bCs/>
          <w:sz w:val="32"/>
          <w:szCs w:val="32"/>
        </w:rPr>
      </w:pPr>
      <w:r w:rsidRPr="00E07E9C">
        <w:rPr>
          <w:rFonts w:asciiTheme="minorBidi" w:hAnsiTheme="minorBidi"/>
          <w:b/>
          <w:bCs/>
          <w:sz w:val="32"/>
          <w:szCs w:val="32"/>
        </w:rPr>
        <w:br w:type="page"/>
      </w:r>
    </w:p>
    <w:p w14:paraId="739E1D14" w14:textId="438415D5"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bookmarkStart w:id="0" w:name="_Toc225367426"/>
      <w:r w:rsidRPr="00E07E9C">
        <w:rPr>
          <w:rFonts w:asciiTheme="minorBidi" w:hAnsiTheme="minorBidi" w:cstheme="minorBidi"/>
          <w:b/>
          <w:bCs/>
          <w:color w:val="000000" w:themeColor="text1"/>
          <w:sz w:val="32"/>
          <w:szCs w:val="32"/>
        </w:rPr>
        <w:lastRenderedPageBreak/>
        <w:t>Introduction</w:t>
      </w:r>
      <w:bookmarkEnd w:id="0"/>
    </w:p>
    <w:p w14:paraId="4BDACC91" w14:textId="77777777" w:rsidR="00E07E9C" w:rsidRPr="00E07E9C" w:rsidRDefault="00E07E9C" w:rsidP="00E07E9C">
      <w:pPr>
        <w:bidi w:val="0"/>
        <w:spacing w:line="360" w:lineRule="auto"/>
        <w:rPr>
          <w:rFonts w:asciiTheme="minorBidi" w:hAnsiTheme="minorBidi"/>
        </w:rPr>
      </w:pPr>
    </w:p>
    <w:p w14:paraId="07D0EB3B" w14:textId="62A459EB" w:rsidR="001620B5" w:rsidRPr="00E07E9C" w:rsidRDefault="001620B5" w:rsidP="00E07E9C">
      <w:pPr>
        <w:pStyle w:val="NormalWeb"/>
        <w:spacing w:before="0" w:beforeAutospacing="0" w:after="0" w:afterAutospacing="0" w:line="360" w:lineRule="auto"/>
        <w:ind w:firstLine="180"/>
        <w:jc w:val="both"/>
        <w:rPr>
          <w:rFonts w:asciiTheme="minorBidi" w:hAnsiTheme="minorBidi" w:cstheme="minorBidi"/>
        </w:rPr>
      </w:pPr>
      <w:r w:rsidRPr="00E07E9C">
        <w:rPr>
          <w:rFonts w:asciiTheme="minorBidi" w:hAnsiTheme="minorBidi" w:cstheme="minorBidi"/>
        </w:rPr>
        <w:t xml:space="preserve">Saudi Arabia’s Vision 2030 is the Kingdom’s most ambitious national transformation </w:t>
      </w:r>
      <w:r w:rsidR="00972AD9" w:rsidRPr="00E07E9C">
        <w:rPr>
          <w:rFonts w:asciiTheme="minorBidi" w:hAnsiTheme="minorBidi" w:cstheme="minorBidi"/>
        </w:rPr>
        <w:t>program</w:t>
      </w:r>
      <w:r w:rsidRPr="00E07E9C">
        <w:rPr>
          <w:rFonts w:asciiTheme="minorBidi" w:hAnsiTheme="minorBidi" w:cstheme="minorBidi"/>
        </w:rPr>
        <w:t xml:space="preserve">, placing environmental sustainability at the </w:t>
      </w:r>
      <w:r w:rsidR="00972AD9" w:rsidRPr="00E07E9C">
        <w:rPr>
          <w:rFonts w:asciiTheme="minorBidi" w:hAnsiTheme="minorBidi" w:cstheme="minorBidi"/>
        </w:rPr>
        <w:t>center</w:t>
      </w:r>
      <w:r w:rsidRPr="00E07E9C">
        <w:rPr>
          <w:rFonts w:asciiTheme="minorBidi" w:hAnsiTheme="minorBidi" w:cstheme="minorBidi"/>
        </w:rPr>
        <w:t xml:space="preserve"> of economic diversification. Through its operational arm, the Saudi Green Initiative (SGI), the Kingdom has committed to abating 278 million </w:t>
      </w:r>
      <w:r w:rsidR="00972AD9" w:rsidRPr="00E07E9C">
        <w:rPr>
          <w:rFonts w:asciiTheme="minorBidi" w:hAnsiTheme="minorBidi" w:cstheme="minorBidi"/>
        </w:rPr>
        <w:t>tons</w:t>
      </w:r>
      <w:r w:rsidRPr="00E07E9C">
        <w:rPr>
          <w:rFonts w:asciiTheme="minorBidi" w:hAnsiTheme="minorBidi" w:cstheme="minorBidi"/>
        </w:rPr>
        <w:t xml:space="preserve"> of carbon emissions annually by 2030 and achieving net-zero by 2060 legally grounded commitments to the UNFCCC backed by over SAR 705 billion in active investment across 85+ initiatives (SGI, 2024). Saudi buildings consumed approximately 78% of the nation’s total energy in 2023 (Almasri et al., 2025), making the built environment the single largest sectoral energy burden in the Kingdom and the most accessible source of verified emission reductions available to the private sector.</w:t>
      </w:r>
    </w:p>
    <w:p w14:paraId="74DCDC92" w14:textId="3BE94962" w:rsidR="001620B5" w:rsidRPr="00E07E9C" w:rsidRDefault="001620B5" w:rsidP="00E07E9C">
      <w:pPr>
        <w:pStyle w:val="NormalWeb"/>
        <w:spacing w:before="0" w:beforeAutospacing="0" w:after="0" w:afterAutospacing="0" w:line="360" w:lineRule="auto"/>
        <w:ind w:firstLine="180"/>
        <w:jc w:val="both"/>
        <w:rPr>
          <w:rFonts w:asciiTheme="minorBidi" w:hAnsiTheme="minorBidi" w:cstheme="minorBidi"/>
        </w:rPr>
      </w:pPr>
      <w:r w:rsidRPr="00E07E9C">
        <w:rPr>
          <w:rFonts w:asciiTheme="minorBidi" w:hAnsiTheme="minorBidi" w:cstheme="minorBidi"/>
        </w:rPr>
        <w:t xml:space="preserve">The infrastructure to </w:t>
      </w:r>
      <w:r w:rsidR="00972AD9" w:rsidRPr="00E07E9C">
        <w:rPr>
          <w:rFonts w:asciiTheme="minorBidi" w:hAnsiTheme="minorBidi" w:cstheme="minorBidi"/>
        </w:rPr>
        <w:t>monetize</w:t>
      </w:r>
      <w:r w:rsidRPr="00E07E9C">
        <w:rPr>
          <w:rFonts w:asciiTheme="minorBidi" w:hAnsiTheme="minorBidi" w:cstheme="minorBidi"/>
        </w:rPr>
        <w:t xml:space="preserve"> these reductions now exists. The Regional Voluntary Carbon Market Company (RVCMC), established under the Public Investment Fund as a direct Vision 2030 capital market instrument, launched its live carbon credit exchange platform in November 2024 with 23 founding Saudi and international trading companies (RVCMC, 2024). The platform has confirmed a clearing price of SAR 37.50 per </w:t>
      </w:r>
      <w:r w:rsidR="00972AD9" w:rsidRPr="00E07E9C">
        <w:rPr>
          <w:rFonts w:asciiTheme="minorBidi" w:hAnsiTheme="minorBidi" w:cstheme="minorBidi"/>
        </w:rPr>
        <w:t>ton</w:t>
      </w:r>
      <w:r w:rsidRPr="00E07E9C">
        <w:rPr>
          <w:rFonts w:asciiTheme="minorBidi" w:hAnsiTheme="minorBidi" w:cstheme="minorBidi"/>
        </w:rPr>
        <w:t xml:space="preserve"> of CO</w:t>
      </w:r>
      <w:r w:rsidRPr="00E07E9C">
        <w:rPr>
          <w:rFonts w:ascii="Cambria Math" w:hAnsi="Cambria Math" w:cs="Cambria Math"/>
        </w:rPr>
        <w:t>₂</w:t>
      </w:r>
      <w:r w:rsidRPr="00E07E9C">
        <w:rPr>
          <w:rFonts w:asciiTheme="minorBidi" w:hAnsiTheme="minorBidi" w:cstheme="minorBidi"/>
        </w:rPr>
        <w:t xml:space="preserve">e — approximately 7–8 times the global VCM average — and the Saudi VCM market is projected to grow from USD 21.7 million in 2023 to USD 124.6 million by 2030 at a CAGR of 28.4% (Grand View Research, 2025). Meanwhile, KAPSARC research confirms that even a basic Level 1 building retrofit program could reduce national electricity consumption by 10,054 GWh per year and abate 7.611 million </w:t>
      </w:r>
      <w:r w:rsidR="00972AD9" w:rsidRPr="00E07E9C">
        <w:rPr>
          <w:rFonts w:asciiTheme="minorBidi" w:hAnsiTheme="minorBidi" w:cstheme="minorBidi"/>
        </w:rPr>
        <w:t>tons</w:t>
      </w:r>
      <w:r w:rsidRPr="00E07E9C">
        <w:rPr>
          <w:rFonts w:asciiTheme="minorBidi" w:hAnsiTheme="minorBidi" w:cstheme="minorBidi"/>
        </w:rPr>
        <w:t xml:space="preserve"> of CO</w:t>
      </w:r>
      <w:r w:rsidRPr="00E07E9C">
        <w:rPr>
          <w:rFonts w:ascii="Cambria Math" w:hAnsi="Cambria Math" w:cs="Cambria Math"/>
        </w:rPr>
        <w:t>₂</w:t>
      </w:r>
      <w:r w:rsidRPr="00E07E9C">
        <w:rPr>
          <w:rFonts w:asciiTheme="minorBidi" w:hAnsiTheme="minorBidi" w:cstheme="minorBidi"/>
        </w:rPr>
        <w:t xml:space="preserve"> annually (Krarti et al., 2017</w:t>
      </w:r>
      <w:r w:rsidR="007B16B3" w:rsidRPr="00E07E9C">
        <w:rPr>
          <w:rFonts w:asciiTheme="minorBidi" w:hAnsiTheme="minorBidi" w:cstheme="minorBidi"/>
        </w:rPr>
        <w:t>) a</w:t>
      </w:r>
      <w:r w:rsidRPr="00E07E9C">
        <w:rPr>
          <w:rFonts w:asciiTheme="minorBidi" w:hAnsiTheme="minorBidi" w:cstheme="minorBidi"/>
        </w:rPr>
        <w:t xml:space="preserve"> 2.7% contribution to the SGI’s annual target from the building sector alone.</w:t>
      </w:r>
    </w:p>
    <w:p w14:paraId="5806B856" w14:textId="49480F6B" w:rsidR="001620B5" w:rsidRPr="00E07E9C" w:rsidRDefault="001620B5" w:rsidP="00E07E9C">
      <w:pPr>
        <w:pStyle w:val="NormalWeb"/>
        <w:spacing w:before="0" w:beforeAutospacing="0" w:after="0" w:afterAutospacing="0" w:line="360" w:lineRule="auto"/>
        <w:ind w:firstLine="180"/>
        <w:jc w:val="both"/>
        <w:rPr>
          <w:rFonts w:asciiTheme="minorBidi" w:hAnsiTheme="minorBidi" w:cstheme="minorBidi"/>
        </w:rPr>
      </w:pPr>
      <w:r w:rsidRPr="00E07E9C">
        <w:rPr>
          <w:rFonts w:asciiTheme="minorBidi" w:hAnsiTheme="minorBidi" w:cstheme="minorBidi"/>
        </w:rPr>
        <w:t xml:space="preserve">Riyadh’s Grade A and B office stock </w:t>
      </w:r>
      <w:r w:rsidR="00972AD9" w:rsidRPr="00E07E9C">
        <w:rPr>
          <w:rFonts w:asciiTheme="minorBidi" w:hAnsiTheme="minorBidi" w:cstheme="minorBidi"/>
        </w:rPr>
        <w:t>runs</w:t>
      </w:r>
      <w:r w:rsidRPr="00E07E9C">
        <w:rPr>
          <w:rFonts w:asciiTheme="minorBidi" w:hAnsiTheme="minorBidi" w:cstheme="minorBidi"/>
        </w:rPr>
        <w:t xml:space="preserve"> in ASHRAE Climate Zone 1B, generating Energy Use Intensities of 250–350 kWh/m²/year as HVAC systems run at near-maximum capacity for eight to ten months per year. The IEA (2025) estimates that improved MENA air conditioner efficiency could reduce regional peak demand growth by 35 GW by 2035. For the Facility Management (FM) sector</w:t>
      </w:r>
      <w:r w:rsidR="00E07E9C">
        <w:rPr>
          <w:rFonts w:asciiTheme="minorBidi" w:hAnsiTheme="minorBidi" w:cstheme="minorBidi"/>
        </w:rPr>
        <w:t xml:space="preserve"> </w:t>
      </w:r>
      <w:r w:rsidRPr="00E07E9C">
        <w:rPr>
          <w:rFonts w:asciiTheme="minorBidi" w:hAnsiTheme="minorBidi" w:cstheme="minorBidi"/>
        </w:rPr>
        <w:t xml:space="preserve">which controls the HVAC, Building Management Systems, and metering infrastructure that determine a building’s energy </w:t>
      </w:r>
      <w:proofErr w:type="gramStart"/>
      <w:r w:rsidRPr="00E07E9C">
        <w:rPr>
          <w:rFonts w:asciiTheme="minorBidi" w:hAnsiTheme="minorBidi" w:cstheme="minorBidi"/>
        </w:rPr>
        <w:t>performance</w:t>
      </w:r>
      <w:proofErr w:type="gramEnd"/>
      <w:r w:rsidRPr="00E07E9C">
        <w:rPr>
          <w:rFonts w:asciiTheme="minorBidi" w:hAnsiTheme="minorBidi" w:cstheme="minorBidi"/>
        </w:rPr>
        <w:t xml:space="preserve"> this engineering gap is a latent financial asset. Energy not consumed is carbon not emitted, and carbon not emitted, once verified, is a tradeable credit on the RVCMC exchange.</w:t>
      </w:r>
    </w:p>
    <w:p w14:paraId="15EFA913" w14:textId="3F819C3E" w:rsidR="00373376" w:rsidRDefault="001620B5" w:rsidP="00E07E9C">
      <w:pPr>
        <w:pStyle w:val="NormalWeb"/>
        <w:spacing w:before="0" w:beforeAutospacing="0" w:after="0" w:afterAutospacing="0" w:line="360" w:lineRule="auto"/>
        <w:ind w:firstLine="180"/>
        <w:jc w:val="both"/>
        <w:rPr>
          <w:rFonts w:asciiTheme="minorBidi" w:hAnsiTheme="minorBidi" w:cstheme="minorBidi"/>
        </w:rPr>
      </w:pPr>
      <w:r w:rsidRPr="00E07E9C">
        <w:rPr>
          <w:rFonts w:asciiTheme="minorBidi" w:hAnsiTheme="minorBidi" w:cstheme="minorBidi"/>
        </w:rPr>
        <w:t xml:space="preserve">However, a structural market failure blocks this opportunity. Converting energy savings into tradeable credits requires third-party Monitoring, Reporting, and Verification (MRV) by internationally accredited auditors a fixed cost of SAR 40,000 to SAR 80,000 per registration </w:t>
      </w:r>
      <w:r w:rsidRPr="00E07E9C">
        <w:rPr>
          <w:rFonts w:asciiTheme="minorBidi" w:hAnsiTheme="minorBidi" w:cstheme="minorBidi"/>
        </w:rPr>
        <w:lastRenderedPageBreak/>
        <w:t xml:space="preserve">cycle regardless of building size. For a 10,000 m² office building, the annual carbon revenue of SAR 22,838 covers only 38% of the minimum MRV cost, making isolated participation financially unviable. This research proposes and models a solution: portfolio aggregation under a shared Program of Activities (PoA), which dilutes the MRV cost per </w:t>
      </w:r>
      <w:r w:rsidR="00972AD9" w:rsidRPr="00E07E9C">
        <w:rPr>
          <w:rFonts w:asciiTheme="minorBidi" w:hAnsiTheme="minorBidi" w:cstheme="minorBidi"/>
        </w:rPr>
        <w:t>ton</w:t>
      </w:r>
      <w:r w:rsidRPr="00E07E9C">
        <w:rPr>
          <w:rFonts w:asciiTheme="minorBidi" w:hAnsiTheme="minorBidi" w:cstheme="minorBidi"/>
        </w:rPr>
        <w:t xml:space="preserve"> from SAR 98.52 to SAR 8.72, and combined with OPEX electricity savings and CBAM-driven carbon price appreciation</w:t>
      </w:r>
      <w:r w:rsidR="00E07E9C">
        <w:rPr>
          <w:rFonts w:asciiTheme="minorBidi" w:hAnsiTheme="minorBidi" w:cstheme="minorBidi"/>
        </w:rPr>
        <w:t xml:space="preserve"> </w:t>
      </w:r>
      <w:r w:rsidRPr="00E07E9C">
        <w:rPr>
          <w:rFonts w:asciiTheme="minorBidi" w:hAnsiTheme="minorBidi" w:cstheme="minorBidi"/>
        </w:rPr>
        <w:t>transforms energy retrofit investment into a compelling, Vision 2030-aligned financial proposition.</w:t>
      </w:r>
    </w:p>
    <w:p w14:paraId="63A08B58" w14:textId="77777777" w:rsidR="00E07E9C" w:rsidRPr="00E07E9C" w:rsidRDefault="00E07E9C" w:rsidP="00E07E9C">
      <w:pPr>
        <w:pStyle w:val="NormalWeb"/>
        <w:spacing w:before="0" w:beforeAutospacing="0" w:after="0" w:afterAutospacing="0" w:line="360" w:lineRule="auto"/>
        <w:ind w:firstLine="180"/>
        <w:jc w:val="both"/>
        <w:rPr>
          <w:rFonts w:asciiTheme="minorBidi" w:hAnsiTheme="minorBidi" w:cstheme="minorBidi"/>
          <w:rtl/>
        </w:rPr>
      </w:pPr>
    </w:p>
    <w:p w14:paraId="5D94EBBA" w14:textId="08BF1281" w:rsidR="001620B5" w:rsidRDefault="001620B5" w:rsidP="00E07E9C">
      <w:pPr>
        <w:pStyle w:val="Heading2"/>
        <w:numPr>
          <w:ilvl w:val="1"/>
          <w:numId w:val="35"/>
        </w:numPr>
        <w:bidi w:val="0"/>
        <w:spacing w:line="360" w:lineRule="auto"/>
        <w:jc w:val="both"/>
        <w:rPr>
          <w:rFonts w:asciiTheme="minorBidi" w:hAnsiTheme="minorBidi" w:cstheme="minorBidi"/>
          <w:b/>
          <w:bCs/>
          <w:color w:val="000000" w:themeColor="text1"/>
          <w:sz w:val="28"/>
          <w:szCs w:val="28"/>
        </w:rPr>
      </w:pPr>
      <w:r w:rsidRPr="00E07E9C">
        <w:rPr>
          <w:rFonts w:asciiTheme="minorBidi" w:hAnsiTheme="minorBidi" w:cstheme="minorBidi"/>
          <w:b/>
          <w:bCs/>
          <w:color w:val="000000" w:themeColor="text1"/>
          <w:sz w:val="28"/>
          <w:szCs w:val="28"/>
        </w:rPr>
        <w:t>Research Gap</w:t>
      </w:r>
    </w:p>
    <w:p w14:paraId="47AE6755" w14:textId="77777777" w:rsidR="00E07E9C" w:rsidRPr="00E07E9C" w:rsidRDefault="00E07E9C" w:rsidP="00E07E9C">
      <w:pPr>
        <w:pStyle w:val="ListParagraph"/>
        <w:bidi w:val="0"/>
        <w:ind w:left="792"/>
      </w:pPr>
    </w:p>
    <w:p w14:paraId="541F7F1A" w14:textId="4F3F1F5D" w:rsidR="001620B5" w:rsidRPr="00E07E9C" w:rsidRDefault="001620B5" w:rsidP="00E07E9C">
      <w:pPr>
        <w:bidi w:val="0"/>
        <w:spacing w:line="360" w:lineRule="auto"/>
        <w:ind w:firstLine="360"/>
        <w:jc w:val="both"/>
        <w:rPr>
          <w:rFonts w:asciiTheme="minorBidi" w:hAnsiTheme="minorBidi"/>
          <w:sz w:val="24"/>
          <w:szCs w:val="24"/>
        </w:rPr>
      </w:pPr>
      <w:r w:rsidRPr="00E07E9C">
        <w:rPr>
          <w:rFonts w:asciiTheme="minorBidi" w:hAnsiTheme="minorBidi"/>
          <w:sz w:val="24"/>
          <w:szCs w:val="24"/>
        </w:rPr>
        <w:t xml:space="preserve">The existing literature divides into two parallel streams that Vision 2030 requires to be bridged. The macro-level stream covering carbon market structures, SGI policy design, and global VCM trends provides context but no financial model applicable to individual FM operators. The micro-level stream covering retrofit engineering, building energy standards, and GCC FM operations provides technical solutions but no economic framework for </w:t>
      </w:r>
      <w:r w:rsidR="00972AD9" w:rsidRPr="00E07E9C">
        <w:rPr>
          <w:rFonts w:asciiTheme="minorBidi" w:hAnsiTheme="minorBidi"/>
          <w:sz w:val="24"/>
          <w:szCs w:val="24"/>
        </w:rPr>
        <w:t>monetizing</w:t>
      </w:r>
      <w:r w:rsidRPr="00E07E9C">
        <w:rPr>
          <w:rFonts w:asciiTheme="minorBidi" w:hAnsiTheme="minorBidi"/>
          <w:sz w:val="24"/>
          <w:szCs w:val="24"/>
        </w:rPr>
        <w:t xml:space="preserve"> them through carbon markets. Notably, KAPSARC’s Residential Energy Model (REEM) provides sophisticated bottom-up modelling for the residential sector (Belaïd &amp; Aldubyan, 2024), while no equivalent commercial building carbon monetization model exists. This study fills that gap by providing the first Saudi-specific deterministic financial framework that: (a) quantifies the MRV cost barrier at the building level; (b) identifies the exact aggregation scale at which the market failure is resolved; (c) models three investment scenarios across 15 years; and (d) projects carbon credit value appreciation under CBAM-driven demand all grounded in Vision 2030’s policy architecture.</w:t>
      </w:r>
    </w:p>
    <w:p w14:paraId="6511BB45" w14:textId="77777777" w:rsidR="00EE39D5" w:rsidRDefault="00EE39D5" w:rsidP="00E07E9C">
      <w:pPr>
        <w:bidi w:val="0"/>
        <w:spacing w:line="360" w:lineRule="auto"/>
        <w:rPr>
          <w:rFonts w:asciiTheme="minorBidi" w:hAnsiTheme="minorBidi"/>
          <w:sz w:val="24"/>
          <w:szCs w:val="24"/>
        </w:rPr>
      </w:pPr>
    </w:p>
    <w:p w14:paraId="12666517" w14:textId="77777777" w:rsidR="00E07E9C" w:rsidRDefault="00E07E9C" w:rsidP="00E07E9C">
      <w:pPr>
        <w:bidi w:val="0"/>
        <w:spacing w:line="360" w:lineRule="auto"/>
        <w:rPr>
          <w:rFonts w:asciiTheme="minorBidi" w:hAnsiTheme="minorBidi"/>
          <w:sz w:val="24"/>
          <w:szCs w:val="24"/>
        </w:rPr>
      </w:pPr>
    </w:p>
    <w:p w14:paraId="3F866CA0" w14:textId="77777777" w:rsidR="00E07E9C" w:rsidRDefault="00E07E9C" w:rsidP="00E07E9C">
      <w:pPr>
        <w:bidi w:val="0"/>
        <w:spacing w:line="360" w:lineRule="auto"/>
        <w:rPr>
          <w:rFonts w:asciiTheme="minorBidi" w:hAnsiTheme="minorBidi"/>
          <w:sz w:val="24"/>
          <w:szCs w:val="24"/>
        </w:rPr>
      </w:pPr>
    </w:p>
    <w:p w14:paraId="09D77A54" w14:textId="77777777" w:rsidR="00E07E9C" w:rsidRDefault="00E07E9C" w:rsidP="00E07E9C">
      <w:pPr>
        <w:bidi w:val="0"/>
        <w:spacing w:line="360" w:lineRule="auto"/>
        <w:rPr>
          <w:rFonts w:asciiTheme="minorBidi" w:hAnsiTheme="minorBidi"/>
          <w:sz w:val="24"/>
          <w:szCs w:val="24"/>
        </w:rPr>
      </w:pPr>
    </w:p>
    <w:p w14:paraId="734D8167" w14:textId="77777777" w:rsidR="00E07E9C" w:rsidRDefault="00E07E9C" w:rsidP="00E07E9C">
      <w:pPr>
        <w:bidi w:val="0"/>
        <w:spacing w:line="360" w:lineRule="auto"/>
        <w:rPr>
          <w:rFonts w:asciiTheme="minorBidi" w:hAnsiTheme="minorBidi"/>
          <w:sz w:val="24"/>
          <w:szCs w:val="24"/>
        </w:rPr>
      </w:pPr>
    </w:p>
    <w:p w14:paraId="0AC0AF29" w14:textId="77777777" w:rsidR="00E07E9C" w:rsidRDefault="00E07E9C" w:rsidP="00E07E9C">
      <w:pPr>
        <w:bidi w:val="0"/>
        <w:spacing w:line="360" w:lineRule="auto"/>
        <w:rPr>
          <w:rFonts w:asciiTheme="minorBidi" w:hAnsiTheme="minorBidi"/>
          <w:sz w:val="24"/>
          <w:szCs w:val="24"/>
        </w:rPr>
      </w:pPr>
    </w:p>
    <w:p w14:paraId="3D92809F" w14:textId="77777777" w:rsidR="00E07E9C" w:rsidRPr="00E07E9C" w:rsidRDefault="00E07E9C" w:rsidP="00E07E9C">
      <w:pPr>
        <w:bidi w:val="0"/>
        <w:spacing w:line="360" w:lineRule="auto"/>
        <w:rPr>
          <w:rFonts w:asciiTheme="minorBidi" w:hAnsiTheme="minorBidi"/>
          <w:sz w:val="24"/>
          <w:szCs w:val="24"/>
        </w:rPr>
      </w:pPr>
    </w:p>
    <w:p w14:paraId="588F5704" w14:textId="5348CB99"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bookmarkStart w:id="1" w:name="_Toc225367427"/>
      <w:r w:rsidRPr="00E07E9C">
        <w:rPr>
          <w:rFonts w:asciiTheme="minorBidi" w:hAnsiTheme="minorBidi" w:cstheme="minorBidi"/>
          <w:b/>
          <w:bCs/>
          <w:color w:val="000000" w:themeColor="text1"/>
          <w:sz w:val="32"/>
          <w:szCs w:val="32"/>
        </w:rPr>
        <w:lastRenderedPageBreak/>
        <w:t>Problem Statement</w:t>
      </w:r>
      <w:bookmarkEnd w:id="1"/>
    </w:p>
    <w:p w14:paraId="1825CBC3" w14:textId="77777777" w:rsidR="00EE39D5" w:rsidRPr="00E07E9C" w:rsidRDefault="00EE39D5" w:rsidP="00E07E9C">
      <w:pPr>
        <w:bidi w:val="0"/>
        <w:spacing w:line="360" w:lineRule="auto"/>
        <w:rPr>
          <w:rFonts w:asciiTheme="minorBidi" w:hAnsiTheme="minorBidi"/>
          <w:sz w:val="2"/>
          <w:szCs w:val="2"/>
        </w:rPr>
      </w:pPr>
    </w:p>
    <w:p w14:paraId="08146590" w14:textId="77777777" w:rsidR="001620B5" w:rsidRPr="00E07E9C" w:rsidRDefault="001620B5" w:rsidP="00E07E9C">
      <w:pPr>
        <w:bidi w:val="0"/>
        <w:spacing w:line="360" w:lineRule="auto"/>
        <w:rPr>
          <w:rFonts w:asciiTheme="minorBidi" w:eastAsia="Times New Roman" w:hAnsiTheme="minorBidi"/>
          <w:kern w:val="0"/>
          <w:sz w:val="24"/>
          <w:szCs w:val="24"/>
          <w14:ligatures w14:val="none"/>
        </w:rPr>
      </w:pPr>
      <w:r w:rsidRPr="00E07E9C">
        <w:rPr>
          <w:rFonts w:asciiTheme="minorBidi" w:eastAsia="Times New Roman" w:hAnsiTheme="minorBidi"/>
          <w:kern w:val="0"/>
          <w:sz w:val="24"/>
          <w:szCs w:val="24"/>
          <w14:ligatures w14:val="none"/>
        </w:rPr>
        <w:t>The central research problem is</w:t>
      </w:r>
      <w:r w:rsidRPr="00E07E9C">
        <w:rPr>
          <w:rFonts w:asciiTheme="minorBidi" w:eastAsia="Times New Roman" w:hAnsiTheme="minorBidi"/>
          <w:kern w:val="0"/>
          <w:sz w:val="24"/>
          <w:szCs w:val="24"/>
          <w:rtl/>
          <w14:ligatures w14:val="none"/>
        </w:rPr>
        <w:t>:</w:t>
      </w:r>
    </w:p>
    <w:p w14:paraId="11890C0C" w14:textId="77777777" w:rsidR="001620B5" w:rsidRPr="00E07E9C" w:rsidRDefault="001620B5" w:rsidP="00E07E9C">
      <w:pPr>
        <w:bidi w:val="0"/>
        <w:spacing w:line="360" w:lineRule="auto"/>
        <w:rPr>
          <w:rFonts w:asciiTheme="minorBidi" w:eastAsia="Times New Roman" w:hAnsiTheme="minorBidi"/>
          <w:kern w:val="0"/>
          <w:sz w:val="2"/>
          <w:szCs w:val="2"/>
          <w14:ligatures w14:val="none"/>
        </w:rPr>
      </w:pPr>
    </w:p>
    <w:p w14:paraId="519FEDD1" w14:textId="2985C8CC" w:rsidR="001620B5" w:rsidRPr="00E07E9C" w:rsidRDefault="001620B5" w:rsidP="00E07E9C">
      <w:pPr>
        <w:bidi w:val="0"/>
        <w:spacing w:line="360" w:lineRule="auto"/>
        <w:jc w:val="center"/>
        <w:rPr>
          <w:rFonts w:asciiTheme="minorBidi" w:eastAsia="Times New Roman" w:hAnsiTheme="minorBidi"/>
          <w:b/>
          <w:bCs/>
          <w:kern w:val="0"/>
          <w:sz w:val="24"/>
          <w:szCs w:val="24"/>
          <w14:ligatures w14:val="none"/>
        </w:rPr>
      </w:pPr>
      <w:r w:rsidRPr="00E07E9C">
        <w:rPr>
          <w:rFonts w:asciiTheme="minorBidi" w:eastAsia="Times New Roman" w:hAnsiTheme="minorBidi"/>
          <w:kern w:val="0"/>
          <w:sz w:val="24"/>
          <w:szCs w:val="24"/>
          <w:rtl/>
          <w14:ligatures w14:val="none"/>
        </w:rPr>
        <w:t>“</w:t>
      </w:r>
      <w:r w:rsidRPr="00E07E9C">
        <w:rPr>
          <w:rFonts w:asciiTheme="minorBidi" w:eastAsia="Times New Roman" w:hAnsiTheme="minorBidi"/>
          <w:b/>
          <w:bCs/>
          <w:kern w:val="0"/>
          <w:sz w:val="24"/>
          <w:szCs w:val="24"/>
          <w14:ligatures w14:val="none"/>
        </w:rPr>
        <w:t>To what extent do current MRV transaction costs on the Regional Voluntary Carbon Market create a financial viability gap for individual commercial facilities in Riyadh, and what structural interventions specifically portfolio aggregation under a Program of Activities and a government MRV subsidy are required to convert energy efficiency into a commercially viable carbon revenue stream aligned with Vision 2030 targets</w:t>
      </w:r>
      <w:r w:rsidRPr="00E07E9C">
        <w:rPr>
          <w:rFonts w:asciiTheme="minorBidi" w:eastAsia="Times New Roman" w:hAnsiTheme="minorBidi"/>
          <w:b/>
          <w:bCs/>
          <w:kern w:val="0"/>
          <w:sz w:val="24"/>
          <w:szCs w:val="24"/>
          <w:rtl/>
          <w14:ligatures w14:val="none"/>
        </w:rPr>
        <w:t>?”</w:t>
      </w:r>
    </w:p>
    <w:p w14:paraId="7F73535F" w14:textId="77777777" w:rsidR="001620B5" w:rsidRPr="00E07E9C" w:rsidRDefault="001620B5" w:rsidP="00E07E9C">
      <w:pPr>
        <w:bidi w:val="0"/>
        <w:spacing w:line="360" w:lineRule="auto"/>
        <w:rPr>
          <w:rFonts w:asciiTheme="minorBidi" w:eastAsia="Times New Roman" w:hAnsiTheme="minorBidi"/>
          <w:kern w:val="0"/>
          <w:sz w:val="2"/>
          <w:szCs w:val="2"/>
          <w14:ligatures w14:val="none"/>
        </w:rPr>
      </w:pPr>
    </w:p>
    <w:p w14:paraId="06526BA9" w14:textId="1A97B464" w:rsidR="001620B5" w:rsidRPr="00E07E9C" w:rsidRDefault="001620B5" w:rsidP="00E07E9C">
      <w:pPr>
        <w:bidi w:val="0"/>
        <w:spacing w:line="360" w:lineRule="auto"/>
        <w:jc w:val="both"/>
        <w:rPr>
          <w:rFonts w:asciiTheme="minorBidi" w:eastAsia="Times New Roman" w:hAnsiTheme="minorBidi"/>
          <w:kern w:val="0"/>
          <w:sz w:val="24"/>
          <w:szCs w:val="24"/>
          <w14:ligatures w14:val="none"/>
        </w:rPr>
      </w:pPr>
      <w:r w:rsidRPr="00E07E9C">
        <w:rPr>
          <w:rFonts w:asciiTheme="minorBidi" w:eastAsia="Times New Roman" w:hAnsiTheme="minorBidi"/>
          <w:kern w:val="0"/>
          <w:sz w:val="24"/>
          <w:szCs w:val="24"/>
          <w14:ligatures w14:val="none"/>
        </w:rPr>
        <w:t>This problem is rooted in a financial paradox. The RVCMC has created one of the world’s highest-value voluntary carbon markets yet participation from commercial real estate is negligible. The reason is structural: MRV costs are fixed and indivisible at the project level, while carbon yield scales with building area. At the current clearing price of SAR 37.50/tCO</w:t>
      </w:r>
      <w:r w:rsidRPr="00E07E9C">
        <w:rPr>
          <w:rFonts w:ascii="Cambria Math" w:eastAsia="Times New Roman" w:hAnsi="Cambria Math" w:cs="Cambria Math"/>
          <w:kern w:val="0"/>
          <w:sz w:val="24"/>
          <w:szCs w:val="24"/>
          <w14:ligatures w14:val="none"/>
        </w:rPr>
        <w:t>₂</w:t>
      </w:r>
      <w:r w:rsidRPr="00E07E9C">
        <w:rPr>
          <w:rFonts w:asciiTheme="minorBidi" w:eastAsia="Times New Roman" w:hAnsiTheme="minorBidi"/>
          <w:kern w:val="0"/>
          <w:sz w:val="24"/>
          <w:szCs w:val="24"/>
          <w14:ligatures w14:val="none"/>
        </w:rPr>
        <w:t>e (RVCMC, 2024), a standalone 10,000 m² Riyadh office building generates only SAR 22,838 in annual carbon revenue against a minimum SAR 60,000 MRV cost a deficit of SAR 37,163 that makes carbon-only participation irrational. The result is a market failure: Vision 2030’s most accessible source of private-sector emission reductions is blocked not by technology, regulation, or lack of market infrastructure, but by arithmetic</w:t>
      </w:r>
      <w:r w:rsidRPr="00E07E9C">
        <w:rPr>
          <w:rFonts w:asciiTheme="minorBidi" w:eastAsia="Times New Roman" w:hAnsiTheme="minorBidi"/>
          <w:kern w:val="0"/>
          <w:sz w:val="24"/>
          <w:szCs w:val="24"/>
          <w:rtl/>
          <w14:ligatures w14:val="none"/>
        </w:rPr>
        <w:t>.</w:t>
      </w:r>
    </w:p>
    <w:p w14:paraId="761AE469" w14:textId="092CD17F" w:rsidR="001620B5" w:rsidRPr="00E07E9C" w:rsidRDefault="001620B5" w:rsidP="00E07E9C">
      <w:pPr>
        <w:bidi w:val="0"/>
        <w:spacing w:line="360" w:lineRule="auto"/>
        <w:jc w:val="both"/>
        <w:rPr>
          <w:rFonts w:asciiTheme="minorBidi" w:eastAsia="Times New Roman" w:hAnsiTheme="minorBidi"/>
          <w:kern w:val="0"/>
          <w:sz w:val="24"/>
          <w:szCs w:val="24"/>
          <w14:ligatures w14:val="none"/>
        </w:rPr>
      </w:pPr>
      <w:r w:rsidRPr="00E07E9C">
        <w:rPr>
          <w:rFonts w:asciiTheme="minorBidi" w:eastAsia="Times New Roman" w:hAnsiTheme="minorBidi"/>
          <w:kern w:val="0"/>
          <w:sz w:val="24"/>
          <w:szCs w:val="24"/>
          <w14:ligatures w14:val="none"/>
        </w:rPr>
        <w:t xml:space="preserve">KAPSARC research by Belaïd (2025) </w:t>
      </w:r>
      <w:r w:rsidR="007B16B3" w:rsidRPr="00E07E9C">
        <w:rPr>
          <w:rFonts w:asciiTheme="minorBidi" w:eastAsia="Times New Roman" w:hAnsiTheme="minorBidi"/>
          <w:kern w:val="0"/>
          <w:sz w:val="24"/>
          <w:szCs w:val="24"/>
          <w14:ligatures w14:val="none"/>
        </w:rPr>
        <w:t>finds</w:t>
      </w:r>
      <w:r w:rsidRPr="00E07E9C">
        <w:rPr>
          <w:rFonts w:asciiTheme="minorBidi" w:eastAsia="Times New Roman" w:hAnsiTheme="minorBidi"/>
          <w:kern w:val="0"/>
          <w:sz w:val="24"/>
          <w:szCs w:val="24"/>
          <w14:ligatures w14:val="none"/>
        </w:rPr>
        <w:t xml:space="preserve"> the ‘energy efficiency paradox’ in Saudi </w:t>
      </w:r>
      <w:proofErr w:type="gramStart"/>
      <w:r w:rsidRPr="00E07E9C">
        <w:rPr>
          <w:rFonts w:asciiTheme="minorBidi" w:eastAsia="Times New Roman" w:hAnsiTheme="minorBidi"/>
          <w:kern w:val="0"/>
          <w:sz w:val="24"/>
          <w:szCs w:val="24"/>
          <w14:ligatures w14:val="none"/>
        </w:rPr>
        <w:t>buildings  the</w:t>
      </w:r>
      <w:proofErr w:type="gramEnd"/>
      <w:r w:rsidRPr="00E07E9C">
        <w:rPr>
          <w:rFonts w:asciiTheme="minorBidi" w:eastAsia="Times New Roman" w:hAnsiTheme="minorBidi"/>
          <w:kern w:val="0"/>
          <w:sz w:val="24"/>
          <w:szCs w:val="24"/>
          <w14:ligatures w14:val="none"/>
        </w:rPr>
        <w:t xml:space="preserve"> systematic under-adoption of cost-effective technologies</w:t>
      </w:r>
      <w:r w:rsidR="00E07E9C">
        <w:rPr>
          <w:rFonts w:asciiTheme="minorBidi" w:eastAsia="Times New Roman" w:hAnsiTheme="minorBidi"/>
          <w:kern w:val="0"/>
          <w:sz w:val="24"/>
          <w:szCs w:val="24"/>
          <w14:ligatures w14:val="none"/>
        </w:rPr>
        <w:t xml:space="preserve"> </w:t>
      </w:r>
      <w:r w:rsidRPr="00E07E9C">
        <w:rPr>
          <w:rFonts w:asciiTheme="minorBidi" w:eastAsia="Times New Roman" w:hAnsiTheme="minorBidi"/>
          <w:kern w:val="0"/>
          <w:sz w:val="24"/>
          <w:szCs w:val="24"/>
          <w14:ligatures w14:val="none"/>
        </w:rPr>
        <w:t xml:space="preserve">driven by split incentives, informational gaps, and lack of </w:t>
      </w:r>
      <w:r w:rsidR="007B16B3" w:rsidRPr="00E07E9C">
        <w:rPr>
          <w:rFonts w:asciiTheme="minorBidi" w:eastAsia="Times New Roman" w:hAnsiTheme="minorBidi"/>
          <w:kern w:val="0"/>
          <w:sz w:val="24"/>
          <w:szCs w:val="24"/>
          <w14:ligatures w14:val="none"/>
        </w:rPr>
        <w:t>proper financing</w:t>
      </w:r>
      <w:r w:rsidRPr="00E07E9C">
        <w:rPr>
          <w:rFonts w:asciiTheme="minorBidi" w:eastAsia="Times New Roman" w:hAnsiTheme="minorBidi"/>
          <w:kern w:val="0"/>
          <w:sz w:val="24"/>
          <w:szCs w:val="24"/>
          <w14:ligatures w14:val="none"/>
        </w:rPr>
        <w:t xml:space="preserve"> instruments. Al-Surf and Al-Fagih (2024) confirm that in GCC multi-tenant buildings, landlords bear 100% of retrofit CAPEX while tenants capture 100% of OPEX electricity savings, creating a principal-agent conflict that rationally prevents investment. Carbon </w:t>
      </w:r>
      <w:r w:rsidR="00972AD9" w:rsidRPr="00E07E9C">
        <w:rPr>
          <w:rFonts w:asciiTheme="minorBidi" w:eastAsia="Times New Roman" w:hAnsiTheme="minorBidi"/>
          <w:kern w:val="0"/>
          <w:sz w:val="24"/>
          <w:szCs w:val="24"/>
          <w14:ligatures w14:val="none"/>
        </w:rPr>
        <w:t>monetization</w:t>
      </w:r>
      <w:r w:rsidRPr="00E07E9C">
        <w:rPr>
          <w:rFonts w:asciiTheme="minorBidi" w:eastAsia="Times New Roman" w:hAnsiTheme="minorBidi"/>
          <w:kern w:val="0"/>
          <w:sz w:val="24"/>
          <w:szCs w:val="24"/>
          <w14:ligatures w14:val="none"/>
        </w:rPr>
        <w:t xml:space="preserve"> theoretically resolves this conflict by creating a direct principal-level revenue stream but only if the MRV transaction cost barrier is overcome through aggregation at the portfolio scale. No existing study models this threshold for the Saudi market. This dissertation fills that gap.</w:t>
      </w:r>
    </w:p>
    <w:p w14:paraId="6C0414A6" w14:textId="66064006"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bookmarkStart w:id="2" w:name="_Toc225367428"/>
      <w:r w:rsidRPr="00E07E9C">
        <w:rPr>
          <w:rFonts w:asciiTheme="minorBidi" w:hAnsiTheme="minorBidi" w:cstheme="minorBidi"/>
          <w:b/>
          <w:bCs/>
          <w:color w:val="000000" w:themeColor="text1"/>
          <w:sz w:val="32"/>
          <w:szCs w:val="32"/>
        </w:rPr>
        <w:lastRenderedPageBreak/>
        <w:t>Importance of the Study</w:t>
      </w:r>
      <w:bookmarkEnd w:id="2"/>
    </w:p>
    <w:p w14:paraId="44FD2AE7" w14:textId="77777777" w:rsidR="00EE39D5" w:rsidRPr="00E07E9C" w:rsidRDefault="00EE39D5" w:rsidP="00E07E9C">
      <w:pPr>
        <w:pStyle w:val="Heading2"/>
        <w:bidi w:val="0"/>
        <w:spacing w:line="360" w:lineRule="auto"/>
        <w:jc w:val="both"/>
        <w:rPr>
          <w:rFonts w:asciiTheme="minorBidi" w:eastAsia="Times New Roman" w:hAnsiTheme="minorBidi" w:cstheme="minorBidi"/>
          <w:b/>
          <w:bCs/>
          <w:color w:val="auto"/>
          <w:kern w:val="0"/>
          <w:sz w:val="24"/>
          <w:szCs w:val="24"/>
          <w14:ligatures w14:val="none"/>
        </w:rPr>
      </w:pPr>
      <w:bookmarkStart w:id="3" w:name="_Toc225367429"/>
      <w:r w:rsidRPr="00E07E9C">
        <w:rPr>
          <w:rFonts w:asciiTheme="minorBidi" w:eastAsia="Times New Roman" w:hAnsiTheme="minorBidi" w:cstheme="minorBidi"/>
          <w:b/>
          <w:bCs/>
          <w:color w:val="auto"/>
          <w:kern w:val="0"/>
          <w:sz w:val="24"/>
          <w:szCs w:val="24"/>
          <w14:ligatures w14:val="none"/>
        </w:rPr>
        <w:t>3.1</w:t>
      </w:r>
      <w:r w:rsidRPr="00E07E9C">
        <w:rPr>
          <w:rFonts w:asciiTheme="minorBidi" w:eastAsia="Times New Roman" w:hAnsiTheme="minorBidi" w:cstheme="minorBidi"/>
          <w:b/>
          <w:bCs/>
          <w:color w:val="auto"/>
          <w:kern w:val="0"/>
          <w:sz w:val="24"/>
          <w:szCs w:val="24"/>
          <w:rtl/>
          <w14:ligatures w14:val="none"/>
        </w:rPr>
        <w:t xml:space="preserve">. </w:t>
      </w:r>
      <w:r w:rsidRPr="00E07E9C">
        <w:rPr>
          <w:rFonts w:asciiTheme="minorBidi" w:eastAsia="Times New Roman" w:hAnsiTheme="minorBidi" w:cstheme="minorBidi"/>
          <w:b/>
          <w:bCs/>
          <w:color w:val="auto"/>
          <w:kern w:val="0"/>
          <w:sz w:val="24"/>
          <w:szCs w:val="24"/>
          <w14:ligatures w14:val="none"/>
        </w:rPr>
        <w:t>Scientific Importance</w:t>
      </w:r>
    </w:p>
    <w:p w14:paraId="6D0E5959" w14:textId="7EB75247" w:rsidR="00EE39D5" w:rsidRPr="00E07E9C" w:rsidRDefault="00EE39D5" w:rsidP="00E07E9C">
      <w:pPr>
        <w:pStyle w:val="Heading2"/>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color w:val="auto"/>
          <w:kern w:val="0"/>
          <w:sz w:val="24"/>
          <w:szCs w:val="24"/>
          <w14:ligatures w14:val="none"/>
        </w:rPr>
        <w:t xml:space="preserve">This research makes three original contributions to knowledge. First, it extends Transaction Cost Economics (Coase, 1937; Williamson, 1981) by empirically measuring MRV costs as a market-failure mechanism within an emerging voluntary carbon market and demonstrating that portfolio aggregation constitutes a Coasian correction to that failure the first such application in a Saudi or GCC context. Second, it integrates Agency Theory (Jensen &amp; Meckling, 1976) to show that carbon </w:t>
      </w:r>
      <w:r w:rsidR="007B16B3" w:rsidRPr="00E07E9C">
        <w:rPr>
          <w:rFonts w:asciiTheme="minorBidi" w:eastAsia="Times New Roman" w:hAnsiTheme="minorBidi" w:cstheme="minorBidi"/>
          <w:color w:val="auto"/>
          <w:kern w:val="0"/>
          <w:sz w:val="24"/>
          <w:szCs w:val="24"/>
          <w14:ligatures w14:val="none"/>
        </w:rPr>
        <w:t>monetization</w:t>
      </w:r>
      <w:r w:rsidRPr="00E07E9C">
        <w:rPr>
          <w:rFonts w:asciiTheme="minorBidi" w:eastAsia="Times New Roman" w:hAnsiTheme="minorBidi" w:cstheme="minorBidi"/>
          <w:color w:val="auto"/>
          <w:kern w:val="0"/>
          <w:sz w:val="24"/>
          <w:szCs w:val="24"/>
          <w14:ligatures w14:val="none"/>
        </w:rPr>
        <w:t xml:space="preserve"> structurally resolves the split-incentive barrier documented by Al-Surf and Al-Fagih (2024) and Belaïd (2025) at the national level, without requiring changes to lease structures. Third, it delivers a replicable deterministic financial modelling </w:t>
      </w:r>
      <w:r w:rsidR="007B16B3" w:rsidRPr="00E07E9C">
        <w:rPr>
          <w:rFonts w:asciiTheme="minorBidi" w:eastAsia="Times New Roman" w:hAnsiTheme="minorBidi" w:cstheme="minorBidi"/>
          <w:color w:val="auto"/>
          <w:kern w:val="0"/>
          <w:sz w:val="24"/>
          <w:szCs w:val="24"/>
          <w14:ligatures w14:val="none"/>
        </w:rPr>
        <w:t>method</w:t>
      </w:r>
      <w:r w:rsidRPr="00E07E9C">
        <w:rPr>
          <w:rFonts w:asciiTheme="minorBidi" w:eastAsia="Times New Roman" w:hAnsiTheme="minorBidi" w:cstheme="minorBidi"/>
          <w:color w:val="auto"/>
          <w:kern w:val="0"/>
          <w:sz w:val="24"/>
          <w:szCs w:val="24"/>
          <w14:ligatures w14:val="none"/>
        </w:rPr>
        <w:t xml:space="preserve"> for voluntary carbon market participation in oil-exporting nations with </w:t>
      </w:r>
      <w:r w:rsidR="007B16B3" w:rsidRPr="00E07E9C">
        <w:rPr>
          <w:rFonts w:asciiTheme="minorBidi" w:eastAsia="Times New Roman" w:hAnsiTheme="minorBidi" w:cstheme="minorBidi"/>
          <w:color w:val="auto"/>
          <w:kern w:val="0"/>
          <w:sz w:val="24"/>
          <w:szCs w:val="24"/>
          <w14:ligatures w14:val="none"/>
        </w:rPr>
        <w:t>subsidized</w:t>
      </w:r>
      <w:r w:rsidRPr="00E07E9C">
        <w:rPr>
          <w:rFonts w:asciiTheme="minorBidi" w:eastAsia="Times New Roman" w:hAnsiTheme="minorBidi" w:cstheme="minorBidi"/>
          <w:color w:val="auto"/>
          <w:kern w:val="0"/>
          <w:sz w:val="24"/>
          <w:szCs w:val="24"/>
          <w14:ligatures w14:val="none"/>
        </w:rPr>
        <w:t xml:space="preserve"> energy tariffs applicable across GCC economies pursuing Vision-aligned </w:t>
      </w:r>
      <w:r w:rsidR="007B16B3" w:rsidRPr="00E07E9C">
        <w:rPr>
          <w:rFonts w:asciiTheme="minorBidi" w:eastAsia="Times New Roman" w:hAnsiTheme="minorBidi" w:cstheme="minorBidi"/>
          <w:color w:val="auto"/>
          <w:kern w:val="0"/>
          <w:sz w:val="24"/>
          <w:szCs w:val="24"/>
          <w14:ligatures w14:val="none"/>
        </w:rPr>
        <w:t>decarbonization</w:t>
      </w:r>
      <w:r w:rsidRPr="00E07E9C">
        <w:rPr>
          <w:rFonts w:asciiTheme="minorBidi" w:eastAsia="Times New Roman" w:hAnsiTheme="minorBidi" w:cstheme="minorBidi"/>
          <w:color w:val="auto"/>
          <w:kern w:val="0"/>
          <w:sz w:val="24"/>
          <w:szCs w:val="24"/>
          <w14:ligatures w14:val="none"/>
        </w:rPr>
        <w:t xml:space="preserve"> strategies</w:t>
      </w:r>
      <w:r w:rsidRPr="00E07E9C">
        <w:rPr>
          <w:rFonts w:asciiTheme="minorBidi" w:eastAsia="Times New Roman" w:hAnsiTheme="minorBidi" w:cstheme="minorBidi"/>
          <w:color w:val="auto"/>
          <w:kern w:val="0"/>
          <w:sz w:val="24"/>
          <w:szCs w:val="24"/>
          <w:rtl/>
          <w14:ligatures w14:val="none"/>
        </w:rPr>
        <w:t>.</w:t>
      </w:r>
    </w:p>
    <w:p w14:paraId="5A86A16B" w14:textId="77777777" w:rsidR="00EE39D5" w:rsidRPr="00E07E9C" w:rsidRDefault="00EE39D5" w:rsidP="00E07E9C">
      <w:pPr>
        <w:pStyle w:val="Heading2"/>
        <w:bidi w:val="0"/>
        <w:spacing w:line="360" w:lineRule="auto"/>
        <w:jc w:val="both"/>
        <w:rPr>
          <w:rFonts w:asciiTheme="minorBidi" w:eastAsia="Times New Roman" w:hAnsiTheme="minorBidi" w:cstheme="minorBidi"/>
          <w:b/>
          <w:bCs/>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3.2</w:t>
      </w:r>
      <w:r w:rsidRPr="00E07E9C">
        <w:rPr>
          <w:rFonts w:asciiTheme="minorBidi" w:eastAsia="Times New Roman" w:hAnsiTheme="minorBidi" w:cstheme="minorBidi"/>
          <w:b/>
          <w:bCs/>
          <w:color w:val="auto"/>
          <w:kern w:val="0"/>
          <w:sz w:val="24"/>
          <w:szCs w:val="24"/>
          <w:rtl/>
          <w14:ligatures w14:val="none"/>
        </w:rPr>
        <w:t xml:space="preserve">. </w:t>
      </w:r>
      <w:r w:rsidRPr="00E07E9C">
        <w:rPr>
          <w:rFonts w:asciiTheme="minorBidi" w:eastAsia="Times New Roman" w:hAnsiTheme="minorBidi" w:cstheme="minorBidi"/>
          <w:b/>
          <w:bCs/>
          <w:color w:val="auto"/>
          <w:kern w:val="0"/>
          <w:sz w:val="24"/>
          <w:szCs w:val="24"/>
          <w14:ligatures w14:val="none"/>
        </w:rPr>
        <w:t>Practical Importance — Vision 2030 Alignment</w:t>
      </w:r>
    </w:p>
    <w:p w14:paraId="574A8933" w14:textId="73BD51B8" w:rsidR="00EE39D5" w:rsidRPr="00E07E9C" w:rsidRDefault="00EE39D5" w:rsidP="00E07E9C">
      <w:pPr>
        <w:pStyle w:val="Heading2"/>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color w:val="auto"/>
          <w:kern w:val="0"/>
          <w:sz w:val="24"/>
          <w:szCs w:val="24"/>
          <w14:ligatures w14:val="none"/>
        </w:rPr>
        <w:t>The practical value of this study maps directly to four pillars of Vision 2030’s sustainability and economic diversification agenda</w:t>
      </w:r>
      <w:r w:rsidRPr="00E07E9C">
        <w:rPr>
          <w:rFonts w:asciiTheme="minorBidi" w:eastAsia="Times New Roman" w:hAnsiTheme="minorBidi" w:cstheme="minorBidi"/>
          <w:color w:val="auto"/>
          <w:kern w:val="0"/>
          <w:sz w:val="24"/>
          <w:szCs w:val="24"/>
          <w:rtl/>
          <w14:ligatures w14:val="none"/>
        </w:rPr>
        <w:t>:</w:t>
      </w:r>
    </w:p>
    <w:p w14:paraId="617E520D" w14:textId="722B4E17" w:rsidR="00EE39D5" w:rsidRPr="00E07E9C" w:rsidRDefault="00EE39D5" w:rsidP="00E07E9C">
      <w:pPr>
        <w:pStyle w:val="Heading2"/>
        <w:numPr>
          <w:ilvl w:val="0"/>
          <w:numId w:val="40"/>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Macroeconomic (SGI &amp; Fiscal Diversification):</w:t>
      </w:r>
      <w:r w:rsidRPr="00E07E9C">
        <w:rPr>
          <w:rFonts w:asciiTheme="minorBidi" w:eastAsia="Times New Roman" w:hAnsiTheme="minorBidi" w:cstheme="minorBidi"/>
          <w:color w:val="auto"/>
          <w:kern w:val="0"/>
          <w:sz w:val="24"/>
          <w:szCs w:val="24"/>
          <w14:ligatures w14:val="none"/>
        </w:rPr>
        <w:t xml:space="preserve"> Krarti et al. (2017) confirm that national-scale building retrofits can abate 7.611 million tCO</w:t>
      </w:r>
      <w:r w:rsidRPr="00E07E9C">
        <w:rPr>
          <w:rFonts w:ascii="Cambria Math" w:eastAsia="Times New Roman" w:hAnsi="Cambria Math" w:cs="Cambria Math"/>
          <w:color w:val="auto"/>
          <w:kern w:val="0"/>
          <w:sz w:val="24"/>
          <w:szCs w:val="24"/>
          <w14:ligatures w14:val="none"/>
        </w:rPr>
        <w:t>₂</w:t>
      </w:r>
      <w:r w:rsidRPr="00E07E9C">
        <w:rPr>
          <w:rFonts w:asciiTheme="minorBidi" w:eastAsia="Times New Roman" w:hAnsiTheme="minorBidi" w:cstheme="minorBidi"/>
          <w:color w:val="auto"/>
          <w:kern w:val="0"/>
          <w:sz w:val="24"/>
          <w:szCs w:val="24"/>
          <w14:ligatures w14:val="none"/>
        </w:rPr>
        <w:t xml:space="preserve">e annually. This study models how a targeted government MRV Verification Fund estimated at SAR 42.5 million total can </w:t>
      </w:r>
      <w:r w:rsidR="007B16B3" w:rsidRPr="00E07E9C">
        <w:rPr>
          <w:rFonts w:asciiTheme="minorBidi" w:eastAsia="Times New Roman" w:hAnsiTheme="minorBidi" w:cstheme="minorBidi"/>
          <w:color w:val="auto"/>
          <w:kern w:val="0"/>
          <w:sz w:val="24"/>
          <w:szCs w:val="24"/>
          <w14:ligatures w14:val="none"/>
        </w:rPr>
        <w:t>mobilize</w:t>
      </w:r>
      <w:r w:rsidRPr="00E07E9C">
        <w:rPr>
          <w:rFonts w:asciiTheme="minorBidi" w:eastAsia="Times New Roman" w:hAnsiTheme="minorBidi" w:cstheme="minorBidi"/>
          <w:color w:val="auto"/>
          <w:kern w:val="0"/>
          <w:sz w:val="24"/>
          <w:szCs w:val="24"/>
          <w14:ligatures w14:val="none"/>
        </w:rPr>
        <w:t xml:space="preserve"> SAR 2.4 billion in private retrofit investment at a leverage ratio of 56:1, simultaneously reducing domestic electricity demand, freeing </w:t>
      </w:r>
      <w:r w:rsidR="007B16B3" w:rsidRPr="00E07E9C">
        <w:rPr>
          <w:rFonts w:asciiTheme="minorBidi" w:eastAsia="Times New Roman" w:hAnsiTheme="minorBidi" w:cstheme="minorBidi"/>
          <w:color w:val="auto"/>
          <w:kern w:val="0"/>
          <w:sz w:val="24"/>
          <w:szCs w:val="24"/>
          <w14:ligatures w14:val="none"/>
        </w:rPr>
        <w:t>subsidized</w:t>
      </w:r>
      <w:r w:rsidRPr="00E07E9C">
        <w:rPr>
          <w:rFonts w:asciiTheme="minorBidi" w:eastAsia="Times New Roman" w:hAnsiTheme="minorBidi" w:cstheme="minorBidi"/>
          <w:color w:val="auto"/>
          <w:kern w:val="0"/>
          <w:sz w:val="24"/>
          <w:szCs w:val="24"/>
          <w14:ligatures w14:val="none"/>
        </w:rPr>
        <w:t xml:space="preserve"> oil for export, and contributing measurable SGI abatement at minimal public cost</w:t>
      </w:r>
      <w:r w:rsidRPr="00E07E9C">
        <w:rPr>
          <w:rFonts w:asciiTheme="minorBidi" w:eastAsia="Times New Roman" w:hAnsiTheme="minorBidi" w:cstheme="minorBidi"/>
          <w:color w:val="auto"/>
          <w:kern w:val="0"/>
          <w:sz w:val="24"/>
          <w:szCs w:val="24"/>
          <w:rtl/>
          <w14:ligatures w14:val="none"/>
        </w:rPr>
        <w:t>.</w:t>
      </w:r>
    </w:p>
    <w:p w14:paraId="461EA579" w14:textId="00812A6B" w:rsidR="00EE39D5" w:rsidRPr="00E07E9C" w:rsidRDefault="00EE39D5" w:rsidP="00E07E9C">
      <w:pPr>
        <w:pStyle w:val="Heading2"/>
        <w:numPr>
          <w:ilvl w:val="0"/>
          <w:numId w:val="40"/>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Industry-level (FM Transformation):</w:t>
      </w:r>
      <w:r w:rsidRPr="00E07E9C">
        <w:rPr>
          <w:rFonts w:asciiTheme="minorBidi" w:eastAsia="Times New Roman" w:hAnsiTheme="minorBidi" w:cstheme="minorBidi"/>
          <w:color w:val="auto"/>
          <w:kern w:val="0"/>
          <w:sz w:val="24"/>
          <w:szCs w:val="24"/>
          <w14:ligatures w14:val="none"/>
        </w:rPr>
        <w:t xml:space="preserve"> The Saudi FM market is valued at USD 25.75 billion (2024), projected to reach USD 56.33 billion by 2032 (Fortune Business Insights, 2025). By 2025, real-time energy and carbon data are already mandatory contractual deliverables in major GCC FM contracts (MEFMA, 2025). This study provides FM executives with </w:t>
      </w:r>
      <w:r w:rsidR="007B16B3" w:rsidRPr="00E07E9C">
        <w:rPr>
          <w:rFonts w:asciiTheme="minorBidi" w:eastAsia="Times New Roman" w:hAnsiTheme="minorBidi" w:cstheme="minorBidi"/>
          <w:color w:val="auto"/>
          <w:kern w:val="0"/>
          <w:sz w:val="24"/>
          <w:szCs w:val="24"/>
          <w14:ligatures w14:val="none"/>
        </w:rPr>
        <w:t>quantified financial models</w:t>
      </w:r>
      <w:r w:rsidRPr="00E07E9C">
        <w:rPr>
          <w:rFonts w:asciiTheme="minorBidi" w:eastAsia="Times New Roman" w:hAnsiTheme="minorBidi" w:cstheme="minorBidi"/>
          <w:color w:val="auto"/>
          <w:kern w:val="0"/>
          <w:sz w:val="24"/>
          <w:szCs w:val="24"/>
          <w14:ligatures w14:val="none"/>
        </w:rPr>
        <w:t xml:space="preserve"> to accelerate this transition from reactive maintenance to performance-based Energy Performance Contracts, positioning FM as a strategic private-sector partner in Vision 2030 delivery</w:t>
      </w:r>
      <w:r w:rsidRPr="00E07E9C">
        <w:rPr>
          <w:rFonts w:asciiTheme="minorBidi" w:eastAsia="Times New Roman" w:hAnsiTheme="minorBidi" w:cstheme="minorBidi"/>
          <w:color w:val="auto"/>
          <w:kern w:val="0"/>
          <w:sz w:val="24"/>
          <w:szCs w:val="24"/>
          <w:rtl/>
          <w14:ligatures w14:val="none"/>
        </w:rPr>
        <w:t>.</w:t>
      </w:r>
    </w:p>
    <w:p w14:paraId="20BEEA40" w14:textId="2B4299E0" w:rsidR="00EE39D5" w:rsidRPr="00E07E9C" w:rsidRDefault="00EE39D5" w:rsidP="00E07E9C">
      <w:pPr>
        <w:pStyle w:val="Heading2"/>
        <w:numPr>
          <w:ilvl w:val="0"/>
          <w:numId w:val="40"/>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lastRenderedPageBreak/>
        <w:t>Asset-level (Real Estate &amp; Green Premium):</w:t>
      </w:r>
      <w:r w:rsidRPr="00E07E9C">
        <w:rPr>
          <w:rFonts w:asciiTheme="minorBidi" w:eastAsia="Times New Roman" w:hAnsiTheme="minorBidi" w:cstheme="minorBidi"/>
          <w:color w:val="auto"/>
          <w:kern w:val="0"/>
          <w:sz w:val="24"/>
          <w:szCs w:val="24"/>
          <w14:ligatures w14:val="none"/>
        </w:rPr>
        <w:t xml:space="preserve"> Saudi Arabia holds the highest concentration of LEED-certified buildings in the Middle East (GBCI, 2024), and the national Building Sustainability Assessment System evaluated 75 projects covering 47 million m² in 2024 a 32% year-on-year increase (Skyline Holdings, 2025). Carbon revenue </w:t>
      </w:r>
      <w:r w:rsidR="007B16B3" w:rsidRPr="00E07E9C">
        <w:rPr>
          <w:rFonts w:asciiTheme="minorBidi" w:eastAsia="Times New Roman" w:hAnsiTheme="minorBidi" w:cstheme="minorBidi"/>
          <w:color w:val="auto"/>
          <w:kern w:val="0"/>
          <w:sz w:val="24"/>
          <w:szCs w:val="24"/>
          <w14:ligatures w14:val="none"/>
        </w:rPr>
        <w:t>stands for</w:t>
      </w:r>
      <w:r w:rsidRPr="00E07E9C">
        <w:rPr>
          <w:rFonts w:asciiTheme="minorBidi" w:eastAsia="Times New Roman" w:hAnsiTheme="minorBidi" w:cstheme="minorBidi"/>
          <w:color w:val="auto"/>
          <w:kern w:val="0"/>
          <w:sz w:val="24"/>
          <w:szCs w:val="24"/>
          <w14:ligatures w14:val="none"/>
        </w:rPr>
        <w:t xml:space="preserve"> the next financial layer above green certification, enabling asset owners to incorporate RVCMC income streams into NPV models and command an enhanced Green Premium in Riyadh’s leasing market</w:t>
      </w:r>
      <w:r w:rsidRPr="00E07E9C">
        <w:rPr>
          <w:rFonts w:asciiTheme="minorBidi" w:eastAsia="Times New Roman" w:hAnsiTheme="minorBidi" w:cstheme="minorBidi"/>
          <w:color w:val="auto"/>
          <w:kern w:val="0"/>
          <w:sz w:val="24"/>
          <w:szCs w:val="24"/>
          <w:rtl/>
          <w14:ligatures w14:val="none"/>
        </w:rPr>
        <w:t>.</w:t>
      </w:r>
    </w:p>
    <w:p w14:paraId="2735D09D" w14:textId="720BC1BE" w:rsidR="00E07E9C" w:rsidRDefault="00EE39D5" w:rsidP="00E07E9C">
      <w:pPr>
        <w:pStyle w:val="Heading2"/>
        <w:numPr>
          <w:ilvl w:val="0"/>
          <w:numId w:val="40"/>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International Markets (New Economy &amp; CBAM):</w:t>
      </w:r>
      <w:r w:rsidRPr="00E07E9C">
        <w:rPr>
          <w:rFonts w:asciiTheme="minorBidi" w:eastAsia="Times New Roman" w:hAnsiTheme="minorBidi" w:cstheme="minorBidi"/>
          <w:color w:val="auto"/>
          <w:kern w:val="0"/>
          <w:sz w:val="24"/>
          <w:szCs w:val="24"/>
          <w14:ligatures w14:val="none"/>
        </w:rPr>
        <w:t xml:space="preserve"> An IMF Working Paper (2025) classifies Saudi Arabia among the GCC economies most exposed to CBAM’s USD 106 billion annual welfare impact on developing countries. This study </w:t>
      </w:r>
      <w:r w:rsidR="007B16B3" w:rsidRPr="00E07E9C">
        <w:rPr>
          <w:rFonts w:asciiTheme="minorBidi" w:eastAsia="Times New Roman" w:hAnsiTheme="minorBidi" w:cstheme="minorBidi"/>
          <w:color w:val="auto"/>
          <w:kern w:val="0"/>
          <w:sz w:val="24"/>
          <w:szCs w:val="24"/>
          <w14:ligatures w14:val="none"/>
        </w:rPr>
        <w:t>proves</w:t>
      </w:r>
      <w:r w:rsidRPr="00E07E9C">
        <w:rPr>
          <w:rFonts w:asciiTheme="minorBidi" w:eastAsia="Times New Roman" w:hAnsiTheme="minorBidi" w:cstheme="minorBidi"/>
          <w:color w:val="auto"/>
          <w:kern w:val="0"/>
          <w:sz w:val="24"/>
          <w:szCs w:val="24"/>
          <w14:ligatures w14:val="none"/>
        </w:rPr>
        <w:t xml:space="preserve"> that generating and holding verified RVCMC credits converts this structural trade vulnerability into a tradeable financial asset, positioning Saudi FM companies as premium suppliers to European CBAM-driven demand and directly advancing Vision 2030’s new-economy agenda</w:t>
      </w:r>
      <w:r w:rsidRPr="00E07E9C">
        <w:rPr>
          <w:rFonts w:asciiTheme="minorBidi" w:eastAsia="Times New Roman" w:hAnsiTheme="minorBidi" w:cstheme="minorBidi"/>
          <w:color w:val="auto"/>
          <w:kern w:val="0"/>
          <w:sz w:val="24"/>
          <w:szCs w:val="24"/>
          <w:rtl/>
          <w14:ligatures w14:val="none"/>
        </w:rPr>
        <w:t>.</w:t>
      </w:r>
    </w:p>
    <w:p w14:paraId="078A5638" w14:textId="77777777" w:rsidR="00E07E9C" w:rsidRPr="00E07E9C" w:rsidRDefault="00E07E9C" w:rsidP="00E07E9C">
      <w:pPr>
        <w:bidi w:val="0"/>
      </w:pPr>
    </w:p>
    <w:p w14:paraId="5BC695B3" w14:textId="39104B6E" w:rsidR="00692F66"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r w:rsidRPr="00E07E9C">
        <w:rPr>
          <w:rFonts w:asciiTheme="minorBidi" w:hAnsiTheme="minorBidi" w:cstheme="minorBidi"/>
          <w:b/>
          <w:bCs/>
          <w:color w:val="000000" w:themeColor="text1"/>
          <w:sz w:val="32"/>
          <w:szCs w:val="32"/>
        </w:rPr>
        <w:lastRenderedPageBreak/>
        <w:t>Research Objectives</w:t>
      </w:r>
      <w:bookmarkEnd w:id="3"/>
    </w:p>
    <w:p w14:paraId="53312C75" w14:textId="6CE105BF" w:rsidR="00EE39D5" w:rsidRPr="00E07E9C" w:rsidRDefault="00EE39D5" w:rsidP="00E07E9C">
      <w:pPr>
        <w:pStyle w:val="Heading2"/>
        <w:bidi w:val="0"/>
        <w:spacing w:line="360" w:lineRule="auto"/>
        <w:jc w:val="both"/>
        <w:rPr>
          <w:rFonts w:asciiTheme="minorBidi" w:eastAsia="Times New Roman" w:hAnsiTheme="minorBidi" w:cstheme="minorBidi"/>
          <w:b/>
          <w:bCs/>
          <w:color w:val="auto"/>
          <w:kern w:val="0"/>
          <w:sz w:val="24"/>
          <w:szCs w:val="24"/>
          <w14:ligatures w14:val="none"/>
        </w:rPr>
      </w:pPr>
      <w:bookmarkStart w:id="4" w:name="_Toc225367431"/>
      <w:r w:rsidRPr="00E07E9C">
        <w:rPr>
          <w:rFonts w:asciiTheme="minorBidi" w:eastAsia="Times New Roman" w:hAnsiTheme="minorBidi" w:cstheme="minorBidi"/>
          <w:b/>
          <w:bCs/>
          <w:color w:val="auto"/>
          <w:kern w:val="0"/>
          <w:sz w:val="24"/>
          <w:szCs w:val="24"/>
          <w14:ligatures w14:val="none"/>
        </w:rPr>
        <w:t>4.1</w:t>
      </w:r>
      <w:r w:rsidRPr="00E07E9C">
        <w:rPr>
          <w:rFonts w:asciiTheme="minorBidi" w:eastAsia="Times New Roman" w:hAnsiTheme="minorBidi" w:cstheme="minorBidi"/>
          <w:b/>
          <w:bCs/>
          <w:color w:val="auto"/>
          <w:kern w:val="0"/>
          <w:sz w:val="24"/>
          <w:szCs w:val="24"/>
          <w:rtl/>
          <w14:ligatures w14:val="none"/>
        </w:rPr>
        <w:t xml:space="preserve">. </w:t>
      </w:r>
      <w:r w:rsidRPr="00E07E9C">
        <w:rPr>
          <w:rFonts w:asciiTheme="minorBidi" w:eastAsia="Times New Roman" w:hAnsiTheme="minorBidi" w:cstheme="minorBidi"/>
          <w:b/>
          <w:bCs/>
          <w:color w:val="auto"/>
          <w:kern w:val="0"/>
          <w:sz w:val="24"/>
          <w:szCs w:val="24"/>
          <w14:ligatures w14:val="none"/>
        </w:rPr>
        <w:t>Primary Objectives</w:t>
      </w:r>
    </w:p>
    <w:p w14:paraId="20836217" w14:textId="2385D78B" w:rsidR="00EE39D5" w:rsidRPr="00E07E9C" w:rsidRDefault="00EE39D5" w:rsidP="00E07E9C">
      <w:pPr>
        <w:pStyle w:val="Heading2"/>
        <w:numPr>
          <w:ilvl w:val="0"/>
          <w:numId w:val="41"/>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Quantify the MRV Viability Gap:</w:t>
      </w:r>
      <w:r w:rsidRPr="00E07E9C">
        <w:rPr>
          <w:rFonts w:asciiTheme="minorBidi" w:eastAsia="Times New Roman" w:hAnsiTheme="minorBidi" w:cstheme="minorBidi"/>
          <w:color w:val="auto"/>
          <w:kern w:val="0"/>
          <w:sz w:val="24"/>
          <w:szCs w:val="24"/>
          <w14:ligatures w14:val="none"/>
        </w:rPr>
        <w:t xml:space="preserve"> To calculate the annual net cash flow deficit for a single 10,000 m² commercial building participating in the RVCM at current market conditions, establishing the precise magnitude of the MRV transaction cost barrier that prevents Vision 2030’s built-environment carbon targets from being </w:t>
      </w:r>
      <w:r w:rsidR="007B16B3" w:rsidRPr="00E07E9C">
        <w:rPr>
          <w:rFonts w:asciiTheme="minorBidi" w:eastAsia="Times New Roman" w:hAnsiTheme="minorBidi" w:cstheme="minorBidi"/>
          <w:color w:val="auto"/>
          <w:kern w:val="0"/>
          <w:sz w:val="24"/>
          <w:szCs w:val="24"/>
          <w14:ligatures w14:val="none"/>
        </w:rPr>
        <w:t>realized</w:t>
      </w:r>
      <w:r w:rsidRPr="00E07E9C">
        <w:rPr>
          <w:rFonts w:asciiTheme="minorBidi" w:eastAsia="Times New Roman" w:hAnsiTheme="minorBidi" w:cstheme="minorBidi"/>
          <w:color w:val="auto"/>
          <w:kern w:val="0"/>
          <w:sz w:val="24"/>
          <w:szCs w:val="24"/>
          <w14:ligatures w14:val="none"/>
        </w:rPr>
        <w:t xml:space="preserve"> through individual building participation</w:t>
      </w:r>
      <w:r w:rsidRPr="00E07E9C">
        <w:rPr>
          <w:rFonts w:asciiTheme="minorBidi" w:eastAsia="Times New Roman" w:hAnsiTheme="minorBidi" w:cstheme="minorBidi"/>
          <w:color w:val="auto"/>
          <w:kern w:val="0"/>
          <w:sz w:val="24"/>
          <w:szCs w:val="24"/>
          <w:rtl/>
          <w14:ligatures w14:val="none"/>
        </w:rPr>
        <w:t>.</w:t>
      </w:r>
    </w:p>
    <w:p w14:paraId="6B56E12C" w14:textId="0FB13F46" w:rsidR="00EE39D5" w:rsidRPr="00E07E9C" w:rsidRDefault="00EE39D5" w:rsidP="00E07E9C">
      <w:pPr>
        <w:pStyle w:val="Heading2"/>
        <w:numPr>
          <w:ilvl w:val="0"/>
          <w:numId w:val="41"/>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Model Aggregation Economics:</w:t>
      </w:r>
      <w:r w:rsidRPr="00E07E9C">
        <w:rPr>
          <w:rFonts w:asciiTheme="minorBidi" w:eastAsia="Times New Roman" w:hAnsiTheme="minorBidi" w:cstheme="minorBidi"/>
          <w:color w:val="auto"/>
          <w:kern w:val="0"/>
          <w:sz w:val="24"/>
          <w:szCs w:val="24"/>
          <w14:ligatures w14:val="none"/>
        </w:rPr>
        <w:t xml:space="preserve"> To </w:t>
      </w:r>
      <w:r w:rsidR="007B16B3" w:rsidRPr="00E07E9C">
        <w:rPr>
          <w:rFonts w:asciiTheme="minorBidi" w:eastAsia="Times New Roman" w:hAnsiTheme="minorBidi" w:cstheme="minorBidi"/>
          <w:color w:val="auto"/>
          <w:kern w:val="0"/>
          <w:sz w:val="24"/>
          <w:szCs w:val="24"/>
          <w14:ligatures w14:val="none"/>
        </w:rPr>
        <w:t>figure out</w:t>
      </w:r>
      <w:r w:rsidRPr="00E07E9C">
        <w:rPr>
          <w:rFonts w:asciiTheme="minorBidi" w:eastAsia="Times New Roman" w:hAnsiTheme="minorBidi" w:cstheme="minorBidi"/>
          <w:color w:val="auto"/>
          <w:kern w:val="0"/>
          <w:sz w:val="24"/>
          <w:szCs w:val="24"/>
          <w14:ligatures w14:val="none"/>
        </w:rPr>
        <w:t xml:space="preserve"> the MRV cost per </w:t>
      </w:r>
      <w:r w:rsidR="00972AD9" w:rsidRPr="00E07E9C">
        <w:rPr>
          <w:rFonts w:asciiTheme="minorBidi" w:eastAsia="Times New Roman" w:hAnsiTheme="minorBidi" w:cstheme="minorBidi"/>
          <w:color w:val="auto"/>
          <w:kern w:val="0"/>
          <w:sz w:val="24"/>
          <w:szCs w:val="24"/>
          <w14:ligatures w14:val="none"/>
        </w:rPr>
        <w:t>ton</w:t>
      </w:r>
      <w:r w:rsidRPr="00E07E9C">
        <w:rPr>
          <w:rFonts w:asciiTheme="minorBidi" w:eastAsia="Times New Roman" w:hAnsiTheme="minorBidi" w:cstheme="minorBidi"/>
          <w:color w:val="auto"/>
          <w:kern w:val="0"/>
          <w:sz w:val="24"/>
          <w:szCs w:val="24"/>
          <w14:ligatures w14:val="none"/>
        </w:rPr>
        <w:t xml:space="preserve"> at each stage of portfolio growth and </w:t>
      </w:r>
      <w:r w:rsidR="007B16B3" w:rsidRPr="00E07E9C">
        <w:rPr>
          <w:rFonts w:asciiTheme="minorBidi" w:eastAsia="Times New Roman" w:hAnsiTheme="minorBidi" w:cstheme="minorBidi"/>
          <w:color w:val="auto"/>
          <w:kern w:val="0"/>
          <w:sz w:val="24"/>
          <w:szCs w:val="24"/>
          <w14:ligatures w14:val="none"/>
        </w:rPr>
        <w:t>find</w:t>
      </w:r>
      <w:r w:rsidRPr="00E07E9C">
        <w:rPr>
          <w:rFonts w:asciiTheme="minorBidi" w:eastAsia="Times New Roman" w:hAnsiTheme="minorBidi" w:cstheme="minorBidi"/>
          <w:color w:val="auto"/>
          <w:kern w:val="0"/>
          <w:sz w:val="24"/>
          <w:szCs w:val="24"/>
          <w14:ligatures w14:val="none"/>
        </w:rPr>
        <w:t xml:space="preserve"> the minimum portfolio configuration measured in buildings and total GLA at which carbon market participation becomes financially self-sustaining under the RVCMC’s current market structure</w:t>
      </w:r>
      <w:r w:rsidRPr="00E07E9C">
        <w:rPr>
          <w:rFonts w:asciiTheme="minorBidi" w:eastAsia="Times New Roman" w:hAnsiTheme="minorBidi" w:cstheme="minorBidi"/>
          <w:color w:val="auto"/>
          <w:kern w:val="0"/>
          <w:sz w:val="24"/>
          <w:szCs w:val="24"/>
          <w:rtl/>
          <w14:ligatures w14:val="none"/>
        </w:rPr>
        <w:t>.</w:t>
      </w:r>
    </w:p>
    <w:p w14:paraId="7F09467F" w14:textId="797BC4BA" w:rsidR="00EE39D5" w:rsidRPr="00E07E9C" w:rsidRDefault="00EE39D5" w:rsidP="00E07E9C">
      <w:pPr>
        <w:pStyle w:val="Heading2"/>
        <w:numPr>
          <w:ilvl w:val="0"/>
          <w:numId w:val="41"/>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Evaluate Government Policy Impact:</w:t>
      </w:r>
      <w:r w:rsidRPr="00E07E9C">
        <w:rPr>
          <w:rFonts w:asciiTheme="minorBidi" w:eastAsia="Times New Roman" w:hAnsiTheme="minorBidi" w:cstheme="minorBidi"/>
          <w:color w:val="auto"/>
          <w:kern w:val="0"/>
          <w:sz w:val="24"/>
          <w:szCs w:val="24"/>
          <w14:ligatures w14:val="none"/>
        </w:rPr>
        <w:t xml:space="preserve"> To quantify the effect of a proposed 5-year government MRV subsidy on portfolio-level Simple Payback Period (SPP) and 15-year Return on Investment (ROI), and to calculate the implied policy leverage ratio as a cost-benefit input for SGI program design</w:t>
      </w:r>
      <w:r w:rsidRPr="00E07E9C">
        <w:rPr>
          <w:rFonts w:asciiTheme="minorBidi" w:eastAsia="Times New Roman" w:hAnsiTheme="minorBidi" w:cstheme="minorBidi"/>
          <w:color w:val="auto"/>
          <w:kern w:val="0"/>
          <w:sz w:val="24"/>
          <w:szCs w:val="24"/>
          <w:rtl/>
          <w14:ligatures w14:val="none"/>
        </w:rPr>
        <w:t>.</w:t>
      </w:r>
    </w:p>
    <w:p w14:paraId="41267161" w14:textId="42EB0067" w:rsidR="00EE39D5" w:rsidRPr="00E07E9C" w:rsidRDefault="00EE39D5" w:rsidP="00E07E9C">
      <w:pPr>
        <w:pStyle w:val="Heading2"/>
        <w:numPr>
          <w:ilvl w:val="0"/>
          <w:numId w:val="41"/>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Project Carbon Asset Appreciation:</w:t>
      </w:r>
      <w:r w:rsidRPr="00E07E9C">
        <w:rPr>
          <w:rFonts w:asciiTheme="minorBidi" w:eastAsia="Times New Roman" w:hAnsiTheme="minorBidi" w:cstheme="minorBidi"/>
          <w:color w:val="auto"/>
          <w:kern w:val="0"/>
          <w:sz w:val="24"/>
          <w:szCs w:val="24"/>
          <w14:ligatures w14:val="none"/>
        </w:rPr>
        <w:t xml:space="preserve"> To model how the Saudi VCM market’s projected growth from USD 21.7 million to USD 124.6 million by 2030, combined with CBAM-driven international demand, affects the 15-year financial return of the aggregated FM portfolio, establishing verified RVCMC credits as an appreciating asset aligned with Vision 2030’s new-economy goals</w:t>
      </w:r>
      <w:r w:rsidRPr="00E07E9C">
        <w:rPr>
          <w:rFonts w:asciiTheme="minorBidi" w:eastAsia="Times New Roman" w:hAnsiTheme="minorBidi" w:cstheme="minorBidi"/>
          <w:color w:val="auto"/>
          <w:kern w:val="0"/>
          <w:sz w:val="24"/>
          <w:szCs w:val="24"/>
          <w:rtl/>
          <w14:ligatures w14:val="none"/>
        </w:rPr>
        <w:t>.</w:t>
      </w:r>
    </w:p>
    <w:p w14:paraId="34A700A8" w14:textId="1B274E2A" w:rsidR="00EE39D5" w:rsidRPr="00E07E9C" w:rsidRDefault="00EE39D5" w:rsidP="00E07E9C">
      <w:pPr>
        <w:pStyle w:val="Heading2"/>
        <w:bidi w:val="0"/>
        <w:spacing w:line="360" w:lineRule="auto"/>
        <w:jc w:val="both"/>
        <w:rPr>
          <w:rFonts w:asciiTheme="minorBidi" w:eastAsia="Times New Roman" w:hAnsiTheme="minorBidi" w:cstheme="minorBidi"/>
          <w:b/>
          <w:bCs/>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4.2</w:t>
      </w:r>
      <w:r w:rsidRPr="00E07E9C">
        <w:rPr>
          <w:rFonts w:asciiTheme="minorBidi" w:eastAsia="Times New Roman" w:hAnsiTheme="minorBidi" w:cstheme="minorBidi"/>
          <w:b/>
          <w:bCs/>
          <w:color w:val="auto"/>
          <w:kern w:val="0"/>
          <w:sz w:val="24"/>
          <w:szCs w:val="24"/>
          <w:rtl/>
          <w14:ligatures w14:val="none"/>
        </w:rPr>
        <w:t xml:space="preserve">. </w:t>
      </w:r>
      <w:r w:rsidRPr="00E07E9C">
        <w:rPr>
          <w:rFonts w:asciiTheme="minorBidi" w:eastAsia="Times New Roman" w:hAnsiTheme="minorBidi" w:cstheme="minorBidi"/>
          <w:b/>
          <w:bCs/>
          <w:color w:val="auto"/>
          <w:kern w:val="0"/>
          <w:sz w:val="24"/>
          <w:szCs w:val="24"/>
          <w14:ligatures w14:val="none"/>
        </w:rPr>
        <w:t>Secondary Objectives</w:t>
      </w:r>
    </w:p>
    <w:p w14:paraId="05D1006E" w14:textId="77777777" w:rsidR="00EE39D5" w:rsidRPr="00E07E9C" w:rsidRDefault="00EE39D5" w:rsidP="00E07E9C">
      <w:pPr>
        <w:pStyle w:val="Heading2"/>
        <w:numPr>
          <w:ilvl w:val="0"/>
          <w:numId w:val="42"/>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Map the FM-to-EPC Transition:</w:t>
      </w:r>
      <w:r w:rsidRPr="00E07E9C">
        <w:rPr>
          <w:rFonts w:asciiTheme="minorBidi" w:eastAsia="Times New Roman" w:hAnsiTheme="minorBidi" w:cstheme="minorBidi"/>
          <w:color w:val="auto"/>
          <w:kern w:val="0"/>
          <w:sz w:val="24"/>
          <w:szCs w:val="24"/>
          <w14:ligatures w14:val="none"/>
        </w:rPr>
        <w:t xml:space="preserve"> To outline the contractual and operational shift from headcount-based FM maintenance contracts to Energy Performance Contracts (EPCs), enabling FM companies to capture a share of combined energy and carbon revenue as performance-based compensation</w:t>
      </w:r>
      <w:r w:rsidRPr="00E07E9C">
        <w:rPr>
          <w:rFonts w:asciiTheme="minorBidi" w:eastAsia="Times New Roman" w:hAnsiTheme="minorBidi" w:cstheme="minorBidi"/>
          <w:color w:val="auto"/>
          <w:kern w:val="0"/>
          <w:sz w:val="24"/>
          <w:szCs w:val="24"/>
          <w:rtl/>
          <w14:ligatures w14:val="none"/>
        </w:rPr>
        <w:t>.</w:t>
      </w:r>
    </w:p>
    <w:p w14:paraId="3E0A35CE" w14:textId="77777777" w:rsidR="00EE39D5" w:rsidRPr="00E07E9C" w:rsidRDefault="00EE39D5" w:rsidP="00E07E9C">
      <w:pPr>
        <w:pStyle w:val="Heading2"/>
        <w:numPr>
          <w:ilvl w:val="0"/>
          <w:numId w:val="42"/>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 xml:space="preserve">Conduct Carbon Price Sensitivity Analysis: </w:t>
      </w:r>
      <w:r w:rsidRPr="00E07E9C">
        <w:rPr>
          <w:rFonts w:asciiTheme="minorBidi" w:eastAsia="Times New Roman" w:hAnsiTheme="minorBidi" w:cstheme="minorBidi"/>
          <w:color w:val="auto"/>
          <w:kern w:val="0"/>
          <w:sz w:val="24"/>
          <w:szCs w:val="24"/>
          <w14:ligatures w14:val="none"/>
        </w:rPr>
        <w:t>To test the financial model’s robustness against ±20% variation in the RVCM clearing price, establishing minimum and optimistic return boundaries for investment decision-making</w:t>
      </w:r>
      <w:r w:rsidRPr="00E07E9C">
        <w:rPr>
          <w:rFonts w:asciiTheme="minorBidi" w:eastAsia="Times New Roman" w:hAnsiTheme="minorBidi" w:cstheme="minorBidi"/>
          <w:color w:val="auto"/>
          <w:kern w:val="0"/>
          <w:sz w:val="24"/>
          <w:szCs w:val="24"/>
          <w:rtl/>
          <w14:ligatures w14:val="none"/>
        </w:rPr>
        <w:t>.</w:t>
      </w:r>
    </w:p>
    <w:p w14:paraId="28BF025E" w14:textId="53CA8398" w:rsidR="00EE39D5" w:rsidRPr="00E07E9C" w:rsidRDefault="00EE39D5" w:rsidP="00E07E9C">
      <w:pPr>
        <w:pStyle w:val="Heading2"/>
        <w:numPr>
          <w:ilvl w:val="0"/>
          <w:numId w:val="42"/>
        </w:numPr>
        <w:bidi w:val="0"/>
        <w:spacing w:line="360" w:lineRule="auto"/>
        <w:jc w:val="both"/>
        <w:rPr>
          <w:rFonts w:asciiTheme="minorBidi" w:eastAsia="Times New Roman" w:hAnsiTheme="minorBidi" w:cstheme="minorBidi"/>
          <w:color w:val="auto"/>
          <w:kern w:val="0"/>
          <w:sz w:val="24"/>
          <w:szCs w:val="24"/>
          <w14:ligatures w14:val="none"/>
        </w:rPr>
      </w:pPr>
      <w:r w:rsidRPr="00E07E9C">
        <w:rPr>
          <w:rFonts w:asciiTheme="minorBidi" w:eastAsia="Times New Roman" w:hAnsiTheme="minorBidi" w:cstheme="minorBidi"/>
          <w:b/>
          <w:bCs/>
          <w:color w:val="auto"/>
          <w:kern w:val="0"/>
          <w:sz w:val="24"/>
          <w:szCs w:val="24"/>
          <w14:ligatures w14:val="none"/>
        </w:rPr>
        <w:t>Assess the Greening Grid Risk:</w:t>
      </w:r>
      <w:r w:rsidRPr="00E07E9C">
        <w:rPr>
          <w:rFonts w:asciiTheme="minorBidi" w:eastAsia="Times New Roman" w:hAnsiTheme="minorBidi" w:cstheme="minorBidi"/>
          <w:color w:val="auto"/>
          <w:kern w:val="0"/>
          <w:sz w:val="24"/>
          <w:szCs w:val="24"/>
          <w14:ligatures w14:val="none"/>
        </w:rPr>
        <w:t xml:space="preserve"> To analyses how Vision 2030’s 50% renewables target, if achieved, would reduce the Saudi Grid Emission Factor and erode carbon yield over the investment horizon, and to recommend early-registration strategies that protect credit yields during the energy transition</w:t>
      </w:r>
      <w:r w:rsidRPr="00E07E9C">
        <w:rPr>
          <w:rFonts w:asciiTheme="minorBidi" w:eastAsia="Times New Roman" w:hAnsiTheme="minorBidi" w:cstheme="minorBidi"/>
          <w:color w:val="auto"/>
          <w:kern w:val="0"/>
          <w:sz w:val="24"/>
          <w:szCs w:val="24"/>
          <w:rtl/>
          <w14:ligatures w14:val="none"/>
        </w:rPr>
        <w:t>.</w:t>
      </w:r>
    </w:p>
    <w:p w14:paraId="49D52925" w14:textId="29EE7857"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bookmarkStart w:id="5" w:name="_Toc225367432"/>
      <w:bookmarkEnd w:id="4"/>
      <w:r w:rsidRPr="00E07E9C">
        <w:rPr>
          <w:rFonts w:asciiTheme="minorBidi" w:hAnsiTheme="minorBidi" w:cstheme="minorBidi"/>
          <w:b/>
          <w:bCs/>
          <w:color w:val="000000" w:themeColor="text1"/>
          <w:sz w:val="32"/>
          <w:szCs w:val="32"/>
        </w:rPr>
        <w:lastRenderedPageBreak/>
        <w:t>Research Questions</w:t>
      </w:r>
      <w:bookmarkEnd w:id="5"/>
    </w:p>
    <w:p w14:paraId="16A498C2" w14:textId="77777777" w:rsidR="00EE39D5" w:rsidRPr="00E07E9C" w:rsidRDefault="00692F66" w:rsidP="00E07E9C">
      <w:pPr>
        <w:pStyle w:val="NormalWeb"/>
        <w:spacing w:line="360" w:lineRule="auto"/>
        <w:ind w:firstLine="360"/>
        <w:jc w:val="both"/>
        <w:rPr>
          <w:rFonts w:asciiTheme="minorBidi" w:hAnsiTheme="minorBidi" w:cstheme="minorBidi"/>
        </w:rPr>
      </w:pPr>
      <w:r w:rsidRPr="00E07E9C">
        <w:rPr>
          <w:rFonts w:asciiTheme="minorBidi" w:hAnsiTheme="minorBidi" w:cstheme="minorBidi"/>
        </w:rPr>
        <w:t>This study addresses the following core questions to achieve these objectives:</w:t>
      </w:r>
      <w:bookmarkStart w:id="6" w:name="_Toc225367433"/>
    </w:p>
    <w:p w14:paraId="02532DD3" w14:textId="77777777" w:rsidR="00EE39D5" w:rsidRPr="00E07E9C" w:rsidRDefault="00EE39D5" w:rsidP="00E07E9C">
      <w:pPr>
        <w:pStyle w:val="NormalWeb"/>
        <w:numPr>
          <w:ilvl w:val="0"/>
          <w:numId w:val="45"/>
        </w:numPr>
        <w:spacing w:line="360" w:lineRule="auto"/>
        <w:jc w:val="both"/>
        <w:rPr>
          <w:rFonts w:asciiTheme="minorBidi" w:hAnsiTheme="minorBidi" w:cstheme="minorBidi"/>
        </w:rPr>
      </w:pPr>
      <w:r w:rsidRPr="00E07E9C">
        <w:rPr>
          <w:rFonts w:asciiTheme="minorBidi" w:hAnsiTheme="minorBidi" w:cstheme="minorBidi"/>
          <w:b/>
          <w:bCs/>
        </w:rPr>
        <w:t xml:space="preserve">RQ1 (The Viability Gap): </w:t>
      </w:r>
      <w:r w:rsidRPr="00E07E9C">
        <w:rPr>
          <w:rFonts w:asciiTheme="minorBidi" w:hAnsiTheme="minorBidi" w:cstheme="minorBidi"/>
        </w:rPr>
        <w:t>To what extent do current MRV transaction costs on the RVCMC create a financial viability gap for individual commercial facilities in Riyadh at the confirmed clearing price of SAR 37.50/tCO</w:t>
      </w:r>
      <w:r w:rsidRPr="00E07E9C">
        <w:rPr>
          <w:rFonts w:ascii="Cambria Math" w:hAnsi="Cambria Math" w:cs="Cambria Math"/>
        </w:rPr>
        <w:t>₂</w:t>
      </w:r>
      <w:r w:rsidRPr="00E07E9C">
        <w:rPr>
          <w:rFonts w:asciiTheme="minorBidi" w:hAnsiTheme="minorBidi" w:cstheme="minorBidi"/>
        </w:rPr>
        <w:t>e, and what is the minimum annual carbon revenue required for market participation to be financially rational</w:t>
      </w:r>
      <w:r w:rsidRPr="00E07E9C">
        <w:rPr>
          <w:rFonts w:asciiTheme="minorBidi" w:hAnsiTheme="minorBidi" w:cstheme="minorBidi"/>
          <w:rtl/>
        </w:rPr>
        <w:t>?</w:t>
      </w:r>
    </w:p>
    <w:p w14:paraId="3E132A8B" w14:textId="3D4EDF35" w:rsidR="00EE39D5" w:rsidRPr="00E07E9C" w:rsidRDefault="00EE39D5" w:rsidP="00E07E9C">
      <w:pPr>
        <w:pStyle w:val="NormalWeb"/>
        <w:numPr>
          <w:ilvl w:val="0"/>
          <w:numId w:val="45"/>
        </w:numPr>
        <w:spacing w:line="360" w:lineRule="auto"/>
        <w:jc w:val="both"/>
        <w:rPr>
          <w:rFonts w:asciiTheme="minorBidi" w:hAnsiTheme="minorBidi" w:cstheme="minorBidi"/>
        </w:rPr>
      </w:pPr>
      <w:r w:rsidRPr="00E07E9C">
        <w:rPr>
          <w:rFonts w:asciiTheme="minorBidi" w:hAnsiTheme="minorBidi" w:cstheme="minorBidi"/>
          <w:b/>
          <w:bCs/>
        </w:rPr>
        <w:t xml:space="preserve">RQ2 (The Aggregation Solution): </w:t>
      </w:r>
      <w:r w:rsidRPr="00E07E9C">
        <w:rPr>
          <w:rFonts w:asciiTheme="minorBidi" w:hAnsiTheme="minorBidi" w:cstheme="minorBidi"/>
        </w:rPr>
        <w:t xml:space="preserve">At what portfolio scale measured in number of buildings and total GLA does aggregation under a shared RVCMC Program of Activities reduce MRV cost per </w:t>
      </w:r>
      <w:r w:rsidR="00972AD9" w:rsidRPr="00E07E9C">
        <w:rPr>
          <w:rFonts w:asciiTheme="minorBidi" w:hAnsiTheme="minorBidi" w:cstheme="minorBidi"/>
        </w:rPr>
        <w:t>ton</w:t>
      </w:r>
      <w:r w:rsidRPr="00E07E9C">
        <w:rPr>
          <w:rFonts w:asciiTheme="minorBidi" w:hAnsiTheme="minorBidi" w:cstheme="minorBidi"/>
        </w:rPr>
        <w:t xml:space="preserve"> to a level that produces a positive 15-year ROI satisfying private developer hurdle rates</w:t>
      </w:r>
      <w:r w:rsidRPr="00E07E9C">
        <w:rPr>
          <w:rFonts w:asciiTheme="minorBidi" w:hAnsiTheme="minorBidi" w:cstheme="minorBidi"/>
          <w:rtl/>
        </w:rPr>
        <w:t>?</w:t>
      </w:r>
    </w:p>
    <w:p w14:paraId="578BEF27" w14:textId="06C232E8" w:rsidR="00EE39D5" w:rsidRPr="00E07E9C" w:rsidRDefault="00EE39D5" w:rsidP="00E07E9C">
      <w:pPr>
        <w:pStyle w:val="NormalWeb"/>
        <w:numPr>
          <w:ilvl w:val="0"/>
          <w:numId w:val="45"/>
        </w:numPr>
        <w:spacing w:line="360" w:lineRule="auto"/>
        <w:jc w:val="both"/>
        <w:rPr>
          <w:rFonts w:asciiTheme="minorBidi" w:hAnsiTheme="minorBidi" w:cstheme="minorBidi"/>
        </w:rPr>
      </w:pPr>
      <w:r w:rsidRPr="00E07E9C">
        <w:rPr>
          <w:rFonts w:asciiTheme="minorBidi" w:hAnsiTheme="minorBidi" w:cstheme="minorBidi"/>
          <w:b/>
          <w:bCs/>
        </w:rPr>
        <w:t xml:space="preserve">RQ3 (The Policy Impact): </w:t>
      </w:r>
      <w:r w:rsidRPr="00E07E9C">
        <w:rPr>
          <w:rFonts w:asciiTheme="minorBidi" w:hAnsiTheme="minorBidi" w:cstheme="minorBidi"/>
        </w:rPr>
        <w:t xml:space="preserve">What is the project-level financial impact of a 5-year government MRV subsidy on portfolio SPP and ROI, what is the implied policy leverage ratio against private investment </w:t>
      </w:r>
      <w:r w:rsidR="007B16B3" w:rsidRPr="00E07E9C">
        <w:rPr>
          <w:rFonts w:asciiTheme="minorBidi" w:hAnsiTheme="minorBidi" w:cstheme="minorBidi"/>
        </w:rPr>
        <w:t>mobilized</w:t>
      </w:r>
      <w:r w:rsidRPr="00E07E9C">
        <w:rPr>
          <w:rFonts w:asciiTheme="minorBidi" w:hAnsiTheme="minorBidi" w:cstheme="minorBidi"/>
        </w:rPr>
        <w:t>, and how does this compare to other Vision 2030 private-sector activation instruments</w:t>
      </w:r>
      <w:r w:rsidRPr="00E07E9C">
        <w:rPr>
          <w:rFonts w:asciiTheme="minorBidi" w:hAnsiTheme="minorBidi" w:cstheme="minorBidi"/>
          <w:rtl/>
        </w:rPr>
        <w:t>?</w:t>
      </w:r>
    </w:p>
    <w:p w14:paraId="018989ED" w14:textId="67DE55BC" w:rsidR="00EE39D5" w:rsidRDefault="00EE39D5" w:rsidP="00E07E9C">
      <w:pPr>
        <w:pStyle w:val="NormalWeb"/>
        <w:numPr>
          <w:ilvl w:val="0"/>
          <w:numId w:val="45"/>
        </w:numPr>
        <w:spacing w:line="360" w:lineRule="auto"/>
        <w:jc w:val="both"/>
        <w:rPr>
          <w:rFonts w:asciiTheme="minorBidi" w:hAnsiTheme="minorBidi" w:cstheme="minorBidi"/>
        </w:rPr>
      </w:pPr>
      <w:r w:rsidRPr="00E07E9C">
        <w:rPr>
          <w:rFonts w:asciiTheme="minorBidi" w:hAnsiTheme="minorBidi" w:cstheme="minorBidi"/>
          <w:b/>
          <w:bCs/>
        </w:rPr>
        <w:t xml:space="preserve">RQ4 (Carbon as an Appreciating Asset): </w:t>
      </w:r>
      <w:r w:rsidRPr="00E07E9C">
        <w:rPr>
          <w:rFonts w:asciiTheme="minorBidi" w:hAnsiTheme="minorBidi" w:cstheme="minorBidi"/>
        </w:rPr>
        <w:t>How does the projected growth of the Saudi VCM market to USD 124.6 million by 2030, combined with CBAM-driven European demand for high-integrity voluntary offsets, affect the 15-year cumulative financial return of an FM company holding a registered RVCMC PoA portfolio</w:t>
      </w:r>
      <w:r w:rsidRPr="00E07E9C">
        <w:rPr>
          <w:rFonts w:asciiTheme="minorBidi" w:hAnsiTheme="minorBidi" w:cstheme="minorBidi"/>
          <w:rtl/>
        </w:rPr>
        <w:t>?</w:t>
      </w:r>
    </w:p>
    <w:p w14:paraId="44285939" w14:textId="77777777" w:rsidR="009B1B1A" w:rsidRDefault="009B1B1A" w:rsidP="009B1B1A">
      <w:pPr>
        <w:pStyle w:val="NormalWeb"/>
        <w:spacing w:line="360" w:lineRule="auto"/>
        <w:jc w:val="both"/>
        <w:rPr>
          <w:rFonts w:asciiTheme="minorBidi" w:hAnsiTheme="minorBidi" w:cstheme="minorBidi"/>
        </w:rPr>
      </w:pPr>
    </w:p>
    <w:p w14:paraId="50E8DB23" w14:textId="77777777" w:rsidR="009B1B1A" w:rsidRDefault="009B1B1A" w:rsidP="009B1B1A">
      <w:pPr>
        <w:pStyle w:val="NormalWeb"/>
        <w:spacing w:line="360" w:lineRule="auto"/>
        <w:jc w:val="both"/>
        <w:rPr>
          <w:rFonts w:asciiTheme="minorBidi" w:hAnsiTheme="minorBidi" w:cstheme="minorBidi"/>
        </w:rPr>
      </w:pPr>
    </w:p>
    <w:p w14:paraId="7743332F" w14:textId="77777777" w:rsidR="009B1B1A" w:rsidRDefault="009B1B1A" w:rsidP="009B1B1A">
      <w:pPr>
        <w:pStyle w:val="NormalWeb"/>
        <w:spacing w:line="360" w:lineRule="auto"/>
        <w:jc w:val="both"/>
        <w:rPr>
          <w:rFonts w:asciiTheme="minorBidi" w:hAnsiTheme="minorBidi" w:cstheme="minorBidi"/>
        </w:rPr>
      </w:pPr>
    </w:p>
    <w:p w14:paraId="3751CC37" w14:textId="77777777" w:rsidR="009B1B1A" w:rsidRDefault="009B1B1A" w:rsidP="009B1B1A">
      <w:pPr>
        <w:pStyle w:val="NormalWeb"/>
        <w:spacing w:line="360" w:lineRule="auto"/>
        <w:jc w:val="both"/>
        <w:rPr>
          <w:rFonts w:asciiTheme="minorBidi" w:hAnsiTheme="minorBidi" w:cstheme="minorBidi"/>
        </w:rPr>
      </w:pPr>
    </w:p>
    <w:p w14:paraId="18574502" w14:textId="77777777" w:rsidR="009B1B1A" w:rsidRDefault="009B1B1A" w:rsidP="009B1B1A">
      <w:pPr>
        <w:pStyle w:val="NormalWeb"/>
        <w:spacing w:line="360" w:lineRule="auto"/>
        <w:jc w:val="both"/>
        <w:rPr>
          <w:rFonts w:asciiTheme="minorBidi" w:hAnsiTheme="minorBidi" w:cstheme="minorBidi"/>
        </w:rPr>
      </w:pPr>
    </w:p>
    <w:p w14:paraId="65EFBF45" w14:textId="77777777" w:rsidR="009B1B1A" w:rsidRDefault="009B1B1A" w:rsidP="009B1B1A">
      <w:pPr>
        <w:pStyle w:val="NormalWeb"/>
        <w:spacing w:line="360" w:lineRule="auto"/>
        <w:jc w:val="both"/>
        <w:rPr>
          <w:rFonts w:asciiTheme="minorBidi" w:hAnsiTheme="minorBidi" w:cstheme="minorBidi"/>
        </w:rPr>
      </w:pPr>
    </w:p>
    <w:p w14:paraId="72EFA3EB" w14:textId="77777777" w:rsidR="009B1B1A" w:rsidRPr="00E07E9C" w:rsidRDefault="009B1B1A" w:rsidP="009B1B1A">
      <w:pPr>
        <w:pStyle w:val="NormalWeb"/>
        <w:spacing w:line="360" w:lineRule="auto"/>
        <w:jc w:val="both"/>
        <w:rPr>
          <w:rFonts w:asciiTheme="minorBidi" w:hAnsiTheme="minorBidi" w:cstheme="minorBidi"/>
        </w:rPr>
      </w:pPr>
    </w:p>
    <w:p w14:paraId="0ECBE51D" w14:textId="79B23A9F"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r w:rsidRPr="00E07E9C">
        <w:rPr>
          <w:rFonts w:asciiTheme="minorBidi" w:hAnsiTheme="minorBidi" w:cstheme="minorBidi"/>
          <w:b/>
          <w:bCs/>
          <w:color w:val="000000" w:themeColor="text1"/>
          <w:sz w:val="32"/>
          <w:szCs w:val="32"/>
        </w:rPr>
        <w:lastRenderedPageBreak/>
        <w:t>Research Hypotheses</w:t>
      </w:r>
      <w:bookmarkEnd w:id="6"/>
    </w:p>
    <w:p w14:paraId="0A270299" w14:textId="6874EA54" w:rsidR="004C49B6" w:rsidRPr="00E07E9C" w:rsidRDefault="004C49B6" w:rsidP="00E07E9C">
      <w:pPr>
        <w:pStyle w:val="ListParagraph"/>
        <w:bidi w:val="0"/>
        <w:spacing w:before="80" w:after="80" w:line="360" w:lineRule="auto"/>
        <w:ind w:left="360"/>
        <w:jc w:val="both"/>
        <w:rPr>
          <w:rFonts w:asciiTheme="minorBidi" w:hAnsiTheme="minorBidi"/>
        </w:rPr>
      </w:pPr>
      <w:r w:rsidRPr="00E07E9C">
        <w:rPr>
          <w:rFonts w:asciiTheme="minorBidi" w:eastAsia="Arial" w:hAnsiTheme="minorBidi"/>
          <w:sz w:val="24"/>
          <w:szCs w:val="24"/>
        </w:rPr>
        <w:t xml:space="preserve">In alignment with the deterministic financial modelling </w:t>
      </w:r>
      <w:r w:rsidR="007B16B3" w:rsidRPr="00E07E9C">
        <w:rPr>
          <w:rFonts w:asciiTheme="minorBidi" w:eastAsia="Arial" w:hAnsiTheme="minorBidi"/>
          <w:sz w:val="24"/>
          <w:szCs w:val="24"/>
        </w:rPr>
        <w:t>method</w:t>
      </w:r>
      <w:r w:rsidRPr="00E07E9C">
        <w:rPr>
          <w:rFonts w:asciiTheme="minorBidi" w:eastAsia="Arial" w:hAnsiTheme="minorBidi"/>
          <w:sz w:val="24"/>
          <w:szCs w:val="24"/>
        </w:rPr>
        <w:t xml:space="preserve"> adopted in this study, the following hypotheses are formulated as directional financial propositions to be verified through quantitative scenario analysis rather than inferential statistical testing. Each hypothesis is directly linked to a Vision 2030 policy or market dimension.</w:t>
      </w:r>
    </w:p>
    <w:p w14:paraId="159B4BED" w14:textId="77777777" w:rsidR="004C49B6" w:rsidRPr="00E07E9C" w:rsidRDefault="004C49B6" w:rsidP="00E07E9C">
      <w:pPr>
        <w:pStyle w:val="ListParagraph"/>
        <w:bidi w:val="0"/>
        <w:spacing w:before="60" w:after="60" w:line="360" w:lineRule="auto"/>
        <w:ind w:left="360"/>
        <w:rPr>
          <w:rFonts w:asciiTheme="minorBidi" w:hAnsiTheme="minorBidi"/>
        </w:rPr>
      </w:pPr>
    </w:p>
    <w:tbl>
      <w:tblPr>
        <w:tblW w:w="9450"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26"/>
        <w:gridCol w:w="5954"/>
        <w:gridCol w:w="2070"/>
      </w:tblGrid>
      <w:tr w:rsidR="004C49B6" w:rsidRPr="00E07E9C" w14:paraId="5C42D569" w14:textId="77777777" w:rsidTr="009B1B1A">
        <w:tc>
          <w:tcPr>
            <w:tcW w:w="14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01BC7A40"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Hypothesis</w:t>
            </w:r>
          </w:p>
        </w:tc>
        <w:tc>
          <w:tcPr>
            <w:tcW w:w="5954"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36AA90BD"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Statement</w:t>
            </w:r>
          </w:p>
        </w:tc>
        <w:tc>
          <w:tcPr>
            <w:tcW w:w="207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487F71F0"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Test Method</w:t>
            </w:r>
          </w:p>
        </w:tc>
      </w:tr>
      <w:tr w:rsidR="004C49B6" w:rsidRPr="00E07E9C" w14:paraId="4C5FA3FA" w14:textId="77777777" w:rsidTr="009B1B1A">
        <w:trPr>
          <w:trHeight w:val="2681"/>
        </w:trPr>
        <w:tc>
          <w:tcPr>
            <w:tcW w:w="142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B01F317" w14:textId="77777777"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b/>
                <w:bCs/>
                <w:color w:val="000000"/>
              </w:rPr>
              <w:t>H1</w:t>
            </w:r>
          </w:p>
        </w:tc>
        <w:tc>
          <w:tcPr>
            <w:tcW w:w="5954"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4D779F1" w14:textId="77777777" w:rsidR="004C49B6" w:rsidRPr="00E07E9C" w:rsidRDefault="004C49B6" w:rsidP="009B1B1A">
            <w:pPr>
              <w:bidi w:val="0"/>
              <w:spacing w:after="0" w:line="360" w:lineRule="auto"/>
              <w:rPr>
                <w:rFonts w:asciiTheme="minorBidi" w:hAnsiTheme="minorBidi"/>
              </w:rPr>
            </w:pPr>
            <w:r w:rsidRPr="00E07E9C">
              <w:rPr>
                <w:rFonts w:asciiTheme="minorBidi" w:eastAsia="Arial" w:hAnsiTheme="minorBidi"/>
                <w:color w:val="000000"/>
              </w:rPr>
              <w:t>At the current RVCM price of SAR 37.50/tCO</w:t>
            </w:r>
            <w:r w:rsidRPr="00E07E9C">
              <w:rPr>
                <w:rFonts w:ascii="Cambria Math" w:eastAsia="Arial" w:hAnsi="Cambria Math" w:cs="Cambria Math"/>
                <w:color w:val="000000"/>
              </w:rPr>
              <w:t>₂</w:t>
            </w:r>
            <w:r w:rsidRPr="00E07E9C">
              <w:rPr>
                <w:rFonts w:asciiTheme="minorBidi" w:eastAsia="Arial" w:hAnsiTheme="minorBidi"/>
                <w:color w:val="000000"/>
              </w:rPr>
              <w:t>e, a standalone 10,000 m² commercial building generates a carbon-only net cash flow deficit after MRV costs, making isolated RVCMC participation financially unviable and confirming that Vision 2030’s built-environment targets cannot be achieved through individual building participation alone.</w:t>
            </w:r>
          </w:p>
        </w:tc>
        <w:tc>
          <w:tcPr>
            <w:tcW w:w="207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96E026B" w14:textId="46925C06"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color w:val="000000"/>
              </w:rPr>
              <w:t>Scenario A financial model single building, full MRV cost</w:t>
            </w:r>
          </w:p>
        </w:tc>
      </w:tr>
      <w:tr w:rsidR="004C49B6" w:rsidRPr="00E07E9C" w14:paraId="77221413" w14:textId="77777777" w:rsidTr="009B1B1A">
        <w:tc>
          <w:tcPr>
            <w:tcW w:w="1426" w:type="dxa"/>
            <w:tcBorders>
              <w:top w:val="single" w:sz="1" w:space="0" w:color="CCCCCC"/>
              <w:left w:val="single" w:sz="1" w:space="0" w:color="CCCCCC"/>
              <w:bottom w:val="single" w:sz="1" w:space="0" w:color="CCCCCC"/>
              <w:right w:val="single" w:sz="1" w:space="0" w:color="CCCCCC"/>
            </w:tcBorders>
            <w:shd w:val="clear" w:color="auto" w:fill="EAF2FB"/>
            <w:tcMar>
              <w:top w:w="80" w:type="dxa"/>
              <w:left w:w="120" w:type="dxa"/>
              <w:bottom w:w="80" w:type="dxa"/>
              <w:right w:w="120" w:type="dxa"/>
            </w:tcMar>
            <w:vAlign w:val="center"/>
          </w:tcPr>
          <w:p w14:paraId="0C22973F" w14:textId="77777777"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b/>
                <w:bCs/>
                <w:color w:val="000000"/>
              </w:rPr>
              <w:t>H2</w:t>
            </w:r>
          </w:p>
        </w:tc>
        <w:tc>
          <w:tcPr>
            <w:tcW w:w="5954"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611152B" w14:textId="38672A6C" w:rsidR="004C49B6" w:rsidRPr="00E07E9C" w:rsidRDefault="004C49B6" w:rsidP="009B1B1A">
            <w:pPr>
              <w:bidi w:val="0"/>
              <w:spacing w:after="0" w:line="360" w:lineRule="auto"/>
              <w:rPr>
                <w:rFonts w:asciiTheme="minorBidi" w:hAnsiTheme="minorBidi"/>
              </w:rPr>
            </w:pPr>
            <w:r w:rsidRPr="00E07E9C">
              <w:rPr>
                <w:rFonts w:asciiTheme="minorBidi" w:eastAsia="Arial" w:hAnsiTheme="minorBidi"/>
                <w:color w:val="000000"/>
              </w:rPr>
              <w:t xml:space="preserve">A portfolio of 10 buildings (7 small + 3 large, total GLA: 160,000 m²) operating under a shared RVCMC PoA will reduce the MRV cost per </w:t>
            </w:r>
            <w:r w:rsidR="00972AD9" w:rsidRPr="00E07E9C">
              <w:rPr>
                <w:rFonts w:asciiTheme="minorBidi" w:eastAsia="Arial" w:hAnsiTheme="minorBidi"/>
                <w:color w:val="000000"/>
              </w:rPr>
              <w:t>ton</w:t>
            </w:r>
            <w:r w:rsidRPr="00E07E9C">
              <w:rPr>
                <w:rFonts w:asciiTheme="minorBidi" w:eastAsia="Arial" w:hAnsiTheme="minorBidi"/>
                <w:color w:val="000000"/>
              </w:rPr>
              <w:t xml:space="preserve"> to below SAR 10/tCO</w:t>
            </w:r>
            <w:r w:rsidRPr="00E07E9C">
              <w:rPr>
                <w:rFonts w:ascii="Cambria Math" w:eastAsia="Arial" w:hAnsi="Cambria Math" w:cs="Cambria Math"/>
                <w:color w:val="000000"/>
              </w:rPr>
              <w:t>₂</w:t>
            </w:r>
            <w:r w:rsidRPr="00E07E9C">
              <w:rPr>
                <w:rFonts w:asciiTheme="minorBidi" w:eastAsia="Arial" w:hAnsiTheme="minorBidi"/>
                <w:color w:val="000000"/>
              </w:rPr>
              <w:t>e, producing a positive 15-year ROI under low and mid CAPEX scenarios that satisfies private developer hurdle rates.</w:t>
            </w:r>
          </w:p>
        </w:tc>
        <w:tc>
          <w:tcPr>
            <w:tcW w:w="207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865DED2" w14:textId="74197A56"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color w:val="000000"/>
              </w:rPr>
              <w:t>Scenario B financial model aggregated portfolio, shared MRV</w:t>
            </w:r>
          </w:p>
        </w:tc>
      </w:tr>
      <w:tr w:rsidR="004C49B6" w:rsidRPr="00E07E9C" w14:paraId="51283F09" w14:textId="77777777" w:rsidTr="009B1B1A">
        <w:tc>
          <w:tcPr>
            <w:tcW w:w="1426"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71690B6B" w14:textId="77777777"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b/>
                <w:bCs/>
                <w:color w:val="000000"/>
              </w:rPr>
              <w:t>H3</w:t>
            </w:r>
          </w:p>
        </w:tc>
        <w:tc>
          <w:tcPr>
            <w:tcW w:w="5954"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5E80513" w14:textId="77777777" w:rsidR="004C49B6" w:rsidRPr="00E07E9C" w:rsidRDefault="004C49B6" w:rsidP="009B1B1A">
            <w:pPr>
              <w:bidi w:val="0"/>
              <w:spacing w:after="0" w:line="360" w:lineRule="auto"/>
              <w:rPr>
                <w:rFonts w:asciiTheme="minorBidi" w:hAnsiTheme="minorBidi"/>
              </w:rPr>
            </w:pPr>
            <w:r w:rsidRPr="00E07E9C">
              <w:rPr>
                <w:rFonts w:asciiTheme="minorBidi" w:eastAsia="Arial" w:hAnsiTheme="minorBidi"/>
                <w:color w:val="000000"/>
              </w:rPr>
              <w:t>A 5-year government MRV subsidy will accelerate the portfolio’s Simple Payback Period and improve 15-year ROI, with a policy leverage ratio demonstrating the subsidy as a cost-effective Vision 2030 SGI private-sector activation instrument.</w:t>
            </w:r>
          </w:p>
        </w:tc>
        <w:tc>
          <w:tcPr>
            <w:tcW w:w="207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11797D3" w14:textId="0AC08191"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color w:val="000000"/>
              </w:rPr>
              <w:t>Scenario C financial model subsidized portfolio, Yr 1–5 MRV waived</w:t>
            </w:r>
          </w:p>
        </w:tc>
      </w:tr>
      <w:tr w:rsidR="004C49B6" w:rsidRPr="00E07E9C" w14:paraId="09127EE8" w14:textId="77777777" w:rsidTr="009B1B1A">
        <w:tc>
          <w:tcPr>
            <w:tcW w:w="1426"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vAlign w:val="center"/>
          </w:tcPr>
          <w:p w14:paraId="10071DC1" w14:textId="77777777"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b/>
                <w:bCs/>
                <w:color w:val="000000"/>
              </w:rPr>
              <w:t>H4</w:t>
            </w:r>
          </w:p>
        </w:tc>
        <w:tc>
          <w:tcPr>
            <w:tcW w:w="5954"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C0D34A6" w14:textId="77777777" w:rsidR="004C49B6" w:rsidRPr="00E07E9C" w:rsidRDefault="004C49B6" w:rsidP="009B1B1A">
            <w:pPr>
              <w:bidi w:val="0"/>
              <w:spacing w:after="0" w:line="360" w:lineRule="auto"/>
              <w:rPr>
                <w:rFonts w:asciiTheme="minorBidi" w:hAnsiTheme="minorBidi"/>
              </w:rPr>
            </w:pPr>
            <w:r w:rsidRPr="00E07E9C">
              <w:rPr>
                <w:rFonts w:asciiTheme="minorBidi" w:eastAsia="Arial" w:hAnsiTheme="minorBidi"/>
                <w:color w:val="000000"/>
              </w:rPr>
              <w:t>As the Saudi VCM market expands toward USD 124.6 million by 2030 and European CBAM enforcement intensifies international demand, annual carbon revenue of the aggregated portfolio will increase by at least 300% over 15 years, establishing verified Saudi credits as an appreciating new-economy financial asset.</w:t>
            </w:r>
          </w:p>
        </w:tc>
        <w:tc>
          <w:tcPr>
            <w:tcW w:w="207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1A9C5B5" w14:textId="295B0C2C" w:rsidR="004C49B6" w:rsidRPr="00E07E9C" w:rsidRDefault="004C49B6" w:rsidP="009B1B1A">
            <w:pPr>
              <w:bidi w:val="0"/>
              <w:spacing w:after="0" w:line="360" w:lineRule="auto"/>
              <w:jc w:val="center"/>
              <w:rPr>
                <w:rFonts w:asciiTheme="minorBidi" w:hAnsiTheme="minorBidi"/>
              </w:rPr>
            </w:pPr>
            <w:r w:rsidRPr="00E07E9C">
              <w:rPr>
                <w:rFonts w:asciiTheme="minorBidi" w:eastAsia="Arial" w:hAnsiTheme="minorBidi"/>
                <w:color w:val="000000"/>
              </w:rPr>
              <w:t>CBAM appreciation projection price trajectory modelling over 15 years</w:t>
            </w:r>
          </w:p>
        </w:tc>
      </w:tr>
    </w:tbl>
    <w:p w14:paraId="259B4F11" w14:textId="77777777" w:rsidR="004C49B6" w:rsidRPr="00E07E9C" w:rsidRDefault="004C49B6" w:rsidP="00E07E9C">
      <w:pPr>
        <w:pStyle w:val="ListParagraph"/>
        <w:bidi w:val="0"/>
        <w:spacing w:before="60" w:line="360" w:lineRule="auto"/>
        <w:ind w:left="360"/>
        <w:jc w:val="center"/>
        <w:rPr>
          <w:rFonts w:asciiTheme="minorBidi" w:hAnsiTheme="minorBidi"/>
        </w:rPr>
      </w:pPr>
      <w:r w:rsidRPr="00E07E9C">
        <w:rPr>
          <w:rFonts w:asciiTheme="minorBidi" w:eastAsia="Arial" w:hAnsiTheme="minorBidi"/>
          <w:i/>
          <w:iCs/>
          <w:color w:val="555555"/>
          <w:sz w:val="20"/>
          <w:szCs w:val="20"/>
        </w:rPr>
        <w:t>Table 1: Research Hypotheses, Statements, and Test Methods</w:t>
      </w:r>
    </w:p>
    <w:p w14:paraId="6D6950AA" w14:textId="42674020"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bookmarkStart w:id="7" w:name="_Toc225367434"/>
      <w:r w:rsidRPr="00E07E9C">
        <w:rPr>
          <w:rFonts w:asciiTheme="minorBidi" w:hAnsiTheme="minorBidi" w:cstheme="minorBidi"/>
          <w:b/>
          <w:bCs/>
          <w:color w:val="000000" w:themeColor="text1"/>
          <w:sz w:val="32"/>
          <w:szCs w:val="32"/>
        </w:rPr>
        <w:lastRenderedPageBreak/>
        <w:t>Previous Research</w:t>
      </w:r>
      <w:bookmarkEnd w:id="7"/>
    </w:p>
    <w:p w14:paraId="295AAB12" w14:textId="1022C2FA" w:rsidR="004C49B6" w:rsidRPr="00E07E9C" w:rsidRDefault="004C49B6" w:rsidP="00E07E9C">
      <w:pPr>
        <w:bidi w:val="0"/>
        <w:spacing w:before="80" w:after="80" w:line="360" w:lineRule="auto"/>
        <w:jc w:val="both"/>
        <w:rPr>
          <w:rFonts w:asciiTheme="minorBidi" w:hAnsiTheme="minorBidi"/>
        </w:rPr>
      </w:pPr>
      <w:bookmarkStart w:id="8" w:name="_Toc225367442"/>
      <w:r w:rsidRPr="00E07E9C">
        <w:rPr>
          <w:rFonts w:asciiTheme="minorBidi" w:eastAsia="Arial" w:hAnsiTheme="minorBidi"/>
          <w:sz w:val="24"/>
          <w:szCs w:val="24"/>
        </w:rPr>
        <w:t xml:space="preserve">This review </w:t>
      </w:r>
      <w:r w:rsidR="007B16B3" w:rsidRPr="00E07E9C">
        <w:rPr>
          <w:rFonts w:asciiTheme="minorBidi" w:eastAsia="Arial" w:hAnsiTheme="minorBidi"/>
          <w:sz w:val="24"/>
          <w:szCs w:val="24"/>
        </w:rPr>
        <w:t>organizes</w:t>
      </w:r>
      <w:r w:rsidRPr="00E07E9C">
        <w:rPr>
          <w:rFonts w:asciiTheme="minorBidi" w:eastAsia="Arial" w:hAnsiTheme="minorBidi"/>
          <w:sz w:val="24"/>
          <w:szCs w:val="24"/>
        </w:rPr>
        <w:t xml:space="preserve"> existing knowledge into five thematic areas, identifies convergence and divergence across studies, and concludes with a comparative gap matrix that establishes precisely what this dissertation contributes. All literature is </w:t>
      </w:r>
      <w:r w:rsidR="007B16B3" w:rsidRPr="00E07E9C">
        <w:rPr>
          <w:rFonts w:asciiTheme="minorBidi" w:eastAsia="Arial" w:hAnsiTheme="minorBidi"/>
          <w:sz w:val="24"/>
          <w:szCs w:val="24"/>
        </w:rPr>
        <w:t>contextualized</w:t>
      </w:r>
      <w:r w:rsidRPr="00E07E9C">
        <w:rPr>
          <w:rFonts w:asciiTheme="minorBidi" w:eastAsia="Arial" w:hAnsiTheme="minorBidi"/>
          <w:sz w:val="24"/>
          <w:szCs w:val="24"/>
        </w:rPr>
        <w:t xml:space="preserve"> within Vision 2030’s strategic framework.</w:t>
      </w:r>
    </w:p>
    <w:p w14:paraId="16618FCF" w14:textId="77777777" w:rsidR="004C49B6" w:rsidRPr="00E07E9C" w:rsidRDefault="004C49B6" w:rsidP="00E07E9C">
      <w:pPr>
        <w:bidi w:val="0"/>
        <w:spacing w:before="60" w:after="60" w:line="360" w:lineRule="auto"/>
        <w:rPr>
          <w:rFonts w:asciiTheme="minorBidi" w:hAnsiTheme="minorBidi"/>
        </w:rPr>
      </w:pPr>
    </w:p>
    <w:p w14:paraId="37D6A981" w14:textId="77777777" w:rsidR="004C49B6" w:rsidRPr="009B1B1A"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9" w:name="_Toc232779215"/>
      <w:r w:rsidRPr="009B1B1A">
        <w:rPr>
          <w:rFonts w:asciiTheme="minorBidi" w:eastAsia="Arial" w:hAnsiTheme="minorBidi" w:cstheme="minorBidi"/>
          <w:b/>
          <w:bCs/>
          <w:color w:val="000000" w:themeColor="text1"/>
          <w:sz w:val="28"/>
          <w:szCs w:val="28"/>
        </w:rPr>
        <w:t>7.1. GCC Facility Management: Paradigm Shift in Progress</w:t>
      </w:r>
      <w:bookmarkEnd w:id="9"/>
    </w:p>
    <w:p w14:paraId="41318145" w14:textId="77777777"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 xml:space="preserve">MEFMA (2023) documents that over 70% of GCC FM contracts are awarded on a </w:t>
      </w:r>
      <w:proofErr w:type="gramStart"/>
      <w:r w:rsidRPr="00E07E9C">
        <w:rPr>
          <w:rFonts w:asciiTheme="minorBidi" w:eastAsia="Arial" w:hAnsiTheme="minorBidi"/>
          <w:sz w:val="24"/>
          <w:szCs w:val="24"/>
        </w:rPr>
        <w:t>lowest</w:t>
      </w:r>
      <w:proofErr w:type="gramEnd"/>
      <w:r w:rsidRPr="00E07E9C">
        <w:rPr>
          <w:rFonts w:asciiTheme="minorBidi" w:eastAsia="Arial" w:hAnsiTheme="minorBidi"/>
          <w:sz w:val="24"/>
          <w:szCs w:val="24"/>
        </w:rPr>
        <w:t>-bid basis, with energy management excluded from contractual scope. However, the market is shifting: the Saudi FM sector was valued at USD 25.75 billion in 2024, projected to reach USD 56.33 billion by 2032 at a CAGR of 10.8% (Fortune Business Insights, 2025). By 2025, major GCC clients now require real-time energy and carbon data as contractual FM deliverables, and MEFMA’s Mustadam Certified Sustainability FM credential has established BMS competency as a market baseline skill (MEFMA, 2025). JLL (2024) documents a ‘Green Premium’ of 5–12% in rental yields for certified GCC buildings, confirming that the financial case for energy performance investment is emerging. Al-Mofeez and Nait-Sidnas (2025) confirm that retrofit engineering solutions for arid-climate commercial buildings are technically mature, but that financing mechanisms remain the primary constraint.</w:t>
      </w:r>
    </w:p>
    <w:p w14:paraId="233911E1" w14:textId="77777777" w:rsidR="004C49B6" w:rsidRPr="009B1B1A" w:rsidRDefault="004C49B6" w:rsidP="00E07E9C">
      <w:pPr>
        <w:bidi w:val="0"/>
        <w:spacing w:before="60" w:after="60" w:line="360" w:lineRule="auto"/>
        <w:rPr>
          <w:rFonts w:asciiTheme="minorBidi" w:hAnsiTheme="minorBidi"/>
          <w:color w:val="000000" w:themeColor="text1"/>
        </w:rPr>
      </w:pPr>
    </w:p>
    <w:p w14:paraId="5F6FA819" w14:textId="77777777" w:rsidR="004C49B6" w:rsidRPr="009B1B1A"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10" w:name="_Toc232779216"/>
      <w:r w:rsidRPr="009B1B1A">
        <w:rPr>
          <w:rFonts w:asciiTheme="minorBidi" w:eastAsia="Arial" w:hAnsiTheme="minorBidi" w:cstheme="minorBidi"/>
          <w:b/>
          <w:bCs/>
          <w:color w:val="000000" w:themeColor="text1"/>
          <w:sz w:val="28"/>
          <w:szCs w:val="28"/>
        </w:rPr>
        <w:t>7.2. Carbon Market Mechanics: The Saudi Premium</w:t>
      </w:r>
      <w:bookmarkEnd w:id="10"/>
    </w:p>
    <w:p w14:paraId="5990AC3C" w14:textId="0E6B6CA1"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The World Bank (2025) documents the global VCM average price of USD 1–5/</w:t>
      </w:r>
      <w:r w:rsidR="00972AD9" w:rsidRPr="00E07E9C">
        <w:rPr>
          <w:rFonts w:asciiTheme="minorBidi" w:eastAsia="Arial" w:hAnsiTheme="minorBidi"/>
          <w:sz w:val="24"/>
          <w:szCs w:val="24"/>
        </w:rPr>
        <w:t>ton</w:t>
      </w:r>
      <w:r w:rsidRPr="00E07E9C">
        <w:rPr>
          <w:rFonts w:asciiTheme="minorBidi" w:eastAsia="Arial" w:hAnsiTheme="minorBidi"/>
          <w:sz w:val="24"/>
          <w:szCs w:val="24"/>
        </w:rPr>
        <w:t xml:space="preserve"> at which energy-efficiency </w:t>
      </w:r>
      <w:r w:rsidR="007B16B3" w:rsidRPr="00E07E9C">
        <w:rPr>
          <w:rFonts w:asciiTheme="minorBidi" w:eastAsia="Arial" w:hAnsiTheme="minorBidi"/>
          <w:sz w:val="24"/>
          <w:szCs w:val="24"/>
        </w:rPr>
        <w:t>monetization</w:t>
      </w:r>
      <w:r w:rsidRPr="00E07E9C">
        <w:rPr>
          <w:rFonts w:asciiTheme="minorBidi" w:eastAsia="Arial" w:hAnsiTheme="minorBidi"/>
          <w:sz w:val="24"/>
          <w:szCs w:val="24"/>
        </w:rPr>
        <w:t xml:space="preserve"> is economically irrelevant at the building scale. The Ecosystem Marketplace (2025) confirms continued global VCM contraction, with transaction values falling 29% in 2024 due to integrity concerns around low-quality credits, while demand for high-integrity credits remains strong. The RVCMC’s November 2024 exchange launch — with </w:t>
      </w:r>
      <w:r w:rsidR="007B16B3" w:rsidRPr="00E07E9C">
        <w:rPr>
          <w:rFonts w:asciiTheme="minorBidi" w:eastAsia="Arial" w:hAnsiTheme="minorBidi"/>
          <w:sz w:val="24"/>
          <w:szCs w:val="24"/>
        </w:rPr>
        <w:t>Expansive</w:t>
      </w:r>
      <w:r w:rsidRPr="00E07E9C">
        <w:rPr>
          <w:rFonts w:asciiTheme="minorBidi" w:eastAsia="Arial" w:hAnsiTheme="minorBidi"/>
          <w:sz w:val="24"/>
          <w:szCs w:val="24"/>
        </w:rPr>
        <w:t xml:space="preserve"> as institutional infrastructure partner</w:t>
      </w:r>
      <w:r w:rsidR="009B1B1A">
        <w:rPr>
          <w:rFonts w:asciiTheme="minorBidi" w:eastAsia="Arial" w:hAnsiTheme="minorBidi"/>
          <w:sz w:val="24"/>
          <w:szCs w:val="24"/>
        </w:rPr>
        <w:t xml:space="preserve"> </w:t>
      </w:r>
      <w:r w:rsidRPr="00E07E9C">
        <w:rPr>
          <w:rFonts w:asciiTheme="minorBidi" w:eastAsia="Arial" w:hAnsiTheme="minorBidi"/>
          <w:sz w:val="24"/>
          <w:szCs w:val="24"/>
        </w:rPr>
        <w:t>positions Saudi Arabia to capture this high-integrity premium at a clearing price of SAR 37.50/tCO</w:t>
      </w:r>
      <w:r w:rsidRPr="00E07E9C">
        <w:rPr>
          <w:rFonts w:ascii="Cambria Math" w:eastAsia="Arial" w:hAnsi="Cambria Math" w:cs="Cambria Math"/>
          <w:sz w:val="24"/>
          <w:szCs w:val="24"/>
        </w:rPr>
        <w:t>₂</w:t>
      </w:r>
      <w:r w:rsidRPr="00E07E9C">
        <w:rPr>
          <w:rFonts w:asciiTheme="minorBidi" w:eastAsia="Arial" w:hAnsiTheme="minorBidi"/>
          <w:sz w:val="24"/>
          <w:szCs w:val="24"/>
        </w:rPr>
        <w:t>e (RVCMC, 2024). PwC Middle East (2024) confirms MRV registration costs of SAR 40,000–80,000 per project, validating the transaction cost barrier at the core of this research.</w:t>
      </w:r>
    </w:p>
    <w:p w14:paraId="1E2C5BE1" w14:textId="77777777" w:rsidR="004C49B6" w:rsidRPr="00E07E9C" w:rsidRDefault="004C49B6" w:rsidP="00E07E9C">
      <w:pPr>
        <w:bidi w:val="0"/>
        <w:spacing w:before="60" w:after="60" w:line="360" w:lineRule="auto"/>
        <w:rPr>
          <w:rFonts w:asciiTheme="minorBidi" w:hAnsiTheme="minorBidi"/>
        </w:rPr>
      </w:pPr>
    </w:p>
    <w:p w14:paraId="26CD97AA" w14:textId="77777777" w:rsidR="004C49B6" w:rsidRPr="009B1B1A"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11" w:name="_Toc232779217"/>
      <w:r w:rsidRPr="009B1B1A">
        <w:rPr>
          <w:rFonts w:asciiTheme="minorBidi" w:eastAsia="Arial" w:hAnsiTheme="minorBidi" w:cstheme="minorBidi"/>
          <w:b/>
          <w:bCs/>
          <w:color w:val="000000" w:themeColor="text1"/>
          <w:sz w:val="28"/>
          <w:szCs w:val="28"/>
        </w:rPr>
        <w:lastRenderedPageBreak/>
        <w:t>7.3. Vision 2030, the SGI, and the KSA Built Environment</w:t>
      </w:r>
      <w:bookmarkEnd w:id="11"/>
    </w:p>
    <w:p w14:paraId="38400ED4" w14:textId="389DA35D"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Almasri et al. (2025), in KFUPM-supported research, confirm that Saudi buildings consumed 78% of national total energy in 2023. Krarti, Dubey and Howarth (2017), in a KAPSARC-linked foundational study, establish that even basic building retrofits can reduce national electricity consumption by 10,054 GWh/year and abate 7.611 million tCO</w:t>
      </w:r>
      <w:r w:rsidRPr="00E07E9C">
        <w:rPr>
          <w:rFonts w:ascii="Cambria Math" w:eastAsia="Arial" w:hAnsi="Cambria Math" w:cs="Cambria Math"/>
          <w:sz w:val="24"/>
          <w:szCs w:val="24"/>
        </w:rPr>
        <w:t>₂</w:t>
      </w:r>
      <w:r w:rsidRPr="00E07E9C">
        <w:rPr>
          <w:rFonts w:asciiTheme="minorBidi" w:eastAsia="Arial" w:hAnsiTheme="minorBidi"/>
          <w:sz w:val="24"/>
          <w:szCs w:val="24"/>
        </w:rPr>
        <w:t xml:space="preserve">e annually the national-scale benchmark against which this portfolio model is validated. Islam and Ali (2024) confirm that the electricity sector, dominated by building loads, must be the first to </w:t>
      </w:r>
      <w:r w:rsidR="007B16B3" w:rsidRPr="00E07E9C">
        <w:rPr>
          <w:rFonts w:asciiTheme="minorBidi" w:eastAsia="Arial" w:hAnsiTheme="minorBidi"/>
          <w:sz w:val="24"/>
          <w:szCs w:val="24"/>
        </w:rPr>
        <w:t>decarbonize</w:t>
      </w:r>
      <w:r w:rsidRPr="00E07E9C">
        <w:rPr>
          <w:rFonts w:asciiTheme="minorBidi" w:eastAsia="Arial" w:hAnsiTheme="minorBidi"/>
          <w:sz w:val="24"/>
          <w:szCs w:val="24"/>
        </w:rPr>
        <w:t xml:space="preserve"> as the most cost-effective pathway to Vision 2030’s NDC commitments. Luomi, Zakkour and Gasim (2025) for KAPSARC confirm that the built environment is a significant but </w:t>
      </w:r>
      <w:r w:rsidR="007B16B3" w:rsidRPr="00E07E9C">
        <w:rPr>
          <w:rFonts w:asciiTheme="minorBidi" w:eastAsia="Arial" w:hAnsiTheme="minorBidi"/>
          <w:sz w:val="24"/>
          <w:szCs w:val="24"/>
        </w:rPr>
        <w:t>underutilized</w:t>
      </w:r>
      <w:r w:rsidRPr="00E07E9C">
        <w:rPr>
          <w:rFonts w:asciiTheme="minorBidi" w:eastAsia="Arial" w:hAnsiTheme="minorBidi"/>
          <w:sz w:val="24"/>
          <w:szCs w:val="24"/>
        </w:rPr>
        <w:t xml:space="preserve"> source of Saudi carbon credits, without modelling the MRV barrier or proposing aggregation as a resolution. Deloitte Middle East (2025) documents the regulatory trajectory from voluntary to mandatory carbon reporting across the GCC, with UAE mandates as the leading indicator for Saudi evolution.</w:t>
      </w:r>
    </w:p>
    <w:p w14:paraId="0C85AC17" w14:textId="77777777" w:rsidR="004C49B6" w:rsidRPr="00E07E9C" w:rsidRDefault="004C49B6" w:rsidP="00E07E9C">
      <w:pPr>
        <w:bidi w:val="0"/>
        <w:spacing w:before="60" w:after="60" w:line="360" w:lineRule="auto"/>
        <w:rPr>
          <w:rFonts w:asciiTheme="minorBidi" w:hAnsiTheme="minorBidi"/>
        </w:rPr>
      </w:pPr>
    </w:p>
    <w:p w14:paraId="7F27B65C" w14:textId="77777777" w:rsidR="004C49B6" w:rsidRPr="009B1B1A" w:rsidRDefault="004C49B6" w:rsidP="00E07E9C">
      <w:pPr>
        <w:pStyle w:val="Heading2"/>
        <w:bidi w:val="0"/>
        <w:spacing w:line="360" w:lineRule="auto"/>
        <w:rPr>
          <w:rFonts w:asciiTheme="minorBidi" w:hAnsiTheme="minorBidi" w:cstheme="minorBidi"/>
          <w:color w:val="000000" w:themeColor="text1"/>
          <w:sz w:val="28"/>
          <w:szCs w:val="28"/>
        </w:rPr>
      </w:pPr>
      <w:bookmarkStart w:id="12" w:name="_Toc232779218"/>
      <w:r w:rsidRPr="009B1B1A">
        <w:rPr>
          <w:rFonts w:asciiTheme="minorBidi" w:eastAsia="Arial" w:hAnsiTheme="minorBidi" w:cstheme="minorBidi"/>
          <w:b/>
          <w:bCs/>
          <w:color w:val="000000" w:themeColor="text1"/>
          <w:sz w:val="28"/>
          <w:szCs w:val="28"/>
        </w:rPr>
        <w:t>7.4. Theoretical Foundations</w:t>
      </w:r>
      <w:bookmarkEnd w:id="12"/>
    </w:p>
    <w:p w14:paraId="318BD69E" w14:textId="77777777" w:rsidR="004C49B6" w:rsidRPr="009B1B1A" w:rsidRDefault="004C49B6" w:rsidP="009B1B1A">
      <w:pPr>
        <w:pStyle w:val="Heading2"/>
        <w:bidi w:val="0"/>
        <w:spacing w:line="360" w:lineRule="auto"/>
        <w:rPr>
          <w:rFonts w:asciiTheme="minorBidi" w:eastAsia="Arial" w:hAnsiTheme="minorBidi" w:cstheme="minorBidi"/>
          <w:b/>
          <w:bCs/>
          <w:color w:val="000000" w:themeColor="text1"/>
          <w:sz w:val="24"/>
          <w:szCs w:val="24"/>
        </w:rPr>
      </w:pPr>
      <w:bookmarkStart w:id="13" w:name="_Toc232779219"/>
      <w:r w:rsidRPr="009B1B1A">
        <w:rPr>
          <w:rFonts w:asciiTheme="minorBidi" w:eastAsia="Arial" w:hAnsiTheme="minorBidi" w:cstheme="minorBidi"/>
          <w:b/>
          <w:bCs/>
          <w:color w:val="000000" w:themeColor="text1"/>
          <w:sz w:val="24"/>
          <w:szCs w:val="24"/>
        </w:rPr>
        <w:t>7.4.1. Transaction Cost Economics and the MRV Barrier</w:t>
      </w:r>
      <w:bookmarkEnd w:id="13"/>
    </w:p>
    <w:p w14:paraId="5CB53427" w14:textId="5A309082"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 xml:space="preserve">Originating with Coase (1937) and </w:t>
      </w:r>
      <w:r w:rsidR="007B16B3" w:rsidRPr="00E07E9C">
        <w:rPr>
          <w:rFonts w:asciiTheme="minorBidi" w:eastAsia="Arial" w:hAnsiTheme="minorBidi"/>
          <w:sz w:val="24"/>
          <w:szCs w:val="24"/>
        </w:rPr>
        <w:t>formalized</w:t>
      </w:r>
      <w:r w:rsidRPr="00E07E9C">
        <w:rPr>
          <w:rFonts w:asciiTheme="minorBidi" w:eastAsia="Arial" w:hAnsiTheme="minorBidi"/>
          <w:sz w:val="24"/>
          <w:szCs w:val="24"/>
        </w:rPr>
        <w:t xml:space="preserve"> by Williamson (1981), TCE holds that market transactions carry costs beyond the price of the traded good. In the RVCM, MRV constitutes the ‘enforcement’ cost that must be paid to mint a tradeable carbon credit. When this fixed cost exceeds the revenue of the asset being verified, no rational market participant will transact. TCE directly predicts the aggregation solution: increasing transaction volume until per-unit costs become acceptable. This study’s model shows the threshold is crossed at approximately 30,000 m² of pooled floor area.</w:t>
      </w:r>
    </w:p>
    <w:p w14:paraId="2E9EA452" w14:textId="77777777" w:rsidR="004C49B6" w:rsidRPr="009B1B1A" w:rsidRDefault="004C49B6" w:rsidP="009B1B1A">
      <w:pPr>
        <w:pStyle w:val="Heading2"/>
        <w:bidi w:val="0"/>
        <w:spacing w:line="360" w:lineRule="auto"/>
        <w:rPr>
          <w:rFonts w:asciiTheme="minorBidi" w:eastAsia="Arial" w:hAnsiTheme="minorBidi" w:cstheme="minorBidi"/>
          <w:b/>
          <w:bCs/>
          <w:color w:val="000000" w:themeColor="text1"/>
          <w:sz w:val="24"/>
          <w:szCs w:val="24"/>
        </w:rPr>
      </w:pPr>
      <w:bookmarkStart w:id="14" w:name="_Toc232779220"/>
      <w:r w:rsidRPr="009B1B1A">
        <w:rPr>
          <w:rFonts w:asciiTheme="minorBidi" w:eastAsia="Arial" w:hAnsiTheme="minorBidi" w:cstheme="minorBidi"/>
          <w:b/>
          <w:bCs/>
          <w:color w:val="000000" w:themeColor="text1"/>
          <w:sz w:val="24"/>
          <w:szCs w:val="24"/>
        </w:rPr>
        <w:t>7.4.2. Agency Theory and the Split-Incentive Dilemma</w:t>
      </w:r>
      <w:bookmarkEnd w:id="14"/>
    </w:p>
    <w:p w14:paraId="1712A3B3" w14:textId="64FCBD1A"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 xml:space="preserve">Jensen and Meckling (1976) describe the principal-agent conflict arising when principals bear </w:t>
      </w:r>
      <w:r w:rsidR="007B16B3" w:rsidRPr="00E07E9C">
        <w:rPr>
          <w:rFonts w:asciiTheme="minorBidi" w:eastAsia="Arial" w:hAnsiTheme="minorBidi"/>
          <w:sz w:val="24"/>
          <w:szCs w:val="24"/>
        </w:rPr>
        <w:t>costs,</w:t>
      </w:r>
      <w:r w:rsidRPr="00E07E9C">
        <w:rPr>
          <w:rFonts w:asciiTheme="minorBidi" w:eastAsia="Arial" w:hAnsiTheme="minorBidi"/>
          <w:sz w:val="24"/>
          <w:szCs w:val="24"/>
        </w:rPr>
        <w:t xml:space="preserve"> but agents capture benefits. Al-Surf and Al-Fagih (2024) document this precisely in GCC commercial buildings: landlords invest CAPEX, tenants capture OPEX savings. Belaïd (2025) independently confirms the split incentive as one of three primary barriers to energy efficiency adoption across Saudi Arabia’s entire building sector, providing KSA-specific peer-reviewed confirmation at national scale. Carbon credits legally owned by the implementing entity regardless of lease structure constitute a structural bypass to this agency conflict.</w:t>
      </w:r>
    </w:p>
    <w:p w14:paraId="411ECF90" w14:textId="77777777" w:rsidR="004C49B6" w:rsidRPr="009B1B1A" w:rsidRDefault="004C49B6" w:rsidP="009B1B1A">
      <w:pPr>
        <w:pStyle w:val="Heading2"/>
        <w:bidi w:val="0"/>
        <w:spacing w:line="360" w:lineRule="auto"/>
        <w:rPr>
          <w:rFonts w:asciiTheme="minorBidi" w:eastAsia="Arial" w:hAnsiTheme="minorBidi" w:cstheme="minorBidi"/>
          <w:b/>
          <w:bCs/>
          <w:color w:val="000000" w:themeColor="text1"/>
          <w:sz w:val="24"/>
          <w:szCs w:val="24"/>
        </w:rPr>
      </w:pPr>
      <w:bookmarkStart w:id="15" w:name="_Toc232779221"/>
      <w:r w:rsidRPr="009B1B1A">
        <w:rPr>
          <w:rFonts w:asciiTheme="minorBidi" w:eastAsia="Arial" w:hAnsiTheme="minorBidi" w:cstheme="minorBidi"/>
          <w:b/>
          <w:bCs/>
          <w:color w:val="000000" w:themeColor="text1"/>
          <w:sz w:val="24"/>
          <w:szCs w:val="24"/>
        </w:rPr>
        <w:lastRenderedPageBreak/>
        <w:t>7.4.3. The Rebound Effect</w:t>
      </w:r>
      <w:bookmarkEnd w:id="15"/>
    </w:p>
    <w:p w14:paraId="560D905E" w14:textId="539CF1E1"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Belaïd and Mikayilov (2024) document a direct rebound effect of 41–71% in Saudi residential electricity efficiency improvements, partially eroding projected savings. Aldubyan, Belaïd and Gasim (2024) specifically examine this in Saudi cooling the dominant commercial energy end-use. This has direct implications for the MRV additionality requirements in this study: BMS-based real-time monitoring is essential not only for PoA registration but to detect and manage rebound behavior, ensuring carbon reductions are genuine and auditable.</w:t>
      </w:r>
    </w:p>
    <w:p w14:paraId="616843CF" w14:textId="77777777" w:rsidR="004C49B6" w:rsidRPr="00E07E9C" w:rsidRDefault="004C49B6" w:rsidP="00E07E9C">
      <w:pPr>
        <w:bidi w:val="0"/>
        <w:spacing w:before="60" w:after="60" w:line="360" w:lineRule="auto"/>
        <w:rPr>
          <w:rFonts w:asciiTheme="minorBidi" w:hAnsiTheme="minorBidi"/>
        </w:rPr>
      </w:pPr>
    </w:p>
    <w:p w14:paraId="77FE37FC" w14:textId="77777777" w:rsidR="004C49B6" w:rsidRPr="009B1B1A" w:rsidRDefault="004C49B6" w:rsidP="00E07E9C">
      <w:pPr>
        <w:pStyle w:val="Heading2"/>
        <w:bidi w:val="0"/>
        <w:spacing w:line="360" w:lineRule="auto"/>
        <w:rPr>
          <w:rFonts w:asciiTheme="minorBidi" w:hAnsiTheme="minorBidi" w:cstheme="minorBidi"/>
          <w:color w:val="000000" w:themeColor="text1"/>
          <w:sz w:val="24"/>
          <w:szCs w:val="24"/>
        </w:rPr>
      </w:pPr>
      <w:bookmarkStart w:id="16" w:name="_Toc232779222"/>
      <w:r w:rsidRPr="009B1B1A">
        <w:rPr>
          <w:rFonts w:asciiTheme="minorBidi" w:eastAsia="Arial" w:hAnsiTheme="minorBidi" w:cstheme="minorBidi"/>
          <w:b/>
          <w:bCs/>
          <w:color w:val="000000" w:themeColor="text1"/>
          <w:sz w:val="24"/>
          <w:szCs w:val="24"/>
        </w:rPr>
        <w:t>7.5. CBAM, International Demand, and Carbon Asset Appreciation</w:t>
      </w:r>
      <w:bookmarkEnd w:id="16"/>
    </w:p>
    <w:p w14:paraId="6EB6ABF1" w14:textId="1AE99FFE"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 xml:space="preserve">McKinsey (2025) projects that EU CBAM enforcement will create intense demand for high-integrity voluntary offsets from </w:t>
      </w:r>
      <w:r w:rsidR="007B16B3" w:rsidRPr="00E07E9C">
        <w:rPr>
          <w:rFonts w:asciiTheme="minorBidi" w:eastAsia="Arial" w:hAnsiTheme="minorBidi"/>
          <w:sz w:val="24"/>
          <w:szCs w:val="24"/>
        </w:rPr>
        <w:t>Global</w:t>
      </w:r>
      <w:r w:rsidRPr="00E07E9C">
        <w:rPr>
          <w:rFonts w:asciiTheme="minorBidi" w:eastAsia="Arial" w:hAnsiTheme="minorBidi"/>
          <w:sz w:val="24"/>
          <w:szCs w:val="24"/>
        </w:rPr>
        <w:t xml:space="preserve"> South. The IMF (2025) classifies all six GCC members as particularly exposed to CBAM’s spillover effects, forecasting an annual welfare loss of USD 106 billion across developing countries by 2030. He, Zhai and Ma (2025), using a recursive dynamic CGE model, confirm that CBAM widens GDP gaps between developed and developing economies. The World Economic Forum (2024) classifies verified carbon credits as an emerging asset class with supply constraints and price appreciation characteristics. For Saudi FM companies, generating and holding RVCMC credits converts a structural CBAM exposure into a tradeable financial asset — fully consistent with Vision 2030’s new-economy diversification agenda.</w:t>
      </w:r>
    </w:p>
    <w:p w14:paraId="70EF1DE1" w14:textId="77777777" w:rsidR="004C49B6" w:rsidRDefault="004C49B6" w:rsidP="00E07E9C">
      <w:pPr>
        <w:bidi w:val="0"/>
        <w:spacing w:before="60" w:after="60" w:line="360" w:lineRule="auto"/>
        <w:rPr>
          <w:rFonts w:asciiTheme="minorBidi" w:hAnsiTheme="minorBidi"/>
        </w:rPr>
      </w:pPr>
    </w:p>
    <w:p w14:paraId="19725BC5" w14:textId="77777777" w:rsidR="009B1B1A" w:rsidRDefault="009B1B1A" w:rsidP="009B1B1A">
      <w:pPr>
        <w:bidi w:val="0"/>
        <w:spacing w:before="60" w:after="60" w:line="360" w:lineRule="auto"/>
        <w:rPr>
          <w:rFonts w:asciiTheme="minorBidi" w:hAnsiTheme="minorBidi"/>
        </w:rPr>
      </w:pPr>
    </w:p>
    <w:p w14:paraId="09EDAA05" w14:textId="77777777" w:rsidR="009B1B1A" w:rsidRDefault="009B1B1A" w:rsidP="009B1B1A">
      <w:pPr>
        <w:bidi w:val="0"/>
        <w:spacing w:before="60" w:after="60" w:line="360" w:lineRule="auto"/>
        <w:rPr>
          <w:rFonts w:asciiTheme="minorBidi" w:hAnsiTheme="minorBidi"/>
        </w:rPr>
      </w:pPr>
    </w:p>
    <w:p w14:paraId="20B8F490" w14:textId="77777777" w:rsidR="009B1B1A" w:rsidRDefault="009B1B1A" w:rsidP="009B1B1A">
      <w:pPr>
        <w:bidi w:val="0"/>
        <w:spacing w:before="60" w:after="60" w:line="360" w:lineRule="auto"/>
        <w:rPr>
          <w:rFonts w:asciiTheme="minorBidi" w:hAnsiTheme="minorBidi"/>
        </w:rPr>
      </w:pPr>
    </w:p>
    <w:p w14:paraId="3E4B35B5" w14:textId="77777777" w:rsidR="009B1B1A" w:rsidRDefault="009B1B1A" w:rsidP="009B1B1A">
      <w:pPr>
        <w:bidi w:val="0"/>
        <w:spacing w:before="60" w:after="60" w:line="360" w:lineRule="auto"/>
        <w:rPr>
          <w:rFonts w:asciiTheme="minorBidi" w:hAnsiTheme="minorBidi"/>
        </w:rPr>
      </w:pPr>
    </w:p>
    <w:p w14:paraId="3A94BCF0" w14:textId="77777777" w:rsidR="009B1B1A" w:rsidRDefault="009B1B1A" w:rsidP="009B1B1A">
      <w:pPr>
        <w:bidi w:val="0"/>
        <w:spacing w:before="60" w:after="60" w:line="360" w:lineRule="auto"/>
        <w:rPr>
          <w:rFonts w:asciiTheme="minorBidi" w:hAnsiTheme="minorBidi"/>
        </w:rPr>
      </w:pPr>
    </w:p>
    <w:p w14:paraId="762A51FA" w14:textId="77777777" w:rsidR="009B1B1A" w:rsidRDefault="009B1B1A" w:rsidP="009B1B1A">
      <w:pPr>
        <w:bidi w:val="0"/>
        <w:spacing w:before="60" w:after="60" w:line="360" w:lineRule="auto"/>
        <w:rPr>
          <w:rFonts w:asciiTheme="minorBidi" w:hAnsiTheme="minorBidi"/>
        </w:rPr>
      </w:pPr>
    </w:p>
    <w:p w14:paraId="75E25BCE" w14:textId="77777777" w:rsidR="009B1B1A" w:rsidRDefault="009B1B1A" w:rsidP="009B1B1A">
      <w:pPr>
        <w:bidi w:val="0"/>
        <w:spacing w:before="60" w:after="60" w:line="360" w:lineRule="auto"/>
        <w:rPr>
          <w:rFonts w:asciiTheme="minorBidi" w:hAnsiTheme="minorBidi"/>
        </w:rPr>
      </w:pPr>
    </w:p>
    <w:p w14:paraId="1943FB45" w14:textId="77777777" w:rsidR="009B1B1A" w:rsidRDefault="009B1B1A" w:rsidP="009B1B1A">
      <w:pPr>
        <w:bidi w:val="0"/>
        <w:spacing w:before="60" w:after="60" w:line="360" w:lineRule="auto"/>
        <w:rPr>
          <w:rFonts w:asciiTheme="minorBidi" w:hAnsiTheme="minorBidi"/>
        </w:rPr>
      </w:pPr>
    </w:p>
    <w:p w14:paraId="71E88742" w14:textId="77777777" w:rsidR="009B1B1A" w:rsidRDefault="009B1B1A" w:rsidP="009B1B1A">
      <w:pPr>
        <w:bidi w:val="0"/>
        <w:spacing w:before="60" w:after="60" w:line="360" w:lineRule="auto"/>
        <w:rPr>
          <w:rFonts w:asciiTheme="minorBidi" w:hAnsiTheme="minorBidi"/>
        </w:rPr>
      </w:pPr>
    </w:p>
    <w:p w14:paraId="030C5BF7" w14:textId="77777777" w:rsidR="009B1B1A" w:rsidRDefault="009B1B1A" w:rsidP="009B1B1A">
      <w:pPr>
        <w:bidi w:val="0"/>
        <w:spacing w:before="60" w:after="60" w:line="360" w:lineRule="auto"/>
        <w:rPr>
          <w:rFonts w:asciiTheme="minorBidi" w:hAnsiTheme="minorBidi"/>
        </w:rPr>
      </w:pPr>
    </w:p>
    <w:p w14:paraId="02332197" w14:textId="77777777" w:rsidR="009B1B1A" w:rsidRDefault="009B1B1A" w:rsidP="009B1B1A">
      <w:pPr>
        <w:bidi w:val="0"/>
        <w:spacing w:before="60" w:after="60" w:line="360" w:lineRule="auto"/>
        <w:rPr>
          <w:rFonts w:asciiTheme="minorBidi" w:hAnsiTheme="minorBidi"/>
        </w:rPr>
      </w:pPr>
    </w:p>
    <w:p w14:paraId="30A07C2B" w14:textId="77777777" w:rsidR="009B1B1A" w:rsidRPr="00E07E9C" w:rsidRDefault="009B1B1A" w:rsidP="009B1B1A">
      <w:pPr>
        <w:bidi w:val="0"/>
        <w:spacing w:before="60" w:after="60" w:line="360" w:lineRule="auto"/>
        <w:rPr>
          <w:rFonts w:asciiTheme="minorBidi" w:hAnsiTheme="minorBidi"/>
        </w:rPr>
      </w:pPr>
    </w:p>
    <w:p w14:paraId="205A3F25" w14:textId="77777777" w:rsidR="004C49B6" w:rsidRPr="00E07E9C" w:rsidRDefault="004C49B6" w:rsidP="00E07E9C">
      <w:pPr>
        <w:pStyle w:val="Heading2"/>
        <w:bidi w:val="0"/>
        <w:spacing w:line="360" w:lineRule="auto"/>
        <w:rPr>
          <w:rFonts w:asciiTheme="minorBidi" w:hAnsiTheme="minorBidi" w:cstheme="minorBidi"/>
        </w:rPr>
      </w:pPr>
      <w:bookmarkStart w:id="17" w:name="_Toc232779223"/>
      <w:r w:rsidRPr="00E07E9C">
        <w:rPr>
          <w:rFonts w:asciiTheme="minorBidi" w:eastAsia="Arial" w:hAnsiTheme="minorBidi" w:cstheme="minorBidi"/>
          <w:b/>
          <w:bCs/>
        </w:rPr>
        <w:lastRenderedPageBreak/>
        <w:t>7.6. Research Gap Matrix</w:t>
      </w:r>
      <w:bookmarkEnd w:id="17"/>
    </w:p>
    <w:p w14:paraId="41353267" w14:textId="77777777" w:rsidR="004C49B6" w:rsidRPr="00E07E9C" w:rsidRDefault="004C49B6" w:rsidP="00E07E9C">
      <w:pPr>
        <w:bidi w:val="0"/>
        <w:spacing w:before="60" w:after="60" w:line="360" w:lineRule="auto"/>
        <w:rPr>
          <w:rFonts w:asciiTheme="minorBidi" w:hAnsiTheme="minorBidi"/>
        </w:rPr>
      </w:pPr>
    </w:p>
    <w:tbl>
      <w:tblPr>
        <w:tblW w:w="947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23"/>
        <w:gridCol w:w="1084"/>
        <w:gridCol w:w="962"/>
        <w:gridCol w:w="1536"/>
        <w:gridCol w:w="900"/>
        <w:gridCol w:w="877"/>
        <w:gridCol w:w="1194"/>
      </w:tblGrid>
      <w:tr w:rsidR="004C49B6" w:rsidRPr="00E07E9C" w14:paraId="77E82CF0" w14:textId="77777777" w:rsidTr="009B1B1A">
        <w:tc>
          <w:tcPr>
            <w:tcW w:w="292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30DB6998"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Study</w:t>
            </w:r>
          </w:p>
        </w:tc>
        <w:tc>
          <w:tcPr>
            <w:tcW w:w="1084"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6C6EAD54"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KSA-Specific</w:t>
            </w:r>
          </w:p>
        </w:tc>
        <w:tc>
          <w:tcPr>
            <w:tcW w:w="962"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6CFC69CC"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MRV Barrier</w:t>
            </w:r>
          </w:p>
        </w:tc>
        <w:tc>
          <w:tcPr>
            <w:tcW w:w="153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2A73A1BC"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Aggregation</w:t>
            </w:r>
          </w:p>
        </w:tc>
        <w:tc>
          <w:tcPr>
            <w:tcW w:w="9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31106F0E"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CBAM</w:t>
            </w:r>
          </w:p>
        </w:tc>
        <w:tc>
          <w:tcPr>
            <w:tcW w:w="877"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5E814A0B"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V2030</w:t>
            </w:r>
          </w:p>
        </w:tc>
        <w:tc>
          <w:tcPr>
            <w:tcW w:w="1194"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21027FA9"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Financial Model</w:t>
            </w:r>
          </w:p>
        </w:tc>
      </w:tr>
      <w:tr w:rsidR="004C49B6" w:rsidRPr="00E07E9C" w14:paraId="2BDDCF8A"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110FC62"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Luomi et al., 2025 (KAPSARC)</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23AF058F"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C74FD25"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7F201EC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E4983D3"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3552ECBA"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49506274"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138E2F93"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76F9AF9"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Belaïd, 2025 (KAPSARC/Nature)</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0F994B5B"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6EC9025"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3C6283C1"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2A655250"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0C13A0AE"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6807EFFA"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26F98391"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0C3E781"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Krarti et al., 2017 (KAPSARC)</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0695162F"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2080C625"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73E2E58"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7784A295"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365E2C4F"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55D6A80B"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324C979C"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D3915C9"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Al-Surf &amp; Al-Fagih, 2024</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22059E22"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4C903739"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53A35A60"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3CCEF875"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AF2FB"/>
            <w:tcMar>
              <w:top w:w="80" w:type="dxa"/>
              <w:left w:w="120" w:type="dxa"/>
              <w:bottom w:w="80" w:type="dxa"/>
              <w:right w:w="120" w:type="dxa"/>
            </w:tcMar>
            <w:vAlign w:val="center"/>
          </w:tcPr>
          <w:p w14:paraId="6B1E6356" w14:textId="77777777" w:rsidR="004C49B6" w:rsidRPr="00E07E9C" w:rsidRDefault="004C49B6" w:rsidP="00E07E9C">
            <w:pPr>
              <w:bidi w:val="0"/>
              <w:spacing w:before="50" w:after="50" w:line="360" w:lineRule="auto"/>
              <w:jc w:val="center"/>
              <w:rPr>
                <w:rFonts w:asciiTheme="minorBidi" w:hAnsiTheme="minorBidi"/>
              </w:rPr>
            </w:pPr>
            <w:r w:rsidRPr="00E07E9C">
              <w:rPr>
                <w:rFonts w:ascii="Cambria Math" w:eastAsia="Arial" w:hAnsi="Cambria Math" w:cs="Cambria Math"/>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7D5DB59"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5FC0A237"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F6110F1"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Belaïd &amp; Mikayilov, 2024 (KAPSARC)</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09D3BC27"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AE5EC67"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1AAE2CB"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3CB4224"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77B521FD"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7AE5DF9E"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638E3F3B"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C1BEE85"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World Bank, 2025</w:t>
            </w:r>
          </w:p>
        </w:tc>
        <w:tc>
          <w:tcPr>
            <w:tcW w:w="108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569A5CA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7AE141B7"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2EA2FB8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3D9808D7"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C97ECB0"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3B5FC17A"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02AF650D"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31CB96F"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PwC Middle East, 2024</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6002D2F4"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EAF2FB"/>
            <w:tcMar>
              <w:top w:w="80" w:type="dxa"/>
              <w:left w:w="120" w:type="dxa"/>
              <w:bottom w:w="80" w:type="dxa"/>
              <w:right w:w="120" w:type="dxa"/>
            </w:tcMar>
            <w:vAlign w:val="center"/>
          </w:tcPr>
          <w:p w14:paraId="6763CF9A" w14:textId="77777777" w:rsidR="004C49B6" w:rsidRPr="00E07E9C" w:rsidRDefault="004C49B6" w:rsidP="00E07E9C">
            <w:pPr>
              <w:bidi w:val="0"/>
              <w:spacing w:before="50" w:after="50" w:line="360" w:lineRule="auto"/>
              <w:jc w:val="center"/>
              <w:rPr>
                <w:rFonts w:asciiTheme="minorBidi" w:hAnsiTheme="minorBidi"/>
              </w:rPr>
            </w:pPr>
            <w:r w:rsidRPr="00E07E9C">
              <w:rPr>
                <w:rFonts w:ascii="Cambria Math" w:eastAsia="Arial" w:hAnsi="Cambria Math" w:cs="Cambria Math"/>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7B203589"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DB2CCDF"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6F6A437A"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5AAB8F90"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63F85032"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DC4601E"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McKinsey, 2025</w:t>
            </w:r>
          </w:p>
        </w:tc>
        <w:tc>
          <w:tcPr>
            <w:tcW w:w="108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1A821D1"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7A25FAE8"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E17880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07CA1DD5"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AF2FB"/>
            <w:tcMar>
              <w:top w:w="80" w:type="dxa"/>
              <w:left w:w="120" w:type="dxa"/>
              <w:bottom w:w="80" w:type="dxa"/>
              <w:right w:w="120" w:type="dxa"/>
            </w:tcMar>
            <w:vAlign w:val="center"/>
          </w:tcPr>
          <w:p w14:paraId="6FE72B13" w14:textId="77777777" w:rsidR="004C49B6" w:rsidRPr="00E07E9C" w:rsidRDefault="004C49B6" w:rsidP="00E07E9C">
            <w:pPr>
              <w:bidi w:val="0"/>
              <w:spacing w:before="50" w:after="50" w:line="360" w:lineRule="auto"/>
              <w:jc w:val="center"/>
              <w:rPr>
                <w:rFonts w:asciiTheme="minorBidi" w:hAnsiTheme="minorBidi"/>
              </w:rPr>
            </w:pPr>
            <w:r w:rsidRPr="00E07E9C">
              <w:rPr>
                <w:rFonts w:ascii="Cambria Math" w:eastAsia="Arial" w:hAnsi="Cambria Math" w:cs="Cambria Math"/>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26C68AC"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1F8E0C77"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8297378"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IMF Working Paper, 2025</w:t>
            </w:r>
          </w:p>
        </w:tc>
        <w:tc>
          <w:tcPr>
            <w:tcW w:w="1084" w:type="dxa"/>
            <w:tcBorders>
              <w:top w:val="single" w:sz="1" w:space="0" w:color="CCCCCC"/>
              <w:left w:val="single" w:sz="1" w:space="0" w:color="CCCCCC"/>
              <w:bottom w:val="single" w:sz="1" w:space="0" w:color="CCCCCC"/>
              <w:right w:val="single" w:sz="1" w:space="0" w:color="CCCCCC"/>
            </w:tcBorders>
            <w:shd w:val="clear" w:color="auto" w:fill="EAF2FB"/>
            <w:tcMar>
              <w:top w:w="80" w:type="dxa"/>
              <w:left w:w="120" w:type="dxa"/>
              <w:bottom w:w="80" w:type="dxa"/>
              <w:right w:w="120" w:type="dxa"/>
            </w:tcMar>
            <w:vAlign w:val="center"/>
          </w:tcPr>
          <w:p w14:paraId="793F8C3F" w14:textId="77777777" w:rsidR="004C49B6" w:rsidRPr="00E07E9C" w:rsidRDefault="004C49B6" w:rsidP="00E07E9C">
            <w:pPr>
              <w:bidi w:val="0"/>
              <w:spacing w:before="50" w:after="50" w:line="360" w:lineRule="auto"/>
              <w:jc w:val="center"/>
              <w:rPr>
                <w:rFonts w:asciiTheme="minorBidi" w:hAnsiTheme="minorBidi"/>
              </w:rPr>
            </w:pPr>
            <w:r w:rsidRPr="00E07E9C">
              <w:rPr>
                <w:rFonts w:ascii="Cambria Math" w:eastAsia="Arial" w:hAnsi="Cambria Math" w:cs="Cambria Math"/>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5F43BEF"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55ABFACB"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41C115B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276ACA6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46E37861"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5C52CD19" w14:textId="77777777" w:rsidTr="009B1B1A">
        <w:tc>
          <w:tcPr>
            <w:tcW w:w="292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780E1F0"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JLL Middle East, 2024</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16686A37"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3EBF7208"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518683A2"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3074B8D1"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08E2F109"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0545A83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color w:val="000000"/>
              </w:rPr>
              <w:t>✗</w:t>
            </w:r>
          </w:p>
        </w:tc>
      </w:tr>
      <w:tr w:rsidR="004C49B6" w:rsidRPr="00E07E9C" w14:paraId="4F27CB0F" w14:textId="77777777" w:rsidTr="009B1B1A">
        <w:tc>
          <w:tcPr>
            <w:tcW w:w="2923"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6F931BBC" w14:textId="77777777"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b/>
                <w:bCs/>
                <w:sz w:val="21"/>
                <w:szCs w:val="21"/>
              </w:rPr>
              <w:t>THIS STUDY</w:t>
            </w:r>
          </w:p>
        </w:tc>
        <w:tc>
          <w:tcPr>
            <w:tcW w:w="108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799BEB7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62"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6DA50AEC"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536"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6FA0DFB7"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900"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09B3638C"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877"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41FEB346"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c>
          <w:tcPr>
            <w:tcW w:w="1194"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63304DDC" w14:textId="77777777" w:rsidR="004C49B6" w:rsidRPr="00E07E9C" w:rsidRDefault="004C49B6" w:rsidP="00E07E9C">
            <w:pPr>
              <w:bidi w:val="0"/>
              <w:spacing w:before="50" w:after="50" w:line="360" w:lineRule="auto"/>
              <w:jc w:val="center"/>
              <w:rPr>
                <w:rFonts w:asciiTheme="minorBidi" w:hAnsiTheme="minorBidi"/>
              </w:rPr>
            </w:pPr>
            <w:r w:rsidRPr="00E07E9C">
              <w:rPr>
                <w:rFonts w:ascii="Segoe UI Symbol" w:eastAsia="Arial" w:hAnsi="Segoe UI Symbol" w:cs="Segoe UI Symbol"/>
                <w:b/>
                <w:bCs/>
                <w:color w:val="000000"/>
              </w:rPr>
              <w:t>✓</w:t>
            </w:r>
          </w:p>
        </w:tc>
      </w:tr>
    </w:tbl>
    <w:p w14:paraId="4F67E9CB" w14:textId="77777777" w:rsidR="004C49B6" w:rsidRPr="00E07E9C" w:rsidRDefault="004C49B6" w:rsidP="00E07E9C">
      <w:pPr>
        <w:bidi w:val="0"/>
        <w:spacing w:before="60" w:line="360" w:lineRule="auto"/>
        <w:jc w:val="center"/>
        <w:rPr>
          <w:rFonts w:asciiTheme="minorBidi" w:eastAsia="Arial" w:hAnsiTheme="minorBidi"/>
          <w:i/>
          <w:iCs/>
          <w:color w:val="555555"/>
          <w:sz w:val="20"/>
          <w:szCs w:val="20"/>
        </w:rPr>
      </w:pPr>
    </w:p>
    <w:p w14:paraId="21F09899" w14:textId="0990157A" w:rsidR="004C49B6" w:rsidRDefault="004C49B6" w:rsidP="009B1B1A">
      <w:pPr>
        <w:bidi w:val="0"/>
        <w:spacing w:before="60" w:line="360" w:lineRule="auto"/>
        <w:jc w:val="center"/>
        <w:rPr>
          <w:rFonts w:asciiTheme="minorBidi" w:eastAsia="Arial" w:hAnsiTheme="minorBidi"/>
          <w:i/>
          <w:iCs/>
          <w:color w:val="555555"/>
          <w:sz w:val="20"/>
          <w:szCs w:val="20"/>
        </w:rPr>
      </w:pPr>
      <w:r w:rsidRPr="00E07E9C">
        <w:rPr>
          <w:rFonts w:asciiTheme="minorBidi" w:eastAsia="Arial" w:hAnsiTheme="minorBidi"/>
          <w:i/>
          <w:iCs/>
          <w:color w:val="555555"/>
          <w:sz w:val="20"/>
          <w:szCs w:val="20"/>
        </w:rPr>
        <w:t>Table 2: Comparative Literature Gap Matrix (</w:t>
      </w:r>
      <w:r w:rsidRPr="00E07E9C">
        <w:rPr>
          <w:rFonts w:ascii="Segoe UI Symbol" w:eastAsia="Arial" w:hAnsi="Segoe UI Symbol" w:cs="Segoe UI Symbol"/>
          <w:i/>
          <w:iCs/>
          <w:color w:val="555555"/>
          <w:sz w:val="20"/>
          <w:szCs w:val="20"/>
        </w:rPr>
        <w:t>✓</w:t>
      </w:r>
      <w:r w:rsidRPr="00E07E9C">
        <w:rPr>
          <w:rFonts w:asciiTheme="minorBidi" w:eastAsia="Arial" w:hAnsiTheme="minorBidi"/>
          <w:i/>
          <w:iCs/>
          <w:color w:val="555555"/>
          <w:sz w:val="20"/>
          <w:szCs w:val="20"/>
        </w:rPr>
        <w:t xml:space="preserve"> = addresses; </w:t>
      </w:r>
      <w:r w:rsidRPr="00E07E9C">
        <w:rPr>
          <w:rFonts w:ascii="Cambria Math" w:eastAsia="Arial" w:hAnsi="Cambria Math" w:cs="Cambria Math"/>
          <w:i/>
          <w:iCs/>
          <w:color w:val="555555"/>
          <w:sz w:val="20"/>
          <w:szCs w:val="20"/>
        </w:rPr>
        <w:t>∼</w:t>
      </w:r>
      <w:r w:rsidRPr="00E07E9C">
        <w:rPr>
          <w:rFonts w:asciiTheme="minorBidi" w:eastAsia="Arial" w:hAnsiTheme="minorBidi"/>
          <w:i/>
          <w:iCs/>
          <w:color w:val="555555"/>
          <w:sz w:val="20"/>
          <w:szCs w:val="20"/>
        </w:rPr>
        <w:t xml:space="preserve"> = partially; </w:t>
      </w:r>
      <w:r w:rsidRPr="00E07E9C">
        <w:rPr>
          <w:rFonts w:ascii="Segoe UI Symbol" w:eastAsia="Arial" w:hAnsi="Segoe UI Symbol" w:cs="Segoe UI Symbol"/>
          <w:i/>
          <w:iCs/>
          <w:color w:val="555555"/>
          <w:sz w:val="20"/>
          <w:szCs w:val="20"/>
        </w:rPr>
        <w:t>✗</w:t>
      </w:r>
      <w:r w:rsidRPr="00E07E9C">
        <w:rPr>
          <w:rFonts w:asciiTheme="minorBidi" w:eastAsia="Arial" w:hAnsiTheme="minorBidi"/>
          <w:i/>
          <w:iCs/>
          <w:color w:val="555555"/>
          <w:sz w:val="20"/>
          <w:szCs w:val="20"/>
        </w:rPr>
        <w:t> = does not address)</w:t>
      </w:r>
    </w:p>
    <w:p w14:paraId="1E1EAF74" w14:textId="77777777" w:rsidR="009B1B1A" w:rsidRPr="009B1B1A" w:rsidRDefault="009B1B1A" w:rsidP="009B1B1A">
      <w:pPr>
        <w:bidi w:val="0"/>
        <w:spacing w:before="60" w:line="360" w:lineRule="auto"/>
        <w:jc w:val="center"/>
        <w:rPr>
          <w:rFonts w:asciiTheme="minorBidi" w:hAnsiTheme="minorBidi"/>
        </w:rPr>
      </w:pPr>
    </w:p>
    <w:p w14:paraId="2C20ECE6" w14:textId="7A8D833C"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r w:rsidRPr="00E07E9C">
        <w:rPr>
          <w:rFonts w:asciiTheme="minorBidi" w:hAnsiTheme="minorBidi" w:cstheme="minorBidi"/>
          <w:b/>
          <w:bCs/>
          <w:color w:val="000000" w:themeColor="text1"/>
          <w:sz w:val="32"/>
          <w:szCs w:val="32"/>
        </w:rPr>
        <w:lastRenderedPageBreak/>
        <w:t>Theoretical Framework</w:t>
      </w:r>
      <w:bookmarkEnd w:id="8"/>
    </w:p>
    <w:p w14:paraId="2DC459C4" w14:textId="77777777"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This research is anchored in two complementary economic theories. Together they explain both the market failure and the proposed solution, and their interaction defines the conceptual model that guides all financial modelling.</w:t>
      </w:r>
    </w:p>
    <w:p w14:paraId="60B4831A" w14:textId="77777777" w:rsidR="004C49B6" w:rsidRPr="00E07E9C" w:rsidRDefault="004C49B6" w:rsidP="00E07E9C">
      <w:pPr>
        <w:bidi w:val="0"/>
        <w:spacing w:before="60" w:after="60" w:line="360" w:lineRule="auto"/>
        <w:rPr>
          <w:rFonts w:asciiTheme="minorBidi" w:hAnsiTheme="minorBidi"/>
        </w:rPr>
      </w:pPr>
    </w:p>
    <w:p w14:paraId="0816608E" w14:textId="77777777" w:rsidR="004C49B6" w:rsidRPr="009B1B1A"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18" w:name="_Toc232779225"/>
      <w:r w:rsidRPr="009B1B1A">
        <w:rPr>
          <w:rFonts w:asciiTheme="minorBidi" w:eastAsia="Arial" w:hAnsiTheme="minorBidi" w:cstheme="minorBidi"/>
          <w:b/>
          <w:bCs/>
          <w:color w:val="000000" w:themeColor="text1"/>
          <w:sz w:val="28"/>
          <w:szCs w:val="28"/>
        </w:rPr>
        <w:t>8.1. Transaction Cost Economics — Why the Market Fails</w:t>
      </w:r>
      <w:bookmarkEnd w:id="18"/>
    </w:p>
    <w:p w14:paraId="5D82CE79" w14:textId="4B3DFE47"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 xml:space="preserve">Coase (1937) established that market participation carries costs beyond the price of the traded good; Williamson (1981) </w:t>
      </w:r>
      <w:r w:rsidR="007B16B3" w:rsidRPr="00E07E9C">
        <w:rPr>
          <w:rFonts w:asciiTheme="minorBidi" w:eastAsia="Arial" w:hAnsiTheme="minorBidi"/>
          <w:sz w:val="24"/>
          <w:szCs w:val="24"/>
        </w:rPr>
        <w:t>formalized</w:t>
      </w:r>
      <w:r w:rsidRPr="00E07E9C">
        <w:rPr>
          <w:rFonts w:asciiTheme="minorBidi" w:eastAsia="Arial" w:hAnsiTheme="minorBidi"/>
          <w:sz w:val="24"/>
          <w:szCs w:val="24"/>
        </w:rPr>
        <w:t xml:space="preserve"> these as search, negotiation, and enforcement costs. In the RVCM, enforcement takes the form of MRV: the independent verification that emission reductions are real, additional, and permanent. For a 10,000 m² building, the enforcement cost (SAR 60,000) exceeds the asset value (SAR 22,838). TCE predicts the market will not </w:t>
      </w:r>
      <w:proofErr w:type="gramStart"/>
      <w:r w:rsidRPr="00E07E9C">
        <w:rPr>
          <w:rFonts w:asciiTheme="minorBidi" w:eastAsia="Arial" w:hAnsiTheme="minorBidi"/>
          <w:sz w:val="24"/>
          <w:szCs w:val="24"/>
        </w:rPr>
        <w:t>clear</w:t>
      </w:r>
      <w:proofErr w:type="gramEnd"/>
      <w:r w:rsidRPr="00E07E9C">
        <w:rPr>
          <w:rFonts w:asciiTheme="minorBidi" w:eastAsia="Arial" w:hAnsiTheme="minorBidi"/>
          <w:sz w:val="24"/>
          <w:szCs w:val="24"/>
        </w:rPr>
        <w:t xml:space="preserve"> and it does not. TCE also predicts the correction: aggregate transactions until per-unit costs fall below per-unit value. The aggregation model tested in this study is precisely this Coasian correction, applied to the Saudi carbon market.</w:t>
      </w:r>
    </w:p>
    <w:p w14:paraId="7E37DC35" w14:textId="77777777" w:rsidR="004C49B6" w:rsidRPr="00E07E9C" w:rsidRDefault="004C49B6" w:rsidP="00E07E9C">
      <w:pPr>
        <w:bidi w:val="0"/>
        <w:spacing w:before="60" w:after="60" w:line="360" w:lineRule="auto"/>
        <w:rPr>
          <w:rFonts w:asciiTheme="minorBidi" w:hAnsiTheme="minorBidi"/>
        </w:rPr>
      </w:pPr>
    </w:p>
    <w:p w14:paraId="4007DECE" w14:textId="77777777" w:rsidR="004C49B6" w:rsidRPr="009B1B1A"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19" w:name="_Toc232779226"/>
      <w:r w:rsidRPr="009B1B1A">
        <w:rPr>
          <w:rFonts w:asciiTheme="minorBidi" w:eastAsia="Arial" w:hAnsiTheme="minorBidi" w:cstheme="minorBidi"/>
          <w:b/>
          <w:bCs/>
          <w:color w:val="000000" w:themeColor="text1"/>
          <w:sz w:val="28"/>
          <w:szCs w:val="28"/>
        </w:rPr>
        <w:t>8.2. Agency Theory — Why Landlords Do Not Invest</w:t>
      </w:r>
      <w:bookmarkEnd w:id="19"/>
    </w:p>
    <w:p w14:paraId="08FB60ED" w14:textId="64D2DCEA"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 xml:space="preserve">Jensen and Meckling (1976) </w:t>
      </w:r>
      <w:r w:rsidR="007B16B3" w:rsidRPr="00E07E9C">
        <w:rPr>
          <w:rFonts w:asciiTheme="minorBidi" w:eastAsia="Arial" w:hAnsiTheme="minorBidi"/>
          <w:sz w:val="24"/>
          <w:szCs w:val="24"/>
        </w:rPr>
        <w:t>formalize</w:t>
      </w:r>
      <w:r w:rsidRPr="00E07E9C">
        <w:rPr>
          <w:rFonts w:asciiTheme="minorBidi" w:eastAsia="Arial" w:hAnsiTheme="minorBidi"/>
          <w:sz w:val="24"/>
          <w:szCs w:val="24"/>
        </w:rPr>
        <w:t xml:space="preserve"> the conflict when principals bear </w:t>
      </w:r>
      <w:r w:rsidR="007B16B3" w:rsidRPr="00E07E9C">
        <w:rPr>
          <w:rFonts w:asciiTheme="minorBidi" w:eastAsia="Arial" w:hAnsiTheme="minorBidi"/>
          <w:sz w:val="24"/>
          <w:szCs w:val="24"/>
        </w:rPr>
        <w:t>costs,</w:t>
      </w:r>
      <w:r w:rsidRPr="00E07E9C">
        <w:rPr>
          <w:rFonts w:asciiTheme="minorBidi" w:eastAsia="Arial" w:hAnsiTheme="minorBidi"/>
          <w:sz w:val="24"/>
          <w:szCs w:val="24"/>
        </w:rPr>
        <w:t xml:space="preserve"> but agents capture benefits. In GCC multi-tenant commercial buildings, landlords invest CAPEX for energy efficiency; tenants capture OPEX savings through lower utility bills. This split incentive has been confirmed empirically in the Saudi context (Al-Surf &amp; Al-Fagih, 2024; Belaïd, 2025). Carbon monetization offers a structural bypass: verified credits are legally owned by the entity that implements the emission reduction the landlord or FM company regardless of lease billing arrangements. This creates a direct principal-level revenue stream that Vision 2030’s SGI incentive architecture is designed to amplify through targeted MRV subsidies.</w:t>
      </w:r>
    </w:p>
    <w:p w14:paraId="2EC220A4" w14:textId="77777777" w:rsidR="004C49B6" w:rsidRDefault="004C49B6" w:rsidP="00E07E9C">
      <w:pPr>
        <w:bidi w:val="0"/>
        <w:spacing w:before="60" w:after="60" w:line="360" w:lineRule="auto"/>
        <w:rPr>
          <w:rFonts w:asciiTheme="minorBidi" w:hAnsiTheme="minorBidi"/>
        </w:rPr>
      </w:pPr>
    </w:p>
    <w:p w14:paraId="1531B324" w14:textId="77777777" w:rsidR="009B1B1A" w:rsidRDefault="009B1B1A" w:rsidP="009B1B1A">
      <w:pPr>
        <w:bidi w:val="0"/>
        <w:spacing w:before="60" w:after="60" w:line="360" w:lineRule="auto"/>
        <w:rPr>
          <w:rFonts w:asciiTheme="minorBidi" w:hAnsiTheme="minorBidi"/>
        </w:rPr>
      </w:pPr>
    </w:p>
    <w:p w14:paraId="0403CA28" w14:textId="77777777" w:rsidR="009B1B1A" w:rsidRDefault="009B1B1A" w:rsidP="009B1B1A">
      <w:pPr>
        <w:bidi w:val="0"/>
        <w:spacing w:before="60" w:after="60" w:line="360" w:lineRule="auto"/>
        <w:rPr>
          <w:rFonts w:asciiTheme="minorBidi" w:hAnsiTheme="minorBidi"/>
        </w:rPr>
      </w:pPr>
    </w:p>
    <w:p w14:paraId="2A205CD0" w14:textId="77777777" w:rsidR="009B1B1A" w:rsidRDefault="009B1B1A" w:rsidP="009B1B1A">
      <w:pPr>
        <w:bidi w:val="0"/>
        <w:spacing w:before="60" w:after="60" w:line="360" w:lineRule="auto"/>
        <w:rPr>
          <w:rFonts w:asciiTheme="minorBidi" w:hAnsiTheme="minorBidi"/>
        </w:rPr>
      </w:pPr>
    </w:p>
    <w:p w14:paraId="34D6D8B2" w14:textId="77777777" w:rsidR="009B1B1A" w:rsidRDefault="009B1B1A" w:rsidP="009B1B1A">
      <w:pPr>
        <w:bidi w:val="0"/>
        <w:spacing w:before="60" w:after="60" w:line="360" w:lineRule="auto"/>
        <w:rPr>
          <w:rFonts w:asciiTheme="minorBidi" w:hAnsiTheme="minorBidi"/>
        </w:rPr>
      </w:pPr>
    </w:p>
    <w:p w14:paraId="37C0E4A8" w14:textId="77777777" w:rsidR="009B1B1A" w:rsidRPr="00E07E9C" w:rsidRDefault="009B1B1A" w:rsidP="009B1B1A">
      <w:pPr>
        <w:bidi w:val="0"/>
        <w:spacing w:before="60" w:after="60" w:line="360" w:lineRule="auto"/>
        <w:rPr>
          <w:rFonts w:asciiTheme="minorBidi" w:hAnsiTheme="minorBidi"/>
        </w:rPr>
      </w:pPr>
    </w:p>
    <w:p w14:paraId="686B046C" w14:textId="77777777" w:rsidR="004C49B6" w:rsidRPr="009B1B1A" w:rsidRDefault="004C49B6" w:rsidP="00E07E9C">
      <w:pPr>
        <w:pStyle w:val="Heading2"/>
        <w:bidi w:val="0"/>
        <w:spacing w:line="360" w:lineRule="auto"/>
        <w:rPr>
          <w:rFonts w:asciiTheme="minorBidi" w:hAnsiTheme="minorBidi" w:cstheme="minorBidi"/>
          <w:color w:val="000000" w:themeColor="text1"/>
          <w:sz w:val="28"/>
          <w:szCs w:val="28"/>
        </w:rPr>
      </w:pPr>
      <w:bookmarkStart w:id="20" w:name="_Toc232779227"/>
      <w:r w:rsidRPr="009B1B1A">
        <w:rPr>
          <w:rFonts w:asciiTheme="minorBidi" w:eastAsia="Arial" w:hAnsiTheme="minorBidi" w:cstheme="minorBidi"/>
          <w:b/>
          <w:bCs/>
          <w:color w:val="000000" w:themeColor="text1"/>
          <w:sz w:val="28"/>
          <w:szCs w:val="28"/>
        </w:rPr>
        <w:lastRenderedPageBreak/>
        <w:t>8.3. Conceptual Model</w:t>
      </w:r>
      <w:bookmarkEnd w:id="20"/>
    </w:p>
    <w:p w14:paraId="6C95A30F" w14:textId="77777777" w:rsidR="004C49B6" w:rsidRPr="00E07E9C" w:rsidRDefault="004C49B6" w:rsidP="00E07E9C">
      <w:pPr>
        <w:bidi w:val="0"/>
        <w:spacing w:before="60" w:after="60" w:line="360" w:lineRule="auto"/>
        <w:rPr>
          <w:rFonts w:asciiTheme="minorBidi" w:hAnsiTheme="minorBidi"/>
        </w:rPr>
      </w:pPr>
    </w:p>
    <w:tbl>
      <w:tblPr>
        <w:tblW w:w="972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90"/>
        <w:gridCol w:w="3026"/>
        <w:gridCol w:w="3004"/>
      </w:tblGrid>
      <w:tr w:rsidR="004C49B6" w:rsidRPr="00E07E9C" w14:paraId="6E63022E" w14:textId="77777777" w:rsidTr="004C49B6">
        <w:tc>
          <w:tcPr>
            <w:tcW w:w="3690" w:type="dxa"/>
            <w:tcBorders>
              <w:top w:val="single" w:sz="1" w:space="0" w:color="CCCCCC"/>
              <w:left w:val="single" w:sz="1" w:space="0" w:color="CCCCCC"/>
              <w:bottom w:val="single" w:sz="2" w:space="0" w:color="CCCCCC"/>
              <w:right w:val="single" w:sz="1" w:space="0" w:color="CCCCCC"/>
            </w:tcBorders>
            <w:shd w:val="clear" w:color="auto" w:fill="1F3864"/>
            <w:tcMar>
              <w:top w:w="80" w:type="dxa"/>
              <w:left w:w="120" w:type="dxa"/>
              <w:bottom w:w="80" w:type="dxa"/>
              <w:right w:w="120" w:type="dxa"/>
            </w:tcMar>
            <w:vAlign w:val="center"/>
          </w:tcPr>
          <w:p w14:paraId="439D7202"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Independent Variables</w:t>
            </w:r>
          </w:p>
        </w:tc>
        <w:tc>
          <w:tcPr>
            <w:tcW w:w="30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0A2B7E70"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Mediating Mechanism</w:t>
            </w:r>
          </w:p>
        </w:tc>
        <w:tc>
          <w:tcPr>
            <w:tcW w:w="3004"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419E3BA5"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Dependent Variables</w:t>
            </w:r>
          </w:p>
        </w:tc>
      </w:tr>
      <w:tr w:rsidR="004C49B6" w:rsidRPr="00E07E9C" w14:paraId="1AD84456" w14:textId="77777777" w:rsidTr="009B1B1A">
        <w:trPr>
          <w:trHeight w:val="3731"/>
        </w:trPr>
        <w:tc>
          <w:tcPr>
            <w:tcW w:w="3690" w:type="dxa"/>
            <w:tcBorders>
              <w:top w:val="single" w:sz="2" w:space="0" w:color="CCCCCC"/>
              <w:left w:val="single" w:sz="2" w:space="0" w:color="CCCCCC"/>
              <w:bottom w:val="single" w:sz="4" w:space="0" w:color="auto"/>
              <w:right w:val="single" w:sz="2" w:space="0" w:color="CCCCCC"/>
            </w:tcBorders>
            <w:tcMar>
              <w:top w:w="80" w:type="dxa"/>
              <w:left w:w="120" w:type="dxa"/>
              <w:bottom w:w="80" w:type="dxa"/>
              <w:right w:w="120" w:type="dxa"/>
            </w:tcMar>
          </w:tcPr>
          <w:p w14:paraId="6DA31B44"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MRV Transaction Cost (TCE)</w:t>
            </w:r>
          </w:p>
          <w:p w14:paraId="2559FB7D"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Portfolio Scale (no. buildings)</w:t>
            </w:r>
          </w:p>
          <w:p w14:paraId="0811A096"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 xml:space="preserve">RVCM </w:t>
            </w:r>
          </w:p>
          <w:p w14:paraId="274A5A7C"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Carbon Price (SAR/tCO</w:t>
            </w:r>
            <w:r w:rsidRPr="00E07E9C">
              <w:rPr>
                <w:rFonts w:ascii="Cambria Math" w:hAnsi="Cambria Math" w:cs="Cambria Math"/>
              </w:rPr>
              <w:t>₂</w:t>
            </w:r>
            <w:r w:rsidRPr="00E07E9C">
              <w:rPr>
                <w:rFonts w:asciiTheme="minorBidi" w:hAnsiTheme="minorBidi"/>
              </w:rPr>
              <w:t>e)</w:t>
            </w:r>
          </w:p>
          <w:p w14:paraId="6A7DFF2A"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Government MRV Subsidy (SGI policy)</w:t>
            </w:r>
          </w:p>
          <w:p w14:paraId="3466F151" w14:textId="481BCCE2" w:rsidR="004C49B6" w:rsidRPr="00E07E9C" w:rsidRDefault="004C49B6" w:rsidP="00E07E9C">
            <w:pPr>
              <w:pStyle w:val="ListParagraph"/>
              <w:numPr>
                <w:ilvl w:val="0"/>
                <w:numId w:val="47"/>
              </w:numPr>
              <w:bidi w:val="0"/>
              <w:spacing w:line="360" w:lineRule="auto"/>
              <w:ind w:left="324" w:right="-114" w:hanging="270"/>
              <w:rPr>
                <w:rFonts w:asciiTheme="minorBidi" w:hAnsiTheme="minorBidi"/>
              </w:rPr>
            </w:pPr>
            <w:r w:rsidRPr="00E07E9C">
              <w:rPr>
                <w:rFonts w:asciiTheme="minorBidi" w:hAnsiTheme="minorBidi"/>
              </w:rPr>
              <w:t>Grid Emission Factor (kgCO</w:t>
            </w:r>
            <w:r w:rsidRPr="00E07E9C">
              <w:rPr>
                <w:rFonts w:ascii="Cambria Math" w:hAnsi="Cambria Math" w:cs="Cambria Math"/>
              </w:rPr>
              <w:t>₂</w:t>
            </w:r>
            <w:r w:rsidRPr="00E07E9C">
              <w:rPr>
                <w:rFonts w:asciiTheme="minorBidi" w:hAnsiTheme="minorBidi"/>
              </w:rPr>
              <w:t>e/kWh)</w:t>
            </w:r>
          </w:p>
        </w:tc>
        <w:tc>
          <w:tcPr>
            <w:tcW w:w="3026" w:type="dxa"/>
            <w:tcBorders>
              <w:top w:val="single" w:sz="1" w:space="0" w:color="CCCCCC"/>
              <w:left w:val="single" w:sz="2" w:space="0" w:color="CCCCCC"/>
              <w:bottom w:val="single" w:sz="1" w:space="0" w:color="CCCCCC"/>
              <w:right w:val="single" w:sz="1" w:space="0" w:color="CCCCCC"/>
            </w:tcBorders>
            <w:shd w:val="clear" w:color="auto" w:fill="EAF2FB"/>
            <w:tcMar>
              <w:top w:w="80" w:type="dxa"/>
              <w:left w:w="120" w:type="dxa"/>
              <w:bottom w:w="80" w:type="dxa"/>
              <w:right w:w="120" w:type="dxa"/>
            </w:tcMar>
            <w:vAlign w:val="center"/>
          </w:tcPr>
          <w:p w14:paraId="6C447B47"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b/>
                <w:bCs/>
                <w:color w:val="1F3864"/>
              </w:rPr>
              <w:t>RVCMC Portfolio Aggregation</w:t>
            </w:r>
          </w:p>
          <w:p w14:paraId="1A3A3E3E" w14:textId="77777777" w:rsidR="004C49B6" w:rsidRPr="00E07E9C" w:rsidRDefault="004C49B6" w:rsidP="00E07E9C">
            <w:pPr>
              <w:bidi w:val="0"/>
              <w:spacing w:after="60" w:line="360" w:lineRule="auto"/>
              <w:jc w:val="center"/>
              <w:rPr>
                <w:rFonts w:asciiTheme="minorBidi" w:hAnsiTheme="minorBidi"/>
              </w:rPr>
            </w:pPr>
            <w:r w:rsidRPr="00E07E9C">
              <w:rPr>
                <w:rFonts w:asciiTheme="minorBidi" w:eastAsia="Arial" w:hAnsiTheme="minorBidi"/>
                <w:i/>
                <w:iCs/>
                <w:sz w:val="20"/>
                <w:szCs w:val="20"/>
              </w:rPr>
              <w:t>(Program of Activities — PoA)</w:t>
            </w:r>
          </w:p>
          <w:p w14:paraId="47729648"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color w:val="2E75B6"/>
                <w:sz w:val="28"/>
                <w:szCs w:val="28"/>
              </w:rPr>
              <w:t>↓</w:t>
            </w:r>
          </w:p>
          <w:p w14:paraId="11FC261F" w14:textId="1054597B"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sz w:val="21"/>
                <w:szCs w:val="21"/>
              </w:rPr>
              <w:t xml:space="preserve">MRV cost dilution per </w:t>
            </w:r>
            <w:r w:rsidR="00972AD9" w:rsidRPr="00E07E9C">
              <w:rPr>
                <w:rFonts w:asciiTheme="minorBidi" w:eastAsia="Arial" w:hAnsiTheme="minorBidi"/>
                <w:sz w:val="21"/>
                <w:szCs w:val="21"/>
              </w:rPr>
              <w:t>ton</w:t>
            </w:r>
          </w:p>
          <w:p w14:paraId="114F1E33"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sz w:val="21"/>
                <w:szCs w:val="21"/>
              </w:rPr>
              <w:t>+ OPEX electricity savings</w:t>
            </w:r>
          </w:p>
          <w:p w14:paraId="23464114"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sz w:val="21"/>
                <w:szCs w:val="21"/>
              </w:rPr>
              <w:t>+ CBAM price appreciation</w:t>
            </w:r>
          </w:p>
          <w:p w14:paraId="593B58BB"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i/>
                <w:iCs/>
                <w:color w:val="1F3864"/>
                <w:sz w:val="21"/>
                <w:szCs w:val="21"/>
              </w:rPr>
              <w:t>+ Vision 2030 SGI alignment</w:t>
            </w:r>
          </w:p>
        </w:tc>
        <w:tc>
          <w:tcPr>
            <w:tcW w:w="3004"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4C7EE2D"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Annual Carbon Revenue (SAR/yr)</w:t>
            </w:r>
          </w:p>
          <w:p w14:paraId="150911F0"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Annual OPEX Savings (SAR/yr)</w:t>
            </w:r>
          </w:p>
          <w:p w14:paraId="1801D2A5"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Net Annual Cash Flow (SAR/yr)</w:t>
            </w:r>
          </w:p>
          <w:p w14:paraId="18FACF19"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Simple Payback Period (years)</w:t>
            </w:r>
          </w:p>
          <w:p w14:paraId="68E7ACAC" w14:textId="77777777" w:rsidR="004C49B6" w:rsidRPr="00E07E9C" w:rsidRDefault="004C49B6" w:rsidP="00E07E9C">
            <w:pPr>
              <w:pStyle w:val="ListParagraph"/>
              <w:numPr>
                <w:ilvl w:val="0"/>
                <w:numId w:val="47"/>
              </w:numPr>
              <w:bidi w:val="0"/>
              <w:spacing w:line="360" w:lineRule="auto"/>
              <w:ind w:left="324" w:right="-204" w:hanging="270"/>
              <w:rPr>
                <w:rFonts w:asciiTheme="minorBidi" w:hAnsiTheme="minorBidi"/>
              </w:rPr>
            </w:pPr>
            <w:r w:rsidRPr="00E07E9C">
              <w:rPr>
                <w:rFonts w:asciiTheme="minorBidi" w:hAnsiTheme="minorBidi"/>
              </w:rPr>
              <w:t>15-Year Return on Investment (%)</w:t>
            </w:r>
          </w:p>
        </w:tc>
      </w:tr>
      <w:tr w:rsidR="004C49B6" w:rsidRPr="00E07E9C" w14:paraId="4D8CF260" w14:textId="77777777" w:rsidTr="004C49B6">
        <w:tc>
          <w:tcPr>
            <w:tcW w:w="3690" w:type="dxa"/>
            <w:tcBorders>
              <w:top w:val="single" w:sz="4" w:space="0" w:color="auto"/>
              <w:left w:val="single" w:sz="1" w:space="0" w:color="CCCCCC"/>
              <w:bottom w:val="single" w:sz="1" w:space="0" w:color="CCCCCC"/>
              <w:right w:val="single" w:sz="1" w:space="0" w:color="CCCCCC"/>
            </w:tcBorders>
            <w:shd w:val="clear" w:color="auto" w:fill="FCE4D6"/>
            <w:tcMar>
              <w:top w:w="60" w:type="dxa"/>
              <w:left w:w="120" w:type="dxa"/>
              <w:bottom w:w="60" w:type="dxa"/>
              <w:right w:w="120" w:type="dxa"/>
            </w:tcMar>
          </w:tcPr>
          <w:p w14:paraId="75C268C3"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i/>
                <w:iCs/>
                <w:color w:val="C00000"/>
                <w:sz w:val="20"/>
                <w:szCs w:val="20"/>
              </w:rPr>
              <w:t>Barrier → TCE: Fixed MRV cost exceeds single-building carbon revenue</w:t>
            </w:r>
          </w:p>
        </w:tc>
        <w:tc>
          <w:tcPr>
            <w:tcW w:w="3026" w:type="dxa"/>
            <w:tcBorders>
              <w:top w:val="single" w:sz="1" w:space="0" w:color="CCCCCC"/>
              <w:left w:val="single" w:sz="1" w:space="0" w:color="CCCCCC"/>
              <w:bottom w:val="single" w:sz="1" w:space="0" w:color="CCCCCC"/>
              <w:right w:val="single" w:sz="1" w:space="0" w:color="CCCCCC"/>
            </w:tcBorders>
            <w:shd w:val="clear" w:color="auto" w:fill="E2EFDA"/>
            <w:tcMar>
              <w:top w:w="60" w:type="dxa"/>
              <w:left w:w="120" w:type="dxa"/>
              <w:bottom w:w="60" w:type="dxa"/>
              <w:right w:w="120" w:type="dxa"/>
            </w:tcMar>
          </w:tcPr>
          <w:p w14:paraId="3E39F2A8"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i/>
                <w:iCs/>
                <w:color w:val="375623"/>
                <w:sz w:val="20"/>
                <w:szCs w:val="20"/>
              </w:rPr>
              <w:t>Moderator: 5-Year SGI MRV Verification Fund (Government Subsidy)</w:t>
            </w:r>
          </w:p>
        </w:tc>
        <w:tc>
          <w:tcPr>
            <w:tcW w:w="3004" w:type="dxa"/>
            <w:tcBorders>
              <w:top w:val="single" w:sz="1" w:space="0" w:color="CCCCCC"/>
              <w:left w:val="single" w:sz="1" w:space="0" w:color="CCCCCC"/>
              <w:bottom w:val="single" w:sz="1" w:space="0" w:color="CCCCCC"/>
              <w:right w:val="single" w:sz="1" w:space="0" w:color="CCCCCC"/>
            </w:tcBorders>
            <w:shd w:val="clear" w:color="auto" w:fill="FCE4D6"/>
            <w:tcMar>
              <w:top w:w="60" w:type="dxa"/>
              <w:left w:w="120" w:type="dxa"/>
              <w:bottom w:w="60" w:type="dxa"/>
              <w:right w:w="120" w:type="dxa"/>
            </w:tcMar>
          </w:tcPr>
          <w:p w14:paraId="501EED93" w14:textId="77777777" w:rsidR="004C49B6" w:rsidRPr="00E07E9C" w:rsidRDefault="004C49B6" w:rsidP="00E07E9C">
            <w:pPr>
              <w:bidi w:val="0"/>
              <w:spacing w:before="60" w:after="60" w:line="360" w:lineRule="auto"/>
              <w:jc w:val="center"/>
              <w:rPr>
                <w:rFonts w:asciiTheme="minorBidi" w:hAnsiTheme="minorBidi"/>
              </w:rPr>
            </w:pPr>
            <w:r w:rsidRPr="00E07E9C">
              <w:rPr>
                <w:rFonts w:asciiTheme="minorBidi" w:eastAsia="Arial" w:hAnsiTheme="minorBidi"/>
                <w:i/>
                <w:iCs/>
                <w:color w:val="C00000"/>
                <w:sz w:val="20"/>
                <w:szCs w:val="20"/>
              </w:rPr>
              <w:t>Barrier → Agency Theory: Tenant captures OPEX → resolved via carbon revenue bypass</w:t>
            </w:r>
          </w:p>
        </w:tc>
      </w:tr>
    </w:tbl>
    <w:p w14:paraId="333B1BC7" w14:textId="77777777" w:rsidR="004C49B6" w:rsidRPr="00E07E9C" w:rsidRDefault="004C49B6" w:rsidP="00E07E9C">
      <w:pPr>
        <w:bidi w:val="0"/>
        <w:spacing w:before="60" w:line="360" w:lineRule="auto"/>
        <w:jc w:val="center"/>
        <w:rPr>
          <w:rFonts w:asciiTheme="minorBidi" w:hAnsiTheme="minorBidi"/>
        </w:rPr>
      </w:pPr>
      <w:r w:rsidRPr="00E07E9C">
        <w:rPr>
          <w:rFonts w:asciiTheme="minorBidi" w:eastAsia="Arial" w:hAnsiTheme="minorBidi"/>
          <w:i/>
          <w:iCs/>
          <w:color w:val="555555"/>
          <w:sz w:val="20"/>
          <w:szCs w:val="20"/>
        </w:rPr>
        <w:t>Figure 1: Conceptual Framework — Theoretical Barriers, Aggregation Mechanism, Financial Outputs, and Vision 2030 Alignment</w:t>
      </w:r>
    </w:p>
    <w:p w14:paraId="15D307DC" w14:textId="126B4179" w:rsidR="00692F66" w:rsidRPr="00E07E9C" w:rsidRDefault="00692F66" w:rsidP="00E07E9C">
      <w:pPr>
        <w:pStyle w:val="NormalWeb"/>
        <w:spacing w:line="360" w:lineRule="auto"/>
        <w:ind w:left="990"/>
        <w:jc w:val="both"/>
        <w:rPr>
          <w:rFonts w:asciiTheme="minorBidi" w:hAnsiTheme="minorBidi" w:cstheme="minorBidi"/>
        </w:rPr>
      </w:pPr>
    </w:p>
    <w:p w14:paraId="5BE152B8" w14:textId="6E20D3B7" w:rsidR="00692F66" w:rsidRPr="00E07E9C" w:rsidRDefault="00692F66" w:rsidP="00E07E9C">
      <w:pPr>
        <w:pStyle w:val="Heading2"/>
        <w:numPr>
          <w:ilvl w:val="0"/>
          <w:numId w:val="35"/>
        </w:numPr>
        <w:bidi w:val="0"/>
        <w:spacing w:line="360" w:lineRule="auto"/>
        <w:jc w:val="both"/>
        <w:rPr>
          <w:rFonts w:asciiTheme="minorBidi" w:hAnsiTheme="minorBidi" w:cstheme="minorBidi"/>
          <w:b/>
          <w:bCs/>
          <w:color w:val="000000" w:themeColor="text1"/>
          <w:sz w:val="32"/>
          <w:szCs w:val="32"/>
        </w:rPr>
      </w:pPr>
      <w:bookmarkStart w:id="21" w:name="_Toc225367445"/>
      <w:r w:rsidRPr="00E07E9C">
        <w:rPr>
          <w:rFonts w:asciiTheme="minorBidi" w:hAnsiTheme="minorBidi" w:cstheme="minorBidi"/>
          <w:b/>
          <w:bCs/>
          <w:color w:val="000000" w:themeColor="text1"/>
          <w:sz w:val="32"/>
          <w:szCs w:val="32"/>
        </w:rPr>
        <w:t>Research Methodology</w:t>
      </w:r>
      <w:bookmarkEnd w:id="21"/>
    </w:p>
    <w:p w14:paraId="5571E597" w14:textId="77777777" w:rsidR="004C49B6" w:rsidRPr="009B1B1A" w:rsidRDefault="004C49B6" w:rsidP="00E07E9C">
      <w:pPr>
        <w:pStyle w:val="Heading2"/>
        <w:bidi w:val="0"/>
        <w:spacing w:line="360" w:lineRule="auto"/>
        <w:rPr>
          <w:rFonts w:asciiTheme="minorBidi" w:hAnsiTheme="minorBidi" w:cstheme="minorBidi"/>
          <w:color w:val="000000" w:themeColor="text1"/>
          <w:sz w:val="28"/>
          <w:szCs w:val="28"/>
        </w:rPr>
      </w:pPr>
      <w:bookmarkStart w:id="22" w:name="_Toc232779229"/>
      <w:bookmarkStart w:id="23" w:name="_Toc225367449"/>
      <w:r w:rsidRPr="009B1B1A">
        <w:rPr>
          <w:rFonts w:asciiTheme="minorBidi" w:eastAsia="Arial" w:hAnsiTheme="minorBidi" w:cstheme="minorBidi"/>
          <w:b/>
          <w:bCs/>
          <w:color w:val="000000" w:themeColor="text1"/>
          <w:sz w:val="28"/>
          <w:szCs w:val="28"/>
        </w:rPr>
        <w:t>9.1. Research Design</w:t>
      </w:r>
      <w:bookmarkEnd w:id="22"/>
    </w:p>
    <w:p w14:paraId="0D81B2E4" w14:textId="7E534250" w:rsidR="004C49B6" w:rsidRPr="00E07E9C" w:rsidRDefault="004C49B6"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This study employs a quantitative, deterministic financial modelling approach. Given the commercial confidentiality of Saudi real estate operating budgets, primary survey data is not feasible. The research instead constructs a representative financial simulation using verified secondary data from Saudi regulatory and market authorities an approach consistent with established energy economics research practice (Harvard Business Review, 2024). The 15-year investment horizon reflects GCC commercial real estate asset cycles and the timeframe required for carbon price appreciation to materially affect returns.</w:t>
      </w:r>
    </w:p>
    <w:p w14:paraId="43B890EC" w14:textId="77777777" w:rsidR="004C49B6" w:rsidRPr="00E07E9C" w:rsidRDefault="004C49B6" w:rsidP="00E07E9C">
      <w:pPr>
        <w:bidi w:val="0"/>
        <w:spacing w:before="60" w:after="60" w:line="360" w:lineRule="auto"/>
        <w:rPr>
          <w:rFonts w:asciiTheme="minorBidi" w:hAnsiTheme="minorBidi"/>
        </w:rPr>
      </w:pPr>
    </w:p>
    <w:p w14:paraId="1A9C7B23" w14:textId="77777777" w:rsidR="004C49B6" w:rsidRPr="009B1B1A"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24" w:name="_Toc232779230"/>
      <w:r w:rsidRPr="009B1B1A">
        <w:rPr>
          <w:rFonts w:asciiTheme="minorBidi" w:eastAsia="Arial" w:hAnsiTheme="minorBidi" w:cstheme="minorBidi"/>
          <w:b/>
          <w:bCs/>
          <w:color w:val="000000" w:themeColor="text1"/>
          <w:sz w:val="28"/>
          <w:szCs w:val="28"/>
        </w:rPr>
        <w:lastRenderedPageBreak/>
        <w:t>9.2. Data Sources and Key Assumptions</w:t>
      </w:r>
      <w:bookmarkEnd w:id="24"/>
    </w:p>
    <w:p w14:paraId="002CB98C" w14:textId="77777777" w:rsidR="004C49B6" w:rsidRPr="00E07E9C" w:rsidRDefault="004C49B6" w:rsidP="00E07E9C">
      <w:pPr>
        <w:bidi w:val="0"/>
        <w:spacing w:before="60" w:after="60" w:line="360" w:lineRule="auto"/>
        <w:rPr>
          <w:rFonts w:asciiTheme="minorBidi" w:hAnsiTheme="minorBidi"/>
        </w:rPr>
      </w:pPr>
    </w:p>
    <w:tbl>
      <w:tblPr>
        <w:tblW w:w="9026"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000"/>
        <w:gridCol w:w="2600"/>
        <w:gridCol w:w="1426"/>
      </w:tblGrid>
      <w:tr w:rsidR="004C49B6" w:rsidRPr="00E07E9C" w14:paraId="6BFD86F7" w14:textId="77777777" w:rsidTr="004C49B6">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4ED6DC71"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Parameter</w:t>
            </w:r>
          </w:p>
        </w:tc>
        <w:tc>
          <w:tcPr>
            <w:tcW w:w="2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23D3B7D1"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Value</w:t>
            </w:r>
          </w:p>
        </w:tc>
        <w:tc>
          <w:tcPr>
            <w:tcW w:w="26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0C3F89D9"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Source</w:t>
            </w:r>
          </w:p>
        </w:tc>
        <w:tc>
          <w:tcPr>
            <w:tcW w:w="14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7C97F0CB"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FFFFFF"/>
              </w:rPr>
              <w:t>Range / Note</w:t>
            </w:r>
          </w:p>
        </w:tc>
      </w:tr>
      <w:tr w:rsidR="004C49B6" w:rsidRPr="00E07E9C" w14:paraId="10302CA2"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82FAF3B"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EUI Baseline (Riyadh Zone 1B)</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862743A"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300 kWh/m²/yr</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411B068"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SEEC (2024)</w:t>
            </w:r>
          </w:p>
        </w:tc>
        <w:tc>
          <w:tcPr>
            <w:tcW w:w="14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5A96FBB"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280–320</w:t>
            </w:r>
          </w:p>
        </w:tc>
      </w:tr>
      <w:tr w:rsidR="004C49B6" w:rsidRPr="00E07E9C" w14:paraId="5716EFFB"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32CF235" w14:textId="4CCC9D71"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 xml:space="preserve">EUI </w:t>
            </w:r>
            <w:r w:rsidR="007B16B3" w:rsidRPr="00E07E9C">
              <w:rPr>
                <w:rFonts w:asciiTheme="minorBidi" w:eastAsia="Arial" w:hAnsiTheme="minorBidi"/>
                <w:color w:val="000000"/>
              </w:rPr>
              <w:t>post-retrofit</w:t>
            </w:r>
            <w:r w:rsidRPr="00E07E9C">
              <w:rPr>
                <w:rFonts w:asciiTheme="minorBidi" w:eastAsia="Arial" w:hAnsiTheme="minorBidi"/>
                <w:color w:val="000000"/>
              </w:rPr>
              <w:t xml:space="preserve"> (35% reduction)</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E54AD4E"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195 kWh/m²/yr</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18938D7"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SEEC Benchmark</w:t>
            </w:r>
          </w:p>
        </w:tc>
        <w:tc>
          <w:tcPr>
            <w:tcW w:w="14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8567016"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25–40% range</w:t>
            </w:r>
          </w:p>
        </w:tc>
      </w:tr>
      <w:tr w:rsidR="004C49B6" w:rsidRPr="00E07E9C" w14:paraId="61B78D8B"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60150EB"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Saudi Grid Emission Factor (GEF)</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B8A0DF5"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0.58 kgCO</w:t>
            </w:r>
            <w:r w:rsidRPr="00E07E9C">
              <w:rPr>
                <w:rFonts w:ascii="Cambria Math" w:eastAsia="Arial" w:hAnsi="Cambria Math" w:cs="Cambria Math"/>
                <w:color w:val="000000"/>
              </w:rPr>
              <w:t>₂</w:t>
            </w:r>
            <w:r w:rsidRPr="00E07E9C">
              <w:rPr>
                <w:rFonts w:asciiTheme="minorBidi" w:eastAsia="Arial" w:hAnsiTheme="minorBidi"/>
                <w:color w:val="000000"/>
              </w:rPr>
              <w:t>e/kWh</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A462787"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SEEC / UNFCCC CDM-DNA</w:t>
            </w:r>
          </w:p>
        </w:tc>
        <w:tc>
          <w:tcPr>
            <w:tcW w:w="1426"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vAlign w:val="center"/>
          </w:tcPr>
          <w:p w14:paraId="10673060"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b/>
                <w:bCs/>
                <w:color w:val="000000"/>
              </w:rPr>
              <w:t>See Note 1</w:t>
            </w:r>
          </w:p>
        </w:tc>
      </w:tr>
      <w:tr w:rsidR="004C49B6" w:rsidRPr="00E07E9C" w14:paraId="6C728557"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9BDEFF3"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RVCM Carbon Price (base year)</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6AB310A"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SAR 37.50/tCO</w:t>
            </w:r>
            <w:r w:rsidRPr="00E07E9C">
              <w:rPr>
                <w:rFonts w:ascii="Cambria Math" w:eastAsia="Arial" w:hAnsi="Cambria Math" w:cs="Cambria Math"/>
                <w:color w:val="000000"/>
              </w:rPr>
              <w:t>₂</w:t>
            </w:r>
            <w:r w:rsidRPr="00E07E9C">
              <w:rPr>
                <w:rFonts w:asciiTheme="minorBidi" w:eastAsia="Arial" w:hAnsiTheme="minorBidi"/>
                <w:color w:val="000000"/>
              </w:rPr>
              <w:t>e</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0853ED3"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RVCMC 3rd Auction (2024)</w:t>
            </w:r>
          </w:p>
        </w:tc>
        <w:tc>
          <w:tcPr>
            <w:tcW w:w="14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22C7F79A"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±20% sensitivity</w:t>
            </w:r>
          </w:p>
        </w:tc>
      </w:tr>
      <w:tr w:rsidR="004C49B6" w:rsidRPr="00E07E9C" w14:paraId="792650C1"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07255DE"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Commercial Electricity Tariff</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D54D17B"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SAR 0.18/kWh</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9F53F7C"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Saudi Electricity Company (2024)</w:t>
            </w:r>
          </w:p>
        </w:tc>
        <w:tc>
          <w:tcPr>
            <w:tcW w:w="14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091819D"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Fixed</w:t>
            </w:r>
          </w:p>
        </w:tc>
      </w:tr>
      <w:tr w:rsidR="004C49B6" w:rsidRPr="00E07E9C" w14:paraId="54B63A35"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DF4EB75"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MRV Cost — Single Building</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7F9BE58"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SAR 60,000/yr</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30823D0"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PwC Middle East (2024)</w:t>
            </w:r>
          </w:p>
        </w:tc>
        <w:tc>
          <w:tcPr>
            <w:tcW w:w="14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A52C756"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SAR 40k–80k range</w:t>
            </w:r>
          </w:p>
        </w:tc>
      </w:tr>
      <w:tr w:rsidR="004C49B6" w:rsidRPr="00E07E9C" w14:paraId="5AE088C9"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DE3E8C7"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MRV Cost — PoA Portfolio</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B661F37"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SAR 85,000/yr</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7C863CF"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PwC Middle East (2024)</w:t>
            </w:r>
          </w:p>
        </w:tc>
        <w:tc>
          <w:tcPr>
            <w:tcW w:w="14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DA9EC71"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SAR 70k–100k range</w:t>
            </w:r>
          </w:p>
        </w:tc>
      </w:tr>
      <w:tr w:rsidR="004C49B6" w:rsidRPr="00E07E9C" w14:paraId="3AD54CFB" w14:textId="77777777" w:rsidTr="004C49B6">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2EC69C6"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CAPEX Range (retrofit package)</w:t>
            </w:r>
          </w:p>
        </w:tc>
        <w:tc>
          <w:tcPr>
            <w:tcW w:w="2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2A2BA34"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SAR 150 / 225 / 300/m²</w:t>
            </w:r>
          </w:p>
        </w:tc>
        <w:tc>
          <w:tcPr>
            <w:tcW w:w="2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7CE3EAC" w14:textId="77777777" w:rsidR="004C49B6" w:rsidRPr="00E07E9C" w:rsidRDefault="004C49B6" w:rsidP="00E07E9C">
            <w:pPr>
              <w:bidi w:val="0"/>
              <w:spacing w:before="50" w:after="50" w:line="360" w:lineRule="auto"/>
              <w:rPr>
                <w:rFonts w:asciiTheme="minorBidi" w:hAnsiTheme="minorBidi"/>
              </w:rPr>
            </w:pPr>
            <w:r w:rsidRPr="00E07E9C">
              <w:rPr>
                <w:rFonts w:asciiTheme="minorBidi" w:eastAsia="Arial" w:hAnsiTheme="minorBidi"/>
                <w:color w:val="000000"/>
              </w:rPr>
              <w:t>GCC Vendor Benchmarks</w:t>
            </w:r>
          </w:p>
        </w:tc>
        <w:tc>
          <w:tcPr>
            <w:tcW w:w="14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E4727F8" w14:textId="77777777" w:rsidR="004C49B6" w:rsidRPr="00E07E9C" w:rsidRDefault="004C49B6" w:rsidP="00E07E9C">
            <w:pPr>
              <w:bidi w:val="0"/>
              <w:spacing w:before="50" w:after="50" w:line="360" w:lineRule="auto"/>
              <w:jc w:val="center"/>
              <w:rPr>
                <w:rFonts w:asciiTheme="minorBidi" w:hAnsiTheme="minorBidi"/>
              </w:rPr>
            </w:pPr>
            <w:r w:rsidRPr="00E07E9C">
              <w:rPr>
                <w:rFonts w:asciiTheme="minorBidi" w:eastAsia="Arial" w:hAnsiTheme="minorBidi"/>
                <w:color w:val="000000"/>
              </w:rPr>
              <w:t>Low / Mid / High</w:t>
            </w:r>
          </w:p>
        </w:tc>
      </w:tr>
    </w:tbl>
    <w:p w14:paraId="23F704A3" w14:textId="77777777" w:rsidR="004C49B6" w:rsidRPr="00E07E9C" w:rsidRDefault="004C49B6" w:rsidP="00E07E9C">
      <w:pPr>
        <w:bidi w:val="0"/>
        <w:spacing w:before="60" w:line="360" w:lineRule="auto"/>
        <w:jc w:val="center"/>
        <w:rPr>
          <w:rFonts w:asciiTheme="minorBidi" w:hAnsiTheme="minorBidi"/>
        </w:rPr>
      </w:pPr>
      <w:r w:rsidRPr="00E07E9C">
        <w:rPr>
          <w:rFonts w:asciiTheme="minorBidi" w:eastAsia="Arial" w:hAnsiTheme="minorBidi"/>
          <w:i/>
          <w:iCs/>
          <w:color w:val="555555"/>
          <w:sz w:val="20"/>
          <w:szCs w:val="20"/>
        </w:rPr>
        <w:t>Table 3: Model Input Parameters, Values, and Sources</w:t>
      </w:r>
    </w:p>
    <w:p w14:paraId="5679B7AE" w14:textId="77777777" w:rsidR="004C49B6" w:rsidRDefault="004C49B6" w:rsidP="00E07E9C">
      <w:pPr>
        <w:bidi w:val="0"/>
        <w:spacing w:before="40" w:after="80" w:line="360" w:lineRule="auto"/>
        <w:ind w:left="360"/>
        <w:rPr>
          <w:rFonts w:asciiTheme="minorBidi" w:eastAsia="Arial" w:hAnsiTheme="minorBidi"/>
          <w:i/>
          <w:iCs/>
          <w:color w:val="555555"/>
          <w:sz w:val="20"/>
          <w:szCs w:val="20"/>
        </w:rPr>
      </w:pPr>
      <w:r w:rsidRPr="00E07E9C">
        <w:rPr>
          <w:rFonts w:asciiTheme="minorBidi" w:eastAsia="Arial" w:hAnsiTheme="minorBidi"/>
          <w:i/>
          <w:iCs/>
          <w:color w:val="555555"/>
          <w:sz w:val="20"/>
          <w:szCs w:val="20"/>
        </w:rPr>
        <w:t>Note 1: This study uses GEF 0.58 kgCO</w:t>
      </w:r>
      <w:r w:rsidRPr="00E07E9C">
        <w:rPr>
          <w:rFonts w:ascii="Cambria Math" w:eastAsia="Arial" w:hAnsi="Cambria Math" w:cs="Cambria Math"/>
          <w:i/>
          <w:iCs/>
          <w:color w:val="555555"/>
          <w:sz w:val="20"/>
          <w:szCs w:val="20"/>
        </w:rPr>
        <w:t>₂</w:t>
      </w:r>
      <w:r w:rsidRPr="00E07E9C">
        <w:rPr>
          <w:rFonts w:asciiTheme="minorBidi" w:eastAsia="Arial" w:hAnsiTheme="minorBidi"/>
          <w:i/>
          <w:iCs/>
          <w:color w:val="555555"/>
          <w:sz w:val="20"/>
          <w:szCs w:val="20"/>
        </w:rPr>
        <w:t>e/kWh as published by SEEC and adopted by Saudi Arabia’s CDM Designated National Authority (CDMDNA) for RVCMC project registration. The IEA (2024) reports 0.52 kgCO</w:t>
      </w:r>
      <w:r w:rsidRPr="00E07E9C">
        <w:rPr>
          <w:rFonts w:ascii="Cambria Math" w:eastAsia="Arial" w:hAnsi="Cambria Math" w:cs="Cambria Math"/>
          <w:i/>
          <w:iCs/>
          <w:color w:val="555555"/>
          <w:sz w:val="20"/>
          <w:szCs w:val="20"/>
        </w:rPr>
        <w:t>₂</w:t>
      </w:r>
      <w:r w:rsidRPr="00E07E9C">
        <w:rPr>
          <w:rFonts w:asciiTheme="minorBidi" w:eastAsia="Arial" w:hAnsiTheme="minorBidi"/>
          <w:i/>
          <w:iCs/>
          <w:color w:val="555555"/>
          <w:sz w:val="20"/>
          <w:szCs w:val="20"/>
        </w:rPr>
        <w:t>e/kWh using a fuel-cycle-only boundary. For CDM/VCM purposes, 0.58 is the authoritative standard. Sensitivity implications are addressed in Section 11.</w:t>
      </w:r>
    </w:p>
    <w:p w14:paraId="545DA51C" w14:textId="77777777" w:rsidR="009B1B1A" w:rsidRDefault="009B1B1A" w:rsidP="009B1B1A">
      <w:pPr>
        <w:bidi w:val="0"/>
        <w:spacing w:before="40" w:after="80" w:line="360" w:lineRule="auto"/>
        <w:ind w:left="360"/>
        <w:rPr>
          <w:rFonts w:asciiTheme="minorBidi" w:eastAsia="Arial" w:hAnsiTheme="minorBidi"/>
          <w:i/>
          <w:iCs/>
          <w:color w:val="555555"/>
          <w:sz w:val="20"/>
          <w:szCs w:val="20"/>
        </w:rPr>
      </w:pPr>
    </w:p>
    <w:p w14:paraId="728F3712" w14:textId="77777777" w:rsidR="009B1B1A" w:rsidRPr="00E07E9C" w:rsidRDefault="009B1B1A" w:rsidP="009B1B1A">
      <w:pPr>
        <w:bidi w:val="0"/>
        <w:spacing w:before="40" w:after="80" w:line="360" w:lineRule="auto"/>
        <w:ind w:left="360"/>
        <w:rPr>
          <w:rFonts w:asciiTheme="minorBidi" w:hAnsiTheme="minorBidi"/>
        </w:rPr>
      </w:pPr>
    </w:p>
    <w:p w14:paraId="16887F95" w14:textId="77777777" w:rsidR="004C49B6" w:rsidRPr="00E07E9C" w:rsidRDefault="004C49B6" w:rsidP="00E07E9C">
      <w:pPr>
        <w:bidi w:val="0"/>
        <w:spacing w:before="60" w:after="60" w:line="360" w:lineRule="auto"/>
        <w:rPr>
          <w:rFonts w:asciiTheme="minorBidi" w:hAnsiTheme="minorBidi"/>
        </w:rPr>
      </w:pPr>
    </w:p>
    <w:p w14:paraId="0D9323CA" w14:textId="77777777" w:rsidR="004C49B6" w:rsidRPr="009B1B1A"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25" w:name="_Toc232779231"/>
      <w:r w:rsidRPr="009B1B1A">
        <w:rPr>
          <w:rFonts w:asciiTheme="minorBidi" w:eastAsia="Arial" w:hAnsiTheme="minorBidi" w:cstheme="minorBidi"/>
          <w:b/>
          <w:bCs/>
          <w:color w:val="000000" w:themeColor="text1"/>
          <w:sz w:val="28"/>
          <w:szCs w:val="28"/>
        </w:rPr>
        <w:lastRenderedPageBreak/>
        <w:t>9.3. Mathematical Model</w:t>
      </w:r>
      <w:bookmarkEnd w:id="25"/>
    </w:p>
    <w:p w14:paraId="4FE74B4F" w14:textId="77777777" w:rsidR="005426F0" w:rsidRPr="009B1B1A" w:rsidRDefault="005426F0" w:rsidP="00E07E9C">
      <w:pPr>
        <w:bidi w:val="0"/>
        <w:spacing w:line="360" w:lineRule="auto"/>
        <w:rPr>
          <w:rFonts w:asciiTheme="minorBidi" w:hAnsiTheme="minorBidi"/>
          <w:sz w:val="8"/>
          <w:szCs w:val="8"/>
        </w:rPr>
      </w:pPr>
    </w:p>
    <w:p w14:paraId="1420910E" w14:textId="4A672935" w:rsidR="005426F0" w:rsidRPr="00E07E9C" w:rsidRDefault="004C49B6" w:rsidP="009B1B1A">
      <w:p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Energy savings are converted to tradeable carbon assets using CDM Methodology AMS-</w:t>
      </w:r>
      <w:r w:rsidR="007B16B3" w:rsidRPr="00E07E9C">
        <w:rPr>
          <w:rFonts w:asciiTheme="minorBidi" w:eastAsia="Arial" w:hAnsiTheme="minorBidi"/>
          <w:sz w:val="24"/>
          <w:szCs w:val="24"/>
        </w:rPr>
        <w:t>II. E</w:t>
      </w:r>
      <w:r w:rsidRPr="00E07E9C">
        <w:rPr>
          <w:rFonts w:asciiTheme="minorBidi" w:eastAsia="Arial" w:hAnsiTheme="minorBidi"/>
          <w:sz w:val="24"/>
          <w:szCs w:val="24"/>
        </w:rPr>
        <w:t xml:space="preserve"> the internationally </w:t>
      </w:r>
      <w:r w:rsidR="000E07BB" w:rsidRPr="00E07E9C">
        <w:rPr>
          <w:rFonts w:asciiTheme="minorBidi" w:eastAsia="Arial" w:hAnsiTheme="minorBidi"/>
          <w:sz w:val="24"/>
          <w:szCs w:val="24"/>
        </w:rPr>
        <w:t>recognized</w:t>
      </w:r>
      <w:r w:rsidRPr="00E07E9C">
        <w:rPr>
          <w:rFonts w:asciiTheme="minorBidi" w:eastAsia="Arial" w:hAnsiTheme="minorBidi"/>
          <w:sz w:val="24"/>
          <w:szCs w:val="24"/>
        </w:rPr>
        <w:t xml:space="preserve"> standard for energy efficiency in buildings.</w:t>
      </w:r>
    </w:p>
    <w:p w14:paraId="2615AAD8" w14:textId="77777777" w:rsidR="000E07BB" w:rsidRPr="00E07E9C" w:rsidRDefault="000E07BB" w:rsidP="00E07E9C">
      <w:pPr>
        <w:bidi w:val="0"/>
        <w:spacing w:before="80" w:after="80" w:line="360" w:lineRule="auto"/>
        <w:jc w:val="both"/>
        <w:rPr>
          <w:rFonts w:asciiTheme="minorBidi" w:eastAsia="Arial" w:hAnsiTheme="minorBidi"/>
          <w:sz w:val="24"/>
          <w:szCs w:val="24"/>
        </w:rPr>
      </w:pPr>
    </w:p>
    <w:p w14:paraId="7BF3D895" w14:textId="3360CFD5" w:rsidR="000E07BB" w:rsidRPr="00E07E9C" w:rsidRDefault="009B1B1A" w:rsidP="00E07E9C">
      <w:pPr>
        <w:pStyle w:val="ListParagraph"/>
        <w:numPr>
          <w:ilvl w:val="0"/>
          <w:numId w:val="49"/>
        </w:num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Eq</w:t>
      </w:r>
      <w:r>
        <w:rPr>
          <w:rFonts w:asciiTheme="minorBidi" w:eastAsia="Arial" w:hAnsiTheme="minorBidi"/>
          <w:sz w:val="24"/>
          <w:szCs w:val="24"/>
        </w:rPr>
        <w:t>uation 1</w:t>
      </w:r>
      <w:r w:rsidR="000E07BB" w:rsidRPr="00E07E9C">
        <w:rPr>
          <w:rFonts w:asciiTheme="minorBidi" w:eastAsia="Arial" w:hAnsiTheme="minorBidi"/>
          <w:sz w:val="24"/>
          <w:szCs w:val="24"/>
        </w:rPr>
        <w:t xml:space="preserve"> </w:t>
      </w:r>
    </w:p>
    <w:p w14:paraId="4272CB86" w14:textId="6605385F" w:rsidR="004C49B6" w:rsidRPr="00E07E9C" w:rsidRDefault="000E07BB" w:rsidP="00E07E9C">
      <w:pPr>
        <w:bidi w:val="0"/>
        <w:spacing w:before="60" w:after="60" w:line="360" w:lineRule="auto"/>
        <w:ind w:firstLine="1620"/>
        <w:rPr>
          <w:rStyle w:val="math-inline"/>
          <w:rFonts w:asciiTheme="minorBidi" w:eastAsiaTheme="minorEastAsia" w:hAnsiTheme="minorBidi"/>
          <w:b/>
        </w:rPr>
      </w:pPr>
      <w:r w:rsidRPr="00E07E9C">
        <w:rPr>
          <w:rStyle w:val="math-inline"/>
          <w:rFonts w:asciiTheme="minorBidi" w:eastAsia="Arial" w:hAnsiTheme="minorBidi"/>
          <w:b/>
        </w:rPr>
        <w:t xml:space="preserve">           </w:t>
      </w:r>
      <m:oMath>
        <m:sSub>
          <m:sSubPr>
            <m:ctrlPr>
              <w:rPr>
                <w:rStyle w:val="math-inline"/>
                <w:rFonts w:ascii="Cambria Math" w:hAnsi="Cambria Math"/>
                <w:b/>
                <w:i/>
              </w:rPr>
            </m:ctrlPr>
          </m:sSubPr>
          <m:e>
            <m:r>
              <m:rPr>
                <m:sty m:val="bi"/>
              </m:rPr>
              <w:rPr>
                <w:rStyle w:val="math-inline"/>
                <w:rFonts w:ascii="Cambria Math" w:hAnsi="Cambria Math"/>
              </w:rPr>
              <m:t>E</m:t>
            </m:r>
          </m:e>
          <m:sub>
            <m:r>
              <m:rPr>
                <m:sty m:val="bi"/>
              </m:rPr>
              <w:rPr>
                <w:rStyle w:val="math-inline"/>
                <w:rFonts w:ascii="Cambria Math" w:hAnsi="Cambria Math"/>
              </w:rPr>
              <m:t>saved</m:t>
            </m:r>
          </m:sub>
        </m:sSub>
        <m:r>
          <m:rPr>
            <m:sty m:val="bi"/>
          </m:rPr>
          <w:rPr>
            <w:rStyle w:val="math-inline"/>
            <w:rFonts w:ascii="Cambria Math" w:hAnsi="Cambria Math"/>
          </w:rPr>
          <m:t xml:space="preserve">= Area × </m:t>
        </m:r>
        <m:d>
          <m:dPr>
            <m:ctrlPr>
              <w:rPr>
                <w:rStyle w:val="math-inline"/>
                <w:rFonts w:ascii="Cambria Math" w:hAnsi="Cambria Math"/>
                <w:b/>
                <w:i/>
              </w:rPr>
            </m:ctrlPr>
          </m:dPr>
          <m:e>
            <m:r>
              <m:rPr>
                <m:sty m:val="bi"/>
              </m:rPr>
              <w:rPr>
                <w:rStyle w:val="math-inline"/>
                <w:rFonts w:ascii="Cambria Math" w:hAnsi="Cambria Math"/>
              </w:rPr>
              <m:t>EU</m:t>
            </m:r>
            <m:sSub>
              <m:sSubPr>
                <m:ctrlPr>
                  <w:rPr>
                    <w:rStyle w:val="math-inline"/>
                    <w:rFonts w:ascii="Cambria Math" w:hAnsi="Cambria Math"/>
                    <w:b/>
                    <w:i/>
                  </w:rPr>
                </m:ctrlPr>
              </m:sSubPr>
              <m:e>
                <m:r>
                  <m:rPr>
                    <m:sty m:val="bi"/>
                  </m:rPr>
                  <w:rPr>
                    <w:rStyle w:val="math-inline"/>
                    <w:rFonts w:ascii="Cambria Math" w:hAnsi="Cambria Math"/>
                  </w:rPr>
                  <m:t>I</m:t>
                </m:r>
              </m:e>
              <m:sub>
                <m:r>
                  <m:rPr>
                    <m:sty m:val="bi"/>
                  </m:rPr>
                  <w:rPr>
                    <w:rStyle w:val="math-inline"/>
                    <w:rFonts w:ascii="Cambria Math" w:hAnsi="Cambria Math"/>
                  </w:rPr>
                  <m:t>base</m:t>
                </m:r>
              </m:sub>
            </m:sSub>
            <m:r>
              <m:rPr>
                <m:sty m:val="bi"/>
              </m:rPr>
              <w:rPr>
                <w:rStyle w:val="math-inline"/>
                <w:rFonts w:ascii="Cambria Math" w:hAnsi="Cambria Math"/>
              </w:rPr>
              <m:t>- EU</m:t>
            </m:r>
            <m:sSub>
              <m:sSubPr>
                <m:ctrlPr>
                  <w:rPr>
                    <w:rStyle w:val="math-inline"/>
                    <w:rFonts w:ascii="Cambria Math" w:hAnsi="Cambria Math"/>
                    <w:b/>
                    <w:i/>
                  </w:rPr>
                </m:ctrlPr>
              </m:sSubPr>
              <m:e>
                <m:r>
                  <m:rPr>
                    <m:sty m:val="bi"/>
                  </m:rPr>
                  <w:rPr>
                    <w:rStyle w:val="math-inline"/>
                    <w:rFonts w:ascii="Cambria Math" w:hAnsi="Cambria Math"/>
                  </w:rPr>
                  <m:t>I</m:t>
                </m:r>
              </m:e>
              <m:sub>
                <m:r>
                  <m:rPr>
                    <m:sty m:val="bi"/>
                  </m:rPr>
                  <w:rPr>
                    <w:rStyle w:val="math-inline"/>
                    <w:rFonts w:ascii="Cambria Math" w:hAnsi="Cambria Math"/>
                  </w:rPr>
                  <m:t>target</m:t>
                </m:r>
              </m:sub>
            </m:sSub>
          </m:e>
        </m:d>
        <m:r>
          <m:rPr>
            <m:sty m:val="bi"/>
          </m:rPr>
          <w:rPr>
            <w:rStyle w:val="math-inline"/>
            <w:rFonts w:ascii="Cambria Math" w:hAnsi="Cambria Math"/>
          </w:rPr>
          <m:t xml:space="preserve">    [kWh/year]</m:t>
        </m:r>
      </m:oMath>
      <w:r w:rsidRPr="00E07E9C">
        <w:rPr>
          <w:rStyle w:val="math-inline"/>
          <w:rFonts w:asciiTheme="minorBidi" w:eastAsiaTheme="minorEastAsia" w:hAnsiTheme="minorBidi"/>
          <w:b/>
        </w:rPr>
        <w:t xml:space="preserve"> </w:t>
      </w:r>
    </w:p>
    <w:p w14:paraId="29245E17" w14:textId="77777777" w:rsidR="005426F0" w:rsidRPr="009B1B1A" w:rsidRDefault="005426F0" w:rsidP="00E07E9C">
      <w:pPr>
        <w:bidi w:val="0"/>
        <w:spacing w:before="60" w:after="60" w:line="360" w:lineRule="auto"/>
        <w:ind w:firstLine="1620"/>
        <w:rPr>
          <w:rStyle w:val="math-inline"/>
          <w:rFonts w:asciiTheme="minorBidi" w:eastAsiaTheme="minorEastAsia" w:hAnsiTheme="minorBidi"/>
          <w:b/>
          <w:sz w:val="8"/>
          <w:szCs w:val="8"/>
        </w:rPr>
      </w:pPr>
    </w:p>
    <w:p w14:paraId="561D7CF3" w14:textId="77777777" w:rsidR="000E07BB" w:rsidRPr="00E07E9C" w:rsidRDefault="000E07BB" w:rsidP="00E07E9C">
      <w:pPr>
        <w:bidi w:val="0"/>
        <w:spacing w:before="60" w:after="60" w:line="360" w:lineRule="auto"/>
        <w:ind w:firstLine="1620"/>
        <w:rPr>
          <w:rStyle w:val="math-inline"/>
          <w:rFonts w:asciiTheme="minorBidi" w:eastAsiaTheme="minorEastAsia" w:hAnsiTheme="minorBidi"/>
          <w:b/>
        </w:rPr>
      </w:pPr>
    </w:p>
    <w:p w14:paraId="1ADCDB86" w14:textId="5F913661" w:rsidR="009B1B1A" w:rsidRPr="00E07E9C" w:rsidRDefault="009B1B1A" w:rsidP="009B1B1A">
      <w:pPr>
        <w:pStyle w:val="ListParagraph"/>
        <w:numPr>
          <w:ilvl w:val="0"/>
          <w:numId w:val="49"/>
        </w:num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Eq</w:t>
      </w:r>
      <w:r>
        <w:rPr>
          <w:rFonts w:asciiTheme="minorBidi" w:eastAsia="Arial" w:hAnsiTheme="minorBidi"/>
          <w:sz w:val="24"/>
          <w:szCs w:val="24"/>
        </w:rPr>
        <w:t>uation 2</w:t>
      </w:r>
      <w:r w:rsidRPr="00E07E9C">
        <w:rPr>
          <w:rFonts w:asciiTheme="minorBidi" w:eastAsia="Arial" w:hAnsiTheme="minorBidi"/>
          <w:sz w:val="24"/>
          <w:szCs w:val="24"/>
        </w:rPr>
        <w:t xml:space="preserve"> </w:t>
      </w:r>
    </w:p>
    <w:p w14:paraId="09B26CBE" w14:textId="35587DCF" w:rsidR="000E07BB" w:rsidRPr="00E07E9C" w:rsidRDefault="000E07BB" w:rsidP="00E07E9C">
      <w:pPr>
        <w:bidi w:val="0"/>
        <w:spacing w:before="60" w:after="60" w:line="360" w:lineRule="auto"/>
        <w:ind w:firstLine="1620"/>
        <w:rPr>
          <w:rStyle w:val="math-inline"/>
          <w:rFonts w:asciiTheme="minorBidi" w:eastAsiaTheme="minorEastAsia" w:hAnsiTheme="minorBidi"/>
          <w:b/>
        </w:rPr>
      </w:pPr>
      <m:oMathPara>
        <m:oMath>
          <m:r>
            <m:rPr>
              <m:sty m:val="bi"/>
            </m:rPr>
            <w:rPr>
              <w:rStyle w:val="math-inline"/>
              <w:rFonts w:ascii="Cambria Math" w:hAnsi="Cambria Math"/>
            </w:rPr>
            <m:t xml:space="preserve">CER = </m:t>
          </m:r>
          <m:f>
            <m:fPr>
              <m:ctrlPr>
                <w:rPr>
                  <w:rStyle w:val="math-inline"/>
                  <w:rFonts w:ascii="Cambria Math" w:hAnsi="Cambria Math"/>
                  <w:b/>
                  <w:i/>
                </w:rPr>
              </m:ctrlPr>
            </m:fPr>
            <m:num>
              <m:sSub>
                <m:sSubPr>
                  <m:ctrlPr>
                    <w:rPr>
                      <w:rStyle w:val="math-inline"/>
                      <w:rFonts w:ascii="Cambria Math" w:hAnsi="Cambria Math"/>
                      <w:b/>
                      <w:i/>
                    </w:rPr>
                  </m:ctrlPr>
                </m:sSubPr>
                <m:e>
                  <m:r>
                    <m:rPr>
                      <m:sty m:val="bi"/>
                    </m:rPr>
                    <w:rPr>
                      <w:rStyle w:val="math-inline"/>
                      <w:rFonts w:ascii="Cambria Math" w:hAnsi="Cambria Math"/>
                    </w:rPr>
                    <m:t>E</m:t>
                  </m:r>
                </m:e>
                <m:sub>
                  <m:r>
                    <m:rPr>
                      <m:sty m:val="bi"/>
                    </m:rPr>
                    <w:rPr>
                      <w:rStyle w:val="math-inline"/>
                      <w:rFonts w:ascii="Cambria Math" w:hAnsi="Cambria Math"/>
                    </w:rPr>
                    <m:t>saved</m:t>
                  </m:r>
                </m:sub>
              </m:sSub>
              <m:r>
                <m:rPr>
                  <m:sty m:val="bi"/>
                </m:rPr>
                <w:rPr>
                  <w:rStyle w:val="math-inline"/>
                  <w:rFonts w:ascii="Cambria Math" w:hAnsi="Cambria Math"/>
                </w:rPr>
                <m:t>× GEF</m:t>
              </m:r>
            </m:num>
            <m:den>
              <m:r>
                <m:rPr>
                  <m:sty m:val="bi"/>
                </m:rPr>
                <w:rPr>
                  <w:rStyle w:val="math-inline"/>
                  <w:rFonts w:ascii="Cambria Math" w:hAnsi="Cambria Math"/>
                </w:rPr>
                <m:t>1000</m:t>
              </m:r>
            </m:den>
          </m:f>
          <m:r>
            <m:rPr>
              <m:sty m:val="bi"/>
            </m:rPr>
            <w:rPr>
              <w:rStyle w:val="math-inline"/>
              <w:rFonts w:ascii="Cambria Math" w:hAnsi="Cambria Math"/>
            </w:rPr>
            <m:t xml:space="preserve">        [tC</m:t>
          </m:r>
          <m:sSup>
            <m:sSupPr>
              <m:ctrlPr>
                <w:rPr>
                  <w:rStyle w:val="math-inline"/>
                  <w:rFonts w:ascii="Cambria Math" w:hAnsi="Cambria Math"/>
                  <w:b/>
                  <w:i/>
                </w:rPr>
              </m:ctrlPr>
            </m:sSupPr>
            <m:e>
              <m:r>
                <m:rPr>
                  <m:sty m:val="bi"/>
                </m:rPr>
                <w:rPr>
                  <w:rStyle w:val="math-inline"/>
                  <w:rFonts w:ascii="Cambria Math" w:hAnsi="Cambria Math"/>
                </w:rPr>
                <m:t>O</m:t>
              </m:r>
            </m:e>
            <m:sup>
              <m:r>
                <m:rPr>
                  <m:sty m:val="bi"/>
                </m:rPr>
                <w:rPr>
                  <w:rStyle w:val="math-inline"/>
                  <w:rFonts w:ascii="Cambria Math" w:hAnsi="Cambria Math"/>
                </w:rPr>
                <m:t>2</m:t>
              </m:r>
            </m:sup>
          </m:sSup>
          <m:r>
            <m:rPr>
              <m:sty m:val="bi"/>
            </m:rPr>
            <w:rPr>
              <w:rStyle w:val="math-inline"/>
              <w:rFonts w:ascii="Cambria Math" w:hAnsi="Cambria Math"/>
            </w:rPr>
            <m:t>e/year]</m:t>
          </m:r>
        </m:oMath>
      </m:oMathPara>
    </w:p>
    <w:p w14:paraId="21BD968C" w14:textId="77777777" w:rsidR="005426F0" w:rsidRPr="009B1B1A" w:rsidRDefault="005426F0" w:rsidP="00E07E9C">
      <w:pPr>
        <w:bidi w:val="0"/>
        <w:spacing w:before="60" w:after="60" w:line="360" w:lineRule="auto"/>
        <w:ind w:firstLine="1620"/>
        <w:rPr>
          <w:rStyle w:val="math-inline"/>
          <w:rFonts w:asciiTheme="minorBidi" w:eastAsiaTheme="minorEastAsia" w:hAnsiTheme="minorBidi"/>
          <w:b/>
          <w:sz w:val="6"/>
          <w:szCs w:val="6"/>
        </w:rPr>
      </w:pPr>
    </w:p>
    <w:p w14:paraId="6C9860C4" w14:textId="77777777" w:rsidR="000E07BB" w:rsidRPr="009B1B1A" w:rsidRDefault="000E07BB" w:rsidP="00E07E9C">
      <w:pPr>
        <w:bidi w:val="0"/>
        <w:spacing w:before="60" w:after="60" w:line="360" w:lineRule="auto"/>
        <w:ind w:firstLine="1620"/>
        <w:rPr>
          <w:rStyle w:val="math-inline"/>
          <w:rFonts w:asciiTheme="minorBidi" w:eastAsiaTheme="minorEastAsia" w:hAnsiTheme="minorBidi"/>
          <w:b/>
          <w:sz w:val="10"/>
          <w:szCs w:val="10"/>
        </w:rPr>
      </w:pPr>
    </w:p>
    <w:p w14:paraId="60E01BAD" w14:textId="641200C3" w:rsidR="009B1B1A" w:rsidRPr="00E07E9C" w:rsidRDefault="009B1B1A" w:rsidP="009B1B1A">
      <w:pPr>
        <w:pStyle w:val="ListParagraph"/>
        <w:numPr>
          <w:ilvl w:val="0"/>
          <w:numId w:val="49"/>
        </w:num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Eq</w:t>
      </w:r>
      <w:r>
        <w:rPr>
          <w:rFonts w:asciiTheme="minorBidi" w:eastAsia="Arial" w:hAnsiTheme="minorBidi"/>
          <w:sz w:val="24"/>
          <w:szCs w:val="24"/>
        </w:rPr>
        <w:t>uation 3</w:t>
      </w:r>
      <w:r w:rsidRPr="00E07E9C">
        <w:rPr>
          <w:rFonts w:asciiTheme="minorBidi" w:eastAsia="Arial" w:hAnsiTheme="minorBidi"/>
          <w:sz w:val="24"/>
          <w:szCs w:val="24"/>
        </w:rPr>
        <w:t xml:space="preserve"> </w:t>
      </w:r>
    </w:p>
    <w:p w14:paraId="35869A44" w14:textId="32EAABF1" w:rsidR="000E07BB" w:rsidRPr="00E07E9C" w:rsidRDefault="000E07BB" w:rsidP="00E07E9C">
      <w:pPr>
        <w:bidi w:val="0"/>
        <w:spacing w:before="60" w:after="60" w:line="360" w:lineRule="auto"/>
        <w:ind w:firstLine="1620"/>
        <w:rPr>
          <w:rStyle w:val="math-inline"/>
          <w:rFonts w:asciiTheme="minorBidi" w:eastAsiaTheme="minorEastAsia" w:hAnsiTheme="minorBidi"/>
          <w:b/>
        </w:rPr>
      </w:pPr>
      <m:oMathPara>
        <m:oMath>
          <m:r>
            <m:rPr>
              <m:sty m:val="bi"/>
            </m:rPr>
            <w:rPr>
              <w:rStyle w:val="math-inline"/>
              <w:rFonts w:ascii="Cambria Math" w:hAnsi="Cambria Math"/>
            </w:rPr>
            <m:t xml:space="preserve">Carbon Revenue = CER × </m:t>
          </m:r>
          <m:sSub>
            <m:sSubPr>
              <m:ctrlPr>
                <w:rPr>
                  <w:rStyle w:val="math-inline"/>
                  <w:rFonts w:ascii="Cambria Math" w:hAnsi="Cambria Math"/>
                  <w:b/>
                  <w:i/>
                </w:rPr>
              </m:ctrlPr>
            </m:sSubPr>
            <m:e>
              <m:r>
                <m:rPr>
                  <m:sty m:val="bi"/>
                </m:rPr>
                <w:rPr>
                  <w:rStyle w:val="math-inline"/>
                  <w:rFonts w:ascii="Cambria Math" w:hAnsi="Cambria Math"/>
                </w:rPr>
                <m:t>P</m:t>
              </m:r>
            </m:e>
            <m:sub>
              <m:r>
                <m:rPr>
                  <m:sty m:val="bi"/>
                </m:rPr>
                <w:rPr>
                  <w:rStyle w:val="math-inline"/>
                  <w:rFonts w:ascii="Cambria Math" w:hAnsi="Cambria Math"/>
                </w:rPr>
                <m:t>carbon</m:t>
              </m:r>
            </m:sub>
          </m:sSub>
          <m:r>
            <m:rPr>
              <m:sty m:val="bi"/>
            </m:rPr>
            <w:rPr>
              <w:rStyle w:val="math-inline"/>
              <w:rFonts w:ascii="Cambria Math" w:hAnsi="Cambria Math"/>
            </w:rPr>
            <m:t xml:space="preserve">                  [SAR/year]</m:t>
          </m:r>
        </m:oMath>
      </m:oMathPara>
    </w:p>
    <w:p w14:paraId="5A90F990" w14:textId="77777777" w:rsidR="005426F0" w:rsidRPr="009B1B1A" w:rsidRDefault="005426F0" w:rsidP="00E07E9C">
      <w:pPr>
        <w:bidi w:val="0"/>
        <w:spacing w:before="60" w:after="60" w:line="360" w:lineRule="auto"/>
        <w:ind w:firstLine="1620"/>
        <w:rPr>
          <w:rStyle w:val="math-inline"/>
          <w:rFonts w:asciiTheme="minorBidi" w:eastAsiaTheme="minorEastAsia" w:hAnsiTheme="minorBidi"/>
          <w:b/>
          <w:sz w:val="8"/>
          <w:szCs w:val="8"/>
        </w:rPr>
      </w:pPr>
    </w:p>
    <w:p w14:paraId="5F396CD7" w14:textId="77777777" w:rsidR="000E07BB" w:rsidRPr="009B1B1A" w:rsidRDefault="000E07BB" w:rsidP="00E07E9C">
      <w:pPr>
        <w:bidi w:val="0"/>
        <w:spacing w:before="60" w:after="60" w:line="360" w:lineRule="auto"/>
        <w:ind w:firstLine="1620"/>
        <w:rPr>
          <w:rStyle w:val="math-inline"/>
          <w:rFonts w:asciiTheme="minorBidi" w:eastAsiaTheme="minorEastAsia" w:hAnsiTheme="minorBidi"/>
          <w:b/>
          <w:sz w:val="10"/>
          <w:szCs w:val="10"/>
        </w:rPr>
      </w:pPr>
    </w:p>
    <w:p w14:paraId="21B418FA" w14:textId="42EE6C4F" w:rsidR="009B1B1A" w:rsidRPr="00E07E9C" w:rsidRDefault="009B1B1A" w:rsidP="009B1B1A">
      <w:pPr>
        <w:pStyle w:val="ListParagraph"/>
        <w:numPr>
          <w:ilvl w:val="0"/>
          <w:numId w:val="49"/>
        </w:num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Eq</w:t>
      </w:r>
      <w:r>
        <w:rPr>
          <w:rFonts w:asciiTheme="minorBidi" w:eastAsia="Arial" w:hAnsiTheme="minorBidi"/>
          <w:sz w:val="24"/>
          <w:szCs w:val="24"/>
        </w:rPr>
        <w:t>uation 4</w:t>
      </w:r>
    </w:p>
    <w:p w14:paraId="3CD0138A" w14:textId="16638EA9" w:rsidR="000E07BB" w:rsidRPr="00E07E9C" w:rsidRDefault="000E07BB" w:rsidP="00E07E9C">
      <w:pPr>
        <w:bidi w:val="0"/>
        <w:spacing w:before="60" w:after="60" w:line="360" w:lineRule="auto"/>
        <w:ind w:firstLine="1620"/>
        <w:rPr>
          <w:rStyle w:val="math-inline"/>
          <w:rFonts w:asciiTheme="minorBidi" w:eastAsiaTheme="minorEastAsia" w:hAnsiTheme="minorBidi"/>
          <w:b/>
        </w:rPr>
      </w:pPr>
      <m:oMathPara>
        <m:oMath>
          <m:r>
            <m:rPr>
              <m:sty m:val="bi"/>
            </m:rPr>
            <w:rPr>
              <w:rStyle w:val="math-inline"/>
              <w:rFonts w:ascii="Cambria Math" w:hAnsi="Cambria Math"/>
            </w:rPr>
            <m:t xml:space="preserve">OPEX Savings = </m:t>
          </m:r>
          <m:sSub>
            <m:sSubPr>
              <m:ctrlPr>
                <w:rPr>
                  <w:rStyle w:val="math-inline"/>
                  <w:rFonts w:ascii="Cambria Math" w:hAnsi="Cambria Math"/>
                  <w:b/>
                  <w:i/>
                </w:rPr>
              </m:ctrlPr>
            </m:sSubPr>
            <m:e>
              <m:r>
                <m:rPr>
                  <m:sty m:val="bi"/>
                </m:rPr>
                <w:rPr>
                  <w:rStyle w:val="math-inline"/>
                  <w:rFonts w:ascii="Cambria Math" w:hAnsi="Cambria Math"/>
                </w:rPr>
                <m:t>E</m:t>
              </m:r>
            </m:e>
            <m:sub>
              <m:r>
                <m:rPr>
                  <m:sty m:val="bi"/>
                </m:rPr>
                <w:rPr>
                  <w:rStyle w:val="math-inline"/>
                  <w:rFonts w:ascii="Cambria Math" w:hAnsi="Cambria Math"/>
                </w:rPr>
                <m:t>saved</m:t>
              </m:r>
            </m:sub>
          </m:sSub>
          <m:r>
            <m:rPr>
              <m:sty m:val="bi"/>
            </m:rPr>
            <w:rPr>
              <w:rStyle w:val="math-inline"/>
              <w:rFonts w:ascii="Cambria Math" w:hAnsi="Cambria Math"/>
            </w:rPr>
            <m:t>× Electricity Tariff        [SAR/year]</m:t>
          </m:r>
        </m:oMath>
      </m:oMathPara>
    </w:p>
    <w:p w14:paraId="7DA26B86" w14:textId="77777777" w:rsidR="005426F0" w:rsidRPr="00E07E9C" w:rsidRDefault="005426F0" w:rsidP="00E07E9C">
      <w:pPr>
        <w:bidi w:val="0"/>
        <w:spacing w:before="60" w:after="60" w:line="360" w:lineRule="auto"/>
        <w:ind w:firstLine="1620"/>
        <w:rPr>
          <w:rStyle w:val="math-inline"/>
          <w:rFonts w:asciiTheme="minorBidi" w:eastAsiaTheme="minorEastAsia" w:hAnsiTheme="minorBidi"/>
          <w:b/>
        </w:rPr>
      </w:pPr>
    </w:p>
    <w:p w14:paraId="03144322" w14:textId="77777777" w:rsidR="000E07BB" w:rsidRPr="009B1B1A" w:rsidRDefault="000E07BB" w:rsidP="00E07E9C">
      <w:pPr>
        <w:bidi w:val="0"/>
        <w:spacing w:before="60" w:after="60" w:line="360" w:lineRule="auto"/>
        <w:rPr>
          <w:rStyle w:val="math-inline"/>
          <w:rFonts w:asciiTheme="minorBidi" w:eastAsiaTheme="minorEastAsia" w:hAnsiTheme="minorBidi"/>
          <w:b/>
          <w:sz w:val="8"/>
          <w:szCs w:val="8"/>
        </w:rPr>
      </w:pPr>
    </w:p>
    <w:p w14:paraId="4FBDDA08" w14:textId="709AFC3B" w:rsidR="009B1B1A" w:rsidRPr="00E07E9C" w:rsidRDefault="009B1B1A" w:rsidP="009B1B1A">
      <w:pPr>
        <w:pStyle w:val="ListParagraph"/>
        <w:numPr>
          <w:ilvl w:val="0"/>
          <w:numId w:val="49"/>
        </w:num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Eq</w:t>
      </w:r>
      <w:r>
        <w:rPr>
          <w:rFonts w:asciiTheme="minorBidi" w:eastAsia="Arial" w:hAnsiTheme="minorBidi"/>
          <w:sz w:val="24"/>
          <w:szCs w:val="24"/>
        </w:rPr>
        <w:t>uation 5</w:t>
      </w:r>
      <w:r w:rsidRPr="00E07E9C">
        <w:rPr>
          <w:rFonts w:asciiTheme="minorBidi" w:eastAsia="Arial" w:hAnsiTheme="minorBidi"/>
          <w:sz w:val="24"/>
          <w:szCs w:val="24"/>
        </w:rPr>
        <w:t xml:space="preserve"> </w:t>
      </w:r>
    </w:p>
    <w:p w14:paraId="7050E057" w14:textId="55EF4696" w:rsidR="000E07BB" w:rsidRPr="00E07E9C" w:rsidRDefault="000E07BB" w:rsidP="00E07E9C">
      <w:pPr>
        <w:bidi w:val="0"/>
        <w:spacing w:before="60" w:after="60" w:line="360" w:lineRule="auto"/>
        <w:ind w:firstLine="1620"/>
        <w:rPr>
          <w:rStyle w:val="math-inline"/>
          <w:rFonts w:asciiTheme="minorBidi" w:eastAsiaTheme="minorEastAsia" w:hAnsiTheme="minorBidi"/>
          <w:b/>
        </w:rPr>
      </w:pPr>
      <m:oMathPara>
        <m:oMath>
          <m:r>
            <m:rPr>
              <m:sty m:val="bi"/>
            </m:rPr>
            <w:rPr>
              <w:rStyle w:val="math-inline"/>
              <w:rFonts w:ascii="Cambria Math" w:hAnsi="Cambria Math"/>
            </w:rPr>
            <m:t xml:space="preserve">Net Cash Flow = </m:t>
          </m:r>
          <m:d>
            <m:dPr>
              <m:ctrlPr>
                <w:rPr>
                  <w:rStyle w:val="math-inline"/>
                  <w:rFonts w:ascii="Cambria Math" w:hAnsi="Cambria Math"/>
                  <w:b/>
                  <w:i/>
                </w:rPr>
              </m:ctrlPr>
            </m:dPr>
            <m:e>
              <m:r>
                <m:rPr>
                  <m:sty m:val="bi"/>
                </m:rPr>
                <w:rPr>
                  <w:rStyle w:val="math-inline"/>
                  <w:rFonts w:ascii="Cambria Math" w:hAnsi="Cambria Math"/>
                </w:rPr>
                <m:t>Carbon Rev + OPEX</m:t>
              </m:r>
            </m:e>
          </m:d>
          <m:r>
            <m:rPr>
              <m:sty m:val="bi"/>
            </m:rPr>
            <w:rPr>
              <w:rStyle w:val="math-inline"/>
              <w:rFonts w:ascii="Cambria Math" w:hAnsi="Cambria Math"/>
            </w:rPr>
            <m:t>- MRV Cost     [SAR/year]</m:t>
          </m:r>
        </m:oMath>
      </m:oMathPara>
    </w:p>
    <w:p w14:paraId="42764DDA" w14:textId="77777777" w:rsidR="005426F0" w:rsidRPr="00E07E9C" w:rsidRDefault="005426F0" w:rsidP="00E07E9C">
      <w:pPr>
        <w:bidi w:val="0"/>
        <w:spacing w:before="60" w:after="60" w:line="360" w:lineRule="auto"/>
        <w:ind w:firstLine="1620"/>
        <w:rPr>
          <w:rStyle w:val="math-inline"/>
          <w:rFonts w:asciiTheme="minorBidi" w:eastAsiaTheme="minorEastAsia" w:hAnsiTheme="minorBidi"/>
          <w:b/>
        </w:rPr>
      </w:pPr>
    </w:p>
    <w:p w14:paraId="7A7408EB" w14:textId="77777777" w:rsidR="000E07BB" w:rsidRPr="009B1B1A" w:rsidRDefault="000E07BB" w:rsidP="00E07E9C">
      <w:pPr>
        <w:bidi w:val="0"/>
        <w:spacing w:before="60" w:after="60" w:line="360" w:lineRule="auto"/>
        <w:ind w:firstLine="1620"/>
        <w:rPr>
          <w:rStyle w:val="math-inline"/>
          <w:rFonts w:asciiTheme="minorBidi" w:eastAsiaTheme="minorEastAsia" w:hAnsiTheme="minorBidi"/>
          <w:b/>
          <w:sz w:val="6"/>
          <w:szCs w:val="6"/>
        </w:rPr>
      </w:pPr>
    </w:p>
    <w:p w14:paraId="04CB4837" w14:textId="1F099ABF" w:rsidR="009B1B1A" w:rsidRPr="00E07E9C" w:rsidRDefault="009B1B1A" w:rsidP="009B1B1A">
      <w:pPr>
        <w:pStyle w:val="ListParagraph"/>
        <w:numPr>
          <w:ilvl w:val="0"/>
          <w:numId w:val="49"/>
        </w:num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Eq</w:t>
      </w:r>
      <w:r>
        <w:rPr>
          <w:rFonts w:asciiTheme="minorBidi" w:eastAsia="Arial" w:hAnsiTheme="minorBidi"/>
          <w:sz w:val="24"/>
          <w:szCs w:val="24"/>
        </w:rPr>
        <w:t>uation 6</w:t>
      </w:r>
      <w:r w:rsidRPr="00E07E9C">
        <w:rPr>
          <w:rFonts w:asciiTheme="minorBidi" w:eastAsia="Arial" w:hAnsiTheme="minorBidi"/>
          <w:sz w:val="24"/>
          <w:szCs w:val="24"/>
        </w:rPr>
        <w:t xml:space="preserve"> </w:t>
      </w:r>
    </w:p>
    <w:p w14:paraId="634437CB" w14:textId="1035B19C" w:rsidR="000E07BB" w:rsidRPr="00E07E9C" w:rsidRDefault="000E07BB" w:rsidP="00E07E9C">
      <w:pPr>
        <w:bidi w:val="0"/>
        <w:spacing w:before="60" w:after="60" w:line="360" w:lineRule="auto"/>
        <w:ind w:firstLine="1620"/>
        <w:rPr>
          <w:rStyle w:val="math-inline"/>
          <w:rFonts w:asciiTheme="minorBidi" w:eastAsiaTheme="minorEastAsia" w:hAnsiTheme="minorBidi"/>
          <w:b/>
        </w:rPr>
      </w:pPr>
      <m:oMathPara>
        <m:oMath>
          <m:r>
            <m:rPr>
              <m:sty m:val="bi"/>
            </m:rPr>
            <w:rPr>
              <w:rStyle w:val="math-inline"/>
              <w:rFonts w:ascii="Cambria Math" w:hAnsi="Cambria Math"/>
            </w:rPr>
            <m:t xml:space="preserve">SPP = </m:t>
          </m:r>
          <m:f>
            <m:fPr>
              <m:ctrlPr>
                <w:rPr>
                  <w:rStyle w:val="math-inline"/>
                  <w:rFonts w:ascii="Cambria Math" w:hAnsi="Cambria Math"/>
                  <w:b/>
                  <w:i/>
                </w:rPr>
              </m:ctrlPr>
            </m:fPr>
            <m:num>
              <m:r>
                <m:rPr>
                  <m:sty m:val="bi"/>
                </m:rPr>
                <w:rPr>
                  <w:rStyle w:val="math-inline"/>
                  <w:rFonts w:ascii="Cambria Math" w:hAnsi="Cambria Math"/>
                </w:rPr>
                <m:t xml:space="preserve">CAPEX_total   </m:t>
              </m:r>
            </m:num>
            <m:den>
              <m:r>
                <m:rPr>
                  <m:sty m:val="bi"/>
                </m:rPr>
                <w:rPr>
                  <w:rStyle w:val="math-inline"/>
                  <w:rFonts w:ascii="Cambria Math" w:hAnsi="Cambria Math"/>
                </w:rPr>
                <m:t xml:space="preserve"> Net Cash Flow</m:t>
              </m:r>
            </m:den>
          </m:f>
          <m:r>
            <m:rPr>
              <m:sty m:val="bi"/>
            </m:rPr>
            <w:rPr>
              <w:rStyle w:val="math-inline"/>
              <w:rFonts w:ascii="Cambria Math" w:hAnsi="Cambria Math"/>
            </w:rPr>
            <m:t xml:space="preserve">                [years]</m:t>
          </m:r>
        </m:oMath>
      </m:oMathPara>
    </w:p>
    <w:p w14:paraId="32A12D02" w14:textId="77777777" w:rsidR="005426F0" w:rsidRPr="00E07E9C" w:rsidRDefault="005426F0" w:rsidP="00E07E9C">
      <w:pPr>
        <w:bidi w:val="0"/>
        <w:spacing w:before="60" w:after="60" w:line="360" w:lineRule="auto"/>
        <w:ind w:firstLine="1620"/>
        <w:rPr>
          <w:rStyle w:val="math-inline"/>
          <w:rFonts w:asciiTheme="minorBidi" w:eastAsiaTheme="minorEastAsia" w:hAnsiTheme="minorBidi"/>
          <w:b/>
        </w:rPr>
      </w:pPr>
    </w:p>
    <w:p w14:paraId="79F98F52" w14:textId="77777777" w:rsidR="005426F0" w:rsidRPr="009B1B1A" w:rsidRDefault="005426F0" w:rsidP="00E07E9C">
      <w:pPr>
        <w:bidi w:val="0"/>
        <w:spacing w:before="60" w:after="60" w:line="360" w:lineRule="auto"/>
        <w:ind w:firstLine="1620"/>
        <w:rPr>
          <w:rStyle w:val="math-inline"/>
          <w:rFonts w:asciiTheme="minorBidi" w:eastAsiaTheme="minorEastAsia" w:hAnsiTheme="minorBidi"/>
          <w:b/>
          <w:sz w:val="8"/>
          <w:szCs w:val="8"/>
        </w:rPr>
      </w:pPr>
    </w:p>
    <w:p w14:paraId="4E824576" w14:textId="4B0A1685" w:rsidR="009B1B1A" w:rsidRPr="00E07E9C" w:rsidRDefault="009B1B1A" w:rsidP="009B1B1A">
      <w:pPr>
        <w:pStyle w:val="ListParagraph"/>
        <w:numPr>
          <w:ilvl w:val="0"/>
          <w:numId w:val="49"/>
        </w:num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Eq</w:t>
      </w:r>
      <w:r>
        <w:rPr>
          <w:rFonts w:asciiTheme="minorBidi" w:eastAsia="Arial" w:hAnsiTheme="minorBidi"/>
          <w:sz w:val="24"/>
          <w:szCs w:val="24"/>
        </w:rPr>
        <w:t>uation 7</w:t>
      </w:r>
    </w:p>
    <w:p w14:paraId="6592127D" w14:textId="34E0A36C" w:rsidR="005426F0" w:rsidRPr="00E07E9C" w:rsidRDefault="005426F0" w:rsidP="00E07E9C">
      <w:pPr>
        <w:bidi w:val="0"/>
        <w:spacing w:before="60" w:after="60" w:line="360" w:lineRule="auto"/>
        <w:ind w:firstLine="1620"/>
        <w:rPr>
          <w:rStyle w:val="math-inline"/>
          <w:rFonts w:asciiTheme="minorBidi" w:eastAsiaTheme="minorEastAsia" w:hAnsiTheme="minorBidi"/>
          <w:b/>
        </w:rPr>
      </w:pPr>
      <m:oMathPara>
        <m:oMath>
          <m:r>
            <m:rPr>
              <m:sty m:val="bi"/>
            </m:rPr>
            <w:rPr>
              <w:rStyle w:val="math-inline"/>
              <w:rFonts w:ascii="Cambria Math" w:hAnsi="Cambria Math"/>
            </w:rPr>
            <m:t>RO</m:t>
          </m:r>
          <m:sSub>
            <m:sSubPr>
              <m:ctrlPr>
                <w:rPr>
                  <w:rStyle w:val="math-inline"/>
                  <w:rFonts w:ascii="Cambria Math" w:hAnsi="Cambria Math"/>
                  <w:b/>
                  <w:i/>
                </w:rPr>
              </m:ctrlPr>
            </m:sSubPr>
            <m:e>
              <m:r>
                <m:rPr>
                  <m:sty m:val="bi"/>
                </m:rPr>
                <w:rPr>
                  <w:rStyle w:val="math-inline"/>
                  <w:rFonts w:ascii="Cambria Math" w:hAnsi="Cambria Math"/>
                </w:rPr>
                <m:t>I</m:t>
              </m:r>
            </m:e>
            <m:sub>
              <m:r>
                <m:rPr>
                  <m:sty m:val="bi"/>
                </m:rPr>
                <w:rPr>
                  <w:rStyle w:val="math-inline"/>
                  <w:rFonts w:ascii="Cambria Math" w:hAnsi="Cambria Math"/>
                </w:rPr>
                <m:t>N</m:t>
              </m:r>
            </m:sub>
          </m:sSub>
          <m:r>
            <m:rPr>
              <m:sty m:val="bi"/>
            </m:rPr>
            <w:rPr>
              <w:rStyle w:val="math-inline"/>
              <w:rFonts w:ascii="Cambria Math" w:hAnsi="Cambria Math"/>
            </w:rPr>
            <m:t>=</m:t>
          </m:r>
          <m:f>
            <m:fPr>
              <m:ctrlPr>
                <w:rPr>
                  <w:rStyle w:val="math-inline"/>
                  <w:rFonts w:ascii="Cambria Math" w:hAnsi="Cambria Math"/>
                  <w:b/>
                  <w:i/>
                </w:rPr>
              </m:ctrlPr>
            </m:fPr>
            <m:num>
              <m:d>
                <m:dPr>
                  <m:begChr m:val="["/>
                  <m:endChr m:val="]"/>
                  <m:ctrlPr>
                    <w:rPr>
                      <w:rStyle w:val="math-inline"/>
                      <w:rFonts w:ascii="Cambria Math" w:hAnsi="Cambria Math"/>
                      <w:b/>
                      <w:i/>
                    </w:rPr>
                  </m:ctrlPr>
                </m:dPr>
                <m:e>
                  <m:d>
                    <m:dPr>
                      <m:ctrlPr>
                        <w:rPr>
                          <w:rStyle w:val="math-inline"/>
                          <w:rFonts w:ascii="Cambria Math" w:hAnsi="Cambria Math"/>
                          <w:b/>
                          <w:i/>
                        </w:rPr>
                      </m:ctrlPr>
                    </m:dPr>
                    <m:e>
                      <m:r>
                        <m:rPr>
                          <m:sty m:val="bi"/>
                        </m:rPr>
                        <w:rPr>
                          <w:rStyle w:val="math-inline"/>
                          <w:rFonts w:ascii="Cambria Math" w:hAnsi="Cambria Math"/>
                        </w:rPr>
                        <m:t>NCF × N</m:t>
                      </m:r>
                    </m:e>
                  </m:d>
                  <m:r>
                    <m:rPr>
                      <m:sty m:val="bi"/>
                    </m:rPr>
                    <w:rPr>
                      <w:rStyle w:val="math-inline"/>
                      <w:rFonts w:ascii="Cambria Math" w:hAnsi="Cambria Math"/>
                    </w:rPr>
                    <m:t>- CAPEX</m:t>
                  </m:r>
                </m:e>
              </m:d>
            </m:num>
            <m:den>
              <m:r>
                <m:rPr>
                  <m:sty m:val="bi"/>
                </m:rPr>
                <w:rPr>
                  <w:rStyle w:val="math-inline"/>
                  <w:rFonts w:ascii="Cambria Math" w:hAnsi="Cambria Math"/>
                </w:rPr>
                <m:t>CAPEX × 100</m:t>
              </m:r>
            </m:den>
          </m:f>
          <m:r>
            <m:rPr>
              <m:sty m:val="bi"/>
            </m:rPr>
            <w:rPr>
              <w:rStyle w:val="math-inline"/>
              <w:rFonts w:ascii="Cambria Math" w:hAnsi="Cambria Math"/>
            </w:rPr>
            <m:t xml:space="preserve">               </m:t>
          </m:r>
          <m:d>
            <m:dPr>
              <m:begChr m:val="["/>
              <m:endChr m:val="]"/>
              <m:ctrlPr>
                <w:rPr>
                  <w:rStyle w:val="math-inline"/>
                  <w:rFonts w:ascii="Cambria Math" w:hAnsi="Cambria Math"/>
                  <w:b/>
                  <w:i/>
                </w:rPr>
              </m:ctrlPr>
            </m:dPr>
            <m:e>
              <m:r>
                <m:rPr>
                  <m:sty m:val="bi"/>
                </m:rPr>
                <w:rPr>
                  <w:rStyle w:val="math-inline"/>
                  <w:rFonts w:ascii="Cambria Math" w:hAnsi="Cambria Math"/>
                </w:rPr>
                <m:t>%</m:t>
              </m:r>
            </m:e>
          </m:d>
        </m:oMath>
      </m:oMathPara>
    </w:p>
    <w:p w14:paraId="6C378C1C" w14:textId="77777777" w:rsidR="000E07BB" w:rsidRPr="00E07E9C" w:rsidRDefault="000E07BB" w:rsidP="00E07E9C">
      <w:pPr>
        <w:bidi w:val="0"/>
        <w:spacing w:before="60" w:after="60" w:line="360" w:lineRule="auto"/>
        <w:ind w:firstLine="1620"/>
        <w:rPr>
          <w:rStyle w:val="math-inline"/>
          <w:rFonts w:asciiTheme="minorBidi" w:eastAsiaTheme="minorEastAsia" w:hAnsiTheme="minorBidi"/>
          <w:b/>
        </w:rPr>
      </w:pPr>
    </w:p>
    <w:p w14:paraId="118F7516" w14:textId="77777777" w:rsidR="004C49B6" w:rsidRPr="005C1F02"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26" w:name="_Toc232779232"/>
      <w:r w:rsidRPr="005C1F02">
        <w:rPr>
          <w:rFonts w:asciiTheme="minorBidi" w:eastAsia="Arial" w:hAnsiTheme="minorBidi" w:cstheme="minorBidi"/>
          <w:b/>
          <w:bCs/>
          <w:color w:val="000000" w:themeColor="text1"/>
          <w:sz w:val="28"/>
          <w:szCs w:val="28"/>
        </w:rPr>
        <w:lastRenderedPageBreak/>
        <w:t>9.4. Building Prototypes</w:t>
      </w:r>
      <w:bookmarkEnd w:id="26"/>
    </w:p>
    <w:p w14:paraId="478B9765" w14:textId="77777777" w:rsidR="004C49B6" w:rsidRPr="00E07E9C" w:rsidRDefault="004C49B6" w:rsidP="00E07E9C">
      <w:pPr>
        <w:bidi w:val="0"/>
        <w:spacing w:before="60" w:after="60" w:line="360" w:lineRule="auto"/>
        <w:rPr>
          <w:rFonts w:asciiTheme="minorBidi" w:hAnsiTheme="minorBidi"/>
        </w:rPr>
      </w:pPr>
    </w:p>
    <w:tbl>
      <w:tblPr>
        <w:tblW w:w="9206"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80"/>
        <w:gridCol w:w="2800"/>
        <w:gridCol w:w="2826"/>
      </w:tblGrid>
      <w:tr w:rsidR="004C49B6" w:rsidRPr="00E07E9C" w14:paraId="2129E795" w14:textId="77777777" w:rsidTr="005C1F02">
        <w:tc>
          <w:tcPr>
            <w:tcW w:w="358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513BE5B1"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b/>
                <w:bCs/>
                <w:color w:val="FFFFFF"/>
              </w:rPr>
              <w:t>Parameter</w:t>
            </w:r>
          </w:p>
        </w:tc>
        <w:tc>
          <w:tcPr>
            <w:tcW w:w="28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01E795A4"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b/>
                <w:bCs/>
                <w:color w:val="FFFFFF"/>
              </w:rPr>
              <w:t>Small Office — Grade B</w:t>
            </w:r>
          </w:p>
        </w:tc>
        <w:tc>
          <w:tcPr>
            <w:tcW w:w="28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2C645BFE"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b/>
                <w:bCs/>
                <w:color w:val="FFFFFF"/>
              </w:rPr>
              <w:t>Large Office — Grade A</w:t>
            </w:r>
          </w:p>
        </w:tc>
      </w:tr>
      <w:tr w:rsidR="004C49B6" w:rsidRPr="00E07E9C" w14:paraId="6672AC47" w14:textId="77777777" w:rsidTr="005C1F02">
        <w:tc>
          <w:tcPr>
            <w:tcW w:w="35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FA61478" w14:textId="77777777" w:rsidR="004C49B6" w:rsidRPr="005C1F02" w:rsidRDefault="004C49B6" w:rsidP="005C1F02">
            <w:pPr>
              <w:bidi w:val="0"/>
              <w:spacing w:after="0" w:line="360" w:lineRule="auto"/>
              <w:rPr>
                <w:rFonts w:asciiTheme="minorBidi" w:hAnsiTheme="minorBidi"/>
              </w:rPr>
            </w:pPr>
            <w:r w:rsidRPr="005C1F02">
              <w:rPr>
                <w:rFonts w:asciiTheme="minorBidi" w:eastAsia="Arial" w:hAnsiTheme="minorBidi"/>
                <w:color w:val="000000"/>
              </w:rPr>
              <w:t>Gross Leasable Area</w:t>
            </w:r>
          </w:p>
        </w:tc>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16C3B87"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10,000 m²</w:t>
            </w:r>
          </w:p>
        </w:tc>
        <w:tc>
          <w:tcPr>
            <w:tcW w:w="28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0346E27"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30,000 m²</w:t>
            </w:r>
          </w:p>
        </w:tc>
      </w:tr>
      <w:tr w:rsidR="004C49B6" w:rsidRPr="00E07E9C" w14:paraId="01FD8670" w14:textId="77777777" w:rsidTr="005C1F02">
        <w:tc>
          <w:tcPr>
            <w:tcW w:w="35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8480A87" w14:textId="77777777" w:rsidR="004C49B6" w:rsidRPr="005C1F02" w:rsidRDefault="004C49B6" w:rsidP="005C1F02">
            <w:pPr>
              <w:bidi w:val="0"/>
              <w:spacing w:after="0" w:line="360" w:lineRule="auto"/>
              <w:rPr>
                <w:rFonts w:asciiTheme="minorBidi" w:hAnsiTheme="minorBidi"/>
              </w:rPr>
            </w:pPr>
            <w:r w:rsidRPr="005C1F02">
              <w:rPr>
                <w:rFonts w:asciiTheme="minorBidi" w:eastAsia="Arial" w:hAnsiTheme="minorBidi"/>
                <w:color w:val="000000"/>
              </w:rPr>
              <w:t>Annual Energy Saved (35% EUI reduction)</w:t>
            </w:r>
          </w:p>
        </w:tc>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EC8C065"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1,050,000 kWh</w:t>
            </w:r>
          </w:p>
        </w:tc>
        <w:tc>
          <w:tcPr>
            <w:tcW w:w="28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689DD59"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3,150,000 kWh</w:t>
            </w:r>
          </w:p>
        </w:tc>
      </w:tr>
      <w:tr w:rsidR="004C49B6" w:rsidRPr="00E07E9C" w14:paraId="302F301A" w14:textId="77777777" w:rsidTr="005C1F02">
        <w:tc>
          <w:tcPr>
            <w:tcW w:w="35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761B27C3" w14:textId="77777777" w:rsidR="004C49B6" w:rsidRPr="005C1F02" w:rsidRDefault="004C49B6" w:rsidP="005C1F02">
            <w:pPr>
              <w:bidi w:val="0"/>
              <w:spacing w:after="0" w:line="360" w:lineRule="auto"/>
              <w:rPr>
                <w:rFonts w:asciiTheme="minorBidi" w:hAnsiTheme="minorBidi"/>
              </w:rPr>
            </w:pPr>
            <w:r w:rsidRPr="005C1F02">
              <w:rPr>
                <w:rFonts w:asciiTheme="minorBidi" w:eastAsia="Arial" w:hAnsiTheme="minorBidi"/>
                <w:color w:val="000000"/>
              </w:rPr>
              <w:t>Annual CER Yield (GEF: 0.58)</w:t>
            </w:r>
          </w:p>
        </w:tc>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AD16313"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609 tCO</w:t>
            </w:r>
            <w:r w:rsidRPr="005C1F02">
              <w:rPr>
                <w:rFonts w:ascii="Cambria Math" w:eastAsia="Arial" w:hAnsi="Cambria Math" w:cs="Cambria Math"/>
                <w:color w:val="000000"/>
              </w:rPr>
              <w:t>₂</w:t>
            </w:r>
            <w:r w:rsidRPr="005C1F02">
              <w:rPr>
                <w:rFonts w:asciiTheme="minorBidi" w:eastAsia="Arial" w:hAnsiTheme="minorBidi"/>
                <w:color w:val="000000"/>
              </w:rPr>
              <w:t>e</w:t>
            </w:r>
          </w:p>
        </w:tc>
        <w:tc>
          <w:tcPr>
            <w:tcW w:w="28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DD2846E"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1,827 tCO</w:t>
            </w:r>
            <w:r w:rsidRPr="005C1F02">
              <w:rPr>
                <w:rFonts w:ascii="Cambria Math" w:eastAsia="Arial" w:hAnsi="Cambria Math" w:cs="Cambria Math"/>
                <w:color w:val="000000"/>
              </w:rPr>
              <w:t>₂</w:t>
            </w:r>
            <w:r w:rsidRPr="005C1F02">
              <w:rPr>
                <w:rFonts w:asciiTheme="minorBidi" w:eastAsia="Arial" w:hAnsiTheme="minorBidi"/>
                <w:color w:val="000000"/>
              </w:rPr>
              <w:t>e</w:t>
            </w:r>
          </w:p>
        </w:tc>
      </w:tr>
      <w:tr w:rsidR="004C49B6" w:rsidRPr="00E07E9C" w14:paraId="74407A7E" w14:textId="77777777" w:rsidTr="005C1F02">
        <w:tc>
          <w:tcPr>
            <w:tcW w:w="35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D551B81" w14:textId="2F3A6123" w:rsidR="004C49B6" w:rsidRPr="005C1F02" w:rsidRDefault="004C49B6" w:rsidP="005C1F02">
            <w:pPr>
              <w:bidi w:val="0"/>
              <w:spacing w:after="0" w:line="360" w:lineRule="auto"/>
              <w:rPr>
                <w:rFonts w:asciiTheme="minorBidi" w:hAnsiTheme="minorBidi"/>
              </w:rPr>
            </w:pPr>
            <w:r w:rsidRPr="005C1F02">
              <w:rPr>
                <w:rFonts w:asciiTheme="minorBidi" w:eastAsia="Arial" w:hAnsiTheme="minorBidi"/>
                <w:color w:val="000000"/>
              </w:rPr>
              <w:t xml:space="preserve">Annual Carbon </w:t>
            </w:r>
            <w:r w:rsidR="000E07BB" w:rsidRPr="005C1F02">
              <w:rPr>
                <w:rFonts w:asciiTheme="minorBidi" w:eastAsia="Arial" w:hAnsiTheme="minorBidi"/>
                <w:color w:val="000000"/>
              </w:rPr>
              <w:t>Revenue</w:t>
            </w:r>
            <w:r w:rsidRPr="005C1F02">
              <w:rPr>
                <w:rFonts w:asciiTheme="minorBidi" w:eastAsia="Arial" w:hAnsiTheme="minorBidi"/>
                <w:color w:val="000000"/>
              </w:rPr>
              <w:t xml:space="preserve"> SAR 37.50</w:t>
            </w:r>
          </w:p>
        </w:tc>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50CF755"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SAR 22,838</w:t>
            </w:r>
          </w:p>
        </w:tc>
        <w:tc>
          <w:tcPr>
            <w:tcW w:w="28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D795F0E"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SAR 68,513</w:t>
            </w:r>
          </w:p>
        </w:tc>
      </w:tr>
      <w:tr w:rsidR="004C49B6" w:rsidRPr="00E07E9C" w14:paraId="6720AB95" w14:textId="77777777" w:rsidTr="005C1F02">
        <w:tc>
          <w:tcPr>
            <w:tcW w:w="35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8A82EE1" w14:textId="3D0F6AAF" w:rsidR="004C49B6" w:rsidRPr="005C1F02" w:rsidRDefault="004C49B6" w:rsidP="005C1F02">
            <w:pPr>
              <w:bidi w:val="0"/>
              <w:spacing w:after="0" w:line="360" w:lineRule="auto"/>
              <w:rPr>
                <w:rFonts w:asciiTheme="minorBidi" w:hAnsiTheme="minorBidi"/>
              </w:rPr>
            </w:pPr>
            <w:r w:rsidRPr="005C1F02">
              <w:rPr>
                <w:rFonts w:asciiTheme="minorBidi" w:eastAsia="Arial" w:hAnsiTheme="minorBidi"/>
                <w:color w:val="000000"/>
              </w:rPr>
              <w:t xml:space="preserve">Annual OPEX </w:t>
            </w:r>
            <w:r w:rsidR="000E07BB" w:rsidRPr="005C1F02">
              <w:rPr>
                <w:rFonts w:asciiTheme="minorBidi" w:eastAsia="Arial" w:hAnsiTheme="minorBidi"/>
                <w:color w:val="000000"/>
              </w:rPr>
              <w:t>Savings</w:t>
            </w:r>
            <w:r w:rsidRPr="005C1F02">
              <w:rPr>
                <w:rFonts w:asciiTheme="minorBidi" w:eastAsia="Arial" w:hAnsiTheme="minorBidi"/>
                <w:color w:val="000000"/>
              </w:rPr>
              <w:t xml:space="preserve"> SAR 0.18/kWh</w:t>
            </w:r>
          </w:p>
        </w:tc>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71B585D"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SAR 189,000</w:t>
            </w:r>
          </w:p>
        </w:tc>
        <w:tc>
          <w:tcPr>
            <w:tcW w:w="28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0F19AD79"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SAR 567,000</w:t>
            </w:r>
          </w:p>
        </w:tc>
      </w:tr>
      <w:tr w:rsidR="004C49B6" w:rsidRPr="00E07E9C" w14:paraId="69B4482A" w14:textId="77777777" w:rsidTr="005C1F02">
        <w:tc>
          <w:tcPr>
            <w:tcW w:w="35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B636EE8" w14:textId="77777777" w:rsidR="004C49B6" w:rsidRPr="005C1F02" w:rsidRDefault="004C49B6" w:rsidP="005C1F02">
            <w:pPr>
              <w:bidi w:val="0"/>
              <w:spacing w:after="0" w:line="360" w:lineRule="auto"/>
              <w:rPr>
                <w:rFonts w:asciiTheme="minorBidi" w:hAnsiTheme="minorBidi"/>
              </w:rPr>
            </w:pPr>
            <w:r w:rsidRPr="005C1F02">
              <w:rPr>
                <w:rFonts w:asciiTheme="minorBidi" w:eastAsia="Arial" w:hAnsiTheme="minorBidi"/>
                <w:color w:val="000000"/>
              </w:rPr>
              <w:t>MRV Cost (standalone)</w:t>
            </w:r>
          </w:p>
        </w:tc>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60A2BD2E"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SAR 60,000</w:t>
            </w:r>
          </w:p>
        </w:tc>
        <w:tc>
          <w:tcPr>
            <w:tcW w:w="28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5E407423" w14:textId="77777777" w:rsidR="004C49B6" w:rsidRPr="005C1F02" w:rsidRDefault="004C49B6" w:rsidP="005C1F02">
            <w:pPr>
              <w:bidi w:val="0"/>
              <w:spacing w:after="0" w:line="360" w:lineRule="auto"/>
              <w:jc w:val="center"/>
              <w:rPr>
                <w:rFonts w:asciiTheme="minorBidi" w:hAnsiTheme="minorBidi"/>
              </w:rPr>
            </w:pPr>
            <w:r w:rsidRPr="005C1F02">
              <w:rPr>
                <w:rFonts w:asciiTheme="minorBidi" w:eastAsia="Arial" w:hAnsiTheme="minorBidi"/>
                <w:color w:val="000000"/>
              </w:rPr>
              <w:t>SAR 60,000</w:t>
            </w:r>
          </w:p>
        </w:tc>
      </w:tr>
      <w:tr w:rsidR="004C49B6" w:rsidRPr="00E07E9C" w14:paraId="1CF946D3" w14:textId="77777777" w:rsidTr="005C1F02">
        <w:tc>
          <w:tcPr>
            <w:tcW w:w="35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44417136" w14:textId="77777777" w:rsidR="004C49B6" w:rsidRPr="005C1F02" w:rsidRDefault="004C49B6" w:rsidP="005C1F02">
            <w:pPr>
              <w:bidi w:val="0"/>
              <w:spacing w:after="0" w:line="360" w:lineRule="auto"/>
              <w:rPr>
                <w:rFonts w:asciiTheme="minorBidi" w:hAnsiTheme="minorBidi"/>
              </w:rPr>
            </w:pPr>
            <w:r w:rsidRPr="005C1F02">
              <w:rPr>
                <w:rFonts w:asciiTheme="minorBidi" w:eastAsia="Arial" w:hAnsiTheme="minorBidi"/>
                <w:color w:val="000000"/>
              </w:rPr>
              <w:t>Carbon Revenue as % of MRV Cost</w:t>
            </w:r>
          </w:p>
        </w:tc>
        <w:tc>
          <w:tcPr>
            <w:tcW w:w="2800" w:type="dxa"/>
            <w:tcBorders>
              <w:top w:val="single" w:sz="1" w:space="0" w:color="CCCCCC"/>
              <w:left w:val="single" w:sz="1" w:space="0" w:color="CCCCCC"/>
              <w:bottom w:val="single" w:sz="1" w:space="0" w:color="CCCCCC"/>
              <w:right w:val="single" w:sz="1" w:space="0" w:color="CCCCCC"/>
            </w:tcBorders>
            <w:shd w:val="clear" w:color="auto" w:fill="FCE4D6"/>
            <w:tcMar>
              <w:top w:w="80" w:type="dxa"/>
              <w:left w:w="120" w:type="dxa"/>
              <w:bottom w:w="80" w:type="dxa"/>
              <w:right w:w="120" w:type="dxa"/>
            </w:tcMar>
            <w:vAlign w:val="center"/>
          </w:tcPr>
          <w:p w14:paraId="1DA10B6C" w14:textId="07E0F805" w:rsidR="004C49B6" w:rsidRPr="005C1F02" w:rsidRDefault="000E07BB" w:rsidP="005C1F02">
            <w:pPr>
              <w:bidi w:val="0"/>
              <w:spacing w:after="0" w:line="360" w:lineRule="auto"/>
              <w:jc w:val="center"/>
              <w:rPr>
                <w:rFonts w:asciiTheme="minorBidi" w:hAnsiTheme="minorBidi"/>
              </w:rPr>
            </w:pPr>
            <w:r w:rsidRPr="005C1F02">
              <w:rPr>
                <w:rFonts w:asciiTheme="minorBidi" w:eastAsia="Arial" w:hAnsiTheme="minorBidi"/>
                <w:color w:val="000000"/>
              </w:rPr>
              <w:t>38%</w:t>
            </w:r>
            <w:r w:rsidR="004C49B6" w:rsidRPr="005C1F02">
              <w:rPr>
                <w:rFonts w:asciiTheme="minorBidi" w:eastAsia="Arial" w:hAnsiTheme="minorBidi"/>
                <w:color w:val="000000"/>
              </w:rPr>
              <w:t xml:space="preserve"> DEFICIT</w:t>
            </w:r>
          </w:p>
        </w:tc>
        <w:tc>
          <w:tcPr>
            <w:tcW w:w="2826"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463FE9CD" w14:textId="304ABDC7" w:rsidR="004C49B6" w:rsidRPr="005C1F02" w:rsidRDefault="005426F0" w:rsidP="005C1F02">
            <w:pPr>
              <w:bidi w:val="0"/>
              <w:spacing w:after="0" w:line="360" w:lineRule="auto"/>
              <w:jc w:val="center"/>
              <w:rPr>
                <w:rFonts w:asciiTheme="minorBidi" w:hAnsiTheme="minorBidi"/>
              </w:rPr>
            </w:pPr>
            <w:r w:rsidRPr="005C1F02">
              <w:rPr>
                <w:rFonts w:asciiTheme="minorBidi" w:eastAsia="Arial" w:hAnsiTheme="minorBidi"/>
                <w:b/>
                <w:bCs/>
                <w:color w:val="000000"/>
              </w:rPr>
              <w:t>114%</w:t>
            </w:r>
            <w:r w:rsidR="004C49B6" w:rsidRPr="005C1F02">
              <w:rPr>
                <w:rFonts w:asciiTheme="minorBidi" w:eastAsia="Arial" w:hAnsiTheme="minorBidi"/>
                <w:b/>
                <w:bCs/>
                <w:color w:val="000000"/>
              </w:rPr>
              <w:t xml:space="preserve"> COVERS MRV</w:t>
            </w:r>
          </w:p>
        </w:tc>
      </w:tr>
    </w:tbl>
    <w:p w14:paraId="221ECEF7" w14:textId="77777777" w:rsidR="004C49B6" w:rsidRPr="00E07E9C" w:rsidRDefault="004C49B6" w:rsidP="00E07E9C">
      <w:pPr>
        <w:bidi w:val="0"/>
        <w:spacing w:before="60" w:line="360" w:lineRule="auto"/>
        <w:jc w:val="center"/>
        <w:rPr>
          <w:rFonts w:asciiTheme="minorBidi" w:hAnsiTheme="minorBidi"/>
        </w:rPr>
      </w:pPr>
      <w:r w:rsidRPr="00E07E9C">
        <w:rPr>
          <w:rFonts w:asciiTheme="minorBidi" w:eastAsia="Arial" w:hAnsiTheme="minorBidi"/>
          <w:i/>
          <w:iCs/>
          <w:color w:val="555555"/>
          <w:sz w:val="20"/>
          <w:szCs w:val="20"/>
        </w:rPr>
        <w:t>Table 4: Annual Operating Profile — Building Prototypes</w:t>
      </w:r>
    </w:p>
    <w:p w14:paraId="28FB052B" w14:textId="77777777" w:rsidR="004C49B6" w:rsidRPr="00E07E9C" w:rsidRDefault="004C49B6" w:rsidP="00E07E9C">
      <w:pPr>
        <w:bidi w:val="0"/>
        <w:spacing w:before="60" w:after="60" w:line="360" w:lineRule="auto"/>
        <w:rPr>
          <w:rFonts w:asciiTheme="minorBidi" w:hAnsiTheme="minorBidi"/>
        </w:rPr>
      </w:pPr>
    </w:p>
    <w:p w14:paraId="7B19CC64" w14:textId="781B8EEC" w:rsidR="004C49B6" w:rsidRPr="005C1F02" w:rsidRDefault="004C49B6" w:rsidP="005C1F02">
      <w:pPr>
        <w:pStyle w:val="Heading2"/>
        <w:bidi w:val="0"/>
        <w:spacing w:line="360" w:lineRule="auto"/>
        <w:rPr>
          <w:rFonts w:asciiTheme="minorBidi" w:eastAsia="Arial" w:hAnsiTheme="minorBidi" w:cstheme="minorBidi"/>
          <w:b/>
          <w:bCs/>
          <w:color w:val="000000" w:themeColor="text1"/>
          <w:sz w:val="28"/>
          <w:szCs w:val="28"/>
        </w:rPr>
      </w:pPr>
      <w:bookmarkStart w:id="27" w:name="_Toc232779233"/>
      <w:r w:rsidRPr="005C1F02">
        <w:rPr>
          <w:rFonts w:asciiTheme="minorBidi" w:eastAsia="Arial" w:hAnsiTheme="minorBidi" w:cstheme="minorBidi"/>
          <w:b/>
          <w:bCs/>
          <w:color w:val="000000" w:themeColor="text1"/>
          <w:sz w:val="28"/>
          <w:szCs w:val="28"/>
        </w:rPr>
        <w:t>9.5. Research Scenarios</w:t>
      </w:r>
      <w:bookmarkEnd w:id="27"/>
    </w:p>
    <w:p w14:paraId="27C303B4" w14:textId="77777777" w:rsidR="004C49B6" w:rsidRPr="00E07E9C" w:rsidRDefault="004C49B6" w:rsidP="00E07E9C">
      <w:pPr>
        <w:pStyle w:val="ListParagraph"/>
        <w:numPr>
          <w:ilvl w:val="0"/>
          <w:numId w:val="48"/>
        </w:numPr>
        <w:bidi w:val="0"/>
        <w:spacing w:before="60" w:after="60" w:line="360" w:lineRule="auto"/>
        <w:contextualSpacing w:val="0"/>
        <w:jc w:val="both"/>
        <w:rPr>
          <w:rFonts w:asciiTheme="minorBidi" w:hAnsiTheme="minorBidi"/>
        </w:rPr>
      </w:pPr>
      <w:r w:rsidRPr="00E07E9C">
        <w:rPr>
          <w:rFonts w:asciiTheme="minorBidi" w:eastAsia="Arial" w:hAnsiTheme="minorBidi"/>
          <w:b/>
          <w:bCs/>
          <w:sz w:val="24"/>
          <w:szCs w:val="24"/>
        </w:rPr>
        <w:t xml:space="preserve">Scenario A — Single Building (Baseline): </w:t>
      </w:r>
      <w:r w:rsidRPr="00E07E9C">
        <w:rPr>
          <w:rFonts w:asciiTheme="minorBidi" w:eastAsia="Arial" w:hAnsiTheme="minorBidi"/>
          <w:sz w:val="24"/>
          <w:szCs w:val="24"/>
        </w:rPr>
        <w:t>Each prototype bears the full SAR 60,000 MRV cost independently. Tests H1 by proving whether standalone carbon market participation is financially viable.</w:t>
      </w:r>
    </w:p>
    <w:p w14:paraId="7F71CF1A" w14:textId="77777777" w:rsidR="004C49B6" w:rsidRPr="00E07E9C" w:rsidRDefault="004C49B6" w:rsidP="00E07E9C">
      <w:pPr>
        <w:pStyle w:val="ListParagraph"/>
        <w:numPr>
          <w:ilvl w:val="0"/>
          <w:numId w:val="48"/>
        </w:numPr>
        <w:bidi w:val="0"/>
        <w:spacing w:before="60" w:after="60" w:line="360" w:lineRule="auto"/>
        <w:contextualSpacing w:val="0"/>
        <w:jc w:val="both"/>
        <w:rPr>
          <w:rFonts w:asciiTheme="minorBidi" w:hAnsiTheme="minorBidi"/>
        </w:rPr>
      </w:pPr>
      <w:r w:rsidRPr="00E07E9C">
        <w:rPr>
          <w:rFonts w:asciiTheme="minorBidi" w:eastAsia="Arial" w:hAnsiTheme="minorBidi"/>
          <w:b/>
          <w:bCs/>
          <w:sz w:val="24"/>
          <w:szCs w:val="24"/>
        </w:rPr>
        <w:t xml:space="preserve">Scenario B — Aggregated Portfolio (Business Solution): </w:t>
      </w:r>
      <w:r w:rsidRPr="00E07E9C">
        <w:rPr>
          <w:rFonts w:asciiTheme="minorBidi" w:eastAsia="Arial" w:hAnsiTheme="minorBidi"/>
          <w:sz w:val="24"/>
          <w:szCs w:val="24"/>
        </w:rPr>
        <w:t>10 buildings (7 small + 3 large, total GLA: 160,000 m²) share a single RVCMC PoA with MRV fixed at SAR 85,000. Tests H2 and identifies the exact aggregation threshold.</w:t>
      </w:r>
    </w:p>
    <w:p w14:paraId="4C2319EC" w14:textId="33658282" w:rsidR="004C49B6" w:rsidRPr="00E07E9C" w:rsidRDefault="004C49B6" w:rsidP="00E07E9C">
      <w:pPr>
        <w:pStyle w:val="ListParagraph"/>
        <w:numPr>
          <w:ilvl w:val="0"/>
          <w:numId w:val="48"/>
        </w:numPr>
        <w:bidi w:val="0"/>
        <w:spacing w:before="60" w:after="60" w:line="360" w:lineRule="auto"/>
        <w:contextualSpacing w:val="0"/>
        <w:jc w:val="both"/>
        <w:rPr>
          <w:rFonts w:asciiTheme="minorBidi" w:hAnsiTheme="minorBidi"/>
        </w:rPr>
      </w:pPr>
      <w:r w:rsidRPr="00E07E9C">
        <w:rPr>
          <w:rFonts w:asciiTheme="minorBidi" w:eastAsia="Arial" w:hAnsiTheme="minorBidi"/>
          <w:b/>
          <w:bCs/>
          <w:sz w:val="24"/>
          <w:szCs w:val="24"/>
        </w:rPr>
        <w:t xml:space="preserve">Scenario C — </w:t>
      </w:r>
      <w:r w:rsidR="000E07BB" w:rsidRPr="00E07E9C">
        <w:rPr>
          <w:rFonts w:asciiTheme="minorBidi" w:eastAsia="Arial" w:hAnsiTheme="minorBidi"/>
          <w:b/>
          <w:bCs/>
          <w:sz w:val="24"/>
          <w:szCs w:val="24"/>
        </w:rPr>
        <w:t>Subsidized</w:t>
      </w:r>
      <w:r w:rsidRPr="00E07E9C">
        <w:rPr>
          <w:rFonts w:asciiTheme="minorBidi" w:eastAsia="Arial" w:hAnsiTheme="minorBidi"/>
          <w:b/>
          <w:bCs/>
          <w:sz w:val="24"/>
          <w:szCs w:val="24"/>
        </w:rPr>
        <w:t xml:space="preserve"> Portfolio (Vision 2030 Policy Solution): </w:t>
      </w:r>
      <w:r w:rsidRPr="00E07E9C">
        <w:rPr>
          <w:rFonts w:asciiTheme="minorBidi" w:eastAsia="Arial" w:hAnsiTheme="minorBidi"/>
          <w:sz w:val="24"/>
          <w:szCs w:val="24"/>
        </w:rPr>
        <w:t xml:space="preserve">Identical to Scenario B but with MRV costs fully </w:t>
      </w:r>
      <w:r w:rsidR="000E07BB" w:rsidRPr="00E07E9C">
        <w:rPr>
          <w:rFonts w:asciiTheme="minorBidi" w:eastAsia="Arial" w:hAnsiTheme="minorBidi"/>
          <w:sz w:val="24"/>
          <w:szCs w:val="24"/>
        </w:rPr>
        <w:t>subsidized</w:t>
      </w:r>
      <w:r w:rsidRPr="00E07E9C">
        <w:rPr>
          <w:rFonts w:asciiTheme="minorBidi" w:eastAsia="Arial" w:hAnsiTheme="minorBidi"/>
          <w:sz w:val="24"/>
          <w:szCs w:val="24"/>
        </w:rPr>
        <w:t xml:space="preserve"> in Years 1–5, reverting to SAR 85,000 in Years 6–15. Tests H3 and models the proposed SGI Verification Fund.</w:t>
      </w:r>
    </w:p>
    <w:p w14:paraId="79A647C6" w14:textId="77777777" w:rsidR="004C49B6" w:rsidRPr="00E07E9C" w:rsidRDefault="004C49B6" w:rsidP="00E07E9C">
      <w:pPr>
        <w:spacing w:before="60" w:after="60" w:line="360" w:lineRule="auto"/>
        <w:rPr>
          <w:rFonts w:asciiTheme="minorBidi" w:hAnsiTheme="minorBidi"/>
        </w:rPr>
      </w:pPr>
    </w:p>
    <w:p w14:paraId="7B1C7D59" w14:textId="77777777" w:rsidR="004C49B6" w:rsidRPr="005C1F02" w:rsidRDefault="004C49B6" w:rsidP="00E07E9C">
      <w:pPr>
        <w:pStyle w:val="Heading2"/>
        <w:bidi w:val="0"/>
        <w:spacing w:line="360" w:lineRule="auto"/>
        <w:rPr>
          <w:rFonts w:asciiTheme="minorBidi" w:eastAsia="Arial" w:hAnsiTheme="minorBidi" w:cstheme="minorBidi"/>
          <w:b/>
          <w:bCs/>
          <w:color w:val="000000" w:themeColor="text1"/>
          <w:sz w:val="28"/>
          <w:szCs w:val="28"/>
        </w:rPr>
      </w:pPr>
      <w:bookmarkStart w:id="28" w:name="_Toc232779234"/>
      <w:r w:rsidRPr="005C1F02">
        <w:rPr>
          <w:rFonts w:asciiTheme="minorBidi" w:eastAsia="Arial" w:hAnsiTheme="minorBidi" w:cstheme="minorBidi"/>
          <w:b/>
          <w:bCs/>
          <w:color w:val="000000" w:themeColor="text1"/>
          <w:sz w:val="28"/>
          <w:szCs w:val="28"/>
        </w:rPr>
        <w:lastRenderedPageBreak/>
        <w:t>9.6. Sensitivity Analysis</w:t>
      </w:r>
      <w:bookmarkEnd w:id="28"/>
    </w:p>
    <w:p w14:paraId="0F01BA71" w14:textId="14FDFED1" w:rsidR="004C49B6" w:rsidRPr="00E07E9C" w:rsidRDefault="004C49B6" w:rsidP="00E07E9C">
      <w:pPr>
        <w:bidi w:val="0"/>
        <w:spacing w:before="80" w:after="80" w:line="360" w:lineRule="auto"/>
        <w:jc w:val="both"/>
        <w:rPr>
          <w:rFonts w:asciiTheme="minorBidi" w:eastAsia="Arial" w:hAnsiTheme="minorBidi"/>
          <w:sz w:val="24"/>
          <w:szCs w:val="24"/>
        </w:rPr>
      </w:pPr>
      <w:r w:rsidRPr="00E07E9C">
        <w:rPr>
          <w:rFonts w:asciiTheme="minorBidi" w:eastAsia="Arial" w:hAnsiTheme="minorBidi"/>
          <w:sz w:val="24"/>
          <w:szCs w:val="24"/>
        </w:rPr>
        <w:t>All three scenarios are re-evaluated at carbon prices of SAR 30.00/tCO</w:t>
      </w:r>
      <w:r w:rsidRPr="00E07E9C">
        <w:rPr>
          <w:rFonts w:ascii="Cambria Math" w:eastAsia="Arial" w:hAnsi="Cambria Math" w:cs="Cambria Math"/>
          <w:sz w:val="24"/>
          <w:szCs w:val="24"/>
        </w:rPr>
        <w:t>₂</w:t>
      </w:r>
      <w:r w:rsidRPr="00E07E9C">
        <w:rPr>
          <w:rFonts w:asciiTheme="minorBidi" w:eastAsia="Arial" w:hAnsiTheme="minorBidi"/>
          <w:sz w:val="24"/>
          <w:szCs w:val="24"/>
        </w:rPr>
        <w:t>e (−20%) and SAR 45.00/tCO</w:t>
      </w:r>
      <w:r w:rsidRPr="00E07E9C">
        <w:rPr>
          <w:rFonts w:ascii="Cambria Math" w:eastAsia="Arial" w:hAnsi="Cambria Math" w:cs="Cambria Math"/>
          <w:sz w:val="24"/>
          <w:szCs w:val="24"/>
        </w:rPr>
        <w:t>₂</w:t>
      </w:r>
      <w:r w:rsidRPr="00E07E9C">
        <w:rPr>
          <w:rFonts w:asciiTheme="minorBidi" w:eastAsia="Arial" w:hAnsiTheme="minorBidi"/>
          <w:sz w:val="24"/>
          <w:szCs w:val="24"/>
        </w:rPr>
        <w:t>e (+20%) to test model robustness against VCM price volatility. A CBAM appreciation projection is also modelled from SAR 37.50 to SAR 210/</w:t>
      </w:r>
      <w:r w:rsidR="00972AD9" w:rsidRPr="00E07E9C">
        <w:rPr>
          <w:rFonts w:asciiTheme="minorBidi" w:eastAsia="Arial" w:hAnsiTheme="minorBidi"/>
          <w:sz w:val="24"/>
          <w:szCs w:val="24"/>
        </w:rPr>
        <w:t>ton</w:t>
      </w:r>
      <w:r w:rsidRPr="00E07E9C">
        <w:rPr>
          <w:rFonts w:asciiTheme="minorBidi" w:eastAsia="Arial" w:hAnsiTheme="minorBidi"/>
          <w:sz w:val="24"/>
          <w:szCs w:val="24"/>
        </w:rPr>
        <w:t xml:space="preserve"> over the 15-year horizon, consistent with McKinsey (2025) and the Saudi VCM’s 28.4% CAGR (Grand View Research, 2025).</w:t>
      </w:r>
    </w:p>
    <w:p w14:paraId="0A13E821" w14:textId="77777777" w:rsidR="000E07BB" w:rsidRPr="00E07E9C" w:rsidRDefault="000E07BB" w:rsidP="00E07E9C">
      <w:pPr>
        <w:bidi w:val="0"/>
        <w:spacing w:before="80" w:after="80" w:line="360" w:lineRule="auto"/>
        <w:jc w:val="both"/>
        <w:rPr>
          <w:rFonts w:asciiTheme="minorBidi" w:hAnsiTheme="minorBidi"/>
        </w:rPr>
      </w:pPr>
    </w:p>
    <w:p w14:paraId="742CF520" w14:textId="4122CE9C" w:rsidR="00692F66" w:rsidRPr="00E07E9C" w:rsidRDefault="00692F66" w:rsidP="00E07E9C">
      <w:pPr>
        <w:pStyle w:val="Heading2"/>
        <w:numPr>
          <w:ilvl w:val="0"/>
          <w:numId w:val="35"/>
        </w:numPr>
        <w:tabs>
          <w:tab w:val="left" w:pos="450"/>
        </w:tabs>
        <w:bidi w:val="0"/>
        <w:spacing w:line="360" w:lineRule="auto"/>
        <w:jc w:val="both"/>
        <w:rPr>
          <w:rFonts w:asciiTheme="minorBidi" w:hAnsiTheme="minorBidi" w:cstheme="minorBidi"/>
          <w:b/>
          <w:bCs/>
          <w:color w:val="000000" w:themeColor="text1"/>
          <w:sz w:val="32"/>
          <w:szCs w:val="32"/>
        </w:rPr>
      </w:pPr>
      <w:r w:rsidRPr="00E07E9C">
        <w:rPr>
          <w:rFonts w:asciiTheme="minorBidi" w:hAnsiTheme="minorBidi" w:cstheme="minorBidi"/>
          <w:b/>
          <w:bCs/>
          <w:color w:val="000000" w:themeColor="text1"/>
          <w:sz w:val="32"/>
          <w:szCs w:val="32"/>
        </w:rPr>
        <w:t>Research Instruments / Tools</w:t>
      </w:r>
      <w:bookmarkEnd w:id="23"/>
    </w:p>
    <w:p w14:paraId="67827AE6" w14:textId="6D720BCA" w:rsidR="005426F0" w:rsidRPr="005C1F02" w:rsidRDefault="005426F0" w:rsidP="005C1F02">
      <w:pPr>
        <w:pStyle w:val="Heading2"/>
        <w:numPr>
          <w:ilvl w:val="1"/>
          <w:numId w:val="35"/>
        </w:numPr>
        <w:tabs>
          <w:tab w:val="left" w:pos="900"/>
        </w:tabs>
        <w:bidi w:val="0"/>
        <w:spacing w:line="360" w:lineRule="auto"/>
        <w:ind w:hanging="252"/>
        <w:rPr>
          <w:rFonts w:asciiTheme="minorBidi" w:eastAsia="Arial" w:hAnsiTheme="minorBidi" w:cstheme="minorBidi"/>
          <w:b/>
          <w:bCs/>
          <w:color w:val="000000" w:themeColor="text1"/>
          <w:sz w:val="28"/>
          <w:szCs w:val="28"/>
        </w:rPr>
      </w:pPr>
      <w:r w:rsidRPr="005C1F02">
        <w:rPr>
          <w:rFonts w:asciiTheme="minorBidi" w:eastAsia="Arial" w:hAnsiTheme="minorBidi" w:cstheme="minorBidi"/>
          <w:b/>
          <w:bCs/>
          <w:color w:val="000000" w:themeColor="text1"/>
          <w:sz w:val="28"/>
          <w:szCs w:val="28"/>
        </w:rPr>
        <w:t>Executive Financial Model (MS Excel)</w:t>
      </w:r>
    </w:p>
    <w:p w14:paraId="242BE4F5" w14:textId="63F6E0FD" w:rsidR="005426F0" w:rsidRPr="00E07E9C" w:rsidRDefault="005426F0" w:rsidP="005C1F02">
      <w:pPr>
        <w:pStyle w:val="NormalWeb"/>
        <w:spacing w:line="360" w:lineRule="auto"/>
        <w:ind w:firstLine="90"/>
        <w:jc w:val="both"/>
        <w:rPr>
          <w:rFonts w:asciiTheme="minorBidi" w:hAnsiTheme="minorBidi" w:cstheme="minorBidi"/>
        </w:rPr>
      </w:pPr>
      <w:r w:rsidRPr="00E07E9C">
        <w:rPr>
          <w:rFonts w:asciiTheme="minorBidi" w:hAnsiTheme="minorBidi" w:cstheme="minorBidi"/>
        </w:rPr>
        <w:t>The primary analytical instrument is a customized, multi-scenario financial model built in Microsoft Excel. It implements the seven equations in Section 9.3 across three scenarios, two building prototypes, three CAPEX levels, and a 15-year horizon producing SPP, ROI, and annual cash flow outputs for each combination. The model is structured around three steps: (1) annual carbon revenue calculation using RVCMC price and CDM-derived CER yield; (2) total net cash flow integrating OPEX savings and MRV costs; and (3) executive investment metrics (SPP and ROI) evaluated against initial CAPEX. A dedicated sensitivity tab re-runs all outputs at ±20% carbon price and the CBAM appreciation trajectory.</w:t>
      </w:r>
    </w:p>
    <w:p w14:paraId="42FB41B4" w14:textId="27456F4E" w:rsidR="005426F0" w:rsidRPr="005C1F02" w:rsidRDefault="005426F0" w:rsidP="005C1F02">
      <w:pPr>
        <w:pStyle w:val="Heading2"/>
        <w:numPr>
          <w:ilvl w:val="1"/>
          <w:numId w:val="35"/>
        </w:numPr>
        <w:tabs>
          <w:tab w:val="left" w:pos="900"/>
        </w:tabs>
        <w:bidi w:val="0"/>
        <w:spacing w:line="360" w:lineRule="auto"/>
        <w:ind w:hanging="252"/>
        <w:rPr>
          <w:rFonts w:asciiTheme="minorBidi" w:eastAsia="Arial" w:hAnsiTheme="minorBidi" w:cstheme="minorBidi"/>
          <w:b/>
          <w:bCs/>
          <w:color w:val="000000" w:themeColor="text1"/>
          <w:sz w:val="28"/>
          <w:szCs w:val="28"/>
        </w:rPr>
      </w:pPr>
      <w:r w:rsidRPr="005C1F02">
        <w:rPr>
          <w:rFonts w:asciiTheme="minorBidi" w:eastAsia="Arial" w:hAnsiTheme="minorBidi" w:cstheme="minorBidi"/>
          <w:b/>
          <w:bCs/>
          <w:color w:val="000000" w:themeColor="text1"/>
          <w:sz w:val="28"/>
          <w:szCs w:val="28"/>
        </w:rPr>
        <w:t>CDM Carbon Baseline Calculators</w:t>
      </w:r>
    </w:p>
    <w:p w14:paraId="74D233BE" w14:textId="247AD104" w:rsidR="005426F0" w:rsidRDefault="005426F0" w:rsidP="005C1F02">
      <w:pPr>
        <w:pStyle w:val="NormalWeb"/>
        <w:spacing w:line="360" w:lineRule="auto"/>
        <w:ind w:firstLine="90"/>
        <w:jc w:val="both"/>
        <w:rPr>
          <w:rFonts w:asciiTheme="minorBidi" w:hAnsiTheme="minorBidi" w:cstheme="minorBidi"/>
        </w:rPr>
      </w:pPr>
      <w:r w:rsidRPr="00E07E9C">
        <w:rPr>
          <w:rFonts w:asciiTheme="minorBidi" w:hAnsiTheme="minorBidi" w:cstheme="minorBidi"/>
        </w:rPr>
        <w:t>Carbon yields are calculated using CDM Methodology AMS-</w:t>
      </w:r>
      <w:r w:rsidR="007B16B3" w:rsidRPr="00E07E9C">
        <w:rPr>
          <w:rFonts w:asciiTheme="minorBidi" w:hAnsiTheme="minorBidi" w:cstheme="minorBidi"/>
        </w:rPr>
        <w:t xml:space="preserve">II. </w:t>
      </w:r>
      <w:r w:rsidR="007B16B3" w:rsidRPr="005C1F02">
        <w:rPr>
          <w:rFonts w:asciiTheme="minorBidi" w:hAnsiTheme="minorBidi" w:cstheme="minorBidi"/>
          <w:b/>
          <w:bCs/>
        </w:rPr>
        <w:t>E</w:t>
      </w:r>
      <w:r w:rsidRPr="00E07E9C">
        <w:rPr>
          <w:rFonts w:asciiTheme="minorBidi" w:hAnsiTheme="minorBidi" w:cstheme="minorBidi"/>
        </w:rPr>
        <w:t xml:space="preserve"> the internationally </w:t>
      </w:r>
      <w:r w:rsidR="007B16B3" w:rsidRPr="00E07E9C">
        <w:rPr>
          <w:rFonts w:asciiTheme="minorBidi" w:hAnsiTheme="minorBidi" w:cstheme="minorBidi"/>
        </w:rPr>
        <w:t>recognized</w:t>
      </w:r>
      <w:r w:rsidRPr="00E07E9C">
        <w:rPr>
          <w:rFonts w:asciiTheme="minorBidi" w:hAnsiTheme="minorBidi" w:cstheme="minorBidi"/>
        </w:rPr>
        <w:t xml:space="preserve"> standard for energy efficiency in non-residential buildings under the UNFCCC. Two sub-tools are applied: the CDM Baseline Emission Calculator, which applies the SEEC/CDMDNA Grid Emission Factor of 0.58 kgCO</w:t>
      </w:r>
      <w:r w:rsidRPr="005C1F02">
        <w:rPr>
          <w:rFonts w:ascii="Cambria Math" w:hAnsi="Cambria Math" w:cs="Cambria Math"/>
        </w:rPr>
        <w:t>₂</w:t>
      </w:r>
      <w:r w:rsidRPr="00E07E9C">
        <w:rPr>
          <w:rFonts w:asciiTheme="minorBidi" w:hAnsiTheme="minorBidi" w:cstheme="minorBidi"/>
        </w:rPr>
        <w:t xml:space="preserve">e/kWh to convert energy savings into verified emission reductions; and the Project Emission Calculator, which confirms that no material project-level emissions are introduced by the retrofit package (HVAC </w:t>
      </w:r>
      <w:r w:rsidR="007B16B3" w:rsidRPr="00E07E9C">
        <w:rPr>
          <w:rFonts w:asciiTheme="minorBidi" w:hAnsiTheme="minorBidi" w:cstheme="minorBidi"/>
        </w:rPr>
        <w:t>optimization</w:t>
      </w:r>
      <w:r w:rsidRPr="00E07E9C">
        <w:rPr>
          <w:rFonts w:asciiTheme="minorBidi" w:hAnsiTheme="minorBidi" w:cstheme="minorBidi"/>
        </w:rPr>
        <w:t>, BMS integration, LED transition).</w:t>
      </w:r>
    </w:p>
    <w:p w14:paraId="3E8FC388" w14:textId="77777777" w:rsidR="005C1F02" w:rsidRPr="00E07E9C" w:rsidRDefault="005C1F02" w:rsidP="005C1F02">
      <w:pPr>
        <w:pStyle w:val="NormalWeb"/>
        <w:spacing w:line="360" w:lineRule="auto"/>
        <w:ind w:firstLine="90"/>
        <w:jc w:val="both"/>
        <w:rPr>
          <w:rFonts w:asciiTheme="minorBidi" w:hAnsiTheme="minorBidi" w:cstheme="minorBidi"/>
        </w:rPr>
      </w:pPr>
    </w:p>
    <w:p w14:paraId="3F1804B9" w14:textId="597E9EA6" w:rsidR="005426F0" w:rsidRPr="005C1F02" w:rsidRDefault="005426F0" w:rsidP="005C1F02">
      <w:pPr>
        <w:pStyle w:val="Heading2"/>
        <w:numPr>
          <w:ilvl w:val="1"/>
          <w:numId w:val="35"/>
        </w:numPr>
        <w:tabs>
          <w:tab w:val="left" w:pos="900"/>
        </w:tabs>
        <w:bidi w:val="0"/>
        <w:spacing w:line="360" w:lineRule="auto"/>
        <w:ind w:hanging="252"/>
        <w:rPr>
          <w:rFonts w:asciiTheme="minorBidi" w:eastAsia="Arial" w:hAnsiTheme="minorBidi" w:cstheme="minorBidi"/>
          <w:b/>
          <w:bCs/>
          <w:color w:val="000000" w:themeColor="text1"/>
          <w:sz w:val="28"/>
          <w:szCs w:val="28"/>
        </w:rPr>
      </w:pPr>
      <w:r w:rsidRPr="005C1F02">
        <w:rPr>
          <w:rFonts w:asciiTheme="minorBidi" w:eastAsia="Arial" w:hAnsiTheme="minorBidi" w:cstheme="minorBidi"/>
          <w:b/>
          <w:bCs/>
          <w:color w:val="000000" w:themeColor="text1"/>
          <w:sz w:val="28"/>
          <w:szCs w:val="28"/>
        </w:rPr>
        <w:lastRenderedPageBreak/>
        <w:t>Benchmarking Datasets</w:t>
      </w:r>
    </w:p>
    <w:p w14:paraId="3DA13DB9" w14:textId="16B1544E" w:rsidR="005426F0" w:rsidRPr="00E07E9C" w:rsidRDefault="005426F0" w:rsidP="005C1F02">
      <w:pPr>
        <w:pStyle w:val="NormalWeb"/>
        <w:spacing w:line="360" w:lineRule="auto"/>
        <w:ind w:firstLine="90"/>
        <w:jc w:val="both"/>
        <w:rPr>
          <w:rFonts w:asciiTheme="minorBidi" w:hAnsiTheme="minorBidi" w:cstheme="minorBidi"/>
        </w:rPr>
      </w:pPr>
      <w:r w:rsidRPr="00E07E9C">
        <w:rPr>
          <w:rFonts w:asciiTheme="minorBidi" w:hAnsiTheme="minorBidi" w:cstheme="minorBidi"/>
        </w:rPr>
        <w:t>The financial model is calibrated against four primary datasets: (1) SEEC (2024) Energy Use Intensity benchmarks for commercial offices in ASHRAE Climate Zone 1B (Riyadh), establishing baseline and target EUI values; (2) RVCMC auction and exchange data (2024), providing the confirmed SAR 37.50/tCO</w:t>
      </w:r>
      <w:r w:rsidRPr="005C1F02">
        <w:rPr>
          <w:rFonts w:ascii="Cambria Math" w:hAnsi="Cambria Math" w:cs="Cambria Math"/>
        </w:rPr>
        <w:t>₂</w:t>
      </w:r>
      <w:r w:rsidRPr="00E07E9C">
        <w:rPr>
          <w:rFonts w:asciiTheme="minorBidi" w:hAnsiTheme="minorBidi" w:cstheme="minorBidi"/>
        </w:rPr>
        <w:t xml:space="preserve">e clearing price; (3) PwC Middle East (2024) MRV cost schedules, providing the SAR 40,000–80,000 registration cost range; and (4) KAPSARC / Krarti et al. (2017) national retrofit abatement data, used for model validation (Section 9.6) and to </w:t>
      </w:r>
      <w:r w:rsidR="007B16B3" w:rsidRPr="00E07E9C">
        <w:rPr>
          <w:rFonts w:asciiTheme="minorBidi" w:hAnsiTheme="minorBidi" w:cstheme="minorBidi"/>
        </w:rPr>
        <w:t>contextualize</w:t>
      </w:r>
      <w:r w:rsidRPr="00E07E9C">
        <w:rPr>
          <w:rFonts w:asciiTheme="minorBidi" w:hAnsiTheme="minorBidi" w:cstheme="minorBidi"/>
        </w:rPr>
        <w:t xml:space="preserve"> portfolio outputs against SGI targets.</w:t>
      </w:r>
    </w:p>
    <w:p w14:paraId="6DC9C2CA" w14:textId="481C0F76" w:rsidR="005426F0" w:rsidRPr="005C1F02" w:rsidRDefault="005426F0" w:rsidP="005C1F02">
      <w:pPr>
        <w:pStyle w:val="Heading2"/>
        <w:numPr>
          <w:ilvl w:val="1"/>
          <w:numId w:val="35"/>
        </w:numPr>
        <w:tabs>
          <w:tab w:val="left" w:pos="900"/>
        </w:tabs>
        <w:bidi w:val="0"/>
        <w:spacing w:line="360" w:lineRule="auto"/>
        <w:ind w:hanging="252"/>
        <w:rPr>
          <w:rFonts w:asciiTheme="minorBidi" w:eastAsia="Arial" w:hAnsiTheme="minorBidi" w:cstheme="minorBidi"/>
          <w:b/>
          <w:bCs/>
          <w:color w:val="000000" w:themeColor="text1"/>
          <w:sz w:val="28"/>
          <w:szCs w:val="28"/>
        </w:rPr>
      </w:pPr>
      <w:r w:rsidRPr="005C1F02">
        <w:rPr>
          <w:rFonts w:asciiTheme="minorBidi" w:eastAsia="Arial" w:hAnsiTheme="minorBidi" w:cstheme="minorBidi"/>
          <w:b/>
          <w:bCs/>
          <w:color w:val="000000" w:themeColor="text1"/>
          <w:sz w:val="28"/>
          <w:szCs w:val="28"/>
        </w:rPr>
        <w:t>Model Validation Benchmarks</w:t>
      </w:r>
    </w:p>
    <w:p w14:paraId="2640D1B9" w14:textId="38648014" w:rsidR="00373376" w:rsidRPr="00E07E9C" w:rsidRDefault="005426F0" w:rsidP="005C1F02">
      <w:pPr>
        <w:pStyle w:val="NormalWeb"/>
        <w:spacing w:line="360" w:lineRule="auto"/>
        <w:ind w:firstLine="90"/>
        <w:jc w:val="both"/>
        <w:rPr>
          <w:rFonts w:asciiTheme="minorBidi" w:hAnsiTheme="minorBidi" w:cstheme="minorBidi"/>
        </w:rPr>
      </w:pPr>
      <w:r w:rsidRPr="00E07E9C">
        <w:rPr>
          <w:rFonts w:asciiTheme="minorBidi" w:hAnsiTheme="minorBidi" w:cstheme="minorBidi"/>
        </w:rPr>
        <w:t xml:space="preserve">Model outputs are </w:t>
      </w:r>
      <w:r w:rsidR="007B16B3" w:rsidRPr="00E07E9C">
        <w:rPr>
          <w:rFonts w:asciiTheme="minorBidi" w:hAnsiTheme="minorBidi" w:cstheme="minorBidi"/>
        </w:rPr>
        <w:t>cross validated</w:t>
      </w:r>
      <w:r w:rsidRPr="00E07E9C">
        <w:rPr>
          <w:rFonts w:asciiTheme="minorBidi" w:hAnsiTheme="minorBidi" w:cstheme="minorBidi"/>
        </w:rPr>
        <w:t xml:space="preserve"> against three independent sources. JLL (2024) documents GCC energy retrofit payback periods of 5–8 years for large commercial buildings, consistent with the model’s 7.8-year SPP for the large prototype at low CAPEX. PwC Middle East (2024) MRV cost estimates of SAR 40,000–80,000 validate the SAR 60,000 midpoint used. Krarti et al.’s (2017) national-scale finding that basic Saudi building retrofits produce 7.611 million tCO</w:t>
      </w:r>
      <w:r w:rsidRPr="005C1F02">
        <w:rPr>
          <w:rFonts w:ascii="Cambria Math" w:hAnsi="Cambria Math" w:cs="Cambria Math"/>
        </w:rPr>
        <w:t>₂</w:t>
      </w:r>
      <w:r w:rsidRPr="00E07E9C">
        <w:rPr>
          <w:rFonts w:asciiTheme="minorBidi" w:hAnsiTheme="minorBidi" w:cstheme="minorBidi"/>
        </w:rPr>
        <w:t>e annually allows proportional validation: the 160,000 m² portfolio (0.13% of modelled national floor area) should yield approximately 9,900 tCO</w:t>
      </w:r>
      <w:r w:rsidRPr="005C1F02">
        <w:rPr>
          <w:rFonts w:ascii="Cambria Math" w:hAnsi="Cambria Math" w:cs="Cambria Math"/>
        </w:rPr>
        <w:t>₂</w:t>
      </w:r>
      <w:r w:rsidRPr="00E07E9C">
        <w:rPr>
          <w:rFonts w:asciiTheme="minorBidi" w:hAnsiTheme="minorBidi" w:cstheme="minorBidi"/>
        </w:rPr>
        <w:t xml:space="preserve">e, consistent with the model’s </w:t>
      </w:r>
      <w:r w:rsidR="007B16B3" w:rsidRPr="00E07E9C">
        <w:rPr>
          <w:rFonts w:asciiTheme="minorBidi" w:hAnsiTheme="minorBidi" w:cstheme="minorBidi"/>
        </w:rPr>
        <w:t>9,744-ton</w:t>
      </w:r>
      <w:r w:rsidRPr="00E07E9C">
        <w:rPr>
          <w:rFonts w:asciiTheme="minorBidi" w:hAnsiTheme="minorBidi" w:cstheme="minorBidi"/>
        </w:rPr>
        <w:t xml:space="preserve"> output.</w:t>
      </w:r>
    </w:p>
    <w:p w14:paraId="7AECD874" w14:textId="77777777" w:rsidR="005426F0" w:rsidRPr="00E07E9C" w:rsidRDefault="005426F0" w:rsidP="00E07E9C">
      <w:pPr>
        <w:pStyle w:val="NormalWeb"/>
        <w:spacing w:line="360" w:lineRule="auto"/>
        <w:ind w:firstLine="990"/>
        <w:rPr>
          <w:rFonts w:asciiTheme="minorBidi" w:hAnsiTheme="minorBidi" w:cstheme="minorBidi"/>
        </w:rPr>
      </w:pPr>
    </w:p>
    <w:p w14:paraId="2538BD3F" w14:textId="77777777" w:rsidR="005426F0" w:rsidRPr="00E07E9C" w:rsidRDefault="005426F0" w:rsidP="00E07E9C">
      <w:pPr>
        <w:pStyle w:val="NormalWeb"/>
        <w:spacing w:line="360" w:lineRule="auto"/>
        <w:ind w:firstLine="990"/>
        <w:rPr>
          <w:rFonts w:asciiTheme="minorBidi" w:hAnsiTheme="minorBidi" w:cstheme="minorBidi"/>
        </w:rPr>
      </w:pPr>
    </w:p>
    <w:p w14:paraId="3739E75F" w14:textId="77777777" w:rsidR="005426F0" w:rsidRPr="00E07E9C" w:rsidRDefault="005426F0" w:rsidP="00E07E9C">
      <w:pPr>
        <w:pStyle w:val="NormalWeb"/>
        <w:spacing w:line="360" w:lineRule="auto"/>
        <w:ind w:firstLine="990"/>
        <w:rPr>
          <w:rFonts w:asciiTheme="minorBidi" w:hAnsiTheme="minorBidi" w:cstheme="minorBidi"/>
        </w:rPr>
      </w:pPr>
    </w:p>
    <w:p w14:paraId="376BCDC2" w14:textId="77777777" w:rsidR="005426F0" w:rsidRPr="00E07E9C" w:rsidRDefault="005426F0" w:rsidP="00E07E9C">
      <w:pPr>
        <w:pStyle w:val="NormalWeb"/>
        <w:spacing w:line="360" w:lineRule="auto"/>
        <w:ind w:firstLine="990"/>
        <w:rPr>
          <w:rFonts w:asciiTheme="minorBidi" w:hAnsiTheme="minorBidi" w:cstheme="minorBidi"/>
        </w:rPr>
      </w:pPr>
    </w:p>
    <w:p w14:paraId="5188401C" w14:textId="77777777" w:rsidR="005426F0" w:rsidRPr="00E07E9C" w:rsidRDefault="005426F0" w:rsidP="00E07E9C">
      <w:pPr>
        <w:pStyle w:val="NormalWeb"/>
        <w:spacing w:line="360" w:lineRule="auto"/>
        <w:ind w:firstLine="990"/>
        <w:rPr>
          <w:rFonts w:asciiTheme="minorBidi" w:hAnsiTheme="minorBidi" w:cstheme="minorBidi"/>
        </w:rPr>
      </w:pPr>
    </w:p>
    <w:p w14:paraId="4013172F" w14:textId="77777777" w:rsidR="005426F0" w:rsidRPr="00E07E9C" w:rsidRDefault="005426F0" w:rsidP="00E07E9C">
      <w:pPr>
        <w:pStyle w:val="NormalWeb"/>
        <w:spacing w:line="360" w:lineRule="auto"/>
        <w:ind w:firstLine="990"/>
        <w:rPr>
          <w:rFonts w:asciiTheme="minorBidi" w:hAnsiTheme="minorBidi" w:cstheme="minorBidi"/>
        </w:rPr>
      </w:pPr>
    </w:p>
    <w:p w14:paraId="3D884008" w14:textId="77777777" w:rsidR="005426F0" w:rsidRPr="00E07E9C" w:rsidRDefault="005426F0" w:rsidP="00E07E9C">
      <w:pPr>
        <w:pStyle w:val="NormalWeb"/>
        <w:spacing w:line="360" w:lineRule="auto"/>
        <w:ind w:firstLine="990"/>
        <w:rPr>
          <w:rFonts w:asciiTheme="minorBidi" w:hAnsiTheme="minorBidi" w:cstheme="minorBidi"/>
        </w:rPr>
      </w:pPr>
    </w:p>
    <w:p w14:paraId="4C3223DB" w14:textId="3FBB4EE5" w:rsidR="00692F66" w:rsidRPr="00E07E9C" w:rsidRDefault="00692F66" w:rsidP="00E07E9C">
      <w:pPr>
        <w:pStyle w:val="Heading2"/>
        <w:numPr>
          <w:ilvl w:val="0"/>
          <w:numId w:val="35"/>
        </w:numPr>
        <w:tabs>
          <w:tab w:val="left" w:pos="450"/>
        </w:tabs>
        <w:bidi w:val="0"/>
        <w:spacing w:line="360" w:lineRule="auto"/>
        <w:jc w:val="both"/>
        <w:rPr>
          <w:rFonts w:asciiTheme="minorBidi" w:hAnsiTheme="minorBidi" w:cstheme="minorBidi"/>
          <w:b/>
          <w:bCs/>
          <w:color w:val="000000" w:themeColor="text1"/>
          <w:sz w:val="32"/>
          <w:szCs w:val="32"/>
        </w:rPr>
      </w:pPr>
      <w:bookmarkStart w:id="29" w:name="_Toc225367453"/>
      <w:r w:rsidRPr="00E07E9C">
        <w:rPr>
          <w:rFonts w:asciiTheme="minorBidi" w:hAnsiTheme="minorBidi" w:cstheme="minorBidi"/>
          <w:b/>
          <w:bCs/>
          <w:color w:val="000000" w:themeColor="text1"/>
          <w:sz w:val="32"/>
          <w:szCs w:val="32"/>
        </w:rPr>
        <w:lastRenderedPageBreak/>
        <w:t>Research Limitations</w:t>
      </w:r>
      <w:bookmarkEnd w:id="29"/>
    </w:p>
    <w:p w14:paraId="125A87F2" w14:textId="77777777" w:rsidR="005426F0" w:rsidRPr="00E07E9C" w:rsidRDefault="005426F0" w:rsidP="00E07E9C">
      <w:pPr>
        <w:bidi w:val="0"/>
        <w:spacing w:before="80" w:after="80" w:line="360" w:lineRule="auto"/>
        <w:jc w:val="both"/>
        <w:rPr>
          <w:rFonts w:asciiTheme="minorBidi" w:hAnsiTheme="minorBidi"/>
        </w:rPr>
      </w:pPr>
      <w:r w:rsidRPr="00E07E9C">
        <w:rPr>
          <w:rFonts w:asciiTheme="minorBidi" w:eastAsia="Arial" w:hAnsiTheme="minorBidi"/>
          <w:sz w:val="24"/>
          <w:szCs w:val="24"/>
        </w:rPr>
        <w:t>The following limitations bound the findings of this study and define the conditions under which results should be interpreted:</w:t>
      </w:r>
    </w:p>
    <w:p w14:paraId="361E1BB7" w14:textId="77777777" w:rsidR="005426F0" w:rsidRPr="00E07E9C" w:rsidRDefault="005426F0" w:rsidP="00E07E9C">
      <w:pPr>
        <w:bidi w:val="0"/>
        <w:spacing w:before="60" w:after="60" w:line="360" w:lineRule="auto"/>
        <w:rPr>
          <w:rFonts w:asciiTheme="minorBidi" w:hAnsiTheme="minorBidi"/>
        </w:rPr>
      </w:pPr>
    </w:p>
    <w:p w14:paraId="3C1A1C4A" w14:textId="5FEA76BF" w:rsidR="005426F0" w:rsidRPr="00E07E9C" w:rsidRDefault="005426F0" w:rsidP="00E07E9C">
      <w:pPr>
        <w:pStyle w:val="ListParagraph"/>
        <w:numPr>
          <w:ilvl w:val="0"/>
          <w:numId w:val="48"/>
        </w:numPr>
        <w:bidi w:val="0"/>
        <w:spacing w:before="60" w:after="60" w:line="360" w:lineRule="auto"/>
        <w:ind w:left="360" w:hanging="270"/>
        <w:contextualSpacing w:val="0"/>
        <w:jc w:val="both"/>
        <w:rPr>
          <w:rFonts w:asciiTheme="minorBidi" w:hAnsiTheme="minorBidi"/>
        </w:rPr>
      </w:pPr>
      <w:r w:rsidRPr="00E07E9C">
        <w:rPr>
          <w:rFonts w:asciiTheme="minorBidi" w:eastAsia="Arial" w:hAnsiTheme="minorBidi"/>
          <w:b/>
          <w:bCs/>
          <w:sz w:val="24"/>
          <w:szCs w:val="24"/>
        </w:rPr>
        <w:t xml:space="preserve">Prototype Modelling vs. Actual Buildings: </w:t>
      </w:r>
      <w:r w:rsidRPr="00E07E9C">
        <w:rPr>
          <w:rFonts w:asciiTheme="minorBidi" w:eastAsia="Arial" w:hAnsiTheme="minorBidi"/>
          <w:sz w:val="24"/>
          <w:szCs w:val="24"/>
        </w:rPr>
        <w:t>The model uses SEEC-</w:t>
      </w:r>
      <w:r w:rsidR="007B16B3" w:rsidRPr="00E07E9C">
        <w:rPr>
          <w:rFonts w:asciiTheme="minorBidi" w:eastAsia="Arial" w:hAnsiTheme="minorBidi"/>
          <w:sz w:val="24"/>
          <w:szCs w:val="24"/>
        </w:rPr>
        <w:t>standardized</w:t>
      </w:r>
      <w:r w:rsidRPr="00E07E9C">
        <w:rPr>
          <w:rFonts w:asciiTheme="minorBidi" w:eastAsia="Arial" w:hAnsiTheme="minorBidi"/>
          <w:sz w:val="24"/>
          <w:szCs w:val="24"/>
        </w:rPr>
        <w:t xml:space="preserve"> building prototypes. Actual ROI will vary by building age, design, equipment condition, and occupancy. The model is a representative framework for decision-making, not </w:t>
      </w:r>
      <w:r w:rsidR="007B16B3" w:rsidRPr="00E07E9C">
        <w:rPr>
          <w:rFonts w:asciiTheme="minorBidi" w:eastAsia="Arial" w:hAnsiTheme="minorBidi"/>
          <w:sz w:val="24"/>
          <w:szCs w:val="24"/>
        </w:rPr>
        <w:t>project</w:t>
      </w:r>
      <w:r w:rsidRPr="00E07E9C">
        <w:rPr>
          <w:rFonts w:asciiTheme="minorBidi" w:eastAsia="Arial" w:hAnsiTheme="minorBidi"/>
          <w:sz w:val="24"/>
          <w:szCs w:val="24"/>
        </w:rPr>
        <w:t>-specific financial appraisal.</w:t>
      </w:r>
    </w:p>
    <w:p w14:paraId="50BC106F" w14:textId="77777777" w:rsidR="005426F0" w:rsidRPr="00E07E9C" w:rsidRDefault="005426F0" w:rsidP="00E07E9C">
      <w:pPr>
        <w:pStyle w:val="ListParagraph"/>
        <w:numPr>
          <w:ilvl w:val="0"/>
          <w:numId w:val="48"/>
        </w:numPr>
        <w:bidi w:val="0"/>
        <w:spacing w:before="60" w:after="60" w:line="360" w:lineRule="auto"/>
        <w:ind w:left="360" w:hanging="270"/>
        <w:contextualSpacing w:val="0"/>
        <w:jc w:val="both"/>
        <w:rPr>
          <w:rFonts w:asciiTheme="minorBidi" w:hAnsiTheme="minorBidi"/>
        </w:rPr>
      </w:pPr>
      <w:r w:rsidRPr="00E07E9C">
        <w:rPr>
          <w:rFonts w:asciiTheme="minorBidi" w:eastAsia="Arial" w:hAnsiTheme="minorBidi"/>
          <w:b/>
          <w:bCs/>
          <w:sz w:val="24"/>
          <w:szCs w:val="24"/>
        </w:rPr>
        <w:t xml:space="preserve">Carbon Market Price Volatility: </w:t>
      </w:r>
      <w:r w:rsidRPr="00E07E9C">
        <w:rPr>
          <w:rFonts w:asciiTheme="minorBidi" w:eastAsia="Arial" w:hAnsiTheme="minorBidi"/>
          <w:sz w:val="24"/>
          <w:szCs w:val="24"/>
        </w:rPr>
        <w:t>The base case uses the confirmed RVCM clearing price of SAR 37.50/tCO</w:t>
      </w:r>
      <w:r w:rsidRPr="00E07E9C">
        <w:rPr>
          <w:rFonts w:ascii="Cambria Math" w:eastAsia="Arial" w:hAnsi="Cambria Math" w:cs="Cambria Math"/>
          <w:sz w:val="24"/>
          <w:szCs w:val="24"/>
        </w:rPr>
        <w:t>₂</w:t>
      </w:r>
      <w:r w:rsidRPr="00E07E9C">
        <w:rPr>
          <w:rFonts w:asciiTheme="minorBidi" w:eastAsia="Arial" w:hAnsiTheme="minorBidi"/>
          <w:sz w:val="24"/>
          <w:szCs w:val="24"/>
        </w:rPr>
        <w:t>e. The Ecosystem Marketplace (2025) confirms that global VCM values fell 29% in 2024. While the RVCMC’s institutional structure and premium pricing differentiate it from the global market, voluntary carbon prices are subject to demand-side volatility. The ±20% sensitivity analysis partially mitigates this risk.</w:t>
      </w:r>
    </w:p>
    <w:p w14:paraId="59CF4C16" w14:textId="287CB2E9" w:rsidR="005426F0" w:rsidRPr="00E07E9C" w:rsidRDefault="005426F0" w:rsidP="00E07E9C">
      <w:pPr>
        <w:pStyle w:val="ListParagraph"/>
        <w:numPr>
          <w:ilvl w:val="0"/>
          <w:numId w:val="48"/>
        </w:numPr>
        <w:bidi w:val="0"/>
        <w:spacing w:before="60" w:after="60" w:line="360" w:lineRule="auto"/>
        <w:ind w:left="360" w:hanging="270"/>
        <w:contextualSpacing w:val="0"/>
        <w:jc w:val="both"/>
        <w:rPr>
          <w:rFonts w:asciiTheme="minorBidi" w:hAnsiTheme="minorBidi"/>
        </w:rPr>
      </w:pPr>
      <w:r w:rsidRPr="00E07E9C">
        <w:rPr>
          <w:rFonts w:asciiTheme="minorBidi" w:eastAsia="Arial" w:hAnsiTheme="minorBidi"/>
          <w:b/>
          <w:bCs/>
          <w:sz w:val="24"/>
          <w:szCs w:val="24"/>
        </w:rPr>
        <w:t xml:space="preserve">GEF Methodology Boundary: </w:t>
      </w:r>
      <w:r w:rsidRPr="00E07E9C">
        <w:rPr>
          <w:rFonts w:asciiTheme="minorBidi" w:eastAsia="Arial" w:hAnsiTheme="minorBidi"/>
          <w:sz w:val="24"/>
          <w:szCs w:val="24"/>
        </w:rPr>
        <w:t>This study uses GEF 0.58 kgCO</w:t>
      </w:r>
      <w:r w:rsidRPr="00E07E9C">
        <w:rPr>
          <w:rFonts w:ascii="Cambria Math" w:eastAsia="Arial" w:hAnsi="Cambria Math" w:cs="Cambria Math"/>
          <w:sz w:val="24"/>
          <w:szCs w:val="24"/>
        </w:rPr>
        <w:t>₂</w:t>
      </w:r>
      <w:r w:rsidRPr="00E07E9C">
        <w:rPr>
          <w:rFonts w:asciiTheme="minorBidi" w:eastAsia="Arial" w:hAnsiTheme="minorBidi"/>
          <w:sz w:val="24"/>
          <w:szCs w:val="24"/>
        </w:rPr>
        <w:t xml:space="preserve">e/kWh (SEEC/CDMDNA the standard for RVCMC project registration). The IEA (2024) </w:t>
      </w:r>
      <w:r w:rsidR="007B16B3" w:rsidRPr="00E07E9C">
        <w:rPr>
          <w:rFonts w:asciiTheme="minorBidi" w:eastAsia="Arial" w:hAnsiTheme="minorBidi"/>
          <w:sz w:val="24"/>
          <w:szCs w:val="24"/>
        </w:rPr>
        <w:t>reports that</w:t>
      </w:r>
      <w:r w:rsidRPr="00E07E9C">
        <w:rPr>
          <w:rFonts w:asciiTheme="minorBidi" w:eastAsia="Arial" w:hAnsiTheme="minorBidi"/>
          <w:sz w:val="24"/>
          <w:szCs w:val="24"/>
        </w:rPr>
        <w:t xml:space="preserve"> 0.52 </w:t>
      </w:r>
      <w:r w:rsidR="007B16B3" w:rsidRPr="00E07E9C">
        <w:rPr>
          <w:rFonts w:asciiTheme="minorBidi" w:eastAsia="Arial" w:hAnsiTheme="minorBidi"/>
          <w:sz w:val="24"/>
          <w:szCs w:val="24"/>
        </w:rPr>
        <w:t>uses</w:t>
      </w:r>
      <w:r w:rsidRPr="00E07E9C">
        <w:rPr>
          <w:rFonts w:asciiTheme="minorBidi" w:eastAsia="Arial" w:hAnsiTheme="minorBidi"/>
          <w:sz w:val="24"/>
          <w:szCs w:val="24"/>
        </w:rPr>
        <w:t xml:space="preserve"> a narrower fuel-cycle-only boundary. Applying the IEA factor would reduce the portfolio’s CER yield by approximately 10.3% (from 9,744 to 8,736 tCO</w:t>
      </w:r>
      <w:r w:rsidRPr="00E07E9C">
        <w:rPr>
          <w:rFonts w:ascii="Cambria Math" w:eastAsia="Arial" w:hAnsi="Cambria Math" w:cs="Cambria Math"/>
          <w:sz w:val="24"/>
          <w:szCs w:val="24"/>
        </w:rPr>
        <w:t>₂</w:t>
      </w:r>
      <w:r w:rsidRPr="00E07E9C">
        <w:rPr>
          <w:rFonts w:asciiTheme="minorBidi" w:eastAsia="Arial" w:hAnsiTheme="minorBidi"/>
          <w:sz w:val="24"/>
          <w:szCs w:val="24"/>
        </w:rPr>
        <w:t>e), reducing annual carbon revenue from SAR 365,400 to SAR 327,600. For RVCMC-registered projects, 0.58 is the operationally correct assumption.</w:t>
      </w:r>
    </w:p>
    <w:p w14:paraId="00A6D910" w14:textId="3AC91552" w:rsidR="005426F0" w:rsidRPr="00E07E9C" w:rsidRDefault="005426F0" w:rsidP="00E07E9C">
      <w:pPr>
        <w:pStyle w:val="ListParagraph"/>
        <w:numPr>
          <w:ilvl w:val="0"/>
          <w:numId w:val="48"/>
        </w:numPr>
        <w:bidi w:val="0"/>
        <w:spacing w:before="60" w:after="60" w:line="360" w:lineRule="auto"/>
        <w:ind w:left="360" w:hanging="270"/>
        <w:contextualSpacing w:val="0"/>
        <w:jc w:val="both"/>
        <w:rPr>
          <w:rFonts w:asciiTheme="minorBidi" w:hAnsiTheme="minorBidi"/>
        </w:rPr>
      </w:pPr>
      <w:r w:rsidRPr="00E07E9C">
        <w:rPr>
          <w:rFonts w:asciiTheme="minorBidi" w:eastAsia="Arial" w:hAnsiTheme="minorBidi"/>
          <w:b/>
          <w:bCs/>
          <w:sz w:val="24"/>
          <w:szCs w:val="24"/>
        </w:rPr>
        <w:t xml:space="preserve">The Rebound Effect: </w:t>
      </w:r>
      <w:r w:rsidRPr="00E07E9C">
        <w:rPr>
          <w:rFonts w:asciiTheme="minorBidi" w:eastAsia="Arial" w:hAnsiTheme="minorBidi"/>
          <w:sz w:val="24"/>
          <w:szCs w:val="24"/>
        </w:rPr>
        <w:t xml:space="preserve">KAPSARC research documents direct rebound effects of 41–71% in Saudi residential cooling (Belaïd &amp; Mikayilov, 2024; Aldubyan et al., 2024), meaning efficiency gains may be partially offset by increased occupant consumption. The model assumes the full 35% EUI reduction is </w:t>
      </w:r>
      <w:r w:rsidR="007B16B3" w:rsidRPr="00E07E9C">
        <w:rPr>
          <w:rFonts w:asciiTheme="minorBidi" w:eastAsia="Arial" w:hAnsiTheme="minorBidi"/>
          <w:sz w:val="24"/>
          <w:szCs w:val="24"/>
        </w:rPr>
        <w:t>realized</w:t>
      </w:r>
      <w:r w:rsidRPr="00E07E9C">
        <w:rPr>
          <w:rFonts w:asciiTheme="minorBidi" w:eastAsia="Arial" w:hAnsiTheme="minorBidi"/>
          <w:sz w:val="24"/>
          <w:szCs w:val="24"/>
        </w:rPr>
        <w:t xml:space="preserve">. BMS monitoring under EPCs should detect and manage rebound, but some yield erosion is possible in </w:t>
      </w:r>
      <w:r w:rsidR="007B16B3" w:rsidRPr="00E07E9C">
        <w:rPr>
          <w:rFonts w:asciiTheme="minorBidi" w:eastAsia="Arial" w:hAnsiTheme="minorBidi"/>
          <w:sz w:val="24"/>
          <w:szCs w:val="24"/>
        </w:rPr>
        <w:t>fully leased</w:t>
      </w:r>
      <w:r w:rsidRPr="00E07E9C">
        <w:rPr>
          <w:rFonts w:asciiTheme="minorBidi" w:eastAsia="Arial" w:hAnsiTheme="minorBidi"/>
          <w:sz w:val="24"/>
          <w:szCs w:val="24"/>
        </w:rPr>
        <w:t xml:space="preserve"> buildings where FM influence over occupant </w:t>
      </w:r>
      <w:r w:rsidR="007B16B3" w:rsidRPr="00E07E9C">
        <w:rPr>
          <w:rFonts w:asciiTheme="minorBidi" w:eastAsia="Arial" w:hAnsiTheme="minorBidi"/>
          <w:sz w:val="24"/>
          <w:szCs w:val="24"/>
        </w:rPr>
        <w:t>behaviors</w:t>
      </w:r>
      <w:r w:rsidRPr="00E07E9C">
        <w:rPr>
          <w:rFonts w:asciiTheme="minorBidi" w:eastAsia="Arial" w:hAnsiTheme="minorBidi"/>
          <w:sz w:val="24"/>
          <w:szCs w:val="24"/>
        </w:rPr>
        <w:t xml:space="preserve"> is limited.</w:t>
      </w:r>
    </w:p>
    <w:p w14:paraId="1BE1F1F6" w14:textId="77777777" w:rsidR="005426F0" w:rsidRPr="00E07E9C" w:rsidRDefault="005426F0" w:rsidP="00E07E9C">
      <w:pPr>
        <w:pStyle w:val="ListParagraph"/>
        <w:numPr>
          <w:ilvl w:val="0"/>
          <w:numId w:val="48"/>
        </w:numPr>
        <w:bidi w:val="0"/>
        <w:spacing w:before="60" w:after="60" w:line="360" w:lineRule="auto"/>
        <w:ind w:left="360" w:hanging="270"/>
        <w:contextualSpacing w:val="0"/>
        <w:jc w:val="both"/>
        <w:rPr>
          <w:rFonts w:asciiTheme="minorBidi" w:hAnsiTheme="minorBidi"/>
        </w:rPr>
      </w:pPr>
      <w:r w:rsidRPr="00E07E9C">
        <w:rPr>
          <w:rFonts w:asciiTheme="minorBidi" w:eastAsia="Arial" w:hAnsiTheme="minorBidi"/>
          <w:b/>
          <w:bCs/>
          <w:sz w:val="24"/>
          <w:szCs w:val="24"/>
        </w:rPr>
        <w:t xml:space="preserve">The Greening Grid Paradox: </w:t>
      </w:r>
      <w:r w:rsidRPr="00E07E9C">
        <w:rPr>
          <w:rFonts w:asciiTheme="minorBidi" w:eastAsia="Arial" w:hAnsiTheme="minorBidi"/>
          <w:sz w:val="24"/>
          <w:szCs w:val="24"/>
        </w:rPr>
        <w:t>Vision 2030 targets 50% renewable electricity by 2030. If achieved, the GEF would decline from 0.58 toward 0.40 kgCO</w:t>
      </w:r>
      <w:r w:rsidRPr="00E07E9C">
        <w:rPr>
          <w:rFonts w:ascii="Cambria Math" w:eastAsia="Arial" w:hAnsi="Cambria Math" w:cs="Cambria Math"/>
          <w:sz w:val="24"/>
          <w:szCs w:val="24"/>
        </w:rPr>
        <w:t>₂</w:t>
      </w:r>
      <w:r w:rsidRPr="00E07E9C">
        <w:rPr>
          <w:rFonts w:asciiTheme="minorBidi" w:eastAsia="Arial" w:hAnsiTheme="minorBidi"/>
          <w:sz w:val="24"/>
          <w:szCs w:val="24"/>
        </w:rPr>
        <w:t>e/kWh, reducing carbon yields by 31%. However, the Climate Action Tracker (2025) confirms renewables generated only 2% of Saudi electricity in 2024, suggesting the GEF will remain elevated for most of the 15-year horizon. This argues for early PoA registration to lock in higher baseline emission factors for the crediting period.</w:t>
      </w:r>
    </w:p>
    <w:p w14:paraId="460C3838" w14:textId="77777777" w:rsidR="005426F0" w:rsidRPr="00E07E9C" w:rsidRDefault="005426F0" w:rsidP="00E07E9C">
      <w:pPr>
        <w:pStyle w:val="ListParagraph"/>
        <w:numPr>
          <w:ilvl w:val="0"/>
          <w:numId w:val="48"/>
        </w:numPr>
        <w:bidi w:val="0"/>
        <w:spacing w:before="60" w:after="60" w:line="360" w:lineRule="auto"/>
        <w:ind w:left="360" w:hanging="270"/>
        <w:contextualSpacing w:val="0"/>
        <w:jc w:val="both"/>
        <w:rPr>
          <w:rFonts w:asciiTheme="minorBidi" w:hAnsiTheme="minorBidi"/>
        </w:rPr>
      </w:pPr>
      <w:r w:rsidRPr="00E07E9C">
        <w:rPr>
          <w:rFonts w:asciiTheme="minorBidi" w:eastAsia="Arial" w:hAnsiTheme="minorBidi"/>
          <w:b/>
          <w:bCs/>
          <w:sz w:val="24"/>
          <w:szCs w:val="24"/>
        </w:rPr>
        <w:lastRenderedPageBreak/>
        <w:t xml:space="preserve">Geographic and Sectoral Scope: </w:t>
      </w:r>
      <w:r w:rsidRPr="00E07E9C">
        <w:rPr>
          <w:rFonts w:asciiTheme="minorBidi" w:eastAsia="Arial" w:hAnsiTheme="minorBidi"/>
          <w:sz w:val="24"/>
          <w:szCs w:val="24"/>
        </w:rPr>
        <w:t>Findings are calibrated to Riyadh’s ASHRAE Zone 1B climate (dry heat, dominant sensible cooling load). They are not directly applicable to Jeddah, the Eastern Province (higher humidity, latent cooling loads), or non-office facility types such as retail, hospitality, or industrial buildings.</w:t>
      </w:r>
    </w:p>
    <w:p w14:paraId="5DD5971E" w14:textId="77777777" w:rsidR="005426F0" w:rsidRPr="00E07E9C" w:rsidRDefault="005426F0" w:rsidP="00E07E9C">
      <w:pPr>
        <w:pStyle w:val="ListParagraph"/>
        <w:numPr>
          <w:ilvl w:val="0"/>
          <w:numId w:val="48"/>
        </w:numPr>
        <w:bidi w:val="0"/>
        <w:spacing w:before="60" w:after="60" w:line="360" w:lineRule="auto"/>
        <w:ind w:left="360" w:hanging="270"/>
        <w:contextualSpacing w:val="0"/>
        <w:jc w:val="both"/>
        <w:rPr>
          <w:rFonts w:asciiTheme="minorBidi" w:hAnsiTheme="minorBidi"/>
        </w:rPr>
      </w:pPr>
      <w:r w:rsidRPr="00E07E9C">
        <w:rPr>
          <w:rFonts w:asciiTheme="minorBidi" w:eastAsia="Arial" w:hAnsiTheme="minorBidi"/>
          <w:b/>
          <w:bCs/>
          <w:sz w:val="24"/>
          <w:szCs w:val="24"/>
        </w:rPr>
        <w:t xml:space="preserve">Data Confidentiality: </w:t>
      </w:r>
      <w:r w:rsidRPr="00E07E9C">
        <w:rPr>
          <w:rFonts w:asciiTheme="minorBidi" w:eastAsia="Arial" w:hAnsiTheme="minorBidi"/>
          <w:sz w:val="24"/>
          <w:szCs w:val="24"/>
        </w:rPr>
        <w:t>Saudi commercial real estate CAPEX and OPEX data are commercially confidential. The CAPEX range of SAR 150–300/m² is derived from GCC vendor benchmarks and may not reflect specific project costs. Actual investor returns require project-specific modelling.</w:t>
      </w:r>
    </w:p>
    <w:p w14:paraId="456E08B8" w14:textId="77777777" w:rsidR="005426F0" w:rsidRDefault="005426F0" w:rsidP="00E07E9C">
      <w:pPr>
        <w:pStyle w:val="NormalWeb"/>
        <w:spacing w:line="360" w:lineRule="auto"/>
        <w:jc w:val="both"/>
        <w:rPr>
          <w:rFonts w:asciiTheme="minorBidi" w:hAnsiTheme="minorBidi" w:cstheme="minorBidi"/>
        </w:rPr>
      </w:pPr>
    </w:p>
    <w:p w14:paraId="37317BC2" w14:textId="77777777" w:rsidR="005C1F02" w:rsidRDefault="005C1F02" w:rsidP="00E07E9C">
      <w:pPr>
        <w:pStyle w:val="NormalWeb"/>
        <w:spacing w:line="360" w:lineRule="auto"/>
        <w:jc w:val="both"/>
        <w:rPr>
          <w:rFonts w:asciiTheme="minorBidi" w:hAnsiTheme="minorBidi" w:cstheme="minorBidi"/>
        </w:rPr>
      </w:pPr>
    </w:p>
    <w:p w14:paraId="53B1135B" w14:textId="77777777" w:rsidR="005C1F02" w:rsidRDefault="005C1F02" w:rsidP="00E07E9C">
      <w:pPr>
        <w:pStyle w:val="NormalWeb"/>
        <w:spacing w:line="360" w:lineRule="auto"/>
        <w:jc w:val="both"/>
        <w:rPr>
          <w:rFonts w:asciiTheme="minorBidi" w:hAnsiTheme="minorBidi" w:cstheme="minorBidi"/>
        </w:rPr>
      </w:pPr>
    </w:p>
    <w:p w14:paraId="7AD996CD" w14:textId="77777777" w:rsidR="005C1F02" w:rsidRDefault="005C1F02" w:rsidP="00E07E9C">
      <w:pPr>
        <w:pStyle w:val="NormalWeb"/>
        <w:spacing w:line="360" w:lineRule="auto"/>
        <w:jc w:val="both"/>
        <w:rPr>
          <w:rFonts w:asciiTheme="minorBidi" w:hAnsiTheme="minorBidi" w:cstheme="minorBidi"/>
        </w:rPr>
      </w:pPr>
    </w:p>
    <w:p w14:paraId="27DB4CEA" w14:textId="77777777" w:rsidR="005C1F02" w:rsidRDefault="005C1F02" w:rsidP="00E07E9C">
      <w:pPr>
        <w:pStyle w:val="NormalWeb"/>
        <w:spacing w:line="360" w:lineRule="auto"/>
        <w:jc w:val="both"/>
        <w:rPr>
          <w:rFonts w:asciiTheme="minorBidi" w:hAnsiTheme="minorBidi" w:cstheme="minorBidi"/>
        </w:rPr>
      </w:pPr>
    </w:p>
    <w:p w14:paraId="4F7225F5" w14:textId="77777777" w:rsidR="005C1F02" w:rsidRDefault="005C1F02" w:rsidP="00E07E9C">
      <w:pPr>
        <w:pStyle w:val="NormalWeb"/>
        <w:spacing w:line="360" w:lineRule="auto"/>
        <w:jc w:val="both"/>
        <w:rPr>
          <w:rFonts w:asciiTheme="minorBidi" w:hAnsiTheme="minorBidi" w:cstheme="minorBidi"/>
        </w:rPr>
      </w:pPr>
    </w:p>
    <w:p w14:paraId="388D1279" w14:textId="77777777" w:rsidR="005C1F02" w:rsidRDefault="005C1F02" w:rsidP="00E07E9C">
      <w:pPr>
        <w:pStyle w:val="NormalWeb"/>
        <w:spacing w:line="360" w:lineRule="auto"/>
        <w:jc w:val="both"/>
        <w:rPr>
          <w:rFonts w:asciiTheme="minorBidi" w:hAnsiTheme="minorBidi" w:cstheme="minorBidi"/>
        </w:rPr>
      </w:pPr>
    </w:p>
    <w:p w14:paraId="0555AA65" w14:textId="77777777" w:rsidR="005C1F02" w:rsidRDefault="005C1F02" w:rsidP="00E07E9C">
      <w:pPr>
        <w:pStyle w:val="NormalWeb"/>
        <w:spacing w:line="360" w:lineRule="auto"/>
        <w:jc w:val="both"/>
        <w:rPr>
          <w:rFonts w:asciiTheme="minorBidi" w:hAnsiTheme="minorBidi" w:cstheme="minorBidi"/>
        </w:rPr>
      </w:pPr>
    </w:p>
    <w:p w14:paraId="56B4C236" w14:textId="77777777" w:rsidR="005C1F02" w:rsidRDefault="005C1F02" w:rsidP="00E07E9C">
      <w:pPr>
        <w:pStyle w:val="NormalWeb"/>
        <w:spacing w:line="360" w:lineRule="auto"/>
        <w:jc w:val="both"/>
        <w:rPr>
          <w:rFonts w:asciiTheme="minorBidi" w:hAnsiTheme="minorBidi" w:cstheme="minorBidi"/>
        </w:rPr>
      </w:pPr>
    </w:p>
    <w:p w14:paraId="67B50C08" w14:textId="77777777" w:rsidR="005C1F02" w:rsidRDefault="005C1F02" w:rsidP="00E07E9C">
      <w:pPr>
        <w:pStyle w:val="NormalWeb"/>
        <w:spacing w:line="360" w:lineRule="auto"/>
        <w:jc w:val="both"/>
        <w:rPr>
          <w:rFonts w:asciiTheme="minorBidi" w:hAnsiTheme="minorBidi" w:cstheme="minorBidi"/>
        </w:rPr>
      </w:pPr>
    </w:p>
    <w:p w14:paraId="0AF70EF9" w14:textId="77777777" w:rsidR="005C1F02" w:rsidRDefault="005C1F02" w:rsidP="00E07E9C">
      <w:pPr>
        <w:pStyle w:val="NormalWeb"/>
        <w:spacing w:line="360" w:lineRule="auto"/>
        <w:jc w:val="both"/>
        <w:rPr>
          <w:rFonts w:asciiTheme="minorBidi" w:hAnsiTheme="minorBidi" w:cstheme="minorBidi"/>
        </w:rPr>
      </w:pPr>
    </w:p>
    <w:p w14:paraId="0606A3D7" w14:textId="77777777" w:rsidR="005C1F02" w:rsidRDefault="005C1F02" w:rsidP="00E07E9C">
      <w:pPr>
        <w:pStyle w:val="NormalWeb"/>
        <w:spacing w:line="360" w:lineRule="auto"/>
        <w:jc w:val="both"/>
        <w:rPr>
          <w:rFonts w:asciiTheme="minorBidi" w:hAnsiTheme="minorBidi" w:cstheme="minorBidi"/>
        </w:rPr>
      </w:pPr>
    </w:p>
    <w:p w14:paraId="057C7489" w14:textId="77777777" w:rsidR="005C1F02" w:rsidRDefault="005C1F02" w:rsidP="00E07E9C">
      <w:pPr>
        <w:pStyle w:val="NormalWeb"/>
        <w:spacing w:line="360" w:lineRule="auto"/>
        <w:jc w:val="both"/>
        <w:rPr>
          <w:rFonts w:asciiTheme="minorBidi" w:hAnsiTheme="minorBidi" w:cstheme="minorBidi"/>
        </w:rPr>
      </w:pPr>
    </w:p>
    <w:p w14:paraId="30A7D80D" w14:textId="77777777" w:rsidR="005C1F02" w:rsidRDefault="005C1F02" w:rsidP="00E07E9C">
      <w:pPr>
        <w:pStyle w:val="NormalWeb"/>
        <w:spacing w:line="360" w:lineRule="auto"/>
        <w:jc w:val="both"/>
        <w:rPr>
          <w:rFonts w:asciiTheme="minorBidi" w:hAnsiTheme="minorBidi" w:cstheme="minorBidi"/>
        </w:rPr>
      </w:pPr>
    </w:p>
    <w:p w14:paraId="6E52896B" w14:textId="22BC2C91" w:rsidR="009125CE" w:rsidRPr="00E07E9C" w:rsidRDefault="009125CE" w:rsidP="00764D29">
      <w:pPr>
        <w:pStyle w:val="NormalWeb"/>
        <w:spacing w:line="360" w:lineRule="auto"/>
        <w:jc w:val="both"/>
        <w:rPr>
          <w:rFonts w:asciiTheme="minorBidi" w:hAnsiTheme="minorBidi" w:cstheme="minorBidi"/>
        </w:rPr>
      </w:pPr>
    </w:p>
    <w:sectPr w:rsidR="009125CE" w:rsidRPr="00E07E9C" w:rsidSect="00932874">
      <w:footerReference w:type="default" r:id="rId9"/>
      <w:pgSz w:w="11906" w:h="16838"/>
      <w:pgMar w:top="1440" w:right="1016" w:bottom="1440" w:left="1080" w:header="708" w:footer="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9D660" w14:textId="77777777" w:rsidR="00FC4AEE" w:rsidRDefault="00FC4AEE" w:rsidP="009125CE">
      <w:pPr>
        <w:spacing w:after="0" w:line="240" w:lineRule="auto"/>
      </w:pPr>
      <w:r>
        <w:separator/>
      </w:r>
    </w:p>
  </w:endnote>
  <w:endnote w:type="continuationSeparator" w:id="0">
    <w:p w14:paraId="1EBA4A26" w14:textId="77777777" w:rsidR="00FC4AEE" w:rsidRDefault="00FC4A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9090114"/>
      <w:docPartObj>
        <w:docPartGallery w:val="Page Numbers (Bottom of Page)"/>
        <w:docPartUnique/>
      </w:docPartObj>
    </w:sdtPr>
    <w:sdtEndPr>
      <w:rPr>
        <w:noProof/>
      </w:rPr>
    </w:sdtEndPr>
    <w:sdtContent>
      <w:p w14:paraId="59D37EF5" w14:textId="0DBBE3FF" w:rsidR="00932874" w:rsidRDefault="00932874" w:rsidP="00932874">
        <w:pPr>
          <w:pStyle w:val="Footer"/>
          <w:jc w:val="center"/>
        </w:pPr>
        <w:r>
          <w:fldChar w:fldCharType="begin"/>
        </w:r>
        <w:r>
          <w:instrText xml:space="preserve"> PAGE   \* MERGEFORMAT </w:instrText>
        </w:r>
        <w:r>
          <w:fldChar w:fldCharType="separate"/>
        </w:r>
        <w:r w:rsidR="009E03E9">
          <w:rPr>
            <w:noProof/>
            <w:rtl/>
          </w:rPr>
          <w:t>15</w:t>
        </w:r>
        <w:r>
          <w:rPr>
            <w:noProof/>
          </w:rPr>
          <w:fldChar w:fldCharType="end"/>
        </w:r>
      </w:p>
    </w:sdtContent>
  </w:sdt>
  <w:p w14:paraId="508644CA" w14:textId="77777777" w:rsidR="00932874" w:rsidRDefault="00932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B9A93" w14:textId="77777777" w:rsidR="00FC4AEE" w:rsidRDefault="00FC4AEE" w:rsidP="009125CE">
      <w:pPr>
        <w:spacing w:after="0" w:line="240" w:lineRule="auto"/>
      </w:pPr>
      <w:r>
        <w:separator/>
      </w:r>
    </w:p>
  </w:footnote>
  <w:footnote w:type="continuationSeparator" w:id="0">
    <w:p w14:paraId="245E5241" w14:textId="77777777" w:rsidR="00FC4AEE" w:rsidRDefault="00FC4AEE"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63BA"/>
    <w:multiLevelType w:val="multilevel"/>
    <w:tmpl w:val="62FC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45756"/>
    <w:multiLevelType w:val="multilevel"/>
    <w:tmpl w:val="84A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47D17"/>
    <w:multiLevelType w:val="multilevel"/>
    <w:tmpl w:val="7F1485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791038"/>
    <w:multiLevelType w:val="hybridMultilevel"/>
    <w:tmpl w:val="E138C67C"/>
    <w:lvl w:ilvl="0" w:tplc="04090013">
      <w:start w:val="1"/>
      <w:numFmt w:val="upperRoman"/>
      <w:lvlText w:val="%1."/>
      <w:lvlJc w:val="right"/>
      <w:pPr>
        <w:ind w:left="750" w:hanging="39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478AE"/>
    <w:multiLevelType w:val="multilevel"/>
    <w:tmpl w:val="0C7E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80660"/>
    <w:multiLevelType w:val="multilevel"/>
    <w:tmpl w:val="62FCE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90AAF"/>
    <w:multiLevelType w:val="multilevel"/>
    <w:tmpl w:val="0409001F"/>
    <w:styleLink w:val="Style1"/>
    <w:lvl w:ilvl="0">
      <w:start w:val="7"/>
      <w:numFmt w:val="decimal"/>
      <w:lvlText w:val="%1."/>
      <w:lvlJc w:val="left"/>
      <w:pPr>
        <w:ind w:left="360" w:hanging="360"/>
      </w:pPr>
    </w:lvl>
    <w:lvl w:ilvl="1">
      <w:start w:val="1"/>
      <w:numFmt w:val="decimal"/>
      <w:lvlText w:val="%1.%2."/>
      <w:lvlJc w:val="left"/>
      <w:pPr>
        <w:ind w:left="8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37467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556A47"/>
    <w:multiLevelType w:val="multilevel"/>
    <w:tmpl w:val="0D12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74293"/>
    <w:multiLevelType w:val="multilevel"/>
    <w:tmpl w:val="76DC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91F71"/>
    <w:multiLevelType w:val="multilevel"/>
    <w:tmpl w:val="EC480CD6"/>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CF049E"/>
    <w:multiLevelType w:val="hybridMultilevel"/>
    <w:tmpl w:val="94F61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285AAA"/>
    <w:multiLevelType w:val="multilevel"/>
    <w:tmpl w:val="ED00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EF03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424B7A"/>
    <w:multiLevelType w:val="multilevel"/>
    <w:tmpl w:val="BCAA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76D06"/>
    <w:multiLevelType w:val="multilevel"/>
    <w:tmpl w:val="85DA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336FC5"/>
    <w:multiLevelType w:val="multilevel"/>
    <w:tmpl w:val="766A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C714E5"/>
    <w:multiLevelType w:val="hybridMultilevel"/>
    <w:tmpl w:val="76BA2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793012"/>
    <w:multiLevelType w:val="multilevel"/>
    <w:tmpl w:val="DE7821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7D4AFA"/>
    <w:multiLevelType w:val="multilevel"/>
    <w:tmpl w:val="59EC0F40"/>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E22211"/>
    <w:multiLevelType w:val="hybridMultilevel"/>
    <w:tmpl w:val="5588A864"/>
    <w:lvl w:ilvl="0" w:tplc="34647036">
      <w:start w:val="1"/>
      <w:numFmt w:val="decimal"/>
      <w:lvlText w:val="%1."/>
      <w:lvlJc w:val="left"/>
      <w:pPr>
        <w:ind w:left="750" w:hanging="39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4552A8"/>
    <w:multiLevelType w:val="hybridMultilevel"/>
    <w:tmpl w:val="BB7AC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ED1E5D"/>
    <w:multiLevelType w:val="hybridMultilevel"/>
    <w:tmpl w:val="1D4A2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696D53"/>
    <w:multiLevelType w:val="hybridMultilevel"/>
    <w:tmpl w:val="C2C0C9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AAB4F0F"/>
    <w:multiLevelType w:val="multilevel"/>
    <w:tmpl w:val="969C63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74E26"/>
    <w:multiLevelType w:val="multilevel"/>
    <w:tmpl w:val="A632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FC4CDC"/>
    <w:multiLevelType w:val="multilevel"/>
    <w:tmpl w:val="62FC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141D0A"/>
    <w:multiLevelType w:val="hybridMultilevel"/>
    <w:tmpl w:val="779E8604"/>
    <w:lvl w:ilvl="0" w:tplc="D6B43406">
      <w:start w:val="1"/>
      <w:numFmt w:val="bullet"/>
      <w:lvlText w:val="•"/>
      <w:lvlJc w:val="left"/>
      <w:pPr>
        <w:ind w:left="720" w:hanging="360"/>
      </w:pPr>
    </w:lvl>
    <w:lvl w:ilvl="1" w:tplc="52422F82">
      <w:start w:val="1"/>
      <w:numFmt w:val="bullet"/>
      <w:lvlText w:val="◦"/>
      <w:lvlJc w:val="left"/>
      <w:pPr>
        <w:ind w:left="1080" w:hanging="360"/>
      </w:pPr>
    </w:lvl>
    <w:lvl w:ilvl="2" w:tplc="14A8EFB4">
      <w:numFmt w:val="decimal"/>
      <w:lvlText w:val=""/>
      <w:lvlJc w:val="left"/>
    </w:lvl>
    <w:lvl w:ilvl="3" w:tplc="52C6CB96">
      <w:numFmt w:val="decimal"/>
      <w:lvlText w:val=""/>
      <w:lvlJc w:val="left"/>
    </w:lvl>
    <w:lvl w:ilvl="4" w:tplc="C2166C40">
      <w:numFmt w:val="decimal"/>
      <w:lvlText w:val=""/>
      <w:lvlJc w:val="left"/>
    </w:lvl>
    <w:lvl w:ilvl="5" w:tplc="50B8F538">
      <w:numFmt w:val="decimal"/>
      <w:lvlText w:val=""/>
      <w:lvlJc w:val="left"/>
    </w:lvl>
    <w:lvl w:ilvl="6" w:tplc="05AA9B6C">
      <w:numFmt w:val="decimal"/>
      <w:lvlText w:val=""/>
      <w:lvlJc w:val="left"/>
    </w:lvl>
    <w:lvl w:ilvl="7" w:tplc="281053E4">
      <w:numFmt w:val="decimal"/>
      <w:lvlText w:val=""/>
      <w:lvlJc w:val="left"/>
    </w:lvl>
    <w:lvl w:ilvl="8" w:tplc="DAC203B2">
      <w:numFmt w:val="decimal"/>
      <w:lvlText w:val=""/>
      <w:lvlJc w:val="left"/>
    </w:lvl>
  </w:abstractNum>
  <w:abstractNum w:abstractNumId="28" w15:restartNumberingAfterBreak="0">
    <w:nsid w:val="52374241"/>
    <w:multiLevelType w:val="multilevel"/>
    <w:tmpl w:val="D87A5C94"/>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B248D8"/>
    <w:multiLevelType w:val="multilevel"/>
    <w:tmpl w:val="AB7AF6E8"/>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0039F3"/>
    <w:multiLevelType w:val="hybridMultilevel"/>
    <w:tmpl w:val="C9AED448"/>
    <w:lvl w:ilvl="0" w:tplc="04090001">
      <w:start w:val="1"/>
      <w:numFmt w:val="bullet"/>
      <w:lvlText w:val=""/>
      <w:lvlJc w:val="left"/>
      <w:pPr>
        <w:ind w:left="750" w:hanging="39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567A8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550A4E"/>
    <w:multiLevelType w:val="multilevel"/>
    <w:tmpl w:val="204C4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FF1B8E"/>
    <w:multiLevelType w:val="hybridMultilevel"/>
    <w:tmpl w:val="93386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9D3E8B"/>
    <w:multiLevelType w:val="multilevel"/>
    <w:tmpl w:val="462E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293CF7"/>
    <w:multiLevelType w:val="multilevel"/>
    <w:tmpl w:val="DE7821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A8831E3"/>
    <w:multiLevelType w:val="hybridMultilevel"/>
    <w:tmpl w:val="3118B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EB0D1F"/>
    <w:multiLevelType w:val="multilevel"/>
    <w:tmpl w:val="62FC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124030"/>
    <w:multiLevelType w:val="multilevel"/>
    <w:tmpl w:val="7F12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A71929"/>
    <w:multiLevelType w:val="hybridMultilevel"/>
    <w:tmpl w:val="EBD25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B56E16"/>
    <w:multiLevelType w:val="multilevel"/>
    <w:tmpl w:val="62FC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805D9E"/>
    <w:multiLevelType w:val="hybridMultilevel"/>
    <w:tmpl w:val="68BA1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01600F"/>
    <w:multiLevelType w:val="multilevel"/>
    <w:tmpl w:val="E37E1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E04F3A"/>
    <w:multiLevelType w:val="multilevel"/>
    <w:tmpl w:val="75584F80"/>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660023"/>
    <w:multiLevelType w:val="multilevel"/>
    <w:tmpl w:val="DFE04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F673BA"/>
    <w:multiLevelType w:val="multilevel"/>
    <w:tmpl w:val="E172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EA57D7"/>
    <w:multiLevelType w:val="hybridMultilevel"/>
    <w:tmpl w:val="5CFEF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711D0D"/>
    <w:multiLevelType w:val="multilevel"/>
    <w:tmpl w:val="509CF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747B33"/>
    <w:multiLevelType w:val="multilevel"/>
    <w:tmpl w:val="5DA26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E874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7877235">
    <w:abstractNumId w:val="20"/>
  </w:num>
  <w:num w:numId="2" w16cid:durableId="1579897512">
    <w:abstractNumId w:val="31"/>
  </w:num>
  <w:num w:numId="3" w16cid:durableId="1705671563">
    <w:abstractNumId w:val="6"/>
  </w:num>
  <w:num w:numId="4" w16cid:durableId="2039893213">
    <w:abstractNumId w:val="5"/>
  </w:num>
  <w:num w:numId="5" w16cid:durableId="705720824">
    <w:abstractNumId w:val="26"/>
  </w:num>
  <w:num w:numId="6" w16cid:durableId="1881553518">
    <w:abstractNumId w:val="37"/>
  </w:num>
  <w:num w:numId="7" w16cid:durableId="1180313150">
    <w:abstractNumId w:val="0"/>
  </w:num>
  <w:num w:numId="8" w16cid:durableId="2090303195">
    <w:abstractNumId w:val="40"/>
  </w:num>
  <w:num w:numId="9" w16cid:durableId="1702703000">
    <w:abstractNumId w:val="49"/>
  </w:num>
  <w:num w:numId="10" w16cid:durableId="1511873721">
    <w:abstractNumId w:val="7"/>
  </w:num>
  <w:num w:numId="11" w16cid:durableId="2003577171">
    <w:abstractNumId w:val="29"/>
  </w:num>
  <w:num w:numId="12" w16cid:durableId="1151094311">
    <w:abstractNumId w:val="32"/>
  </w:num>
  <w:num w:numId="13" w16cid:durableId="330571797">
    <w:abstractNumId w:val="25"/>
  </w:num>
  <w:num w:numId="14" w16cid:durableId="186872205">
    <w:abstractNumId w:val="1"/>
  </w:num>
  <w:num w:numId="15" w16cid:durableId="1587572373">
    <w:abstractNumId w:val="42"/>
  </w:num>
  <w:num w:numId="16" w16cid:durableId="628247763">
    <w:abstractNumId w:val="8"/>
  </w:num>
  <w:num w:numId="17" w16cid:durableId="2102753481">
    <w:abstractNumId w:val="46"/>
  </w:num>
  <w:num w:numId="18" w16cid:durableId="1987009229">
    <w:abstractNumId w:val="10"/>
  </w:num>
  <w:num w:numId="19" w16cid:durableId="558706179">
    <w:abstractNumId w:val="28"/>
  </w:num>
  <w:num w:numId="20" w16cid:durableId="566115899">
    <w:abstractNumId w:val="30"/>
  </w:num>
  <w:num w:numId="21" w16cid:durableId="162405484">
    <w:abstractNumId w:val="3"/>
  </w:num>
  <w:num w:numId="22" w16cid:durableId="2050837546">
    <w:abstractNumId w:val="38"/>
  </w:num>
  <w:num w:numId="23" w16cid:durableId="60980027">
    <w:abstractNumId w:val="47"/>
  </w:num>
  <w:num w:numId="24" w16cid:durableId="248467315">
    <w:abstractNumId w:val="48"/>
  </w:num>
  <w:num w:numId="25" w16cid:durableId="1265722711">
    <w:abstractNumId w:val="45"/>
  </w:num>
  <w:num w:numId="26" w16cid:durableId="801970408">
    <w:abstractNumId w:val="9"/>
  </w:num>
  <w:num w:numId="27" w16cid:durableId="2064865823">
    <w:abstractNumId w:val="15"/>
  </w:num>
  <w:num w:numId="28" w16cid:durableId="1084570091">
    <w:abstractNumId w:val="12"/>
  </w:num>
  <w:num w:numId="29" w16cid:durableId="1203908576">
    <w:abstractNumId w:val="34"/>
  </w:num>
  <w:num w:numId="30" w16cid:durableId="497497719">
    <w:abstractNumId w:val="24"/>
  </w:num>
  <w:num w:numId="31" w16cid:durableId="1833981977">
    <w:abstractNumId w:val="4"/>
  </w:num>
  <w:num w:numId="32" w16cid:durableId="709375246">
    <w:abstractNumId w:val="16"/>
  </w:num>
  <w:num w:numId="33" w16cid:durableId="1288851610">
    <w:abstractNumId w:val="14"/>
  </w:num>
  <w:num w:numId="34" w16cid:durableId="981539569">
    <w:abstractNumId w:val="44"/>
  </w:num>
  <w:num w:numId="35" w16cid:durableId="1237980016">
    <w:abstractNumId w:val="13"/>
  </w:num>
  <w:num w:numId="36" w16cid:durableId="1027373587">
    <w:abstractNumId w:val="21"/>
  </w:num>
  <w:num w:numId="37" w16cid:durableId="364402461">
    <w:abstractNumId w:val="43"/>
  </w:num>
  <w:num w:numId="38" w16cid:durableId="692003490">
    <w:abstractNumId w:val="19"/>
  </w:num>
  <w:num w:numId="39" w16cid:durableId="1598293238">
    <w:abstractNumId w:val="2"/>
  </w:num>
  <w:num w:numId="40" w16cid:durableId="1592007108">
    <w:abstractNumId w:val="17"/>
  </w:num>
  <w:num w:numId="41" w16cid:durableId="181212799">
    <w:abstractNumId w:val="22"/>
  </w:num>
  <w:num w:numId="42" w16cid:durableId="2145004822">
    <w:abstractNumId w:val="36"/>
  </w:num>
  <w:num w:numId="43" w16cid:durableId="1520780281">
    <w:abstractNumId w:val="18"/>
  </w:num>
  <w:num w:numId="44" w16cid:durableId="739593760">
    <w:abstractNumId w:val="35"/>
  </w:num>
  <w:num w:numId="45" w16cid:durableId="932517447">
    <w:abstractNumId w:val="23"/>
  </w:num>
  <w:num w:numId="46" w16cid:durableId="1153453704">
    <w:abstractNumId w:val="41"/>
  </w:num>
  <w:num w:numId="47" w16cid:durableId="546796340">
    <w:abstractNumId w:val="33"/>
  </w:num>
  <w:num w:numId="48" w16cid:durableId="234977867">
    <w:abstractNumId w:val="27"/>
    <w:lvlOverride w:ilvl="0">
      <w:startOverride w:val="1"/>
    </w:lvlOverride>
  </w:num>
  <w:num w:numId="49" w16cid:durableId="899293355">
    <w:abstractNumId w:val="39"/>
  </w:num>
  <w:num w:numId="50" w16cid:durableId="766191715">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8EA"/>
    <w:rsid w:val="000134C5"/>
    <w:rsid w:val="000A1857"/>
    <w:rsid w:val="000D1E6F"/>
    <w:rsid w:val="000E07BB"/>
    <w:rsid w:val="000F44B4"/>
    <w:rsid w:val="000F4B35"/>
    <w:rsid w:val="000F5B68"/>
    <w:rsid w:val="00142BE8"/>
    <w:rsid w:val="001620B5"/>
    <w:rsid w:val="0016540F"/>
    <w:rsid w:val="00175A64"/>
    <w:rsid w:val="001902DB"/>
    <w:rsid w:val="001C2162"/>
    <w:rsid w:val="00210BC7"/>
    <w:rsid w:val="00224559"/>
    <w:rsid w:val="002403A8"/>
    <w:rsid w:val="0026191E"/>
    <w:rsid w:val="002A1A2F"/>
    <w:rsid w:val="002A3E86"/>
    <w:rsid w:val="003053DC"/>
    <w:rsid w:val="0030642B"/>
    <w:rsid w:val="0035796E"/>
    <w:rsid w:val="00364F8A"/>
    <w:rsid w:val="00373376"/>
    <w:rsid w:val="00392BD1"/>
    <w:rsid w:val="003D1C77"/>
    <w:rsid w:val="00435216"/>
    <w:rsid w:val="00465B4F"/>
    <w:rsid w:val="004756F2"/>
    <w:rsid w:val="004C49B6"/>
    <w:rsid w:val="004C62A5"/>
    <w:rsid w:val="005426F0"/>
    <w:rsid w:val="00590B27"/>
    <w:rsid w:val="005B5084"/>
    <w:rsid w:val="005C1F02"/>
    <w:rsid w:val="005C7609"/>
    <w:rsid w:val="005F3586"/>
    <w:rsid w:val="00601FEA"/>
    <w:rsid w:val="0062761F"/>
    <w:rsid w:val="006819FC"/>
    <w:rsid w:val="00687236"/>
    <w:rsid w:val="00692F66"/>
    <w:rsid w:val="006948DE"/>
    <w:rsid w:val="006B6151"/>
    <w:rsid w:val="00721D24"/>
    <w:rsid w:val="007441CF"/>
    <w:rsid w:val="00745534"/>
    <w:rsid w:val="00764D29"/>
    <w:rsid w:val="007B01DB"/>
    <w:rsid w:val="007B0E54"/>
    <w:rsid w:val="007B16B3"/>
    <w:rsid w:val="007E3A20"/>
    <w:rsid w:val="007F3C11"/>
    <w:rsid w:val="00813AA9"/>
    <w:rsid w:val="00877AAC"/>
    <w:rsid w:val="008D1365"/>
    <w:rsid w:val="008F1EAE"/>
    <w:rsid w:val="008F350B"/>
    <w:rsid w:val="009109E1"/>
    <w:rsid w:val="009125CE"/>
    <w:rsid w:val="00930609"/>
    <w:rsid w:val="00932874"/>
    <w:rsid w:val="00953BC0"/>
    <w:rsid w:val="00972AD9"/>
    <w:rsid w:val="009B1B1A"/>
    <w:rsid w:val="009B2B93"/>
    <w:rsid w:val="009B6888"/>
    <w:rsid w:val="009C0161"/>
    <w:rsid w:val="009D108D"/>
    <w:rsid w:val="009D19AC"/>
    <w:rsid w:val="009E03E9"/>
    <w:rsid w:val="009E1436"/>
    <w:rsid w:val="009E5668"/>
    <w:rsid w:val="009E5BA3"/>
    <w:rsid w:val="009F4132"/>
    <w:rsid w:val="00A07404"/>
    <w:rsid w:val="00A44855"/>
    <w:rsid w:val="00A74F76"/>
    <w:rsid w:val="00A93EBF"/>
    <w:rsid w:val="00AA79E9"/>
    <w:rsid w:val="00AB0A70"/>
    <w:rsid w:val="00AC47EA"/>
    <w:rsid w:val="00AD3039"/>
    <w:rsid w:val="00B04884"/>
    <w:rsid w:val="00B55620"/>
    <w:rsid w:val="00B63B0F"/>
    <w:rsid w:val="00B72A78"/>
    <w:rsid w:val="00B739DD"/>
    <w:rsid w:val="00B7678A"/>
    <w:rsid w:val="00BA1B48"/>
    <w:rsid w:val="00BA227A"/>
    <w:rsid w:val="00BB5BE9"/>
    <w:rsid w:val="00BC207E"/>
    <w:rsid w:val="00BC6831"/>
    <w:rsid w:val="00BD0EC3"/>
    <w:rsid w:val="00BE3864"/>
    <w:rsid w:val="00C04D0B"/>
    <w:rsid w:val="00C623C9"/>
    <w:rsid w:val="00C71E18"/>
    <w:rsid w:val="00CF56DA"/>
    <w:rsid w:val="00D22171"/>
    <w:rsid w:val="00D23838"/>
    <w:rsid w:val="00D40436"/>
    <w:rsid w:val="00D829D2"/>
    <w:rsid w:val="00DD1226"/>
    <w:rsid w:val="00DD3233"/>
    <w:rsid w:val="00DE7978"/>
    <w:rsid w:val="00E07E9C"/>
    <w:rsid w:val="00E151B6"/>
    <w:rsid w:val="00E304F4"/>
    <w:rsid w:val="00E4053D"/>
    <w:rsid w:val="00E654F4"/>
    <w:rsid w:val="00E71C79"/>
    <w:rsid w:val="00E80FD9"/>
    <w:rsid w:val="00EA6B5D"/>
    <w:rsid w:val="00EC1717"/>
    <w:rsid w:val="00ED2476"/>
    <w:rsid w:val="00ED406D"/>
    <w:rsid w:val="00EE39D5"/>
    <w:rsid w:val="00F546CE"/>
    <w:rsid w:val="00FB2E0D"/>
    <w:rsid w:val="00FC4A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68723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9F41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87236"/>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qFormat/>
    <w:rsid w:val="00AC47EA"/>
    <w:pPr>
      <w:ind w:left="720"/>
      <w:contextualSpacing/>
    </w:pPr>
  </w:style>
  <w:style w:type="character" w:customStyle="1" w:styleId="t286pc">
    <w:name w:val="t286pc"/>
    <w:basedOn w:val="DefaultParagraphFont"/>
    <w:rsid w:val="00ED406D"/>
  </w:style>
  <w:style w:type="character" w:styleId="Strong">
    <w:name w:val="Strong"/>
    <w:basedOn w:val="DefaultParagraphFont"/>
    <w:uiPriority w:val="22"/>
    <w:qFormat/>
    <w:rsid w:val="00ED406D"/>
    <w:rPr>
      <w:b/>
      <w:bCs/>
    </w:rPr>
  </w:style>
  <w:style w:type="character" w:customStyle="1" w:styleId="Heading1Char">
    <w:name w:val="Heading 1 Char"/>
    <w:basedOn w:val="DefaultParagraphFont"/>
    <w:link w:val="Heading1"/>
    <w:uiPriority w:val="9"/>
    <w:rsid w:val="00687236"/>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rsid w:val="00687236"/>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68723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th-inline">
    <w:name w:val="math-inline"/>
    <w:basedOn w:val="DefaultParagraphFont"/>
    <w:rsid w:val="000134C5"/>
  </w:style>
  <w:style w:type="character" w:styleId="PlaceholderText">
    <w:name w:val="Placeholder Text"/>
    <w:basedOn w:val="DefaultParagraphFont"/>
    <w:uiPriority w:val="99"/>
    <w:semiHidden/>
    <w:rsid w:val="000134C5"/>
    <w:rPr>
      <w:color w:val="808080"/>
    </w:rPr>
  </w:style>
  <w:style w:type="character" w:customStyle="1" w:styleId="Heading2Char">
    <w:name w:val="Heading 2 Char"/>
    <w:basedOn w:val="DefaultParagraphFont"/>
    <w:link w:val="Heading2"/>
    <w:uiPriority w:val="9"/>
    <w:rsid w:val="009F4132"/>
    <w:rPr>
      <w:rFonts w:asciiTheme="majorHAnsi" w:eastAsiaTheme="majorEastAsia" w:hAnsiTheme="majorHAnsi" w:cstheme="majorBidi"/>
      <w:color w:val="2F5496" w:themeColor="accent1" w:themeShade="BF"/>
      <w:sz w:val="26"/>
      <w:szCs w:val="26"/>
    </w:rPr>
  </w:style>
  <w:style w:type="numbering" w:customStyle="1" w:styleId="Style1">
    <w:name w:val="Style1"/>
    <w:uiPriority w:val="99"/>
    <w:rsid w:val="009F4132"/>
    <w:pPr>
      <w:numPr>
        <w:numId w:val="3"/>
      </w:numPr>
    </w:pPr>
  </w:style>
  <w:style w:type="character" w:customStyle="1" w:styleId="citation-89">
    <w:name w:val="citation-89"/>
    <w:basedOn w:val="DefaultParagraphFont"/>
    <w:rsid w:val="00C623C9"/>
  </w:style>
  <w:style w:type="character" w:customStyle="1" w:styleId="citation-88">
    <w:name w:val="citation-88"/>
    <w:basedOn w:val="DefaultParagraphFont"/>
    <w:rsid w:val="00C623C9"/>
  </w:style>
  <w:style w:type="character" w:customStyle="1" w:styleId="citation-87">
    <w:name w:val="citation-87"/>
    <w:basedOn w:val="DefaultParagraphFont"/>
    <w:rsid w:val="00C623C9"/>
  </w:style>
  <w:style w:type="character" w:customStyle="1" w:styleId="citation-86">
    <w:name w:val="citation-86"/>
    <w:basedOn w:val="DefaultParagraphFont"/>
    <w:rsid w:val="00C623C9"/>
  </w:style>
  <w:style w:type="character" w:customStyle="1" w:styleId="citation-85">
    <w:name w:val="citation-85"/>
    <w:basedOn w:val="DefaultParagraphFont"/>
    <w:rsid w:val="00C623C9"/>
  </w:style>
  <w:style w:type="character" w:customStyle="1" w:styleId="citation-84">
    <w:name w:val="citation-84"/>
    <w:basedOn w:val="DefaultParagraphFont"/>
    <w:rsid w:val="00C623C9"/>
  </w:style>
  <w:style w:type="character" w:customStyle="1" w:styleId="citation-83">
    <w:name w:val="citation-83"/>
    <w:basedOn w:val="DefaultParagraphFont"/>
    <w:rsid w:val="00C623C9"/>
  </w:style>
  <w:style w:type="character" w:customStyle="1" w:styleId="citation-82">
    <w:name w:val="citation-82"/>
    <w:basedOn w:val="DefaultParagraphFont"/>
    <w:rsid w:val="00C623C9"/>
  </w:style>
  <w:style w:type="character" w:customStyle="1" w:styleId="citation-81">
    <w:name w:val="citation-81"/>
    <w:basedOn w:val="DefaultParagraphFont"/>
    <w:rsid w:val="00C623C9"/>
  </w:style>
  <w:style w:type="character" w:customStyle="1" w:styleId="citation-80">
    <w:name w:val="citation-80"/>
    <w:basedOn w:val="DefaultParagraphFont"/>
    <w:rsid w:val="00C623C9"/>
  </w:style>
  <w:style w:type="character" w:customStyle="1" w:styleId="citation-79">
    <w:name w:val="citation-79"/>
    <w:basedOn w:val="DefaultParagraphFont"/>
    <w:rsid w:val="00C623C9"/>
  </w:style>
  <w:style w:type="character" w:customStyle="1" w:styleId="citation-201">
    <w:name w:val="citation-201"/>
    <w:basedOn w:val="DefaultParagraphFont"/>
    <w:rsid w:val="000D1E6F"/>
  </w:style>
  <w:style w:type="character" w:customStyle="1" w:styleId="citation-200">
    <w:name w:val="citation-200"/>
    <w:basedOn w:val="DefaultParagraphFont"/>
    <w:rsid w:val="000D1E6F"/>
  </w:style>
  <w:style w:type="character" w:customStyle="1" w:styleId="citation-199">
    <w:name w:val="citation-199"/>
    <w:basedOn w:val="DefaultParagraphFont"/>
    <w:rsid w:val="000D1E6F"/>
  </w:style>
  <w:style w:type="character" w:customStyle="1" w:styleId="citation-198">
    <w:name w:val="citation-198"/>
    <w:basedOn w:val="DefaultParagraphFont"/>
    <w:rsid w:val="000D1E6F"/>
  </w:style>
  <w:style w:type="character" w:customStyle="1" w:styleId="citation-197">
    <w:name w:val="citation-197"/>
    <w:basedOn w:val="DefaultParagraphFont"/>
    <w:rsid w:val="000D1E6F"/>
  </w:style>
  <w:style w:type="character" w:customStyle="1" w:styleId="citation-196">
    <w:name w:val="citation-196"/>
    <w:basedOn w:val="DefaultParagraphFont"/>
    <w:rsid w:val="000D1E6F"/>
  </w:style>
  <w:style w:type="character" w:customStyle="1" w:styleId="citation-195">
    <w:name w:val="citation-195"/>
    <w:basedOn w:val="DefaultParagraphFont"/>
    <w:rsid w:val="000D1E6F"/>
  </w:style>
  <w:style w:type="character" w:customStyle="1" w:styleId="citation-194">
    <w:name w:val="citation-194"/>
    <w:basedOn w:val="DefaultParagraphFont"/>
    <w:rsid w:val="000D1E6F"/>
  </w:style>
  <w:style w:type="character" w:customStyle="1" w:styleId="citation-294">
    <w:name w:val="citation-294"/>
    <w:basedOn w:val="DefaultParagraphFont"/>
    <w:rsid w:val="00E4053D"/>
  </w:style>
  <w:style w:type="character" w:customStyle="1" w:styleId="citation-293">
    <w:name w:val="citation-293"/>
    <w:basedOn w:val="DefaultParagraphFont"/>
    <w:rsid w:val="00E4053D"/>
  </w:style>
  <w:style w:type="character" w:customStyle="1" w:styleId="citation-292">
    <w:name w:val="citation-292"/>
    <w:basedOn w:val="DefaultParagraphFont"/>
    <w:rsid w:val="00E4053D"/>
  </w:style>
  <w:style w:type="character" w:customStyle="1" w:styleId="citation-291">
    <w:name w:val="citation-291"/>
    <w:basedOn w:val="DefaultParagraphFont"/>
    <w:rsid w:val="00E4053D"/>
  </w:style>
  <w:style w:type="character" w:customStyle="1" w:styleId="citation-290">
    <w:name w:val="citation-290"/>
    <w:basedOn w:val="DefaultParagraphFont"/>
    <w:rsid w:val="00E4053D"/>
  </w:style>
  <w:style w:type="character" w:customStyle="1" w:styleId="citation-289">
    <w:name w:val="citation-289"/>
    <w:basedOn w:val="DefaultParagraphFont"/>
    <w:rsid w:val="00E4053D"/>
  </w:style>
  <w:style w:type="character" w:customStyle="1" w:styleId="citation-288">
    <w:name w:val="citation-288"/>
    <w:basedOn w:val="DefaultParagraphFont"/>
    <w:rsid w:val="00E4053D"/>
  </w:style>
  <w:style w:type="character" w:customStyle="1" w:styleId="citation-287">
    <w:name w:val="citation-287"/>
    <w:basedOn w:val="DefaultParagraphFont"/>
    <w:rsid w:val="00E4053D"/>
  </w:style>
  <w:style w:type="paragraph" w:styleId="TOCHeading">
    <w:name w:val="TOC Heading"/>
    <w:basedOn w:val="Heading1"/>
    <w:next w:val="Normal"/>
    <w:uiPriority w:val="39"/>
    <w:unhideWhenUsed/>
    <w:qFormat/>
    <w:rsid w:val="00ED2476"/>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ED2476"/>
    <w:pPr>
      <w:tabs>
        <w:tab w:val="left" w:pos="720"/>
        <w:tab w:val="right" w:leader="dot" w:pos="9800"/>
      </w:tabs>
      <w:bidi w:val="0"/>
      <w:spacing w:after="100"/>
      <w:ind w:left="220"/>
    </w:pPr>
  </w:style>
  <w:style w:type="character" w:styleId="Hyperlink">
    <w:name w:val="Hyperlink"/>
    <w:basedOn w:val="DefaultParagraphFont"/>
    <w:uiPriority w:val="99"/>
    <w:unhideWhenUsed/>
    <w:rsid w:val="00ED2476"/>
    <w:rPr>
      <w:color w:val="0563C1" w:themeColor="hyperlink"/>
      <w:u w:val="single"/>
    </w:rPr>
  </w:style>
  <w:style w:type="paragraph" w:styleId="TOC3">
    <w:name w:val="toc 3"/>
    <w:basedOn w:val="Normal"/>
    <w:next w:val="Normal"/>
    <w:autoRedefine/>
    <w:uiPriority w:val="39"/>
    <w:unhideWhenUsed/>
    <w:rsid w:val="000A18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2822">
      <w:bodyDiv w:val="1"/>
      <w:marLeft w:val="0"/>
      <w:marRight w:val="0"/>
      <w:marTop w:val="0"/>
      <w:marBottom w:val="0"/>
      <w:divBdr>
        <w:top w:val="none" w:sz="0" w:space="0" w:color="auto"/>
        <w:left w:val="none" w:sz="0" w:space="0" w:color="auto"/>
        <w:bottom w:val="none" w:sz="0" w:space="0" w:color="auto"/>
        <w:right w:val="none" w:sz="0" w:space="0" w:color="auto"/>
      </w:divBdr>
    </w:div>
    <w:div w:id="18773949">
      <w:bodyDiv w:val="1"/>
      <w:marLeft w:val="0"/>
      <w:marRight w:val="0"/>
      <w:marTop w:val="0"/>
      <w:marBottom w:val="0"/>
      <w:divBdr>
        <w:top w:val="none" w:sz="0" w:space="0" w:color="auto"/>
        <w:left w:val="none" w:sz="0" w:space="0" w:color="auto"/>
        <w:bottom w:val="none" w:sz="0" w:space="0" w:color="auto"/>
        <w:right w:val="none" w:sz="0" w:space="0" w:color="auto"/>
      </w:divBdr>
    </w:div>
    <w:div w:id="57747806">
      <w:bodyDiv w:val="1"/>
      <w:marLeft w:val="0"/>
      <w:marRight w:val="0"/>
      <w:marTop w:val="0"/>
      <w:marBottom w:val="0"/>
      <w:divBdr>
        <w:top w:val="none" w:sz="0" w:space="0" w:color="auto"/>
        <w:left w:val="none" w:sz="0" w:space="0" w:color="auto"/>
        <w:bottom w:val="none" w:sz="0" w:space="0" w:color="auto"/>
        <w:right w:val="none" w:sz="0" w:space="0" w:color="auto"/>
      </w:divBdr>
    </w:div>
    <w:div w:id="100148387">
      <w:bodyDiv w:val="1"/>
      <w:marLeft w:val="0"/>
      <w:marRight w:val="0"/>
      <w:marTop w:val="0"/>
      <w:marBottom w:val="0"/>
      <w:divBdr>
        <w:top w:val="none" w:sz="0" w:space="0" w:color="auto"/>
        <w:left w:val="none" w:sz="0" w:space="0" w:color="auto"/>
        <w:bottom w:val="none" w:sz="0" w:space="0" w:color="auto"/>
        <w:right w:val="none" w:sz="0" w:space="0" w:color="auto"/>
      </w:divBdr>
    </w:div>
    <w:div w:id="116070109">
      <w:bodyDiv w:val="1"/>
      <w:marLeft w:val="0"/>
      <w:marRight w:val="0"/>
      <w:marTop w:val="0"/>
      <w:marBottom w:val="0"/>
      <w:divBdr>
        <w:top w:val="none" w:sz="0" w:space="0" w:color="auto"/>
        <w:left w:val="none" w:sz="0" w:space="0" w:color="auto"/>
        <w:bottom w:val="none" w:sz="0" w:space="0" w:color="auto"/>
        <w:right w:val="none" w:sz="0" w:space="0" w:color="auto"/>
      </w:divBdr>
      <w:divsChild>
        <w:div w:id="784808814">
          <w:marLeft w:val="0"/>
          <w:marRight w:val="0"/>
          <w:marTop w:val="0"/>
          <w:marBottom w:val="0"/>
          <w:divBdr>
            <w:top w:val="none" w:sz="0" w:space="0" w:color="auto"/>
            <w:left w:val="none" w:sz="0" w:space="0" w:color="auto"/>
            <w:bottom w:val="none" w:sz="0" w:space="0" w:color="auto"/>
            <w:right w:val="none" w:sz="0" w:space="0" w:color="auto"/>
          </w:divBdr>
        </w:div>
      </w:divsChild>
    </w:div>
    <w:div w:id="147675806">
      <w:bodyDiv w:val="1"/>
      <w:marLeft w:val="0"/>
      <w:marRight w:val="0"/>
      <w:marTop w:val="0"/>
      <w:marBottom w:val="0"/>
      <w:divBdr>
        <w:top w:val="none" w:sz="0" w:space="0" w:color="auto"/>
        <w:left w:val="none" w:sz="0" w:space="0" w:color="auto"/>
        <w:bottom w:val="none" w:sz="0" w:space="0" w:color="auto"/>
        <w:right w:val="none" w:sz="0" w:space="0" w:color="auto"/>
      </w:divBdr>
    </w:div>
    <w:div w:id="227738159">
      <w:bodyDiv w:val="1"/>
      <w:marLeft w:val="0"/>
      <w:marRight w:val="0"/>
      <w:marTop w:val="0"/>
      <w:marBottom w:val="0"/>
      <w:divBdr>
        <w:top w:val="none" w:sz="0" w:space="0" w:color="auto"/>
        <w:left w:val="none" w:sz="0" w:space="0" w:color="auto"/>
        <w:bottom w:val="none" w:sz="0" w:space="0" w:color="auto"/>
        <w:right w:val="none" w:sz="0" w:space="0" w:color="auto"/>
      </w:divBdr>
    </w:div>
    <w:div w:id="256403110">
      <w:bodyDiv w:val="1"/>
      <w:marLeft w:val="0"/>
      <w:marRight w:val="0"/>
      <w:marTop w:val="0"/>
      <w:marBottom w:val="0"/>
      <w:divBdr>
        <w:top w:val="none" w:sz="0" w:space="0" w:color="auto"/>
        <w:left w:val="none" w:sz="0" w:space="0" w:color="auto"/>
        <w:bottom w:val="none" w:sz="0" w:space="0" w:color="auto"/>
        <w:right w:val="none" w:sz="0" w:space="0" w:color="auto"/>
      </w:divBdr>
    </w:div>
    <w:div w:id="264966533">
      <w:bodyDiv w:val="1"/>
      <w:marLeft w:val="0"/>
      <w:marRight w:val="0"/>
      <w:marTop w:val="0"/>
      <w:marBottom w:val="0"/>
      <w:divBdr>
        <w:top w:val="none" w:sz="0" w:space="0" w:color="auto"/>
        <w:left w:val="none" w:sz="0" w:space="0" w:color="auto"/>
        <w:bottom w:val="none" w:sz="0" w:space="0" w:color="auto"/>
        <w:right w:val="none" w:sz="0" w:space="0" w:color="auto"/>
      </w:divBdr>
    </w:div>
    <w:div w:id="381564067">
      <w:bodyDiv w:val="1"/>
      <w:marLeft w:val="0"/>
      <w:marRight w:val="0"/>
      <w:marTop w:val="0"/>
      <w:marBottom w:val="0"/>
      <w:divBdr>
        <w:top w:val="none" w:sz="0" w:space="0" w:color="auto"/>
        <w:left w:val="none" w:sz="0" w:space="0" w:color="auto"/>
        <w:bottom w:val="none" w:sz="0" w:space="0" w:color="auto"/>
        <w:right w:val="none" w:sz="0" w:space="0" w:color="auto"/>
      </w:divBdr>
    </w:div>
    <w:div w:id="398285900">
      <w:bodyDiv w:val="1"/>
      <w:marLeft w:val="0"/>
      <w:marRight w:val="0"/>
      <w:marTop w:val="0"/>
      <w:marBottom w:val="0"/>
      <w:divBdr>
        <w:top w:val="none" w:sz="0" w:space="0" w:color="auto"/>
        <w:left w:val="none" w:sz="0" w:space="0" w:color="auto"/>
        <w:bottom w:val="none" w:sz="0" w:space="0" w:color="auto"/>
        <w:right w:val="none" w:sz="0" w:space="0" w:color="auto"/>
      </w:divBdr>
      <w:divsChild>
        <w:div w:id="1625774120">
          <w:marLeft w:val="0"/>
          <w:marRight w:val="0"/>
          <w:marTop w:val="0"/>
          <w:marBottom w:val="0"/>
          <w:divBdr>
            <w:top w:val="none" w:sz="0" w:space="0" w:color="auto"/>
            <w:left w:val="none" w:sz="0" w:space="0" w:color="auto"/>
            <w:bottom w:val="none" w:sz="0" w:space="0" w:color="auto"/>
            <w:right w:val="none" w:sz="0" w:space="0" w:color="auto"/>
          </w:divBdr>
        </w:div>
      </w:divsChild>
    </w:div>
    <w:div w:id="423497565">
      <w:bodyDiv w:val="1"/>
      <w:marLeft w:val="0"/>
      <w:marRight w:val="0"/>
      <w:marTop w:val="0"/>
      <w:marBottom w:val="0"/>
      <w:divBdr>
        <w:top w:val="none" w:sz="0" w:space="0" w:color="auto"/>
        <w:left w:val="none" w:sz="0" w:space="0" w:color="auto"/>
        <w:bottom w:val="none" w:sz="0" w:space="0" w:color="auto"/>
        <w:right w:val="none" w:sz="0" w:space="0" w:color="auto"/>
      </w:divBdr>
    </w:div>
    <w:div w:id="445004909">
      <w:bodyDiv w:val="1"/>
      <w:marLeft w:val="0"/>
      <w:marRight w:val="0"/>
      <w:marTop w:val="0"/>
      <w:marBottom w:val="0"/>
      <w:divBdr>
        <w:top w:val="none" w:sz="0" w:space="0" w:color="auto"/>
        <w:left w:val="none" w:sz="0" w:space="0" w:color="auto"/>
        <w:bottom w:val="none" w:sz="0" w:space="0" w:color="auto"/>
        <w:right w:val="none" w:sz="0" w:space="0" w:color="auto"/>
      </w:divBdr>
      <w:divsChild>
        <w:div w:id="776364566">
          <w:marLeft w:val="0"/>
          <w:marRight w:val="0"/>
          <w:marTop w:val="0"/>
          <w:marBottom w:val="0"/>
          <w:divBdr>
            <w:top w:val="none" w:sz="0" w:space="0" w:color="auto"/>
            <w:left w:val="none" w:sz="0" w:space="0" w:color="auto"/>
            <w:bottom w:val="none" w:sz="0" w:space="0" w:color="auto"/>
            <w:right w:val="none" w:sz="0" w:space="0" w:color="auto"/>
          </w:divBdr>
          <w:divsChild>
            <w:div w:id="116439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128251">
      <w:bodyDiv w:val="1"/>
      <w:marLeft w:val="0"/>
      <w:marRight w:val="0"/>
      <w:marTop w:val="0"/>
      <w:marBottom w:val="0"/>
      <w:divBdr>
        <w:top w:val="none" w:sz="0" w:space="0" w:color="auto"/>
        <w:left w:val="none" w:sz="0" w:space="0" w:color="auto"/>
        <w:bottom w:val="none" w:sz="0" w:space="0" w:color="auto"/>
        <w:right w:val="none" w:sz="0" w:space="0" w:color="auto"/>
      </w:divBdr>
    </w:div>
    <w:div w:id="740713556">
      <w:bodyDiv w:val="1"/>
      <w:marLeft w:val="0"/>
      <w:marRight w:val="0"/>
      <w:marTop w:val="0"/>
      <w:marBottom w:val="0"/>
      <w:divBdr>
        <w:top w:val="none" w:sz="0" w:space="0" w:color="auto"/>
        <w:left w:val="none" w:sz="0" w:space="0" w:color="auto"/>
        <w:bottom w:val="none" w:sz="0" w:space="0" w:color="auto"/>
        <w:right w:val="none" w:sz="0" w:space="0" w:color="auto"/>
      </w:divBdr>
    </w:div>
    <w:div w:id="765931096">
      <w:bodyDiv w:val="1"/>
      <w:marLeft w:val="0"/>
      <w:marRight w:val="0"/>
      <w:marTop w:val="0"/>
      <w:marBottom w:val="0"/>
      <w:divBdr>
        <w:top w:val="none" w:sz="0" w:space="0" w:color="auto"/>
        <w:left w:val="none" w:sz="0" w:space="0" w:color="auto"/>
        <w:bottom w:val="none" w:sz="0" w:space="0" w:color="auto"/>
        <w:right w:val="none" w:sz="0" w:space="0" w:color="auto"/>
      </w:divBdr>
      <w:divsChild>
        <w:div w:id="448938323">
          <w:marLeft w:val="0"/>
          <w:marRight w:val="0"/>
          <w:marTop w:val="0"/>
          <w:marBottom w:val="0"/>
          <w:divBdr>
            <w:top w:val="none" w:sz="0" w:space="0" w:color="auto"/>
            <w:left w:val="none" w:sz="0" w:space="0" w:color="auto"/>
            <w:bottom w:val="none" w:sz="0" w:space="0" w:color="auto"/>
            <w:right w:val="none" w:sz="0" w:space="0" w:color="auto"/>
          </w:divBdr>
          <w:divsChild>
            <w:div w:id="1462109245">
              <w:marLeft w:val="0"/>
              <w:marRight w:val="0"/>
              <w:marTop w:val="0"/>
              <w:marBottom w:val="0"/>
              <w:divBdr>
                <w:top w:val="none" w:sz="0" w:space="0" w:color="auto"/>
                <w:left w:val="none" w:sz="0" w:space="0" w:color="auto"/>
                <w:bottom w:val="none" w:sz="0" w:space="0" w:color="auto"/>
                <w:right w:val="none" w:sz="0" w:space="0" w:color="auto"/>
              </w:divBdr>
            </w:div>
          </w:divsChild>
        </w:div>
        <w:div w:id="168255301">
          <w:marLeft w:val="0"/>
          <w:marRight w:val="0"/>
          <w:marTop w:val="0"/>
          <w:marBottom w:val="0"/>
          <w:divBdr>
            <w:top w:val="none" w:sz="0" w:space="0" w:color="auto"/>
            <w:left w:val="none" w:sz="0" w:space="0" w:color="auto"/>
            <w:bottom w:val="none" w:sz="0" w:space="0" w:color="auto"/>
            <w:right w:val="none" w:sz="0" w:space="0" w:color="auto"/>
          </w:divBdr>
          <w:divsChild>
            <w:div w:id="480121857">
              <w:marLeft w:val="0"/>
              <w:marRight w:val="0"/>
              <w:marTop w:val="0"/>
              <w:marBottom w:val="0"/>
              <w:divBdr>
                <w:top w:val="none" w:sz="0" w:space="0" w:color="auto"/>
                <w:left w:val="none" w:sz="0" w:space="0" w:color="auto"/>
                <w:bottom w:val="none" w:sz="0" w:space="0" w:color="auto"/>
                <w:right w:val="none" w:sz="0" w:space="0" w:color="auto"/>
              </w:divBdr>
            </w:div>
          </w:divsChild>
        </w:div>
        <w:div w:id="1845895892">
          <w:marLeft w:val="0"/>
          <w:marRight w:val="0"/>
          <w:marTop w:val="0"/>
          <w:marBottom w:val="0"/>
          <w:divBdr>
            <w:top w:val="none" w:sz="0" w:space="0" w:color="auto"/>
            <w:left w:val="none" w:sz="0" w:space="0" w:color="auto"/>
            <w:bottom w:val="none" w:sz="0" w:space="0" w:color="auto"/>
            <w:right w:val="none" w:sz="0" w:space="0" w:color="auto"/>
          </w:divBdr>
          <w:divsChild>
            <w:div w:id="211384354">
              <w:marLeft w:val="0"/>
              <w:marRight w:val="0"/>
              <w:marTop w:val="0"/>
              <w:marBottom w:val="0"/>
              <w:divBdr>
                <w:top w:val="none" w:sz="0" w:space="0" w:color="auto"/>
                <w:left w:val="none" w:sz="0" w:space="0" w:color="auto"/>
                <w:bottom w:val="none" w:sz="0" w:space="0" w:color="auto"/>
                <w:right w:val="none" w:sz="0" w:space="0" w:color="auto"/>
              </w:divBdr>
            </w:div>
          </w:divsChild>
        </w:div>
        <w:div w:id="1782989818">
          <w:marLeft w:val="0"/>
          <w:marRight w:val="0"/>
          <w:marTop w:val="0"/>
          <w:marBottom w:val="0"/>
          <w:divBdr>
            <w:top w:val="none" w:sz="0" w:space="0" w:color="auto"/>
            <w:left w:val="none" w:sz="0" w:space="0" w:color="auto"/>
            <w:bottom w:val="none" w:sz="0" w:space="0" w:color="auto"/>
            <w:right w:val="none" w:sz="0" w:space="0" w:color="auto"/>
          </w:divBdr>
          <w:divsChild>
            <w:div w:id="9934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57560">
      <w:bodyDiv w:val="1"/>
      <w:marLeft w:val="0"/>
      <w:marRight w:val="0"/>
      <w:marTop w:val="0"/>
      <w:marBottom w:val="0"/>
      <w:divBdr>
        <w:top w:val="none" w:sz="0" w:space="0" w:color="auto"/>
        <w:left w:val="none" w:sz="0" w:space="0" w:color="auto"/>
        <w:bottom w:val="none" w:sz="0" w:space="0" w:color="auto"/>
        <w:right w:val="none" w:sz="0" w:space="0" w:color="auto"/>
      </w:divBdr>
    </w:div>
    <w:div w:id="825051476">
      <w:bodyDiv w:val="1"/>
      <w:marLeft w:val="0"/>
      <w:marRight w:val="0"/>
      <w:marTop w:val="0"/>
      <w:marBottom w:val="0"/>
      <w:divBdr>
        <w:top w:val="none" w:sz="0" w:space="0" w:color="auto"/>
        <w:left w:val="none" w:sz="0" w:space="0" w:color="auto"/>
        <w:bottom w:val="none" w:sz="0" w:space="0" w:color="auto"/>
        <w:right w:val="none" w:sz="0" w:space="0" w:color="auto"/>
      </w:divBdr>
      <w:divsChild>
        <w:div w:id="176892610">
          <w:marLeft w:val="0"/>
          <w:marRight w:val="0"/>
          <w:marTop w:val="0"/>
          <w:marBottom w:val="0"/>
          <w:divBdr>
            <w:top w:val="none" w:sz="0" w:space="0" w:color="auto"/>
            <w:left w:val="none" w:sz="0" w:space="0" w:color="auto"/>
            <w:bottom w:val="none" w:sz="0" w:space="0" w:color="auto"/>
            <w:right w:val="none" w:sz="0" w:space="0" w:color="auto"/>
          </w:divBdr>
          <w:divsChild>
            <w:div w:id="236478935">
              <w:marLeft w:val="0"/>
              <w:marRight w:val="0"/>
              <w:marTop w:val="0"/>
              <w:marBottom w:val="0"/>
              <w:divBdr>
                <w:top w:val="none" w:sz="0" w:space="0" w:color="auto"/>
                <w:left w:val="none" w:sz="0" w:space="0" w:color="auto"/>
                <w:bottom w:val="none" w:sz="0" w:space="0" w:color="auto"/>
                <w:right w:val="none" w:sz="0" w:space="0" w:color="auto"/>
              </w:divBdr>
            </w:div>
          </w:divsChild>
        </w:div>
        <w:div w:id="1979414242">
          <w:marLeft w:val="0"/>
          <w:marRight w:val="0"/>
          <w:marTop w:val="0"/>
          <w:marBottom w:val="0"/>
          <w:divBdr>
            <w:top w:val="none" w:sz="0" w:space="0" w:color="auto"/>
            <w:left w:val="none" w:sz="0" w:space="0" w:color="auto"/>
            <w:bottom w:val="none" w:sz="0" w:space="0" w:color="auto"/>
            <w:right w:val="none" w:sz="0" w:space="0" w:color="auto"/>
          </w:divBdr>
          <w:divsChild>
            <w:div w:id="2021546076">
              <w:marLeft w:val="0"/>
              <w:marRight w:val="0"/>
              <w:marTop w:val="0"/>
              <w:marBottom w:val="0"/>
              <w:divBdr>
                <w:top w:val="none" w:sz="0" w:space="0" w:color="auto"/>
                <w:left w:val="none" w:sz="0" w:space="0" w:color="auto"/>
                <w:bottom w:val="none" w:sz="0" w:space="0" w:color="auto"/>
                <w:right w:val="none" w:sz="0" w:space="0" w:color="auto"/>
              </w:divBdr>
            </w:div>
          </w:divsChild>
        </w:div>
        <w:div w:id="1766489832">
          <w:marLeft w:val="0"/>
          <w:marRight w:val="0"/>
          <w:marTop w:val="0"/>
          <w:marBottom w:val="0"/>
          <w:divBdr>
            <w:top w:val="none" w:sz="0" w:space="0" w:color="auto"/>
            <w:left w:val="none" w:sz="0" w:space="0" w:color="auto"/>
            <w:bottom w:val="none" w:sz="0" w:space="0" w:color="auto"/>
            <w:right w:val="none" w:sz="0" w:space="0" w:color="auto"/>
          </w:divBdr>
          <w:divsChild>
            <w:div w:id="1519930099">
              <w:marLeft w:val="0"/>
              <w:marRight w:val="0"/>
              <w:marTop w:val="0"/>
              <w:marBottom w:val="0"/>
              <w:divBdr>
                <w:top w:val="none" w:sz="0" w:space="0" w:color="auto"/>
                <w:left w:val="none" w:sz="0" w:space="0" w:color="auto"/>
                <w:bottom w:val="none" w:sz="0" w:space="0" w:color="auto"/>
                <w:right w:val="none" w:sz="0" w:space="0" w:color="auto"/>
              </w:divBdr>
            </w:div>
          </w:divsChild>
        </w:div>
        <w:div w:id="812791602">
          <w:marLeft w:val="0"/>
          <w:marRight w:val="0"/>
          <w:marTop w:val="0"/>
          <w:marBottom w:val="0"/>
          <w:divBdr>
            <w:top w:val="none" w:sz="0" w:space="0" w:color="auto"/>
            <w:left w:val="none" w:sz="0" w:space="0" w:color="auto"/>
            <w:bottom w:val="none" w:sz="0" w:space="0" w:color="auto"/>
            <w:right w:val="none" w:sz="0" w:space="0" w:color="auto"/>
          </w:divBdr>
          <w:divsChild>
            <w:div w:id="126322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568466">
      <w:bodyDiv w:val="1"/>
      <w:marLeft w:val="0"/>
      <w:marRight w:val="0"/>
      <w:marTop w:val="0"/>
      <w:marBottom w:val="0"/>
      <w:divBdr>
        <w:top w:val="none" w:sz="0" w:space="0" w:color="auto"/>
        <w:left w:val="none" w:sz="0" w:space="0" w:color="auto"/>
        <w:bottom w:val="none" w:sz="0" w:space="0" w:color="auto"/>
        <w:right w:val="none" w:sz="0" w:space="0" w:color="auto"/>
      </w:divBdr>
      <w:divsChild>
        <w:div w:id="1855723710">
          <w:marLeft w:val="0"/>
          <w:marRight w:val="0"/>
          <w:marTop w:val="0"/>
          <w:marBottom w:val="0"/>
          <w:divBdr>
            <w:top w:val="none" w:sz="0" w:space="0" w:color="auto"/>
            <w:left w:val="none" w:sz="0" w:space="0" w:color="auto"/>
            <w:bottom w:val="none" w:sz="0" w:space="0" w:color="auto"/>
            <w:right w:val="none" w:sz="0" w:space="0" w:color="auto"/>
          </w:divBdr>
        </w:div>
      </w:divsChild>
    </w:div>
    <w:div w:id="989863823">
      <w:bodyDiv w:val="1"/>
      <w:marLeft w:val="0"/>
      <w:marRight w:val="0"/>
      <w:marTop w:val="0"/>
      <w:marBottom w:val="0"/>
      <w:divBdr>
        <w:top w:val="none" w:sz="0" w:space="0" w:color="auto"/>
        <w:left w:val="none" w:sz="0" w:space="0" w:color="auto"/>
        <w:bottom w:val="none" w:sz="0" w:space="0" w:color="auto"/>
        <w:right w:val="none" w:sz="0" w:space="0" w:color="auto"/>
      </w:divBdr>
    </w:div>
    <w:div w:id="1053386980">
      <w:bodyDiv w:val="1"/>
      <w:marLeft w:val="0"/>
      <w:marRight w:val="0"/>
      <w:marTop w:val="0"/>
      <w:marBottom w:val="0"/>
      <w:divBdr>
        <w:top w:val="none" w:sz="0" w:space="0" w:color="auto"/>
        <w:left w:val="none" w:sz="0" w:space="0" w:color="auto"/>
        <w:bottom w:val="none" w:sz="0" w:space="0" w:color="auto"/>
        <w:right w:val="none" w:sz="0" w:space="0" w:color="auto"/>
      </w:divBdr>
      <w:divsChild>
        <w:div w:id="441385308">
          <w:marLeft w:val="0"/>
          <w:marRight w:val="0"/>
          <w:marTop w:val="0"/>
          <w:marBottom w:val="0"/>
          <w:divBdr>
            <w:top w:val="none" w:sz="0" w:space="0" w:color="auto"/>
            <w:left w:val="none" w:sz="0" w:space="0" w:color="auto"/>
            <w:bottom w:val="none" w:sz="0" w:space="0" w:color="auto"/>
            <w:right w:val="none" w:sz="0" w:space="0" w:color="auto"/>
          </w:divBdr>
        </w:div>
      </w:divsChild>
    </w:div>
    <w:div w:id="1064136499">
      <w:bodyDiv w:val="1"/>
      <w:marLeft w:val="0"/>
      <w:marRight w:val="0"/>
      <w:marTop w:val="0"/>
      <w:marBottom w:val="0"/>
      <w:divBdr>
        <w:top w:val="none" w:sz="0" w:space="0" w:color="auto"/>
        <w:left w:val="none" w:sz="0" w:space="0" w:color="auto"/>
        <w:bottom w:val="none" w:sz="0" w:space="0" w:color="auto"/>
        <w:right w:val="none" w:sz="0" w:space="0" w:color="auto"/>
      </w:divBdr>
      <w:divsChild>
        <w:div w:id="1162043447">
          <w:marLeft w:val="0"/>
          <w:marRight w:val="0"/>
          <w:marTop w:val="0"/>
          <w:marBottom w:val="0"/>
          <w:divBdr>
            <w:top w:val="none" w:sz="0" w:space="0" w:color="auto"/>
            <w:left w:val="none" w:sz="0" w:space="0" w:color="auto"/>
            <w:bottom w:val="none" w:sz="0" w:space="0" w:color="auto"/>
            <w:right w:val="none" w:sz="0" w:space="0" w:color="auto"/>
          </w:divBdr>
          <w:divsChild>
            <w:div w:id="204925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342523">
      <w:bodyDiv w:val="1"/>
      <w:marLeft w:val="0"/>
      <w:marRight w:val="0"/>
      <w:marTop w:val="0"/>
      <w:marBottom w:val="0"/>
      <w:divBdr>
        <w:top w:val="none" w:sz="0" w:space="0" w:color="auto"/>
        <w:left w:val="none" w:sz="0" w:space="0" w:color="auto"/>
        <w:bottom w:val="none" w:sz="0" w:space="0" w:color="auto"/>
        <w:right w:val="none" w:sz="0" w:space="0" w:color="auto"/>
      </w:divBdr>
    </w:div>
    <w:div w:id="1265112819">
      <w:bodyDiv w:val="1"/>
      <w:marLeft w:val="0"/>
      <w:marRight w:val="0"/>
      <w:marTop w:val="0"/>
      <w:marBottom w:val="0"/>
      <w:divBdr>
        <w:top w:val="none" w:sz="0" w:space="0" w:color="auto"/>
        <w:left w:val="none" w:sz="0" w:space="0" w:color="auto"/>
        <w:bottom w:val="none" w:sz="0" w:space="0" w:color="auto"/>
        <w:right w:val="none" w:sz="0" w:space="0" w:color="auto"/>
      </w:divBdr>
      <w:divsChild>
        <w:div w:id="386029796">
          <w:marLeft w:val="0"/>
          <w:marRight w:val="0"/>
          <w:marTop w:val="0"/>
          <w:marBottom w:val="0"/>
          <w:divBdr>
            <w:top w:val="none" w:sz="0" w:space="0" w:color="auto"/>
            <w:left w:val="none" w:sz="0" w:space="0" w:color="auto"/>
            <w:bottom w:val="none" w:sz="0" w:space="0" w:color="auto"/>
            <w:right w:val="none" w:sz="0" w:space="0" w:color="auto"/>
          </w:divBdr>
        </w:div>
      </w:divsChild>
    </w:div>
    <w:div w:id="1274558410">
      <w:bodyDiv w:val="1"/>
      <w:marLeft w:val="0"/>
      <w:marRight w:val="0"/>
      <w:marTop w:val="0"/>
      <w:marBottom w:val="0"/>
      <w:divBdr>
        <w:top w:val="none" w:sz="0" w:space="0" w:color="auto"/>
        <w:left w:val="none" w:sz="0" w:space="0" w:color="auto"/>
        <w:bottom w:val="none" w:sz="0" w:space="0" w:color="auto"/>
        <w:right w:val="none" w:sz="0" w:space="0" w:color="auto"/>
      </w:divBdr>
    </w:div>
    <w:div w:id="1350528556">
      <w:bodyDiv w:val="1"/>
      <w:marLeft w:val="0"/>
      <w:marRight w:val="0"/>
      <w:marTop w:val="0"/>
      <w:marBottom w:val="0"/>
      <w:divBdr>
        <w:top w:val="none" w:sz="0" w:space="0" w:color="auto"/>
        <w:left w:val="none" w:sz="0" w:space="0" w:color="auto"/>
        <w:bottom w:val="none" w:sz="0" w:space="0" w:color="auto"/>
        <w:right w:val="none" w:sz="0" w:space="0" w:color="auto"/>
      </w:divBdr>
      <w:divsChild>
        <w:div w:id="2139715911">
          <w:marLeft w:val="0"/>
          <w:marRight w:val="0"/>
          <w:marTop w:val="0"/>
          <w:marBottom w:val="0"/>
          <w:divBdr>
            <w:top w:val="none" w:sz="0" w:space="0" w:color="auto"/>
            <w:left w:val="none" w:sz="0" w:space="0" w:color="auto"/>
            <w:bottom w:val="none" w:sz="0" w:space="0" w:color="auto"/>
            <w:right w:val="none" w:sz="0" w:space="0" w:color="auto"/>
          </w:divBdr>
        </w:div>
      </w:divsChild>
    </w:div>
    <w:div w:id="1601523984">
      <w:bodyDiv w:val="1"/>
      <w:marLeft w:val="0"/>
      <w:marRight w:val="0"/>
      <w:marTop w:val="0"/>
      <w:marBottom w:val="0"/>
      <w:divBdr>
        <w:top w:val="none" w:sz="0" w:space="0" w:color="auto"/>
        <w:left w:val="none" w:sz="0" w:space="0" w:color="auto"/>
        <w:bottom w:val="none" w:sz="0" w:space="0" w:color="auto"/>
        <w:right w:val="none" w:sz="0" w:space="0" w:color="auto"/>
      </w:divBdr>
    </w:div>
    <w:div w:id="1605847621">
      <w:bodyDiv w:val="1"/>
      <w:marLeft w:val="0"/>
      <w:marRight w:val="0"/>
      <w:marTop w:val="0"/>
      <w:marBottom w:val="0"/>
      <w:divBdr>
        <w:top w:val="none" w:sz="0" w:space="0" w:color="auto"/>
        <w:left w:val="none" w:sz="0" w:space="0" w:color="auto"/>
        <w:bottom w:val="none" w:sz="0" w:space="0" w:color="auto"/>
        <w:right w:val="none" w:sz="0" w:space="0" w:color="auto"/>
      </w:divBdr>
    </w:div>
    <w:div w:id="1698964076">
      <w:bodyDiv w:val="1"/>
      <w:marLeft w:val="0"/>
      <w:marRight w:val="0"/>
      <w:marTop w:val="0"/>
      <w:marBottom w:val="0"/>
      <w:divBdr>
        <w:top w:val="none" w:sz="0" w:space="0" w:color="auto"/>
        <w:left w:val="none" w:sz="0" w:space="0" w:color="auto"/>
        <w:bottom w:val="none" w:sz="0" w:space="0" w:color="auto"/>
        <w:right w:val="none" w:sz="0" w:space="0" w:color="auto"/>
      </w:divBdr>
    </w:div>
    <w:div w:id="1764302589">
      <w:bodyDiv w:val="1"/>
      <w:marLeft w:val="0"/>
      <w:marRight w:val="0"/>
      <w:marTop w:val="0"/>
      <w:marBottom w:val="0"/>
      <w:divBdr>
        <w:top w:val="none" w:sz="0" w:space="0" w:color="auto"/>
        <w:left w:val="none" w:sz="0" w:space="0" w:color="auto"/>
        <w:bottom w:val="none" w:sz="0" w:space="0" w:color="auto"/>
        <w:right w:val="none" w:sz="0" w:space="0" w:color="auto"/>
      </w:divBdr>
    </w:div>
    <w:div w:id="1808670549">
      <w:bodyDiv w:val="1"/>
      <w:marLeft w:val="0"/>
      <w:marRight w:val="0"/>
      <w:marTop w:val="0"/>
      <w:marBottom w:val="0"/>
      <w:divBdr>
        <w:top w:val="none" w:sz="0" w:space="0" w:color="auto"/>
        <w:left w:val="none" w:sz="0" w:space="0" w:color="auto"/>
        <w:bottom w:val="none" w:sz="0" w:space="0" w:color="auto"/>
        <w:right w:val="none" w:sz="0" w:space="0" w:color="auto"/>
      </w:divBdr>
    </w:div>
    <w:div w:id="1934318030">
      <w:bodyDiv w:val="1"/>
      <w:marLeft w:val="0"/>
      <w:marRight w:val="0"/>
      <w:marTop w:val="0"/>
      <w:marBottom w:val="0"/>
      <w:divBdr>
        <w:top w:val="none" w:sz="0" w:space="0" w:color="auto"/>
        <w:left w:val="none" w:sz="0" w:space="0" w:color="auto"/>
        <w:bottom w:val="none" w:sz="0" w:space="0" w:color="auto"/>
        <w:right w:val="none" w:sz="0" w:space="0" w:color="auto"/>
      </w:divBdr>
    </w:div>
    <w:div w:id="2100757055">
      <w:bodyDiv w:val="1"/>
      <w:marLeft w:val="0"/>
      <w:marRight w:val="0"/>
      <w:marTop w:val="0"/>
      <w:marBottom w:val="0"/>
      <w:divBdr>
        <w:top w:val="none" w:sz="0" w:space="0" w:color="auto"/>
        <w:left w:val="none" w:sz="0" w:space="0" w:color="auto"/>
        <w:bottom w:val="none" w:sz="0" w:space="0" w:color="auto"/>
        <w:right w:val="none" w:sz="0" w:space="0" w:color="auto"/>
      </w:divBdr>
    </w:div>
    <w:div w:id="2122921201">
      <w:bodyDiv w:val="1"/>
      <w:marLeft w:val="0"/>
      <w:marRight w:val="0"/>
      <w:marTop w:val="0"/>
      <w:marBottom w:val="0"/>
      <w:divBdr>
        <w:top w:val="none" w:sz="0" w:space="0" w:color="auto"/>
        <w:left w:val="none" w:sz="0" w:space="0" w:color="auto"/>
        <w:bottom w:val="none" w:sz="0" w:space="0" w:color="auto"/>
        <w:right w:val="none" w:sz="0" w:space="0" w:color="auto"/>
      </w:divBdr>
    </w:div>
    <w:div w:id="2140802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71ADC-C699-4665-BBA8-CE307EBC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23</Pages>
  <Words>5312</Words>
  <Characters>30283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Saleh</cp:lastModifiedBy>
  <cp:revision>6</cp:revision>
  <cp:lastPrinted>2026-03-25T18:54:00Z</cp:lastPrinted>
  <dcterms:created xsi:type="dcterms:W3CDTF">2026-06-19T13:31:00Z</dcterms:created>
  <dcterms:modified xsi:type="dcterms:W3CDTF">2026-06-19T15:08:00Z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2026-06-19T13:31:17Z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6ee05aac-481e-40c2-80cd-e837807d5e84</vt:lpwstr>
  </property>
  <property fmtid="{D5CDD505-2E9C-101B-9397-08002B2CF9AE}" pid="8" name="MSIP_Label_defa4170-0d19-0005-0004-bc88714345d2_ActionId">
    <vt:lpwstr>568ac7e8-b479-49e9-994b-3b4152f78dc3</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