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B2724" w14:textId="47AA8CFC" w:rsidR="00EF73E8" w:rsidRPr="004C1AE1" w:rsidRDefault="00C91FFD" w:rsidP="00C92A71">
      <w:pPr>
        <w:pStyle w:val="NoSpacing"/>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sidRPr="00100C7F">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Emphasis"/>
          <w:rFonts w:ascii="Traditional Arabic" w:eastAsiaTheme="majorEastAsia" w:hAnsi="Traditional Arabic" w:cs="Traditional Arabic"/>
          <w:i w:val="0"/>
          <w:iCs w:val="0"/>
          <w:sz w:val="28"/>
          <w:szCs w:val="28"/>
          <w:rtl/>
        </w:rPr>
        <w:t>(</w:t>
      </w:r>
      <w:r w:rsidRPr="00100C7F">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Emphasis"/>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256C2F17" w14:textId="77777777" w:rsidR="00A16743" w:rsidRPr="00100C7F" w:rsidRDefault="00A16743" w:rsidP="00A16743">
      <w:pPr>
        <w:pStyle w:val="NormalWeb"/>
        <w:bidi/>
        <w:spacing w:before="0" w:beforeAutospacing="0" w:after="0" w:afterAutospacing="0"/>
        <w:ind w:right="-270"/>
        <w:jc w:val="center"/>
        <w:rPr>
          <w:rFonts w:asciiTheme="majorBidi" w:hAnsiTheme="majorBidi" w:cstheme="majorBidi"/>
          <w:b/>
          <w:bCs/>
          <w:sz w:val="36"/>
          <w:szCs w:val="40"/>
        </w:rPr>
      </w:pPr>
    </w:p>
    <w:p w14:paraId="78F2AFA5" w14:textId="007BC58C" w:rsidR="00C051FB" w:rsidRDefault="00000989" w:rsidP="00953DC2">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proofErr w:type="spellStart"/>
      <w:r w:rsidR="00D46654">
        <w:rPr>
          <w:rFonts w:asciiTheme="majorBidi" w:eastAsia="Times New Roman" w:hAnsiTheme="majorBidi" w:cstheme="majorBidi"/>
          <w:b/>
          <w:bCs/>
          <w:sz w:val="16"/>
          <w:szCs w:val="16"/>
        </w:rPr>
        <w:t>AlHilal</w:t>
      </w:r>
      <w:proofErr w:type="spellEnd"/>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proofErr w:type="spellStart"/>
      <w:r w:rsidRPr="009B3E68">
        <w:rPr>
          <w:rFonts w:ascii="Traditional Arabic" w:hAnsi="Traditional Arabic" w:cs="Traditional Arabic"/>
          <w:sz w:val="36"/>
          <w:szCs w:val="36"/>
        </w:rPr>
        <w:t>الملخص</w:t>
      </w:r>
      <w:proofErr w:type="spellEnd"/>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lastRenderedPageBreak/>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lang w:val="ar-SA"/>
        </w:rPr>
        <w:id w:val="123668334"/>
        <w:docPartObj>
          <w:docPartGallery w:val="Table of Contents"/>
          <w:docPartUnique/>
        </w:docPartObj>
      </w:sdtPr>
      <w:sdtEndPr>
        <w:rPr>
          <w:lang w:val="en-US"/>
        </w:rPr>
      </w:sdtEndPr>
      <w:sdtContent>
        <w:p w14:paraId="5DE4ACE7" w14:textId="142FAA94" w:rsidR="00104969" w:rsidRDefault="00104969" w:rsidP="000E723C">
          <w:pPr>
            <w:pStyle w:val="TOCHeading"/>
          </w:pPr>
          <w:r>
            <w:rPr>
              <w:lang w:val="ar-SA"/>
            </w:rPr>
            <w:t>المحتويات</w:t>
          </w:r>
        </w:p>
        <w:p w14:paraId="5D79E775" w14:textId="62CCC7FD" w:rsidR="0020169F"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sidR="0020169F" w:rsidRPr="008A141F">
              <w:rPr>
                <w:rStyle w:val="Hyperlink"/>
                <w:rFonts w:ascii="Traditional Arabic" w:hAnsi="Traditional Arabic" w:cs="Traditional Arabic"/>
                <w:b/>
                <w:bCs/>
                <w:noProof/>
                <w:rtl/>
              </w:rPr>
              <w:t>الفصل الأول: الإطار العام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9</w:t>
            </w:r>
            <w:r w:rsidR="0020169F">
              <w:rPr>
                <w:noProof/>
                <w:webHidden/>
                <w:rtl/>
              </w:rPr>
              <w:fldChar w:fldCharType="end"/>
            </w:r>
          </w:hyperlink>
        </w:p>
        <w:p w14:paraId="28B1530A" w14:textId="4B33238B" w:rsidR="0020169F" w:rsidRDefault="0020169F">
          <w:pPr>
            <w:pStyle w:val="TOC1"/>
            <w:tabs>
              <w:tab w:val="right" w:leader="dot" w:pos="9204"/>
            </w:tabs>
            <w:bidi/>
            <w:rPr>
              <w:rFonts w:eastAsiaTheme="minorEastAsia"/>
              <w:noProof/>
              <w:rtl/>
            </w:rPr>
          </w:pPr>
          <w:hyperlink w:anchor="_Toc218160612" w:history="1">
            <w:r w:rsidRPr="008A141F">
              <w:rPr>
                <w:rStyle w:val="Hyperlink"/>
                <w:rFonts w:ascii="Traditional Arabic" w:hAnsi="Traditional Arabic" w:cs="Traditional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5CB70D0" w14:textId="1C52BBDC" w:rsidR="0020169F" w:rsidRDefault="0020169F">
          <w:pPr>
            <w:pStyle w:val="TOC1"/>
            <w:tabs>
              <w:tab w:val="right" w:leader="dot" w:pos="9204"/>
            </w:tabs>
            <w:bidi/>
            <w:rPr>
              <w:rFonts w:eastAsiaTheme="minorEastAsia"/>
              <w:noProof/>
              <w:rtl/>
            </w:rPr>
          </w:pPr>
          <w:hyperlink w:anchor="_Toc218160613" w:history="1">
            <w:r w:rsidRPr="008A141F">
              <w:rPr>
                <w:rStyle w:val="Hyperlink"/>
                <w:rFonts w:ascii="Traditional Arabic" w:hAnsi="Traditional Arabic" w:cs="Traditional Arabic"/>
                <w:b/>
                <w:bCs/>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8B3AEA8" w14:textId="5AC09464" w:rsidR="0020169F" w:rsidRDefault="0020169F">
          <w:pPr>
            <w:pStyle w:val="TOC1"/>
            <w:tabs>
              <w:tab w:val="right" w:leader="dot" w:pos="9204"/>
            </w:tabs>
            <w:bidi/>
            <w:rPr>
              <w:rFonts w:eastAsiaTheme="minorEastAsia"/>
              <w:noProof/>
              <w:rtl/>
            </w:rPr>
          </w:pPr>
          <w:hyperlink w:anchor="_Toc218160614" w:history="1">
            <w:r w:rsidRPr="008A141F">
              <w:rPr>
                <w:rStyle w:val="Hyperlink"/>
                <w:rFonts w:ascii="Traditional Arabic" w:hAnsi="Traditional Arabic" w:cs="Traditional Arabic"/>
                <w:b/>
                <w:bCs/>
                <w:noProof/>
                <w:rtl/>
              </w:rPr>
              <w:t>أسئلة الدراسة</w:t>
            </w:r>
            <w:r w:rsidRPr="008A141F">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0404DBC" w14:textId="1F648F47" w:rsidR="0020169F" w:rsidRDefault="0020169F">
          <w:pPr>
            <w:pStyle w:val="TOC2"/>
            <w:tabs>
              <w:tab w:val="right" w:leader="dot" w:pos="9204"/>
            </w:tabs>
            <w:bidi/>
            <w:rPr>
              <w:rFonts w:eastAsiaTheme="minorEastAsia"/>
              <w:noProof/>
              <w:rtl/>
            </w:rPr>
          </w:pPr>
          <w:hyperlink w:anchor="_Toc218160615" w:history="1">
            <w:r w:rsidRPr="008A141F">
              <w:rPr>
                <w:rStyle w:val="Hyperlink"/>
                <w:rFonts w:ascii="Traditional Arabic" w:hAnsi="Traditional Arabic" w:cs="Traditional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DF2CB96" w14:textId="361EE0B5" w:rsidR="0020169F" w:rsidRDefault="0020169F">
          <w:pPr>
            <w:pStyle w:val="TOC2"/>
            <w:tabs>
              <w:tab w:val="right" w:leader="dot" w:pos="9204"/>
            </w:tabs>
            <w:bidi/>
            <w:rPr>
              <w:rFonts w:eastAsiaTheme="minorEastAsia"/>
              <w:noProof/>
              <w:rtl/>
            </w:rPr>
          </w:pPr>
          <w:hyperlink w:anchor="_Toc218160616" w:history="1">
            <w:r w:rsidRPr="008A141F">
              <w:rPr>
                <w:rStyle w:val="Hyperlink"/>
                <w:rFonts w:ascii="Traditional Arabic" w:eastAsia="Times New Roman" w:hAnsi="Traditional Arabic" w:cs="Traditional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790C5E" w14:textId="5ABC2923" w:rsidR="0020169F" w:rsidRDefault="0020169F">
          <w:pPr>
            <w:pStyle w:val="TOC2"/>
            <w:tabs>
              <w:tab w:val="right" w:leader="dot" w:pos="9204"/>
            </w:tabs>
            <w:bidi/>
            <w:rPr>
              <w:rFonts w:eastAsiaTheme="minorEastAsia"/>
              <w:noProof/>
              <w:rtl/>
            </w:rPr>
          </w:pPr>
          <w:hyperlink w:anchor="_Toc218160617" w:history="1">
            <w:r w:rsidRPr="008A141F">
              <w:rPr>
                <w:rStyle w:val="Hyperlink"/>
                <w:rFonts w:ascii="Traditional Arabic" w:eastAsia="Times New Roman" w:hAnsi="Traditional Arabic" w:cs="Traditional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CDC2FF8" w14:textId="7F9AD34A" w:rsidR="0020169F" w:rsidRDefault="0020169F">
          <w:pPr>
            <w:pStyle w:val="TOC2"/>
            <w:tabs>
              <w:tab w:val="right" w:leader="dot" w:pos="9204"/>
            </w:tabs>
            <w:bidi/>
            <w:rPr>
              <w:rFonts w:eastAsiaTheme="minorEastAsia"/>
              <w:noProof/>
              <w:rtl/>
            </w:rPr>
          </w:pPr>
          <w:hyperlink w:anchor="_Toc218160618" w:history="1">
            <w:r w:rsidRPr="008A141F">
              <w:rPr>
                <w:rStyle w:val="Hyperlink"/>
                <w:rFonts w:ascii="Traditional Arabic" w:eastAsia="Times New Roman" w:hAnsi="Traditional Arabic" w:cs="Traditional Arabic"/>
                <w:b/>
                <w:bCs/>
                <w:noProof/>
                <w:rtl/>
              </w:rPr>
              <w:t>القيمة المضافة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628EAF2" w14:textId="28099962" w:rsidR="0020169F" w:rsidRDefault="0020169F">
          <w:pPr>
            <w:pStyle w:val="TOC2"/>
            <w:tabs>
              <w:tab w:val="right" w:leader="dot" w:pos="9204"/>
            </w:tabs>
            <w:bidi/>
            <w:rPr>
              <w:rFonts w:eastAsiaTheme="minorEastAsia"/>
              <w:noProof/>
              <w:rtl/>
            </w:rPr>
          </w:pPr>
          <w:hyperlink w:anchor="_Toc218160619" w:history="1">
            <w:r w:rsidRPr="008A141F">
              <w:rPr>
                <w:rStyle w:val="Hyperlink"/>
                <w:rFonts w:ascii="Traditional Arabic" w:eastAsia="Times New Roman"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ACA4C6A" w14:textId="78AB7B4F" w:rsidR="0020169F" w:rsidRDefault="0020169F">
          <w:pPr>
            <w:pStyle w:val="TOC2"/>
            <w:tabs>
              <w:tab w:val="right" w:leader="dot" w:pos="9204"/>
            </w:tabs>
            <w:bidi/>
            <w:rPr>
              <w:rFonts w:eastAsiaTheme="minorEastAsia"/>
              <w:noProof/>
              <w:rtl/>
            </w:rPr>
          </w:pPr>
          <w:hyperlink w:anchor="_Toc218160620" w:history="1">
            <w:r w:rsidRPr="008A141F">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DE233C8" w14:textId="447CE94B" w:rsidR="0020169F" w:rsidRDefault="0020169F">
          <w:pPr>
            <w:pStyle w:val="TOC1"/>
            <w:tabs>
              <w:tab w:val="right" w:leader="dot" w:pos="9204"/>
            </w:tabs>
            <w:bidi/>
            <w:rPr>
              <w:rFonts w:eastAsiaTheme="minorEastAsia"/>
              <w:noProof/>
              <w:rtl/>
            </w:rPr>
          </w:pPr>
          <w:hyperlink w:anchor="_Toc218160621" w:history="1">
            <w:r w:rsidRPr="008A141F">
              <w:rPr>
                <w:rStyle w:val="Hyperlink"/>
                <w:rFonts w:ascii="Traditional Arabic" w:hAnsi="Traditional Arabic" w:cs="Traditional Arabic"/>
                <w:b/>
                <w:bCs/>
                <w:noProof/>
                <w:rtl/>
              </w:rPr>
              <w:t>نموذج الدراسة (النموذج المفاهيمي والعلاقات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9E95F1D" w14:textId="134F51B3" w:rsidR="0020169F" w:rsidRDefault="0020169F">
          <w:pPr>
            <w:pStyle w:val="TOC2"/>
            <w:tabs>
              <w:tab w:val="right" w:leader="dot" w:pos="9204"/>
            </w:tabs>
            <w:bidi/>
            <w:rPr>
              <w:rFonts w:eastAsiaTheme="minorEastAsia"/>
              <w:noProof/>
              <w:rtl/>
            </w:rPr>
          </w:pPr>
          <w:hyperlink w:anchor="_Toc218160622" w:history="1">
            <w:r w:rsidRPr="008A141F">
              <w:rPr>
                <w:rStyle w:val="Hyperlink"/>
                <w:rFonts w:ascii="Traditional Arabic" w:eastAsia="Times New Roman" w:hAnsi="Traditional Arabic" w:cs="Traditional Arabic"/>
                <w:b/>
                <w:bCs/>
                <w:noProof/>
                <w:rtl/>
              </w:rPr>
              <w:t>وصف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F2C51D" w14:textId="54CF1319" w:rsidR="0020169F" w:rsidRDefault="0020169F">
          <w:pPr>
            <w:pStyle w:val="TOC2"/>
            <w:tabs>
              <w:tab w:val="right" w:leader="dot" w:pos="9204"/>
            </w:tabs>
            <w:bidi/>
            <w:rPr>
              <w:rFonts w:eastAsiaTheme="minorEastAsia"/>
              <w:noProof/>
              <w:rtl/>
            </w:rPr>
          </w:pPr>
          <w:hyperlink w:anchor="_Toc218160623" w:history="1">
            <w:r w:rsidRPr="008A141F">
              <w:rPr>
                <w:rStyle w:val="Hyperlink"/>
                <w:rFonts w:ascii="Traditional Arabic" w:eastAsia="Times New Roman" w:hAnsi="Traditional Arabic" w:cs="Traditional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4809A64" w14:textId="362413D6" w:rsidR="0020169F" w:rsidRDefault="0020169F">
          <w:pPr>
            <w:pStyle w:val="TOC2"/>
            <w:tabs>
              <w:tab w:val="right" w:leader="dot" w:pos="9204"/>
            </w:tabs>
            <w:bidi/>
            <w:rPr>
              <w:rFonts w:eastAsiaTheme="minorEastAsia"/>
              <w:noProof/>
              <w:rtl/>
            </w:rPr>
          </w:pPr>
          <w:hyperlink w:anchor="_Toc218160624" w:history="1">
            <w:r w:rsidRPr="008A141F">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4AFB24A" w14:textId="1542CFA7" w:rsidR="0020169F" w:rsidRDefault="0020169F">
          <w:pPr>
            <w:pStyle w:val="TOC1"/>
            <w:tabs>
              <w:tab w:val="right" w:leader="dot" w:pos="9204"/>
            </w:tabs>
            <w:bidi/>
            <w:rPr>
              <w:rFonts w:eastAsiaTheme="minorEastAsia"/>
              <w:noProof/>
              <w:rtl/>
            </w:rPr>
          </w:pPr>
          <w:hyperlink w:anchor="_Toc218160625" w:history="1">
            <w:r w:rsidRPr="008A141F">
              <w:rPr>
                <w:rStyle w:val="Hyperlink"/>
                <w:rFonts w:ascii="Traditional Arabic" w:eastAsia="Times New Roman"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357910F" w14:textId="770DC56B" w:rsidR="0020169F" w:rsidRDefault="0020169F">
          <w:pPr>
            <w:pStyle w:val="TOC1"/>
            <w:tabs>
              <w:tab w:val="right" w:leader="dot" w:pos="9204"/>
            </w:tabs>
            <w:bidi/>
            <w:rPr>
              <w:rFonts w:eastAsiaTheme="minorEastAsia"/>
              <w:noProof/>
              <w:rtl/>
            </w:rPr>
          </w:pPr>
          <w:hyperlink w:anchor="_Toc218160626" w:history="1">
            <w:r w:rsidRPr="008A141F">
              <w:rPr>
                <w:rStyle w:val="Hyperlink"/>
                <w:rFonts w:ascii="Traditional Arabic" w:eastAsia="Times New Roman"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164AD8F" w14:textId="38B2B61E" w:rsidR="0020169F" w:rsidRDefault="0020169F">
          <w:pPr>
            <w:pStyle w:val="TOC1"/>
            <w:tabs>
              <w:tab w:val="right" w:leader="dot" w:pos="9204"/>
            </w:tabs>
            <w:bidi/>
            <w:rPr>
              <w:rFonts w:eastAsiaTheme="minorEastAsia"/>
              <w:noProof/>
              <w:rtl/>
            </w:rPr>
          </w:pPr>
          <w:hyperlink w:anchor="_Toc218160627" w:history="1">
            <w:r w:rsidRPr="008A141F">
              <w:rPr>
                <w:rStyle w:val="Hyperlink"/>
                <w:rFonts w:ascii="Traditional Arabic" w:eastAsia="Times New Roman" w:hAnsi="Traditional Arabic" w:cs="Traditional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E63413C" w14:textId="046300F7" w:rsidR="0020169F" w:rsidRDefault="0020169F">
          <w:pPr>
            <w:pStyle w:val="TOC1"/>
            <w:tabs>
              <w:tab w:val="right" w:leader="dot" w:pos="9204"/>
            </w:tabs>
            <w:bidi/>
            <w:rPr>
              <w:rFonts w:eastAsiaTheme="minorEastAsia"/>
              <w:noProof/>
              <w:rtl/>
            </w:rPr>
          </w:pPr>
          <w:hyperlink w:anchor="_Toc218160628" w:history="1">
            <w:r w:rsidRPr="008A141F">
              <w:rPr>
                <w:rStyle w:val="Hyperlink"/>
                <w:rFonts w:ascii="Traditional Arabic" w:eastAsia="Times New Roman" w:hAnsi="Traditional Arabic" w:cs="Traditional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0CA5F10" w14:textId="616317CC" w:rsidR="0020169F" w:rsidRDefault="0020169F">
          <w:pPr>
            <w:pStyle w:val="TOC1"/>
            <w:tabs>
              <w:tab w:val="right" w:leader="dot" w:pos="9204"/>
            </w:tabs>
            <w:bidi/>
            <w:rPr>
              <w:rFonts w:eastAsiaTheme="minorEastAsia"/>
              <w:noProof/>
              <w:rtl/>
            </w:rPr>
          </w:pPr>
          <w:hyperlink w:anchor="_Toc218160629" w:history="1">
            <w:r w:rsidRPr="008A141F">
              <w:rPr>
                <w:rStyle w:val="Hyperlink"/>
                <w:rFonts w:ascii="Traditional Arabic" w:eastAsia="Times New Roman" w:hAnsi="Traditional Arabic" w:cs="Traditional Arabic"/>
                <w:b/>
                <w:bCs/>
                <w:noProof/>
                <w:rtl/>
              </w:rPr>
              <w:t>المستخلص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EAD8821" w14:textId="166C5916" w:rsidR="0020169F" w:rsidRDefault="0020169F">
          <w:pPr>
            <w:pStyle w:val="TOC1"/>
            <w:tabs>
              <w:tab w:val="right" w:leader="dot" w:pos="9204"/>
            </w:tabs>
            <w:bidi/>
            <w:rPr>
              <w:rFonts w:eastAsiaTheme="minorEastAsia"/>
              <w:noProof/>
              <w:rtl/>
            </w:rPr>
          </w:pPr>
          <w:hyperlink w:anchor="_Toc218160630" w:history="1">
            <w:r w:rsidRPr="008A141F">
              <w:rPr>
                <w:rStyle w:val="Hyperlink"/>
                <w:rFonts w:ascii="Traditional Arabic" w:eastAsia="Times New Roman"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24C5759" w14:textId="46A4F29D" w:rsidR="0020169F" w:rsidRDefault="0020169F">
          <w:pPr>
            <w:pStyle w:val="TOC1"/>
            <w:tabs>
              <w:tab w:val="right" w:leader="dot" w:pos="9204"/>
            </w:tabs>
            <w:bidi/>
            <w:rPr>
              <w:rFonts w:eastAsiaTheme="minorEastAsia"/>
              <w:noProof/>
              <w:rtl/>
            </w:rPr>
          </w:pPr>
          <w:hyperlink w:anchor="_Toc218160631" w:history="1">
            <w:r w:rsidRPr="008A141F">
              <w:rPr>
                <w:rStyle w:val="Hyperlink"/>
                <w:rFonts w:ascii="Traditional Arabic" w:eastAsia="Times New Roman" w:hAnsi="Traditional Arabic" w:cs="Traditional Arabic"/>
                <w:b/>
                <w:bCs/>
                <w:noProof/>
                <w:rtl/>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8160611"/>
      <w:r w:rsidRPr="00056C52">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8160612"/>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1"/>
    </w:p>
    <w:p w14:paraId="6FC2E78F" w14:textId="22DD9527"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sidR="0081362E">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(Sarna et al., 2023)</w:t>
      </w:r>
      <w:r w:rsidR="003A27DC">
        <w:rPr>
          <w:rFonts w:ascii="Traditional Arabic" w:eastAsia="Times New Roman" w:hAnsi="Traditional Arabic" w:cs="Traditional Arabic" w:hint="cs"/>
          <w:color w:val="000000" w:themeColor="text1"/>
          <w:sz w:val="28"/>
          <w:szCs w:val="28"/>
          <w:rtl/>
        </w:rPr>
        <w:t>.</w:t>
      </w:r>
    </w:p>
    <w:p w14:paraId="0DE5DCAA" w14:textId="0D914C68"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sidR="003A27DC">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 xml:space="preserve"> (MEWA, 2023)</w:t>
      </w:r>
      <w:r w:rsidR="006049B7">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sidRPr="00621286">
        <w:rPr>
          <w:rFonts w:ascii="Traditional Arabic" w:eastAsia="Times New Roman" w:hAnsi="Traditional Arabic" w:cs="Traditional Arabic"/>
          <w:color w:val="000000" w:themeColor="text1"/>
          <w:sz w:val="28"/>
          <w:szCs w:val="28"/>
        </w:rPr>
        <w:t xml:space="preserve"> (ISO 55000, 2021) </w:t>
      </w:r>
      <w:r w:rsidRPr="00621286">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sidRPr="00621286">
        <w:rPr>
          <w:rFonts w:ascii="Traditional Arabic" w:eastAsia="Times New Roman" w:hAnsi="Traditional Arabic" w:cs="Traditional Arabic"/>
          <w:color w:val="000000" w:themeColor="text1"/>
          <w:sz w:val="28"/>
          <w:szCs w:val="28"/>
        </w:rPr>
        <w:t>.</w:t>
      </w:r>
    </w:p>
    <w:p w14:paraId="7B629A28" w14:textId="3301F482" w:rsid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الرقمي—بما في ذلك العدادات الذكية، وأنظمة التحكم</w:t>
      </w:r>
      <w:r w:rsidRPr="00621286">
        <w:rPr>
          <w:rFonts w:ascii="Traditional Arabic" w:eastAsia="Times New Roman" w:hAnsi="Traditional Arabic" w:cs="Traditional Arabic"/>
          <w:color w:val="000000" w:themeColor="text1"/>
          <w:sz w:val="28"/>
          <w:szCs w:val="28"/>
        </w:rPr>
        <w:t xml:space="preserve"> SCADA</w:t>
      </w:r>
      <w:r w:rsidRPr="00621286">
        <w:rPr>
          <w:rFonts w:ascii="Traditional Arabic" w:eastAsia="Times New Roman" w:hAnsi="Traditional Arabic" w:cs="Traditional Arabic"/>
          <w:color w:val="000000" w:themeColor="text1"/>
          <w:sz w:val="28"/>
          <w:szCs w:val="28"/>
          <w:rtl/>
        </w:rPr>
        <w:t>، والمراقبة الحية للتشغيل—إلا أن كثيرًا من المبادرات الرقمية لا تزال تُطبّق بمعزل عن إطار حوكمة واضح يضمن استدامة أثرها وارتباطها بالأهداف المؤسسية الشاملة. وتشير الأدبيات الحديثة إلى أن التحول الرقمي لا يحقق كامل قيمته إلا عند دمجه ضمن نموذج حوكمة ذكي يدعم اتخاذ القرار الاستباقي ويرفع مستوى الشفافية والمساءلة</w:t>
      </w:r>
      <w:r w:rsidR="003A69C7">
        <w:rPr>
          <w:rFonts w:ascii="Traditional Arabic" w:eastAsia="Times New Roman" w:hAnsi="Traditional Arabic" w:cs="Traditional Arabic" w:hint="cs"/>
          <w:color w:val="000000" w:themeColor="text1"/>
          <w:sz w:val="28"/>
          <w:szCs w:val="28"/>
          <w:rtl/>
        </w:rPr>
        <w:t xml:space="preserve"> </w:t>
      </w:r>
      <w:r w:rsidR="00C04D40">
        <w:rPr>
          <w:rFonts w:ascii="Traditional Arabic" w:eastAsia="Times New Roman" w:hAnsi="Traditional Arabic" w:cs="Traditional Arabic" w:hint="cs"/>
          <w:color w:val="000000" w:themeColor="text1"/>
          <w:sz w:val="28"/>
          <w:szCs w:val="28"/>
          <w:rtl/>
        </w:rPr>
        <w:t>(</w:t>
      </w:r>
      <w:r w:rsidRPr="00621286">
        <w:rPr>
          <w:rFonts w:ascii="Traditional Arabic" w:eastAsia="Times New Roman" w:hAnsi="Traditional Arabic" w:cs="Traditional Arabic"/>
          <w:color w:val="000000" w:themeColor="text1"/>
          <w:sz w:val="28"/>
          <w:szCs w:val="28"/>
        </w:rPr>
        <w:t>Smith, 2020; Gong et al., 2022; Al-Harbi, 2022</w:t>
      </w:r>
      <w:r w:rsidR="00C04D40">
        <w:rPr>
          <w:rFonts w:ascii="Traditional Arabic" w:eastAsia="Times New Roman" w:hAnsi="Traditional Arabic" w:cs="Traditional Arabic" w:hint="cs"/>
          <w:color w:val="000000" w:themeColor="text1"/>
          <w:sz w:val="28"/>
          <w:szCs w:val="28"/>
          <w:rtl/>
        </w:rPr>
        <w:t>).</w:t>
      </w:r>
    </w:p>
    <w:p w14:paraId="40502D5C" w14:textId="52BB6D72" w:rsidR="00227FF9" w:rsidRP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lastRenderedPageBreak/>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8160613"/>
      <w:r w:rsidRPr="00D027C3">
        <w:rPr>
          <w:rFonts w:ascii="Traditional Arabic" w:hAnsi="Traditional Arabic" w:cs="Traditional Arabic"/>
          <w:b/>
          <w:bCs/>
          <w:sz w:val="36"/>
          <w:szCs w:val="36"/>
          <w:rtl/>
        </w:rPr>
        <w:t>مشكلة الدراسة وأسئلتها:</w:t>
      </w:r>
      <w:bookmarkEnd w:id="2"/>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371F1BC4" w14:textId="24A40AAF" w:rsidR="0003624C" w:rsidRPr="009E5F19" w:rsidRDefault="0003624C" w:rsidP="00F76D05">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تشير الأدبيات الحديثة في مجال إدارة الأصول المائية إلى تزايد الاهتمام بتطبيق مبادئ الحوكمة الذكية في تحسين الكفاءة التشغيلية ورفع مستوى الموثوقية، إلا أن معظم الدراسات السابقة ركزت على جانب واحد من عناصر التكامل الثلاثة — إما التحول الرقمي أو الاستدامة أو الحوكمة — دون دمجها في إطار مؤسسي متكامل</w:t>
      </w:r>
      <w:r w:rsidRPr="00E75829">
        <w:rPr>
          <w:rFonts w:asciiTheme="majorBidi" w:eastAsia="Times New Roman" w:hAnsiTheme="majorBidi" w:cstheme="majorBidi"/>
          <w:color w:val="000000" w:themeColor="text1"/>
          <w:sz w:val="28"/>
          <w:szCs w:val="28"/>
        </w:rPr>
        <w:t xml:space="preserve"> </w:t>
      </w:r>
      <w:r w:rsidRPr="00DB0AFE">
        <w:rPr>
          <w:rFonts w:asciiTheme="majorBidi" w:eastAsia="Times New Roman" w:hAnsiTheme="majorBidi" w:cstheme="majorBidi"/>
          <w:color w:val="000000" w:themeColor="text1"/>
          <w:sz w:val="24"/>
          <w:szCs w:val="24"/>
        </w:rPr>
        <w:t>(Smith, 2020; Gong et al., 2022)</w:t>
      </w:r>
      <w:r w:rsidRPr="00E75829">
        <w:rPr>
          <w:rFonts w:asciiTheme="majorBidi" w:eastAsia="Times New Roman" w:hAnsiTheme="majorBidi" w:cstheme="majorBidi"/>
          <w:color w:val="000000" w:themeColor="text1"/>
          <w:sz w:val="28"/>
          <w:szCs w:val="28"/>
        </w:rPr>
        <w:t>.</w:t>
      </w:r>
      <w:r w:rsidR="00750FF7">
        <w:rPr>
          <w:rFonts w:asciiTheme="majorBidi" w:eastAsia="Times New Roman" w:hAnsiTheme="majorBidi" w:cstheme="majorBidi"/>
          <w:color w:val="000000" w:themeColor="text1"/>
          <w:sz w:val="28"/>
          <w:szCs w:val="28"/>
        </w:rPr>
        <w:t xml:space="preserve"> </w:t>
      </w:r>
      <w:r w:rsidRPr="009E5F19">
        <w:rPr>
          <w:rFonts w:ascii="Traditional Arabic" w:eastAsia="Times New Roman" w:hAnsi="Traditional Arabic" w:cs="Traditional Arabic"/>
          <w:color w:val="000000" w:themeColor="text1"/>
          <w:sz w:val="28"/>
          <w:szCs w:val="28"/>
        </w:rPr>
        <w:br/>
      </w:r>
      <w:r w:rsidRPr="009E5F19">
        <w:rPr>
          <w:rFonts w:ascii="Traditional Arabic" w:eastAsia="Times New Roman" w:hAnsi="Traditional Arabic" w:cs="Traditional Arabic"/>
          <w:color w:val="000000" w:themeColor="text1"/>
          <w:sz w:val="28"/>
          <w:szCs w:val="28"/>
          <w:rtl/>
        </w:rPr>
        <w:t>كما كشفت تقارير وطنية عن أن جزءًا كبيرًا من شبكات المياه في المملكة العربية السعودية ما زال يعتمد على أنظمة تشغيل وصيانة تقليدية، رغم إدخال مبادرات رقمية متقدمة مثل العدادات الذكية وأنظمة المراقبة عن بُعد</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(Ministry of Environment</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Water and Agriculture [MEWA], 2023</w:t>
      </w:r>
      <w:r w:rsidRPr="00DB0AFE">
        <w:rPr>
          <w:rFonts w:ascii="Traditional Arabic" w:eastAsia="Times New Roman" w:hAnsi="Traditional Arabic" w:cs="Traditional Arabic"/>
          <w:color w:val="000000" w:themeColor="text1"/>
          <w:sz w:val="24"/>
          <w:szCs w:val="24"/>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وهذا يشير إلى فجوة واضحة بين التحول التقني ونضج الحوكمة المؤسسية في استثمار هذه التقنيات لتحقيق الاستدامة التشغيلية طويلة المدى</w:t>
      </w:r>
      <w:r w:rsidRPr="009E5F19">
        <w:rPr>
          <w:rFonts w:ascii="Traditional Arabic" w:eastAsia="Times New Roman" w:hAnsi="Traditional Arabic" w:cs="Traditional Arabic"/>
          <w:color w:val="000000" w:themeColor="text1"/>
          <w:sz w:val="28"/>
          <w:szCs w:val="28"/>
        </w:rPr>
        <w:t>.</w:t>
      </w:r>
    </w:p>
    <w:p w14:paraId="0F1336E5" w14:textId="6D94EC48" w:rsidR="00227FF9" w:rsidRPr="009E5F19" w:rsidRDefault="0003624C" w:rsidP="00F76D05">
      <w:pPr>
        <w:bidi/>
        <w:spacing w:after="200" w:line="360" w:lineRule="auto"/>
        <w:jc w:val="both"/>
        <w:rPr>
          <w:rFonts w:ascii="Traditional Arabic" w:eastAsia="Times New Roman" w:hAnsi="Traditional Arabic" w:cs="Traditional Arabic"/>
          <w:color w:val="000000" w:themeColor="text1"/>
          <w:sz w:val="28"/>
          <w:szCs w:val="28"/>
          <w:rtl/>
        </w:rPr>
      </w:pPr>
      <w:r w:rsidRPr="009E5F19">
        <w:rPr>
          <w:rFonts w:ascii="Traditional Arabic" w:eastAsia="Times New Roman" w:hAnsi="Traditional Arabic" w:cs="Traditional Arabic"/>
          <w:color w:val="000000" w:themeColor="text1"/>
          <w:sz w:val="28"/>
          <w:szCs w:val="28"/>
          <w:rtl/>
        </w:rPr>
        <w:t>وتُظهر مراجعة الدراسات السابقة أن النماذج التقليدية للحوكمة تركز أساسًا على الامتثال الإجرائي ومتابعة الأداء، بينما تفتقر إلى الدمج بين التحليل التنبؤي للبيانات واتخاذ القرار الاستباقي، وهو ما يُعدّ سمة مميزة للحوكمة الذكية</w:t>
      </w:r>
      <w:r w:rsidRPr="009E5F19">
        <w:rPr>
          <w:rFonts w:ascii="Traditional Arabic" w:eastAsia="Times New Roman" w:hAnsi="Traditional Arabic" w:cs="Traditional Arabic"/>
          <w:color w:val="000000" w:themeColor="text1"/>
          <w:sz w:val="28"/>
          <w:szCs w:val="28"/>
        </w:rPr>
        <w:t xml:space="preserve"> </w:t>
      </w:r>
      <w:r w:rsidRPr="00DB0AFE">
        <w:rPr>
          <w:rFonts w:ascii="Traditional Arabic" w:eastAsia="Times New Roman" w:hAnsi="Traditional Arabic" w:cs="Traditional Arabic"/>
          <w:color w:val="000000" w:themeColor="text1"/>
          <w:sz w:val="24"/>
          <w:szCs w:val="24"/>
        </w:rPr>
        <w:t>(</w:t>
      </w:r>
      <w:r w:rsidRPr="00DB0AFE">
        <w:rPr>
          <w:rFonts w:asciiTheme="majorBidi" w:eastAsia="Times New Roman" w:hAnsiTheme="majorBidi" w:cstheme="majorBidi"/>
          <w:color w:val="000000" w:themeColor="text1"/>
          <w:sz w:val="24"/>
          <w:szCs w:val="24"/>
        </w:rPr>
        <w:t>ISO, 2021; Al-Harbi, 2022).</w:t>
      </w:r>
      <w:r w:rsidRPr="00E75829">
        <w:rPr>
          <w:rFonts w:asciiTheme="majorBidi" w:eastAsia="Times New Roman" w:hAnsiTheme="majorBidi" w:cstheme="majorBidi"/>
          <w:color w:val="000000" w:themeColor="text1"/>
          <w:sz w:val="28"/>
          <w:szCs w:val="28"/>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 xml:space="preserve">كما أن الدراسات العربية في هذا المجال محدودة نسبيًا ولم تقدم إطارًا تطبيقيًا متكاملاً يربط بين التحول الرقمي، والاستدامة، وسلامة الأصول في قطاع المياه السعودي تحديدًا، مما يبرز الحاجة إلى دراسة حديثة تسدّ هذه الفجوة وتقدّم نموذجًا </w:t>
      </w:r>
      <w:proofErr w:type="spellStart"/>
      <w:r w:rsidRPr="009E5F19">
        <w:rPr>
          <w:rFonts w:ascii="Traditional Arabic" w:eastAsia="Times New Roman" w:hAnsi="Traditional Arabic" w:cs="Traditional Arabic"/>
          <w:color w:val="000000" w:themeColor="text1"/>
          <w:sz w:val="28"/>
          <w:szCs w:val="28"/>
          <w:rtl/>
        </w:rPr>
        <w:t>حوكميًا</w:t>
      </w:r>
      <w:proofErr w:type="spellEnd"/>
      <w:r w:rsidRPr="009E5F19">
        <w:rPr>
          <w:rFonts w:ascii="Traditional Arabic" w:eastAsia="Times New Roman" w:hAnsi="Traditional Arabic" w:cs="Traditional Arabic"/>
          <w:color w:val="000000" w:themeColor="text1"/>
          <w:sz w:val="28"/>
          <w:szCs w:val="28"/>
          <w:rtl/>
        </w:rPr>
        <w:t xml:space="preserve"> قابلًا للتطبيق العملي</w:t>
      </w:r>
      <w:r w:rsidRPr="009E5F19">
        <w:rPr>
          <w:rFonts w:ascii="Traditional Arabic" w:eastAsia="Times New Roman" w:hAnsi="Traditional Arabic" w:cs="Traditional Arabic"/>
          <w:color w:val="000000" w:themeColor="text1"/>
          <w:sz w:val="28"/>
          <w:szCs w:val="28"/>
        </w:rPr>
        <w:t>.</w:t>
      </w:r>
    </w:p>
    <w:p w14:paraId="12E78FDF" w14:textId="618F773E" w:rsidR="007234ED" w:rsidRPr="007234ED" w:rsidRDefault="007234ED" w:rsidP="00F76D05">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7234ED">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lastRenderedPageBreak/>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sidRPr="007234ED">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sidRPr="007234ED">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sidRPr="007234ED">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8160614"/>
      <w:r w:rsidRPr="00D027C3">
        <w:rPr>
          <w:rFonts w:ascii="Traditional Arabic" w:hAnsi="Traditional Arabic" w:cs="Traditional Arabic"/>
          <w:b/>
          <w:bCs/>
          <w:sz w:val="36"/>
          <w:szCs w:val="36"/>
          <w:rtl/>
        </w:rPr>
        <w:t>أسئلة الدراسة</w:t>
      </w:r>
      <w:r w:rsidRPr="00D027C3">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bookmarkStart w:id="4" w:name="_GoBack"/>
      <w:bookmarkEnd w:id="4"/>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5" w:name="_Toc218160615"/>
      <w:r w:rsidRPr="000D327A">
        <w:rPr>
          <w:rFonts w:ascii="Traditional Arabic" w:hAnsi="Traditional Arabic" w:cs="Traditional Arabic"/>
          <w:b/>
          <w:bCs/>
          <w:sz w:val="36"/>
          <w:szCs w:val="36"/>
          <w:rtl/>
        </w:rPr>
        <w:t>أهمية الدراسة (النظرية والتطبيقية)</w:t>
      </w:r>
      <w:bookmarkEnd w:id="5"/>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6368A1">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6" w:name="_Toc218160616"/>
      <w:r w:rsidRPr="000D327A">
        <w:rPr>
          <w:rFonts w:ascii="Traditional Arabic" w:eastAsia="Times New Roman" w:hAnsi="Traditional Arabic" w:cs="Traditional Arabic"/>
          <w:b/>
          <w:bCs/>
          <w:sz w:val="36"/>
          <w:szCs w:val="36"/>
          <w:rtl/>
        </w:rPr>
        <w:lastRenderedPageBreak/>
        <w:t>أولًا: الأهمية النظرية</w:t>
      </w:r>
      <w:bookmarkEnd w:id="6"/>
    </w:p>
    <w:p w14:paraId="00A905E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537F4D">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7" w:name="_Toc218160617"/>
      <w:r w:rsidRPr="000D327A">
        <w:rPr>
          <w:rFonts w:ascii="Traditional Arabic" w:eastAsia="Times New Roman" w:hAnsi="Traditional Arabic" w:cs="Traditional Arabic"/>
          <w:b/>
          <w:bCs/>
          <w:sz w:val="36"/>
          <w:szCs w:val="36"/>
          <w:rtl/>
        </w:rPr>
        <w:t>ثانيًا: الأهمية التطبيقية</w:t>
      </w:r>
      <w:bookmarkEnd w:id="7"/>
    </w:p>
    <w:p w14:paraId="797E3B28"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F76D05">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8" w:name="_Toc218160618"/>
      <w:r w:rsidRPr="000D327A">
        <w:rPr>
          <w:rFonts w:ascii="Traditional Arabic" w:eastAsia="Times New Roman" w:hAnsi="Traditional Arabic" w:cs="Traditional Arabic"/>
          <w:b/>
          <w:bCs/>
          <w:sz w:val="36"/>
          <w:szCs w:val="36"/>
          <w:rtl/>
        </w:rPr>
        <w:lastRenderedPageBreak/>
        <w:t>القيمة المضافة للدراسة</w:t>
      </w:r>
      <w:bookmarkEnd w:id="8"/>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9" w:name="_Toc218160619"/>
      <w:r w:rsidRPr="007B6D22">
        <w:rPr>
          <w:rFonts w:ascii="Traditional Arabic" w:eastAsia="Times New Roman" w:hAnsi="Traditional Arabic" w:cs="Traditional Arabic"/>
          <w:b/>
          <w:bCs/>
          <w:sz w:val="36"/>
          <w:szCs w:val="36"/>
          <w:rtl/>
        </w:rPr>
        <w:t>أهداف الدراسة</w:t>
      </w:r>
      <w:bookmarkEnd w:id="9"/>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F76D05">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7B650094" w14:textId="77777777" w:rsidR="00537F4D" w:rsidRPr="00E63B00" w:rsidRDefault="00537F4D" w:rsidP="00537F4D">
      <w:pPr>
        <w:pStyle w:val="Heading2"/>
        <w:bidi/>
        <w:rPr>
          <w:rFonts w:ascii="Traditional Arabic" w:hAnsi="Traditional Arabic" w:cs="Traditional Arabic"/>
          <w:b/>
          <w:bCs/>
          <w:sz w:val="36"/>
          <w:szCs w:val="36"/>
          <w:rtl/>
        </w:rPr>
      </w:pPr>
      <w:bookmarkStart w:id="10" w:name="_Toc218160620"/>
      <w:r w:rsidRPr="00E63B00">
        <w:rPr>
          <w:rFonts w:ascii="Traditional Arabic" w:hAnsi="Traditional Arabic" w:cs="Traditional Arabic"/>
          <w:b/>
          <w:bCs/>
          <w:sz w:val="36"/>
          <w:szCs w:val="36"/>
          <w:rtl/>
        </w:rPr>
        <w:t>الدراسات السابقة</w:t>
      </w:r>
      <w:bookmarkEnd w:id="10"/>
    </w:p>
    <w:p w14:paraId="6CD430D0"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شهدت العقود الأخيرة تطورًا متسارعًا في مفاهيم إدارة الأصول والبنية التحتية، مدفوعًا بتزايد الضغوط التشغيلية، وارتفاع تكاليف الصيانة، وتعقّد المخاطر المرتبطة باستمرارية الخدمات في القطاعات الحيوية، وفي مقدمتها قطاع المياه. وقد تزامن هذا التطور مع بروز التحول الرقمي والحوكمة الذكية والاستدامة بوصفها محاور رئيسة لإعادة تشكيل نماذج الإدارة التقليدية، وتحسين كفاءة استخدام الموارد، وتعزيز موثوقية الأصول على المدى الطويل</w:t>
      </w:r>
      <w:r w:rsidRPr="00F76D05">
        <w:rPr>
          <w:rFonts w:ascii="Traditional Arabic" w:eastAsia="Times New Roman" w:hAnsi="Traditional Arabic" w:cs="Traditional Arabic"/>
          <w:color w:val="000000" w:themeColor="text1"/>
          <w:sz w:val="28"/>
          <w:szCs w:val="28"/>
        </w:rPr>
        <w:t>.</w:t>
      </w:r>
    </w:p>
    <w:p w14:paraId="23618FEE"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وأدت هذه التحولات إلى اهتمام متزايد في الأدبيات العلمية بدراسة أثر التقنيات الرقمية، وأطر الحوكمة، وممارسات الاستدامة في تطوير منظومات إدارة الأصول، حيث لم يعد التركيز مقتصرًا على الجوانب الفنية أو التشغيلية فقط، بل امتد ليشمل الأبعاد المؤسسية والتنظيمية والاستراتيجية. إلا أن هذا الاهتمام، على الرغم من اتساعه، اتسم في كثير من الأحيان بالتجزئة، حيث تناولت معظم الدراسات هذه المحاور بشكل منفصل، دون دمجها في إطار تحليلي أو تطبيقي متكامل</w:t>
      </w:r>
      <w:r w:rsidRPr="00F76D05">
        <w:rPr>
          <w:rFonts w:ascii="Traditional Arabic" w:eastAsia="Times New Roman" w:hAnsi="Traditional Arabic" w:cs="Traditional Arabic"/>
          <w:color w:val="000000" w:themeColor="text1"/>
          <w:sz w:val="28"/>
          <w:szCs w:val="28"/>
        </w:rPr>
        <w:t>.</w:t>
      </w:r>
    </w:p>
    <w:p w14:paraId="70DB5461"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وانطلاقًا من ذلك، تسعى هذه الدراسة إلى مراجعة وتحليل الدراسات السابقة ذات الصلة بالتحول الرقمي، والحوكمة الذكية، والاستدامة، وإدارة وسلامة الأصول، بهدف الوقوف على أبرز الاتجاهات البحثية، وتحديد أوجه القصور والفجوات البحثية، تمهيدًا لبناء نموذج حوكمة ذكي متكامل موجّه لقطاع المياه في المملكة العربية السعودية</w:t>
      </w:r>
      <w:r w:rsidRPr="00F76D05">
        <w:rPr>
          <w:rFonts w:ascii="Traditional Arabic" w:eastAsia="Times New Roman" w:hAnsi="Traditional Arabic" w:cs="Traditional Arabic"/>
          <w:color w:val="000000" w:themeColor="text1"/>
          <w:sz w:val="28"/>
          <w:szCs w:val="28"/>
        </w:rPr>
        <w:t>.</w:t>
      </w:r>
    </w:p>
    <w:p w14:paraId="294112E9"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و</w:t>
      </w:r>
      <w:r w:rsidRPr="00F76D05">
        <w:rPr>
          <w:rFonts w:ascii="Traditional Arabic" w:eastAsia="Times New Roman" w:hAnsi="Traditional Arabic" w:cs="Traditional Arabic"/>
          <w:color w:val="000000" w:themeColor="text1"/>
          <w:sz w:val="28"/>
          <w:szCs w:val="28"/>
          <w:rtl/>
        </w:rPr>
        <w:t>تناولت العديد من الدراسات التحول الرقمي بوصفه عاملًا حاسمًا في تطوير إدارة الأصول وتحسين الكفاءة التشغيلية، خاصة في القطاعات كثيفة الأصول. حيث يشير</w:t>
      </w:r>
      <w:r w:rsidRPr="00F76D05">
        <w:rPr>
          <w:rFonts w:ascii="Traditional Arabic" w:eastAsia="Times New Roman" w:hAnsi="Traditional Arabic" w:cs="Traditional Arabic"/>
          <w:color w:val="000000" w:themeColor="text1"/>
          <w:sz w:val="28"/>
          <w:szCs w:val="28"/>
        </w:rPr>
        <w:t xml:space="preserve"> Smith (2020) </w:t>
      </w:r>
      <w:r w:rsidRPr="00F76D05">
        <w:rPr>
          <w:rFonts w:ascii="Traditional Arabic" w:eastAsia="Times New Roman" w:hAnsi="Traditional Arabic" w:cs="Traditional Arabic"/>
          <w:color w:val="000000" w:themeColor="text1"/>
          <w:sz w:val="28"/>
          <w:szCs w:val="28"/>
          <w:rtl/>
        </w:rPr>
        <w:t>إلى أن التحول الرقمي يسهم في تحسين جودة الخدمات ورفع موثوقية الأصول من خلال الاعتماد على البيانات اللحظية، وأتمتة العمليات، وتوظيف التحليلات المتقدمة لدعم اتخاذ القرار. واعتمدت الدراسة على تحليل مقارن لعدد من المؤسسات التي طبقت مبادرات التحول الرقمي، وأظهرت النتائج انخفاض معدلات الأعطال غير المخططة وتحسن مؤشرات الأداء التشغيلي</w:t>
      </w:r>
      <w:r w:rsidRPr="00F76D05">
        <w:rPr>
          <w:rFonts w:ascii="Traditional Arabic" w:eastAsia="Times New Roman" w:hAnsi="Traditional Arabic" w:cs="Traditional Arabic"/>
          <w:color w:val="000000" w:themeColor="text1"/>
          <w:sz w:val="28"/>
          <w:szCs w:val="28"/>
        </w:rPr>
        <w:t>.</w:t>
      </w:r>
    </w:p>
    <w:p w14:paraId="407F5048"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ومع ذلك، ركزت الدراسة على البعد التقني للتحول الرقمي، دون التعمق في الأطر الحوكمية التي تنظّم استخدام هذه التقنيات أو تضمن استدامة نتائجها. وأشارت ضمنيًا إلى أن غياب التوجيه المؤسسي قد يؤدي إلى تشتت المبادرات الرقمية وتكرارها دون تحقيق قيمة مضافة حقيقية على مستوى المنظمة</w:t>
      </w:r>
      <w:r w:rsidRPr="00F76D05">
        <w:rPr>
          <w:rFonts w:ascii="Traditional Arabic" w:eastAsia="Times New Roman" w:hAnsi="Traditional Arabic" w:cs="Traditional Arabic"/>
          <w:color w:val="000000" w:themeColor="text1"/>
          <w:sz w:val="28"/>
          <w:szCs w:val="28"/>
        </w:rPr>
        <w:t>.</w:t>
      </w:r>
    </w:p>
    <w:p w14:paraId="6F37B99D"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وفي السياق ذاته، قدم</w:t>
      </w:r>
      <w:r w:rsidRPr="00F76D05">
        <w:rPr>
          <w:rFonts w:ascii="Traditional Arabic" w:eastAsia="Times New Roman" w:hAnsi="Traditional Arabic" w:cs="Traditional Arabic"/>
          <w:color w:val="000000" w:themeColor="text1"/>
          <w:sz w:val="28"/>
          <w:szCs w:val="28"/>
        </w:rPr>
        <w:t xml:space="preserve"> Gong et al. (2022) </w:t>
      </w:r>
      <w:r w:rsidRPr="00F76D05">
        <w:rPr>
          <w:rFonts w:ascii="Traditional Arabic" w:eastAsia="Times New Roman" w:hAnsi="Traditional Arabic" w:cs="Traditional Arabic"/>
          <w:color w:val="000000" w:themeColor="text1"/>
          <w:sz w:val="28"/>
          <w:szCs w:val="28"/>
          <w:rtl/>
        </w:rPr>
        <w:t>دراسة كمية تناولت أثر التقنيات الرقمية في تعزيز موثوقية الأصول الصناعية، من خلال تحليل بيانات تشغيلية مستمدة من أنظمة رقمية متقدمة. وأظهرت النتائج أن الرقمنة تسهم في تحسين الصيانة التنبؤية، وتقليل المخاطر التشغيلية، ورفع جاهزية الأصول. إلا أن الدراسة اقتصرت على قياس الأثر المباشر للتقنيات الرقمية، ولم تقدم إطارًا يربط هذه التقنيات بنماذج الحوكمة أو بالاستراتيجية المؤسسية، مما يحد من قدرتها على تفسير اختلاف نتائج التحول الرقمي بين المؤسسات</w:t>
      </w:r>
      <w:r w:rsidRPr="00F76D05">
        <w:rPr>
          <w:rFonts w:ascii="Traditional Arabic" w:eastAsia="Times New Roman" w:hAnsi="Traditional Arabic" w:cs="Traditional Arabic"/>
          <w:color w:val="000000" w:themeColor="text1"/>
          <w:sz w:val="28"/>
          <w:szCs w:val="28"/>
        </w:rPr>
        <w:t>.</w:t>
      </w:r>
    </w:p>
    <w:p w14:paraId="47D8A59C"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وتشير هذه الدراسات إلى أن التحول الرقمي يُنظر إليه غالبًا كأداة تقنية لتحسين الأداء، في حين يتم إغفال دوره كجزء من منظومة حوكمة متكاملة، وهو ما يمثل أحد أوجه القصور في الأدبيات الحالية</w:t>
      </w:r>
      <w:r w:rsidRPr="00F76D05">
        <w:rPr>
          <w:rFonts w:ascii="Traditional Arabic" w:eastAsia="Times New Roman" w:hAnsi="Traditional Arabic" w:cs="Traditional Arabic"/>
          <w:color w:val="000000" w:themeColor="text1"/>
          <w:sz w:val="28"/>
          <w:szCs w:val="28"/>
        </w:rPr>
        <w:t>.</w:t>
      </w:r>
    </w:p>
    <w:p w14:paraId="5D5628F6"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من جانب آخر، ركزت مجموعة من الدراسات على الحوكمة الذكية باعتبارها إطارًا تنظيميًا حديثًا يهدف إلى تحسين جودة اتخاذ القرار، وتعزيز الشفافية، وتحقيق التكامل بين الوحدات التنظيمية. فقد تناول</w:t>
      </w:r>
      <w:r w:rsidRPr="00F76D05">
        <w:rPr>
          <w:rFonts w:ascii="Traditional Arabic" w:eastAsia="Times New Roman" w:hAnsi="Traditional Arabic" w:cs="Traditional Arabic"/>
          <w:color w:val="000000" w:themeColor="text1"/>
          <w:sz w:val="28"/>
          <w:szCs w:val="28"/>
        </w:rPr>
        <w:t xml:space="preserve"> Al-Harbi (2022) </w:t>
      </w:r>
      <w:r w:rsidRPr="00F76D05">
        <w:rPr>
          <w:rFonts w:ascii="Traditional Arabic" w:eastAsia="Times New Roman" w:hAnsi="Traditional Arabic" w:cs="Traditional Arabic"/>
          <w:color w:val="000000" w:themeColor="text1"/>
          <w:sz w:val="28"/>
          <w:szCs w:val="28"/>
          <w:rtl/>
        </w:rPr>
        <w:t>مفهوم الحوكمة الذكية من منظور إداري، موضحًا أنها تقوم على دمج السياسات المؤسسية مع استخدام التقنيات الرقمية لدعم القرار وتحسين كفاءة العمليات</w:t>
      </w:r>
      <w:r w:rsidRPr="00F76D05">
        <w:rPr>
          <w:rFonts w:ascii="Traditional Arabic" w:eastAsia="Times New Roman" w:hAnsi="Traditional Arabic" w:cs="Traditional Arabic"/>
          <w:color w:val="000000" w:themeColor="text1"/>
          <w:sz w:val="28"/>
          <w:szCs w:val="28"/>
        </w:rPr>
        <w:t>.</w:t>
      </w:r>
    </w:p>
    <w:p w14:paraId="4D6E56A9"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وأظهرت نتائج الدراسة أن تطبيق مبادئ الحوكمة الذكية يسهم في تحسين التنسيق المؤسسي وتقليل التعارض بين الأهداف التشغيلية والاستراتيجية. إلا أن الدراسة لم تربط الحوكمة الذكية بشكل مباشر بإدارة أو سلامة الأصول، كما لم تتناول خصوصية القطاعات الحيوية التي تتطلب مستويات عالية من الموثوقية، مثل قطاع المياه</w:t>
      </w:r>
      <w:r w:rsidRPr="00F76D05">
        <w:rPr>
          <w:rFonts w:ascii="Traditional Arabic" w:eastAsia="Times New Roman" w:hAnsi="Traditional Arabic" w:cs="Traditional Arabic"/>
          <w:color w:val="000000" w:themeColor="text1"/>
          <w:sz w:val="28"/>
          <w:szCs w:val="28"/>
        </w:rPr>
        <w:t>.</w:t>
      </w:r>
    </w:p>
    <w:p w14:paraId="1CFF5D73"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وفي هذا الإطار، تؤكد معايير</w:t>
      </w:r>
      <w:r w:rsidRPr="00F76D05">
        <w:rPr>
          <w:rFonts w:ascii="Traditional Arabic" w:eastAsia="Times New Roman" w:hAnsi="Traditional Arabic" w:cs="Traditional Arabic"/>
          <w:color w:val="000000" w:themeColor="text1"/>
          <w:sz w:val="28"/>
          <w:szCs w:val="28"/>
        </w:rPr>
        <w:t xml:space="preserve"> ISO 55000 (2021) </w:t>
      </w:r>
      <w:r w:rsidRPr="00F76D05">
        <w:rPr>
          <w:rFonts w:ascii="Traditional Arabic" w:eastAsia="Times New Roman" w:hAnsi="Traditional Arabic" w:cs="Traditional Arabic"/>
          <w:color w:val="000000" w:themeColor="text1"/>
          <w:sz w:val="28"/>
          <w:szCs w:val="28"/>
          <w:rtl/>
        </w:rPr>
        <w:t>على أهمية الحوكمة المؤسسية في إدارة الأصول، وتشير إلى أن تحقيق القيمة من الأصول يتطلب مواءمة الأهداف التشغيلية مع الاستراتيجية العامة للمنظمة. كما تبرز أهمية التكامل بين العمليات، والمعلومات، وصنع القرار. ومع ذلك، تظل هذه المعايير ذات طابع إرشادي عام، ولا تقدم نموذجًا تطبيقيًا يدمج التحول الرقمي والاستدامة ضمن إطار حوكمة ذكي موحد، خصوصًا في سياق القطاعات الخدمية الحيوية</w:t>
      </w:r>
      <w:r w:rsidRPr="00F76D05">
        <w:rPr>
          <w:rFonts w:ascii="Traditional Arabic" w:eastAsia="Times New Roman" w:hAnsi="Traditional Arabic" w:cs="Traditional Arabic"/>
          <w:color w:val="000000" w:themeColor="text1"/>
          <w:sz w:val="28"/>
          <w:szCs w:val="28"/>
        </w:rPr>
        <w:t>.</w:t>
      </w:r>
    </w:p>
    <w:p w14:paraId="0BB0C645"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حظي مفهوم الاستدامة باهتمام واسع في أدبيات إدارة الأصول، حيث ركزت العديد من الدراسات على دوره في تقليل المخاطر التشغيلية وتحسين كفاءة البنية التحتية. تشير دراسة</w:t>
      </w:r>
      <w:r w:rsidRPr="00F76D05">
        <w:rPr>
          <w:rFonts w:ascii="Traditional Arabic" w:eastAsia="Times New Roman" w:hAnsi="Traditional Arabic" w:cs="Traditional Arabic"/>
          <w:color w:val="000000" w:themeColor="text1"/>
          <w:sz w:val="28"/>
          <w:szCs w:val="28"/>
        </w:rPr>
        <w:t xml:space="preserve"> Sarna et al. (2023) </w:t>
      </w:r>
      <w:r w:rsidRPr="00F76D05">
        <w:rPr>
          <w:rFonts w:ascii="Traditional Arabic" w:eastAsia="Times New Roman" w:hAnsi="Traditional Arabic" w:cs="Traditional Arabic"/>
          <w:color w:val="000000" w:themeColor="text1"/>
          <w:sz w:val="28"/>
          <w:szCs w:val="28"/>
          <w:rtl/>
        </w:rPr>
        <w:t>إلى أن دمج مبادئ الاستدامة في إدارة الأصول يسهم في إطالة العمر الافتراضي للأصول، وتقليل التكاليف طويلة المدى، وتحسين الأداء البيئي</w:t>
      </w:r>
      <w:r w:rsidRPr="00F76D05">
        <w:rPr>
          <w:rFonts w:ascii="Traditional Arabic" w:eastAsia="Times New Roman" w:hAnsi="Traditional Arabic" w:cs="Traditional Arabic"/>
          <w:color w:val="000000" w:themeColor="text1"/>
          <w:sz w:val="28"/>
          <w:szCs w:val="28"/>
        </w:rPr>
        <w:t>.</w:t>
      </w:r>
    </w:p>
    <w:p w14:paraId="17B2EF1B"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واعتمدت الدراسة على تحليل حالات تطبيقية في قطاعات البنية التحتية، وأظهرت نتائج إيجابية على مستوى الاستدامة الاقتصادية والبيئية. إلا أن الدراسة لم تربط الاستدامة بأطر الحوكمة الذكية، كما لم تدمج البعد الرقمي كأداة لقياس أو مراقبة مؤشرات الاستدامة وسلامة الأصول</w:t>
      </w:r>
      <w:r w:rsidRPr="00F76D05">
        <w:rPr>
          <w:rFonts w:ascii="Traditional Arabic" w:eastAsia="Times New Roman" w:hAnsi="Traditional Arabic" w:cs="Traditional Arabic"/>
          <w:color w:val="000000" w:themeColor="text1"/>
          <w:sz w:val="28"/>
          <w:szCs w:val="28"/>
        </w:rPr>
        <w:t>.</w:t>
      </w:r>
    </w:p>
    <w:p w14:paraId="468B8E77"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كما أن غالبية الدراسات في هذا المجال تناولت الاستدامة كمفهوم مستقل، دون تحليل تفاعلها مع التحول الرقمي أو دورها في دعم اتخاذ القرار المؤسسي، وهو ما يحد من قدرتها على تقديم رؤية شاملة لإدارة الأصول في القطاعات الحيوية</w:t>
      </w:r>
      <w:r w:rsidRPr="00F76D05">
        <w:rPr>
          <w:rFonts w:ascii="Traditional Arabic" w:eastAsia="Times New Roman" w:hAnsi="Traditional Arabic" w:cs="Traditional Arabic"/>
          <w:color w:val="000000" w:themeColor="text1"/>
          <w:sz w:val="28"/>
          <w:szCs w:val="28"/>
        </w:rPr>
        <w:t>.</w:t>
      </w:r>
    </w:p>
    <w:p w14:paraId="72E532C9"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تشير مراجعة الأدبيات العربية إلى محدودية واضحة في الدراسات التي تناولت التحول الرقمي والحوكمة والاستدامة في قطاع المياه. حيث ركزت معظم الدراسات العربية على الجوانب الفنية أو التشغيلية، مثل تحسين كفاءة الشبكات أو تقليل الفاقد المائي، دون التطرق إلى الأطر الحوكمية أو التكامل المؤسسي بين التقنيات الرقمية والاستدامة وسلامة الأصول</w:t>
      </w:r>
      <w:r w:rsidRPr="00F76D05">
        <w:rPr>
          <w:rFonts w:ascii="Traditional Arabic" w:eastAsia="Times New Roman" w:hAnsi="Traditional Arabic" w:cs="Traditional Arabic"/>
          <w:color w:val="000000" w:themeColor="text1"/>
          <w:sz w:val="28"/>
          <w:szCs w:val="28"/>
        </w:rPr>
        <w:t>.</w:t>
      </w:r>
    </w:p>
    <w:p w14:paraId="5DDA34C4"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وتعكس هذه المحدودية فجوة معرفية واضحة، خاصة في ظل التحديات التي يواجهها قطاع المياه في المملكة العربية السعودية، والتي تتطلب نماذج إدارة أكثر تكاملًا وذكاءً لضمان استدامة الخدمة وتحقيق مستهدفات رؤية المملكة 2030</w:t>
      </w:r>
      <w:r w:rsidRPr="00F76D05">
        <w:rPr>
          <w:rFonts w:ascii="Traditional Arabic" w:eastAsia="Times New Roman" w:hAnsi="Traditional Arabic" w:cs="Traditional Arabic"/>
          <w:color w:val="000000" w:themeColor="text1"/>
          <w:sz w:val="28"/>
          <w:szCs w:val="28"/>
        </w:rPr>
        <w:t>.</w:t>
      </w:r>
    </w:p>
    <w:p w14:paraId="172724D6"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من خلال التحليل السابق، يتضح أن الأدبيات العلمية، على الرغم من تنوعها، تعاني من فجوة بحثية جوهرية تتمثل في غياب نموذج حوكمة ذكي متكامل يجمع بين التحول الرقمي، والاستدامة، وسلامة الأصول ضمن إطار واحد، خاصة في قطاع المياه. فقد تناولت معظم الدراسات هذه المتغيرات بشكل منفصل، دون تحليل أثر تفاعلها المشترك في تحسين الأداء المؤسسي</w:t>
      </w:r>
      <w:r w:rsidRPr="00F76D05">
        <w:rPr>
          <w:rFonts w:ascii="Traditional Arabic" w:eastAsia="Times New Roman" w:hAnsi="Traditional Arabic" w:cs="Traditional Arabic"/>
          <w:color w:val="000000" w:themeColor="text1"/>
          <w:sz w:val="28"/>
          <w:szCs w:val="28"/>
        </w:rPr>
        <w:t>.</w:t>
      </w:r>
    </w:p>
    <w:p w14:paraId="53BCF338" w14:textId="77777777" w:rsidR="00537F4D"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كما أن الدراسات التطبيقية في السياق العربي والسعودي تحديدًا ما تزال محدودة، ولا تعكس تعقيد الواقع التشغيلي والمؤسسي لقطاع المياه. ومن ثم، تنسجم هذه الفجوة البحثية بشكل مباشر مع مشكلة الدراسة وأهدافها، حيث تسعى هذه الأطروحة إلى تطوير نموذج حوكمة ذكي لإدارة التفتيش وسلامة الأصول في قطاع المياه السعودي، يدمج التحول الرقمي والاستدامة في إطار مؤسسي قابل للتطبيق والقياس.</w:t>
      </w:r>
    </w:p>
    <w:p w14:paraId="12CB7E25"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في ضوء ما سبق، يتضح أن الدراسات السابقة، على الرغم من إسهاماتها المتعددة في مجالات التحول الرقمي، والحوكمة، والاستدامة، لم تقدم نموذجًا تكامليًا يربط بين هذه الأبعاد ضمن إطار موحد لإدارة وسلامة الأصول في قطاع المياه. كما أن غالبية هذه الدراسات تناولت هذه المتغيرات بشكل جزئي أو قطاعي، مع محدودية واضحة في الدراسات التطبيقية في السياق العربي. وانطلاقًا من ذلك، يعرض الجدول التالي ملخصًا تحليليًا لأبرز هذه الدراسات، مع توضيح نتائجها وأوجه القصور فيها</w:t>
      </w:r>
      <w:r>
        <w:rPr>
          <w:rFonts w:ascii="Traditional Arabic" w:eastAsia="Times New Roman" w:hAnsi="Traditional Arabic" w:cs="Traditional Arabic"/>
          <w:color w:val="000000" w:themeColor="text1"/>
          <w:sz w:val="28"/>
          <w:szCs w:val="28"/>
        </w:rPr>
        <w:t>.</w:t>
      </w:r>
    </w:p>
    <w:tbl>
      <w:tblPr>
        <w:tblpPr w:leftFromText="180" w:rightFromText="180" w:vertAnchor="text" w:horzAnchor="margin" w:tblpXSpec="center" w:tblpY="-42"/>
        <w:bidiVisual/>
        <w:tblW w:w="9985" w:type="dxa"/>
        <w:tblLook w:val="04A0" w:firstRow="1" w:lastRow="0" w:firstColumn="1" w:lastColumn="0" w:noHBand="0" w:noVBand="1"/>
      </w:tblPr>
      <w:tblGrid>
        <w:gridCol w:w="900"/>
        <w:gridCol w:w="900"/>
        <w:gridCol w:w="1530"/>
        <w:gridCol w:w="1710"/>
        <w:gridCol w:w="1440"/>
        <w:gridCol w:w="1530"/>
        <w:gridCol w:w="1975"/>
      </w:tblGrid>
      <w:tr w:rsidR="00537F4D" w:rsidRPr="00F76D05" w14:paraId="07F01E32" w14:textId="77777777" w:rsidTr="00537F4D">
        <w:trPr>
          <w:trHeight w:val="465"/>
        </w:trPr>
        <w:tc>
          <w:tcPr>
            <w:tcW w:w="9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3B2F9E8" w14:textId="77777777" w:rsidR="00537F4D" w:rsidRPr="00256419" w:rsidRDefault="00537F4D" w:rsidP="003E50F7">
            <w:pPr>
              <w:bidi/>
              <w:jc w:val="center"/>
              <w:rPr>
                <w:rFonts w:ascii="Calibri" w:eastAsia="Times New Roman" w:hAnsi="Calibri" w:cs="Times New Roman"/>
                <w:b/>
                <w:bCs/>
                <w:color w:val="000000"/>
                <w:sz w:val="20"/>
                <w:szCs w:val="20"/>
              </w:rPr>
            </w:pPr>
            <w:r w:rsidRPr="00256419">
              <w:rPr>
                <w:rFonts w:ascii="Calibri" w:eastAsia="Times New Roman" w:hAnsi="Calibri" w:cs="Times New Roman"/>
                <w:b/>
                <w:bCs/>
                <w:color w:val="000000"/>
                <w:sz w:val="20"/>
                <w:szCs w:val="20"/>
                <w:rtl/>
              </w:rPr>
              <w:lastRenderedPageBreak/>
              <w:t>المؤلف / الجهة</w:t>
            </w:r>
          </w:p>
        </w:tc>
        <w:tc>
          <w:tcPr>
            <w:tcW w:w="9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429F00E"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السنة</w:t>
            </w:r>
          </w:p>
        </w:tc>
        <w:tc>
          <w:tcPr>
            <w:tcW w:w="153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7EB1A74"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مجال الدراسة</w:t>
            </w:r>
          </w:p>
        </w:tc>
        <w:tc>
          <w:tcPr>
            <w:tcW w:w="171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162DE63"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هدف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8FA3463"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المنهج المستخدم</w:t>
            </w:r>
          </w:p>
        </w:tc>
        <w:tc>
          <w:tcPr>
            <w:tcW w:w="153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1B88B30"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أبرز النتائج</w:t>
            </w:r>
          </w:p>
        </w:tc>
        <w:tc>
          <w:tcPr>
            <w:tcW w:w="197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FC08662"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أوجه القصور والفجوة البحثية</w:t>
            </w:r>
          </w:p>
        </w:tc>
      </w:tr>
      <w:tr w:rsidR="00537F4D" w:rsidRPr="00F76D05" w14:paraId="7DE378B2" w14:textId="77777777" w:rsidTr="00537F4D">
        <w:trPr>
          <w:trHeight w:val="697"/>
        </w:trPr>
        <w:tc>
          <w:tcPr>
            <w:tcW w:w="900" w:type="dxa"/>
            <w:tcBorders>
              <w:top w:val="nil"/>
              <w:left w:val="single" w:sz="4" w:space="0" w:color="auto"/>
              <w:bottom w:val="single" w:sz="4" w:space="0" w:color="auto"/>
              <w:right w:val="single" w:sz="4" w:space="0" w:color="auto"/>
            </w:tcBorders>
            <w:vAlign w:val="center"/>
            <w:hideMark/>
          </w:tcPr>
          <w:p w14:paraId="21C3074F"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Smith</w:t>
            </w:r>
          </w:p>
        </w:tc>
        <w:tc>
          <w:tcPr>
            <w:tcW w:w="900" w:type="dxa"/>
            <w:tcBorders>
              <w:top w:val="nil"/>
              <w:left w:val="single" w:sz="4" w:space="0" w:color="auto"/>
              <w:bottom w:val="single" w:sz="4" w:space="0" w:color="auto"/>
              <w:right w:val="single" w:sz="4" w:space="0" w:color="auto"/>
            </w:tcBorders>
            <w:vAlign w:val="center"/>
            <w:hideMark/>
          </w:tcPr>
          <w:p w14:paraId="51FC1C71"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2020</w:t>
            </w:r>
          </w:p>
        </w:tc>
        <w:tc>
          <w:tcPr>
            <w:tcW w:w="1530" w:type="dxa"/>
            <w:tcBorders>
              <w:top w:val="nil"/>
              <w:left w:val="single" w:sz="4" w:space="0" w:color="auto"/>
              <w:bottom w:val="single" w:sz="4" w:space="0" w:color="auto"/>
              <w:right w:val="single" w:sz="4" w:space="0" w:color="auto"/>
            </w:tcBorders>
            <w:vAlign w:val="center"/>
            <w:hideMark/>
          </w:tcPr>
          <w:p w14:paraId="4FDC0479"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التحول الرقمي وإدارة الأصول</w:t>
            </w:r>
          </w:p>
        </w:tc>
        <w:tc>
          <w:tcPr>
            <w:tcW w:w="1710" w:type="dxa"/>
            <w:tcBorders>
              <w:top w:val="nil"/>
              <w:left w:val="single" w:sz="4" w:space="0" w:color="auto"/>
              <w:bottom w:val="single" w:sz="4" w:space="0" w:color="auto"/>
              <w:right w:val="single" w:sz="4" w:space="0" w:color="auto"/>
            </w:tcBorders>
            <w:vAlign w:val="center"/>
            <w:hideMark/>
          </w:tcPr>
          <w:p w14:paraId="46A4859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أثر التحول الرقمي في تحسين جودة الخدمات ورفع كفاءة الأداء التشغيلي</w:t>
            </w:r>
          </w:p>
        </w:tc>
        <w:tc>
          <w:tcPr>
            <w:tcW w:w="1440" w:type="dxa"/>
            <w:tcBorders>
              <w:top w:val="nil"/>
              <w:left w:val="single" w:sz="4" w:space="0" w:color="auto"/>
              <w:bottom w:val="single" w:sz="4" w:space="0" w:color="auto"/>
              <w:right w:val="single" w:sz="4" w:space="0" w:color="auto"/>
            </w:tcBorders>
            <w:vAlign w:val="center"/>
            <w:hideMark/>
          </w:tcPr>
          <w:p w14:paraId="30A6312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تحليلي مقارن بين مؤسسات مطبقة للتحول الرقمي وأخرى تقليدية</w:t>
            </w:r>
          </w:p>
        </w:tc>
        <w:tc>
          <w:tcPr>
            <w:tcW w:w="1530" w:type="dxa"/>
            <w:tcBorders>
              <w:top w:val="nil"/>
              <w:left w:val="single" w:sz="4" w:space="0" w:color="auto"/>
              <w:bottom w:val="single" w:sz="4" w:space="0" w:color="auto"/>
              <w:right w:val="single" w:sz="4" w:space="0" w:color="auto"/>
            </w:tcBorders>
            <w:vAlign w:val="center"/>
            <w:hideMark/>
          </w:tcPr>
          <w:p w14:paraId="72B84E3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تحسن موثوقية الأصول، وانخفاض الأعطال غير المخططة، ورفع كفاءة التشغيل</w:t>
            </w:r>
          </w:p>
        </w:tc>
        <w:tc>
          <w:tcPr>
            <w:tcW w:w="1975" w:type="dxa"/>
            <w:tcBorders>
              <w:top w:val="nil"/>
              <w:left w:val="single" w:sz="4" w:space="0" w:color="auto"/>
              <w:bottom w:val="single" w:sz="4" w:space="0" w:color="auto"/>
              <w:right w:val="single" w:sz="4" w:space="0" w:color="auto"/>
            </w:tcBorders>
            <w:vAlign w:val="center"/>
            <w:hideMark/>
          </w:tcPr>
          <w:p w14:paraId="239DF59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ركزت الدراسة على البعد التقني للتحول الرقمي دون دمجه ضمن إطار حوكمة مؤسسية، ولم تتناول استدامة النتائج أو سلامة الأصول على المدى الطويل</w:t>
            </w:r>
          </w:p>
        </w:tc>
      </w:tr>
      <w:tr w:rsidR="00537F4D" w:rsidRPr="00F76D05" w14:paraId="410437A3" w14:textId="77777777" w:rsidTr="00537F4D">
        <w:trPr>
          <w:trHeight w:val="465"/>
        </w:trPr>
        <w:tc>
          <w:tcPr>
            <w:tcW w:w="900" w:type="dxa"/>
            <w:tcBorders>
              <w:top w:val="nil"/>
              <w:left w:val="single" w:sz="4" w:space="0" w:color="auto"/>
              <w:bottom w:val="single" w:sz="4" w:space="0" w:color="auto"/>
              <w:right w:val="single" w:sz="4" w:space="0" w:color="auto"/>
            </w:tcBorders>
            <w:vAlign w:val="center"/>
            <w:hideMark/>
          </w:tcPr>
          <w:p w14:paraId="1A9A3283"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Gong et al.</w:t>
            </w:r>
          </w:p>
        </w:tc>
        <w:tc>
          <w:tcPr>
            <w:tcW w:w="900" w:type="dxa"/>
            <w:tcBorders>
              <w:top w:val="nil"/>
              <w:left w:val="single" w:sz="4" w:space="0" w:color="auto"/>
              <w:bottom w:val="single" w:sz="4" w:space="0" w:color="auto"/>
              <w:right w:val="single" w:sz="4" w:space="0" w:color="auto"/>
            </w:tcBorders>
            <w:vAlign w:val="center"/>
            <w:hideMark/>
          </w:tcPr>
          <w:p w14:paraId="28908A28"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2022</w:t>
            </w:r>
          </w:p>
        </w:tc>
        <w:tc>
          <w:tcPr>
            <w:tcW w:w="1530" w:type="dxa"/>
            <w:tcBorders>
              <w:top w:val="nil"/>
              <w:left w:val="single" w:sz="4" w:space="0" w:color="auto"/>
              <w:bottom w:val="single" w:sz="4" w:space="0" w:color="auto"/>
              <w:right w:val="single" w:sz="4" w:space="0" w:color="auto"/>
            </w:tcBorders>
            <w:vAlign w:val="center"/>
            <w:hideMark/>
          </w:tcPr>
          <w:p w14:paraId="4C10EDB5"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الرقمنة وموثوقية الأصول</w:t>
            </w:r>
          </w:p>
        </w:tc>
        <w:tc>
          <w:tcPr>
            <w:tcW w:w="1710" w:type="dxa"/>
            <w:tcBorders>
              <w:top w:val="nil"/>
              <w:left w:val="single" w:sz="4" w:space="0" w:color="auto"/>
              <w:bottom w:val="single" w:sz="4" w:space="0" w:color="auto"/>
              <w:right w:val="single" w:sz="4" w:space="0" w:color="auto"/>
            </w:tcBorders>
            <w:vAlign w:val="center"/>
            <w:hideMark/>
          </w:tcPr>
          <w:p w14:paraId="407C160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قياس أثر التقنيات الرقمية في تعزيز موثوقية الأصول الصناعية</w:t>
            </w:r>
          </w:p>
        </w:tc>
        <w:tc>
          <w:tcPr>
            <w:tcW w:w="1440" w:type="dxa"/>
            <w:tcBorders>
              <w:top w:val="nil"/>
              <w:left w:val="single" w:sz="4" w:space="0" w:color="auto"/>
              <w:bottom w:val="single" w:sz="4" w:space="0" w:color="auto"/>
              <w:right w:val="single" w:sz="4" w:space="0" w:color="auto"/>
            </w:tcBorders>
            <w:vAlign w:val="center"/>
            <w:hideMark/>
          </w:tcPr>
          <w:p w14:paraId="73665CF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كمي وتحليل بيانات تشغيلية من أنظمة رقمية</w:t>
            </w:r>
          </w:p>
        </w:tc>
        <w:tc>
          <w:tcPr>
            <w:tcW w:w="1530" w:type="dxa"/>
            <w:tcBorders>
              <w:top w:val="nil"/>
              <w:left w:val="single" w:sz="4" w:space="0" w:color="auto"/>
              <w:bottom w:val="single" w:sz="4" w:space="0" w:color="auto"/>
              <w:right w:val="single" w:sz="4" w:space="0" w:color="auto"/>
            </w:tcBorders>
            <w:vAlign w:val="center"/>
            <w:hideMark/>
          </w:tcPr>
          <w:p w14:paraId="3908653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أثبتت الدراسة أن الرقمنة تحسن الصيانة التنبؤية وتقلل المخاطر التشغيلية</w:t>
            </w:r>
          </w:p>
        </w:tc>
        <w:tc>
          <w:tcPr>
            <w:tcW w:w="1975" w:type="dxa"/>
            <w:tcBorders>
              <w:top w:val="nil"/>
              <w:left w:val="single" w:sz="4" w:space="0" w:color="auto"/>
              <w:bottom w:val="single" w:sz="4" w:space="0" w:color="auto"/>
              <w:right w:val="single" w:sz="4" w:space="0" w:color="auto"/>
            </w:tcBorders>
            <w:vAlign w:val="center"/>
            <w:hideMark/>
          </w:tcPr>
          <w:p w14:paraId="121EC1F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غياب نموذج تكاملي يربط الرقمنة بالحوكمة والاستراتيجية المؤسسية، مع التركيز على النتائج التشغيلية المباشرة فقط</w:t>
            </w:r>
          </w:p>
        </w:tc>
      </w:tr>
      <w:tr w:rsidR="00537F4D" w:rsidRPr="00F76D05" w14:paraId="07781F7B" w14:textId="77777777" w:rsidTr="00537F4D">
        <w:trPr>
          <w:trHeight w:val="465"/>
        </w:trPr>
        <w:tc>
          <w:tcPr>
            <w:tcW w:w="900" w:type="dxa"/>
            <w:tcBorders>
              <w:top w:val="nil"/>
              <w:left w:val="single" w:sz="4" w:space="0" w:color="auto"/>
              <w:bottom w:val="single" w:sz="4" w:space="0" w:color="auto"/>
              <w:right w:val="single" w:sz="4" w:space="0" w:color="auto"/>
            </w:tcBorders>
            <w:vAlign w:val="center"/>
            <w:hideMark/>
          </w:tcPr>
          <w:p w14:paraId="59D73B4F"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Al-Harbi</w:t>
            </w:r>
          </w:p>
        </w:tc>
        <w:tc>
          <w:tcPr>
            <w:tcW w:w="900" w:type="dxa"/>
            <w:tcBorders>
              <w:top w:val="nil"/>
              <w:left w:val="single" w:sz="4" w:space="0" w:color="auto"/>
              <w:bottom w:val="single" w:sz="4" w:space="0" w:color="auto"/>
              <w:right w:val="single" w:sz="4" w:space="0" w:color="auto"/>
            </w:tcBorders>
            <w:vAlign w:val="center"/>
            <w:hideMark/>
          </w:tcPr>
          <w:p w14:paraId="310B3066"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2022</w:t>
            </w:r>
          </w:p>
        </w:tc>
        <w:tc>
          <w:tcPr>
            <w:tcW w:w="1530" w:type="dxa"/>
            <w:tcBorders>
              <w:top w:val="nil"/>
              <w:left w:val="single" w:sz="4" w:space="0" w:color="auto"/>
              <w:bottom w:val="single" w:sz="4" w:space="0" w:color="auto"/>
              <w:right w:val="single" w:sz="4" w:space="0" w:color="auto"/>
            </w:tcBorders>
            <w:vAlign w:val="center"/>
            <w:hideMark/>
          </w:tcPr>
          <w:p w14:paraId="154C85B6"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الحوكمة الذكية</w:t>
            </w:r>
          </w:p>
        </w:tc>
        <w:tc>
          <w:tcPr>
            <w:tcW w:w="1710" w:type="dxa"/>
            <w:tcBorders>
              <w:top w:val="nil"/>
              <w:left w:val="single" w:sz="4" w:space="0" w:color="auto"/>
              <w:bottom w:val="single" w:sz="4" w:space="0" w:color="auto"/>
              <w:right w:val="single" w:sz="4" w:space="0" w:color="auto"/>
            </w:tcBorders>
            <w:vAlign w:val="center"/>
            <w:hideMark/>
          </w:tcPr>
          <w:p w14:paraId="33B243A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دراسة دور الحوكمة الذكية في دعم اتخاذ القرار وتحسين التنسيق المؤسسي</w:t>
            </w:r>
          </w:p>
        </w:tc>
        <w:tc>
          <w:tcPr>
            <w:tcW w:w="1440" w:type="dxa"/>
            <w:tcBorders>
              <w:top w:val="nil"/>
              <w:left w:val="single" w:sz="4" w:space="0" w:color="auto"/>
              <w:bottom w:val="single" w:sz="4" w:space="0" w:color="auto"/>
              <w:right w:val="single" w:sz="4" w:space="0" w:color="auto"/>
            </w:tcBorders>
            <w:vAlign w:val="center"/>
            <w:hideMark/>
          </w:tcPr>
          <w:p w14:paraId="58D926E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وصفي تحليلي</w:t>
            </w:r>
          </w:p>
        </w:tc>
        <w:tc>
          <w:tcPr>
            <w:tcW w:w="1530" w:type="dxa"/>
            <w:tcBorders>
              <w:top w:val="nil"/>
              <w:left w:val="single" w:sz="4" w:space="0" w:color="auto"/>
              <w:bottom w:val="single" w:sz="4" w:space="0" w:color="auto"/>
              <w:right w:val="single" w:sz="4" w:space="0" w:color="auto"/>
            </w:tcBorders>
            <w:vAlign w:val="center"/>
            <w:hideMark/>
          </w:tcPr>
          <w:p w14:paraId="1DB6DE63"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أن الحوكمة الذكية تعزز الشفافية وتكامل العمليات المؤسسية</w:t>
            </w:r>
          </w:p>
        </w:tc>
        <w:tc>
          <w:tcPr>
            <w:tcW w:w="1975" w:type="dxa"/>
            <w:tcBorders>
              <w:top w:val="nil"/>
              <w:left w:val="single" w:sz="4" w:space="0" w:color="auto"/>
              <w:bottom w:val="single" w:sz="4" w:space="0" w:color="auto"/>
              <w:right w:val="single" w:sz="4" w:space="0" w:color="auto"/>
            </w:tcBorders>
            <w:vAlign w:val="center"/>
            <w:hideMark/>
          </w:tcPr>
          <w:p w14:paraId="0B7E4DB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لم تربط الدراسة الحوكمة الذكية بإدارة أو سلامة الأصول، ولم تتناول القطاعات الحيوية عالية المخاطر مثل قطاع المياه</w:t>
            </w:r>
          </w:p>
        </w:tc>
      </w:tr>
      <w:tr w:rsidR="00537F4D" w:rsidRPr="00F76D05" w14:paraId="1BF8E754" w14:textId="77777777" w:rsidTr="00537F4D">
        <w:trPr>
          <w:trHeight w:val="465"/>
        </w:trPr>
        <w:tc>
          <w:tcPr>
            <w:tcW w:w="900" w:type="dxa"/>
            <w:tcBorders>
              <w:top w:val="nil"/>
              <w:left w:val="single" w:sz="4" w:space="0" w:color="auto"/>
              <w:bottom w:val="single" w:sz="4" w:space="0" w:color="auto"/>
              <w:right w:val="single" w:sz="4" w:space="0" w:color="auto"/>
            </w:tcBorders>
            <w:vAlign w:val="center"/>
            <w:hideMark/>
          </w:tcPr>
          <w:p w14:paraId="265C556D"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ISO 55000</w:t>
            </w:r>
          </w:p>
        </w:tc>
        <w:tc>
          <w:tcPr>
            <w:tcW w:w="900" w:type="dxa"/>
            <w:tcBorders>
              <w:top w:val="nil"/>
              <w:left w:val="single" w:sz="4" w:space="0" w:color="auto"/>
              <w:bottom w:val="single" w:sz="4" w:space="0" w:color="auto"/>
              <w:right w:val="single" w:sz="4" w:space="0" w:color="auto"/>
            </w:tcBorders>
            <w:vAlign w:val="center"/>
            <w:hideMark/>
          </w:tcPr>
          <w:p w14:paraId="3F4602BA"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2021</w:t>
            </w:r>
          </w:p>
        </w:tc>
        <w:tc>
          <w:tcPr>
            <w:tcW w:w="1530" w:type="dxa"/>
            <w:tcBorders>
              <w:top w:val="nil"/>
              <w:left w:val="single" w:sz="4" w:space="0" w:color="auto"/>
              <w:bottom w:val="single" w:sz="4" w:space="0" w:color="auto"/>
              <w:right w:val="single" w:sz="4" w:space="0" w:color="auto"/>
            </w:tcBorders>
            <w:vAlign w:val="center"/>
            <w:hideMark/>
          </w:tcPr>
          <w:p w14:paraId="7BE36206"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إدارة الأصول</w:t>
            </w:r>
          </w:p>
        </w:tc>
        <w:tc>
          <w:tcPr>
            <w:tcW w:w="1710" w:type="dxa"/>
            <w:tcBorders>
              <w:top w:val="nil"/>
              <w:left w:val="single" w:sz="4" w:space="0" w:color="auto"/>
              <w:bottom w:val="single" w:sz="4" w:space="0" w:color="auto"/>
              <w:right w:val="single" w:sz="4" w:space="0" w:color="auto"/>
            </w:tcBorders>
            <w:vAlign w:val="center"/>
            <w:hideMark/>
          </w:tcPr>
          <w:p w14:paraId="5D3472D2"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وضع إطار معياري لإدارة الأصول يحقق القيمة المؤسسية</w:t>
            </w:r>
          </w:p>
        </w:tc>
        <w:tc>
          <w:tcPr>
            <w:tcW w:w="1440" w:type="dxa"/>
            <w:tcBorders>
              <w:top w:val="nil"/>
              <w:left w:val="single" w:sz="4" w:space="0" w:color="auto"/>
              <w:bottom w:val="single" w:sz="4" w:space="0" w:color="auto"/>
              <w:right w:val="single" w:sz="4" w:space="0" w:color="auto"/>
            </w:tcBorders>
            <w:vAlign w:val="center"/>
            <w:hideMark/>
          </w:tcPr>
          <w:p w14:paraId="4025B8D5"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إطار معياري إرشادي</w:t>
            </w:r>
          </w:p>
        </w:tc>
        <w:tc>
          <w:tcPr>
            <w:tcW w:w="1530" w:type="dxa"/>
            <w:tcBorders>
              <w:top w:val="nil"/>
              <w:left w:val="single" w:sz="4" w:space="0" w:color="auto"/>
              <w:bottom w:val="single" w:sz="4" w:space="0" w:color="auto"/>
              <w:right w:val="single" w:sz="4" w:space="0" w:color="auto"/>
            </w:tcBorders>
            <w:vAlign w:val="center"/>
            <w:hideMark/>
          </w:tcPr>
          <w:p w14:paraId="0230955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أكدت المعايير أهمية التكامل المؤسسي ومواءمة الأصول مع الاستراتيجية العامة</w:t>
            </w:r>
          </w:p>
        </w:tc>
        <w:tc>
          <w:tcPr>
            <w:tcW w:w="1975" w:type="dxa"/>
            <w:tcBorders>
              <w:top w:val="nil"/>
              <w:left w:val="single" w:sz="4" w:space="0" w:color="auto"/>
              <w:bottom w:val="single" w:sz="4" w:space="0" w:color="auto"/>
              <w:right w:val="single" w:sz="4" w:space="0" w:color="auto"/>
            </w:tcBorders>
            <w:vAlign w:val="center"/>
            <w:hideMark/>
          </w:tcPr>
          <w:p w14:paraId="1CDE6C9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المعايير إرشادية بطبيعتها ولم تقدم نموذجًا تطبيقيًا يدمج التحول الرقمي أو الاستدامة ضمن إطار حوكمة ذكي</w:t>
            </w:r>
          </w:p>
        </w:tc>
      </w:tr>
      <w:tr w:rsidR="00537F4D" w:rsidRPr="00F76D05" w14:paraId="38CCCC8E" w14:textId="77777777" w:rsidTr="00537F4D">
        <w:trPr>
          <w:trHeight w:val="465"/>
        </w:trPr>
        <w:tc>
          <w:tcPr>
            <w:tcW w:w="900" w:type="dxa"/>
            <w:tcBorders>
              <w:top w:val="nil"/>
              <w:left w:val="single" w:sz="4" w:space="0" w:color="auto"/>
              <w:bottom w:val="single" w:sz="4" w:space="0" w:color="auto"/>
              <w:right w:val="single" w:sz="4" w:space="0" w:color="auto"/>
            </w:tcBorders>
            <w:vAlign w:val="center"/>
            <w:hideMark/>
          </w:tcPr>
          <w:p w14:paraId="36CF3F68"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Sarna et al.</w:t>
            </w:r>
          </w:p>
        </w:tc>
        <w:tc>
          <w:tcPr>
            <w:tcW w:w="900" w:type="dxa"/>
            <w:tcBorders>
              <w:top w:val="nil"/>
              <w:left w:val="single" w:sz="4" w:space="0" w:color="auto"/>
              <w:bottom w:val="single" w:sz="4" w:space="0" w:color="auto"/>
              <w:right w:val="single" w:sz="4" w:space="0" w:color="auto"/>
            </w:tcBorders>
            <w:vAlign w:val="center"/>
            <w:hideMark/>
          </w:tcPr>
          <w:p w14:paraId="47C053F8"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2023</w:t>
            </w:r>
          </w:p>
        </w:tc>
        <w:tc>
          <w:tcPr>
            <w:tcW w:w="1530" w:type="dxa"/>
            <w:tcBorders>
              <w:top w:val="nil"/>
              <w:left w:val="single" w:sz="4" w:space="0" w:color="auto"/>
              <w:bottom w:val="single" w:sz="4" w:space="0" w:color="auto"/>
              <w:right w:val="single" w:sz="4" w:space="0" w:color="auto"/>
            </w:tcBorders>
            <w:vAlign w:val="center"/>
            <w:hideMark/>
          </w:tcPr>
          <w:p w14:paraId="38622D1B"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الاستدامة وإدارة الأصول</w:t>
            </w:r>
          </w:p>
        </w:tc>
        <w:tc>
          <w:tcPr>
            <w:tcW w:w="1710" w:type="dxa"/>
            <w:tcBorders>
              <w:top w:val="nil"/>
              <w:left w:val="single" w:sz="4" w:space="0" w:color="auto"/>
              <w:bottom w:val="single" w:sz="4" w:space="0" w:color="auto"/>
              <w:right w:val="single" w:sz="4" w:space="0" w:color="auto"/>
            </w:tcBorders>
            <w:vAlign w:val="center"/>
            <w:hideMark/>
          </w:tcPr>
          <w:p w14:paraId="296940BF"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دور الاستدامة في تقليل المخاطر التشغيلية وتحسين كفاءة البنية التحتية</w:t>
            </w:r>
          </w:p>
        </w:tc>
        <w:tc>
          <w:tcPr>
            <w:tcW w:w="1440" w:type="dxa"/>
            <w:tcBorders>
              <w:top w:val="nil"/>
              <w:left w:val="single" w:sz="4" w:space="0" w:color="auto"/>
              <w:bottom w:val="single" w:sz="4" w:space="0" w:color="auto"/>
              <w:right w:val="single" w:sz="4" w:space="0" w:color="auto"/>
            </w:tcBorders>
            <w:vAlign w:val="center"/>
            <w:hideMark/>
          </w:tcPr>
          <w:p w14:paraId="45E5B45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حالات تطبيقية</w:t>
            </w:r>
          </w:p>
        </w:tc>
        <w:tc>
          <w:tcPr>
            <w:tcW w:w="1530" w:type="dxa"/>
            <w:tcBorders>
              <w:top w:val="nil"/>
              <w:left w:val="single" w:sz="4" w:space="0" w:color="auto"/>
              <w:bottom w:val="single" w:sz="4" w:space="0" w:color="auto"/>
              <w:right w:val="single" w:sz="4" w:space="0" w:color="auto"/>
            </w:tcBorders>
            <w:vAlign w:val="center"/>
            <w:hideMark/>
          </w:tcPr>
          <w:p w14:paraId="1844E02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إطالة العمر الافتراضي للأصول وتحسين الأداء البيئي والاقتصادي</w:t>
            </w:r>
          </w:p>
        </w:tc>
        <w:tc>
          <w:tcPr>
            <w:tcW w:w="1975" w:type="dxa"/>
            <w:tcBorders>
              <w:top w:val="nil"/>
              <w:left w:val="single" w:sz="4" w:space="0" w:color="auto"/>
              <w:bottom w:val="single" w:sz="4" w:space="0" w:color="auto"/>
              <w:right w:val="single" w:sz="4" w:space="0" w:color="auto"/>
            </w:tcBorders>
            <w:vAlign w:val="center"/>
            <w:hideMark/>
          </w:tcPr>
          <w:p w14:paraId="2557EA8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تناولت الاستدامة كبعد مستقل دون ربطها بالحوكمة الذكية أو التحول الرقمي أو سلامة الأصول</w:t>
            </w:r>
          </w:p>
        </w:tc>
      </w:tr>
      <w:tr w:rsidR="00537F4D" w:rsidRPr="00F76D05" w14:paraId="1CEF40FC" w14:textId="77777777" w:rsidTr="00537F4D">
        <w:trPr>
          <w:trHeight w:val="511"/>
        </w:trPr>
        <w:tc>
          <w:tcPr>
            <w:tcW w:w="900" w:type="dxa"/>
            <w:tcBorders>
              <w:top w:val="nil"/>
              <w:left w:val="single" w:sz="4" w:space="0" w:color="auto"/>
              <w:bottom w:val="single" w:sz="4" w:space="0" w:color="auto"/>
              <w:right w:val="single" w:sz="4" w:space="0" w:color="auto"/>
            </w:tcBorders>
            <w:vAlign w:val="center"/>
            <w:hideMark/>
          </w:tcPr>
          <w:p w14:paraId="23D02E11"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متعددة (أجنبية)</w:t>
            </w:r>
          </w:p>
        </w:tc>
        <w:tc>
          <w:tcPr>
            <w:tcW w:w="900" w:type="dxa"/>
            <w:tcBorders>
              <w:top w:val="nil"/>
              <w:left w:val="single" w:sz="4" w:space="0" w:color="auto"/>
              <w:bottom w:val="single" w:sz="4" w:space="0" w:color="auto"/>
              <w:right w:val="single" w:sz="4" w:space="0" w:color="auto"/>
            </w:tcBorders>
            <w:vAlign w:val="center"/>
            <w:hideMark/>
          </w:tcPr>
          <w:p w14:paraId="04840AC9"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2018–2023</w:t>
            </w:r>
          </w:p>
        </w:tc>
        <w:tc>
          <w:tcPr>
            <w:tcW w:w="1530" w:type="dxa"/>
            <w:tcBorders>
              <w:top w:val="nil"/>
              <w:left w:val="single" w:sz="4" w:space="0" w:color="auto"/>
              <w:bottom w:val="single" w:sz="4" w:space="0" w:color="auto"/>
              <w:right w:val="single" w:sz="4" w:space="0" w:color="auto"/>
            </w:tcBorders>
            <w:vAlign w:val="center"/>
            <w:hideMark/>
          </w:tcPr>
          <w:p w14:paraId="589E74DE"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التحول الرقمي في البنية التحتية</w:t>
            </w:r>
          </w:p>
        </w:tc>
        <w:tc>
          <w:tcPr>
            <w:tcW w:w="1710" w:type="dxa"/>
            <w:tcBorders>
              <w:top w:val="nil"/>
              <w:left w:val="single" w:sz="4" w:space="0" w:color="auto"/>
              <w:bottom w:val="single" w:sz="4" w:space="0" w:color="auto"/>
              <w:right w:val="single" w:sz="4" w:space="0" w:color="auto"/>
            </w:tcBorders>
            <w:vAlign w:val="center"/>
            <w:hideMark/>
          </w:tcPr>
          <w:p w14:paraId="51F65D2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الكفاءة التشغيلية عبر التقنيات الذكية</w:t>
            </w:r>
          </w:p>
        </w:tc>
        <w:tc>
          <w:tcPr>
            <w:tcW w:w="1440" w:type="dxa"/>
            <w:tcBorders>
              <w:top w:val="nil"/>
              <w:left w:val="single" w:sz="4" w:space="0" w:color="auto"/>
              <w:bottom w:val="single" w:sz="4" w:space="0" w:color="auto"/>
              <w:right w:val="single" w:sz="4" w:space="0" w:color="auto"/>
            </w:tcBorders>
            <w:vAlign w:val="center"/>
            <w:hideMark/>
          </w:tcPr>
          <w:p w14:paraId="7360D90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مناهج كمية وتطبيقية</w:t>
            </w:r>
          </w:p>
        </w:tc>
        <w:tc>
          <w:tcPr>
            <w:tcW w:w="1530" w:type="dxa"/>
            <w:tcBorders>
              <w:top w:val="nil"/>
              <w:left w:val="single" w:sz="4" w:space="0" w:color="auto"/>
              <w:bottom w:val="single" w:sz="4" w:space="0" w:color="auto"/>
              <w:right w:val="single" w:sz="4" w:space="0" w:color="auto"/>
            </w:tcBorders>
            <w:vAlign w:val="center"/>
            <w:hideMark/>
          </w:tcPr>
          <w:p w14:paraId="65734B18"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تحسن في الأداء والصيانة التنبؤية</w:t>
            </w:r>
          </w:p>
        </w:tc>
        <w:tc>
          <w:tcPr>
            <w:tcW w:w="1975" w:type="dxa"/>
            <w:tcBorders>
              <w:top w:val="nil"/>
              <w:left w:val="single" w:sz="4" w:space="0" w:color="auto"/>
              <w:bottom w:val="single" w:sz="4" w:space="0" w:color="auto"/>
              <w:right w:val="single" w:sz="4" w:space="0" w:color="auto"/>
            </w:tcBorders>
            <w:vAlign w:val="center"/>
            <w:hideMark/>
          </w:tcPr>
          <w:p w14:paraId="1314B84E"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 xml:space="preserve">تركيز جزئي على التكنولوجيا دون معالجة الأبعاد المؤسسية </w:t>
            </w:r>
            <w:proofErr w:type="spellStart"/>
            <w:r w:rsidRPr="00256419">
              <w:rPr>
                <w:rFonts w:ascii="Calibri" w:eastAsia="Times New Roman" w:hAnsi="Calibri" w:cs="Times New Roman"/>
                <w:color w:val="000000"/>
                <w:sz w:val="20"/>
                <w:szCs w:val="20"/>
                <w:rtl/>
              </w:rPr>
              <w:t>والحوكمية</w:t>
            </w:r>
            <w:proofErr w:type="spellEnd"/>
          </w:p>
        </w:tc>
      </w:tr>
      <w:tr w:rsidR="00537F4D" w:rsidRPr="00F76D05" w14:paraId="0750D24A" w14:textId="77777777" w:rsidTr="00537F4D">
        <w:trPr>
          <w:trHeight w:val="465"/>
        </w:trPr>
        <w:tc>
          <w:tcPr>
            <w:tcW w:w="900" w:type="dxa"/>
            <w:tcBorders>
              <w:top w:val="nil"/>
              <w:left w:val="single" w:sz="4" w:space="0" w:color="auto"/>
              <w:bottom w:val="single" w:sz="4" w:space="0" w:color="auto"/>
              <w:right w:val="single" w:sz="4" w:space="0" w:color="auto"/>
            </w:tcBorders>
            <w:vAlign w:val="center"/>
            <w:hideMark/>
          </w:tcPr>
          <w:p w14:paraId="219CC35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عربية</w:t>
            </w:r>
          </w:p>
        </w:tc>
        <w:tc>
          <w:tcPr>
            <w:tcW w:w="900" w:type="dxa"/>
            <w:tcBorders>
              <w:top w:val="nil"/>
              <w:left w:val="single" w:sz="4" w:space="0" w:color="auto"/>
              <w:bottom w:val="single" w:sz="4" w:space="0" w:color="auto"/>
              <w:right w:val="single" w:sz="4" w:space="0" w:color="auto"/>
            </w:tcBorders>
            <w:vAlign w:val="center"/>
            <w:hideMark/>
          </w:tcPr>
          <w:p w14:paraId="15FD9DA5"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2015–2022</w:t>
            </w:r>
          </w:p>
        </w:tc>
        <w:tc>
          <w:tcPr>
            <w:tcW w:w="1530" w:type="dxa"/>
            <w:tcBorders>
              <w:top w:val="nil"/>
              <w:left w:val="single" w:sz="4" w:space="0" w:color="auto"/>
              <w:bottom w:val="single" w:sz="4" w:space="0" w:color="auto"/>
              <w:right w:val="single" w:sz="4" w:space="0" w:color="auto"/>
            </w:tcBorders>
            <w:vAlign w:val="center"/>
            <w:hideMark/>
          </w:tcPr>
          <w:p w14:paraId="3D9584A7"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قطاع المياه</w:t>
            </w:r>
          </w:p>
        </w:tc>
        <w:tc>
          <w:tcPr>
            <w:tcW w:w="1710" w:type="dxa"/>
            <w:tcBorders>
              <w:top w:val="nil"/>
              <w:left w:val="single" w:sz="4" w:space="0" w:color="auto"/>
              <w:bottom w:val="single" w:sz="4" w:space="0" w:color="auto"/>
              <w:right w:val="single" w:sz="4" w:space="0" w:color="auto"/>
            </w:tcBorders>
            <w:vAlign w:val="center"/>
            <w:hideMark/>
          </w:tcPr>
          <w:p w14:paraId="2C0EDFF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الكفاءة التشغيلية وتقليل الفاقد</w:t>
            </w:r>
          </w:p>
        </w:tc>
        <w:tc>
          <w:tcPr>
            <w:tcW w:w="1440" w:type="dxa"/>
            <w:tcBorders>
              <w:top w:val="nil"/>
              <w:left w:val="single" w:sz="4" w:space="0" w:color="auto"/>
              <w:bottom w:val="single" w:sz="4" w:space="0" w:color="auto"/>
              <w:right w:val="single" w:sz="4" w:space="0" w:color="auto"/>
            </w:tcBorders>
            <w:vAlign w:val="center"/>
            <w:hideMark/>
          </w:tcPr>
          <w:p w14:paraId="51B31D1C"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فنية وتشغيلية</w:t>
            </w:r>
          </w:p>
        </w:tc>
        <w:tc>
          <w:tcPr>
            <w:tcW w:w="1530" w:type="dxa"/>
            <w:tcBorders>
              <w:top w:val="nil"/>
              <w:left w:val="single" w:sz="4" w:space="0" w:color="auto"/>
              <w:bottom w:val="single" w:sz="4" w:space="0" w:color="auto"/>
              <w:right w:val="single" w:sz="4" w:space="0" w:color="auto"/>
            </w:tcBorders>
            <w:vAlign w:val="center"/>
            <w:hideMark/>
          </w:tcPr>
          <w:p w14:paraId="5F70AA3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مؤشرات تشغيلية محدودة</w:t>
            </w:r>
          </w:p>
        </w:tc>
        <w:tc>
          <w:tcPr>
            <w:tcW w:w="1975" w:type="dxa"/>
            <w:tcBorders>
              <w:top w:val="nil"/>
              <w:left w:val="single" w:sz="4" w:space="0" w:color="auto"/>
              <w:bottom w:val="single" w:sz="4" w:space="0" w:color="auto"/>
              <w:right w:val="single" w:sz="4" w:space="0" w:color="auto"/>
            </w:tcBorders>
            <w:vAlign w:val="center"/>
            <w:hideMark/>
          </w:tcPr>
          <w:p w14:paraId="003EE12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غياب واضح لنماذج الحوكمة، وعدم دمج التحول الرقمي والاستدامة في إطار متكامل</w:t>
            </w:r>
          </w:p>
        </w:tc>
      </w:tr>
      <w:tr w:rsidR="00537F4D" w:rsidRPr="00F76D05" w14:paraId="471B3D3E" w14:textId="77777777" w:rsidTr="00537F4D">
        <w:trPr>
          <w:trHeight w:val="465"/>
        </w:trPr>
        <w:tc>
          <w:tcPr>
            <w:tcW w:w="900" w:type="dxa"/>
            <w:tcBorders>
              <w:top w:val="nil"/>
              <w:left w:val="single" w:sz="4" w:space="0" w:color="auto"/>
              <w:bottom w:val="single" w:sz="4" w:space="0" w:color="auto"/>
              <w:right w:val="single" w:sz="4" w:space="0" w:color="auto"/>
            </w:tcBorders>
            <w:vAlign w:val="center"/>
            <w:hideMark/>
          </w:tcPr>
          <w:p w14:paraId="42A0260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الأدبيات العربية</w:t>
            </w:r>
          </w:p>
        </w:tc>
        <w:tc>
          <w:tcPr>
            <w:tcW w:w="900" w:type="dxa"/>
            <w:tcBorders>
              <w:top w:val="nil"/>
              <w:left w:val="single" w:sz="4" w:space="0" w:color="auto"/>
              <w:bottom w:val="single" w:sz="4" w:space="0" w:color="auto"/>
              <w:right w:val="single" w:sz="4" w:space="0" w:color="auto"/>
            </w:tcBorders>
            <w:vAlign w:val="center"/>
            <w:hideMark/>
          </w:tcPr>
          <w:p w14:paraId="14E04EF4"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متفرقة</w:t>
            </w:r>
          </w:p>
        </w:tc>
        <w:tc>
          <w:tcPr>
            <w:tcW w:w="1530" w:type="dxa"/>
            <w:tcBorders>
              <w:top w:val="nil"/>
              <w:left w:val="single" w:sz="4" w:space="0" w:color="auto"/>
              <w:bottom w:val="single" w:sz="4" w:space="0" w:color="auto"/>
              <w:right w:val="single" w:sz="4" w:space="0" w:color="auto"/>
            </w:tcBorders>
            <w:vAlign w:val="center"/>
            <w:hideMark/>
          </w:tcPr>
          <w:p w14:paraId="7C419E75"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إدارة الأصول</w:t>
            </w:r>
          </w:p>
        </w:tc>
        <w:tc>
          <w:tcPr>
            <w:tcW w:w="1710" w:type="dxa"/>
            <w:tcBorders>
              <w:top w:val="nil"/>
              <w:left w:val="single" w:sz="4" w:space="0" w:color="auto"/>
              <w:bottom w:val="single" w:sz="4" w:space="0" w:color="auto"/>
              <w:right w:val="single" w:sz="4" w:space="0" w:color="auto"/>
            </w:tcBorders>
            <w:vAlign w:val="center"/>
            <w:hideMark/>
          </w:tcPr>
          <w:p w14:paraId="7C68FB11"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إدارة المرافق والبنية التحتية</w:t>
            </w:r>
          </w:p>
        </w:tc>
        <w:tc>
          <w:tcPr>
            <w:tcW w:w="1440" w:type="dxa"/>
            <w:tcBorders>
              <w:top w:val="nil"/>
              <w:left w:val="single" w:sz="4" w:space="0" w:color="auto"/>
              <w:bottom w:val="single" w:sz="4" w:space="0" w:color="auto"/>
              <w:right w:val="single" w:sz="4" w:space="0" w:color="auto"/>
            </w:tcBorders>
            <w:vAlign w:val="center"/>
            <w:hideMark/>
          </w:tcPr>
          <w:p w14:paraId="6274B21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وصفي تحليلي</w:t>
            </w:r>
          </w:p>
        </w:tc>
        <w:tc>
          <w:tcPr>
            <w:tcW w:w="1530" w:type="dxa"/>
            <w:tcBorders>
              <w:top w:val="nil"/>
              <w:left w:val="single" w:sz="4" w:space="0" w:color="auto"/>
              <w:bottom w:val="single" w:sz="4" w:space="0" w:color="auto"/>
              <w:right w:val="single" w:sz="4" w:space="0" w:color="auto"/>
            </w:tcBorders>
            <w:vAlign w:val="center"/>
            <w:hideMark/>
          </w:tcPr>
          <w:p w14:paraId="31E0DA0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إبراز أهمية الصيانة وإدارة الأصول</w:t>
            </w:r>
          </w:p>
        </w:tc>
        <w:tc>
          <w:tcPr>
            <w:tcW w:w="1975" w:type="dxa"/>
            <w:tcBorders>
              <w:top w:val="nil"/>
              <w:left w:val="single" w:sz="4" w:space="0" w:color="auto"/>
              <w:bottom w:val="single" w:sz="4" w:space="0" w:color="auto"/>
              <w:right w:val="single" w:sz="4" w:space="0" w:color="auto"/>
            </w:tcBorders>
            <w:vAlign w:val="center"/>
            <w:hideMark/>
          </w:tcPr>
          <w:p w14:paraId="1A18DE7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محدودية الدراسات التكاملية وضعف الربط بين الحوكمة، الرقمنة، وسلامة الأصول</w:t>
            </w:r>
          </w:p>
        </w:tc>
      </w:tr>
    </w:tbl>
    <w:p w14:paraId="7B094E55" w14:textId="77777777" w:rsidR="00537F4D" w:rsidRDefault="00537F4D" w:rsidP="00537F4D">
      <w:pPr>
        <w:bidi/>
        <w:spacing w:after="200" w:line="360" w:lineRule="auto"/>
        <w:jc w:val="center"/>
        <w:rPr>
          <w:rFonts w:ascii="Traditional Arabic" w:eastAsia="Times New Roman" w:hAnsi="Traditional Arabic" w:cs="Traditional Arabic"/>
          <w:color w:val="000000" w:themeColor="text1"/>
          <w:sz w:val="28"/>
          <w:szCs w:val="28"/>
        </w:rPr>
      </w:pPr>
      <w:r w:rsidRPr="00D32493">
        <w:rPr>
          <w:rFonts w:ascii="Traditional Arabic" w:eastAsia="Times New Roman" w:hAnsi="Traditional Arabic" w:cs="Traditional Arabic"/>
          <w:color w:val="000000" w:themeColor="text1"/>
          <w:sz w:val="28"/>
          <w:szCs w:val="28"/>
          <w:rtl/>
        </w:rPr>
        <w:t xml:space="preserve">الجدول (1): </w:t>
      </w:r>
      <w:r>
        <w:rPr>
          <w:rtl/>
        </w:rPr>
        <w:t>ملخص تحليلي للدراسات السابقة المتعلقة بالتحول الرقمي والحوكمة الذكية والاستدامة في إدارة وسلامة الأصول</w:t>
      </w:r>
      <w:r>
        <w:rPr>
          <w:rFonts w:hint="cs"/>
          <w:rtl/>
        </w:rPr>
        <w:t>.</w:t>
      </w:r>
    </w:p>
    <w:p w14:paraId="205532CF" w14:textId="4319EEA8" w:rsidR="00C92A71" w:rsidRPr="001142D3" w:rsidRDefault="00C92A71" w:rsidP="001142D3">
      <w:pPr>
        <w:pStyle w:val="Heading1"/>
        <w:bidi/>
        <w:rPr>
          <w:rFonts w:ascii="Traditional Arabic" w:hAnsi="Traditional Arabic" w:cs="Traditional Arabic"/>
          <w:b/>
          <w:bCs/>
          <w:sz w:val="36"/>
          <w:szCs w:val="36"/>
          <w:rtl/>
        </w:rPr>
      </w:pPr>
      <w:bookmarkStart w:id="11" w:name="_Toc218160621"/>
      <w:r w:rsidRPr="001142D3">
        <w:rPr>
          <w:rFonts w:ascii="Traditional Arabic" w:hAnsi="Traditional Arabic" w:cs="Traditional Arabic"/>
          <w:b/>
          <w:bCs/>
          <w:sz w:val="36"/>
          <w:szCs w:val="36"/>
          <w:rtl/>
        </w:rPr>
        <w:lastRenderedPageBreak/>
        <w:t xml:space="preserve">نموذج الدراسة </w:t>
      </w:r>
      <w:r w:rsidR="000E07B7" w:rsidRPr="001142D3">
        <w:rPr>
          <w:rFonts w:ascii="Traditional Arabic" w:hAnsi="Traditional Arabic" w:cs="Traditional Arabic" w:hint="cs"/>
          <w:b/>
          <w:bCs/>
          <w:sz w:val="36"/>
          <w:szCs w:val="36"/>
          <w:rtl/>
        </w:rPr>
        <w:t>(</w:t>
      </w:r>
      <w:r w:rsidRPr="001142D3">
        <w:rPr>
          <w:rFonts w:ascii="Traditional Arabic" w:hAnsi="Traditional Arabic" w:cs="Traditional Arabic"/>
          <w:b/>
          <w:bCs/>
          <w:sz w:val="36"/>
          <w:szCs w:val="36"/>
          <w:rtl/>
        </w:rPr>
        <w:t>النموذج المفاهيمي</w:t>
      </w:r>
      <w:r w:rsidR="000E07B7" w:rsidRPr="001142D3">
        <w:rPr>
          <w:rFonts w:ascii="Traditional Arabic" w:hAnsi="Traditional Arabic" w:cs="Traditional Arabic"/>
          <w:b/>
          <w:bCs/>
          <w:sz w:val="36"/>
          <w:szCs w:val="36"/>
          <w:rtl/>
        </w:rPr>
        <w:t xml:space="preserve"> والعلاقات بين المتغيرات</w:t>
      </w:r>
      <w:r w:rsidR="000E07B7" w:rsidRPr="001142D3">
        <w:rPr>
          <w:rFonts w:ascii="Traditional Arabic" w:hAnsi="Traditional Arabic" w:cs="Traditional Arabic" w:hint="cs"/>
          <w:b/>
          <w:bCs/>
          <w:sz w:val="36"/>
          <w:szCs w:val="36"/>
          <w:rtl/>
        </w:rPr>
        <w:t>)</w:t>
      </w:r>
      <w:bookmarkEnd w:id="11"/>
    </w:p>
    <w:p w14:paraId="37C6FED6"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sidRPr="0044146F">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sidRPr="0044146F">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sidRPr="0044146F">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537F4D">
      <w:pPr>
        <w:pStyle w:val="ListParagraph"/>
        <w:numPr>
          <w:ilvl w:val="0"/>
          <w:numId w:val="40"/>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التحول الرقمي</w:t>
      </w:r>
      <w:r w:rsidRPr="00537F4D">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sidRPr="003E662B">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sidRPr="003E662B">
        <w:rPr>
          <w:rFonts w:ascii="Traditional Arabic" w:hAnsi="Traditional Arabic" w:cs="Traditional Arabic"/>
          <w:sz w:val="28"/>
          <w:szCs w:val="28"/>
        </w:rPr>
        <w:t>.</w:t>
      </w:r>
    </w:p>
    <w:p w14:paraId="4E910D31" w14:textId="418FA649" w:rsidR="00537F4D" w:rsidRPr="00537F4D" w:rsidRDefault="00537F4D" w:rsidP="003E662B">
      <w:pPr>
        <w:pStyle w:val="ListParagraph"/>
        <w:numPr>
          <w:ilvl w:val="0"/>
          <w:numId w:val="40"/>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الاستدامة المؤسسية</w:t>
      </w:r>
      <w:r w:rsidRPr="00537F4D">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sidRPr="006B126E">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sidRPr="006B126E">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 xml:space="preserve">ثانيًا: </w:t>
      </w:r>
      <w:r w:rsidR="002E6F1E" w:rsidRPr="002E6F1E">
        <w:rPr>
          <w:rFonts w:ascii="Traditional Arabic" w:hAnsi="Traditional Arabic" w:cs="Traditional Arabic"/>
          <w:b/>
          <w:bCs/>
          <w:sz w:val="28"/>
          <w:szCs w:val="28"/>
          <w:rtl/>
        </w:rPr>
        <w:t>إطار الحوكمة الذكية (</w:t>
      </w:r>
      <w:r w:rsidR="0020169F">
        <w:rPr>
          <w:rFonts w:ascii="Traditional Arabic" w:hAnsi="Traditional Arabic" w:cs="Traditional Arabic"/>
          <w:b/>
          <w:bCs/>
          <w:sz w:val="28"/>
          <w:szCs w:val="28"/>
        </w:rPr>
        <w:t xml:space="preserve"> </w:t>
      </w:r>
      <w:r w:rsidR="0020169F">
        <w:rPr>
          <w:rFonts w:ascii="Traditional Arabic" w:hAnsi="Traditional Arabic" w:cs="Traditional Arabic" w:hint="cs"/>
          <w:b/>
          <w:bCs/>
          <w:sz w:val="28"/>
          <w:szCs w:val="28"/>
          <w:rtl/>
        </w:rPr>
        <w:t xml:space="preserve">المتغير الوسيط </w:t>
      </w:r>
      <w:r w:rsidR="002E6F1E" w:rsidRPr="002E6F1E">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sidRPr="0020169F">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sidRPr="0020169F">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sidRPr="0020169F">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537F4D">
      <w:pPr>
        <w:pStyle w:val="ListParagraph"/>
        <w:numPr>
          <w:ilvl w:val="0"/>
          <w:numId w:val="44"/>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sidRPr="007B684F">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sidRPr="007B684F">
        <w:rPr>
          <w:rFonts w:ascii="Traditional Arabic" w:hAnsi="Traditional Arabic" w:cs="Traditional Arabic"/>
          <w:sz w:val="28"/>
          <w:szCs w:val="28"/>
        </w:rPr>
        <w:t>.</w:t>
      </w:r>
    </w:p>
    <w:p w14:paraId="1D64077C" w14:textId="39AD6369" w:rsidR="00537F4D" w:rsidRPr="00537F4D" w:rsidRDefault="00537F4D" w:rsidP="007B684F">
      <w:pPr>
        <w:pStyle w:val="ListParagraph"/>
        <w:numPr>
          <w:ilvl w:val="0"/>
          <w:numId w:val="44"/>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sidRPr="00AF7D89">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sidRPr="00AF7D89">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sidRPr="00777BCB">
        <w:rPr>
          <w:rFonts w:ascii="Traditional Arabic" w:hAnsi="Traditional Arabic" w:cs="Traditional Arabic"/>
          <w:sz w:val="28"/>
          <w:szCs w:val="28"/>
          <w:rtl/>
        </w:rPr>
        <w:t>استنادًا إلى الإطار المفاهيمي المقترح، تختبر الدراسة العلاقات السببية الآتية</w:t>
      </w:r>
      <w:r w:rsidRPr="00777BCB">
        <w:rPr>
          <w:rFonts w:ascii="Traditional Arabic" w:hAnsi="Traditional Arabic" w:cs="Traditional Arabic"/>
          <w:sz w:val="28"/>
          <w:szCs w:val="28"/>
        </w:rPr>
        <w:t>:</w:t>
      </w:r>
    </w:p>
    <w:p w14:paraId="7C72FDC7"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sidRPr="00777BCB">
        <w:rPr>
          <w:rFonts w:ascii="Traditional Arabic" w:hAnsi="Traditional Arabic" w:cs="Traditional Arabic"/>
          <w:sz w:val="28"/>
          <w:szCs w:val="28"/>
        </w:rPr>
        <w:t>.</w:t>
      </w:r>
    </w:p>
    <w:p w14:paraId="627EC77B"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sidRPr="00777BCB">
        <w:rPr>
          <w:rFonts w:ascii="Traditional Arabic" w:hAnsi="Traditional Arabic" w:cs="Traditional Arabic"/>
          <w:sz w:val="28"/>
          <w:szCs w:val="28"/>
        </w:rPr>
        <w:t>.</w:t>
      </w:r>
    </w:p>
    <w:p w14:paraId="34B7B431"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sidRPr="00777BCB">
        <w:rPr>
          <w:rFonts w:ascii="Traditional Arabic" w:hAnsi="Traditional Arabic" w:cs="Traditional Arabic"/>
          <w:sz w:val="28"/>
          <w:szCs w:val="28"/>
        </w:rPr>
        <w:t>.</w:t>
      </w:r>
    </w:p>
    <w:p w14:paraId="068894F8"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sidRPr="00777BCB">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خامسًا: موقع النموذج في تصميم الدراسة</w:t>
      </w:r>
    </w:p>
    <w:p w14:paraId="4705F234" w14:textId="77777777" w:rsidR="00A608AB" w:rsidRPr="00A31AF3" w:rsidRDefault="00A608AB" w:rsidP="00A31AF3">
      <w:pPr>
        <w:bidi/>
        <w:jc w:val="both"/>
        <w:rPr>
          <w:rFonts w:ascii="Traditional Arabic" w:hAnsi="Traditional Arabic" w:cs="Traditional Arabic"/>
          <w:sz w:val="28"/>
          <w:szCs w:val="28"/>
          <w:rtl/>
        </w:rPr>
      </w:pPr>
      <w:r w:rsidRPr="00A31AF3">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sidRPr="00A31AF3">
        <w:rPr>
          <w:rFonts w:ascii="Traditional Arabic" w:hAnsi="Traditional Arabic" w:cs="Traditional Arabic"/>
          <w:sz w:val="28"/>
          <w:szCs w:val="28"/>
        </w:rPr>
        <w:t xml:space="preserve"> (SEM)</w:t>
      </w:r>
      <w:r w:rsidRPr="00A31AF3">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sidRPr="00A31AF3">
        <w:rPr>
          <w:rFonts w:ascii="Traditional Arabic" w:hAnsi="Traditional Arabic" w:cs="Traditional Arabic"/>
          <w:sz w:val="28"/>
          <w:szCs w:val="28"/>
        </w:rPr>
        <w:t>.</w:t>
      </w:r>
    </w:p>
    <w:p w14:paraId="37C1DC22" w14:textId="4359B2FC" w:rsidR="00537F4D" w:rsidRPr="00537F4D" w:rsidRDefault="00537F4D" w:rsidP="00A608AB">
      <w:pPr>
        <w:pStyle w:val="Heading2"/>
        <w:bidi/>
        <w:rPr>
          <w:rFonts w:ascii="Traditional Arabic" w:eastAsia="Times New Roman" w:hAnsi="Traditional Arabic" w:cs="Traditional Arabic"/>
          <w:b/>
          <w:bCs/>
          <w:sz w:val="36"/>
          <w:szCs w:val="36"/>
          <w:rtl/>
        </w:rPr>
      </w:pPr>
      <w:bookmarkStart w:id="12" w:name="_Toc218160622"/>
      <w:r w:rsidRPr="00537F4D">
        <w:rPr>
          <w:rFonts w:ascii="Traditional Arabic" w:eastAsia="Times New Roman" w:hAnsi="Traditional Arabic" w:cs="Traditional Arabic"/>
          <w:b/>
          <w:bCs/>
          <w:sz w:val="36"/>
          <w:szCs w:val="36"/>
          <w:rtl/>
        </w:rPr>
        <w:lastRenderedPageBreak/>
        <w:t>وصف النموذج المفاهيمي للدراسة</w:t>
      </w:r>
      <w:bookmarkEnd w:id="12"/>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sidRPr="00537F4D">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sidRPr="00537F4D">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sidRPr="00537F4D">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sidRPr="00537F4D">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Pr>
      </w:pPr>
      <w:r w:rsidRPr="00537F4D">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sidRPr="00537F4D">
        <w:rPr>
          <w:rFonts w:ascii="Traditional Arabic" w:eastAsia="Times New Roman" w:hAnsi="Traditional Arabic" w:cs="Traditional Arabic"/>
          <w:color w:val="000000" w:themeColor="text1"/>
          <w:sz w:val="28"/>
          <w:szCs w:val="28"/>
        </w:rPr>
        <w:t>SEM</w:t>
      </w:r>
      <w:r w:rsidRPr="00537F4D">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D1B6253" w14:textId="4176B2F8"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r w:rsidRPr="00323275">
        <w:rPr>
          <w:rFonts w:ascii="Traditional Arabic" w:eastAsia="Times New Roman" w:hAnsi="Traditional Arabic" w:cs="Traditional Arabic"/>
          <w:color w:val="000000" w:themeColor="text1"/>
          <w:sz w:val="28"/>
          <w:szCs w:val="28"/>
          <w:rtl/>
        </w:rPr>
        <w:lastRenderedPageBreak/>
        <w:drawing>
          <wp:anchor distT="0" distB="0" distL="114300" distR="114300" simplePos="0" relativeHeight="251637759" behindDoc="0" locked="0" layoutInCell="1" allowOverlap="1" wp14:anchorId="332989F3" wp14:editId="4724AB7D">
            <wp:simplePos x="0" y="0"/>
            <wp:positionH relativeFrom="margin">
              <wp:posOffset>-2808</wp:posOffset>
            </wp:positionH>
            <wp:positionV relativeFrom="paragraph">
              <wp:posOffset>4186</wp:posOffset>
            </wp:positionV>
            <wp:extent cx="5881567" cy="2867545"/>
            <wp:effectExtent l="0" t="0" r="508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1567" cy="28675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sidRPr="0072496D">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3C2F780D" w:rsidR="0072496D" w:rsidRPr="00323275" w:rsidRDefault="0072496D" w:rsidP="0072496D">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نموذج </w:t>
                            </w:r>
                            <w:r w:rsidR="0020169F">
                              <w:rPr>
                                <w:rFonts w:ascii="Traditional Arabic" w:hAnsi="Traditional Arabic" w:cs="Traditional Arabic" w:hint="cs"/>
                                <w:b/>
                                <w:bCs/>
                                <w:color w:val="000000" w:themeColor="text1"/>
                                <w:kern w:val="24"/>
                                <w:sz w:val="28"/>
                                <w:szCs w:val="28"/>
                                <w:rtl/>
                              </w:rPr>
                              <w:t>ا</w:t>
                            </w:r>
                            <w:r w:rsidRPr="00323275">
                              <w:rPr>
                                <w:rFonts w:ascii="Traditional Arabic" w:hAnsi="Traditional Arabic" w:cs="Traditional Arabic"/>
                                <w:b/>
                                <w:bCs/>
                                <w:color w:val="000000" w:themeColor="text1"/>
                                <w:kern w:val="24"/>
                                <w:sz w:val="28"/>
                                <w:szCs w:val="28"/>
                                <w:rtl/>
                              </w:rPr>
                              <w:t>لدراسة</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" filled="f" stroked="f">
                <v:textbox>
                  <w:txbxContent>
                    <w:p w14:paraId="354C015F" w14:textId="3C2F780D" w:rsidR="0072496D" w:rsidRPr="00323275" w:rsidRDefault="0072496D" w:rsidP="0072496D">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نموذج </w:t>
                      </w:r>
                      <w:r w:rsidR="0020169F">
                        <w:rPr>
                          <w:rFonts w:ascii="Traditional Arabic" w:hAnsi="Traditional Arabic" w:cs="Traditional Arabic" w:hint="cs"/>
                          <w:b/>
                          <w:bCs/>
                          <w:color w:val="000000" w:themeColor="text1"/>
                          <w:kern w:val="24"/>
                          <w:sz w:val="28"/>
                          <w:szCs w:val="28"/>
                          <w:rtl/>
                        </w:rPr>
                        <w:t>ا</w:t>
                      </w:r>
                      <w:r w:rsidRPr="00323275">
                        <w:rPr>
                          <w:rFonts w:ascii="Traditional Arabic" w:hAnsi="Traditional Arabic" w:cs="Traditional Arabic"/>
                          <w:b/>
                          <w:bCs/>
                          <w:color w:val="000000" w:themeColor="text1"/>
                          <w:kern w:val="24"/>
                          <w:sz w:val="28"/>
                          <w:szCs w:val="28"/>
                          <w:rtl/>
                        </w:rPr>
                        <w:t>لدراسة</w:t>
                      </w:r>
                    </w:p>
                  </w:txbxContent>
                </v:textbox>
                <w10:wrap anchorx="margin"/>
              </v:shape>
            </w:pict>
          </mc:Fallback>
        </mc:AlternateContent>
      </w:r>
    </w:p>
    <w:p w14:paraId="5E622938" w14:textId="777622EC" w:rsidR="00D82061" w:rsidRPr="00537F4D" w:rsidRDefault="00D82061" w:rsidP="00D82061">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Heading2"/>
        <w:bidi/>
        <w:rPr>
          <w:rFonts w:ascii="Traditional Arabic" w:eastAsia="Times New Roman" w:hAnsi="Traditional Arabic" w:cs="Traditional Arabic"/>
          <w:b/>
          <w:bCs/>
          <w:sz w:val="36"/>
          <w:szCs w:val="36"/>
        </w:rPr>
      </w:pPr>
      <w:bookmarkStart w:id="13" w:name="_Toc218160623"/>
      <w:r w:rsidRPr="008C638A">
        <w:rPr>
          <w:rFonts w:ascii="Traditional Arabic" w:eastAsia="Times New Roman" w:hAnsi="Traditional Arabic" w:cs="Traditional Arabic"/>
          <w:b/>
          <w:bCs/>
          <w:sz w:val="36"/>
          <w:szCs w:val="36"/>
          <w:rtl/>
        </w:rPr>
        <w:t>فروض الدراسة</w:t>
      </w:r>
      <w:bookmarkEnd w:id="13"/>
    </w:p>
    <w:p w14:paraId="5999C8BE" w14:textId="144BEB09" w:rsidR="008D14D9" w:rsidRPr="008D14D9" w:rsidRDefault="008D14D9" w:rsidP="00F76D0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sidRPr="008D14D9">
        <w:rPr>
          <w:rFonts w:ascii="Traditional Arabic" w:eastAsia="Times New Roman" w:hAnsi="Traditional Arabic" w:cs="Traditional Arabic"/>
          <w:color w:val="000000" w:themeColor="text1"/>
          <w:sz w:val="28"/>
          <w:szCs w:val="28"/>
        </w:rPr>
        <w:t>:</w:t>
      </w:r>
    </w:p>
    <w:p w14:paraId="2A0C8E17" w14:textId="451C9401" w:rsidR="003522B4" w:rsidRDefault="008D14D9" w:rsidP="003522B4">
      <w:pPr>
        <w:bidi/>
        <w:spacing w:after="200" w:line="360" w:lineRule="auto"/>
        <w:rPr>
          <w:rFonts w:ascii="Traditional Arabic" w:eastAsia="Times New Roman" w:hAnsi="Traditional Arabic" w:cs="Traditional Arabic"/>
          <w:b/>
          <w:bCs/>
          <w:color w:val="000000" w:themeColor="text1"/>
          <w:sz w:val="28"/>
          <w:szCs w:val="28"/>
        </w:rPr>
      </w:pPr>
      <w:r w:rsidRPr="00703104">
        <w:rPr>
          <w:rFonts w:ascii="Traditional Arabic" w:eastAsia="Times New Roman" w:hAnsi="Traditional Arabic" w:cs="Traditional Arabic"/>
          <w:b/>
          <w:bCs/>
          <w:color w:val="000000" w:themeColor="text1"/>
          <w:sz w:val="28"/>
          <w:szCs w:val="28"/>
          <w:rtl/>
        </w:rPr>
        <w:t>الفرض الأول</w:t>
      </w:r>
      <w:r w:rsidRPr="00703104">
        <w:rPr>
          <w:rFonts w:ascii="Traditional Arabic" w:eastAsia="Times New Roman" w:hAnsi="Traditional Arabic" w:cs="Traditional Arabic"/>
          <w:b/>
          <w:bCs/>
          <w:color w:val="000000" w:themeColor="text1"/>
          <w:sz w:val="28"/>
          <w:szCs w:val="28"/>
        </w:rPr>
        <w:t>:</w:t>
      </w:r>
      <w:r w:rsidR="003522B4" w:rsidRPr="003522B4">
        <w:rPr>
          <w:rFonts w:ascii="Traditional Arabic" w:eastAsia="Times New Roman" w:hAnsi="Traditional Arabic" w:cs="Traditional Arabic"/>
          <w:color w:val="000000" w:themeColor="text1"/>
          <w:sz w:val="28"/>
          <w:szCs w:val="28"/>
        </w:rPr>
        <w:br/>
      </w:r>
      <w:r w:rsidR="003522B4" w:rsidRPr="003522B4">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sidR="003522B4" w:rsidRPr="003522B4">
        <w:rPr>
          <w:rFonts w:ascii="Traditional Arabic" w:eastAsia="Times New Roman" w:hAnsi="Traditional Arabic" w:cs="Traditional Arabic"/>
          <w:color w:val="000000" w:themeColor="text1"/>
          <w:sz w:val="28"/>
          <w:szCs w:val="28"/>
        </w:rPr>
        <w:t>.</w:t>
      </w:r>
    </w:p>
    <w:p w14:paraId="4BD5F33D" w14:textId="0051B013" w:rsidR="003522B4" w:rsidRPr="003522B4" w:rsidRDefault="003522B4" w:rsidP="003522B4">
      <w:pPr>
        <w:bidi/>
        <w:spacing w:after="200" w:line="360"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sidRPr="003522B4">
        <w:rPr>
          <w:rFonts w:ascii="Traditional Arabic" w:eastAsia="Times New Roman" w:hAnsi="Traditional Arabic" w:cs="Traditional Arabic"/>
          <w:color w:val="000000" w:themeColor="text1"/>
          <w:sz w:val="28"/>
          <w:szCs w:val="28"/>
        </w:rPr>
        <w:br/>
      </w:r>
      <w:r w:rsidRPr="003522B4">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sidRPr="003522B4">
        <w:rPr>
          <w:rFonts w:ascii="Traditional Arabic" w:eastAsia="Times New Roman" w:hAnsi="Traditional Arabic" w:cs="Traditional Arabic"/>
          <w:color w:val="000000" w:themeColor="text1"/>
          <w:sz w:val="28"/>
          <w:szCs w:val="28"/>
        </w:rPr>
        <w:t>.</w:t>
      </w:r>
    </w:p>
    <w:p w14:paraId="69E155A2" w14:textId="7A2946B2"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sidRPr="003522B4">
        <w:rPr>
          <w:rFonts w:ascii="Traditional Arabic" w:eastAsia="Times New Roman" w:hAnsi="Traditional Arabic" w:cs="Traditional Arabic"/>
          <w:color w:val="000000" w:themeColor="text1"/>
          <w:sz w:val="28"/>
          <w:szCs w:val="28"/>
        </w:rPr>
        <w:br/>
      </w:r>
      <w:r w:rsidRPr="003522B4">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sidRPr="003522B4">
        <w:rPr>
          <w:rFonts w:ascii="Traditional Arabic" w:eastAsia="Times New Roman" w:hAnsi="Traditional Arabic" w:cs="Traditional Arabic"/>
          <w:color w:val="000000" w:themeColor="text1"/>
          <w:sz w:val="28"/>
          <w:szCs w:val="28"/>
        </w:rPr>
        <w:t>.</w:t>
      </w:r>
    </w:p>
    <w:p w14:paraId="049F05F7" w14:textId="2677A9E0" w:rsidR="003522B4" w:rsidRPr="003522B4" w:rsidRDefault="00585840"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lastRenderedPageBreak/>
        <w:t>الفرض الرابع:</w:t>
      </w:r>
      <w:r w:rsidR="003522B4" w:rsidRPr="003522B4">
        <w:rPr>
          <w:rFonts w:ascii="Traditional Arabic" w:eastAsia="Times New Roman" w:hAnsi="Traditional Arabic" w:cs="Traditional Arabic"/>
          <w:color w:val="000000" w:themeColor="text1"/>
          <w:sz w:val="28"/>
          <w:szCs w:val="28"/>
        </w:rPr>
        <w:br/>
      </w:r>
      <w:r w:rsidR="003522B4" w:rsidRPr="003522B4">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sidR="003522B4" w:rsidRPr="003522B4">
        <w:rPr>
          <w:rFonts w:ascii="Traditional Arabic" w:eastAsia="Times New Roman" w:hAnsi="Traditional Arabic" w:cs="Traditional Arabic"/>
          <w:color w:val="000000" w:themeColor="text1"/>
          <w:sz w:val="28"/>
          <w:szCs w:val="28"/>
        </w:rPr>
        <w:t>.</w:t>
      </w:r>
    </w:p>
    <w:p w14:paraId="1C719383" w14:textId="06945B57" w:rsidR="00323275" w:rsidRPr="00323275" w:rsidRDefault="00323275" w:rsidP="0020169F">
      <w:pPr>
        <w:bidi/>
        <w:jc w:val="both"/>
        <w:rPr>
          <w:rtl/>
        </w:rPr>
      </w:pPr>
      <w:r w:rsidRPr="0020169F">
        <w:rPr>
          <w:rFonts w:ascii="Traditional Arabic" w:eastAsia="Times New Roman" w:hAnsi="Traditional Arabic" w:cs="Traditional Arabic" w:hint="cs"/>
          <w:color w:val="000000" w:themeColor="text1"/>
          <w:sz w:val="28"/>
          <w:szCs w:val="28"/>
          <w:rtl/>
        </w:rPr>
        <w:t>ت</w:t>
      </w:r>
      <w:r w:rsidRPr="0020169F">
        <w:rPr>
          <w:rFonts w:ascii="Traditional Arabic" w:eastAsia="Times New Roman" w:hAnsi="Traditional Arabic" w:cs="Traditional Arabic"/>
          <w:color w:val="000000" w:themeColor="text1"/>
          <w:sz w:val="28"/>
          <w:szCs w:val="28"/>
          <w:rtl/>
        </w:rPr>
        <w:t>شير نتائج التحليل الإحصائي إلى وجود تأثير ذي دلالة إحصائية للتحول الرقمي على سلامة أصول البنية التحتية المائية في قطاع المياه السعودي</w:t>
      </w:r>
      <w:r w:rsidRPr="0020169F">
        <w:rPr>
          <w:rFonts w:ascii="Traditional Arabic" w:eastAsia="Times New Roman" w:hAnsi="Traditional Arabic" w:cs="Traditional Arabic"/>
          <w:color w:val="000000" w:themeColor="text1"/>
          <w:sz w:val="28"/>
          <w:szCs w:val="28"/>
        </w:rPr>
        <w:t>.</w:t>
      </w:r>
    </w:p>
    <w:p w14:paraId="3B8BF1C2" w14:textId="60FFFF6A" w:rsidR="002E5806" w:rsidRPr="00A67433" w:rsidRDefault="002E5806" w:rsidP="00323275">
      <w:pPr>
        <w:pStyle w:val="Heading2"/>
        <w:bidi/>
        <w:rPr>
          <w:rFonts w:ascii="Traditional Arabic" w:eastAsia="Times New Roman" w:hAnsi="Traditional Arabic" w:cs="Traditional Arabic"/>
          <w:b/>
          <w:bCs/>
          <w:sz w:val="36"/>
          <w:szCs w:val="36"/>
          <w:rtl/>
        </w:rPr>
      </w:pPr>
      <w:bookmarkStart w:id="14" w:name="_Toc218160624"/>
      <w:r w:rsidRPr="00A67433">
        <w:rPr>
          <w:rFonts w:ascii="Traditional Arabic" w:eastAsia="Times New Roman" w:hAnsi="Traditional Arabic" w:cs="Traditional Arabic"/>
          <w:b/>
          <w:bCs/>
          <w:sz w:val="36"/>
          <w:szCs w:val="36"/>
          <w:rtl/>
        </w:rPr>
        <w:t>نوع الدراسة وطرق الحصول على البيانات</w:t>
      </w:r>
      <w:bookmarkEnd w:id="14"/>
      <w:r w:rsidRPr="00A67433">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sidRPr="002E5806">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F76D0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sidRPr="002E5806">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يشمل مجتمع الدراسة العاملين والخبراء في مجالات</w:t>
      </w:r>
      <w:r w:rsidRPr="002E5806">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التحول الرقمي</w:t>
      </w:r>
    </w:p>
    <w:p w14:paraId="57C1F833" w14:textId="6333C8D0"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في مؤسسات قطاع المياه</w:t>
      </w:r>
      <w:r w:rsidRPr="002E5806">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sidRPr="002C01EA">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sidRPr="002C01EA">
        <w:rPr>
          <w:rFonts w:ascii="Traditional Arabic" w:eastAsia="Times New Roman" w:hAnsi="Traditional Arabic" w:cs="Traditional Arabic"/>
          <w:color w:val="000000" w:themeColor="text1"/>
          <w:sz w:val="28"/>
          <w:szCs w:val="28"/>
        </w:rPr>
        <w:t xml:space="preserve"> Sekaran &amp; Bougie (2016) </w:t>
      </w:r>
      <w:r w:rsidRPr="002C01EA">
        <w:rPr>
          <w:rFonts w:ascii="Traditional Arabic" w:eastAsia="Times New Roman" w:hAnsi="Traditional Arabic" w:cs="Traditional Arabic"/>
          <w:color w:val="000000" w:themeColor="text1"/>
          <w:sz w:val="28"/>
          <w:szCs w:val="28"/>
          <w:rtl/>
        </w:rPr>
        <w:t xml:space="preserve">إلى أن هذا النطاق يُعد مناسبًا للدراسات التطبيقية </w:t>
      </w:r>
      <w:r w:rsidRPr="002C01EA">
        <w:rPr>
          <w:rFonts w:ascii="Traditional Arabic" w:eastAsia="Times New Roman" w:hAnsi="Traditional Arabic" w:cs="Traditional Arabic"/>
          <w:color w:val="000000" w:themeColor="text1"/>
          <w:sz w:val="28"/>
          <w:szCs w:val="28"/>
          <w:rtl/>
        </w:rPr>
        <w:lastRenderedPageBreak/>
        <w:t>ذات المجتمعات المحدودة والمتجانسة نسبيًا. كما يتوافق هذا الحجم مع متطلبات نمذجة المعادلات الهيكلية بطريقة المربعات الصغرى الجزئية</w:t>
      </w:r>
      <w:r w:rsidRPr="002C01EA">
        <w:rPr>
          <w:rFonts w:ascii="Traditional Arabic" w:eastAsia="Times New Roman" w:hAnsi="Traditional Arabic" w:cs="Traditional Arabic"/>
          <w:color w:val="000000" w:themeColor="text1"/>
          <w:sz w:val="28"/>
          <w:szCs w:val="28"/>
        </w:rPr>
        <w:t xml:space="preserve"> (PLS-SEM) </w:t>
      </w:r>
      <w:r w:rsidRPr="002C01EA">
        <w:rPr>
          <w:rFonts w:ascii="Traditional Arabic" w:eastAsia="Times New Roman" w:hAnsi="Traditional Arabic" w:cs="Traditional Arabic"/>
          <w:color w:val="000000" w:themeColor="text1"/>
          <w:sz w:val="28"/>
          <w:szCs w:val="28"/>
          <w:rtl/>
        </w:rPr>
        <w:t>وفق توصيات</w:t>
      </w:r>
      <w:r w:rsidRPr="002C01EA">
        <w:rPr>
          <w:rFonts w:ascii="Traditional Arabic" w:eastAsia="Times New Roman" w:hAnsi="Traditional Arabic" w:cs="Traditional Arabic"/>
          <w:color w:val="000000" w:themeColor="text1"/>
          <w:sz w:val="28"/>
          <w:szCs w:val="28"/>
        </w:rPr>
        <w:t xml:space="preserve"> Hair et al. (2017)</w:t>
      </w:r>
      <w:r w:rsidR="00617052">
        <w:rPr>
          <w:rFonts w:ascii="Traditional Arabic" w:eastAsia="Times New Roman" w:hAnsi="Traditional Arabic" w:cs="Traditional Arabic"/>
          <w:color w:val="000000" w:themeColor="text1"/>
          <w:sz w:val="28"/>
          <w:szCs w:val="28"/>
        </w:rPr>
        <w:t xml:space="preserve"> </w:t>
      </w:r>
      <w:r w:rsidRPr="002C01EA">
        <w:rPr>
          <w:rFonts w:ascii="Traditional Arabic" w:eastAsia="Times New Roman" w:hAnsi="Traditional Arabic" w:cs="Traditional Arabic"/>
          <w:color w:val="000000" w:themeColor="text1"/>
          <w:sz w:val="28"/>
          <w:szCs w:val="28"/>
          <w:rtl/>
        </w:rPr>
        <w:t>، مما يعزز موثوقية النتائج ودقتها الإحصائية</w:t>
      </w:r>
      <w:r w:rsidRPr="002C01EA">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طرق جمع البيانات</w:t>
      </w:r>
    </w:p>
    <w:p w14:paraId="1866C36A" w14:textId="61B13D9A"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تعتمد الدراسة على طريقتين رئيسيتين</w:t>
      </w:r>
      <w:r w:rsidRPr="00931B85">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931B85">
      <w:pPr>
        <w:pStyle w:val="ListParagraph"/>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الاستبيان الإلكتروني</w:t>
      </w:r>
      <w:r w:rsidRPr="00931B85">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931B85">
      <w:pPr>
        <w:pStyle w:val="ListParagraph"/>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sidRPr="00931B85">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المقابلات شبه المهيكلة</w:t>
      </w:r>
      <w:r w:rsidRPr="00931B85">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sidRPr="002E5806">
        <w:rPr>
          <w:rFonts w:ascii="Traditional Arabic" w:eastAsia="Times New Roman" w:hAnsi="Traditional Arabic" w:cs="Traditional Arabic"/>
          <w:color w:val="000000" w:themeColor="text1"/>
          <w:sz w:val="28"/>
          <w:szCs w:val="28"/>
        </w:rPr>
        <w:t>.</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4BE9AA54" w14:textId="28EB8038" w:rsidR="00D25CFE" w:rsidRDefault="0072496D" w:rsidP="0072496D">
      <w:pPr>
        <w:bidi/>
        <w:spacing w:after="200" w:line="360" w:lineRule="auto"/>
        <w:jc w:val="both"/>
        <w:rPr>
          <w:rFonts w:ascii="Traditional Arabic" w:eastAsia="Times New Roman" w:hAnsi="Traditional Arabic" w:cs="Traditional Arabic"/>
          <w:color w:val="000000" w:themeColor="text1"/>
          <w:sz w:val="28"/>
          <w:szCs w:val="28"/>
          <w:rtl/>
        </w:rPr>
      </w:pPr>
      <w:r w:rsidRPr="0072496D">
        <w:rPr>
          <w:rFonts w:ascii="Traditional Arabic" w:eastAsia="Times New Roman" w:hAnsi="Traditional Arabic" w:cs="Traditional Arabic"/>
          <w:color w:val="000000" w:themeColor="text1"/>
          <w:sz w:val="28"/>
          <w:szCs w:val="28"/>
          <w:rtl/>
        </w:rPr>
        <w:t xml:space="preserve"> </w:t>
      </w:r>
    </w:p>
    <w:p w14:paraId="0EA1FF5F" w14:textId="353823A8" w:rsidR="00CD23D5" w:rsidRPr="00DB0AFE" w:rsidRDefault="00CD23D5" w:rsidP="001C0636">
      <w:pPr>
        <w:pStyle w:val="Heading1"/>
        <w:bidi/>
        <w:rPr>
          <w:rFonts w:ascii="Traditional Arabic" w:eastAsia="Times New Roman" w:hAnsi="Traditional Arabic" w:cs="Traditional Arabic"/>
          <w:b/>
          <w:bCs/>
          <w:rtl/>
        </w:rPr>
      </w:pPr>
      <w:bookmarkStart w:id="15" w:name="_Toc218160625"/>
      <w:r w:rsidRPr="00DB0AFE">
        <w:rPr>
          <w:rFonts w:ascii="Traditional Arabic" w:eastAsia="Times New Roman" w:hAnsi="Traditional Arabic" w:cs="Traditional Arabic"/>
          <w:b/>
          <w:bCs/>
          <w:rtl/>
        </w:rPr>
        <w:lastRenderedPageBreak/>
        <w:t>الفصل الثاني</w:t>
      </w:r>
      <w:bookmarkEnd w:id="15"/>
    </w:p>
    <w:p w14:paraId="0C95E762" w14:textId="0D9C6962" w:rsidR="00CD23D5" w:rsidRPr="00DB0AFE" w:rsidRDefault="00CD23D5" w:rsidP="00D9499A">
      <w:pPr>
        <w:pStyle w:val="Heading1"/>
        <w:bidi/>
        <w:rPr>
          <w:rFonts w:ascii="Traditional Arabic" w:eastAsia="Times New Roman" w:hAnsi="Traditional Arabic" w:cs="Traditional Arabic"/>
          <w:b/>
          <w:bCs/>
          <w:rtl/>
        </w:rPr>
      </w:pPr>
      <w:bookmarkStart w:id="16" w:name="_Toc218160626"/>
      <w:r w:rsidRPr="00DB0AFE">
        <w:rPr>
          <w:rFonts w:ascii="Traditional Arabic" w:eastAsia="Times New Roman" w:hAnsi="Traditional Arabic" w:cs="Traditional Arabic"/>
          <w:b/>
          <w:bCs/>
          <w:rtl/>
        </w:rPr>
        <w:t>الفصل الثالث</w:t>
      </w:r>
      <w:bookmarkEnd w:id="16"/>
    </w:p>
    <w:p w14:paraId="2D029800" w14:textId="188D65DE" w:rsidR="00CD23D5" w:rsidRPr="00DB0AFE" w:rsidRDefault="00CD23D5" w:rsidP="00D9499A">
      <w:pPr>
        <w:pStyle w:val="Heading1"/>
        <w:bidi/>
        <w:rPr>
          <w:rFonts w:ascii="Traditional Arabic" w:eastAsia="Times New Roman" w:hAnsi="Traditional Arabic" w:cs="Traditional Arabic"/>
          <w:b/>
          <w:bCs/>
          <w:rtl/>
        </w:rPr>
      </w:pPr>
      <w:bookmarkStart w:id="17" w:name="_Toc218160627"/>
      <w:r w:rsidRPr="00DB0AFE">
        <w:rPr>
          <w:rFonts w:ascii="Traditional Arabic" w:eastAsia="Times New Roman" w:hAnsi="Traditional Arabic" w:cs="Traditional Arabic"/>
          <w:b/>
          <w:bCs/>
          <w:rtl/>
        </w:rPr>
        <w:t>الفصل الرابع</w:t>
      </w:r>
      <w:bookmarkEnd w:id="17"/>
    </w:p>
    <w:p w14:paraId="19E51437" w14:textId="518D18DE" w:rsidR="00CD23D5" w:rsidRPr="00DB0AFE" w:rsidRDefault="00CD23D5" w:rsidP="00D9499A">
      <w:pPr>
        <w:pStyle w:val="Heading1"/>
        <w:bidi/>
        <w:rPr>
          <w:rFonts w:ascii="Traditional Arabic" w:eastAsia="Times New Roman" w:hAnsi="Traditional Arabic" w:cs="Traditional Arabic"/>
          <w:b/>
          <w:bCs/>
          <w:rtl/>
        </w:rPr>
      </w:pPr>
      <w:bookmarkStart w:id="18" w:name="_Toc218160628"/>
      <w:r w:rsidRPr="00DB0AFE">
        <w:rPr>
          <w:rFonts w:ascii="Traditional Arabic" w:eastAsia="Times New Roman" w:hAnsi="Traditional Arabic" w:cs="Traditional Arabic"/>
          <w:b/>
          <w:bCs/>
          <w:rtl/>
        </w:rPr>
        <w:t>الفصل الخامس</w:t>
      </w:r>
      <w:bookmarkEnd w:id="18"/>
      <w:r w:rsidRPr="00DB0AFE">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Heading1"/>
        <w:bidi/>
        <w:rPr>
          <w:rFonts w:ascii="Traditional Arabic" w:eastAsia="Times New Roman" w:hAnsi="Traditional Arabic" w:cs="Traditional Arabic"/>
          <w:b/>
          <w:bCs/>
          <w:rtl/>
        </w:rPr>
      </w:pPr>
      <w:bookmarkStart w:id="19" w:name="_Toc218160629"/>
      <w:r w:rsidRPr="00DB0AFE">
        <w:rPr>
          <w:rFonts w:ascii="Traditional Arabic" w:eastAsia="Times New Roman" w:hAnsi="Traditional Arabic" w:cs="Traditional Arabic"/>
          <w:b/>
          <w:bCs/>
          <w:rtl/>
        </w:rPr>
        <w:t>المستخلص والتوصيات</w:t>
      </w:r>
      <w:bookmarkEnd w:id="19"/>
    </w:p>
    <w:p w14:paraId="5CDFFEA5" w14:textId="22E91782" w:rsidR="00D9499A" w:rsidRPr="00DB0AFE" w:rsidRDefault="00D9499A" w:rsidP="00D9499A">
      <w:pPr>
        <w:pStyle w:val="Heading1"/>
        <w:bidi/>
        <w:rPr>
          <w:rFonts w:ascii="Traditional Arabic" w:eastAsia="Times New Roman" w:hAnsi="Traditional Arabic" w:cs="Traditional Arabic"/>
          <w:b/>
          <w:bCs/>
          <w:rtl/>
        </w:rPr>
      </w:pPr>
      <w:bookmarkStart w:id="20" w:name="_Toc218160630"/>
      <w:r w:rsidRPr="00DB0AFE">
        <w:rPr>
          <w:rFonts w:ascii="Traditional Arabic" w:eastAsia="Times New Roman" w:hAnsi="Traditional Arabic" w:cs="Traditional Arabic"/>
          <w:b/>
          <w:bCs/>
          <w:rtl/>
        </w:rPr>
        <w:t>قائمة المراجع</w:t>
      </w:r>
      <w:bookmarkEnd w:id="20"/>
    </w:p>
    <w:p w14:paraId="4E1CE682" w14:textId="22F1CFB3" w:rsidR="00D9499A" w:rsidRDefault="00D9499A" w:rsidP="00D9499A">
      <w:pPr>
        <w:pStyle w:val="Heading1"/>
        <w:bidi/>
        <w:rPr>
          <w:rFonts w:ascii="Traditional Arabic" w:eastAsia="Times New Roman" w:hAnsi="Traditional Arabic" w:cs="Traditional Arabic"/>
          <w:b/>
          <w:bCs/>
          <w:rtl/>
        </w:rPr>
      </w:pPr>
      <w:bookmarkStart w:id="21" w:name="_Toc218160631"/>
      <w:r w:rsidRPr="00DB0AFE">
        <w:rPr>
          <w:rFonts w:ascii="Traditional Arabic" w:eastAsia="Times New Roman" w:hAnsi="Traditional Arabic" w:cs="Traditional Arabic"/>
          <w:b/>
          <w:bCs/>
          <w:rtl/>
        </w:rPr>
        <w:t>قائمة الملاحق</w:t>
      </w:r>
      <w:bookmarkEnd w:id="21"/>
      <w:r w:rsidRPr="00DB0AFE">
        <w:rPr>
          <w:rFonts w:ascii="Traditional Arabic" w:eastAsia="Times New Roman" w:hAnsi="Traditional Arabic" w:cs="Traditional Arabic"/>
          <w:b/>
          <w:bCs/>
          <w:rtl/>
        </w:rPr>
        <w:t xml:space="preserve"> </w:t>
      </w:r>
    </w:p>
    <w:sectPr w:rsidR="00D9499A" w:rsidSect="000D59F9">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B609F" w14:textId="77777777" w:rsidR="00585FAC" w:rsidRDefault="00585FAC" w:rsidP="00EF73E8">
      <w:pPr>
        <w:spacing w:after="0" w:line="240" w:lineRule="auto"/>
      </w:pPr>
      <w:r>
        <w:separator/>
      </w:r>
    </w:p>
  </w:endnote>
  <w:endnote w:type="continuationSeparator" w:id="0">
    <w:p w14:paraId="58C261EC" w14:textId="77777777" w:rsidR="00585FAC" w:rsidRDefault="00585FAC"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altName w:val="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A3034" w14:textId="77777777" w:rsidR="00F76D05" w:rsidRDefault="00F76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00157" w14:textId="77777777" w:rsidR="00F76D05" w:rsidRDefault="00F76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14673" w14:textId="77777777" w:rsidR="00585FAC" w:rsidRDefault="00585FAC" w:rsidP="00EF73E8">
      <w:pPr>
        <w:spacing w:after="0" w:line="240" w:lineRule="auto"/>
      </w:pPr>
      <w:r>
        <w:separator/>
      </w:r>
    </w:p>
  </w:footnote>
  <w:footnote w:type="continuationSeparator" w:id="0">
    <w:p w14:paraId="732D12E8" w14:textId="77777777" w:rsidR="00585FAC" w:rsidRDefault="00585FAC"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04BE2" w14:textId="6E568697" w:rsidR="00F76D05" w:rsidRDefault="00C4146C"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3FB52" w14:textId="1A020AEF" w:rsidR="00F76D05" w:rsidRDefault="00C4146C"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C1178" w14:textId="5987B16D" w:rsidR="00F76D05" w:rsidRDefault="00C4146C"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32678"/>
    <w:multiLevelType w:val="multilevel"/>
    <w:tmpl w:val="1AD6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058CD"/>
    <w:multiLevelType w:val="hybridMultilevel"/>
    <w:tmpl w:val="144AD410"/>
    <w:lvl w:ilvl="0" w:tplc="16AAD7B8">
      <w:start w:val="1"/>
      <w:numFmt w:val="bullet"/>
      <w:lvlText w:val="•"/>
      <w:lvlJc w:val="left"/>
      <w:pPr>
        <w:tabs>
          <w:tab w:val="num" w:pos="360"/>
        </w:tabs>
        <w:ind w:left="360" w:hanging="360"/>
      </w:pPr>
      <w:rPr>
        <w:rFonts w:ascii="Arial" w:hAnsi="Arial" w:hint="default"/>
      </w:rPr>
    </w:lvl>
    <w:lvl w:ilvl="1" w:tplc="3D80B14C" w:tentative="1">
      <w:start w:val="1"/>
      <w:numFmt w:val="bullet"/>
      <w:lvlText w:val="•"/>
      <w:lvlJc w:val="left"/>
      <w:pPr>
        <w:tabs>
          <w:tab w:val="num" w:pos="1080"/>
        </w:tabs>
        <w:ind w:left="1080" w:hanging="360"/>
      </w:pPr>
      <w:rPr>
        <w:rFonts w:ascii="Arial" w:hAnsi="Arial" w:hint="default"/>
      </w:rPr>
    </w:lvl>
    <w:lvl w:ilvl="2" w:tplc="3B2214FE" w:tentative="1">
      <w:start w:val="1"/>
      <w:numFmt w:val="bullet"/>
      <w:lvlText w:val="•"/>
      <w:lvlJc w:val="left"/>
      <w:pPr>
        <w:tabs>
          <w:tab w:val="num" w:pos="1800"/>
        </w:tabs>
        <w:ind w:left="1800" w:hanging="360"/>
      </w:pPr>
      <w:rPr>
        <w:rFonts w:ascii="Arial" w:hAnsi="Arial" w:hint="default"/>
      </w:rPr>
    </w:lvl>
    <w:lvl w:ilvl="3" w:tplc="BD40BE86" w:tentative="1">
      <w:start w:val="1"/>
      <w:numFmt w:val="bullet"/>
      <w:lvlText w:val="•"/>
      <w:lvlJc w:val="left"/>
      <w:pPr>
        <w:tabs>
          <w:tab w:val="num" w:pos="2520"/>
        </w:tabs>
        <w:ind w:left="2520" w:hanging="360"/>
      </w:pPr>
      <w:rPr>
        <w:rFonts w:ascii="Arial" w:hAnsi="Arial" w:hint="default"/>
      </w:rPr>
    </w:lvl>
    <w:lvl w:ilvl="4" w:tplc="AB845C7E" w:tentative="1">
      <w:start w:val="1"/>
      <w:numFmt w:val="bullet"/>
      <w:lvlText w:val="•"/>
      <w:lvlJc w:val="left"/>
      <w:pPr>
        <w:tabs>
          <w:tab w:val="num" w:pos="3240"/>
        </w:tabs>
        <w:ind w:left="3240" w:hanging="360"/>
      </w:pPr>
      <w:rPr>
        <w:rFonts w:ascii="Arial" w:hAnsi="Arial" w:hint="default"/>
      </w:rPr>
    </w:lvl>
    <w:lvl w:ilvl="5" w:tplc="D85847FC" w:tentative="1">
      <w:start w:val="1"/>
      <w:numFmt w:val="bullet"/>
      <w:lvlText w:val="•"/>
      <w:lvlJc w:val="left"/>
      <w:pPr>
        <w:tabs>
          <w:tab w:val="num" w:pos="3960"/>
        </w:tabs>
        <w:ind w:left="3960" w:hanging="360"/>
      </w:pPr>
      <w:rPr>
        <w:rFonts w:ascii="Arial" w:hAnsi="Arial" w:hint="default"/>
      </w:rPr>
    </w:lvl>
    <w:lvl w:ilvl="6" w:tplc="1C66EA1A" w:tentative="1">
      <w:start w:val="1"/>
      <w:numFmt w:val="bullet"/>
      <w:lvlText w:val="•"/>
      <w:lvlJc w:val="left"/>
      <w:pPr>
        <w:tabs>
          <w:tab w:val="num" w:pos="4680"/>
        </w:tabs>
        <w:ind w:left="4680" w:hanging="360"/>
      </w:pPr>
      <w:rPr>
        <w:rFonts w:ascii="Arial" w:hAnsi="Arial" w:hint="default"/>
      </w:rPr>
    </w:lvl>
    <w:lvl w:ilvl="7" w:tplc="A8F8A248" w:tentative="1">
      <w:start w:val="1"/>
      <w:numFmt w:val="bullet"/>
      <w:lvlText w:val="•"/>
      <w:lvlJc w:val="left"/>
      <w:pPr>
        <w:tabs>
          <w:tab w:val="num" w:pos="5400"/>
        </w:tabs>
        <w:ind w:left="5400" w:hanging="360"/>
      </w:pPr>
      <w:rPr>
        <w:rFonts w:ascii="Arial" w:hAnsi="Arial" w:hint="default"/>
      </w:rPr>
    </w:lvl>
    <w:lvl w:ilvl="8" w:tplc="22AEC67A"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422DF"/>
    <w:multiLevelType w:val="hybridMultilevel"/>
    <w:tmpl w:val="03CC1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3F1AA4"/>
    <w:multiLevelType w:val="hybridMultilevel"/>
    <w:tmpl w:val="744AA0A8"/>
    <w:lvl w:ilvl="0" w:tplc="D6AC0DD6">
      <w:start w:val="1"/>
      <w:numFmt w:val="bullet"/>
      <w:lvlText w:val="•"/>
      <w:lvlJc w:val="left"/>
      <w:pPr>
        <w:tabs>
          <w:tab w:val="num" w:pos="720"/>
        </w:tabs>
        <w:ind w:left="720" w:hanging="360"/>
      </w:pPr>
      <w:rPr>
        <w:rFonts w:ascii="Arial" w:hAnsi="Arial" w:hint="default"/>
      </w:rPr>
    </w:lvl>
    <w:lvl w:ilvl="1" w:tplc="0E0E773A" w:tentative="1">
      <w:start w:val="1"/>
      <w:numFmt w:val="bullet"/>
      <w:lvlText w:val="•"/>
      <w:lvlJc w:val="left"/>
      <w:pPr>
        <w:tabs>
          <w:tab w:val="num" w:pos="1440"/>
        </w:tabs>
        <w:ind w:left="1440" w:hanging="360"/>
      </w:pPr>
      <w:rPr>
        <w:rFonts w:ascii="Arial" w:hAnsi="Arial" w:hint="default"/>
      </w:rPr>
    </w:lvl>
    <w:lvl w:ilvl="2" w:tplc="4C48E676" w:tentative="1">
      <w:start w:val="1"/>
      <w:numFmt w:val="bullet"/>
      <w:lvlText w:val="•"/>
      <w:lvlJc w:val="left"/>
      <w:pPr>
        <w:tabs>
          <w:tab w:val="num" w:pos="2160"/>
        </w:tabs>
        <w:ind w:left="2160" w:hanging="360"/>
      </w:pPr>
      <w:rPr>
        <w:rFonts w:ascii="Arial" w:hAnsi="Arial" w:hint="default"/>
      </w:rPr>
    </w:lvl>
    <w:lvl w:ilvl="3" w:tplc="EC147860" w:tentative="1">
      <w:start w:val="1"/>
      <w:numFmt w:val="bullet"/>
      <w:lvlText w:val="•"/>
      <w:lvlJc w:val="left"/>
      <w:pPr>
        <w:tabs>
          <w:tab w:val="num" w:pos="2880"/>
        </w:tabs>
        <w:ind w:left="2880" w:hanging="360"/>
      </w:pPr>
      <w:rPr>
        <w:rFonts w:ascii="Arial" w:hAnsi="Arial" w:hint="default"/>
      </w:rPr>
    </w:lvl>
    <w:lvl w:ilvl="4" w:tplc="666C989A" w:tentative="1">
      <w:start w:val="1"/>
      <w:numFmt w:val="bullet"/>
      <w:lvlText w:val="•"/>
      <w:lvlJc w:val="left"/>
      <w:pPr>
        <w:tabs>
          <w:tab w:val="num" w:pos="3600"/>
        </w:tabs>
        <w:ind w:left="3600" w:hanging="360"/>
      </w:pPr>
      <w:rPr>
        <w:rFonts w:ascii="Arial" w:hAnsi="Arial" w:hint="default"/>
      </w:rPr>
    </w:lvl>
    <w:lvl w:ilvl="5" w:tplc="BADAE378" w:tentative="1">
      <w:start w:val="1"/>
      <w:numFmt w:val="bullet"/>
      <w:lvlText w:val="•"/>
      <w:lvlJc w:val="left"/>
      <w:pPr>
        <w:tabs>
          <w:tab w:val="num" w:pos="4320"/>
        </w:tabs>
        <w:ind w:left="4320" w:hanging="360"/>
      </w:pPr>
      <w:rPr>
        <w:rFonts w:ascii="Arial" w:hAnsi="Arial" w:hint="default"/>
      </w:rPr>
    </w:lvl>
    <w:lvl w:ilvl="6" w:tplc="258CE248" w:tentative="1">
      <w:start w:val="1"/>
      <w:numFmt w:val="bullet"/>
      <w:lvlText w:val="•"/>
      <w:lvlJc w:val="left"/>
      <w:pPr>
        <w:tabs>
          <w:tab w:val="num" w:pos="5040"/>
        </w:tabs>
        <w:ind w:left="5040" w:hanging="360"/>
      </w:pPr>
      <w:rPr>
        <w:rFonts w:ascii="Arial" w:hAnsi="Arial" w:hint="default"/>
      </w:rPr>
    </w:lvl>
    <w:lvl w:ilvl="7" w:tplc="69A8E4BE" w:tentative="1">
      <w:start w:val="1"/>
      <w:numFmt w:val="bullet"/>
      <w:lvlText w:val="•"/>
      <w:lvlJc w:val="left"/>
      <w:pPr>
        <w:tabs>
          <w:tab w:val="num" w:pos="5760"/>
        </w:tabs>
        <w:ind w:left="5760" w:hanging="360"/>
      </w:pPr>
      <w:rPr>
        <w:rFonts w:ascii="Arial" w:hAnsi="Arial" w:hint="default"/>
      </w:rPr>
    </w:lvl>
    <w:lvl w:ilvl="8" w:tplc="EBD0251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615456"/>
    <w:multiLevelType w:val="multilevel"/>
    <w:tmpl w:val="824E5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908F1"/>
    <w:multiLevelType w:val="hybridMultilevel"/>
    <w:tmpl w:val="83D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72E0D"/>
    <w:multiLevelType w:val="multilevel"/>
    <w:tmpl w:val="D01A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1035D8"/>
    <w:multiLevelType w:val="multilevel"/>
    <w:tmpl w:val="B064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17674E"/>
    <w:multiLevelType w:val="hybridMultilevel"/>
    <w:tmpl w:val="DE785B8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FD01238"/>
    <w:multiLevelType w:val="hybridMultilevel"/>
    <w:tmpl w:val="8DEC11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F267D5"/>
    <w:multiLevelType w:val="hybridMultilevel"/>
    <w:tmpl w:val="5BCE41F8"/>
    <w:lvl w:ilvl="0" w:tplc="66FA227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B6375A"/>
    <w:multiLevelType w:val="multilevel"/>
    <w:tmpl w:val="4C7E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1C64CD"/>
    <w:multiLevelType w:val="hybridMultilevel"/>
    <w:tmpl w:val="C9C66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5467AB"/>
    <w:multiLevelType w:val="hybridMultilevel"/>
    <w:tmpl w:val="A192E01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8102D7C"/>
    <w:multiLevelType w:val="hybridMultilevel"/>
    <w:tmpl w:val="F056B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F045A2"/>
    <w:multiLevelType w:val="hybridMultilevel"/>
    <w:tmpl w:val="8760F0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B44219"/>
    <w:multiLevelType w:val="hybridMultilevel"/>
    <w:tmpl w:val="7F4E7736"/>
    <w:lvl w:ilvl="0" w:tplc="04090013">
      <w:start w:val="1"/>
      <w:numFmt w:val="arabicAlpha"/>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8A7EF0"/>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400CB3"/>
    <w:multiLevelType w:val="hybridMultilevel"/>
    <w:tmpl w:val="A6B4F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0A659D"/>
    <w:multiLevelType w:val="hybridMultilevel"/>
    <w:tmpl w:val="EB70EE38"/>
    <w:lvl w:ilvl="0" w:tplc="920A00C4">
      <w:start w:val="1"/>
      <w:numFmt w:val="bullet"/>
      <w:lvlText w:val="•"/>
      <w:lvlJc w:val="left"/>
      <w:pPr>
        <w:tabs>
          <w:tab w:val="num" w:pos="720"/>
        </w:tabs>
        <w:ind w:left="720" w:hanging="360"/>
      </w:pPr>
      <w:rPr>
        <w:rFonts w:ascii="Arial" w:hAnsi="Arial" w:hint="default"/>
      </w:rPr>
    </w:lvl>
    <w:lvl w:ilvl="1" w:tplc="D5BC0E76" w:tentative="1">
      <w:start w:val="1"/>
      <w:numFmt w:val="bullet"/>
      <w:lvlText w:val="•"/>
      <w:lvlJc w:val="left"/>
      <w:pPr>
        <w:tabs>
          <w:tab w:val="num" w:pos="1440"/>
        </w:tabs>
        <w:ind w:left="1440" w:hanging="360"/>
      </w:pPr>
      <w:rPr>
        <w:rFonts w:ascii="Arial" w:hAnsi="Arial" w:hint="default"/>
      </w:rPr>
    </w:lvl>
    <w:lvl w:ilvl="2" w:tplc="0F5EED14" w:tentative="1">
      <w:start w:val="1"/>
      <w:numFmt w:val="bullet"/>
      <w:lvlText w:val="•"/>
      <w:lvlJc w:val="left"/>
      <w:pPr>
        <w:tabs>
          <w:tab w:val="num" w:pos="2160"/>
        </w:tabs>
        <w:ind w:left="2160" w:hanging="360"/>
      </w:pPr>
      <w:rPr>
        <w:rFonts w:ascii="Arial" w:hAnsi="Arial" w:hint="default"/>
      </w:rPr>
    </w:lvl>
    <w:lvl w:ilvl="3" w:tplc="AEE07A64" w:tentative="1">
      <w:start w:val="1"/>
      <w:numFmt w:val="bullet"/>
      <w:lvlText w:val="•"/>
      <w:lvlJc w:val="left"/>
      <w:pPr>
        <w:tabs>
          <w:tab w:val="num" w:pos="2880"/>
        </w:tabs>
        <w:ind w:left="2880" w:hanging="360"/>
      </w:pPr>
      <w:rPr>
        <w:rFonts w:ascii="Arial" w:hAnsi="Arial" w:hint="default"/>
      </w:rPr>
    </w:lvl>
    <w:lvl w:ilvl="4" w:tplc="B1268E7C" w:tentative="1">
      <w:start w:val="1"/>
      <w:numFmt w:val="bullet"/>
      <w:lvlText w:val="•"/>
      <w:lvlJc w:val="left"/>
      <w:pPr>
        <w:tabs>
          <w:tab w:val="num" w:pos="3600"/>
        </w:tabs>
        <w:ind w:left="3600" w:hanging="360"/>
      </w:pPr>
      <w:rPr>
        <w:rFonts w:ascii="Arial" w:hAnsi="Arial" w:hint="default"/>
      </w:rPr>
    </w:lvl>
    <w:lvl w:ilvl="5" w:tplc="B77CC55C" w:tentative="1">
      <w:start w:val="1"/>
      <w:numFmt w:val="bullet"/>
      <w:lvlText w:val="•"/>
      <w:lvlJc w:val="left"/>
      <w:pPr>
        <w:tabs>
          <w:tab w:val="num" w:pos="4320"/>
        </w:tabs>
        <w:ind w:left="4320" w:hanging="360"/>
      </w:pPr>
      <w:rPr>
        <w:rFonts w:ascii="Arial" w:hAnsi="Arial" w:hint="default"/>
      </w:rPr>
    </w:lvl>
    <w:lvl w:ilvl="6" w:tplc="0F405D86" w:tentative="1">
      <w:start w:val="1"/>
      <w:numFmt w:val="bullet"/>
      <w:lvlText w:val="•"/>
      <w:lvlJc w:val="left"/>
      <w:pPr>
        <w:tabs>
          <w:tab w:val="num" w:pos="5040"/>
        </w:tabs>
        <w:ind w:left="5040" w:hanging="360"/>
      </w:pPr>
      <w:rPr>
        <w:rFonts w:ascii="Arial" w:hAnsi="Arial" w:hint="default"/>
      </w:rPr>
    </w:lvl>
    <w:lvl w:ilvl="7" w:tplc="70B8E4C6" w:tentative="1">
      <w:start w:val="1"/>
      <w:numFmt w:val="bullet"/>
      <w:lvlText w:val="•"/>
      <w:lvlJc w:val="left"/>
      <w:pPr>
        <w:tabs>
          <w:tab w:val="num" w:pos="5760"/>
        </w:tabs>
        <w:ind w:left="5760" w:hanging="360"/>
      </w:pPr>
      <w:rPr>
        <w:rFonts w:ascii="Arial" w:hAnsi="Arial" w:hint="default"/>
      </w:rPr>
    </w:lvl>
    <w:lvl w:ilvl="8" w:tplc="0C1876B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D168C8"/>
    <w:multiLevelType w:val="multilevel"/>
    <w:tmpl w:val="3A0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672959"/>
    <w:multiLevelType w:val="hybridMultilevel"/>
    <w:tmpl w:val="8DEC11C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67D61FF"/>
    <w:multiLevelType w:val="hybridMultilevel"/>
    <w:tmpl w:val="9F9A77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44679C"/>
    <w:multiLevelType w:val="hybridMultilevel"/>
    <w:tmpl w:val="15CC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412C51"/>
    <w:multiLevelType w:val="hybridMultilevel"/>
    <w:tmpl w:val="B80E7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FF47D77"/>
    <w:multiLevelType w:val="multilevel"/>
    <w:tmpl w:val="91607DA0"/>
    <w:lvl w:ilvl="0">
      <w:start w:val="1"/>
      <w:numFmt w:val="arabicAlpha"/>
      <w:lvlText w:val="%1-"/>
      <w:lvlJc w:val="center"/>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49" w15:restartNumberingAfterBreak="0">
    <w:nsid w:val="7FF6671F"/>
    <w:multiLevelType w:val="hybridMultilevel"/>
    <w:tmpl w:val="FEBAF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1"/>
  </w:num>
  <w:num w:numId="3">
    <w:abstractNumId w:val="11"/>
  </w:num>
  <w:num w:numId="4">
    <w:abstractNumId w:val="0"/>
  </w:num>
  <w:num w:numId="5">
    <w:abstractNumId w:val="35"/>
  </w:num>
  <w:num w:numId="6">
    <w:abstractNumId w:val="6"/>
  </w:num>
  <w:num w:numId="7">
    <w:abstractNumId w:val="2"/>
  </w:num>
  <w:num w:numId="8">
    <w:abstractNumId w:val="7"/>
  </w:num>
  <w:num w:numId="9">
    <w:abstractNumId w:val="28"/>
  </w:num>
  <w:num w:numId="10">
    <w:abstractNumId w:val="27"/>
  </w:num>
  <w:num w:numId="11">
    <w:abstractNumId w:val="8"/>
  </w:num>
  <w:num w:numId="12">
    <w:abstractNumId w:val="18"/>
  </w:num>
  <w:num w:numId="13">
    <w:abstractNumId w:val="17"/>
  </w:num>
  <w:num w:numId="14">
    <w:abstractNumId w:val="16"/>
  </w:num>
  <w:num w:numId="15">
    <w:abstractNumId w:val="30"/>
  </w:num>
  <w:num w:numId="16">
    <w:abstractNumId w:val="26"/>
  </w:num>
  <w:num w:numId="17">
    <w:abstractNumId w:val="15"/>
  </w:num>
  <w:num w:numId="18">
    <w:abstractNumId w:val="47"/>
  </w:num>
  <w:num w:numId="19">
    <w:abstractNumId w:val="25"/>
  </w:num>
  <w:num w:numId="20">
    <w:abstractNumId w:val="21"/>
  </w:num>
  <w:num w:numId="21">
    <w:abstractNumId w:val="1"/>
  </w:num>
  <w:num w:numId="22">
    <w:abstractNumId w:val="14"/>
  </w:num>
  <w:num w:numId="23">
    <w:abstractNumId w:val="29"/>
  </w:num>
  <w:num w:numId="24">
    <w:abstractNumId w:val="42"/>
  </w:num>
  <w:num w:numId="25">
    <w:abstractNumId w:val="31"/>
  </w:num>
  <w:num w:numId="26">
    <w:abstractNumId w:val="45"/>
  </w:num>
  <w:num w:numId="27">
    <w:abstractNumId w:val="23"/>
  </w:num>
  <w:num w:numId="28">
    <w:abstractNumId w:val="12"/>
  </w:num>
  <w:num w:numId="29">
    <w:abstractNumId w:val="34"/>
  </w:num>
  <w:num w:numId="30">
    <w:abstractNumId w:val="44"/>
  </w:num>
  <w:num w:numId="31">
    <w:abstractNumId w:val="43"/>
  </w:num>
  <w:num w:numId="32">
    <w:abstractNumId w:val="4"/>
  </w:num>
  <w:num w:numId="33">
    <w:abstractNumId w:val="19"/>
  </w:num>
  <w:num w:numId="34">
    <w:abstractNumId w:val="20"/>
  </w:num>
  <w:num w:numId="35">
    <w:abstractNumId w:val="36"/>
  </w:num>
  <w:num w:numId="36">
    <w:abstractNumId w:val="48"/>
  </w:num>
  <w:num w:numId="37">
    <w:abstractNumId w:val="46"/>
  </w:num>
  <w:num w:numId="38">
    <w:abstractNumId w:val="22"/>
  </w:num>
  <w:num w:numId="39">
    <w:abstractNumId w:val="32"/>
  </w:num>
  <w:num w:numId="40">
    <w:abstractNumId w:val="39"/>
  </w:num>
  <w:num w:numId="41">
    <w:abstractNumId w:val="49"/>
  </w:num>
  <w:num w:numId="42">
    <w:abstractNumId w:val="38"/>
  </w:num>
  <w:num w:numId="43">
    <w:abstractNumId w:val="24"/>
  </w:num>
  <w:num w:numId="44">
    <w:abstractNumId w:val="33"/>
  </w:num>
  <w:num w:numId="45">
    <w:abstractNumId w:val="37"/>
  </w:num>
  <w:num w:numId="46">
    <w:abstractNumId w:val="9"/>
  </w:num>
  <w:num w:numId="47">
    <w:abstractNumId w:val="10"/>
  </w:num>
  <w:num w:numId="48">
    <w:abstractNumId w:val="40"/>
  </w:num>
  <w:num w:numId="49">
    <w:abstractNumId w:val="5"/>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5D0D"/>
    <w:rsid w:val="0003047E"/>
    <w:rsid w:val="000328B8"/>
    <w:rsid w:val="00035E5B"/>
    <w:rsid w:val="0003624C"/>
    <w:rsid w:val="00036805"/>
    <w:rsid w:val="00037D3C"/>
    <w:rsid w:val="00044D93"/>
    <w:rsid w:val="00051D74"/>
    <w:rsid w:val="00055954"/>
    <w:rsid w:val="00056C52"/>
    <w:rsid w:val="00061628"/>
    <w:rsid w:val="00082BF2"/>
    <w:rsid w:val="00084EB7"/>
    <w:rsid w:val="000916B0"/>
    <w:rsid w:val="00092BEE"/>
    <w:rsid w:val="000A2386"/>
    <w:rsid w:val="000C7B64"/>
    <w:rsid w:val="000D327A"/>
    <w:rsid w:val="000D59F9"/>
    <w:rsid w:val="000E07B7"/>
    <w:rsid w:val="000E60AF"/>
    <w:rsid w:val="000E723C"/>
    <w:rsid w:val="001009FB"/>
    <w:rsid w:val="00100C7F"/>
    <w:rsid w:val="00104969"/>
    <w:rsid w:val="001142D3"/>
    <w:rsid w:val="00122395"/>
    <w:rsid w:val="00125BA7"/>
    <w:rsid w:val="00132504"/>
    <w:rsid w:val="00152648"/>
    <w:rsid w:val="001701AC"/>
    <w:rsid w:val="00181424"/>
    <w:rsid w:val="00184E6C"/>
    <w:rsid w:val="00185576"/>
    <w:rsid w:val="00190DCA"/>
    <w:rsid w:val="001A533E"/>
    <w:rsid w:val="001A5D3B"/>
    <w:rsid w:val="001C0636"/>
    <w:rsid w:val="001C1505"/>
    <w:rsid w:val="001D3C9C"/>
    <w:rsid w:val="001D4365"/>
    <w:rsid w:val="001F0E67"/>
    <w:rsid w:val="001F60F6"/>
    <w:rsid w:val="0020169F"/>
    <w:rsid w:val="00212302"/>
    <w:rsid w:val="00212752"/>
    <w:rsid w:val="00222585"/>
    <w:rsid w:val="00224153"/>
    <w:rsid w:val="00227FF9"/>
    <w:rsid w:val="0023028C"/>
    <w:rsid w:val="0024230D"/>
    <w:rsid w:val="00254612"/>
    <w:rsid w:val="002571A9"/>
    <w:rsid w:val="002632AC"/>
    <w:rsid w:val="002660A5"/>
    <w:rsid w:val="00275261"/>
    <w:rsid w:val="00275777"/>
    <w:rsid w:val="00282B19"/>
    <w:rsid w:val="00292014"/>
    <w:rsid w:val="00297EE6"/>
    <w:rsid w:val="002A50DB"/>
    <w:rsid w:val="002A65EE"/>
    <w:rsid w:val="002B1505"/>
    <w:rsid w:val="002B1D5C"/>
    <w:rsid w:val="002B6D88"/>
    <w:rsid w:val="002C01EA"/>
    <w:rsid w:val="002C64F5"/>
    <w:rsid w:val="002D227D"/>
    <w:rsid w:val="002E2B29"/>
    <w:rsid w:val="002E5806"/>
    <w:rsid w:val="002E6F1E"/>
    <w:rsid w:val="002F56A4"/>
    <w:rsid w:val="0030528A"/>
    <w:rsid w:val="003076A6"/>
    <w:rsid w:val="00307F25"/>
    <w:rsid w:val="0031602B"/>
    <w:rsid w:val="00323275"/>
    <w:rsid w:val="00332C9C"/>
    <w:rsid w:val="003347EB"/>
    <w:rsid w:val="00336846"/>
    <w:rsid w:val="00344896"/>
    <w:rsid w:val="003522B4"/>
    <w:rsid w:val="0035694D"/>
    <w:rsid w:val="00362B79"/>
    <w:rsid w:val="00370642"/>
    <w:rsid w:val="00373669"/>
    <w:rsid w:val="00377089"/>
    <w:rsid w:val="003819F3"/>
    <w:rsid w:val="003915EA"/>
    <w:rsid w:val="00391CE1"/>
    <w:rsid w:val="003957AC"/>
    <w:rsid w:val="003A27DC"/>
    <w:rsid w:val="003A4369"/>
    <w:rsid w:val="003A69C7"/>
    <w:rsid w:val="003A72FB"/>
    <w:rsid w:val="003B182E"/>
    <w:rsid w:val="003D13A5"/>
    <w:rsid w:val="003D4320"/>
    <w:rsid w:val="003D75CD"/>
    <w:rsid w:val="003E662B"/>
    <w:rsid w:val="003F2C26"/>
    <w:rsid w:val="003F3C0F"/>
    <w:rsid w:val="004024BF"/>
    <w:rsid w:val="00402BDA"/>
    <w:rsid w:val="00405DF3"/>
    <w:rsid w:val="00410DBD"/>
    <w:rsid w:val="00423B77"/>
    <w:rsid w:val="00424547"/>
    <w:rsid w:val="004369B6"/>
    <w:rsid w:val="00436AC6"/>
    <w:rsid w:val="0044146F"/>
    <w:rsid w:val="0045639B"/>
    <w:rsid w:val="00461A4C"/>
    <w:rsid w:val="00465637"/>
    <w:rsid w:val="00480692"/>
    <w:rsid w:val="00496360"/>
    <w:rsid w:val="004A0B64"/>
    <w:rsid w:val="004A20AA"/>
    <w:rsid w:val="004C0229"/>
    <w:rsid w:val="004D57BD"/>
    <w:rsid w:val="004F072C"/>
    <w:rsid w:val="004F591B"/>
    <w:rsid w:val="00502782"/>
    <w:rsid w:val="00505758"/>
    <w:rsid w:val="005076B2"/>
    <w:rsid w:val="005118E5"/>
    <w:rsid w:val="00512E63"/>
    <w:rsid w:val="00513408"/>
    <w:rsid w:val="00520F03"/>
    <w:rsid w:val="00537F4D"/>
    <w:rsid w:val="00542366"/>
    <w:rsid w:val="00542C8C"/>
    <w:rsid w:val="00544C98"/>
    <w:rsid w:val="005503DE"/>
    <w:rsid w:val="005506F9"/>
    <w:rsid w:val="005518CA"/>
    <w:rsid w:val="00564AAF"/>
    <w:rsid w:val="00566E72"/>
    <w:rsid w:val="0057361B"/>
    <w:rsid w:val="005803B1"/>
    <w:rsid w:val="00585840"/>
    <w:rsid w:val="00585FAC"/>
    <w:rsid w:val="005A0643"/>
    <w:rsid w:val="005A1C25"/>
    <w:rsid w:val="005A4F05"/>
    <w:rsid w:val="005D62DF"/>
    <w:rsid w:val="005E771F"/>
    <w:rsid w:val="006049B7"/>
    <w:rsid w:val="00617052"/>
    <w:rsid w:val="00621286"/>
    <w:rsid w:val="0063343A"/>
    <w:rsid w:val="006368A1"/>
    <w:rsid w:val="00656F4C"/>
    <w:rsid w:val="00662631"/>
    <w:rsid w:val="00663A7E"/>
    <w:rsid w:val="00665FBA"/>
    <w:rsid w:val="006A7286"/>
    <w:rsid w:val="006A7BEC"/>
    <w:rsid w:val="006B126E"/>
    <w:rsid w:val="006B7903"/>
    <w:rsid w:val="006E28E3"/>
    <w:rsid w:val="006E3F93"/>
    <w:rsid w:val="006F2EF6"/>
    <w:rsid w:val="00703104"/>
    <w:rsid w:val="00707F16"/>
    <w:rsid w:val="007234ED"/>
    <w:rsid w:val="0072496D"/>
    <w:rsid w:val="00732E2D"/>
    <w:rsid w:val="00733581"/>
    <w:rsid w:val="00750FF7"/>
    <w:rsid w:val="00766D67"/>
    <w:rsid w:val="00772D35"/>
    <w:rsid w:val="00777BCB"/>
    <w:rsid w:val="007847A8"/>
    <w:rsid w:val="007B5969"/>
    <w:rsid w:val="007B684F"/>
    <w:rsid w:val="007B6D22"/>
    <w:rsid w:val="007C08A5"/>
    <w:rsid w:val="007C43D1"/>
    <w:rsid w:val="007C63F8"/>
    <w:rsid w:val="007E3D13"/>
    <w:rsid w:val="007E62E7"/>
    <w:rsid w:val="007E6F2B"/>
    <w:rsid w:val="007F1EFC"/>
    <w:rsid w:val="007F2C3C"/>
    <w:rsid w:val="007F662A"/>
    <w:rsid w:val="007F6C80"/>
    <w:rsid w:val="00800E05"/>
    <w:rsid w:val="00810C30"/>
    <w:rsid w:val="008120ED"/>
    <w:rsid w:val="00812B2C"/>
    <w:rsid w:val="0081362E"/>
    <w:rsid w:val="00832627"/>
    <w:rsid w:val="0083463A"/>
    <w:rsid w:val="00845959"/>
    <w:rsid w:val="00861030"/>
    <w:rsid w:val="0089262F"/>
    <w:rsid w:val="008A0930"/>
    <w:rsid w:val="008A2DDF"/>
    <w:rsid w:val="008A30BC"/>
    <w:rsid w:val="008A656A"/>
    <w:rsid w:val="008B06A9"/>
    <w:rsid w:val="008C3BC4"/>
    <w:rsid w:val="008C3C6D"/>
    <w:rsid w:val="008C638A"/>
    <w:rsid w:val="008C6A58"/>
    <w:rsid w:val="008D14D9"/>
    <w:rsid w:val="008D16F8"/>
    <w:rsid w:val="008D3F34"/>
    <w:rsid w:val="008D7BB9"/>
    <w:rsid w:val="008E25EB"/>
    <w:rsid w:val="00906D56"/>
    <w:rsid w:val="0091491C"/>
    <w:rsid w:val="00923BEC"/>
    <w:rsid w:val="00931B85"/>
    <w:rsid w:val="00937F3C"/>
    <w:rsid w:val="00953DC2"/>
    <w:rsid w:val="00957446"/>
    <w:rsid w:val="009633D5"/>
    <w:rsid w:val="00974EEC"/>
    <w:rsid w:val="00983D21"/>
    <w:rsid w:val="00984B1D"/>
    <w:rsid w:val="00995143"/>
    <w:rsid w:val="00995A70"/>
    <w:rsid w:val="00997171"/>
    <w:rsid w:val="009A00A3"/>
    <w:rsid w:val="009A4EC4"/>
    <w:rsid w:val="009A6C58"/>
    <w:rsid w:val="009B2799"/>
    <w:rsid w:val="009B3E68"/>
    <w:rsid w:val="009D2494"/>
    <w:rsid w:val="009D2C37"/>
    <w:rsid w:val="009E5F19"/>
    <w:rsid w:val="009F6631"/>
    <w:rsid w:val="00A00986"/>
    <w:rsid w:val="00A018C5"/>
    <w:rsid w:val="00A06CDC"/>
    <w:rsid w:val="00A16743"/>
    <w:rsid w:val="00A31AF3"/>
    <w:rsid w:val="00A33B26"/>
    <w:rsid w:val="00A474D1"/>
    <w:rsid w:val="00A52F2C"/>
    <w:rsid w:val="00A54FCB"/>
    <w:rsid w:val="00A608AB"/>
    <w:rsid w:val="00A67433"/>
    <w:rsid w:val="00A710CF"/>
    <w:rsid w:val="00A92274"/>
    <w:rsid w:val="00A92551"/>
    <w:rsid w:val="00A96871"/>
    <w:rsid w:val="00AA4B37"/>
    <w:rsid w:val="00AB32EA"/>
    <w:rsid w:val="00AC7DC8"/>
    <w:rsid w:val="00AF7D89"/>
    <w:rsid w:val="00B003EE"/>
    <w:rsid w:val="00B03973"/>
    <w:rsid w:val="00B15BC1"/>
    <w:rsid w:val="00B16C38"/>
    <w:rsid w:val="00B23D4A"/>
    <w:rsid w:val="00B242CC"/>
    <w:rsid w:val="00B427D5"/>
    <w:rsid w:val="00B643A0"/>
    <w:rsid w:val="00B66E70"/>
    <w:rsid w:val="00B7074C"/>
    <w:rsid w:val="00B70862"/>
    <w:rsid w:val="00B8172A"/>
    <w:rsid w:val="00B84459"/>
    <w:rsid w:val="00B87FC5"/>
    <w:rsid w:val="00BA6649"/>
    <w:rsid w:val="00BE29E9"/>
    <w:rsid w:val="00C032AC"/>
    <w:rsid w:val="00C04D40"/>
    <w:rsid w:val="00C051FB"/>
    <w:rsid w:val="00C20469"/>
    <w:rsid w:val="00C371FE"/>
    <w:rsid w:val="00C4146C"/>
    <w:rsid w:val="00C4783E"/>
    <w:rsid w:val="00C519C5"/>
    <w:rsid w:val="00C52A77"/>
    <w:rsid w:val="00C616F2"/>
    <w:rsid w:val="00C74A59"/>
    <w:rsid w:val="00C77D3D"/>
    <w:rsid w:val="00C77FD7"/>
    <w:rsid w:val="00C85DB8"/>
    <w:rsid w:val="00C91B56"/>
    <w:rsid w:val="00C91FFD"/>
    <w:rsid w:val="00C92A71"/>
    <w:rsid w:val="00CA369B"/>
    <w:rsid w:val="00CB01E1"/>
    <w:rsid w:val="00CB4143"/>
    <w:rsid w:val="00CB478E"/>
    <w:rsid w:val="00CB4F86"/>
    <w:rsid w:val="00CC033C"/>
    <w:rsid w:val="00CC1672"/>
    <w:rsid w:val="00CC191F"/>
    <w:rsid w:val="00CD23D5"/>
    <w:rsid w:val="00CE2E9F"/>
    <w:rsid w:val="00CF277B"/>
    <w:rsid w:val="00D01C15"/>
    <w:rsid w:val="00D027C3"/>
    <w:rsid w:val="00D156E7"/>
    <w:rsid w:val="00D25CFE"/>
    <w:rsid w:val="00D27B1C"/>
    <w:rsid w:val="00D32493"/>
    <w:rsid w:val="00D379F7"/>
    <w:rsid w:val="00D46654"/>
    <w:rsid w:val="00D55B89"/>
    <w:rsid w:val="00D624D0"/>
    <w:rsid w:val="00D62744"/>
    <w:rsid w:val="00D73E7F"/>
    <w:rsid w:val="00D7774B"/>
    <w:rsid w:val="00D82061"/>
    <w:rsid w:val="00D851F3"/>
    <w:rsid w:val="00D854CD"/>
    <w:rsid w:val="00D867DB"/>
    <w:rsid w:val="00D92373"/>
    <w:rsid w:val="00D9499A"/>
    <w:rsid w:val="00D971D0"/>
    <w:rsid w:val="00DB0AFE"/>
    <w:rsid w:val="00DB268D"/>
    <w:rsid w:val="00DD4365"/>
    <w:rsid w:val="00DD45AE"/>
    <w:rsid w:val="00DE6E24"/>
    <w:rsid w:val="00DF1BC3"/>
    <w:rsid w:val="00E109DE"/>
    <w:rsid w:val="00E37040"/>
    <w:rsid w:val="00E63B00"/>
    <w:rsid w:val="00E72D63"/>
    <w:rsid w:val="00E75829"/>
    <w:rsid w:val="00E97F92"/>
    <w:rsid w:val="00EA2C91"/>
    <w:rsid w:val="00EA6995"/>
    <w:rsid w:val="00EC449C"/>
    <w:rsid w:val="00EC6AA2"/>
    <w:rsid w:val="00ED2595"/>
    <w:rsid w:val="00ED4D67"/>
    <w:rsid w:val="00EF512C"/>
    <w:rsid w:val="00EF73E8"/>
    <w:rsid w:val="00EF7E49"/>
    <w:rsid w:val="00F0024A"/>
    <w:rsid w:val="00F03CDB"/>
    <w:rsid w:val="00F37A72"/>
    <w:rsid w:val="00F45F21"/>
    <w:rsid w:val="00F65659"/>
    <w:rsid w:val="00F66946"/>
    <w:rsid w:val="00F672E5"/>
    <w:rsid w:val="00F72111"/>
    <w:rsid w:val="00F76D05"/>
    <w:rsid w:val="00F9026C"/>
    <w:rsid w:val="00FA1C9B"/>
    <w:rsid w:val="00FA29AE"/>
    <w:rsid w:val="00FA3D30"/>
    <w:rsid w:val="00FD21D6"/>
    <w:rsid w:val="00FD4017"/>
    <w:rsid w:val="00FE11CA"/>
    <w:rsid w:val="00FE1F42"/>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D5C3DDC"/>
  <w15:chartTrackingRefBased/>
  <w15:docId w15:val="{F1CDAAA6-CB0B-4FC8-B4B5-8107D954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73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1917090549">
          <w:marLeft w:val="0"/>
          <w:marRight w:val="0"/>
          <w:marTop w:val="0"/>
          <w:marBottom w:val="0"/>
          <w:divBdr>
            <w:top w:val="none" w:sz="0" w:space="0" w:color="auto"/>
            <w:left w:val="none" w:sz="0" w:space="0" w:color="auto"/>
            <w:bottom w:val="none" w:sz="0" w:space="0" w:color="auto"/>
            <w:right w:val="none" w:sz="0" w:space="0" w:color="auto"/>
          </w:divBdr>
        </w:div>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4851</Words>
  <Characters>27656</Characters>
  <Application>Microsoft Office Word</Application>
  <DocSecurity>0</DocSecurity>
  <Lines>230</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Majed A. Hilal</cp:lastModifiedBy>
  <cp:revision>2</cp:revision>
  <dcterms:created xsi:type="dcterms:W3CDTF">2026-01-01T09:36:00Z</dcterms:created>
  <dcterms:modified xsi:type="dcterms:W3CDTF">2026-01-01T09:36:00Z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