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733F8" w14:textId="77777777" w:rsidR="001B3E70" w:rsidRDefault="00000000">
      <w:pPr>
        <w:spacing w:before="120" w:after="120" w:line="276" w:lineRule="auto"/>
        <w:jc w:val="center"/>
      </w:pPr>
      <w:r>
        <w:rPr>
          <w:rFonts w:ascii="Times New Roman" w:hAnsi="Times New Roman" w:eastAsia="Times New Roman"/>
          <w:b/>
          <w:bCs/>
          <w:color w:val="000000"/>
          <w:sz w:val="32"/>
          <w:szCs w:val="32"/>
        </w:rPr>
        <w:t>From Precision Tools to Governed Clinical Services: A Scoping Review of Health-System Conditions for Implementing Precision Medicine, and a GCC-Adaptable Readiness Framework</w:t>
      </w:r>
    </w:p>
    <w:p w14:paraId="48A193A0" w14:textId="77777777" w:rsidR="001B3E70" w:rsidRDefault="00000000">
      <w:pPr>
        <w:bidi/>
        <w:spacing w:before="40" w:after="120" w:line="276" w:lineRule="auto"/>
        <w:jc w:val="center"/>
      </w:pPr>
      <w:r>
        <w:rPr>
          <w:rFonts w:ascii="Times New Roman" w:eastAsia="Times New Roman" w:hAnsi="Times New Roman" w:cs="Simplified Arabic"/>
          <w:b/>
          <w:bCs/>
          <w:color w:val="000000"/>
          <w:sz w:val="28"/>
          <w:szCs w:val="32"/>
          <w:rtl/>
        </w:rPr>
        <w:t>من الأدوات الدقيقة إلى الخدمات السريرية المحوكمة: مراجعة نطاقية لشروط النظم الصحية لتطبيق الطب الدقيق وإطار جاهزية قابل للتكييف لدول مجلس التعاون الخليجي</w:t>
      </w:r>
    </w:p>
    <w:p w14:paraId="79A9357E" w14:textId="77777777" w:rsidR="001B3E70" w:rsidRDefault="00000000">
      <w:pPr>
        <w:spacing w:before="100" w:after="120" w:line="276" w:lineRule="auto"/>
        <w:jc w:val="center"/>
      </w:pPr>
      <w:r>
        <w:rPr>
          <w:rFonts w:ascii="Times New Roman" w:hAnsi="Times New Roman" w:eastAsia="Times New Roman"/>
          <w:b/>
          <w:bCs/>
          <w:color w:val="000000"/>
          <w:sz w:val="24"/>
          <w:szCs w:val="24"/>
        </w:rPr>
        <w:t>Almokhtar Aljarodi</w:t>
      </w:r>
    </w:p>
    <w:p w14:paraId="6B7610D7" w14:textId="77777777" w:rsidR="001B3E70" w:rsidRDefault="00000000">
      <w:pPr>
        <w:bidi/>
        <w:spacing w:after="120" w:line="276" w:lineRule="auto"/>
        <w:jc w:val="center"/>
      </w:pPr>
      <w:r>
        <w:rPr>
          <w:rFonts w:ascii="Times New Roman" w:eastAsia="Times New Roman" w:hAnsi="Times New Roman" w:cs="Simplified Arabic"/>
          <w:b/>
          <w:bCs/>
          <w:color w:val="000000"/>
          <w:sz w:val="24"/>
          <w:szCs w:val="24"/>
          <w:rtl/>
        </w:rPr>
        <w:t>المختار الجارودي</w:t>
      </w:r>
    </w:p>
    <w:p w14:paraId="2B7101DE" w14:textId="77777777" w:rsidR="001B3E70" w:rsidRDefault="00000000">
      <w:pPr>
        <w:spacing w:after="120" w:line="276" w:lineRule="auto"/>
        <w:jc w:val="center"/>
      </w:pPr>
      <w:r>
        <w:rPr>
          <w:rFonts w:ascii="Times New Roman" w:hAnsi="Times New Roman" w:eastAsia="Times New Roman"/>
          <w:color w:val="000000"/>
          <w:sz w:val="24"/>
          <w:szCs w:val="22"/>
        </w:rPr>
        <w:t xml:space="preserve">ORCID: </w:t>
      </w:r>
      <w:hyperlink r:id="rId8" w:history="1">
        <w:r>
          <w:rPr>
            <w:color w:val="1155CC"/>
            <w:sz w:val="22"/>
            <w:szCs w:val="22"/>
            <w:u w:val="single"/>
          </w:rPr>
          <w:t>https://orcid.org/0009-0000-4431-101X</w:t>
        </w:r>
      </w:hyperlink>
    </w:p>
    <w:p w14:paraId="29615B92" w14:textId="77777777" w:rsidR="001B3E70" w:rsidRDefault="00000000">
      <w:pPr>
        <w:spacing w:after="120" w:line="276" w:lineRule="auto"/>
        <w:jc w:val="center"/>
      </w:pPr>
      <w:r>
        <w:rPr>
          <w:rFonts w:ascii="Times New Roman" w:hAnsi="Times New Roman" w:eastAsia="Times New Roman"/>
          <w:color w:val="000000"/>
          <w:sz w:val="24"/>
          <w:szCs w:val="22"/>
        </w:rPr>
        <w:t>Master of Health Administration (MHA) Candidate – College of Management – Midocean University – Saudi Arabia</w:t>
      </w:r>
    </w:p>
    <w:p w14:paraId="1702B32D" w14:textId="77777777" w:rsidR="001B3E70" w:rsidRDefault="00000000">
      <w:pPr>
        <w:bidi/>
        <w:spacing w:after="120" w:line="276" w:lineRule="auto"/>
        <w:jc w:val="center"/>
      </w:pPr>
      <w:r>
        <w:rPr>
          <w:rFonts w:ascii="Times New Roman" w:eastAsia="Times New Roman" w:hAnsi="Times New Roman" w:cs="Simplified Arabic"/>
          <w:color w:val="000000"/>
          <w:sz w:val="24"/>
          <w:szCs w:val="22"/>
          <w:rtl/>
        </w:rPr>
        <w:t>مرشح لنيل درجة الماجستير في إدارة الرعاية الصحية (MHA) – كلية الإدارة – جامعة ميدأوشن – المملكة العربية السعودية</w:t>
      </w:r>
    </w:p>
    <w:p w14:paraId="5DA09598" w14:textId="77777777" w:rsidR="001B3E70" w:rsidRDefault="00000000">
      <w:pPr>
        <w:spacing w:after="120" w:line="276" w:lineRule="auto"/>
        <w:jc w:val="center"/>
      </w:pPr>
      <w:r>
        <w:rPr>
          <w:rFonts w:ascii="Times New Roman" w:hAnsi="Times New Roman" w:eastAsia="Times New Roman"/>
          <w:color w:val="000000"/>
          <w:sz w:val="24"/>
          <w:szCs w:val="22"/>
        </w:rPr>
        <w:t>Institutional email: 253001640@st.midocean.edu.km</w:t>
      </w:r>
    </w:p>
    <w:p w14:paraId="7497D6A9" w14:textId="77777777" w:rsidR="001B3E70" w:rsidRDefault="00000000">
      <w:pPr>
        <w:spacing w:after="120" w:line="276" w:lineRule="auto"/>
        <w:jc w:val="center"/>
      </w:pPr>
      <w:r>
        <w:rPr>
          <w:rFonts w:ascii="Times New Roman" w:hAnsi="Times New Roman" w:eastAsia="Times New Roman"/>
          <w:color w:val="000000"/>
          <w:sz w:val="24"/>
          <w:szCs w:val="22"/>
        </w:rPr>
        <w:t>Corresponding / personal email: almokhtaraljarodi@gmail.com</w:t>
      </w:r>
    </w:p>
    <w:p w14:paraId="00130790" w14:textId="77777777" w:rsidR="001B3E70" w:rsidRDefault="00000000">
      <w:pPr>
        <w:spacing w:after="120" w:line="276" w:lineRule="auto"/>
        <w:jc w:val="center"/>
      </w:pPr>
      <w:r>
        <w:rPr>
          <w:rFonts w:ascii="Times New Roman" w:hAnsi="Times New Roman" w:eastAsia="Times New Roman"/>
          <w:i/>
          <w:iCs/>
          <w:color w:val="000000"/>
          <w:sz w:val="24"/>
          <w:szCs w:val="22"/>
        </w:rPr>
        <w:t xml:space="preserve">Supervisors: Prof. Alfaisal Abdelhameed Mohamed; Prof. Fayez Ali Jrad</w:t>
      </w:r>
    </w:p>
    <w:p>
      <w:pPr>
        <w:pStyle w:val="Heading1"/>
        <w:keepNext/>
        <w:pageBreakBefore/>
        <w:spacing w:after="240"/>
      </w:pPr>
      <w:r>
        <w:rPr>
          <w:rFonts w:ascii="Times New Roman" w:hAnsi="Times New Roman" w:eastAsia="Times New Roman"/>
          <w:b/>
          <w:sz w:val="32"/>
        </w:rPr>
        <w:t>Chapter One: Introduction and Theoretical Framework</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 Introduction</w:t>
      </w:r>
    </w:p>
    <w:p>
      <w:pPr>
        <w:spacing w:before="60" w:after="120" w:line="276" w:lineRule="auto"/>
        <w:ind w:firstLine="284"/>
        <w:jc w:val="both"/>
      </w:pPr>
      <w:r>
        <w:rPr>
          <w:rFonts w:ascii="Times New Roman" w:hAnsi="Times New Roman" w:eastAsia="Times New Roman"/>
          <w:color w:val="000000"/>
          <w:sz w:val="24"/>
          <w:szCs w:val="24"/>
        </w:rPr>
        <w:t xml:space="preserve">Precision medicine proceeds from a durable clinical insight: patients differ in genetically and biologically meaningful ways, and those differences should inform how they are diagnosed and treated. The category is broad. It includes pharmacogenomics and pharmacogenetics, clinical and rare-disease genomic sequencing, precision oncology and molecular diagnostics, biomarker-guided care, multimodal approaches that combine genomic, clinical, laboratory, and imaging data, validated clinical artificial intelligence and risk-prediction tools, and preventive or wellness-oriented personalized services. What unites these is not a single technology but a claim: that a more precise characterization of the patient can be turned into a better decision.</w:t>
      </w:r>
    </w:p>
    <w:p>
      <w:pPr>
        <w:spacing w:before="60" w:after="120" w:line="276" w:lineRule="auto"/>
        <w:ind w:firstLine="284"/>
        <w:jc w:val="both"/>
      </w:pPr>
      <w:r>
        <w:rPr>
          <w:rFonts w:ascii="Times New Roman" w:hAnsi="Times New Roman" w:eastAsia="Times New Roman"/>
          <w:color w:val="000000"/>
          <w:sz w:val="24"/>
          <w:szCs w:val="24"/>
        </w:rPr>
        <w:t xml:space="preserve">The scientific case for that claim is comparatively mature. The organizational case is not. Turning a precision tool into routine care requires far more than a laboratory result or a model output. It requires someone accountable for the decision, a workflow that delivers the result to the right clinician at the right moment, an information system that stores and re-uses long-lived data, a workforce that can interpret and act, a financing model that survives beyond a pilot grant, and safeguards for consent, privacy, equity, and ancestry representation. These are administrative and managerial problems, and they sit squarely within the remit of health-system leadership.</w:t>
      </w:r>
    </w:p>
    <w:p>
      <w:pPr>
        <w:spacing w:before="60" w:after="120" w:line="276" w:lineRule="auto"/>
        <w:ind w:firstLine="284"/>
        <w:jc w:val="both"/>
      </w:pPr>
      <w:r>
        <w:rPr>
          <w:rFonts w:ascii="Times New Roman" w:hAnsi="Times New Roman" w:eastAsia="Times New Roman"/>
          <w:color w:val="000000"/>
          <w:sz w:val="24"/>
          <w:szCs w:val="24"/>
        </w:rPr>
        <w:t xml:space="preserve">This distinction between scientific validity and organizational deliverability is the orienting idea of the present study. A genomic test may be analytically accurate, clinically valid, and supported by published trial evidence, and still fail to alter a single prescribing decision in the hospital that purchased it. The failure in such cases is not scientific. It is a failure of the surrounding service: of who was accountable, of where the result was stored, of whether anyone was trained or funded to act on it. Health-system leaders who treat precision medicine as a procurement decision rather than a service-design decision reproduce this failure reliably, and at considerable cost.</w:t>
      </w:r>
    </w:p>
    <w:p>
      <w:pPr>
        <w:spacing w:before="60" w:after="120" w:line="276" w:lineRule="auto"/>
        <w:ind w:firstLine="284"/>
        <w:jc w:val="both"/>
      </w:pPr>
      <w:r>
        <w:rPr>
          <w:rFonts w:ascii="Times New Roman" w:hAnsi="Times New Roman" w:eastAsia="Times New Roman"/>
          <w:color w:val="000000"/>
          <w:sz w:val="24"/>
          <w:szCs w:val="24"/>
        </w:rPr>
        <w:t xml:space="preserve">This chapter therefore builds the theoretical foundation required to examine that problem systematically. It proceeds from the general to the specific. It first defines precision medicine and traces its development, then sets out its principal modalities and the ways those modalities can be classified. It then turns to the second half of the problem, defining implementation as a distinct object of study, reviewing the principal theories and models of implementation science, and examining the concept of organizational readiness on which this study depends. It then presents the seven-domain readiness structure that organizes the research, examines the sources from which implementation barriers arise, describes the stages through which a precision-medicine service is brought into routine use, and closes by situating all of this in the health systems of Saudi Arabia and the Gulf Cooperation Council.</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1.2 Research Problem</w:t>
      </w:r>
    </w:p>
    <w:p>
      <w:pPr>
        <w:spacing w:before="60" w:after="120" w:line="276" w:lineRule="auto"/>
        <w:ind w:firstLine="284"/>
        <w:jc w:val="both"/>
      </w:pPr>
      <w:r>
        <w:rPr>
          <w:rFonts w:ascii="Times New Roman" w:hAnsi="Times New Roman" w:eastAsia="Times New Roman"/>
          <w:color w:val="000000"/>
          <w:sz w:val="24"/>
          <w:szCs w:val="24"/>
        </w:rPr>
        <w:t xml:space="preserve">Precision medicine’s scientific foundations are well established, but the organizational and managerial conditions required to deliver it safely and sustainably inside a health system are not. The problem this study addresses is the absence of consolidated, decision-useful guidance for health-system leaders. The implementation literature is fragmented across modalities, spanning pharmacogenomics, oncology, genomics, and digital and AI-enabled tools; it is growing faster than administrators can synthesize it; and it offers no shared structure for diagnosing organizational readiness before a precision-medicine investment is made.</w:t>
      </w:r>
    </w:p>
    <w:p>
      <w:pPr>
        <w:spacing w:before="60" w:after="120" w:line="276" w:lineRule="auto"/>
        <w:ind w:firstLine="284"/>
        <w:jc w:val="both"/>
      </w:pPr>
      <w:r>
        <w:rPr>
          <w:rFonts w:ascii="Times New Roman" w:hAnsi="Times New Roman" w:eastAsia="Times New Roman"/>
          <w:color w:val="000000"/>
          <w:sz w:val="24"/>
          <w:szCs w:val="24"/>
        </w:rPr>
        <w:t xml:space="preserve">This gap carries a direct cost. Health systems that acquire precision-medicine technologies without first securing governance, workforce capability, interoperable data infrastructure, sustainable financing, and equity safeguards risk producing pilots that demonstrate clinical promise but never reach routine care, wasting scarce resources and delaying benefit to patients. The problem is acute for Saudi Arabia and the wider Gulf Cooperation Council, where genomics and precision medicine have become explicit national strategic priorities, but where local implementation evidence remains thin and existing global guidance was not built with Gulf governance, financing, and population characteristics in mind.</w:t>
      </w:r>
    </w:p>
    <w:p>
      <w:pPr>
        <w:spacing w:before="60" w:after="120" w:line="276" w:lineRule="auto"/>
        <w:ind w:firstLine="284"/>
        <w:jc w:val="both"/>
      </w:pPr>
      <w:r>
        <w:rPr>
          <w:rFonts w:ascii="Times New Roman" w:hAnsi="Times New Roman" w:eastAsia="Times New Roman"/>
          <w:color w:val="000000"/>
          <w:sz w:val="24"/>
          <w:szCs w:val="24"/>
        </w:rPr>
        <w:t xml:space="preserve">The problem can be stated as three connected deficiencies. There is a </w:t>
      </w:r>
      <w:r>
        <w:rPr>
          <w:rFonts w:ascii="Times New Roman" w:hAnsi="Times New Roman" w:eastAsia="Times New Roman"/>
          <w:b/>
          <w:bCs/>
          <w:color w:val="000000"/>
          <w:sz w:val="24"/>
          <w:szCs w:val="24"/>
        </w:rPr>
        <w:t xml:space="preserve">synthesis deficiency</w:t>
      </w:r>
      <w:r>
        <w:rPr>
          <w:rFonts w:ascii="Times New Roman" w:hAnsi="Times New Roman" w:eastAsia="Times New Roman"/>
          <w:color w:val="000000"/>
          <w:sz w:val="24"/>
          <w:szCs w:val="24"/>
        </w:rPr>
        <w:t xml:space="preserve">, in that the evidence on organizational conditions is dispersed across modality-specific literatures that rarely cite one another. There is a </w:t>
      </w:r>
      <w:r>
        <w:rPr>
          <w:rFonts w:ascii="Times New Roman" w:hAnsi="Times New Roman" w:eastAsia="Times New Roman"/>
          <w:b/>
          <w:bCs/>
          <w:color w:val="000000"/>
          <w:sz w:val="24"/>
          <w:szCs w:val="24"/>
        </w:rPr>
        <w:t xml:space="preserve">structural deficiency</w:t>
      </w:r>
      <w:r>
        <w:rPr>
          <w:rFonts w:ascii="Times New Roman" w:hAnsi="Times New Roman" w:eastAsia="Times New Roman"/>
          <w:color w:val="000000"/>
          <w:sz w:val="24"/>
          <w:szCs w:val="24"/>
        </w:rPr>
        <w:t xml:space="preserve">, in that no widely adopted framework organizes those conditions at the level at which a health-system leader must act. And there is a </w:t>
      </w:r>
      <w:r>
        <w:rPr>
          <w:rFonts w:ascii="Times New Roman" w:hAnsi="Times New Roman" w:eastAsia="Times New Roman"/>
          <w:b/>
          <w:bCs/>
          <w:color w:val="000000"/>
          <w:sz w:val="24"/>
          <w:szCs w:val="24"/>
        </w:rPr>
        <w:t xml:space="preserve">contextual deficiency</w:t>
      </w:r>
      <w:r>
        <w:rPr>
          <w:rFonts w:ascii="Times New Roman" w:hAnsi="Times New Roman" w:eastAsia="Times New Roman"/>
          <w:color w:val="000000"/>
          <w:sz w:val="24"/>
          <w:szCs w:val="24"/>
        </w:rPr>
        <w:t xml:space="preserve">, in that what evidence exists is generated overwhelmingly in high-income North American and European systems whose governance, financing, and population characteristics differ materially from those of the Gulf. Addressing these three deficiencies together, rather than any one alone, is the purpose of the present study.</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1.3 Importance of the Study</w:t>
      </w:r>
    </w:p>
    <w:p>
      <w:pPr>
        <w:spacing w:before="60" w:after="120" w:line="276" w:lineRule="auto"/>
        <w:ind w:firstLine="284"/>
        <w:jc w:val="both"/>
      </w:pPr>
      <w:r>
        <w:rPr>
          <w:rFonts w:ascii="Times New Roman" w:hAnsi="Times New Roman" w:eastAsia="Times New Roman"/>
          <w:color w:val="000000"/>
          <w:sz w:val="24"/>
          <w:szCs w:val="24"/>
        </w:rPr>
        <w:t xml:space="preserve">This study is important on two levels. Scientifically, it consolidates a fragmented implementation literature, spanning pharmacogenomics, clinical genomics, precision oncology, digital and AI-enabled tools, and preventive personalized health, into a single, pre-specified seven-domain readiness framework, and it does so using a transparent, auditable screening and charting methodology applied to a substantial evidence base. This contributes a structure that future implementation researchers can test, refine, or revise, rather than another isolated modality-specific review.</w:t>
      </w:r>
    </w:p>
    <w:p>
      <w:pPr>
        <w:spacing w:before="60" w:after="120" w:line="276" w:lineRule="auto"/>
        <w:ind w:firstLine="284"/>
        <w:jc w:val="both"/>
      </w:pPr>
      <w:r>
        <w:rPr>
          <w:rFonts w:ascii="Times New Roman" w:hAnsi="Times New Roman" w:eastAsia="Times New Roman"/>
          <w:color w:val="000000"/>
          <w:sz w:val="24"/>
          <w:szCs w:val="24"/>
        </w:rPr>
        <w:t xml:space="preserve">Practically, the study speaks directly to health-system leaders, policymakers, and clinical administrators who must decide how to invest in precision medicine under conditions of limited local evidence. By identifying which organizational conditions the global literature most and least addresses, by distinguishing observed implementation outcomes from conceptual recommendation, and by translating the synthesis into a staged, adaptable implementation pathway, the study gives Saudi and Gulf health-system leaders a structured starting point for deciding what must be in place, and in what sequence, before a precision-medicine service is commissioned.</w:t>
      </w:r>
    </w:p>
    <w:p>
      <w:pPr>
        <w:spacing w:before="60" w:after="120" w:line="276" w:lineRule="auto"/>
        <w:ind w:firstLine="284"/>
        <w:jc w:val="both"/>
      </w:pPr>
      <w:r>
        <w:rPr>
          <w:rFonts w:ascii="Times New Roman" w:hAnsi="Times New Roman" w:eastAsia="Times New Roman"/>
          <w:color w:val="000000"/>
          <w:sz w:val="24"/>
          <w:szCs w:val="24"/>
        </w:rPr>
        <w:t xml:space="preserve">The study also carries importance for health-administration scholarship more generally. Precision medicine is an unusually demanding test case for implementation theory because it combines four features that rarely occur together: data that is long-lived and intended for re-use across a patient’s lifetime; results whose implications extend to biological relatives; a knowledge base that changes faster than clinical guidelines are revised; and a cost structure in which the test is cheap relative to the service that must surround it. A readiness framework capable of accommodating these features is likely to be informative for other complex health technologies that share some of them.</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1.4 Study Objectives</w:t>
      </w:r>
    </w:p>
    <w:p>
      <w:pPr>
        <w:spacing w:before="60" w:after="120" w:line="276" w:lineRule="auto"/>
        <w:ind w:firstLine="284"/>
        <w:jc w:val="both"/>
      </w:pPr>
      <w:r>
        <w:rPr>
          <w:rFonts w:ascii="Times New Roman" w:hAnsi="Times New Roman" w:eastAsia="Times New Roman"/>
          <w:color w:val="000000"/>
          <w:sz w:val="24"/>
          <w:szCs w:val="24"/>
        </w:rPr>
        <w:t xml:space="preserve">This study pursues the following specific objectives:</w:t>
      </w:r>
    </w:p>
    <w:p>
      <w:pPr>
        <w:spacing w:before="40" w:after="80" w:line="276" w:lineRule="auto"/>
        <w:ind w:left="567" w:hanging="284"/>
        <w:jc w:val="both"/>
      </w:pPr>
      <w:r>
        <w:rPr>
          <w:rFonts w:ascii="Times New Roman" w:hAnsi="Times New Roman" w:eastAsia="Times New Roman"/>
          <w:color w:val="000000"/>
          <w:sz w:val="24"/>
          <w:szCs w:val="24"/>
        </w:rPr>
        <w:t xml:space="preserve">•	To map, through a systematic scoping methodology, the organizational, governance, workforce, digital, financial, and equity conditions reported in the global literature for implementing precision medicine in health-care delivery settings.</w:t>
      </w:r>
    </w:p>
    <w:p>
      <w:pPr>
        <w:spacing w:before="40" w:after="80" w:line="276" w:lineRule="auto"/>
        <w:ind w:left="567" w:hanging="284"/>
        <w:jc w:val="both"/>
      </w:pPr>
      <w:r>
        <w:rPr>
          <w:rFonts w:ascii="Times New Roman" w:hAnsi="Times New Roman" w:eastAsia="Times New Roman"/>
          <w:color w:val="000000"/>
          <w:sz w:val="24"/>
          <w:szCs w:val="24"/>
        </w:rPr>
        <w:t xml:space="preserve">•	To organize these conditions into a pre-specified, evidence-informed readiness framework spanning seven domains.</w:t>
      </w:r>
    </w:p>
    <w:p>
      <w:pPr>
        <w:spacing w:before="40" w:after="80" w:line="276" w:lineRule="auto"/>
        <w:ind w:left="567" w:hanging="284"/>
        <w:jc w:val="both"/>
      </w:pPr>
      <w:r>
        <w:rPr>
          <w:rFonts w:ascii="Times New Roman" w:hAnsi="Times New Roman" w:eastAsia="Times New Roman"/>
          <w:color w:val="000000"/>
          <w:sz w:val="24"/>
          <w:szCs w:val="24"/>
        </w:rPr>
        <w:t xml:space="preserve">•	To characterize the included evidence by modality, geography, and study design, and the relative frequency with which each readiness domain is addressed, distinguishing observed implementation outcomes from conceptual or recommendation-based literature.</w:t>
      </w:r>
    </w:p>
    <w:p>
      <w:pPr>
        <w:spacing w:before="40" w:after="80" w:line="276" w:lineRule="auto"/>
        <w:ind w:left="567" w:hanging="284"/>
        <w:jc w:val="both"/>
      </w:pPr>
      <w:r>
        <w:rPr>
          <w:rFonts w:ascii="Times New Roman" w:hAnsi="Times New Roman" w:eastAsia="Times New Roman"/>
          <w:color w:val="000000"/>
          <w:sz w:val="24"/>
          <w:szCs w:val="24"/>
        </w:rPr>
        <w:t xml:space="preserve">•	To synthesize cross-cutting implementation patterns and dependencies among the seven domains.</w:t>
      </w:r>
    </w:p>
    <w:p>
      <w:pPr>
        <w:spacing w:before="40" w:after="80" w:line="276" w:lineRule="auto"/>
        <w:ind w:left="567" w:hanging="284"/>
        <w:jc w:val="both"/>
      </w:pPr>
      <w:r>
        <w:rPr>
          <w:rFonts w:ascii="Times New Roman" w:hAnsi="Times New Roman" w:eastAsia="Times New Roman"/>
          <w:color w:val="000000"/>
          <w:sz w:val="24"/>
          <w:szCs w:val="24"/>
        </w:rPr>
        <w:t xml:space="preserve">•	To translate the synthesis into a staged, locally adaptable implementation pathway and practical recommendations for health-system leaders in Saudi Arabia and the Gulf Cooperation Council.</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1.5 Research Questions</w:t>
      </w:r>
    </w:p>
    <w:p>
      <w:pPr>
        <w:spacing w:before="60" w:after="120" w:line="276" w:lineRule="auto"/>
        <w:ind w:firstLine="284"/>
        <w:jc w:val="both"/>
      </w:pPr>
      <w:r>
        <w:rPr>
          <w:rFonts w:ascii="Times New Roman" w:hAnsi="Times New Roman" w:eastAsia="Times New Roman"/>
          <w:color w:val="000000"/>
          <w:sz w:val="24"/>
          <w:szCs w:val="24"/>
        </w:rPr>
        <w:t xml:space="preserve">The objectives above are addressed through five research questions, specified before the evidence was examined:</w:t>
      </w:r>
    </w:p>
    <w:p>
      <w:pPr>
        <w:spacing w:before="40" w:after="80" w:line="276" w:lineRule="auto"/>
        <w:ind w:left="567" w:hanging="284"/>
        <w:jc w:val="both"/>
      </w:pPr>
      <w:r>
        <w:rPr>
          <w:rFonts w:ascii="Times New Roman" w:hAnsi="Times New Roman" w:eastAsia="Times New Roman"/>
          <w:color w:val="000000"/>
          <w:sz w:val="24"/>
          <w:szCs w:val="24"/>
        </w:rPr>
        <w:t xml:space="preserve">•	</w:t>
      </w:r>
      <w:r>
        <w:rPr>
          <w:rFonts w:ascii="Times New Roman" w:hAnsi="Times New Roman" w:eastAsia="Times New Roman"/>
          <w:b/>
          <w:bCs/>
          <w:color w:val="000000"/>
          <w:sz w:val="24"/>
          <w:szCs w:val="24"/>
        </w:rPr>
        <w:t xml:space="preserve">RQ1.</w:t>
      </w:r>
      <w:r>
        <w:rPr>
          <w:rFonts w:ascii="Times New Roman" w:hAnsi="Times New Roman" w:eastAsia="Times New Roman"/>
          <w:color w:val="000000"/>
          <w:sz w:val="24"/>
          <w:szCs w:val="24"/>
        </w:rPr>
        <w:t xml:space="preserve"> Which organizational, governance, workforce, digital, financial, and equity conditions does the implementation literature report as necessary for delivering precision medicine in a health-care setting?</w:t>
      </w:r>
    </w:p>
    <w:p>
      <w:pPr>
        <w:spacing w:before="40" w:after="80" w:line="276" w:lineRule="auto"/>
        <w:ind w:left="567" w:hanging="284"/>
        <w:jc w:val="both"/>
      </w:pPr>
      <w:r>
        <w:rPr>
          <w:rFonts w:ascii="Times New Roman" w:hAnsi="Times New Roman" w:eastAsia="Times New Roman"/>
          <w:color w:val="000000"/>
          <w:sz w:val="24"/>
          <w:szCs w:val="24"/>
        </w:rPr>
        <w:t xml:space="preserve">•	</w:t>
      </w:r>
      <w:r>
        <w:rPr>
          <w:rFonts w:ascii="Times New Roman" w:hAnsi="Times New Roman" w:eastAsia="Times New Roman"/>
          <w:b/>
          <w:bCs/>
          <w:color w:val="000000"/>
          <w:sz w:val="24"/>
          <w:szCs w:val="24"/>
        </w:rPr>
        <w:t xml:space="preserve">RQ2.</w:t>
      </w:r>
      <w:r>
        <w:rPr>
          <w:rFonts w:ascii="Times New Roman" w:hAnsi="Times New Roman" w:eastAsia="Times New Roman"/>
          <w:color w:val="000000"/>
          <w:sz w:val="24"/>
          <w:szCs w:val="24"/>
        </w:rPr>
        <w:t xml:space="preserve"> How is that evidence distributed by precision-medicine modality, geography, study design, and readiness domain?</w:t>
      </w:r>
    </w:p>
    <w:p>
      <w:pPr>
        <w:spacing w:before="40" w:after="80" w:line="276" w:lineRule="auto"/>
        <w:ind w:left="567" w:hanging="284"/>
        <w:jc w:val="both"/>
      </w:pPr>
      <w:r>
        <w:rPr>
          <w:rFonts w:ascii="Times New Roman" w:hAnsi="Times New Roman" w:eastAsia="Times New Roman"/>
          <w:color w:val="000000"/>
          <w:sz w:val="24"/>
          <w:szCs w:val="24"/>
        </w:rPr>
        <w:t xml:space="preserve">•	</w:t>
      </w:r>
      <w:r>
        <w:rPr>
          <w:rFonts w:ascii="Times New Roman" w:hAnsi="Times New Roman" w:eastAsia="Times New Roman"/>
          <w:b/>
          <w:bCs/>
          <w:color w:val="000000"/>
          <w:sz w:val="24"/>
          <w:szCs w:val="24"/>
        </w:rPr>
        <w:t xml:space="preserve">RQ3.</w:t>
      </w:r>
      <w:r>
        <w:rPr>
          <w:rFonts w:ascii="Times New Roman" w:hAnsi="Times New Roman" w:eastAsia="Times New Roman"/>
          <w:color w:val="000000"/>
          <w:sz w:val="24"/>
          <w:szCs w:val="24"/>
        </w:rPr>
        <w:t xml:space="preserve"> Which conditions are reported as observed implementation outcomes in primary empirical studies, and which are advanced as conceptual recommendation in frameworks, perspectives, reviews, and policy papers?</w:t>
      </w:r>
    </w:p>
    <w:p>
      <w:pPr>
        <w:spacing w:before="40" w:after="80" w:line="276" w:lineRule="auto"/>
        <w:ind w:left="567" w:hanging="284"/>
        <w:jc w:val="both"/>
      </w:pPr>
      <w:r>
        <w:rPr>
          <w:rFonts w:ascii="Times New Roman" w:hAnsi="Times New Roman" w:eastAsia="Times New Roman"/>
          <w:color w:val="000000"/>
          <w:sz w:val="24"/>
          <w:szCs w:val="24"/>
        </w:rPr>
        <w:t xml:space="preserve">•	</w:t>
      </w:r>
      <w:r>
        <w:rPr>
          <w:rFonts w:ascii="Times New Roman" w:hAnsi="Times New Roman" w:eastAsia="Times New Roman"/>
          <w:b/>
          <w:bCs/>
          <w:color w:val="000000"/>
          <w:sz w:val="24"/>
          <w:szCs w:val="24"/>
        </w:rPr>
        <w:t xml:space="preserve">RQ4.</w:t>
      </w:r>
      <w:r>
        <w:rPr>
          <w:rFonts w:ascii="Times New Roman" w:hAnsi="Times New Roman" w:eastAsia="Times New Roman"/>
          <w:color w:val="000000"/>
          <w:sz w:val="24"/>
          <w:szCs w:val="24"/>
        </w:rPr>
        <w:t xml:space="preserve"> What does the Gulf Cooperation Council subset of this evidence show about readiness, and how does it differ in design, modality, and setting from the global corpus?</w:t>
      </w:r>
    </w:p>
    <w:p>
      <w:pPr>
        <w:spacing w:before="40" w:after="80" w:line="276" w:lineRule="auto"/>
        <w:ind w:left="567" w:hanging="284"/>
        <w:jc w:val="both"/>
      </w:pPr>
      <w:r>
        <w:rPr>
          <w:rFonts w:ascii="Times New Roman" w:hAnsi="Times New Roman" w:eastAsia="Times New Roman"/>
          <w:color w:val="000000"/>
          <w:sz w:val="24"/>
          <w:szCs w:val="24"/>
        </w:rPr>
        <w:t xml:space="preserve">•	</w:t>
      </w:r>
      <w:r>
        <w:rPr>
          <w:rFonts w:ascii="Times New Roman" w:hAnsi="Times New Roman" w:eastAsia="Times New Roman"/>
          <w:b/>
          <w:bCs/>
          <w:color w:val="000000"/>
          <w:sz w:val="24"/>
          <w:szCs w:val="24"/>
        </w:rPr>
        <w:t xml:space="preserve">RQ5.</w:t>
      </w:r>
      <w:r>
        <w:rPr>
          <w:rFonts w:ascii="Times New Roman" w:hAnsi="Times New Roman" w:eastAsia="Times New Roman"/>
          <w:color w:val="000000"/>
          <w:sz w:val="24"/>
          <w:szCs w:val="24"/>
        </w:rPr>
        <w:t xml:space="preserve"> How can the mapped conditions be organized into a readiness framework and a staged pathway that Gulf health systems can adapt, validate, and test locally?</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1.6 Delimitations of the Study</w:t>
      </w:r>
    </w:p>
    <w:p>
      <w:pPr>
        <w:spacing w:before="60" w:after="120" w:line="276" w:lineRule="auto"/>
        <w:ind w:firstLine="284"/>
        <w:jc w:val="both"/>
      </w:pPr>
      <w:r>
        <w:rPr>
          <w:rFonts w:ascii="Times New Roman" w:hAnsi="Times New Roman" w:eastAsia="Times New Roman"/>
          <w:color w:val="000000"/>
          <w:sz w:val="24"/>
          <w:szCs w:val="24"/>
        </w:rPr>
        <w:t xml:space="preserve">The study is deliberately bounded in five respects, and its findings should be read within those bounds. The first is </w:t>
      </w:r>
      <w:r>
        <w:rPr>
          <w:rFonts w:ascii="Times New Roman" w:hAnsi="Times New Roman" w:eastAsia="Times New Roman"/>
          <w:b/>
          <w:bCs/>
          <w:color w:val="000000"/>
          <w:sz w:val="24"/>
          <w:szCs w:val="24"/>
        </w:rPr>
        <w:t xml:space="preserve">information source</w:t>
      </w:r>
      <w:r>
        <w:rPr>
          <w:rFonts w:ascii="Times New Roman" w:hAnsi="Times New Roman" w:eastAsia="Times New Roman"/>
          <w:color w:val="000000"/>
          <w:sz w:val="24"/>
          <w:szCs w:val="24"/>
        </w:rPr>
        <w:t xml:space="preserve">: the review is anchored in PubMed/MEDLINE with targeted supplementary searches, and does not constitute a comprehensive multi-database or grey-literature search. The second is </w:t>
      </w:r>
      <w:r>
        <w:rPr>
          <w:rFonts w:ascii="Times New Roman" w:hAnsi="Times New Roman" w:eastAsia="Times New Roman"/>
          <w:b/>
          <w:bCs/>
          <w:color w:val="000000"/>
          <w:sz w:val="24"/>
          <w:szCs w:val="24"/>
        </w:rPr>
        <w:t xml:space="preserve">time and language</w:t>
      </w:r>
      <w:r>
        <w:rPr>
          <w:rFonts w:ascii="Times New Roman" w:hAnsi="Times New Roman" w:eastAsia="Times New Roman"/>
          <w:color w:val="000000"/>
          <w:sz w:val="24"/>
          <w:szCs w:val="24"/>
        </w:rPr>
        <w:t xml:space="preserve">: only English-language records published from January 2015 onward were eligible, so earlier and non-English implementation evidence lies outside scope. The third is </w:t>
      </w:r>
      <w:r>
        <w:rPr>
          <w:rFonts w:ascii="Times New Roman" w:hAnsi="Times New Roman" w:eastAsia="Times New Roman"/>
          <w:b/>
          <w:bCs/>
          <w:color w:val="000000"/>
          <w:sz w:val="24"/>
          <w:szCs w:val="24"/>
        </w:rPr>
        <w:t xml:space="preserve">setting</w:t>
      </w:r>
      <w:r>
        <w:rPr>
          <w:rFonts w:ascii="Times New Roman" w:hAnsi="Times New Roman" w:eastAsia="Times New Roman"/>
          <w:color w:val="000000"/>
          <w:sz w:val="24"/>
          <w:szCs w:val="24"/>
        </w:rPr>
        <w:t xml:space="preserve">: only health-care delivery contexts were eligible, so research infrastructure, biobanking, and discovery science were excluded even where relevant to precision medicine. The fourth is </w:t>
      </w:r>
      <w:r>
        <w:rPr>
          <w:rFonts w:ascii="Times New Roman" w:hAnsi="Times New Roman" w:eastAsia="Times New Roman"/>
          <w:b/>
          <w:bCs/>
          <w:color w:val="000000"/>
          <w:sz w:val="24"/>
          <w:szCs w:val="24"/>
        </w:rPr>
        <w:t xml:space="preserve">appraisal</w:t>
      </w:r>
      <w:r>
        <w:rPr>
          <w:rFonts w:ascii="Times New Roman" w:hAnsi="Times New Roman" w:eastAsia="Times New Roman"/>
          <w:color w:val="000000"/>
          <w:sz w:val="24"/>
          <w:szCs w:val="24"/>
        </w:rPr>
        <w:t xml:space="preserve">: consistent with scoping-review methodology, no risk-of-bias or certainty assessment was performed, so the study maps the breadth and nature of the evidence but does not grade the strength of any individual finding. The fifth is </w:t>
      </w:r>
      <w:r>
        <w:rPr>
          <w:rFonts w:ascii="Times New Roman" w:hAnsi="Times New Roman" w:eastAsia="Times New Roman"/>
          <w:b/>
          <w:bCs/>
          <w:color w:val="000000"/>
          <w:sz w:val="24"/>
          <w:szCs w:val="24"/>
        </w:rPr>
        <w:t xml:space="preserve">inference</w:t>
      </w:r>
      <w:r>
        <w:rPr>
          <w:rFonts w:ascii="Times New Roman" w:hAnsi="Times New Roman" w:eastAsia="Times New Roman"/>
          <w:color w:val="000000"/>
          <w:sz w:val="24"/>
          <w:szCs w:val="24"/>
        </w:rPr>
        <w:t xml:space="preserve">: the study charts and describes; it does not estimate effects, test hypotheses, or establish causal relationships among domains.</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1.7 Operational Definitions of Terms</w:t>
      </w:r>
    </w:p>
    <w:p>
      <w:pPr>
        <w:spacing w:before="60" w:after="120" w:line="276" w:lineRule="auto"/>
        <w:ind w:firstLine="284"/>
        <w:jc w:val="both"/>
      </w:pPr>
      <w:r>
        <w:rPr>
          <w:rFonts w:ascii="Times New Roman" w:hAnsi="Times New Roman" w:eastAsia="Times New Roman"/>
          <w:color w:val="000000"/>
          <w:sz w:val="24"/>
          <w:szCs w:val="24"/>
        </w:rPr>
        <w:t xml:space="preserve">The following terms carry specific meanings throughout this study, and are defined here to avoid the ambiguity that attaches to several of them in general use.</w:t>
      </w:r>
    </w:p>
    <w:p>
      <w:pPr>
        <w:spacing w:before="60" w:after="120" w:line="276" w:lineRule="auto"/>
        <w:ind w:firstLine="284"/>
        <w:jc w:val="both"/>
      </w:pPr>
      <w:r>
        <w:rPr>
          <w:rFonts w:ascii="Times New Roman" w:hAnsi="Times New Roman" w:eastAsia="Times New Roman"/>
          <w:b/>
          <w:bCs/>
          <w:color w:val="000000"/>
          <w:sz w:val="24"/>
          <w:szCs w:val="24"/>
        </w:rPr>
        <w:t xml:space="preserve">Precision medicine.</w:t>
      </w:r>
      <w:r>
        <w:rPr>
          <w:rFonts w:ascii="Times New Roman" w:hAnsi="Times New Roman" w:eastAsia="Times New Roman"/>
          <w:color w:val="000000"/>
          <w:sz w:val="24"/>
          <w:szCs w:val="24"/>
        </w:rPr>
        <w:t xml:space="preserve"> Any clinical service in which patient-level biological, molecular, or multimodal data are used to select, target, or modify a diagnostic or therapeutic decision. The definition is deliberately functional rather than technological: what qualifies a service is that individual-level data changes a decision, not which platform generated the data.</w:t>
      </w:r>
    </w:p>
    <w:p>
      <w:pPr>
        <w:spacing w:before="60" w:after="120" w:line="276" w:lineRule="auto"/>
        <w:ind w:firstLine="284"/>
        <w:jc w:val="both"/>
      </w:pPr>
      <w:r>
        <w:rPr>
          <w:rFonts w:ascii="Times New Roman" w:hAnsi="Times New Roman" w:eastAsia="Times New Roman"/>
          <w:b/>
          <w:bCs/>
          <w:color w:val="000000"/>
          <w:sz w:val="24"/>
          <w:szCs w:val="24"/>
        </w:rPr>
        <w:t xml:space="preserve">Implementation.</w:t>
      </w:r>
      <w:r>
        <w:rPr>
          <w:rFonts w:ascii="Times New Roman" w:hAnsi="Times New Roman" w:eastAsia="Times New Roman"/>
          <w:color w:val="000000"/>
          <w:sz w:val="24"/>
          <w:szCs w:val="24"/>
        </w:rPr>
        <w:t xml:space="preserve"> The set of organizational activities through which a validated precision-medicine tool is delivered as routine care. A study is treated as addressing implementation only where it describes conditions, processes, barriers, enablers, or outcomes of delivery in a service setting, as distinct from analytical validity, clinical validity, or clinical efficacy.</w:t>
      </w:r>
    </w:p>
    <w:p>
      <w:pPr>
        <w:spacing w:before="60" w:after="120" w:line="276" w:lineRule="auto"/>
        <w:ind w:firstLine="284"/>
        <w:jc w:val="both"/>
      </w:pPr>
      <w:r>
        <w:rPr>
          <w:rFonts w:ascii="Times New Roman" w:hAnsi="Times New Roman" w:eastAsia="Times New Roman"/>
          <w:b/>
          <w:bCs/>
          <w:color w:val="000000"/>
          <w:sz w:val="24"/>
          <w:szCs w:val="24"/>
        </w:rPr>
        <w:t xml:space="preserve">Health-system readiness.</w:t>
      </w:r>
      <w:r>
        <w:rPr>
          <w:rFonts w:ascii="Times New Roman" w:hAnsi="Times New Roman" w:eastAsia="Times New Roman"/>
          <w:color w:val="000000"/>
          <w:sz w:val="24"/>
          <w:szCs w:val="24"/>
        </w:rPr>
        <w:t xml:space="preserve"> Following Weiner (2009), the organizational property that combines commitment to a change with the collective capability to enact it. Readiness is treated here as a multi-domain property rather than a single attribute or score.</w:t>
      </w:r>
    </w:p>
    <w:p>
      <w:pPr>
        <w:spacing w:before="60" w:after="120" w:line="276" w:lineRule="auto"/>
        <w:ind w:firstLine="284"/>
        <w:jc w:val="both"/>
      </w:pPr>
      <w:r>
        <w:rPr>
          <w:rFonts w:ascii="Times New Roman" w:hAnsi="Times New Roman" w:eastAsia="Times New Roman"/>
          <w:b/>
          <w:bCs/>
          <w:color w:val="000000"/>
          <w:sz w:val="24"/>
          <w:szCs w:val="24"/>
        </w:rPr>
        <w:t xml:space="preserve">Readiness domain.</w:t>
      </w:r>
      <w:r>
        <w:rPr>
          <w:rFonts w:ascii="Times New Roman" w:hAnsi="Times New Roman" w:eastAsia="Times New Roman"/>
          <w:color w:val="000000"/>
          <w:sz w:val="24"/>
          <w:szCs w:val="24"/>
        </w:rPr>
        <w:t xml:space="preserve"> One of seven pre-specified organizational categories against which the charted evidence was coded: strategic leadership, governance and policy, workforce capability, digital infrastructure, clinical workflow, finance and sustainability, and patient access, equity and ethics.</w:t>
      </w:r>
    </w:p>
    <w:p>
      <w:pPr>
        <w:spacing w:before="60" w:after="120" w:line="276" w:lineRule="auto"/>
        <w:ind w:firstLine="284"/>
        <w:jc w:val="both"/>
      </w:pPr>
      <w:r>
        <w:rPr>
          <w:rFonts w:ascii="Times New Roman" w:hAnsi="Times New Roman" w:eastAsia="Times New Roman"/>
          <w:b/>
          <w:bCs/>
          <w:color w:val="000000"/>
          <w:sz w:val="24"/>
          <w:szCs w:val="24"/>
        </w:rPr>
        <w:t xml:space="preserve">Implementation outcome.</w:t>
      </w:r>
      <w:r>
        <w:rPr>
          <w:rFonts w:ascii="Times New Roman" w:hAnsi="Times New Roman" w:eastAsia="Times New Roman"/>
          <w:color w:val="000000"/>
          <w:sz w:val="24"/>
          <w:szCs w:val="24"/>
        </w:rPr>
        <w:t xml:space="preserve"> Following Proctor et al. (2011), a delivery-level outcome such as adoption, feasibility, fidelity, penetration, acceptability, cost, or sustainability, distinguished throughout from clinical-effectiveness outcomes such as symptom reduction or survival.</w:t>
      </w:r>
    </w:p>
    <w:p>
      <w:pPr>
        <w:spacing w:before="60" w:after="120" w:line="276" w:lineRule="auto"/>
        <w:ind w:firstLine="284"/>
        <w:jc w:val="both"/>
      </w:pPr>
      <w:r>
        <w:rPr>
          <w:rFonts w:ascii="Times New Roman" w:hAnsi="Times New Roman" w:eastAsia="Times New Roman"/>
          <w:b/>
          <w:bCs/>
          <w:color w:val="000000"/>
          <w:sz w:val="24"/>
          <w:szCs w:val="24"/>
        </w:rPr>
        <w:t xml:space="preserve">Pharmacogenomics.</w:t>
      </w:r>
      <w:r>
        <w:rPr>
          <w:rFonts w:ascii="Times New Roman" w:hAnsi="Times New Roman" w:eastAsia="Times New Roman"/>
          <w:color w:val="000000"/>
          <w:sz w:val="24"/>
          <w:szCs w:val="24"/>
        </w:rPr>
        <w:t xml:space="preserve"> The study and clinical application of how inherited genetic variation affects an individual’s response to medicines, used to guide drug selection, dosing, or avoidance. Pharmacogenetics is used in this study as a near-synonym, conventionally denoting single-gene rather than genome-wide approaches.</w:t>
      </w:r>
    </w:p>
    <w:p>
      <w:pPr>
        <w:spacing w:before="60" w:after="120" w:line="276" w:lineRule="auto"/>
        <w:ind w:firstLine="284"/>
        <w:jc w:val="both"/>
      </w:pPr>
      <w:r>
        <w:rPr>
          <w:rFonts w:ascii="Times New Roman" w:hAnsi="Times New Roman" w:eastAsia="Times New Roman"/>
          <w:b/>
          <w:bCs/>
          <w:color w:val="000000"/>
          <w:sz w:val="24"/>
          <w:szCs w:val="24"/>
        </w:rPr>
        <w:t xml:space="preserve">Clinical decision support.</w:t>
      </w:r>
      <w:r>
        <w:rPr>
          <w:rFonts w:ascii="Times New Roman" w:hAnsi="Times New Roman" w:eastAsia="Times New Roman"/>
          <w:color w:val="000000"/>
          <w:sz w:val="24"/>
          <w:szCs w:val="24"/>
        </w:rPr>
        <w:t xml:space="preserve"> Software functionality that delivers patient-specific assessments or recommendations to clinicians at the point of care, typically embedded in the electronic health record.</w:t>
      </w:r>
    </w:p>
    <w:p>
      <w:pPr>
        <w:spacing w:before="60" w:after="120" w:line="276" w:lineRule="auto"/>
        <w:ind w:firstLine="284"/>
        <w:jc w:val="both"/>
      </w:pPr>
      <w:r>
        <w:rPr>
          <w:rFonts w:ascii="Times New Roman" w:hAnsi="Times New Roman" w:eastAsia="Times New Roman"/>
          <w:b/>
          <w:bCs/>
          <w:color w:val="000000"/>
          <w:sz w:val="24"/>
          <w:szCs w:val="24"/>
        </w:rPr>
        <w:t xml:space="preserve">Gulf Cooperation Council (GCC).</w:t>
      </w:r>
      <w:r>
        <w:rPr>
          <w:rFonts w:ascii="Times New Roman" w:hAnsi="Times New Roman" w:eastAsia="Times New Roman"/>
          <w:color w:val="000000"/>
          <w:sz w:val="24"/>
          <w:szCs w:val="24"/>
        </w:rPr>
        <w:t xml:space="preserve"> The six member states of Bahrain, Kuwait, Oman, Qatar, Saudi Arabia, and the United Arab Emirates. Studies set in the wider Middle East and North Africa are classified separately unless a GCC state is an explicit study setting.</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1.8 The Concept of Precision Medicine</w:t>
      </w:r>
    </w:p>
    <w:p>
      <w:pPr>
        <w:keepNext/>
        <w:spacing w:before="180" w:after="80" w:line="276" w:lineRule="auto"/>
      </w:pPr>
      <w:r>
        <w:rPr>
          <w:rFonts w:ascii="Times New Roman" w:hAnsi="Times New Roman" w:eastAsia="Times New Roman"/>
          <w:b/>
          <w:bCs/>
          <w:color w:val="000000"/>
          <w:sz w:val="24"/>
          <w:szCs w:val="24"/>
        </w:rPr>
        <w:t>1.8.1 Definition and terminology</w:t>
      </w:r>
    </w:p>
    <w:p>
      <w:pPr>
        <w:spacing w:before="60" w:after="120" w:line="276" w:lineRule="auto"/>
        <w:ind w:firstLine="284"/>
        <w:jc w:val="both"/>
      </w:pPr>
      <w:r>
        <w:rPr>
          <w:rFonts w:ascii="Times New Roman" w:hAnsi="Times New Roman" w:eastAsia="Times New Roman"/>
          <w:color w:val="000000"/>
          <w:sz w:val="24"/>
          <w:szCs w:val="24"/>
        </w:rPr>
        <w:t xml:space="preserve">Precision medicine is most usefully defined as an approach to prevention, diagnosis, and treatment that takes account of individual variability in genes, environment, and lifestyle. The term entered wide policy use in the mid-2010s, largely displacing the earlier phrase “personalized medicine,” which had attracted criticism for implying that each patient would receive a uniquely designed therapy. In practice, the approach stratifies patients into groups that share a clinically meaningful biological characteristic and then matches management to the group. “Precision” rather than “personalization” captures this more accurately.</w:t>
      </w:r>
    </w:p>
    <w:p>
      <w:pPr>
        <w:spacing w:before="60" w:after="120" w:line="276" w:lineRule="auto"/>
        <w:ind w:firstLine="284"/>
        <w:jc w:val="both"/>
      </w:pPr>
      <w:r>
        <w:rPr>
          <w:rFonts w:ascii="Times New Roman" w:hAnsi="Times New Roman" w:eastAsia="Times New Roman"/>
          <w:color w:val="000000"/>
          <w:sz w:val="24"/>
          <w:szCs w:val="24"/>
        </w:rPr>
        <w:t xml:space="preserve">Several adjacent terms are used inconsistently in the literature and are distinguished here. </w:t>
      </w:r>
      <w:r>
        <w:rPr>
          <w:rFonts w:ascii="Times New Roman" w:hAnsi="Times New Roman" w:eastAsia="Times New Roman"/>
          <w:b/>
          <w:bCs/>
          <w:color w:val="000000"/>
          <w:sz w:val="24"/>
          <w:szCs w:val="24"/>
        </w:rPr>
        <w:t xml:space="preserve">Stratified medicine</w:t>
      </w:r>
      <w:r>
        <w:rPr>
          <w:rFonts w:ascii="Times New Roman" w:hAnsi="Times New Roman" w:eastAsia="Times New Roman"/>
          <w:color w:val="000000"/>
          <w:sz w:val="24"/>
          <w:szCs w:val="24"/>
        </w:rPr>
        <w:t xml:space="preserve"> is often used synonymously with precision medicine but usually carries a narrower sense, denoting the division of a patient population into subgroups by a single predictive marker. </w:t>
      </w:r>
      <w:r>
        <w:rPr>
          <w:rFonts w:ascii="Times New Roman" w:hAnsi="Times New Roman" w:eastAsia="Times New Roman"/>
          <w:b/>
          <w:bCs/>
          <w:color w:val="000000"/>
          <w:sz w:val="24"/>
          <w:szCs w:val="24"/>
        </w:rPr>
        <w:t xml:space="preserve">Genomic medicine</w:t>
      </w:r>
      <w:r>
        <w:rPr>
          <w:rFonts w:ascii="Times New Roman" w:hAnsi="Times New Roman" w:eastAsia="Times New Roman"/>
          <w:color w:val="000000"/>
          <w:sz w:val="24"/>
          <w:szCs w:val="24"/>
        </w:rPr>
        <w:t xml:space="preserve"> refers specifically to clinical applications of genome sequence data, and is therefore a subset of precision medicine rather than an equivalent. </w:t>
      </w:r>
      <w:r>
        <w:rPr>
          <w:rFonts w:ascii="Times New Roman" w:hAnsi="Times New Roman" w:eastAsia="Times New Roman"/>
          <w:b/>
          <w:bCs/>
          <w:color w:val="000000"/>
          <w:sz w:val="24"/>
          <w:szCs w:val="24"/>
        </w:rPr>
        <w:t xml:space="preserve">P4 medicine</w:t>
      </w:r>
      <w:r>
        <w:rPr>
          <w:rFonts w:ascii="Times New Roman" w:hAnsi="Times New Roman" w:eastAsia="Times New Roman"/>
          <w:color w:val="000000"/>
          <w:sz w:val="24"/>
          <w:szCs w:val="24"/>
        </w:rPr>
        <w:t xml:space="preserve">, denoting predictive, preventive, personalized, and participatory care, is a broader programmatic vision that encompasses precision medicine alongside behavioral and participatory elements. This study uses precision medicine as the umbrella term and reserves the narrower terms for their specific senses.</w:t>
      </w:r>
    </w:p>
    <w:p>
      <w:pPr>
        <w:spacing w:before="60" w:after="120" w:line="276" w:lineRule="auto"/>
        <w:ind w:firstLine="284"/>
        <w:jc w:val="both"/>
      </w:pPr>
      <w:r>
        <w:rPr>
          <w:rFonts w:ascii="Times New Roman" w:hAnsi="Times New Roman" w:eastAsia="Times New Roman"/>
          <w:color w:val="000000"/>
          <w:sz w:val="24"/>
          <w:szCs w:val="24"/>
        </w:rPr>
        <w:t xml:space="preserve">The terminological inconsistency is not merely semantic. It has direct methodological consequences for any attempt to synthesize the literature, because studies indexed under one term are frequently invisible to searches built on another. Any review in this field must therefore make explicit which vocabulary it searched and accept that its retrieved corpus is partly an artefact of that choice.</w:t>
      </w:r>
    </w:p>
    <w:p>
      <w:pPr>
        <w:keepNext/>
        <w:spacing w:before="180" w:after="80" w:line="276" w:lineRule="auto"/>
      </w:pPr>
      <w:r>
        <w:rPr>
          <w:rFonts w:ascii="Times New Roman" w:hAnsi="Times New Roman" w:eastAsia="Times New Roman"/>
          <w:b/>
          <w:bCs/>
          <w:color w:val="000000"/>
          <w:sz w:val="24"/>
          <w:szCs w:val="24"/>
        </w:rPr>
        <w:t>1.8.2 Historical development</w:t>
      </w:r>
    </w:p>
    <w:p>
      <w:pPr>
        <w:spacing w:before="60" w:after="120" w:line="276" w:lineRule="auto"/>
        <w:ind w:firstLine="284"/>
        <w:jc w:val="both"/>
      </w:pPr>
      <w:r>
        <w:rPr>
          <w:rFonts w:ascii="Times New Roman" w:hAnsi="Times New Roman" w:eastAsia="Times New Roman"/>
          <w:color w:val="000000"/>
          <w:sz w:val="24"/>
          <w:szCs w:val="24"/>
        </w:rPr>
        <w:t xml:space="preserve">The intellectual foundations of precision medicine long precede the term. Observations that individuals respond differently to the same drug for inherited reasons date to the middle of the twentieth century, in work on enzyme deficiencies producing adverse reactions to antimalarials and anaesthetic agents. These observations established the principle that variation in drug response could be biological and predictable rather than idiosyncratic.</w:t>
      </w:r>
    </w:p>
    <w:p>
      <w:pPr>
        <w:spacing w:before="60" w:after="120" w:line="276" w:lineRule="auto"/>
        <w:ind w:firstLine="284"/>
        <w:jc w:val="both"/>
      </w:pPr>
      <w:r>
        <w:rPr>
          <w:rFonts w:ascii="Times New Roman" w:hAnsi="Times New Roman" w:eastAsia="Times New Roman"/>
          <w:color w:val="000000"/>
          <w:sz w:val="24"/>
          <w:szCs w:val="24"/>
        </w:rPr>
        <w:t xml:space="preserve">The completion of the Human Genome Project in the early 2000s transformed the scale of what was possible, and the subsequent collapse in sequencing cost transformed its economics. Sequencing a human genome moved within roughly two decades from a multi-year international undertaking to a routine laboratory procedure costing a few hundred dollars. That change shifted the binding constraint decisively. Generating genomic data ceased to be the difficult part; interpreting it, governing it, storing it usefully, and acting on it became the difficult part.</w:t>
      </w:r>
    </w:p>
    <w:p>
      <w:pPr>
        <w:spacing w:before="60" w:after="120" w:line="276" w:lineRule="auto"/>
        <w:ind w:firstLine="284"/>
        <w:jc w:val="both"/>
      </w:pPr>
      <w:r>
        <w:rPr>
          <w:rFonts w:ascii="Times New Roman" w:hAnsi="Times New Roman" w:eastAsia="Times New Roman"/>
          <w:color w:val="000000"/>
          <w:sz w:val="24"/>
          <w:szCs w:val="24"/>
        </w:rPr>
        <w:t xml:space="preserve">National programmes followed. Large-scale initiatives in the United States, the United Kingdom, and elsewhere sought to sequence populations at scale and link genomic data to health records. Regional programmes in the Gulf, including national genome initiatives in Saudi Arabia, Qatar, and the United Arab Emirates, pursued similar ambitions with an added emphasis on generating reference data for populations underrepresented in existing databases. This programme-building phase produced considerable infrastructure and data, but comparatively little published evidence about how the resulting capabilities were converted into routine clinical services. That imbalance between infrastructure investment and implementation evidence is a central motivation for the present study.</w:t>
      </w:r>
    </w:p>
    <w:p>
      <w:pPr>
        <w:keepNext/>
        <w:spacing w:before="180" w:after="80" w:line="276" w:lineRule="auto"/>
      </w:pPr>
      <w:r>
        <w:rPr>
          <w:rFonts w:ascii="Times New Roman" w:hAnsi="Times New Roman" w:eastAsia="Times New Roman"/>
          <w:b/>
          <w:bCs/>
          <w:color w:val="000000"/>
          <w:sz w:val="24"/>
          <w:szCs w:val="24"/>
        </w:rPr>
        <w:t>1.8.3 Distinction from conventional practice</w:t>
      </w:r>
    </w:p>
    <w:p>
      <w:pPr>
        <w:spacing w:before="60" w:after="120" w:line="276" w:lineRule="auto"/>
        <w:ind w:firstLine="284"/>
        <w:jc w:val="both"/>
      </w:pPr>
      <w:r>
        <w:rPr>
          <w:rFonts w:ascii="Times New Roman" w:hAnsi="Times New Roman" w:eastAsia="Times New Roman"/>
          <w:color w:val="000000"/>
          <w:sz w:val="24"/>
          <w:szCs w:val="24"/>
        </w:rPr>
        <w:t xml:space="preserve">Conventional clinical practice is not indifferent to individual variation; it has always adjusted for age, weight, renal function, comorbidity, and observed response. What distinguishes precision medicine is the source and timing of the information used. Conventional adjustment relies largely on phenotypic and observational data available at or after the point of treatment, and often proceeds by trial and adjustment. Precision medicine introduces molecular or computational information that is available in principle before treatment begins, and that is stable across the patient’s lifetime in the case of germline genomic data.</w:t>
      </w:r>
    </w:p>
    <w:p>
      <w:pPr>
        <w:spacing w:before="60" w:after="120" w:line="276" w:lineRule="auto"/>
        <w:ind w:firstLine="284"/>
        <w:jc w:val="both"/>
      </w:pPr>
      <w:r>
        <w:rPr>
          <w:rFonts w:ascii="Times New Roman" w:hAnsi="Times New Roman" w:eastAsia="Times New Roman"/>
          <w:color w:val="000000"/>
          <w:sz w:val="24"/>
          <w:szCs w:val="24"/>
        </w:rPr>
        <w:t xml:space="preserve">Three organizational consequences follow from that shift, and they recur throughout this study. First, because germline results do not expire, the information must be stored in a form that can be retrieved and reused years later, which is a records and interoperability requirement rather than a laboratory one. Second, because results may carry implications for biological relatives, consent and disclosure raise questions that conventional test results do not. Third, because the interpretation of a variant can change as knowledge accumulates, a result that was correctly reported at one time may require reinterpretation later, which implies an ongoing institutional obligation rather than a discrete episode of care.</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1.9 Modalities of Precision Medicine</w:t>
      </w:r>
    </w:p>
    <w:p>
      <w:pPr>
        <w:spacing w:before="60" w:after="120" w:line="276" w:lineRule="auto"/>
        <w:ind w:firstLine="284"/>
        <w:jc w:val="both"/>
      </w:pPr>
      <w:r>
        <w:rPr>
          <w:rFonts w:ascii="Times New Roman" w:hAnsi="Times New Roman" w:eastAsia="Times New Roman"/>
          <w:color w:val="000000"/>
          <w:sz w:val="24"/>
          <w:szCs w:val="24"/>
        </w:rPr>
        <w:t xml:space="preserve">Precision medicine is not a single technology but a family of them, and its modalities differ substantially in maturity, cost structure, workflow demands, and the kind of decision they inform. Distinguishing them is necessary because implementation requirements are not uniform across the family, and because evidence generated for one modality transfers only partially to another. Seven modalities are distinguished in this study.</w:t>
      </w:r>
    </w:p>
    <w:p>
      <w:pPr>
        <w:keepNext/>
        <w:spacing w:before="180" w:after="80" w:line="276" w:lineRule="auto"/>
      </w:pPr>
      <w:r>
        <w:rPr>
          <w:rFonts w:ascii="Times New Roman" w:hAnsi="Times New Roman" w:eastAsia="Times New Roman"/>
          <w:b/>
          <w:bCs/>
          <w:color w:val="000000"/>
          <w:sz w:val="24"/>
          <w:szCs w:val="24"/>
        </w:rPr>
        <w:t>1.9.1 Pharmacogenomics and pharmacogenetics</w:t>
      </w:r>
    </w:p>
    <w:p>
      <w:pPr>
        <w:spacing w:before="60" w:after="120" w:line="276" w:lineRule="auto"/>
        <w:ind w:firstLine="284"/>
        <w:jc w:val="both"/>
      </w:pPr>
      <w:r>
        <w:rPr>
          <w:rFonts w:ascii="Times New Roman" w:hAnsi="Times New Roman" w:eastAsia="Times New Roman"/>
          <w:color w:val="000000"/>
          <w:sz w:val="24"/>
          <w:szCs w:val="24"/>
        </w:rPr>
        <w:t xml:space="preserve">Pharmacogenomics uses inherited variation in genes governing drug metabolism, transport, and target interaction to guide prescribing. It is the most operationally mature modality. Its evidence base includes established gene-drug pairs with published dosing guidance, its results are actionable through a discrete and familiar decision, namely the choice or dose of a medicine, and its testing is comparatively inexpensive. These properties make it the modality most frequently reported in implementation studies and the one for which service models are best described (Mai et al., 2024; Youssef et al., 2022). Its principal implementation demand is timing: a result is only useful if it reaches the prescriber before the prescribing decision, which places heavy requirements on decision support and result persistence.</w:t>
      </w:r>
    </w:p>
    <w:p>
      <w:pPr>
        <w:keepNext/>
        <w:spacing w:before="180" w:after="80" w:line="276" w:lineRule="auto"/>
      </w:pPr>
      <w:r>
        <w:rPr>
          <w:rFonts w:ascii="Times New Roman" w:hAnsi="Times New Roman" w:eastAsia="Times New Roman"/>
          <w:b/>
          <w:bCs/>
          <w:color w:val="000000"/>
          <w:sz w:val="24"/>
          <w:szCs w:val="24"/>
        </w:rPr>
        <w:t>1.9.2 Clinical and rare-disease genomic sequencing</w:t>
      </w:r>
    </w:p>
    <w:p>
      <w:pPr>
        <w:spacing w:before="60" w:after="120" w:line="276" w:lineRule="auto"/>
        <w:ind w:firstLine="284"/>
        <w:jc w:val="both"/>
      </w:pPr>
      <w:r>
        <w:rPr>
          <w:rFonts w:ascii="Times New Roman" w:hAnsi="Times New Roman" w:eastAsia="Times New Roman"/>
          <w:color w:val="000000"/>
          <w:sz w:val="24"/>
          <w:szCs w:val="24"/>
        </w:rPr>
        <w:t xml:space="preserve">Sequencing services, whether targeted panels, exome, or whole genome, are used principally for diagnosis in rare and undiagnosed disease. Their implementation profile differs sharply from pharmacogenomics. Interpretation is specialist and labour-intensive, turnaround is longer, results are frequently uncertain rather than binary, and the handling of variants of uncertain significance and of incidental or secondary findings raises governance questions that pharmacogenomics largely avoids. The service demands typically include multidisciplinary review, access to genetic counseling, and an explicit institutional policy on reanalysis over time.</w:t>
      </w:r>
    </w:p>
    <w:p>
      <w:pPr>
        <w:keepNext/>
        <w:spacing w:before="180" w:after="80" w:line="276" w:lineRule="auto"/>
      </w:pPr>
      <w:r>
        <w:rPr>
          <w:rFonts w:ascii="Times New Roman" w:hAnsi="Times New Roman" w:eastAsia="Times New Roman"/>
          <w:b/>
          <w:bCs/>
          <w:color w:val="000000"/>
          <w:sz w:val="24"/>
          <w:szCs w:val="24"/>
        </w:rPr>
        <w:t>1.9.3 Precision oncology and molecular diagnostics</w:t>
      </w:r>
    </w:p>
    <w:p>
      <w:pPr>
        <w:spacing w:before="60" w:after="120" w:line="276" w:lineRule="auto"/>
        <w:ind w:firstLine="284"/>
        <w:jc w:val="both"/>
      </w:pPr>
      <w:r>
        <w:rPr>
          <w:rFonts w:ascii="Times New Roman" w:hAnsi="Times New Roman" w:eastAsia="Times New Roman"/>
          <w:color w:val="000000"/>
          <w:sz w:val="24"/>
          <w:szCs w:val="24"/>
        </w:rPr>
        <w:t xml:space="preserve">Precision oncology matches cancer treatment to the molecular characteristics of a tumour, using somatic rather than germline variation. It is the modality with the strongest evidence of clinical benefit for defined indications, and it has developed distinctive organizational forms, notably the molecular tumour board, in which multidisciplinary panels interpret complex results and agree treatment. Its implementation constraints are dominated by tissue logistics, turnaround time relative to treatment urgency, access to matched therapies including through trials, and the cost of those therapies rather than of the test.</w:t>
      </w:r>
    </w:p>
    <w:p>
      <w:pPr>
        <w:keepNext/>
        <w:spacing w:before="180" w:after="80" w:line="276" w:lineRule="auto"/>
      </w:pPr>
      <w:r>
        <w:rPr>
          <w:rFonts w:ascii="Times New Roman" w:hAnsi="Times New Roman" w:eastAsia="Times New Roman"/>
          <w:b/>
          <w:bCs/>
          <w:color w:val="000000"/>
          <w:sz w:val="24"/>
          <w:szCs w:val="24"/>
        </w:rPr>
        <w:t>1.9.4 Biomarker-guided care</w:t>
      </w:r>
    </w:p>
    <w:p>
      <w:pPr>
        <w:spacing w:before="60" w:after="120" w:line="276" w:lineRule="auto"/>
        <w:ind w:firstLine="284"/>
        <w:jc w:val="both"/>
      </w:pPr>
      <w:r>
        <w:rPr>
          <w:rFonts w:ascii="Times New Roman" w:hAnsi="Times New Roman" w:eastAsia="Times New Roman"/>
          <w:color w:val="000000"/>
          <w:sz w:val="24"/>
          <w:szCs w:val="24"/>
        </w:rPr>
        <w:t xml:space="preserve">Biomarker-guided care uses measurable biological indicators, which may be proteomic, metabolic, or imaging-derived rather than genomic, to stratify risk or select therapy. It occupies an intermediate position: some biomarkers are embedded so deeply in routine practice that they are no longer perceived as precision medicine, while others remain investigational. Its implementation questions typically concern laboratory standardization, threshold definition, and the integration of results into existing care protocols.</w:t>
      </w:r>
    </w:p>
    <w:p>
      <w:pPr>
        <w:keepNext/>
        <w:spacing w:before="180" w:after="80" w:line="276" w:lineRule="auto"/>
      </w:pPr>
      <w:r>
        <w:rPr>
          <w:rFonts w:ascii="Times New Roman" w:hAnsi="Times New Roman" w:eastAsia="Times New Roman"/>
          <w:b/>
          <w:bCs/>
          <w:color w:val="000000"/>
          <w:sz w:val="24"/>
          <w:szCs w:val="24"/>
        </w:rPr>
        <w:t>1.9.5 Artificial intelligence and risk-prediction tools</w:t>
      </w:r>
    </w:p>
    <w:p>
      <w:pPr>
        <w:spacing w:before="60" w:after="120" w:line="276" w:lineRule="auto"/>
        <w:ind w:firstLine="284"/>
        <w:jc w:val="both"/>
      </w:pPr>
      <w:r>
        <w:rPr>
          <w:rFonts w:ascii="Times New Roman" w:hAnsi="Times New Roman" w:eastAsia="Times New Roman"/>
          <w:color w:val="000000"/>
          <w:sz w:val="24"/>
          <w:szCs w:val="24"/>
        </w:rPr>
        <w:t xml:space="preserve">Validated clinical artificial-intelligence and risk-prediction tools use computational models, often trained on large clinical datasets, to generate individualized predictions of risk, diagnosis, or response. This modality is expanding rapidly in deployment but remains thinly represented in implementation evidence, with most published work proposing frameworks rather than evaluating delivered services (Adnan et al., 2025). Its distinctive demands include model monitoring for performance drift, version control and change management when a model is updated, transparency sufficient for clinicians to calibrate their trust, and explicit assessment of performance across patient subgroups.</w:t>
      </w:r>
    </w:p>
    <w:p>
      <w:pPr>
        <w:keepNext/>
        <w:spacing w:before="180" w:after="80" w:line="276" w:lineRule="auto"/>
      </w:pPr>
      <w:r>
        <w:rPr>
          <w:rFonts w:ascii="Times New Roman" w:hAnsi="Times New Roman" w:eastAsia="Times New Roman"/>
          <w:b/>
          <w:bCs/>
          <w:color w:val="000000"/>
          <w:sz w:val="24"/>
          <w:szCs w:val="24"/>
        </w:rPr>
        <w:t>1.9.6 Multimodal precision medicine</w:t>
      </w:r>
    </w:p>
    <w:p>
      <w:pPr>
        <w:spacing w:before="60" w:after="120" w:line="276" w:lineRule="auto"/>
        <w:ind w:firstLine="284"/>
        <w:jc w:val="both"/>
      </w:pPr>
      <w:r>
        <w:rPr>
          <w:rFonts w:ascii="Times New Roman" w:hAnsi="Times New Roman" w:eastAsia="Times New Roman"/>
          <w:color w:val="000000"/>
          <w:sz w:val="24"/>
          <w:szCs w:val="24"/>
        </w:rPr>
        <w:t xml:space="preserve">Multimodal approaches combine genomic, clinical, laboratory, imaging, and sometimes behavioral or environmental data in a single predictive or diagnostic model. They represent the direction of travel in the field and the thinnest evidence base in it. Their implementation requirements compound those of the constituent modalities and add a data-integration requirement that few health systems currently satisfy.</w:t>
      </w:r>
    </w:p>
    <w:p>
      <w:pPr>
        <w:keepNext/>
        <w:spacing w:before="180" w:after="80" w:line="276" w:lineRule="auto"/>
      </w:pPr>
      <w:r>
        <w:rPr>
          <w:rFonts w:ascii="Times New Roman" w:hAnsi="Times New Roman" w:eastAsia="Times New Roman"/>
          <w:b/>
          <w:bCs/>
          <w:color w:val="000000"/>
          <w:sz w:val="24"/>
          <w:szCs w:val="24"/>
        </w:rPr>
        <w:t>1.9.7 Preventive and wellness-oriented services</w:t>
      </w:r>
    </w:p>
    <w:p>
      <w:pPr>
        <w:spacing w:before="60" w:after="120" w:line="276" w:lineRule="auto"/>
        <w:ind w:firstLine="284"/>
        <w:jc w:val="both"/>
      </w:pPr>
      <w:r>
        <w:rPr>
          <w:rFonts w:ascii="Times New Roman" w:hAnsi="Times New Roman" w:eastAsia="Times New Roman"/>
          <w:color w:val="000000"/>
          <w:sz w:val="24"/>
          <w:szCs w:val="24"/>
        </w:rPr>
        <w:t xml:space="preserve">Preventive applications use individual-level risk information to target screening, surveillance, or behavioral intervention before disease is present. Because the intervention is offered to people who are not ill, this modality raises questions of overdiagnosis, psychological harm, and appropriate consent with particular force, and its economic case depends on long time horizons that most health-system budget cycles do not accommodate.</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1.10 Classification of Precision Medicine Applications</w:t>
      </w:r>
    </w:p>
    <w:p>
      <w:pPr>
        <w:spacing w:before="60" w:after="120" w:line="276" w:lineRule="auto"/>
        <w:ind w:firstLine="284"/>
        <w:jc w:val="both"/>
      </w:pPr>
      <w:r>
        <w:rPr>
          <w:rFonts w:ascii="Times New Roman" w:hAnsi="Times New Roman" w:eastAsia="Times New Roman"/>
          <w:color w:val="000000"/>
          <w:sz w:val="24"/>
          <w:szCs w:val="24"/>
        </w:rPr>
        <w:t xml:space="preserve">Modality is one axis of classification but not the only useful one. Four further classifications help clarify what a given precision-medicine application demands of the institution deploying it.</w:t>
      </w:r>
    </w:p>
    <w:p>
      <w:pPr>
        <w:keepNext/>
        <w:spacing w:before="180" w:after="80" w:line="276" w:lineRule="auto"/>
      </w:pPr>
      <w:r>
        <w:rPr>
          <w:rFonts w:ascii="Times New Roman" w:hAnsi="Times New Roman" w:eastAsia="Times New Roman"/>
          <w:b/>
          <w:bCs/>
          <w:color w:val="000000"/>
          <w:sz w:val="24"/>
          <w:szCs w:val="24"/>
        </w:rPr>
        <w:t>1.10.1 By level of care</w:t>
      </w:r>
    </w:p>
    <w:p>
      <w:pPr>
        <w:spacing w:before="60" w:after="120" w:line="276" w:lineRule="auto"/>
        <w:ind w:firstLine="284"/>
        <w:jc w:val="both"/>
      </w:pPr>
      <w:r>
        <w:rPr>
          <w:rFonts w:ascii="Times New Roman" w:hAnsi="Times New Roman" w:eastAsia="Times New Roman"/>
          <w:color w:val="000000"/>
          <w:sz w:val="24"/>
          <w:szCs w:val="24"/>
        </w:rPr>
        <w:t xml:space="preserve">Applications may be located in primary, secondary, or tertiary care, and the level determines much of the organizational burden. Primary-care applications, such as pharmacogenomic-guided prescribing in general practice, involve high patient volumes, generalist clinicians, and short consultations, which places the burden on automated decision support and clear referral routes. Tertiary applications, such as rare-disease sequencing, involve lower volumes, specialist clinicians, and complex multidisciplinary interpretation, which places the burden on expert capacity and coordination rather than on automation.</w:t>
      </w:r>
    </w:p>
    <w:p>
      <w:pPr>
        <w:keepNext/>
        <w:spacing w:before="180" w:after="80" w:line="276" w:lineRule="auto"/>
      </w:pPr>
      <w:r>
        <w:rPr>
          <w:rFonts w:ascii="Times New Roman" w:hAnsi="Times New Roman" w:eastAsia="Times New Roman"/>
          <w:b/>
          <w:bCs/>
          <w:color w:val="000000"/>
          <w:sz w:val="24"/>
          <w:szCs w:val="24"/>
        </w:rPr>
        <w:t>1.10.2 By type of institution</w:t>
      </w:r>
    </w:p>
    <w:p>
      <w:pPr>
        <w:spacing w:before="60" w:after="120" w:line="276" w:lineRule="auto"/>
        <w:ind w:firstLine="284"/>
        <w:jc w:val="both"/>
      </w:pPr>
      <w:r>
        <w:rPr>
          <w:rFonts w:ascii="Times New Roman" w:hAnsi="Times New Roman" w:eastAsia="Times New Roman"/>
          <w:color w:val="000000"/>
          <w:sz w:val="24"/>
          <w:szCs w:val="24"/>
        </w:rPr>
        <w:t xml:space="preserve">The institutional setting shapes both capability and constraint. Academic medical centers typically possess research infrastructure, specialist expertise, and access to grant funding, and they generate a disproportionate share of the published implementation literature. Government or ministry-operated systems possess policy authority and population reach but may face procurement and staffing rigidities. Private hospitals and insurers face direct reimbursement constraints and competitive pressures. Community and primary-care organizations typically have the widest reach and the least specialist capacity. Because the evidence base is weighted toward the first of these, its transferability to the others cannot be assumed.</w:t>
      </w:r>
    </w:p>
    <w:p>
      <w:pPr>
        <w:keepNext/>
        <w:spacing w:before="180" w:after="80" w:line="276" w:lineRule="auto"/>
      </w:pPr>
      <w:r>
        <w:rPr>
          <w:rFonts w:ascii="Times New Roman" w:hAnsi="Times New Roman" w:eastAsia="Times New Roman"/>
          <w:b/>
          <w:bCs/>
          <w:color w:val="000000"/>
          <w:sz w:val="24"/>
          <w:szCs w:val="24"/>
        </w:rPr>
        <w:t>1.10.3 By type of decision affected</w:t>
      </w:r>
    </w:p>
    <w:p>
      <w:pPr>
        <w:spacing w:before="60" w:after="120" w:line="276" w:lineRule="auto"/>
        <w:ind w:firstLine="284"/>
        <w:jc w:val="both"/>
      </w:pPr>
      <w:r>
        <w:rPr>
          <w:rFonts w:ascii="Times New Roman" w:hAnsi="Times New Roman" w:eastAsia="Times New Roman"/>
          <w:color w:val="000000"/>
          <w:sz w:val="24"/>
          <w:szCs w:val="24"/>
        </w:rPr>
        <w:t xml:space="preserve">Applications can be classified by what they change: a diagnosis, a therapy selection, a dose, a screening interval, a surveillance plan, or a prevention offer. This classification is operationally the most useful of the four, because the decision determines who must act, when, and with what supporting information. An application that changes no identifiable decision cannot be implemented in any meaningful sense, whatever its analytical performance, and the requirement to name the decision before acquiring the tool is a recurring theme of this study.</w:t>
      </w:r>
    </w:p>
    <w:p>
      <w:pPr>
        <w:keepNext/>
        <w:spacing w:before="180" w:after="80" w:line="276" w:lineRule="auto"/>
      </w:pPr>
      <w:r>
        <w:rPr>
          <w:rFonts w:ascii="Times New Roman" w:hAnsi="Times New Roman" w:eastAsia="Times New Roman"/>
          <w:b/>
          <w:bCs/>
          <w:color w:val="000000"/>
          <w:sz w:val="24"/>
          <w:szCs w:val="24"/>
        </w:rPr>
        <w:t>1.10.4 By evidence maturity</w:t>
      </w:r>
    </w:p>
    <w:p>
      <w:pPr>
        <w:spacing w:before="60" w:after="120" w:line="276" w:lineRule="auto"/>
        <w:ind w:firstLine="284"/>
        <w:jc w:val="both"/>
      </w:pPr>
      <w:r>
        <w:rPr>
          <w:rFonts w:ascii="Times New Roman" w:hAnsi="Times New Roman" w:eastAsia="Times New Roman"/>
          <w:color w:val="000000"/>
          <w:sz w:val="24"/>
          <w:szCs w:val="24"/>
        </w:rPr>
        <w:t xml:space="preserve">Applications may be classified by the stage of evidence they have reached: analytical validity, clinical validity, clinical utility, and implementation evidence. The four are sequential in principle but progress unevenly in practice, and a substantial part of the difficulty examined in this study arises from applications that possess the first three and lack the fourth. Distinguishing implementation evidence from the preceding categories is accordingly one of the methodological commitments of the research.</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1.11 The Concept of Implementation</w:t>
      </w:r>
    </w:p>
    <w:p>
      <w:pPr>
        <w:keepNext/>
        <w:spacing w:before="180" w:after="80" w:line="276" w:lineRule="auto"/>
      </w:pPr>
      <w:r>
        <w:rPr>
          <w:rFonts w:ascii="Times New Roman" w:hAnsi="Times New Roman" w:eastAsia="Times New Roman"/>
          <w:b/>
          <w:bCs/>
          <w:color w:val="000000"/>
          <w:sz w:val="24"/>
          <w:szCs w:val="24"/>
        </w:rPr>
        <w:t>1.11.1 Defining implementation</w:t>
      </w:r>
    </w:p>
    <w:p>
      <w:pPr>
        <w:spacing w:before="60" w:after="120" w:line="276" w:lineRule="auto"/>
        <w:ind w:firstLine="284"/>
        <w:jc w:val="both"/>
      </w:pPr>
      <w:r>
        <w:rPr>
          <w:rFonts w:ascii="Times New Roman" w:hAnsi="Times New Roman" w:eastAsia="Times New Roman"/>
          <w:color w:val="000000"/>
          <w:sz w:val="24"/>
          <w:szCs w:val="24"/>
        </w:rPr>
        <w:t xml:space="preserve">Implementation, in the sense used here, refers to the organized activities by which an evidence-based practice is put into routine use in a real service setting. It is distinguished from the underlying intervention: a pharmacogenomic test is an intervention, while the process of establishing an ordering pathway, a reporting route, a decision-support rule, and an accountable clinician is implementation. This distinction is the foundation of implementation science as a field, which developed in response to the persistent observation that effective interventions frequently fail to reach the patients who would benefit from them.</w:t>
      </w:r>
    </w:p>
    <w:p>
      <w:pPr>
        <w:keepNext/>
        <w:spacing w:before="180" w:after="80" w:line="276" w:lineRule="auto"/>
      </w:pPr>
      <w:r>
        <w:rPr>
          <w:rFonts w:ascii="Times New Roman" w:hAnsi="Times New Roman" w:eastAsia="Times New Roman"/>
          <w:b/>
          <w:bCs/>
          <w:color w:val="000000"/>
          <w:sz w:val="24"/>
          <w:szCs w:val="24"/>
        </w:rPr>
        <w:t>1.11.2 Related concepts distinguished</w:t>
      </w:r>
    </w:p>
    <w:p>
      <w:pPr>
        <w:spacing w:before="60" w:after="120" w:line="276" w:lineRule="auto"/>
        <w:ind w:firstLine="284"/>
        <w:jc w:val="both"/>
      </w:pPr>
      <w:r>
        <w:rPr>
          <w:rFonts w:ascii="Times New Roman" w:hAnsi="Times New Roman" w:eastAsia="Times New Roman"/>
          <w:color w:val="000000"/>
          <w:sz w:val="24"/>
          <w:szCs w:val="24"/>
        </w:rPr>
        <w:t xml:space="preserve">Several adjacent terms are frequently conflated. </w:t>
      </w:r>
      <w:r>
        <w:rPr>
          <w:rFonts w:ascii="Times New Roman" w:hAnsi="Times New Roman" w:eastAsia="Times New Roman"/>
          <w:b/>
          <w:bCs/>
          <w:color w:val="000000"/>
          <w:sz w:val="24"/>
          <w:szCs w:val="24"/>
        </w:rPr>
        <w:t xml:space="preserve">Adoption</w:t>
      </w:r>
      <w:r>
        <w:rPr>
          <w:rFonts w:ascii="Times New Roman" w:hAnsi="Times New Roman" w:eastAsia="Times New Roman"/>
          <w:color w:val="000000"/>
          <w:sz w:val="24"/>
          <w:szCs w:val="24"/>
        </w:rPr>
        <w:t xml:space="preserve"> denotes the decision by an individual or organization to begin using a practice, and is therefore a point event rather than a process. </w:t>
      </w:r>
      <w:r>
        <w:rPr>
          <w:rFonts w:ascii="Times New Roman" w:hAnsi="Times New Roman" w:eastAsia="Times New Roman"/>
          <w:b/>
          <w:bCs/>
          <w:color w:val="000000"/>
          <w:sz w:val="24"/>
          <w:szCs w:val="24"/>
        </w:rPr>
        <w:t xml:space="preserve">Diffusion</w:t>
      </w:r>
      <w:r>
        <w:rPr>
          <w:rFonts w:ascii="Times New Roman" w:hAnsi="Times New Roman" w:eastAsia="Times New Roman"/>
          <w:color w:val="000000"/>
          <w:sz w:val="24"/>
          <w:szCs w:val="24"/>
        </w:rPr>
        <w:t xml:space="preserve"> denotes the largely passive spread of a practice through a population over time, whereas implementation denotes deliberate and planned effort. </w:t>
      </w:r>
      <w:r>
        <w:rPr>
          <w:rFonts w:ascii="Times New Roman" w:hAnsi="Times New Roman" w:eastAsia="Times New Roman"/>
          <w:b/>
          <w:bCs/>
          <w:color w:val="000000"/>
          <w:sz w:val="24"/>
          <w:szCs w:val="24"/>
        </w:rPr>
        <w:t xml:space="preserve">Dissemination</w:t>
      </w:r>
      <w:r>
        <w:rPr>
          <w:rFonts w:ascii="Times New Roman" w:hAnsi="Times New Roman" w:eastAsia="Times New Roman"/>
          <w:color w:val="000000"/>
          <w:sz w:val="24"/>
          <w:szCs w:val="24"/>
        </w:rPr>
        <w:t xml:space="preserve"> denotes the active communication of evidence to a target audience, which may precede implementation without producing it. </w:t>
      </w:r>
      <w:r>
        <w:rPr>
          <w:rFonts w:ascii="Times New Roman" w:hAnsi="Times New Roman" w:eastAsia="Times New Roman"/>
          <w:b/>
          <w:bCs/>
          <w:color w:val="000000"/>
          <w:sz w:val="24"/>
          <w:szCs w:val="24"/>
        </w:rPr>
        <w:t xml:space="preserve">Scale-up</w:t>
      </w:r>
      <w:r>
        <w:rPr>
          <w:rFonts w:ascii="Times New Roman" w:hAnsi="Times New Roman" w:eastAsia="Times New Roman"/>
          <w:color w:val="000000"/>
          <w:sz w:val="24"/>
          <w:szCs w:val="24"/>
        </w:rPr>
        <w:t xml:space="preserve"> denotes the extension of an already implemented practice to greater coverage. </w:t>
      </w:r>
      <w:r>
        <w:rPr>
          <w:rFonts w:ascii="Times New Roman" w:hAnsi="Times New Roman" w:eastAsia="Times New Roman"/>
          <w:b/>
          <w:bCs/>
          <w:color w:val="000000"/>
          <w:sz w:val="24"/>
          <w:szCs w:val="24"/>
        </w:rPr>
        <w:t xml:space="preserve">Sustainability</w:t>
      </w:r>
      <w:r>
        <w:rPr>
          <w:rFonts w:ascii="Times New Roman" w:hAnsi="Times New Roman" w:eastAsia="Times New Roman"/>
          <w:color w:val="000000"/>
          <w:sz w:val="24"/>
          <w:szCs w:val="24"/>
        </w:rPr>
        <w:t xml:space="preserve"> denotes continued use after initial implementation support ends, and is the stage at which many precision-medicine pilots demonstrably fail. </w:t>
      </w:r>
      <w:r>
        <w:rPr>
          <w:rFonts w:ascii="Times New Roman" w:hAnsi="Times New Roman" w:eastAsia="Times New Roman"/>
          <w:b/>
          <w:bCs/>
          <w:color w:val="000000"/>
          <w:sz w:val="24"/>
          <w:szCs w:val="24"/>
        </w:rPr>
        <w:t xml:space="preserve">De-implementation</w:t>
      </w:r>
      <w:r>
        <w:rPr>
          <w:rFonts w:ascii="Times New Roman" w:hAnsi="Times New Roman" w:eastAsia="Times New Roman"/>
          <w:color w:val="000000"/>
          <w:sz w:val="24"/>
          <w:szCs w:val="24"/>
        </w:rPr>
        <w:t xml:space="preserve">, the deliberate withdrawal of a practice that is ineffective, superseded, or harmful, is the least studied of these and is particularly relevant to a field in which the evidence base changes rapidly.</w:t>
      </w:r>
    </w:p>
    <w:p>
      <w:pPr>
        <w:keepNext/>
        <w:spacing w:before="180" w:after="80" w:line="276" w:lineRule="auto"/>
      </w:pPr>
      <w:r>
        <w:rPr>
          <w:rFonts w:ascii="Times New Roman" w:hAnsi="Times New Roman" w:eastAsia="Times New Roman"/>
          <w:b/>
          <w:bCs/>
          <w:color w:val="000000"/>
          <w:sz w:val="24"/>
          <w:szCs w:val="24"/>
        </w:rPr>
        <w:t>1.11.3 The research-to-practice gap</w:t>
      </w:r>
    </w:p>
    <w:p>
      <w:pPr>
        <w:spacing w:before="60" w:after="120" w:line="276" w:lineRule="auto"/>
        <w:ind w:firstLine="284"/>
        <w:jc w:val="both"/>
      </w:pPr>
      <w:r>
        <w:rPr>
          <w:rFonts w:ascii="Times New Roman" w:hAnsi="Times New Roman" w:eastAsia="Times New Roman"/>
          <w:color w:val="000000"/>
          <w:sz w:val="24"/>
          <w:szCs w:val="24"/>
        </w:rPr>
        <w:t xml:space="preserve">The recurring empirical observation motivating implementation science is the long and variable delay between the generation of clinical evidence and its routine application, together with the substantial proportion of evidence that never reaches routine use at all. Precision medicine is unusually exposed to this gap for three reasons. Its evidence base changes faster than clinical guidelines are typically revised. Its benefits are frequently realized at a different point in the system, and in a different budget, from where its costs are incurred. And it requires coordinated change across laboratory, informatics, pharmacy, and clinical functions simultaneously, so that a deficiency in any one of them is sufficient to prevent delivery.</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1.12 Theories and Models of Implementation Science</w:t>
      </w:r>
    </w:p>
    <w:p>
      <w:pPr>
        <w:spacing w:before="60" w:after="120" w:line="276" w:lineRule="auto"/>
        <w:ind w:firstLine="284"/>
        <w:jc w:val="both"/>
      </w:pPr>
      <w:r>
        <w:rPr>
          <w:rFonts w:ascii="Times New Roman" w:hAnsi="Times New Roman" w:eastAsia="Times New Roman"/>
          <w:color w:val="000000"/>
          <w:sz w:val="24"/>
          <w:szCs w:val="24"/>
        </w:rPr>
        <w:t xml:space="preserve">Implementation science offers a substantial body of theoretical work, and the choice among available frameworks is consequential rather than arbitrary. Frameworks differ in purpose: some describe the process of implementation, some identify the determinants that influence it, and some specify the outcomes by which it should be evaluated. The frameworks most relevant to the present study are set out below, followed by the reasoning behind the selection made.</w:t>
      </w:r>
    </w:p>
    <w:p>
      <w:pPr>
        <w:keepNext/>
        <w:spacing w:before="180" w:after="80" w:line="276" w:lineRule="auto"/>
      </w:pPr>
      <w:r>
        <w:rPr>
          <w:rFonts w:ascii="Times New Roman" w:hAnsi="Times New Roman" w:eastAsia="Times New Roman"/>
          <w:b/>
          <w:bCs/>
          <w:color w:val="000000"/>
          <w:sz w:val="24"/>
          <w:szCs w:val="24"/>
        </w:rPr>
        <w:t>1.12.1 The Consolidated Framework for Implementation Research</w:t>
      </w:r>
    </w:p>
    <w:p>
      <w:pPr>
        <w:spacing w:before="60" w:after="120" w:line="276" w:lineRule="auto"/>
        <w:ind w:firstLine="284"/>
        <w:jc w:val="both"/>
      </w:pPr>
      <w:r>
        <w:rPr>
          <w:rFonts w:ascii="Times New Roman" w:hAnsi="Times New Roman" w:eastAsia="Times New Roman"/>
          <w:color w:val="000000"/>
          <w:sz w:val="24"/>
          <w:szCs w:val="24"/>
        </w:rPr>
        <w:t xml:space="preserve">The Consolidated Framework for Implementation Research (Damschroder et al., 2009) is a determinant framework that consolidates constructs from a wide body of earlier theory into five domains: the characteristics of the intervention itself, the outer setting comprising the external policy and economic environment, the inner setting comprising the structure, culture, and climate of the implementing organization, the characteristics of the individuals involved, and the implementation process. Its principal contribution to the present study is the inner-setting and outer-setting distinction, which separates conditions an institution controls from conditions it must negotiate, and which maps directly onto the separation of leadership and workforce from governance and policy in the framework used here.</w:t>
      </w:r>
    </w:p>
    <w:p>
      <w:pPr>
        <w:keepNext/>
        <w:spacing w:before="180" w:after="80" w:line="276" w:lineRule="auto"/>
      </w:pPr>
      <w:r>
        <w:rPr>
          <w:rFonts w:ascii="Times New Roman" w:hAnsi="Times New Roman" w:eastAsia="Times New Roman"/>
          <w:b/>
          <w:bCs/>
          <w:color w:val="000000"/>
          <w:sz w:val="24"/>
          <w:szCs w:val="24"/>
        </w:rPr>
        <w:t>1.12.2 Proctor’s taxonomy of implementation outcomes</w:t>
      </w:r>
    </w:p>
    <w:p>
      <w:pPr>
        <w:spacing w:before="60" w:after="120" w:line="276" w:lineRule="auto"/>
        <w:ind w:firstLine="284"/>
        <w:jc w:val="both"/>
      </w:pPr>
      <w:r>
        <w:rPr>
          <w:rFonts w:ascii="Times New Roman" w:hAnsi="Times New Roman" w:eastAsia="Times New Roman"/>
          <w:color w:val="000000"/>
          <w:sz w:val="24"/>
          <w:szCs w:val="24"/>
        </w:rPr>
        <w:t xml:space="preserve">Proctor and colleagues (2011) specify a taxonomy of implementation outcomes, including acceptability, adoption, appropriateness, feasibility, fidelity, implementation cost, penetration, and sustainability, and insist on their separation from service outcomes and from clinical outcomes. This separation is methodologically decisive for the present study. It is the rule that excludes analytical-validation and clinical-efficacy studies from the evidence base, on the grounds that a study demonstrating that a test performs accurately says nothing about whether a health system can deliver it.</w:t>
      </w:r>
    </w:p>
    <w:p>
      <w:pPr>
        <w:keepNext/>
        <w:spacing w:before="180" w:after="80" w:line="276" w:lineRule="auto"/>
      </w:pPr>
      <w:r>
        <w:rPr>
          <w:rFonts w:ascii="Times New Roman" w:hAnsi="Times New Roman" w:eastAsia="Times New Roman"/>
          <w:b/>
          <w:bCs/>
          <w:color w:val="000000"/>
          <w:sz w:val="24"/>
          <w:szCs w:val="24"/>
        </w:rPr>
        <w:t>1.12.3 Weiner’s theory of organizational readiness for change</w:t>
      </w:r>
    </w:p>
    <w:p>
      <w:pPr>
        <w:spacing w:before="60" w:after="120" w:line="276" w:lineRule="auto"/>
        <w:ind w:firstLine="284"/>
        <w:jc w:val="both"/>
      </w:pPr>
      <w:r>
        <w:rPr>
          <w:rFonts w:ascii="Times New Roman" w:hAnsi="Times New Roman" w:eastAsia="Times New Roman"/>
          <w:color w:val="000000"/>
          <w:sz w:val="24"/>
          <w:szCs w:val="24"/>
        </w:rPr>
        <w:t xml:space="preserve">Weiner (2009) theorizes organizational readiness as a shared psychological state comprising two components: change commitment, meaning the collective resolve to pursue the change, and change efficacy, meaning the shared belief in the collective capability to enact it. The theory holds that readiness is a property of the organization rather than an aggregate of individual attitudes, and that commitment without capability produces initiatives that begin and stall. This is the conceptual basis for treating readiness in the present study as a multi-domain organizational property rather than as a single score, and for the position that a health system may be genuinely committed to precision medicine and simultaneously unready for it.</w:t>
      </w:r>
    </w:p>
    <w:p>
      <w:pPr>
        <w:keepNext/>
        <w:spacing w:before="180" w:after="80" w:line="276" w:lineRule="auto"/>
      </w:pPr>
      <w:r>
        <w:rPr>
          <w:rFonts w:ascii="Times New Roman" w:hAnsi="Times New Roman" w:eastAsia="Times New Roman"/>
          <w:b/>
          <w:bCs/>
          <w:color w:val="000000"/>
          <w:sz w:val="24"/>
          <w:szCs w:val="24"/>
        </w:rPr>
        <w:t>1.12.4 Normalization Process Theory</w:t>
      </w:r>
    </w:p>
    <w:p>
      <w:pPr>
        <w:spacing w:before="60" w:after="120" w:line="276" w:lineRule="auto"/>
        <w:ind w:firstLine="284"/>
        <w:jc w:val="both"/>
      </w:pPr>
      <w:r>
        <w:rPr>
          <w:rFonts w:ascii="Times New Roman" w:hAnsi="Times New Roman" w:eastAsia="Times New Roman"/>
          <w:color w:val="000000"/>
          <w:sz w:val="24"/>
          <w:szCs w:val="24"/>
        </w:rPr>
        <w:t xml:space="preserve">Normalization Process Theory addresses the work that individuals and groups perform to embed a practice into routine, organized around coherence, meaning the sense-making that establishes what the practice is for; cognitive participation, meaning the relational work of enrolling people in it; collective action, meaning the operational work of enacting it; and reflexive monitoring, meaning the appraisal of its effects. Its emphasis on the labour required to make a practice routine is directly relevant to precision medicine, where the additional work created for clinicians is frequently underestimated at the point of adoption.</w:t>
      </w:r>
    </w:p>
    <w:p>
      <w:pPr>
        <w:keepNext/>
        <w:spacing w:before="180" w:after="80" w:line="276" w:lineRule="auto"/>
      </w:pPr>
      <w:r>
        <w:rPr>
          <w:rFonts w:ascii="Times New Roman" w:hAnsi="Times New Roman" w:eastAsia="Times New Roman"/>
          <w:b/>
          <w:bCs/>
          <w:color w:val="000000"/>
          <w:sz w:val="24"/>
          <w:szCs w:val="24"/>
        </w:rPr>
        <w:t>1.12.5 RE-AIM</w:t>
      </w:r>
    </w:p>
    <w:p>
      <w:pPr>
        <w:spacing w:before="60" w:after="120" w:line="276" w:lineRule="auto"/>
        <w:ind w:firstLine="284"/>
        <w:jc w:val="both"/>
      </w:pPr>
      <w:r>
        <w:rPr>
          <w:rFonts w:ascii="Times New Roman" w:hAnsi="Times New Roman" w:eastAsia="Times New Roman"/>
          <w:color w:val="000000"/>
          <w:sz w:val="24"/>
          <w:szCs w:val="24"/>
        </w:rPr>
        <w:t xml:space="preserve">The RE-AIM framework evaluates interventions across reach, effectiveness, adoption, implementation, and maintenance, and is principally an evaluation rather than a determinant framework. Its value for the present study is its insistence on reach and maintenance, which correspond to questions frequently unasked in precision-medicine pilots: which patients actually received the service, and did it continue after the initial funding ended.</w:t>
      </w:r>
    </w:p>
    <w:p>
      <w:pPr>
        <w:keepNext/>
        <w:spacing w:before="180" w:after="80" w:line="276" w:lineRule="auto"/>
      </w:pPr>
      <w:r>
        <w:rPr>
          <w:rFonts w:ascii="Times New Roman" w:hAnsi="Times New Roman" w:eastAsia="Times New Roman"/>
          <w:b/>
          <w:bCs/>
          <w:color w:val="000000"/>
          <w:sz w:val="24"/>
          <w:szCs w:val="24"/>
        </w:rPr>
        <w:t>1.12.6 Diffusion of Innovations</w:t>
      </w:r>
    </w:p>
    <w:p>
      <w:pPr>
        <w:spacing w:before="60" w:after="120" w:line="276" w:lineRule="auto"/>
        <w:ind w:firstLine="284"/>
        <w:jc w:val="both"/>
      </w:pPr>
      <w:r>
        <w:rPr>
          <w:rFonts w:ascii="Times New Roman" w:hAnsi="Times New Roman" w:eastAsia="Times New Roman"/>
          <w:color w:val="000000"/>
          <w:sz w:val="24"/>
          <w:szCs w:val="24"/>
        </w:rPr>
        <w:t xml:space="preserve">Diffusion of Innovations theory explains the spread of a new practice through a social system as a function of the innovation’s perceived relative advantage, compatibility, complexity, trialability, and observability, mediated by communication channels and opinion leaders. It clarifies why precision medicine diffuses unevenly across modalities: pharmacogenomics scores comparatively well on compatibility and trialability because it modifies an existing prescribing decision, whereas multimodal and AI-enabled approaches score poorly on complexity and observability.</w:t>
      </w:r>
    </w:p>
    <w:p>
      <w:pPr>
        <w:keepNext/>
        <w:spacing w:before="180" w:after="80" w:line="276" w:lineRule="auto"/>
      </w:pPr>
      <w:r>
        <w:rPr>
          <w:rFonts w:ascii="Times New Roman" w:hAnsi="Times New Roman" w:eastAsia="Times New Roman"/>
          <w:b/>
          <w:bCs/>
          <w:color w:val="000000"/>
          <w:sz w:val="24"/>
          <w:szCs w:val="24"/>
        </w:rPr>
        <w:t>1.12.7 Selection of frameworks for the present study</w:t>
      </w:r>
    </w:p>
    <w:p>
      <w:pPr>
        <w:spacing w:before="60" w:after="120" w:line="276" w:lineRule="auto"/>
        <w:ind w:firstLine="284"/>
        <w:jc w:val="both"/>
      </w:pPr>
      <w:r>
        <w:rPr>
          <w:rFonts w:ascii="Times New Roman" w:hAnsi="Times New Roman" w:eastAsia="Times New Roman"/>
          <w:color w:val="000000"/>
          <w:sz w:val="24"/>
          <w:szCs w:val="24"/>
        </w:rPr>
        <w:t xml:space="preserve">No single framework is adequate alone. Determinant frameworks identify what matters but do not specify how to evaluate it; outcome taxonomies specify evaluation but do not identify determinants; process theories describe the work but not the organizational preconditions. The present study therefore uses three in combination and for distinct purposes: Weiner supplies the conception of readiness as a multi-domain organizational property, the Consolidated Framework supplies the vocabulary for distinguishing organizational levels, and Proctor supplies the rule separating implementation evidence from clinical evidence. The remaining frameworks are used interpretively where relevant rather than as coding instruments.</w:t>
      </w:r>
    </w:p>
    <w:p>
      <w:pPr>
        <w:keepNext/>
        <w:spacing w:before="200" w:after="80"/>
        <w:jc w:val="center"/>
      </w:pPr>
      <w:r>
        <w:rPr>
          <w:rFonts w:ascii="Times New Roman" w:hAnsi="Times New Roman" w:eastAsia="Times New Roman"/>
          <w:b/>
          <w:bCs/>
          <w:color w:val="000000"/>
          <w:sz w:val="20"/>
          <w:szCs w:val="20"/>
        </w:rPr>
        <w:t xml:space="preserve">Table 1.1:</w:t>
      </w:r>
      <w:r>
        <w:rPr>
          <w:rFonts w:ascii="Times New Roman" w:hAnsi="Times New Roman" w:eastAsia="Times New Roman"/>
          <w:color w:val="000000"/>
          <w:sz w:val="20"/>
          <w:szCs w:val="20"/>
        </w:rPr>
        <w:t xml:space="preserve"> Comparison of the principal implementation-science frameworks and the role of each in the present study.</w:t>
      </w:r>
    </w:p>
    <w:tbl>
      <w:tblPr>
        <w:tblW w:w="9300" w:type="dxa"/>
        <w:jc w:val="center"/>
        <w:tblLook w:val="0000"/>
      </w:tblPr>
      <w:tblGrid>
        <w:gridCol w:w="1750"/>
        <w:gridCol w:w="1050"/>
        <w:gridCol w:w="1700"/>
        <w:gridCol w:w="2200"/>
        <w:gridCol w:w="2600"/>
      </w:tblGrid>
      <w:tr>
        <w:trPr>
          <w:cantSplit/>
          <w:tblHeader/>
        </w:trPr>
        <w:tc>
          <w:tcPr>
            <w:tcW w:w="175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Framework</w:t>
            </w:r>
          </w:p>
        </w:tc>
        <w:tc>
          <w:tcPr>
            <w:tcW w:w="105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Type</w:t>
            </w:r>
          </w:p>
        </w:tc>
        <w:tc>
          <w:tcPr>
            <w:tcW w:w="170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Principal purpose</w:t>
            </w:r>
          </w:p>
        </w:tc>
        <w:tc>
          <w:tcPr>
            <w:tcW w:w="220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Core constructs</w:t>
            </w:r>
          </w:p>
        </w:tc>
        <w:tc>
          <w:tcPr>
            <w:tcW w:w="260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Use in this study</w:t>
            </w:r>
          </w:p>
        </w:tc>
      </w:tr>
      <w:tr>
        <w:trPr>
          <w:cantSplit/>
        </w:trPr>
        <w:tc>
          <w:tcPr>
            <w:tcW w:w="17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Diffusion of Innovations</w:t>
            </w:r>
          </w:p>
        </w:tc>
        <w:tc>
          <w:tcPr>
            <w:tcW w:w="10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Classic theory</w:t>
            </w:r>
          </w:p>
        </w:tc>
        <w:tc>
          <w:tcPr>
            <w:tcW w:w="17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Explains why a practice spreads or does not</w:t>
            </w:r>
          </w:p>
        </w:tc>
        <w:tc>
          <w:tcPr>
            <w:tcW w:w="2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Relative advantage, compatibility, complexity, trialability, observability</w:t>
            </w:r>
          </w:p>
        </w:tc>
        <w:tc>
          <w:tcPr>
            <w:tcW w:w="2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Explains uneven spread across modalities; not prescriptive for an institution</w:t>
            </w:r>
          </w:p>
        </w:tc>
      </w:tr>
      <w:tr>
        <w:trPr>
          <w:cantSplit/>
        </w:trPr>
        <w:tc>
          <w:tcPr>
            <w:tcW w:w="17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Consolidated Framework for Implementation Research (Damschroder et al., 2009)</w:t>
            </w:r>
          </w:p>
        </w:tc>
        <w:tc>
          <w:tcPr>
            <w:tcW w:w="10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Determinant framework</w:t>
            </w:r>
          </w:p>
        </w:tc>
        <w:tc>
          <w:tcPr>
            <w:tcW w:w="17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Identifies factors influencing implementation</w:t>
            </w:r>
          </w:p>
        </w:tc>
        <w:tc>
          <w:tcPr>
            <w:tcW w:w="2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Intervention characteristics; outer setting; inner setting; individuals; process</w:t>
            </w:r>
          </w:p>
        </w:tc>
        <w:tc>
          <w:tcPr>
            <w:tcW w:w="2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Supplies the inner and outer setting distinction used to separate leadership and workforce from governance and policy</w:t>
            </w:r>
          </w:p>
        </w:tc>
      </w:tr>
      <w:tr>
        <w:trPr>
          <w:cantSplit/>
        </w:trPr>
        <w:tc>
          <w:tcPr>
            <w:tcW w:w="17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Normalization Process Theory</w:t>
            </w:r>
          </w:p>
        </w:tc>
        <w:tc>
          <w:tcPr>
            <w:tcW w:w="10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Process theory</w:t>
            </w:r>
          </w:p>
        </w:tc>
        <w:tc>
          <w:tcPr>
            <w:tcW w:w="17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Explains the work of embedding a practice into routine</w:t>
            </w:r>
          </w:p>
        </w:tc>
        <w:tc>
          <w:tcPr>
            <w:tcW w:w="2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Coherence; cognitive participation; collective action; reflexive monitoring</w:t>
            </w:r>
          </w:p>
        </w:tc>
        <w:tc>
          <w:tcPr>
            <w:tcW w:w="2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Highlights the additional clinician workload that adoption decisions typically underestimate</w:t>
            </w:r>
          </w:p>
        </w:tc>
      </w:tr>
      <w:tr>
        <w:trPr>
          <w:cantSplit/>
        </w:trPr>
        <w:tc>
          <w:tcPr>
            <w:tcW w:w="17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Proctor et al. (2011) outcomes taxonomy</w:t>
            </w:r>
          </w:p>
        </w:tc>
        <w:tc>
          <w:tcPr>
            <w:tcW w:w="10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Outcome framework</w:t>
            </w:r>
          </w:p>
        </w:tc>
        <w:tc>
          <w:tcPr>
            <w:tcW w:w="17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Specifies what should be measured</w:t>
            </w:r>
          </w:p>
        </w:tc>
        <w:tc>
          <w:tcPr>
            <w:tcW w:w="2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Acceptability, adoption, appropriateness, feasibility, fidelity, cost, penetration, sustainability</w:t>
            </w:r>
          </w:p>
        </w:tc>
        <w:tc>
          <w:tcPr>
            <w:tcW w:w="2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Supplies the rule separating implementation evidence from clinical and analytical evidence</w:t>
            </w:r>
          </w:p>
        </w:tc>
      </w:tr>
      <w:tr>
        <w:trPr>
          <w:cantSplit/>
        </w:trPr>
        <w:tc>
          <w:tcPr>
            <w:tcW w:w="17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RE-AIM</w:t>
            </w:r>
          </w:p>
        </w:tc>
        <w:tc>
          <w:tcPr>
            <w:tcW w:w="10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Evaluation framework</w:t>
            </w:r>
          </w:p>
        </w:tc>
        <w:tc>
          <w:tcPr>
            <w:tcW w:w="17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Structures evaluation of an implemented programme</w:t>
            </w:r>
          </w:p>
        </w:tc>
        <w:tc>
          <w:tcPr>
            <w:tcW w:w="2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Reach; effectiveness; adoption; implementation; maintenance</w:t>
            </w:r>
          </w:p>
        </w:tc>
        <w:tc>
          <w:tcPr>
            <w:tcW w:w="2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Directs attention to reach and maintenance, both under-reported in precision-medicine pilots</w:t>
            </w:r>
          </w:p>
        </w:tc>
      </w:tr>
      <w:tr>
        <w:trPr>
          <w:cantSplit/>
        </w:trPr>
        <w:tc>
          <w:tcPr>
            <w:tcW w:w="17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Weiner (2009) organizational readiness</w:t>
            </w:r>
          </w:p>
        </w:tc>
        <w:tc>
          <w:tcPr>
            <w:tcW w:w="10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Determinant theory</w:t>
            </w:r>
          </w:p>
        </w:tc>
        <w:tc>
          <w:tcPr>
            <w:tcW w:w="17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Explains whether an organization can begin at all</w:t>
            </w:r>
          </w:p>
        </w:tc>
        <w:tc>
          <w:tcPr>
            <w:tcW w:w="2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Change commitment; change efficacy</w:t>
            </w:r>
          </w:p>
        </w:tc>
        <w:tc>
          <w:tcPr>
            <w:tcW w:w="2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Supplies the conception of readiness as a multi-domain organizational property, the basis of this study’s framework</w:t>
            </w:r>
          </w:p>
        </w:tc>
      </w:tr>
    </w:tbl>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1.13 The Concept of Organizational Readiness</w:t>
      </w:r>
    </w:p>
    <w:p>
      <w:pPr>
        <w:keepNext/>
        <w:spacing w:before="180" w:after="80" w:line="276" w:lineRule="auto"/>
      </w:pPr>
      <w:r>
        <w:rPr>
          <w:rFonts w:ascii="Times New Roman" w:hAnsi="Times New Roman" w:eastAsia="Times New Roman"/>
          <w:b/>
          <w:bCs/>
          <w:color w:val="000000"/>
          <w:sz w:val="24"/>
          <w:szCs w:val="24"/>
        </w:rPr>
        <w:t>1.13.1 Definition and components</w:t>
      </w:r>
    </w:p>
    <w:p>
      <w:pPr>
        <w:spacing w:before="60" w:after="120" w:line="276" w:lineRule="auto"/>
        <w:ind w:firstLine="284"/>
        <w:jc w:val="both"/>
      </w:pPr>
      <w:r>
        <w:rPr>
          <w:rFonts w:ascii="Times New Roman" w:hAnsi="Times New Roman" w:eastAsia="Times New Roman"/>
          <w:color w:val="000000"/>
          <w:sz w:val="24"/>
          <w:szCs w:val="24"/>
        </w:rPr>
        <w:t xml:space="preserve">Organizational readiness denotes the extent to which an organization is both willing and able to implement a specific change. The definition contains two elements that are frequently confused. Willingness concerns motivation, priority, and commitment; ability concerns capability, resources, and structural capacity. An organization high in willingness and low in ability produces enthusiastic initiatives that fail operationally, which is the characteristic failure mode observed in precision-medicine pilots. An organization high in ability and low in willingness possesses unused capacity, which is the characteristic pattern where genomic infrastructure exists without a clinical service attached to it.</w:t>
      </w:r>
    </w:p>
    <w:p>
      <w:pPr>
        <w:keepNext/>
        <w:spacing w:before="180" w:after="80" w:line="276" w:lineRule="auto"/>
      </w:pPr>
      <w:r>
        <w:rPr>
          <w:rFonts w:ascii="Times New Roman" w:hAnsi="Times New Roman" w:eastAsia="Times New Roman"/>
          <w:b/>
          <w:bCs/>
          <w:color w:val="000000"/>
          <w:sz w:val="24"/>
          <w:szCs w:val="24"/>
        </w:rPr>
        <w:t>1.13.2 Readiness as change-specific</w:t>
      </w:r>
    </w:p>
    <w:p>
      <w:pPr>
        <w:spacing w:before="60" w:after="120" w:line="276" w:lineRule="auto"/>
        <w:ind w:firstLine="284"/>
        <w:jc w:val="both"/>
      </w:pPr>
      <w:r>
        <w:rPr>
          <w:rFonts w:ascii="Times New Roman" w:hAnsi="Times New Roman" w:eastAsia="Times New Roman"/>
          <w:color w:val="000000"/>
          <w:sz w:val="24"/>
          <w:szCs w:val="24"/>
        </w:rPr>
        <w:t xml:space="preserve">Readiness is not a general organizational trait. An institution may be highly ready to implement one change and wholly unready for another, because readiness is defined in relation to a specific change with specific demands. This has a practical consequence for assessment: a readiness instrument is meaningful only where the change it refers to is specified. A hospital cannot be assessed as ready for precision medicine in general, only for a defined service such as pharmacogenomic-guided antiplatelet prescribing in a named patient group.</w:t>
      </w:r>
    </w:p>
    <w:p>
      <w:pPr>
        <w:keepNext/>
        <w:spacing w:before="180" w:after="80" w:line="276" w:lineRule="auto"/>
      </w:pPr>
      <w:r>
        <w:rPr>
          <w:rFonts w:ascii="Times New Roman" w:hAnsi="Times New Roman" w:eastAsia="Times New Roman"/>
          <w:b/>
          <w:bCs/>
          <w:color w:val="000000"/>
          <w:sz w:val="24"/>
          <w:szCs w:val="24"/>
        </w:rPr>
        <w:t>1.13.3 Levels of readiness</w:t>
      </w:r>
    </w:p>
    <w:p>
      <w:pPr>
        <w:spacing w:before="60" w:after="120" w:line="276" w:lineRule="auto"/>
        <w:ind w:firstLine="284"/>
        <w:jc w:val="both"/>
      </w:pPr>
      <w:r>
        <w:rPr>
          <w:rFonts w:ascii="Times New Roman" w:hAnsi="Times New Roman" w:eastAsia="Times New Roman"/>
          <w:color w:val="000000"/>
          <w:sz w:val="24"/>
          <w:szCs w:val="24"/>
        </w:rPr>
        <w:t xml:space="preserve">Readiness can be located at several levels: the individual clinician, the clinical team, the department, the institution, and the health system. These levels are not reducible to one another. A survey establishing that clinicians report interest in precision medicine measures individual attitude, not institutional readiness, and the two frequently diverge. This distinction is important for interpreting the regional evidence discussed in Chapter Two, much of which consists of surveys of individual attitude and is sometimes read as though it established institutional readiness.</w:t>
      </w:r>
    </w:p>
    <w:p>
      <w:pPr>
        <w:keepNext/>
        <w:spacing w:before="180" w:after="80" w:line="276" w:lineRule="auto"/>
      </w:pPr>
      <w:r>
        <w:rPr>
          <w:rFonts w:ascii="Times New Roman" w:hAnsi="Times New Roman" w:eastAsia="Times New Roman"/>
          <w:b/>
          <w:bCs/>
          <w:color w:val="000000"/>
          <w:sz w:val="24"/>
          <w:szCs w:val="24"/>
        </w:rPr>
        <w:t>1.13.4 Assessing readiness</w:t>
      </w:r>
    </w:p>
    <w:p>
      <w:pPr>
        <w:spacing w:before="60" w:after="120" w:line="276" w:lineRule="auto"/>
        <w:ind w:firstLine="284"/>
        <w:jc w:val="both"/>
      </w:pPr>
      <w:r>
        <w:rPr>
          <w:rFonts w:ascii="Times New Roman" w:hAnsi="Times New Roman" w:eastAsia="Times New Roman"/>
          <w:color w:val="000000"/>
          <w:sz w:val="24"/>
          <w:szCs w:val="24"/>
        </w:rPr>
        <w:t xml:space="preserve">Instruments for assessing readiness range from validated psychometric scales measuring the shared psychological state described by Weiner, through structured organizational audits of capability, to maturity models locating an institution on a developmental scale. Each has limitations. Psychometric scales measure perception rather than capability. Audits measure capability but not commitment. Maturity models impose a linear developmental sequence that may not describe how a given institution actually progresses. The framework proposed in the present study is closest to the second of these and is explicitly presented as requiring validation before use in decision-making.</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1.14 The Health System as the Unit of Analysis</w:t>
      </w:r>
    </w:p>
    <w:p>
      <w:pPr>
        <w:spacing w:before="60" w:after="120" w:line="276" w:lineRule="auto"/>
        <w:ind w:firstLine="284"/>
        <w:jc w:val="both"/>
      </w:pPr>
      <w:r>
        <w:rPr>
          <w:rFonts w:ascii="Times New Roman" w:hAnsi="Times New Roman" w:eastAsia="Times New Roman"/>
          <w:color w:val="000000"/>
          <w:sz w:val="24"/>
          <w:szCs w:val="24"/>
        </w:rPr>
        <w:t xml:space="preserve">Because this study locates its analysis at the level of the health system rather than the individual clinician or the single institution, it requires an account of what a health system consists of. The World Health Organization’s framework of health-system building blocks identifies six interdependent components: service delivery; the health workforce; health information systems; access to essential medicines and technologies; financing; and leadership and governance. The framework holds that system performance depends on all six and that strengthening one in isolation yields limited return.</w:t>
      </w:r>
    </w:p>
    <w:p>
      <w:pPr>
        <w:spacing w:before="60" w:after="120" w:line="276" w:lineRule="auto"/>
        <w:ind w:firstLine="284"/>
        <w:jc w:val="both"/>
      </w:pPr>
      <w:r>
        <w:rPr>
          <w:rFonts w:ascii="Times New Roman" w:hAnsi="Times New Roman" w:eastAsia="Times New Roman"/>
          <w:color w:val="000000"/>
          <w:sz w:val="24"/>
          <w:szCs w:val="24"/>
        </w:rPr>
        <w:t xml:space="preserve">This structure is useful for the present study for two reasons. It is the vocabulary in which ministries of health and health authorities already plan, which matters for a study intended to be decision-useful for such bodies. And it maps closely, though not perfectly, onto the domains in which the implementation literature reports precision-medicine conditions. The imperfection is instructive: the building-block framework contains no component corresponding to equity, ancestry representation, or the ethical handling of familial information, which the precision-medicine literature treats as first-order conditions. The seven-domain structure used here therefore adapts the building blocks rather than adopting them unchanged.</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1.15 The Seven-Domain Readiness Framework</w:t>
      </w:r>
    </w:p>
    <w:p>
      <w:pPr>
        <w:keepNext/>
        <w:spacing w:before="180" w:after="80" w:line="276" w:lineRule="auto"/>
      </w:pPr>
      <w:r>
        <w:rPr>
          <w:rFonts w:ascii="Times New Roman" w:hAnsi="Times New Roman" w:eastAsia="Times New Roman"/>
          <w:b/>
          <w:bCs/>
          <w:color w:val="000000"/>
          <w:sz w:val="24"/>
          <w:szCs w:val="24"/>
        </w:rPr>
        <w:t>1.15.1 Derivation of the domains</w:t>
      </w:r>
    </w:p>
    <w:p>
      <w:pPr>
        <w:spacing w:before="60" w:after="120" w:line="276" w:lineRule="auto"/>
        <w:ind w:firstLine="284"/>
        <w:jc w:val="both"/>
      </w:pPr>
      <w:r>
        <w:rPr>
          <w:rFonts w:ascii="Times New Roman" w:hAnsi="Times New Roman" w:eastAsia="Times New Roman"/>
          <w:color w:val="000000"/>
          <w:sz w:val="24"/>
          <w:szCs w:val="24"/>
        </w:rPr>
        <w:t xml:space="preserve">The seven domains used in this study were derived deductively rather than generated inductively from the retrieved literature. They were constructed by mapping the three implementation-science sources described above onto the health-system building blocks and then expressing the result at the level at which a health-system leader can act. Weiner supplies the premise that readiness is multi-domain. The Consolidated Framework supplies the inner and outer setting distinction that separates leadership and workforce from governance and policy. Proctor supplies the rule that keeps clinical-effectiveness content out of the framework altogether. The building blocks supply service delivery, workforce, information systems, and financing. The seventh domain, patient access, equity and ethics, was added because none of the preceding sources adequately represents ancestry representation, algorithmic fairness, or the familial implications of genomic results, which the precision-medicine literature treats as central rather than peripheral.</w:t>
      </w:r>
    </w:p>
    <w:p>
      <w:pPr>
        <w:keepNext/>
        <w:spacing w:before="180" w:after="80" w:line="276" w:lineRule="auto"/>
      </w:pPr>
      <w:r>
        <w:rPr>
          <w:rFonts w:ascii="Times New Roman" w:hAnsi="Times New Roman" w:eastAsia="Times New Roman"/>
          <w:b/>
          <w:bCs/>
          <w:color w:val="000000"/>
          <w:sz w:val="24"/>
          <w:szCs w:val="24"/>
        </w:rPr>
        <w:t>1.15.2 Strategic leadership and readiness</w:t>
      </w:r>
    </w:p>
    <w:p>
      <w:pPr>
        <w:spacing w:before="60" w:after="120" w:line="276" w:lineRule="auto"/>
        <w:ind w:firstLine="284"/>
        <w:jc w:val="both"/>
      </w:pPr>
      <w:r>
        <w:rPr>
          <w:rFonts w:ascii="Times New Roman" w:hAnsi="Times New Roman" w:eastAsia="Times New Roman"/>
          <w:color w:val="000000"/>
          <w:sz w:val="24"/>
          <w:szCs w:val="24"/>
        </w:rPr>
        <w:t xml:space="preserve">This domain concerns executive sponsorship, institutional strategy, prioritization, and the organizational commitment that precedes and enables the remaining domains. The core question it poses to a health-system leader is which clinical problems justify a precision-medicine investment and who owns the strategy. Its characteristic failure mode is acquisition driven by prestige or competitive positioning rather than by an operating model, producing capability that is never converted into service. Its minimum requirement is an accountable executive sponsor and a strategy linked explicitly to clinical priorities.</w:t>
      </w:r>
    </w:p>
    <w:p>
      <w:pPr>
        <w:keepNext/>
        <w:spacing w:before="180" w:after="80" w:line="276" w:lineRule="auto"/>
      </w:pPr>
      <w:r>
        <w:rPr>
          <w:rFonts w:ascii="Times New Roman" w:hAnsi="Times New Roman" w:eastAsia="Times New Roman"/>
          <w:b/>
          <w:bCs/>
          <w:color w:val="000000"/>
          <w:sz w:val="24"/>
          <w:szCs w:val="24"/>
        </w:rPr>
        <w:t>1.15.3 Governance and policy</w:t>
      </w:r>
    </w:p>
    <w:p>
      <w:pPr>
        <w:spacing w:before="60" w:after="120" w:line="276" w:lineRule="auto"/>
        <w:ind w:firstLine="284"/>
        <w:jc w:val="both"/>
      </w:pPr>
      <w:r>
        <w:rPr>
          <w:rFonts w:ascii="Times New Roman" w:hAnsi="Times New Roman" w:eastAsia="Times New Roman"/>
          <w:color w:val="000000"/>
          <w:sz w:val="24"/>
          <w:szCs w:val="24"/>
        </w:rPr>
        <w:t xml:space="preserve">This domain concerns the formal structures through which decisions are authorized and accountability assigned: approval pathways for introducing a test into care, evidence-review processes, policies for data use and consent, liability allocation, audit arrangements, control of algorithm and panel changes, and mechanisms for withdrawing a service that is no longer justified. Its characteristic failure mode is ambition stated at policy level without accountability defined at operational level. Its minimum requirement is a ratified approval and evidence-review pathway with named accountability for data, consent, and liability.</w:t>
      </w:r>
    </w:p>
    <w:p>
      <w:pPr>
        <w:keepNext/>
        <w:spacing w:before="180" w:after="80" w:line="276" w:lineRule="auto"/>
      </w:pPr>
      <w:r>
        <w:rPr>
          <w:rFonts w:ascii="Times New Roman" w:hAnsi="Times New Roman" w:eastAsia="Times New Roman"/>
          <w:b/>
          <w:bCs/>
          <w:color w:val="000000"/>
          <w:sz w:val="24"/>
          <w:szCs w:val="24"/>
        </w:rPr>
        <w:t>1.15.4 Workforce capability and change management</w:t>
      </w:r>
    </w:p>
    <w:p>
      <w:pPr>
        <w:spacing w:before="60" w:after="120" w:line="276" w:lineRule="auto"/>
        <w:ind w:firstLine="284"/>
        <w:jc w:val="both"/>
      </w:pPr>
      <w:r>
        <w:rPr>
          <w:rFonts w:ascii="Times New Roman" w:hAnsi="Times New Roman" w:eastAsia="Times New Roman"/>
          <w:color w:val="000000"/>
          <w:sz w:val="24"/>
          <w:szCs w:val="24"/>
        </w:rPr>
        <w:t xml:space="preserve">This domain concerns knowledge, competency, training, role definition, staffing models, champions, protected time, and the management of professional change. Its characteristic failure mode is education delivered without role clarity, so that clinicians understand a result but no one is responsible for acting on it. Its minimum requirement is defined roles supported by competency-based training rather than awareness-raising alone. The literature identifies this domain as the most frequently reported barrier across settings.</w:t>
      </w:r>
    </w:p>
    <w:p>
      <w:pPr>
        <w:keepNext/>
        <w:spacing w:before="180" w:after="80" w:line="276" w:lineRule="auto"/>
      </w:pPr>
      <w:r>
        <w:rPr>
          <w:rFonts w:ascii="Times New Roman" w:hAnsi="Times New Roman" w:eastAsia="Times New Roman"/>
          <w:b/>
          <w:bCs/>
          <w:color w:val="000000"/>
          <w:sz w:val="24"/>
          <w:szCs w:val="24"/>
        </w:rPr>
        <w:t>1.15.5 Digital infrastructure and interoperability</w:t>
      </w:r>
    </w:p>
    <w:p>
      <w:pPr>
        <w:spacing w:before="60" w:after="120" w:line="276" w:lineRule="auto"/>
        <w:ind w:firstLine="284"/>
        <w:jc w:val="both"/>
      </w:pPr>
      <w:r>
        <w:rPr>
          <w:rFonts w:ascii="Times New Roman" w:hAnsi="Times New Roman" w:eastAsia="Times New Roman"/>
          <w:color w:val="000000"/>
          <w:sz w:val="24"/>
          <w:szCs w:val="24"/>
        </w:rPr>
        <w:t xml:space="preserve">This domain concerns the technical capability to store, transmit, retrieve, and act on precision-medicine data: structured storage of results, integration with the electronic health record, clinical decision support, interoperability standards, data persistence and reuse over time, cybersecurity, and the infrastructure required to host and monitor computational models. Its characteristic failure mode is a result stranded in an unstructured field or a scanned document, technically present but functionally unavailable at the moment of decision. Its minimum requirement is discrete structured storage with results surfaced through decision support at the point of care.</w:t>
      </w:r>
    </w:p>
    <w:p>
      <w:pPr>
        <w:keepNext/>
        <w:spacing w:before="180" w:after="80" w:line="276" w:lineRule="auto"/>
      </w:pPr>
      <w:r>
        <w:rPr>
          <w:rFonts w:ascii="Times New Roman" w:hAnsi="Times New Roman" w:eastAsia="Times New Roman"/>
          <w:b/>
          <w:bCs/>
          <w:color w:val="000000"/>
          <w:sz w:val="24"/>
          <w:szCs w:val="24"/>
        </w:rPr>
        <w:t>1.15.6 Clinical workflow and service integration</w:t>
      </w:r>
    </w:p>
    <w:p>
      <w:pPr>
        <w:spacing w:before="60" w:after="120" w:line="276" w:lineRule="auto"/>
        <w:ind w:firstLine="284"/>
        <w:jc w:val="both"/>
      </w:pPr>
      <w:r>
        <w:rPr>
          <w:rFonts w:ascii="Times New Roman" w:hAnsi="Times New Roman" w:eastAsia="Times New Roman"/>
          <w:color w:val="000000"/>
          <w:sz w:val="24"/>
          <w:szCs w:val="24"/>
        </w:rPr>
        <w:t xml:space="preserve">This domain concerns the human sequence through which a result becomes a decision: ordering criteria, the specimen and laboratory pathway, turnaround time, interpretation, the identity of the responsible clinician, the action taken, follow-up, and reanalysis where relevant. Its characteristic failure mode is failure at a hand-off point, where a result is produced correctly but no defined step converts it into action. Its minimum requirement is a mapped pathway with defined ordering, interpretation, action, and follow-up steps.</w:t>
      </w:r>
    </w:p>
    <w:p>
      <w:pPr>
        <w:keepNext/>
        <w:spacing w:before="180" w:after="80" w:line="276" w:lineRule="auto"/>
      </w:pPr>
      <w:r>
        <w:rPr>
          <w:rFonts w:ascii="Times New Roman" w:hAnsi="Times New Roman" w:eastAsia="Times New Roman"/>
          <w:b/>
          <w:bCs/>
          <w:color w:val="000000"/>
          <w:sz w:val="24"/>
          <w:szCs w:val="24"/>
        </w:rPr>
        <w:t>1.15.7 Finance and sustainability</w:t>
      </w:r>
    </w:p>
    <w:p>
      <w:pPr>
        <w:spacing w:before="60" w:after="120" w:line="276" w:lineRule="auto"/>
        <w:ind w:firstLine="284"/>
        <w:jc w:val="both"/>
      </w:pPr>
      <w:r>
        <w:rPr>
          <w:rFonts w:ascii="Times New Roman" w:hAnsi="Times New Roman" w:eastAsia="Times New Roman"/>
          <w:color w:val="000000"/>
          <w:sz w:val="24"/>
          <w:szCs w:val="24"/>
        </w:rPr>
        <w:t xml:space="preserve">This domain concerns costing, reimbursement and coverage, budget impact, cost-effectiveness, the funding model, the total cost of the service rather than the test alone, and sustainability beyond initial funding. Its characteristic failure mode is a pilot financed by time-limited funding that lapses when that funding ends, having demonstrated feasibility without securing continuation. Its minimum requirement is a costed service model covering the full pathway and a reimbursement or budgetary route that persists beyond the pilot.</w:t>
      </w:r>
    </w:p>
    <w:p>
      <w:pPr>
        <w:keepNext/>
        <w:spacing w:before="180" w:after="80" w:line="276" w:lineRule="auto"/>
      </w:pPr>
      <w:r>
        <w:rPr>
          <w:rFonts w:ascii="Times New Roman" w:hAnsi="Times New Roman" w:eastAsia="Times New Roman"/>
          <w:b/>
          <w:bCs/>
          <w:color w:val="000000"/>
          <w:sz w:val="24"/>
          <w:szCs w:val="24"/>
        </w:rPr>
        <w:t>1.15.8 Patient access, equity and ethics</w:t>
      </w:r>
    </w:p>
    <w:p>
      <w:pPr>
        <w:spacing w:before="60" w:after="120" w:line="276" w:lineRule="auto"/>
        <w:ind w:firstLine="284"/>
        <w:jc w:val="both"/>
      </w:pPr>
      <w:r>
        <w:rPr>
          <w:rFonts w:ascii="Times New Roman" w:hAnsi="Times New Roman" w:eastAsia="Times New Roman"/>
          <w:color w:val="000000"/>
          <w:sz w:val="24"/>
          <w:szCs w:val="24"/>
        </w:rPr>
        <w:t xml:space="preserve">This domain concerns population validity and ancestry representation in reference data, subgroup performance of predictive tools, differential access and uptake, consent quality, privacy, the familial implications of results, the handling of incidental and secondary findings, and public trust. Its characteristic failure mode is inequitable benefit, in which a service performs well for populations represented in reference data and poorly for those that are not. Its minimum requirement is an explicit assessment of population validity and a consent and privacy framework appropriate to the local context.</w:t>
      </w:r>
    </w:p>
    <w:p>
      <w:pPr>
        <w:keepNext/>
        <w:spacing w:before="180" w:after="80" w:line="276" w:lineRule="auto"/>
      </w:pPr>
      <w:r>
        <w:rPr>
          <w:rFonts w:ascii="Times New Roman" w:hAnsi="Times New Roman" w:eastAsia="Times New Roman"/>
          <w:b/>
          <w:bCs/>
          <w:color w:val="000000"/>
          <w:sz w:val="24"/>
          <w:szCs w:val="24"/>
        </w:rPr>
        <w:t>1.15.9 Interdependence among the domains</w:t>
      </w:r>
    </w:p>
    <w:p>
      <w:pPr>
        <w:spacing w:before="60" w:after="120" w:line="276" w:lineRule="auto"/>
        <w:ind w:firstLine="284"/>
        <w:jc w:val="both"/>
      </w:pPr>
      <w:r>
        <w:rPr>
          <w:rFonts w:ascii="Times New Roman" w:hAnsi="Times New Roman" w:eastAsia="Times New Roman"/>
          <w:color w:val="000000"/>
          <w:sz w:val="24"/>
          <w:szCs w:val="24"/>
        </w:rPr>
        <w:t xml:space="preserve">The domains are analytically separable but operationally interdependent, and the implementation literature describes their relationship as one of mutual dependency rather than additive contribution. A mapped workflow cannot function without an interoperable result to move through it. A trained workforce cannot act without a defined decision point. A governed service still lapses if it is not financed beyond the pilot. This interdependence has a methodological implication that the present study takes seriously: the frequency with which a domain is addressed in the literature measures research attention, not importance, and must not be read as a ranking.</w:t>
      </w:r>
    </w:p>
    <w:p>
      <w:pPr>
        <w:keepNext/>
        <w:spacing w:before="200" w:after="80"/>
        <w:jc w:val="center"/>
      </w:pPr>
      <w:r>
        <w:rPr>
          <w:rFonts w:ascii="Times New Roman" w:hAnsi="Times New Roman" w:eastAsia="Times New Roman"/>
          <w:b/>
          <w:bCs/>
          <w:color w:val="000000"/>
          <w:sz w:val="20"/>
          <w:szCs w:val="20"/>
        </w:rPr>
        <w:t xml:space="preserve">Table 1.2:</w:t>
      </w:r>
      <w:r>
        <w:rPr>
          <w:rFonts w:ascii="Times New Roman" w:hAnsi="Times New Roman" w:eastAsia="Times New Roman"/>
          <w:color w:val="000000"/>
          <w:sz w:val="20"/>
          <w:szCs w:val="20"/>
        </w:rPr>
        <w:t xml:space="preserve"> The seven readiness domains, with the core question each poses to a health-system leader, its characteristic failure mode, and its minimum requirement.</w:t>
      </w:r>
    </w:p>
    <w:tbl>
      <w:tblPr>
        <w:tblW w:w="9300" w:type="dxa"/>
        <w:jc w:val="center"/>
        <w:tblLook w:val="0000"/>
      </w:tblPr>
      <w:tblGrid>
        <w:gridCol w:w="2100"/>
        <w:gridCol w:w="2450"/>
        <w:gridCol w:w="2350"/>
        <w:gridCol w:w="2400"/>
      </w:tblGrid>
      <w:tr>
        <w:trPr>
          <w:cantSplit/>
          <w:tblHeader/>
        </w:trPr>
        <w:tc>
          <w:tcPr>
            <w:tcW w:w="210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Readiness domain</w:t>
            </w:r>
          </w:p>
        </w:tc>
        <w:tc>
          <w:tcPr>
            <w:tcW w:w="245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Core question for leaders</w:t>
            </w:r>
          </w:p>
        </w:tc>
        <w:tc>
          <w:tcPr>
            <w:tcW w:w="235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Characteristic failure mode</w:t>
            </w:r>
          </w:p>
        </w:tc>
        <w:tc>
          <w:tcPr>
            <w:tcW w:w="240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Minimum requirement</w:t>
            </w:r>
          </w:p>
        </w:tc>
      </w:tr>
      <w:tr>
        <w:trPr>
          <w:cantSplit/>
        </w:trPr>
        <w:tc>
          <w:tcPr>
            <w:tcW w:w="2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Strategic Leadership and Readiness</w:t>
            </w:r>
          </w:p>
        </w:tc>
        <w:tc>
          <w:tcPr>
            <w:tcW w:w="2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Which clinical problems justify investment, and who owns the strategy?</w:t>
            </w:r>
          </w:p>
        </w:tc>
        <w:tc>
          <w:tcPr>
            <w:tcW w:w="23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Acquisition driven by prestige rather than an operating model</w:t>
            </w:r>
          </w:p>
        </w:tc>
        <w:tc>
          <w:tcPr>
            <w:tcW w:w="24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Named executive sponsor; documented strategy linked to clinical priorities</w:t>
            </w:r>
          </w:p>
        </w:tc>
      </w:tr>
      <w:tr>
        <w:trPr>
          <w:cantSplit/>
        </w:trPr>
        <w:tc>
          <w:tcPr>
            <w:tcW w:w="2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Governance and Policy</w:t>
            </w:r>
          </w:p>
        </w:tc>
        <w:tc>
          <w:tcPr>
            <w:tcW w:w="2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Who is accountable for approval, data, consent, and liability?</w:t>
            </w:r>
          </w:p>
        </w:tc>
        <w:tc>
          <w:tcPr>
            <w:tcW w:w="23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Ambition stated at policy level; accountability undefined at operational level</w:t>
            </w:r>
          </w:p>
        </w:tc>
        <w:tc>
          <w:tcPr>
            <w:tcW w:w="24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Ratified approval and evidence-review pathway with named accountability</w:t>
            </w:r>
          </w:p>
        </w:tc>
      </w:tr>
      <w:tr>
        <w:trPr>
          <w:cantSplit/>
        </w:trPr>
        <w:tc>
          <w:tcPr>
            <w:tcW w:w="2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Workforce Capability and Change Management</w:t>
            </w:r>
          </w:p>
        </w:tc>
        <w:tc>
          <w:tcPr>
            <w:tcW w:w="2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Do clinicians know when to act, refer, or override, and whose role is it?</w:t>
            </w:r>
          </w:p>
        </w:tc>
        <w:tc>
          <w:tcPr>
            <w:tcW w:w="23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Education delivered without role clarity, so results are unused</w:t>
            </w:r>
          </w:p>
        </w:tc>
        <w:tc>
          <w:tcPr>
            <w:tcW w:w="24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Defined roles supported by competency-based training</w:t>
            </w:r>
          </w:p>
        </w:tc>
      </w:tr>
      <w:tr>
        <w:trPr>
          <w:cantSplit/>
        </w:trPr>
        <w:tc>
          <w:tcPr>
            <w:tcW w:w="2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Digital Infrastructure and Interoperability</w:t>
            </w:r>
          </w:p>
        </w:tc>
        <w:tc>
          <w:tcPr>
            <w:tcW w:w="2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Can a result reach the decision point and be reused later?</w:t>
            </w:r>
          </w:p>
        </w:tc>
        <w:tc>
          <w:tcPr>
            <w:tcW w:w="23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Results stranded in unstructured fields or scanned documents</w:t>
            </w:r>
          </w:p>
        </w:tc>
        <w:tc>
          <w:tcPr>
            <w:tcW w:w="24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Discrete structured storage; interoperability; integrated decision support</w:t>
            </w:r>
          </w:p>
        </w:tc>
      </w:tr>
      <w:tr>
        <w:trPr>
          <w:cantSplit/>
        </w:trPr>
        <w:tc>
          <w:tcPr>
            <w:tcW w:w="2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Clinical Workflow and Service Integration</w:t>
            </w:r>
          </w:p>
        </w:tc>
        <w:tc>
          <w:tcPr>
            <w:tcW w:w="2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Who orders, when does the result appear, and what changes?</w:t>
            </w:r>
          </w:p>
        </w:tc>
        <w:tc>
          <w:tcPr>
            <w:tcW w:w="23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Failure at a hand-off point between ordering and action</w:t>
            </w:r>
          </w:p>
        </w:tc>
        <w:tc>
          <w:tcPr>
            <w:tcW w:w="24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Mapped pathway with defined ordering, interpretation, action, and follow-up</w:t>
            </w:r>
          </w:p>
        </w:tc>
      </w:tr>
      <w:tr>
        <w:trPr>
          <w:cantSplit/>
        </w:trPr>
        <w:tc>
          <w:tcPr>
            <w:tcW w:w="2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Finance and Sustainability</w:t>
            </w:r>
          </w:p>
        </w:tc>
        <w:tc>
          <w:tcPr>
            <w:tcW w:w="2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Can the service, not just the test, be funded over time?</w:t>
            </w:r>
          </w:p>
        </w:tc>
        <w:tc>
          <w:tcPr>
            <w:tcW w:w="23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Pilot lapses when time-limited funding ends</w:t>
            </w:r>
          </w:p>
        </w:tc>
        <w:tc>
          <w:tcPr>
            <w:tcW w:w="24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Costed multi-year service model with a reimbursement route</w:t>
            </w:r>
          </w:p>
        </w:tc>
      </w:tr>
      <w:tr>
        <w:trPr>
          <w:cantSplit/>
        </w:trPr>
        <w:tc>
          <w:tcPr>
            <w:tcW w:w="2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Patient Access, Equity and Ethics</w:t>
            </w:r>
          </w:p>
        </w:tc>
        <w:tc>
          <w:tcPr>
            <w:tcW w:w="2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Does the tool perform fairly, and do benefits reach all patients?</w:t>
            </w:r>
          </w:p>
        </w:tc>
        <w:tc>
          <w:tcPr>
            <w:tcW w:w="23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Inequitable benefit; ancestry mismatch; consent and privacy gaps</w:t>
            </w:r>
          </w:p>
        </w:tc>
        <w:tc>
          <w:tcPr>
            <w:tcW w:w="24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Population-validity check; consent and privacy safeguards; access plan</w:t>
            </w:r>
          </w:p>
        </w:tc>
      </w:tr>
    </w:tbl>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1.16 Sources of Implementation Barriers</w:t>
      </w:r>
    </w:p>
    <w:p>
      <w:pPr>
        <w:spacing w:before="60" w:after="120" w:line="276" w:lineRule="auto"/>
        <w:ind w:firstLine="284"/>
        <w:jc w:val="both"/>
      </w:pPr>
      <w:r>
        <w:rPr>
          <w:rFonts w:ascii="Times New Roman" w:hAnsi="Times New Roman" w:eastAsia="Times New Roman"/>
          <w:color w:val="000000"/>
          <w:sz w:val="24"/>
          <w:szCs w:val="24"/>
        </w:rPr>
        <w:t xml:space="preserve">Barriers to implementing precision medicine arise from identifiable sources, and classifying them by source is useful because different sources require different remedies. Five sources are distinguished here.</w:t>
      </w:r>
    </w:p>
    <w:p>
      <w:pPr>
        <w:keepNext/>
        <w:spacing w:before="180" w:after="80" w:line="276" w:lineRule="auto"/>
      </w:pPr>
      <w:r>
        <w:rPr>
          <w:rFonts w:ascii="Times New Roman" w:hAnsi="Times New Roman" w:eastAsia="Times New Roman"/>
          <w:b/>
          <w:bCs/>
          <w:color w:val="000000"/>
          <w:sz w:val="24"/>
          <w:szCs w:val="24"/>
        </w:rPr>
        <w:t>1.16.1 Technical sources</w:t>
      </w:r>
    </w:p>
    <w:p>
      <w:pPr>
        <w:spacing w:before="60" w:after="120" w:line="276" w:lineRule="auto"/>
        <w:ind w:firstLine="284"/>
        <w:jc w:val="both"/>
      </w:pPr>
      <w:r>
        <w:rPr>
          <w:rFonts w:ascii="Times New Roman" w:hAnsi="Times New Roman" w:eastAsia="Times New Roman"/>
          <w:color w:val="000000"/>
          <w:sz w:val="24"/>
          <w:szCs w:val="24"/>
        </w:rPr>
        <w:t xml:space="preserve">Technical barriers arise from the systems and infrastructure through which data moves: absent or partial integration between laboratory systems and the electronic health record, storage of results in unstructured form, absence of interoperability standards, limited decision-support capability, and inadequate provision for the long-term persistence and reuse of results. These barriers are typically remediable by investment and technical work, but the investment required is frequently underestimated because it appears as an information-systems cost rather than a clinical one.</w:t>
      </w:r>
    </w:p>
    <w:p>
      <w:pPr>
        <w:keepNext/>
        <w:spacing w:before="180" w:after="80" w:line="276" w:lineRule="auto"/>
      </w:pPr>
      <w:r>
        <w:rPr>
          <w:rFonts w:ascii="Times New Roman" w:hAnsi="Times New Roman" w:eastAsia="Times New Roman"/>
          <w:b/>
          <w:bCs/>
          <w:color w:val="000000"/>
          <w:sz w:val="24"/>
          <w:szCs w:val="24"/>
        </w:rPr>
        <w:t>1.16.2 Organizational sources</w:t>
      </w:r>
    </w:p>
    <w:p>
      <w:pPr>
        <w:spacing w:before="60" w:after="120" w:line="276" w:lineRule="auto"/>
        <w:ind w:firstLine="284"/>
        <w:jc w:val="both"/>
      </w:pPr>
      <w:r>
        <w:rPr>
          <w:rFonts w:ascii="Times New Roman" w:hAnsi="Times New Roman" w:eastAsia="Times New Roman"/>
          <w:color w:val="000000"/>
          <w:sz w:val="24"/>
          <w:szCs w:val="24"/>
        </w:rPr>
        <w:t xml:space="preserve">Organizational barriers arise from structure and process: absent executive sponsorship, unclear accountability, misalignment between departments whose cooperation is required, competing institutional priorities, and the absence of an approval pathway for introducing a new test into routine care. These barriers are typically not remediable by investment alone and require decisions about authority and responsibility.</w:t>
      </w:r>
    </w:p>
    <w:p>
      <w:pPr>
        <w:keepNext/>
        <w:spacing w:before="180" w:after="80" w:line="276" w:lineRule="auto"/>
      </w:pPr>
      <w:r>
        <w:rPr>
          <w:rFonts w:ascii="Times New Roman" w:hAnsi="Times New Roman" w:eastAsia="Times New Roman"/>
          <w:b/>
          <w:bCs/>
          <w:color w:val="000000"/>
          <w:sz w:val="24"/>
          <w:szCs w:val="24"/>
        </w:rPr>
        <w:t>1.16.3 Human sources</w:t>
      </w:r>
    </w:p>
    <w:p>
      <w:pPr>
        <w:spacing w:before="60" w:after="120" w:line="276" w:lineRule="auto"/>
        <w:ind w:firstLine="284"/>
        <w:jc w:val="both"/>
      </w:pPr>
      <w:r>
        <w:rPr>
          <w:rFonts w:ascii="Times New Roman" w:hAnsi="Times New Roman" w:eastAsia="Times New Roman"/>
          <w:color w:val="000000"/>
          <w:sz w:val="24"/>
          <w:szCs w:val="24"/>
        </w:rPr>
        <w:t xml:space="preserve">Human barriers arise from the knowledge, attitudes, and roles of the people involved: limited confidence in interpreting results, uncertainty about professional responsibility, concern about additional workload, scepticism about clinical value, and the absence of local champions. These are the most frequently reported barriers in the survey literature and the most frequently addressed by education, which the implementation evidence suggests is necessary but not sufficient in the absence of role definition.</w:t>
      </w:r>
    </w:p>
    <w:p>
      <w:pPr>
        <w:keepNext/>
        <w:spacing w:before="180" w:after="80" w:line="276" w:lineRule="auto"/>
      </w:pPr>
      <w:r>
        <w:rPr>
          <w:rFonts w:ascii="Times New Roman" w:hAnsi="Times New Roman" w:eastAsia="Times New Roman"/>
          <w:b/>
          <w:bCs/>
          <w:color w:val="000000"/>
          <w:sz w:val="24"/>
          <w:szCs w:val="24"/>
        </w:rPr>
        <w:t>1.16.4 Economic sources</w:t>
      </w:r>
    </w:p>
    <w:p>
      <w:pPr>
        <w:spacing w:before="60" w:after="120" w:line="276" w:lineRule="auto"/>
        <w:ind w:firstLine="284"/>
        <w:jc w:val="both"/>
      </w:pPr>
      <w:r>
        <w:rPr>
          <w:rFonts w:ascii="Times New Roman" w:hAnsi="Times New Roman" w:eastAsia="Times New Roman"/>
          <w:color w:val="000000"/>
          <w:sz w:val="24"/>
          <w:szCs w:val="24"/>
        </w:rPr>
        <w:t xml:space="preserve">Economic barriers arise from cost and its allocation: absent or uncertain reimbursement, out-of-pocket costs falling on patients, budget-holder misalignment where the cost falls in one budget and the benefit in another, and the reliance of many initiatives on time-limited research funding. The distinction between the cost of the test and the total cost of the service is the recurring analytical error in this category.</w:t>
      </w:r>
    </w:p>
    <w:p>
      <w:pPr>
        <w:keepNext/>
        <w:spacing w:before="180" w:after="80" w:line="276" w:lineRule="auto"/>
      </w:pPr>
      <w:r>
        <w:rPr>
          <w:rFonts w:ascii="Times New Roman" w:hAnsi="Times New Roman" w:eastAsia="Times New Roman"/>
          <w:b/>
          <w:bCs/>
          <w:color w:val="000000"/>
          <w:sz w:val="24"/>
          <w:szCs w:val="24"/>
        </w:rPr>
        <w:t>1.16.5 Regulatory and ethical sources</w:t>
      </w:r>
    </w:p>
    <w:p>
      <w:pPr>
        <w:spacing w:before="60" w:after="120" w:line="276" w:lineRule="auto"/>
        <w:ind w:firstLine="284"/>
        <w:jc w:val="both"/>
      </w:pPr>
      <w:r>
        <w:rPr>
          <w:rFonts w:ascii="Times New Roman" w:hAnsi="Times New Roman" w:eastAsia="Times New Roman"/>
          <w:color w:val="000000"/>
          <w:sz w:val="24"/>
          <w:szCs w:val="24"/>
        </w:rPr>
        <w:t xml:space="preserve">Regulatory and ethical barriers arise from the rules and norms governing the use of genomic and predictive information: uncertainty about the regulatory status of tests and algorithms, unresolved questions of liability, requirements for consent that existing processes do not meet, restrictions on data sharing and cross-border transfer, and the absence of settled policy on incidental findings and familial disclosure. These barriers are frequently outside the control of the implementing institution and require action at system or national level.</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1.17 Stages of Precision Medicine Implementation</w:t>
      </w:r>
    </w:p>
    <w:p>
      <w:pPr>
        <w:spacing w:before="60" w:after="120" w:line="276" w:lineRule="auto"/>
        <w:ind w:firstLine="284"/>
        <w:jc w:val="both"/>
      </w:pPr>
      <w:r>
        <w:rPr>
          <w:rFonts w:ascii="Times New Roman" w:hAnsi="Times New Roman" w:eastAsia="Times New Roman"/>
          <w:color w:val="000000"/>
          <w:sz w:val="24"/>
          <w:szCs w:val="24"/>
        </w:rPr>
        <w:t xml:space="preserve">The conditions described above are not required simultaneously, and the sequence in which they are addressed affects the probability of success. The following stages describe a reasoned ordering derived from the implementation literature. The sequence is presented as a logical structure requiring empirical validation rather than as an established protocol.</w:t>
      </w:r>
    </w:p>
    <w:p>
      <w:pPr>
        <w:keepNext/>
        <w:spacing w:before="180" w:after="80" w:line="276" w:lineRule="auto"/>
      </w:pPr>
      <w:r>
        <w:rPr>
          <w:rFonts w:ascii="Times New Roman" w:hAnsi="Times New Roman" w:eastAsia="Times New Roman"/>
          <w:b/>
          <w:bCs/>
          <w:color w:val="000000"/>
          <w:sz w:val="24"/>
          <w:szCs w:val="24"/>
        </w:rPr>
        <w:t>1.17.1 Use-case selection</w:t>
      </w:r>
    </w:p>
    <w:p>
      <w:pPr>
        <w:spacing w:before="60" w:after="120" w:line="276" w:lineRule="auto"/>
        <w:ind w:firstLine="284"/>
        <w:jc w:val="both"/>
      </w:pPr>
      <w:r>
        <w:rPr>
          <w:rFonts w:ascii="Times New Roman" w:hAnsi="Times New Roman" w:eastAsia="Times New Roman"/>
          <w:color w:val="000000"/>
          <w:sz w:val="24"/>
          <w:szCs w:val="24"/>
        </w:rPr>
        <w:t xml:space="preserve">The first stage identifies the specific clinical decision the service will change, in a defined patient population, with an expected effect. Selection should be made through a transparent appraisal weighing local disease burden, the actionability of the result, operational feasibility, data readiness, workforce capacity, equity implications, and cost. This stage is frequently omitted, and its omission is the point at which most subsequent difficulty originates, because every later stage depends on knowing what decision is being supported.</w:t>
      </w:r>
    </w:p>
    <w:p>
      <w:pPr>
        <w:keepNext/>
        <w:spacing w:before="180" w:after="80" w:line="276" w:lineRule="auto"/>
      </w:pPr>
      <w:r>
        <w:rPr>
          <w:rFonts w:ascii="Times New Roman" w:hAnsi="Times New Roman" w:eastAsia="Times New Roman"/>
          <w:b/>
          <w:bCs/>
          <w:color w:val="000000"/>
          <w:sz w:val="24"/>
          <w:szCs w:val="24"/>
        </w:rPr>
        <w:t>1.17.2 Governance establishment</w:t>
      </w:r>
    </w:p>
    <w:p>
      <w:pPr>
        <w:spacing w:before="60" w:after="120" w:line="276" w:lineRule="auto"/>
        <w:ind w:firstLine="284"/>
        <w:jc w:val="both"/>
      </w:pPr>
      <w:r>
        <w:rPr>
          <w:rFonts w:ascii="Times New Roman" w:hAnsi="Times New Roman" w:eastAsia="Times New Roman"/>
          <w:color w:val="000000"/>
          <w:sz w:val="24"/>
          <w:szCs w:val="24"/>
        </w:rPr>
        <w:t xml:space="preserve">The second stage establishes who authorizes the service, who is accountable for the decisions it informs, how the evidence supporting it will be reviewed and periodically revisited, how data and consent will be governed, and how liability is allocated. Establishing governance before operational build prevents the common pattern in which a service becomes operational and governance is retrofitted around it.</w:t>
      </w:r>
    </w:p>
    <w:p>
      <w:pPr>
        <w:keepNext/>
        <w:spacing w:before="180" w:after="80" w:line="276" w:lineRule="auto"/>
      </w:pPr>
      <w:r>
        <w:rPr>
          <w:rFonts w:ascii="Times New Roman" w:hAnsi="Times New Roman" w:eastAsia="Times New Roman"/>
          <w:b/>
          <w:bCs/>
          <w:color w:val="000000"/>
          <w:sz w:val="24"/>
          <w:szCs w:val="24"/>
        </w:rPr>
        <w:t>1.17.3 Clinical pathway design</w:t>
      </w:r>
    </w:p>
    <w:p>
      <w:pPr>
        <w:spacing w:before="60" w:after="120" w:line="276" w:lineRule="auto"/>
        <w:ind w:firstLine="284"/>
        <w:jc w:val="both"/>
      </w:pPr>
      <w:r>
        <w:rPr>
          <w:rFonts w:ascii="Times New Roman" w:hAnsi="Times New Roman" w:eastAsia="Times New Roman"/>
          <w:color w:val="000000"/>
          <w:sz w:val="24"/>
          <w:szCs w:val="24"/>
        </w:rPr>
        <w:t xml:space="preserve">The third stage maps the full pathway from the decision to order a test through specimen handling, laboratory processing, result return, interpretation, the action taken, and follow-up. Each step requires a named responsible role and a defined time expectation. The pathway should be designed before infrastructure is configured, so that the infrastructure serves the pathway rather than determining it.</w:t>
      </w:r>
    </w:p>
    <w:p>
      <w:pPr>
        <w:keepNext/>
        <w:spacing w:before="180" w:after="80" w:line="276" w:lineRule="auto"/>
      </w:pPr>
      <w:r>
        <w:rPr>
          <w:rFonts w:ascii="Times New Roman" w:hAnsi="Times New Roman" w:eastAsia="Times New Roman"/>
          <w:b/>
          <w:bCs/>
          <w:color w:val="000000"/>
          <w:sz w:val="24"/>
          <w:szCs w:val="24"/>
        </w:rPr>
        <w:t>1.17.4 Infrastructure configuration</w:t>
      </w:r>
    </w:p>
    <w:p>
      <w:pPr>
        <w:spacing w:before="60" w:after="120" w:line="276" w:lineRule="auto"/>
        <w:ind w:firstLine="284"/>
        <w:jc w:val="both"/>
      </w:pPr>
      <w:r>
        <w:rPr>
          <w:rFonts w:ascii="Times New Roman" w:hAnsi="Times New Roman" w:eastAsia="Times New Roman"/>
          <w:color w:val="000000"/>
          <w:sz w:val="24"/>
          <w:szCs w:val="24"/>
        </w:rPr>
        <w:t xml:space="preserve">The fourth stage configures the technical capability the pathway requires: structured storage of results, integration with the record, decision-support rules that surface the result at the decision point, arrangements for persistence and reuse, and, where computational models are used, provision for monitoring and version control.</w:t>
      </w:r>
    </w:p>
    <w:p>
      <w:pPr>
        <w:keepNext/>
        <w:spacing w:before="180" w:after="80" w:line="276" w:lineRule="auto"/>
      </w:pPr>
      <w:r>
        <w:rPr>
          <w:rFonts w:ascii="Times New Roman" w:hAnsi="Times New Roman" w:eastAsia="Times New Roman"/>
          <w:b/>
          <w:bCs/>
          <w:color w:val="000000"/>
          <w:sz w:val="24"/>
          <w:szCs w:val="24"/>
        </w:rPr>
        <w:t>1.17.5 Workforce preparation</w:t>
      </w:r>
    </w:p>
    <w:p>
      <w:pPr>
        <w:spacing w:before="60" w:after="120" w:line="276" w:lineRule="auto"/>
        <w:ind w:firstLine="284"/>
        <w:jc w:val="both"/>
      </w:pPr>
      <w:r>
        <w:rPr>
          <w:rFonts w:ascii="Times New Roman" w:hAnsi="Times New Roman" w:eastAsia="Times New Roman"/>
          <w:color w:val="000000"/>
          <w:sz w:val="24"/>
          <w:szCs w:val="24"/>
        </w:rPr>
        <w:t xml:space="preserve">The fifth stage prepares the people who will operate the pathway: competency-based training rather than general awareness, explicit role definition covering who orders, who interprets, who acts, and who follows up, identification of local champions, and allocation of protected time for the additional work the service creates.</w:t>
      </w:r>
    </w:p>
    <w:p>
      <w:pPr>
        <w:keepNext/>
        <w:spacing w:before="180" w:after="80" w:line="276" w:lineRule="auto"/>
      </w:pPr>
      <w:r>
        <w:rPr>
          <w:rFonts w:ascii="Times New Roman" w:hAnsi="Times New Roman" w:eastAsia="Times New Roman"/>
          <w:b/>
          <w:bCs/>
          <w:color w:val="000000"/>
          <w:sz w:val="24"/>
          <w:szCs w:val="24"/>
        </w:rPr>
        <w:t>1.17.6 Financing and scaling</w:t>
      </w:r>
    </w:p>
    <w:p>
      <w:pPr>
        <w:spacing w:before="60" w:after="120" w:line="276" w:lineRule="auto"/>
        <w:ind w:firstLine="284"/>
        <w:jc w:val="both"/>
      </w:pPr>
      <w:r>
        <w:rPr>
          <w:rFonts w:ascii="Times New Roman" w:hAnsi="Times New Roman" w:eastAsia="Times New Roman"/>
          <w:color w:val="000000"/>
          <w:sz w:val="24"/>
          <w:szCs w:val="24"/>
        </w:rPr>
        <w:t xml:space="preserve">The sixth stage secures the funding model for the full service rather than the test alone and establishes the route by which the service continues after any initial support ends. Scaling from an initial site or population proceeds only once the preceding stages are demonstrably functioning, since scaling an unstable pathway multiplies its failures.</w:t>
      </w:r>
    </w:p>
    <w:p>
      <w:pPr>
        <w:keepNext/>
        <w:spacing w:before="180" w:after="80" w:line="276" w:lineRule="auto"/>
      </w:pPr>
      <w:r>
        <w:rPr>
          <w:rFonts w:ascii="Times New Roman" w:hAnsi="Times New Roman" w:eastAsia="Times New Roman"/>
          <w:b/>
          <w:bCs/>
          <w:color w:val="000000"/>
          <w:sz w:val="24"/>
          <w:szCs w:val="24"/>
        </w:rPr>
        <w:t>1.17.7 Monitoring, evidence review, and de-implementation</w:t>
      </w:r>
    </w:p>
    <w:p>
      <w:pPr>
        <w:spacing w:before="60" w:after="120" w:line="276" w:lineRule="auto"/>
        <w:ind w:firstLine="284"/>
        <w:jc w:val="both"/>
      </w:pPr>
      <w:r>
        <w:rPr>
          <w:rFonts w:ascii="Times New Roman" w:hAnsi="Times New Roman" w:eastAsia="Times New Roman"/>
          <w:color w:val="000000"/>
          <w:sz w:val="24"/>
          <w:szCs w:val="24"/>
        </w:rPr>
        <w:t xml:space="preserve">The final stage establishes ongoing monitoring of uptake, outcomes, cost, and equity, together with a periodic review of the evidence supporting the service. Because the knowledge base changes, this stage must include an explicit mechanism for modifying or withdrawing a service that is superseded, which requires the same governance authority that authorized it.</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1.18 Precision Medicine in the Saudi and Gulf Context</w:t>
      </w:r>
    </w:p>
    <w:p>
      <w:pPr>
        <w:keepNext/>
        <w:spacing w:before="180" w:after="80" w:line="276" w:lineRule="auto"/>
      </w:pPr>
      <w:r>
        <w:rPr>
          <w:rFonts w:ascii="Times New Roman" w:hAnsi="Times New Roman" w:eastAsia="Times New Roman"/>
          <w:b/>
          <w:bCs/>
          <w:color w:val="000000"/>
          <w:sz w:val="24"/>
          <w:szCs w:val="24"/>
        </w:rPr>
        <w:t>1.18.1 Strategic and policy context</w:t>
      </w:r>
    </w:p>
    <w:p>
      <w:pPr>
        <w:spacing w:before="60" w:after="120" w:line="276" w:lineRule="auto"/>
        <w:ind w:firstLine="284"/>
        <w:jc w:val="both"/>
      </w:pPr>
      <w:r>
        <w:rPr>
          <w:rFonts w:ascii="Times New Roman" w:hAnsi="Times New Roman" w:eastAsia="Times New Roman"/>
          <w:color w:val="000000"/>
          <w:sz w:val="24"/>
          <w:szCs w:val="24"/>
        </w:rPr>
        <w:t xml:space="preserve">Precision medicine has become an explicit strategic priority across the Gulf Cooperation Council. In Saudi Arabia, health-sector transformation under Vision 2030 emphasizes preventive and personalized care, and national genomic initiatives have established substantial sequencing and data capability. Comparable programmes operate in Qatar and the United Arab Emirates, and policy analyses in the region describe national ambition in considerable detail (Qoronfleh et al., 2020; Alyabsi et al., 2020). What the regional literature describes far less fully is the conversion of that ambition and capability into delivered clinical services, which is precisely the gap this study addresses.</w:t>
      </w:r>
    </w:p>
    <w:p>
      <w:pPr>
        <w:keepNext/>
        <w:spacing w:before="180" w:after="80" w:line="276" w:lineRule="auto"/>
      </w:pPr>
      <w:r>
        <w:rPr>
          <w:rFonts w:ascii="Times New Roman" w:hAnsi="Times New Roman" w:eastAsia="Times New Roman"/>
          <w:b/>
          <w:bCs/>
          <w:color w:val="000000"/>
          <w:sz w:val="24"/>
          <w:szCs w:val="24"/>
        </w:rPr>
        <w:t>1.18.2 Population and epidemiological characteristics</w:t>
      </w:r>
    </w:p>
    <w:p>
      <w:pPr>
        <w:spacing w:before="60" w:after="120" w:line="276" w:lineRule="auto"/>
        <w:ind w:firstLine="284"/>
        <w:jc w:val="both"/>
      </w:pPr>
      <w:r>
        <w:rPr>
          <w:rFonts w:ascii="Times New Roman" w:hAnsi="Times New Roman" w:eastAsia="Times New Roman"/>
          <w:color w:val="000000"/>
          <w:sz w:val="24"/>
          <w:szCs w:val="24"/>
        </w:rPr>
        <w:t xml:space="preserve">Several characteristics of Gulf populations bear directly on precision-medicine implementation. Rates of consanguineous marriage are comparatively high in parts of the region, which raises the prevalence of autosomal recessive conditions and strengthens the case for genomic diagnostic and premarital screening services. The burden of diabetes and cardiovascular disease is high, which is relevant to pharmacogenomic and preventive applications. Populations are ethnically diverse, with substantial expatriate communities in several member states, which complicates the application of reference data derived from any single ancestry group. And Gulf populations are underrepresented in the reference databases on which variant interpretation and risk prediction depend, which means that tools validated elsewhere may perform differently when applied locally.</w:t>
      </w:r>
    </w:p>
    <w:p>
      <w:pPr>
        <w:keepNext/>
        <w:spacing w:before="180" w:after="80" w:line="276" w:lineRule="auto"/>
      </w:pPr>
      <w:r>
        <w:rPr>
          <w:rFonts w:ascii="Times New Roman" w:hAnsi="Times New Roman" w:eastAsia="Times New Roman"/>
          <w:b/>
          <w:bCs/>
          <w:color w:val="000000"/>
          <w:sz w:val="24"/>
          <w:szCs w:val="24"/>
        </w:rPr>
        <w:t>1.18.3 System and governance characteristics</w:t>
      </w:r>
    </w:p>
    <w:p>
      <w:pPr>
        <w:spacing w:before="60" w:after="120" w:line="276" w:lineRule="auto"/>
        <w:ind w:firstLine="284"/>
        <w:jc w:val="both"/>
      </w:pPr>
      <w:r>
        <w:rPr>
          <w:rFonts w:ascii="Times New Roman" w:hAnsi="Times New Roman" w:eastAsia="Times New Roman"/>
          <w:color w:val="000000"/>
          <w:sz w:val="24"/>
          <w:szCs w:val="24"/>
        </w:rPr>
        <w:t xml:space="preserve">Gulf health systems share features that distinguish them from the systems in which most implementation evidence was generated. Financing typically combines government provision for citizens with employer-based or private insurance for expatriate residents, producing differential access that has direct equity implications for any new service. Clinical workforces are highly international and comparatively mobile, which affects the durability of training investment and the stability of defined roles. Governance is generally centralized, which can accelerate policy decisions but may also concentrate implementation authority at a level distant from the clinical pathway. And consent, family disclosure, and data-sharing questions arise in a cultural and religious context that differs from the one in which most published ethical guidance was developed (Shaheen and Ghaly, 2026).</w:t>
      </w:r>
    </w:p>
    <w:p>
      <w:pPr>
        <w:keepNext/>
        <w:spacing w:before="180" w:after="80" w:line="276" w:lineRule="auto"/>
      </w:pPr>
      <w:r>
        <w:rPr>
          <w:rFonts w:ascii="Times New Roman" w:hAnsi="Times New Roman" w:eastAsia="Times New Roman"/>
          <w:b/>
          <w:bCs/>
          <w:color w:val="000000"/>
          <w:sz w:val="24"/>
          <w:szCs w:val="24"/>
        </w:rPr>
        <w:t>1.18.4 Implications for the present study</w:t>
      </w:r>
    </w:p>
    <w:p>
      <w:pPr>
        <w:spacing w:before="60" w:after="120" w:line="276" w:lineRule="auto"/>
        <w:ind w:firstLine="284"/>
        <w:jc w:val="both"/>
      </w:pPr>
      <w:r>
        <w:rPr>
          <w:rFonts w:ascii="Times New Roman" w:hAnsi="Times New Roman" w:eastAsia="Times New Roman"/>
          <w:color w:val="000000"/>
          <w:sz w:val="24"/>
          <w:szCs w:val="24"/>
        </w:rPr>
        <w:t xml:space="preserve">These characteristics do not invalidate global implementation evidence, but they do determine how it must be used. Conditions identified in North American and European systems are likely to be necessary in Gulf systems as well, since they concern generic organizational functions. What cannot be transferred without local testing is the relative weight of those conditions, the sequence in which they are best addressed, and the specific form each should take. This is the reasoning behind presenting the output of this study as an adaptable framework requiring local validation rather than as a set of transferable findings.</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1.19 Chapter Summary</w:t>
      </w:r>
    </w:p>
    <w:p>
      <w:pPr>
        <w:spacing w:before="60" w:after="120" w:line="276" w:lineRule="auto"/>
        <w:ind w:firstLine="284"/>
        <w:jc w:val="both"/>
      </w:pPr>
      <w:r>
        <w:rPr>
          <w:rFonts w:ascii="Times New Roman" w:hAnsi="Times New Roman" w:eastAsia="Times New Roman"/>
          <w:color w:val="000000"/>
          <w:sz w:val="24"/>
          <w:szCs w:val="24"/>
        </w:rPr>
        <w:t xml:space="preserve">This chapter has established the theoretical foundation for the study. It defined precision medicine functionally, as the use of individual-level biological or computational data to change a clinical decision, and distinguished it from adjacent terms with which it is frequently confused. It identified seven modalities differing in maturity, cost structure, and workflow demand, and set out four further ways in which precision-medicine applications can be classified. It then defined implementation as a distinct object of study, distinguished it from adoption, diffusion, dissemination, and scale-up, and reviewed six implementation-science frameworks, explaining why three of them were selected for this study and for what distinct purposes.</w:t>
      </w:r>
    </w:p>
    <w:p>
      <w:pPr>
        <w:spacing w:before="60" w:after="120" w:line="276" w:lineRule="auto"/>
        <w:ind w:firstLine="284"/>
        <w:jc w:val="both"/>
      </w:pPr>
      <w:r>
        <w:rPr>
          <w:rFonts w:ascii="Times New Roman" w:hAnsi="Times New Roman" w:eastAsia="Times New Roman"/>
          <w:color w:val="000000"/>
          <w:sz w:val="24"/>
          <w:szCs w:val="24"/>
        </w:rPr>
        <w:t xml:space="preserve">The chapter then examined organizational readiness as a change-specific, multi-level property combining willingness and ability, and set out the seven-domain structure that organizes the research, explaining its derivation from implementation theory and the health-system building blocks and describing each domain’s core question, failure mode, and minimum requirement. It classified the sources from which implementation barriers arise, described the stages through which a precision-medicine service is brought into routine use, and situated the whole in the strategic, epidemiological, and governance context of Saudi Arabia and the Gulf. The following chapter reviews the previous studies against which the present research is positioned.</w:t>
      </w:r>
    </w:p>
    <w:p>
      <w:pPr>
        <w:pStyle w:val="Heading1"/>
        <w:keepNext/>
        <w:pageBreakBefore/>
        <w:spacing w:after="240"/>
      </w:pPr>
      <w:r>
        <w:rPr>
          <w:rFonts w:ascii="Times New Roman" w:hAnsi="Times New Roman" w:eastAsia="Times New Roman"/>
          <w:b/>
          <w:sz w:val="32"/>
        </w:rPr>
        <w:t>Chapter Two: Review of Previous Studies</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2.1 Introduction</w:t>
      </w:r>
    </w:p>
    <w:p>
      <w:pPr>
        <w:spacing w:before="60" w:after="120" w:line="276" w:lineRule="auto"/>
        <w:ind w:firstLine="284"/>
        <w:jc w:val="both"/>
      </w:pPr>
      <w:r>
        <w:rPr>
          <w:rFonts w:ascii="Times New Roman" w:hAnsi="Times New Roman" w:eastAsia="Times New Roman"/>
          <w:color w:val="000000"/>
          <w:sz w:val="24"/>
          <w:szCs w:val="24"/>
        </w:rPr>
        <w:t xml:space="preserve">This chapter reviews the previous studies against which the present research is positioned. Its purpose is threefold: to establish what earlier work has already determined about implementing precision medicine in health systems, to identify the limitations that recur across that work, and to specify precisely what the present study contributes that the earlier studies do not.</w:t>
      </w:r>
    </w:p>
    <w:p>
      <w:pPr>
        <w:spacing w:before="60" w:after="120" w:line="276" w:lineRule="auto"/>
        <w:ind w:firstLine="284"/>
        <w:jc w:val="both"/>
      </w:pPr>
      <w:r>
        <w:rPr>
          <w:rFonts w:ascii="Times New Roman" w:hAnsi="Times New Roman" w:eastAsia="Times New Roman"/>
          <w:color w:val="000000"/>
          <w:sz w:val="24"/>
          <w:szCs w:val="24"/>
        </w:rPr>
        <w:t xml:space="preserve">The chapter is organized thematically rather than chronologically, because the field is segmented by modality and setting rather than by period, and a chronological presentation would obscure that segmentation. Six thematic groupings of international studies are presented first, followed by Arab and Gulf studies treated separately because their evidentiary character differs systematically from the international literature. A critical commentary then examines the points of agreement and divergence across the reviewed work and its methodological characteristics. The chapter closes by stating the research gap and the distinguishing features of the present study.</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2.2 Approach to Selecting and Organizing Previous Studies</w:t>
      </w:r>
    </w:p>
    <w:p>
      <w:pPr>
        <w:spacing w:before="60" w:after="120" w:line="276" w:lineRule="auto"/>
        <w:ind w:firstLine="284"/>
        <w:jc w:val="both"/>
      </w:pPr>
      <w:r>
        <w:rPr>
          <w:rFonts w:ascii="Times New Roman" w:hAnsi="Times New Roman" w:eastAsia="Times New Roman"/>
          <w:color w:val="000000"/>
          <w:sz w:val="24"/>
          <w:szCs w:val="24"/>
        </w:rPr>
        <w:t xml:space="preserve">The studies reviewed in this chapter were identified through the same structured search that produced the study’s evidence base, and were selected for detailed review here on three criteria: they address organizational rather than purely clinical or analytical questions; they are cited frequently within the field or report distinctive findings; and together they represent the range of modalities, settings, and study designs present in the literature. Studies are grouped by their primary substantive focus. Where a study addresses several domains, it is discussed under the one it treats most fully and referenced under others as relevant.</w:t>
      </w:r>
    </w:p>
    <w:p>
      <w:pPr>
        <w:spacing w:before="60" w:after="120" w:line="276" w:lineRule="auto"/>
        <w:ind w:firstLine="284"/>
        <w:jc w:val="both"/>
      </w:pPr>
      <w:r>
        <w:rPr>
          <w:rFonts w:ascii="Times New Roman" w:hAnsi="Times New Roman" w:eastAsia="Times New Roman"/>
          <w:color w:val="000000"/>
          <w:sz w:val="24"/>
          <w:szCs w:val="24"/>
        </w:rPr>
        <w:t xml:space="preserve">Two features of the reviewed corpus should be stated at the outset because they condition everything that follows. The literature is heavily weighted toward pharmacogenomics and toward high-income North American and European health systems. And a substantial proportion of it consists of conceptual frameworks, perspectives, and policy commentary rather than empirical studies of delivered services. Both features are examined in the commentary in Section 2.10.</w:t>
      </w:r>
    </w:p>
    <w:p>
      <w:pPr>
        <w:keepNext/>
        <w:spacing w:before="200" w:after="80"/>
        <w:jc w:val="center"/>
      </w:pPr>
      <w:r>
        <w:rPr>
          <w:rFonts w:ascii="Times New Roman" w:hAnsi="Times New Roman" w:eastAsia="Times New Roman"/>
          <w:b/>
          <w:bCs/>
          <w:color w:val="000000"/>
          <w:sz w:val="20"/>
          <w:szCs w:val="20"/>
        </w:rPr>
        <w:t xml:space="preserve">Table 2.1:</w:t>
      </w:r>
      <w:r>
        <w:rPr>
          <w:rFonts w:ascii="Times New Roman" w:hAnsi="Times New Roman" w:eastAsia="Times New Roman"/>
          <w:color w:val="000000"/>
          <w:sz w:val="20"/>
          <w:szCs w:val="20"/>
        </w:rPr>
        <w:t xml:space="preserve"> Summary of the previous studies reviewed in this chapter, by author, year, country, design, focus, and principal finding.</w:t>
      </w:r>
    </w:p>
    <w:tbl>
      <w:tblPr>
        <w:tblW w:w="9300" w:type="dxa"/>
        <w:jc w:val="center"/>
        <w:tblLook w:val="0000"/>
      </w:tblPr>
      <w:tblGrid>
        <w:gridCol w:w="1300"/>
        <w:gridCol w:w="620"/>
        <w:gridCol w:w="1250"/>
        <w:gridCol w:w="1450"/>
        <w:gridCol w:w="2150"/>
        <w:gridCol w:w="2530"/>
      </w:tblGrid>
      <w:tr>
        <w:trPr>
          <w:cantSplit/>
          <w:tblHeader/>
        </w:trPr>
        <w:tc>
          <w:tcPr>
            <w:tcW w:w="130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Author(s)</w:t>
            </w:r>
          </w:p>
        </w:tc>
        <w:tc>
          <w:tcPr>
            <w:tcW w:w="62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Year</w:t>
            </w:r>
          </w:p>
        </w:tc>
        <w:tc>
          <w:tcPr>
            <w:tcW w:w="125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Country</w:t>
            </w:r>
          </w:p>
        </w:tc>
        <w:tc>
          <w:tcPr>
            <w:tcW w:w="145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Design</w:t>
            </w:r>
          </w:p>
        </w:tc>
        <w:tc>
          <w:tcPr>
            <w:tcW w:w="215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Focus</w:t>
            </w:r>
          </w:p>
        </w:tc>
        <w:tc>
          <w:tcPr>
            <w:tcW w:w="2530" w:type="dxa"/>
            <w:tcBorders>
              <w:top w:val="single" w:sz="4" w:space="0" w:color="808080"/>
              <w:left w:val="single" w:sz="4" w:space="0" w:color="808080"/>
              <w:bottom w:val="single" w:sz="4" w:space="0" w:color="808080"/>
              <w:right w:val="single" w:sz="4" w:space="0" w:color="808080"/>
            </w:tcBorders>
            <w:shd w:val="clear" w:color="auto" w:fill="DCE6F1"/>
            <w:tcMar>
              <w:top w:w="50" w:type="dxa"/>
              <w:left w:w="80" w:type="dxa"/>
              <w:bottom w:w="50" w:type="dxa"/>
              <w:right w:w="80" w:type="dxa"/>
            </w:tcMar>
          </w:tcPr>
          <w:p>
            <w:pPr>
              <w:spacing w:before="20" w:after="20" w:line="240" w:lineRule="auto"/>
              <w:jc w:val="center"/>
            </w:pPr>
            <w:r>
              <w:rPr>
                <w:rFonts w:ascii="Times New Roman" w:hAnsi="Times New Roman" w:eastAsia="Times New Roman"/>
                <w:b/>
                <w:bCs/>
                <w:color w:val="000000"/>
                <w:sz w:val="18"/>
                <w:szCs w:val="18"/>
              </w:rPr>
              <w:t xml:space="preserve">Principal finding</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Formea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2015</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Institutional case study</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Inter-professional education for personalized medicine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Education is most effective when designed across professional groups rather than for one</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Vorderstrasse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2015</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Perceptions of personalized medicine in an academic health system</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Gap between stated institutional commitment and operational arrangements available to clinicians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Hinderer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2017</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Germany</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Scoping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Design of clinical decision support for pharmacogenomics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Wide variation in alert design, timing, and integration depth across systems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Knowles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2017</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Canada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Policy analysis</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Regulatory, intellectual-property, and reimbursement conditions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Financing is inseparable from the regulatory environment determining what can be reimbursed</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Najafzadeh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2017</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Economic evaluation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Economics of pharmacogenomic testing in depression and anxiety</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Favorable economics under stated assumptions; results sensitive to perspective and horizon</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Pritchard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2017</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Review / framework</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Strategies of early-adopting delivery organizations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Sustained sponsorship and a defined operating model distinguish durable programmes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Hicks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2018</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Empirical implementation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Patient decisions on secondary pharmacogenomic findings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Returning results requires a multidisciplinary practice model, not a reporting change alone</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Cicali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2019</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Empirical implementation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Health-system-wide pharmacogenomics programme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Point-of-care result delivery and defined ordering criteria are decisive</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Algahtani</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Saudi Arabia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 / cross-sectional</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Knowledge, perception, and application among hospital pharmacists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High interest paired with low self-rated knowledge and limited routine testing</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Alyabsi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Saudi Arabia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Policy analysis</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Colorectal cancer as a case for predictive and preventive strategies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National policy ambition described more fully than delivered services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Aquilante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Institutional case study</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Implementation of a system-wide pharmacogenomics service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Role clarity among prescribers, pharmacists, and laboratory staff is the recurring constraint</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Caraballo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Empirical implementation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Integration of pharmacogenomic results into the electronic health record</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Results embedded at the prescribing point change decisions; results outside the workflow do not</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Duong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Empirical implementation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Customizable implementation guides from a national network</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Transferable implementation tooling reduces duplicated effort across sites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Qoronfleh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Qatar</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Policy analysis</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National precision-medicine policy case study</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Strong national strategy; limited published evidence of clinical service delivery</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Rahma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2020a</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Arab Emirates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Qualitative (focus groups)</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Pharmacists’ genomics and pharmacogenomics knowledge and practice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Interest is high; infrastructure, training, and role definition are absent</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Rahma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2020b</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Arab Emirates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 / cross-sectional</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Healthcare workers’ knowledge, attitudes, and perceived barriers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Cost and laboratory capacity are the most frequently perceived barriers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Rahma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2020c</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Arab Emirates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 / cross-sectional</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Medical and health-science students’ knowledge and attitudes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Curriculum coverage is limited relative to stated national ambition</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Agarwal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2021</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Framework / quantitative</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Scoring personalized-medicine integration across delivery organizations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Readiness is multi-dimensional; eight criteria proposed but not validated against outcomes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Bagher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2021</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Saudi Arabia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 / cross-sectional</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Knowledge, perception, and confidence among hospital pharmacists in Jeddah</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Confidence in interpreting results is low even where awareness is high</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Brown-Johnson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2021</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Mixed-methods</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Implementation outcomes of integrated precision health in team-based primary care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Tests whether precision-health services can be embedded in a generalist rather than a specialist setting</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Duarte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2021</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Empirical implementation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Multi-site pharmacogenomic implementation strategies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Durable implementation attributed to sponsorship and operating model, not to the technology</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Hayward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2021</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Kingdom</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Structured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Implementation models for pharmacogenomic prescribing in primary care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Decision-support integration and clear referral routes determine feasibility</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de Belvis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2021</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Italy</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Systematic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Personalized medicine and patient-centred care in breast cancer</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Proposes a conceptual framework linking the two; limited empirical grounding</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Al-Mahayri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2022</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Arab Emirates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Empirical implementation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Two-site cardiovascular pharmacogenomics pilot</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Service-level implementation is feasible in a multi-ethnic Gulf population</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Alhaddad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2022</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Saudi Arabia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 / cross-sectional</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Pharmacists’ knowledge and insights on implementation</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Training and clinical guidelines identified as the principal gaps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Jiang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2022</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States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Economic evaluation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Cost-utility of pharmacogenomic clinical decision support</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Treats decision-support infrastructure as an economic object rather than a precondition</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Youssef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2022</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Kingdom</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Systematic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Barriers and enablers to multi-drug pharmacogenomic testing</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Four stages identified; IT infrastructure, effort, reward, and unfamiliarity dominate</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Aguilera-Cobos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2023</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Spain</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Systematic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Framework for determining implementation level of personalized medicine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Confirms multi-dimensionality; framework not validated outside its development context</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Aref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2023</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Canada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Scoping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Pharmacogenomic testing in community pharmacy, 2003 to 2021</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Role definition and reimbursement remain unresolved after two decades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Ghanbarian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2023</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Canada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Economic evaluation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Cost-effectiveness of pharmacogenomic-guided treatment for major depression</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Favorable results; conclusions vary with assumptions and time horizon</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Rahma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2023</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Arab Emirates</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 / cross-sectional</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Multi-ethnic public knowledge, attitudes, and perceptions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Public knowledge is low while willingness to test is high</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Abushanab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2024</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Qatar</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Economic evaluation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Cost-effectiveness of genotype-guided major-depression treatment, public-hospital perspective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One of very few economic evaluations conducted within a Gulf health system</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Alnaimi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2024</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Qatar</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Mixed-methods</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Readiness of physicians, pharmacists, and nurses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Low knowledge, positive perceptions, low confidence in institutional readiness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Jameson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2024</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Kingdom</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Systematic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Pharmacogenomic testing in adult mental-health services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Clinical case comparatively strong; delivery nonetheless limited</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Mai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2024</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Malaysia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Scoping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Enablers and challenges in primary-care pharmacogenomics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Knowledge, decision-support integration, and cost recur as constraints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Uddin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2024</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Saudi Arabia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 / cross-sectional</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National clinician understanding and practice in genetic testing</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Understanding and routine practice both limited at national scale</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Adnan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2025</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United Kingdom</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Framework</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Modular framework for deploying clinical AI at scale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Addresses a modality earlier readiness instruments do not cover; not yet evaluated in service</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Alharthi</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2025</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Saudi Arabia</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Survey / cross-sectional</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How equipped pharmacists are for pharmacogenomics: knowledge, attitudes, practices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Preparedness self-rated low; interest high</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Coumau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2025</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Switzerland</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Scoping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Pharmacogenetic testing in community pharmacy practice</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Reimbursement and role definition remain the persistent obstacles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Liang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2025</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Multi-country (Australia-led)</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Systematic review</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Precision-medicine implementation for non-communicable diseases</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One of few syntheses spanning disease areas rather than technologies</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Abdel-Latif et al.</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2026</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Qatar</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Empirical implementation</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QPGx-CARES CYP2C19-guided antiplatelet therapy</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A delivered Gulf clinical service rather than a readiness assessment or proposal</w:t>
            </w:r>
          </w:p>
        </w:tc>
      </w:tr>
      <w:tr>
        <w:trPr>
          <w:cantSplit/>
        </w:trPr>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Shaheen &amp; Ghaly</w:t>
            </w:r>
          </w:p>
        </w:tc>
        <w:tc>
          <w:tcPr>
            <w:tcW w:w="62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2026</w:t>
            </w:r>
          </w:p>
        </w:tc>
        <w:tc>
          <w:tcPr>
            <w:tcW w:w="12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GCC (multi-country)</w:t>
            </w:r>
          </w:p>
        </w:tc>
        <w:tc>
          <w:tcPr>
            <w:tcW w:w="14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Policy / ethics analysis</w:t>
            </w:r>
          </w:p>
        </w:tc>
        <w:tc>
          <w:tcPr>
            <w:tcW w:w="215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Ethical, legal, and social implications of genomics in the Gulf</w:t>
            </w:r>
          </w:p>
        </w:tc>
        <w:tc>
          <w:tcPr>
            <w:tcW w:w="253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tcPr>
          <w:p>
            <w:pPr>
              <w:spacing w:before="20" w:after="20" w:line="240" w:lineRule="auto"/>
            </w:pPr>
            <w:r>
              <w:rPr>
                <w:rFonts w:ascii="Times New Roman" w:hAnsi="Times New Roman" w:eastAsia="Times New Roman"/>
                <w:color w:val="000000"/>
                <w:sz w:val="18"/>
                <w:szCs w:val="18"/>
              </w:rPr>
              <w:t xml:space="preserve">Consent, family implications, and screening raise regionally distinctive questions</w:t>
            </w:r>
          </w:p>
        </w:tc>
      </w:tr>
    </w:tbl>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2.3 Studies on Pharmacogenomic Implementation</w:t>
      </w:r>
    </w:p>
    <w:p>
      <w:pPr>
        <w:spacing w:before="60" w:after="120" w:line="276" w:lineRule="auto"/>
        <w:ind w:firstLine="284"/>
        <w:jc w:val="both"/>
      </w:pPr>
      <w:r>
        <w:rPr>
          <w:rFonts w:ascii="Times New Roman" w:hAnsi="Times New Roman" w:eastAsia="Times New Roman"/>
          <w:color w:val="000000"/>
          <w:sz w:val="24"/>
          <w:szCs w:val="24"/>
        </w:rPr>
        <w:t xml:space="preserve">Pharmacogenomics accounts for the largest share of the implementation literature and contains its most operationally detailed studies. Mai and colleagues (2024) conducted a scoping review of enablers and challenges in implementing pharmacogenomic testing in primary-care settings, identifying clinician knowledge, decision-support integration, and cost as the recurring constraints. Youssef and colleagues (2022) applied the Theoretical Domains Framework to synthesize barriers and enablers to multi-drug pharmacogenomic testing, organizing findings across four implementation stages, namely ordering, facilitating, interpreting, and applying, and identifying information-technology infrastructure, clinician effort, professional reward structures, and unfamiliarity as the dominant themes. Their staged structure is a useful corrective to reviews that treat implementation as a single undifferentiated activity.</w:t>
      </w:r>
    </w:p>
    <w:p>
      <w:pPr>
        <w:spacing w:before="60" w:after="120" w:line="276" w:lineRule="auto"/>
        <w:ind w:firstLine="284"/>
        <w:jc w:val="both"/>
      </w:pPr>
      <w:r>
        <w:rPr>
          <w:rFonts w:ascii="Times New Roman" w:hAnsi="Times New Roman" w:eastAsia="Times New Roman"/>
          <w:color w:val="000000"/>
          <w:sz w:val="24"/>
          <w:szCs w:val="24"/>
        </w:rPr>
        <w:t xml:space="preserve">Setting-specific reviews have narrowed the question further. Aref and colleagues (2023) mapped nearly two decades of pharmacogenomic implementation in community pharmacy using the Theoretical Domains Framework, and Coumau and colleagues (2025) revisited the same setting more recently, both identifying role definition and reimbursement as the persistent obstacles. Hayward and colleagues (2021) examined implementation models for pharmacogenomic prescribing support in primary care, and Jameson and colleagues (2024) conducted a theory-based systematic review of pharmacogenomic testing in adult mental-health services, a setting in which the clinical case is comparatively strong and delivery nonetheless limited.</w:t>
      </w:r>
    </w:p>
    <w:p>
      <w:pPr>
        <w:spacing w:before="60" w:after="120" w:line="276" w:lineRule="auto"/>
        <w:ind w:firstLine="284"/>
        <w:jc w:val="both"/>
      </w:pPr>
      <w:r>
        <w:rPr>
          <w:rFonts w:ascii="Times New Roman" w:hAnsi="Times New Roman" w:eastAsia="Times New Roman"/>
          <w:color w:val="000000"/>
          <w:sz w:val="24"/>
          <w:szCs w:val="24"/>
        </w:rPr>
        <w:t xml:space="preserve">Alongside these syntheses sit institutional accounts of delivered programmes, which are the most informative sources in the literature because they report what actually occurred rather than what was recommended. Aquilante and colleagues (2020) and Cicali and colleagues (2019) describe health-system-wide pharmacogenomic programmes, Duarte and colleagues (2021) report multi-site implementation strategies developed within a national implementation network, and Caraballo and colleagues (2020) document the integration of pharmacogenomic results into an electronic health record at institutional scale. Hicks and colleagues (2018) examine patient decisions regarding secondary pharmacogenomic findings and the multidisciplinary practice model required to return them. Across these accounts a consistent operational finding emerges: results delivered outside the prescribing workflow are largely ignored, while results embedded at the point of prescribing change decisions reliably.</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2.4 Studies on Clinical Genomics and Sequencing Services</w:t>
      </w:r>
    </w:p>
    <w:p>
      <w:pPr>
        <w:spacing w:before="60" w:after="120" w:line="276" w:lineRule="auto"/>
        <w:ind w:firstLine="284"/>
        <w:jc w:val="both"/>
      </w:pPr>
      <w:r>
        <w:rPr>
          <w:rFonts w:ascii="Times New Roman" w:hAnsi="Times New Roman" w:eastAsia="Times New Roman"/>
          <w:color w:val="000000"/>
          <w:sz w:val="24"/>
          <w:szCs w:val="24"/>
        </w:rPr>
        <w:t xml:space="preserve">The literature on clinical genomic and sequencing services is thinner than the pharmacogenomic literature and differs in emphasis. Where pharmacogenomic studies concentrate on decision support and prescribing workflow, sequencing studies concentrate on interpretation capacity, the management of uncertain results, and the institutional obligations created by findings that may require reanalysis as knowledge accumulates. Studies of diagnostic sequencing services report that the binding constraint is typically specialist interpretation capacity rather than laboratory throughput, and that genetic counseling availability determines how far a service can expand.</w:t>
      </w:r>
    </w:p>
    <w:p>
      <w:pPr>
        <w:spacing w:before="60" w:after="120" w:line="276" w:lineRule="auto"/>
        <w:ind w:firstLine="284"/>
        <w:jc w:val="both"/>
      </w:pPr>
      <w:r>
        <w:rPr>
          <w:rFonts w:ascii="Times New Roman" w:hAnsi="Times New Roman" w:eastAsia="Times New Roman"/>
          <w:color w:val="000000"/>
          <w:sz w:val="24"/>
          <w:szCs w:val="24"/>
        </w:rPr>
        <w:t xml:space="preserve">Vorderstrasse and colleagues (2015) examined perceptions of personalized medicine within an academic health system, documenting a gap between stated institutional commitment and the operational arrangements available to clinicians. Formea and colleagues (2015) describe an inter-professional approach to personalized-medicine education within a large academic health system, illustrating that education programmes are most effective when designed across professional groups rather than for one. Brown-Johnson and colleagues (2021) report implementation outcomes for an integrated precision-health programme delivered in team-based family-practice primary care, combining semi-structured interviews with chart review; their contribution is to test whether precision-health services can be embedded in a generalist rather than a specialist setting. These studies are set predominantly in well-resourced academic institutions, which is characteristic of the sub-literature and limits its transferability.</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2.5 Studies on Digital Infrastructure and Clinical Decision Support</w:t>
      </w:r>
    </w:p>
    <w:p>
      <w:pPr>
        <w:spacing w:before="60" w:after="120" w:line="276" w:lineRule="auto"/>
        <w:ind w:firstLine="284"/>
        <w:jc w:val="both"/>
      </w:pPr>
      <w:r>
        <w:rPr>
          <w:rFonts w:ascii="Times New Roman" w:hAnsi="Times New Roman" w:eastAsia="Times New Roman"/>
          <w:color w:val="000000"/>
          <w:sz w:val="24"/>
          <w:szCs w:val="24"/>
        </w:rPr>
        <w:t xml:space="preserve">A distinct sub-literature addresses the technical requirements for delivering precision-medicine results. Hinderer and colleagues (2017) conducted a scoping review of clinical decision-support system designs for pharmacogenomic testing, examining how user-system interactions have been constructed in recently developed systems and identifying substantial variation in alert design, timing, and integration depth. Duong and colleagues (2020) describe the development of customizable implementation guides arising from a national implementation network, and Jiang and colleagues (2022) analyze the cost-utility of pharmacogenomic clinical decision support at health-system level, one of the few studies to treat decision-support infrastructure as an object of economic evaluation rather than a technical precondition.</w:t>
      </w:r>
    </w:p>
    <w:p>
      <w:pPr>
        <w:spacing w:before="60" w:after="120" w:line="276" w:lineRule="auto"/>
        <w:ind w:firstLine="284"/>
        <w:jc w:val="both"/>
      </w:pPr>
      <w:r>
        <w:rPr>
          <w:rFonts w:ascii="Times New Roman" w:hAnsi="Times New Roman" w:eastAsia="Times New Roman"/>
          <w:color w:val="000000"/>
          <w:sz w:val="24"/>
          <w:szCs w:val="24"/>
        </w:rPr>
        <w:t xml:space="preserve">The recurring finding across this sub-literature is that structured, discrete storage of results is a precondition for everything else. Where results are stored as scanned documents or free text, they cannot be surfaced automatically at the point of decision, and the service reverts to depending on clinician recall. This finding is unusually consistent across studies and settings, and it has a direct implication for health systems planning genomic programmes: investment in sequencing capacity without corresponding investment in structured storage and decision support produces data that cannot be acted upon.</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2.6 Studies on Financing, Reimbursement, and Economic Evaluation</w:t>
      </w:r>
    </w:p>
    <w:p>
      <w:pPr>
        <w:spacing w:before="60" w:after="120" w:line="276" w:lineRule="auto"/>
        <w:ind w:firstLine="284"/>
        <w:jc w:val="both"/>
      </w:pPr>
      <w:r>
        <w:rPr>
          <w:rFonts w:ascii="Times New Roman" w:hAnsi="Times New Roman" w:eastAsia="Times New Roman"/>
          <w:color w:val="000000"/>
          <w:sz w:val="24"/>
          <w:szCs w:val="24"/>
        </w:rPr>
        <w:t xml:space="preserve">Economic studies in this field are comparatively few. Najafzadeh and colleagues (2017) evaluated the economics of a pharmacogenomic test guiding treatment in depression and anxiety, and Ghanbarian and colleagues (2023) examined the cost-effectiveness of pharmacogenomic-guided treatment for major depression, both finding favorable results under stated assumptions. Abushanab and colleagues (2024) evaluated the cost-effectiveness of genotype-guided optimization of major-depression treatment from a public-hospital perspective in Qatar, notable as one of very few economic evaluations conducted within a Gulf health system rather than imported from elsewhere.</w:t>
      </w:r>
    </w:p>
    <w:p>
      <w:pPr>
        <w:spacing w:before="60" w:after="120" w:line="276" w:lineRule="auto"/>
        <w:ind w:firstLine="284"/>
        <w:jc w:val="both"/>
      </w:pPr>
      <w:r>
        <w:rPr>
          <w:rFonts w:ascii="Times New Roman" w:hAnsi="Times New Roman" w:eastAsia="Times New Roman"/>
          <w:color w:val="000000"/>
          <w:sz w:val="24"/>
          <w:szCs w:val="24"/>
        </w:rPr>
        <w:t xml:space="preserve">Knowles and colleagues (2017) address the regulatory, intellectual-property, and reimbursement conditions required for personalized medicine, treating financing as inseparable from the regulatory environment that determines what can be reimbursed. A theme running through this sub-literature, and stated most clearly in institutional programme reports rather than in the economic evaluations themselves, is the distinction between the cost of the test and the total cost of the service. Programmes that financed the test alone and not the interpretation, decision support, counseling, and clinical time surrounding it are repeatedly reported to lapse when initial funding ends.</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2.7 Studies on Governance, Ethics, and Equity</w:t>
      </w:r>
    </w:p>
    <w:p>
      <w:pPr>
        <w:spacing w:before="60" w:after="120" w:line="276" w:lineRule="auto"/>
        <w:ind w:firstLine="284"/>
        <w:jc w:val="both"/>
      </w:pPr>
      <w:r>
        <w:rPr>
          <w:rFonts w:ascii="Times New Roman" w:hAnsi="Times New Roman" w:eastAsia="Times New Roman"/>
          <w:color w:val="000000"/>
          <w:sz w:val="24"/>
          <w:szCs w:val="24"/>
        </w:rPr>
        <w:t xml:space="preserve">The literature on governance and ethics in precision medicine is substantial in volume but differs in character from the operational literature: it is dominated by conceptual and policy analysis rather than by empirical study of delivered services. De Belvis and colleagues (2021) examined the intersection of personalized medicine and patient-centred care in breast cancer through a systematic review, proposing a conceptual framework linking the two. The equity literature within this group is dominated by conceptual and policy argument rather than by measured inequities, which is itself a finding: the conditions most often asserted in this domain are among the least often observed.</w:t>
      </w:r>
    </w:p>
    <w:p>
      <w:pPr>
        <w:spacing w:before="60" w:after="120" w:line="276" w:lineRule="auto"/>
        <w:ind w:firstLine="284"/>
        <w:jc w:val="both"/>
      </w:pPr>
      <w:r>
        <w:rPr>
          <w:rFonts w:ascii="Times New Roman" w:hAnsi="Times New Roman" w:eastAsia="Times New Roman"/>
          <w:color w:val="000000"/>
          <w:sz w:val="24"/>
          <w:szCs w:val="24"/>
        </w:rPr>
        <w:t xml:space="preserve">The equity literature identifies a problem that is structural rather than incidental. Because variant interpretation and risk prediction depend on reference databases in which some ancestry groups are far better represented than others, a tool validated in one population may be less accurate in another, producing not merely unequal access to benefit but unequal accuracy of the service itself. For Gulf populations, which are underrepresented in the major reference databases, this finding has immediate practical consequences and is one of the reasons the present study treats equity as a readiness domain rather than as an ethical afterthought.</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2.8 Studies Proposing Readiness or Maturity Frameworks</w:t>
      </w:r>
    </w:p>
    <w:p>
      <w:pPr>
        <w:spacing w:before="60" w:after="120" w:line="276" w:lineRule="auto"/>
        <w:ind w:firstLine="284"/>
        <w:jc w:val="both"/>
      </w:pPr>
      <w:r>
        <w:rPr>
          <w:rFonts w:ascii="Times New Roman" w:hAnsi="Times New Roman" w:eastAsia="Times New Roman"/>
          <w:color w:val="000000"/>
          <w:sz w:val="24"/>
          <w:szCs w:val="24"/>
        </w:rPr>
        <w:t xml:space="preserve">A distinct group of studies proposes instruments for assessing organizational readiness or integration maturity, and these are the studies most directly comparable to the present research. Agarwal and colleagues (2021) developed a quantitative framework scoring personalized-medicine integration across United States delivery organizations on eight criteria spanning testing availability, data access, leadership, internal funding, and data use. Aguilera-Cobos and colleagues (2023) conducted a systematic review to construct a framework for determining the implementation level of personalized medicine. Adnan and colleagues (2025) set out a modular framework for deploying clinical artificial intelligence at scale, addressing a modality that earlier readiness instruments do not cover. Pritchard and colleagues (2017) describe strategies used by early-adopting delivery organizations to integrate personalized medicine into practice.</w:t>
      </w:r>
    </w:p>
    <w:p>
      <w:pPr>
        <w:spacing w:before="60" w:after="120" w:line="276" w:lineRule="auto"/>
        <w:ind w:firstLine="284"/>
        <w:jc w:val="both"/>
      </w:pPr>
      <w:r>
        <w:rPr>
          <w:rFonts w:ascii="Times New Roman" w:hAnsi="Times New Roman" w:eastAsia="Times New Roman"/>
          <w:color w:val="000000"/>
          <w:sz w:val="24"/>
          <w:szCs w:val="24"/>
        </w:rPr>
        <w:t xml:space="preserve">Liang and colleagues (2025) extend the question beyond single modalities in a systematic review of precision-medicine implementation for non-communicable diseases, one of the few syntheses to span disease areas rather than technologies. Taken together, these studies establish that readiness in this field is treated as multi-dimensional by every author who has examined it. They differ, however, in the dimensions they name, in the health-system context from which they were developed, and in whether their dimensions were derived from theory or generated inductively. With few exceptions they have not been validated against implementation outcomes, and none has been tested in a Gulf health system.</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2.9 Arab and Gulf Cooperation Council Studies</w:t>
      </w:r>
    </w:p>
    <w:p>
      <w:pPr>
        <w:spacing w:before="60" w:after="120" w:line="276" w:lineRule="auto"/>
        <w:ind w:firstLine="284"/>
        <w:jc w:val="both"/>
      </w:pPr>
      <w:r>
        <w:rPr>
          <w:rFonts w:ascii="Times New Roman" w:hAnsi="Times New Roman" w:eastAsia="Times New Roman"/>
          <w:color w:val="000000"/>
          <w:sz w:val="24"/>
          <w:szCs w:val="24"/>
        </w:rPr>
        <w:t xml:space="preserve">Gulf-specific research is recent, small in volume, and distinct in character from the international literature. It is presented separately here for that reason, and because it is the evidence base most directly relevant to the intended application of the present study.</w:t>
      </w:r>
    </w:p>
    <w:p>
      <w:pPr>
        <w:keepNext/>
        <w:spacing w:before="180" w:after="80" w:line="276" w:lineRule="auto"/>
      </w:pPr>
      <w:r>
        <w:rPr>
          <w:rFonts w:ascii="Times New Roman" w:hAnsi="Times New Roman" w:eastAsia="Times New Roman"/>
          <w:b/>
          <w:bCs/>
          <w:color w:val="000000"/>
          <w:sz w:val="24"/>
          <w:szCs w:val="24"/>
        </w:rPr>
        <w:t>2.9.1 Studies from Saudi Arabia</w:t>
      </w:r>
    </w:p>
    <w:p>
      <w:pPr>
        <w:spacing w:before="60" w:after="120" w:line="276" w:lineRule="auto"/>
        <w:ind w:firstLine="284"/>
        <w:jc w:val="both"/>
      </w:pPr>
      <w:r>
        <w:rPr>
          <w:rFonts w:ascii="Times New Roman" w:hAnsi="Times New Roman" w:eastAsia="Times New Roman"/>
          <w:color w:val="000000"/>
          <w:sz w:val="24"/>
          <w:szCs w:val="24"/>
        </w:rPr>
        <w:t xml:space="preserve">The Saudi literature consists predominantly of cross-sectional surveys of professional knowledge and attitudes. Algahtani (2020) surveyed hospital pharmacists on knowledge, perception, and application of pharmacogenomics; Alhaddad and colleagues (2022) examined pharmacists’ knowledge and insights regarding pharmacogenomic implementation; and Bagher and colleagues (2021) assessed knowledge, perception, and confidence among hospital pharmacists in Jeddah. Alharthi (2025) examined how equipped pharmacists are for pharmacogenomics, and Uddin and colleagues (2024) extended the question to clinicians, the latter through a national cross-sectional study of clinician understanding and practice regarding personalized genetic testing. Alyabsi and colleagues (2020) approached the subject from a policy direction, treating colorectal cancer in Saudi Arabia as a demonstration case for predictive and preventive strategies.</w:t>
      </w:r>
    </w:p>
    <w:p>
      <w:pPr>
        <w:spacing w:before="60" w:after="120" w:line="276" w:lineRule="auto"/>
        <w:ind w:firstLine="284"/>
        <w:jc w:val="both"/>
      </w:pPr>
      <w:r>
        <w:rPr>
          <w:rFonts w:ascii="Times New Roman" w:hAnsi="Times New Roman" w:eastAsia="Times New Roman"/>
          <w:color w:val="000000"/>
          <w:sz w:val="24"/>
          <w:szCs w:val="24"/>
        </w:rPr>
        <w:t xml:space="preserve">These studies converge on a consistent finding: professional interest in precision medicine is high, self-rated knowledge is low, and supporting infrastructure is reported as limited. What the Saudi literature in this corpus does not contain is an evaluation of a delivered precision-medicine service, which means that readiness in the Saudi context is documented through stated preparedness rather than observed implementation.</w:t>
      </w:r>
    </w:p>
    <w:p>
      <w:pPr>
        <w:keepNext/>
        <w:spacing w:before="180" w:after="80" w:line="276" w:lineRule="auto"/>
      </w:pPr>
      <w:r>
        <w:rPr>
          <w:rFonts w:ascii="Times New Roman" w:hAnsi="Times New Roman" w:eastAsia="Times New Roman"/>
          <w:b/>
          <w:bCs/>
          <w:color w:val="000000"/>
          <w:sz w:val="24"/>
          <w:szCs w:val="24"/>
        </w:rPr>
        <w:t>2.9.2 Studies from the United Arab Emirates</w:t>
      </w:r>
    </w:p>
    <w:p>
      <w:pPr>
        <w:spacing w:before="60" w:after="120" w:line="276" w:lineRule="auto"/>
        <w:ind w:firstLine="284"/>
        <w:jc w:val="both"/>
      </w:pPr>
      <w:r>
        <w:rPr>
          <w:rFonts w:ascii="Times New Roman" w:hAnsi="Times New Roman" w:eastAsia="Times New Roman"/>
          <w:color w:val="000000"/>
          <w:sz w:val="24"/>
          <w:szCs w:val="24"/>
        </w:rPr>
        <w:t xml:space="preserve">The Emirati literature is the most methodologically varied in the region. Rahma and colleagues produced a linked series of studies examining pharmacists through focus-group discussion (2020a), healthcare workers through cross-sectional survey (2020b), medical and health-science students (2020c), and subsequently the multi-ethnic general public (2023). This progression from professionals to students to the public is unusual in the regional literature and provides a fuller picture of the environment into which a service would be introduced. Al-Mahayri and colleagues (2022) report a cardiovascular pharmacogenomics pilot conducted across two sites in a multi-ethnic population, which is among the few Gulf studies in this corpus to move past readiness assessment into service-level implementation.</w:t>
      </w:r>
    </w:p>
    <w:p>
      <w:pPr>
        <w:keepNext/>
        <w:spacing w:before="180" w:after="80" w:line="276" w:lineRule="auto"/>
      </w:pPr>
      <w:r>
        <w:rPr>
          <w:rFonts w:ascii="Times New Roman" w:hAnsi="Times New Roman" w:eastAsia="Times New Roman"/>
          <w:b/>
          <w:bCs/>
          <w:color w:val="000000"/>
          <w:sz w:val="24"/>
          <w:szCs w:val="24"/>
        </w:rPr>
        <w:t>2.9.3 Studies from Qatar</w:t>
      </w:r>
    </w:p>
    <w:p>
      <w:pPr>
        <w:spacing w:before="60" w:after="120" w:line="276" w:lineRule="auto"/>
        <w:ind w:firstLine="284"/>
        <w:jc w:val="both"/>
      </w:pPr>
      <w:r>
        <w:rPr>
          <w:rFonts w:ascii="Times New Roman" w:hAnsi="Times New Roman" w:eastAsia="Times New Roman"/>
          <w:color w:val="000000"/>
          <w:sz w:val="24"/>
          <w:szCs w:val="24"/>
        </w:rPr>
        <w:t xml:space="preserve">Qatar contributes the strongest single-country evidence base in the Gulf subset because it combines delivery, economics, and readiness. Abdel-Latif and colleagues (2026) report the QPGx-CARES initiative implementing CYP2C19 pharmacogenetic testing for personalized antiplatelet therapy, a delivered clinical service rather than a proposal. Abushanab and colleagues (2024) provide the local cost-effectiveness evaluation of genotype-guided treatment discussed above. Alnaimi and colleagues (2024) assessed knowledge, perceptions, and readiness among physicians, pharmacists, and nurses across Hamad Medical Corporation using a mixed-method design, combining survey data with focus-group discussion. Qoronfleh and colleagues (2020) analyze Qatari precision-medicine policy at national level.</w:t>
      </w:r>
    </w:p>
    <w:p>
      <w:pPr>
        <w:keepNext/>
        <w:spacing w:before="180" w:after="80" w:line="276" w:lineRule="auto"/>
      </w:pPr>
      <w:r>
        <w:rPr>
          <w:rFonts w:ascii="Times New Roman" w:hAnsi="Times New Roman" w:eastAsia="Times New Roman"/>
          <w:b/>
          <w:bCs/>
          <w:color w:val="000000"/>
          <w:sz w:val="24"/>
          <w:szCs w:val="24"/>
        </w:rPr>
        <w:t>2.9.4 Multi-country and regional studies</w:t>
      </w:r>
    </w:p>
    <w:p>
      <w:pPr>
        <w:spacing w:before="60" w:after="120" w:line="276" w:lineRule="auto"/>
        <w:ind w:firstLine="284"/>
        <w:jc w:val="both"/>
      </w:pPr>
      <w:r>
        <w:rPr>
          <w:rFonts w:ascii="Times New Roman" w:hAnsi="Times New Roman" w:eastAsia="Times New Roman"/>
          <w:color w:val="000000"/>
          <w:sz w:val="24"/>
          <w:szCs w:val="24"/>
        </w:rPr>
        <w:t xml:space="preserve">A small number of studies address the region as a whole. Shaheen and Ghaly (2026) examine the ethical, legal, and social implications of genomics in the Gulf Cooperation Council, treating consent, family implications, and screening programmes as raising regionally distinctive questions rather than as local variants of global debates. Other regional studies examine professional education and curriculum coverage across several Arab states. These multi-country analyses consistently identify workforce education as the most widely shared constraint and governance as the area of greatest regional distinctiveness.</w:t>
      </w:r>
    </w:p>
    <w:p>
      <w:pPr>
        <w:spacing w:before="60" w:after="120" w:line="276" w:lineRule="auto"/>
        <w:ind w:firstLine="284"/>
        <w:jc w:val="both"/>
      </w:pPr>
      <w:r>
        <w:rPr>
          <w:rFonts w:ascii="Times New Roman" w:hAnsi="Times New Roman" w:eastAsia="Times New Roman"/>
          <w:color w:val="000000"/>
          <w:sz w:val="24"/>
          <w:szCs w:val="24"/>
        </w:rPr>
        <w:t xml:space="preserve">Two gaps in the Gulf literature are worth stating explicitly. No study in this corpus takes Bahrain, Kuwait, or Oman as its primary study setting, so Gulf-level claims rest on evidence from three of six member states. And no Gulf study in this corpus evaluates an AI-enabled or multimodal precision-medicine service, despite active regional investment in health-system digitization.</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2.10 Commentary on the Previous Studies</w:t>
      </w:r>
    </w:p>
    <w:p>
      <w:pPr>
        <w:keepNext/>
        <w:spacing w:before="180" w:after="80" w:line="276" w:lineRule="auto"/>
      </w:pPr>
      <w:r>
        <w:rPr>
          <w:rFonts w:ascii="Times New Roman" w:hAnsi="Times New Roman" w:eastAsia="Times New Roman"/>
          <w:b/>
          <w:bCs/>
          <w:color w:val="000000"/>
          <w:sz w:val="24"/>
          <w:szCs w:val="24"/>
        </w:rPr>
        <w:t>2.10.1 Points of agreement</w:t>
      </w:r>
    </w:p>
    <w:p>
      <w:pPr>
        <w:spacing w:before="60" w:after="120" w:line="276" w:lineRule="auto"/>
        <w:ind w:firstLine="284"/>
        <w:jc w:val="both"/>
      </w:pPr>
      <w:r>
        <w:rPr>
          <w:rFonts w:ascii="Times New Roman" w:hAnsi="Times New Roman" w:eastAsia="Times New Roman"/>
          <w:color w:val="000000"/>
          <w:sz w:val="24"/>
          <w:szCs w:val="24"/>
        </w:rPr>
        <w:t xml:space="preserve">Four findings recur across the reviewed studies with unusual consistency, and across differing modalities, settings, and study designs. The first is that workforce capability, and specifically the combination of interpretive confidence with clear role definition, is the most frequently identified constraint. The second is that a result must reach the clinician at the moment of decision through the routine workflow, and that results delivered outside that workflow are not acted upon. The third is that structured, retrievable storage of results is a precondition for the second. The fourth is that financing the test without financing the surrounding service produces initiatives that end when initial funding ends. That these findings recur across such varied contexts suggests they reflect generic properties of the implementation problem rather than local circumstance.</w:t>
      </w:r>
    </w:p>
    <w:p>
      <w:pPr>
        <w:keepNext/>
        <w:spacing w:before="180" w:after="80" w:line="276" w:lineRule="auto"/>
      </w:pPr>
      <w:r>
        <w:rPr>
          <w:rFonts w:ascii="Times New Roman" w:hAnsi="Times New Roman" w:eastAsia="Times New Roman"/>
          <w:b/>
          <w:bCs/>
          <w:color w:val="000000"/>
          <w:sz w:val="24"/>
          <w:szCs w:val="24"/>
        </w:rPr>
        <w:t>2.10.2 Points of divergence</w:t>
      </w:r>
    </w:p>
    <w:p>
      <w:pPr>
        <w:spacing w:before="60" w:after="120" w:line="276" w:lineRule="auto"/>
        <w:ind w:firstLine="284"/>
        <w:jc w:val="both"/>
      </w:pPr>
      <w:r>
        <w:rPr>
          <w:rFonts w:ascii="Times New Roman" w:hAnsi="Times New Roman" w:eastAsia="Times New Roman"/>
          <w:color w:val="000000"/>
          <w:sz w:val="24"/>
          <w:szCs w:val="24"/>
        </w:rPr>
        <w:t xml:space="preserve">The reviewed studies diverge in three respects. They diverge on the relative importance of governance: policy and framework literature treats governance as a primary determinant, while empirical implementation studies more often report it as a background condition and locate the decisive problems in workflow and workforce. They diverge on the role of education: some studies treat clinician education as the principal lever, while institutional programme reports repeatedly find education insufficient without accompanying role definition. And they diverge on economic conclusions, which vary with the assumptions, perspective, and time horizon adopted, so that cost-effectiveness findings from one health system transfer poorly to another.</w:t>
      </w:r>
    </w:p>
    <w:p>
      <w:pPr>
        <w:keepNext/>
        <w:spacing w:before="180" w:after="80" w:line="276" w:lineRule="auto"/>
      </w:pPr>
      <w:r>
        <w:rPr>
          <w:rFonts w:ascii="Times New Roman" w:hAnsi="Times New Roman" w:eastAsia="Times New Roman"/>
          <w:b/>
          <w:bCs/>
          <w:color w:val="000000"/>
          <w:sz w:val="24"/>
          <w:szCs w:val="24"/>
        </w:rPr>
        <w:t>2.10.3 Methodological characteristics and limitations</w:t>
      </w:r>
    </w:p>
    <w:p>
      <w:pPr>
        <w:spacing w:before="60" w:after="120" w:line="276" w:lineRule="auto"/>
        <w:ind w:firstLine="284"/>
        <w:jc w:val="both"/>
      </w:pPr>
      <w:r>
        <w:rPr>
          <w:rFonts w:ascii="Times New Roman" w:hAnsi="Times New Roman" w:eastAsia="Times New Roman"/>
          <w:color w:val="000000"/>
          <w:sz w:val="24"/>
          <w:szCs w:val="24"/>
        </w:rPr>
        <w:t xml:space="preserve">Several methodological characteristics limit what the reviewed literature can support. A substantial share of it is conceptual: frameworks, perspectives, and policy commentary that argue for conditions rather than observe them. Among the empirical studies, cross-sectional surveys of knowledge and attitude predominate, and these measure individual perception rather than institutional capability, a distinction frequently blurred when such studies are cited as evidence of readiness. Study settings are concentrated in academic and well-resourced institutions. Follow-up is typically short, so sustainability is under-evidenced relative to adoption. And publication favors successful implementations, so the literature on programmes that failed or were discontinued is thin, despite being the literature from which most could be learned.</w:t>
      </w:r>
    </w:p>
    <w:p>
      <w:pPr>
        <w:keepNext/>
        <w:spacing w:before="180" w:after="80" w:line="276" w:lineRule="auto"/>
      </w:pPr>
      <w:r>
        <w:rPr>
          <w:rFonts w:ascii="Times New Roman" w:hAnsi="Times New Roman" w:eastAsia="Times New Roman"/>
          <w:b/>
          <w:bCs/>
          <w:color w:val="000000"/>
          <w:sz w:val="24"/>
          <w:szCs w:val="24"/>
        </w:rPr>
        <w:t>2.10.4 Concentration by modality and geography</w:t>
      </w:r>
    </w:p>
    <w:p>
      <w:pPr>
        <w:spacing w:before="60" w:after="120" w:line="276" w:lineRule="auto"/>
        <w:ind w:firstLine="284"/>
        <w:jc w:val="both"/>
      </w:pPr>
      <w:r>
        <w:rPr>
          <w:rFonts w:ascii="Times New Roman" w:hAnsi="Times New Roman" w:eastAsia="Times New Roman"/>
          <w:color w:val="000000"/>
          <w:sz w:val="24"/>
          <w:szCs w:val="24"/>
        </w:rPr>
        <w:t xml:space="preserve">The reviewed literature is concentrated in pharmacogenomics and in North American and European health systems. This concentration has two implications for the present study. Evidence about AI-enabled, multimodal, and preventive precision medicine is sparse relative to the pace at which those modalities are being adopted, so health systems investing in them are doing so largely without implementation evidence. And the conditions identified in the literature were observed predominantly in settings where infrastructure, workforce, and financing were already comparatively strong, so their applicability to systems with different starting conditions is an open question rather than a settled one.</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2.11 The Research Gap</w:t>
      </w:r>
    </w:p>
    <w:p>
      <w:pPr>
        <w:spacing w:before="60" w:after="120" w:line="276" w:lineRule="auto"/>
        <w:ind w:firstLine="284"/>
        <w:jc w:val="both"/>
      </w:pPr>
      <w:r>
        <w:rPr>
          <w:rFonts w:ascii="Times New Roman" w:hAnsi="Times New Roman" w:eastAsia="Times New Roman"/>
          <w:color w:val="000000"/>
          <w:sz w:val="24"/>
          <w:szCs w:val="24"/>
        </w:rPr>
        <w:t xml:space="preserve">The reviewed studies establish, collectively, that implementing precision medicine depends on organizational conditions extending well beyond analytical performance, and they supply considerable modality-specific detail about what those conditions are. Three deficiencies nonetheless remain, and together they constitute the gap this study addresses.</w:t>
      </w:r>
    </w:p>
    <w:p>
      <w:pPr>
        <w:spacing w:before="60" w:after="120" w:line="276" w:lineRule="auto"/>
        <w:ind w:firstLine="284"/>
        <w:jc w:val="both"/>
      </w:pPr>
      <w:r>
        <w:rPr>
          <w:rFonts w:ascii="Times New Roman" w:hAnsi="Times New Roman" w:eastAsia="Times New Roman"/>
          <w:color w:val="000000"/>
          <w:sz w:val="24"/>
          <w:szCs w:val="24"/>
        </w:rPr>
        <w:t xml:space="preserve">The first is the absence of a </w:t>
      </w:r>
      <w:r>
        <w:rPr>
          <w:rFonts w:ascii="Times New Roman" w:hAnsi="Times New Roman" w:eastAsia="Times New Roman"/>
          <w:b/>
          <w:bCs/>
          <w:color w:val="000000"/>
          <w:sz w:val="24"/>
          <w:szCs w:val="24"/>
        </w:rPr>
        <w:t xml:space="preserve">modality-general synthesis</w:t>
      </w:r>
      <w:r>
        <w:rPr>
          <w:rFonts w:ascii="Times New Roman" w:hAnsi="Times New Roman" w:eastAsia="Times New Roman"/>
          <w:color w:val="000000"/>
          <w:sz w:val="24"/>
          <w:szCs w:val="24"/>
        </w:rPr>
        <w:t xml:space="preserve">. Existing reviews are bounded by modality or by setting, and a health-system leader choosing between a pharmacogenomic service, a sequencing service, and a clinical AI deployment cannot find in the literature a common structure against which to compare them. The second is the absence of a </w:t>
      </w:r>
      <w:r>
        <w:rPr>
          <w:rFonts w:ascii="Times New Roman" w:hAnsi="Times New Roman" w:eastAsia="Times New Roman"/>
          <w:b/>
          <w:bCs/>
          <w:color w:val="000000"/>
          <w:sz w:val="24"/>
          <w:szCs w:val="24"/>
        </w:rPr>
        <w:t xml:space="preserve">transparently derived and openly reported framework</w:t>
      </w:r>
      <w:r>
        <w:rPr>
          <w:rFonts w:ascii="Times New Roman" w:hAnsi="Times New Roman" w:eastAsia="Times New Roman"/>
          <w:color w:val="000000"/>
          <w:sz w:val="24"/>
          <w:szCs w:val="24"/>
        </w:rPr>
        <w:t xml:space="preserve">. Existing readiness instruments differ in the dimensions they name, are typically developed within a single health-system context, and rarely publish the coding rules by which their dimensions were populated, which makes them difficult to test or adapt. The third is the absence of a </w:t>
      </w:r>
      <w:r>
        <w:rPr>
          <w:rFonts w:ascii="Times New Roman" w:hAnsi="Times New Roman" w:eastAsia="Times New Roman"/>
          <w:b/>
          <w:bCs/>
          <w:color w:val="000000"/>
          <w:sz w:val="24"/>
          <w:szCs w:val="24"/>
        </w:rPr>
        <w:t xml:space="preserve">systematic separation of observed from recommended conditions</w:t>
      </w:r>
      <w:r>
        <w:rPr>
          <w:rFonts w:ascii="Times New Roman" w:hAnsi="Times New Roman" w:eastAsia="Times New Roman"/>
          <w:color w:val="000000"/>
          <w:sz w:val="24"/>
          <w:szCs w:val="24"/>
        </w:rPr>
        <w:t xml:space="preserve">. Because conceptual and empirical sources are usually synthesized together, a condition that is frequently argued becomes indistinguishable from a condition that is frequently observed, and a reader cannot tell which conclusions rest on evidence.</w:t>
      </w:r>
    </w:p>
    <w:p>
      <w:pPr>
        <w:spacing w:before="60" w:after="120" w:line="276" w:lineRule="auto"/>
        <w:ind w:firstLine="284"/>
        <w:jc w:val="both"/>
      </w:pPr>
      <w:r>
        <w:rPr>
          <w:rFonts w:ascii="Times New Roman" w:hAnsi="Times New Roman" w:eastAsia="Times New Roman"/>
          <w:color w:val="000000"/>
          <w:sz w:val="24"/>
          <w:szCs w:val="24"/>
        </w:rPr>
        <w:t xml:space="preserve">A fourth deficiency is contextual rather than methodological. The Gulf evidence base consists predominantly of readiness surveys from three of six member states, with very few evaluated services and no local validation of any existing readiness framework. Gulf health systems are therefore making substantial precision-medicine investments while relying on guidance developed for systems that differ from theirs in financing, workforce composition, population genomics, and governance.</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2.12 What Distinguishes the Present Study</w:t>
      </w:r>
    </w:p>
    <w:p>
      <w:pPr>
        <w:spacing w:before="60" w:after="120" w:line="276" w:lineRule="auto"/>
        <w:ind w:firstLine="284"/>
        <w:jc w:val="both"/>
      </w:pPr>
      <w:r>
        <w:rPr>
          <w:rFonts w:ascii="Times New Roman" w:hAnsi="Times New Roman" w:eastAsia="Times New Roman"/>
          <w:color w:val="000000"/>
          <w:sz w:val="24"/>
          <w:szCs w:val="24"/>
        </w:rPr>
        <w:t xml:space="preserve">The present study differs from the previous studies reviewed above in six specific respects.</w:t>
      </w:r>
    </w:p>
    <w:p>
      <w:pPr>
        <w:spacing w:before="60" w:after="120" w:line="276" w:lineRule="auto"/>
        <w:ind w:firstLine="284"/>
        <w:jc w:val="both"/>
      </w:pPr>
      <w:r>
        <w:rPr>
          <w:rFonts w:ascii="Times New Roman" w:hAnsi="Times New Roman" w:eastAsia="Times New Roman"/>
          <w:b/>
          <w:bCs/>
          <w:color w:val="000000"/>
          <w:sz w:val="24"/>
          <w:szCs w:val="24"/>
        </w:rPr>
        <w:t xml:space="preserve">First, in scope.</w:t>
      </w:r>
      <w:r>
        <w:rPr>
          <w:rFonts w:ascii="Times New Roman" w:hAnsi="Times New Roman" w:eastAsia="Times New Roman"/>
          <w:color w:val="000000"/>
          <w:sz w:val="24"/>
          <w:szCs w:val="24"/>
        </w:rPr>
        <w:t xml:space="preserve"> Where previous reviews are bounded by a single modality or setting, this study spans pharmacogenomics, clinical genomics, precision oncology, biomarker-guided care, AI-enabled tools, multimodal approaches, and preventive services within one synthesis, and organizes findings by organizational domain rather than by technology. This permits comparison across modalities that the existing literature does not support.</w:t>
      </w:r>
    </w:p>
    <w:p>
      <w:pPr>
        <w:spacing w:before="60" w:after="120" w:line="276" w:lineRule="auto"/>
        <w:ind w:firstLine="284"/>
        <w:jc w:val="both"/>
      </w:pPr>
      <w:r>
        <w:rPr>
          <w:rFonts w:ascii="Times New Roman" w:hAnsi="Times New Roman" w:eastAsia="Times New Roman"/>
          <w:b/>
          <w:bCs/>
          <w:color w:val="000000"/>
          <w:sz w:val="24"/>
          <w:szCs w:val="24"/>
        </w:rPr>
        <w:t xml:space="preserve">Second, in the transparency of framework derivation.</w:t>
      </w:r>
      <w:r>
        <w:rPr>
          <w:rFonts w:ascii="Times New Roman" w:hAnsi="Times New Roman" w:eastAsia="Times New Roman"/>
          <w:color w:val="000000"/>
          <w:sz w:val="24"/>
          <w:szCs w:val="24"/>
        </w:rPr>
        <w:t xml:space="preserve"> The seven domains used here were specified before charting and derived explicitly from named implementation theory and the health-system building blocks, and the full coding manual, including domain definitions, inclusion and exclusion rules, rules for resolving overlap between domains, and worked examples, is published alongside the study. Previous readiness frameworks generally publish their dimensions without publishing the rules by which content was assigned to them.</w:t>
      </w:r>
    </w:p>
    <w:p>
      <w:pPr>
        <w:spacing w:before="60" w:after="120" w:line="276" w:lineRule="auto"/>
        <w:ind w:firstLine="284"/>
        <w:jc w:val="both"/>
      </w:pPr>
      <w:r>
        <w:rPr>
          <w:rFonts w:ascii="Times New Roman" w:hAnsi="Times New Roman" w:eastAsia="Times New Roman"/>
          <w:b/>
          <w:bCs/>
          <w:color w:val="000000"/>
          <w:sz w:val="24"/>
          <w:szCs w:val="24"/>
        </w:rPr>
        <w:t xml:space="preserve">Third, in separating evidence from argument.</w:t>
      </w:r>
      <w:r>
        <w:rPr>
          <w:rFonts w:ascii="Times New Roman" w:hAnsi="Times New Roman" w:eastAsia="Times New Roman"/>
          <w:color w:val="000000"/>
          <w:sz w:val="24"/>
          <w:szCs w:val="24"/>
        </w:rPr>
        <w:t xml:space="preserve"> The study charts study design as a field independent of domain coding, which permits a stratified analysis reporting domain frequency separately within primary empirical studies and within conceptual sources, together with a sensitivity analysis restricted to empirical evidence. No previous review in this field systematically distinguishes what has been observed from what has been recommended.</w:t>
      </w:r>
    </w:p>
    <w:p>
      <w:pPr>
        <w:spacing w:before="60" w:after="120" w:line="276" w:lineRule="auto"/>
        <w:ind w:firstLine="284"/>
        <w:jc w:val="both"/>
      </w:pPr>
      <w:r>
        <w:rPr>
          <w:rFonts w:ascii="Times New Roman" w:hAnsi="Times New Roman" w:eastAsia="Times New Roman"/>
          <w:b/>
          <w:bCs/>
          <w:color w:val="000000"/>
          <w:sz w:val="24"/>
          <w:szCs w:val="24"/>
        </w:rPr>
        <w:t xml:space="preserve">Fourth, in the scale and auditability of the evidence base.</w:t>
      </w:r>
      <w:r>
        <w:rPr>
          <w:rFonts w:ascii="Times New Roman" w:hAnsi="Times New Roman" w:eastAsia="Times New Roman"/>
          <w:color w:val="000000"/>
          <w:sz w:val="24"/>
          <w:szCs w:val="24"/>
        </w:rPr>
        <w:t xml:space="preserve"> The study charts a substantially larger corpus than the reviews discussed above, and every charted item is linked to a verbatim supporting extract from its source, with the complete charting register, the search strategy and run logs, and the analysis code published so that any reported figure can be regenerated and audited independently.</w:t>
      </w:r>
    </w:p>
    <w:p>
      <w:pPr>
        <w:spacing w:before="60" w:after="120" w:line="276" w:lineRule="auto"/>
        <w:ind w:firstLine="284"/>
        <w:jc w:val="both"/>
      </w:pPr>
      <w:r>
        <w:rPr>
          <w:rFonts w:ascii="Times New Roman" w:hAnsi="Times New Roman" w:eastAsia="Times New Roman"/>
          <w:b/>
          <w:bCs/>
          <w:color w:val="000000"/>
          <w:sz w:val="24"/>
          <w:szCs w:val="24"/>
        </w:rPr>
        <w:t xml:space="preserve">Fifth, in its regional orientation.</w:t>
      </w:r>
      <w:r>
        <w:rPr>
          <w:rFonts w:ascii="Times New Roman" w:hAnsi="Times New Roman" w:eastAsia="Times New Roman"/>
          <w:color w:val="000000"/>
          <w:sz w:val="24"/>
          <w:szCs w:val="24"/>
        </w:rPr>
        <w:t xml:space="preserve"> The Gulf subset is analyzed in its own right by country, study design, modality, setting, and readiness domain, rather than being reported as a count within a geographic distribution, and the resulting guidance is expressed as adaptable principles requiring local validation rather than as transferable findings.</w:t>
      </w:r>
    </w:p>
    <w:p>
      <w:pPr>
        <w:spacing w:before="60" w:after="120" w:line="276" w:lineRule="auto"/>
        <w:ind w:firstLine="284"/>
        <w:jc w:val="both"/>
      </w:pPr>
      <w:r>
        <w:rPr>
          <w:rFonts w:ascii="Times New Roman" w:hAnsi="Times New Roman" w:eastAsia="Times New Roman"/>
          <w:b/>
          <w:bCs/>
          <w:color w:val="000000"/>
          <w:sz w:val="24"/>
          <w:szCs w:val="24"/>
        </w:rPr>
        <w:t xml:space="preserve">Sixth, in the calibration of its claims.</w:t>
      </w:r>
      <w:r>
        <w:rPr>
          <w:rFonts w:ascii="Times New Roman" w:hAnsi="Times New Roman" w:eastAsia="Times New Roman"/>
          <w:color w:val="000000"/>
          <w:sz w:val="24"/>
          <w:szCs w:val="24"/>
        </w:rPr>
        <w:t xml:space="preserve"> The framework and the staged pathway derived from it are presented explicitly as evidence-informed and not validated, requiring expert-consensus validation and local field testing before use in investment decisions. Previous frameworks in this field have more often been presented as ready for application than as propositions requiring test.</w:t>
      </w:r>
    </w:p>
    <w:p>
      <w:pPr>
        <w:pStyle w:val="Heading2"/>
        <w:keepNext/>
        <w:pageBreakBefore w:val="0"/>
        <w:pBdr>
          <w:bottom w:val="single" w:sz="6" w:space="2" w:color="2E5C8A"/>
        </w:pBdr>
        <w:spacing w:before="240" w:after="120"/>
      </w:pPr>
      <w:r>
        <w:rPr>
          <w:rFonts w:ascii="Times New Roman" w:hAnsi="Times New Roman" w:eastAsia="Times New Roman"/>
          <w:b/>
          <w:bCs/>
          <w:color w:val="000000"/>
          <w:sz w:val="26"/>
          <w:szCs w:val="28"/>
        </w:rPr>
        <w:t>2.13 Chapter Summary</w:t>
      </w:r>
    </w:p>
    <w:p>
      <w:pPr>
        <w:spacing w:before="60" w:after="120" w:line="276" w:lineRule="auto"/>
        <w:ind w:firstLine="284"/>
        <w:jc w:val="both"/>
      </w:pPr>
      <w:r>
        <w:rPr>
          <w:rFonts w:ascii="Times New Roman" w:hAnsi="Times New Roman" w:eastAsia="Times New Roman"/>
          <w:color w:val="000000"/>
          <w:sz w:val="24"/>
          <w:szCs w:val="24"/>
        </w:rPr>
        <w:t xml:space="preserve">This chapter reviewed the previous studies relevant to implementing precision medicine in health systems, organized across six international thematic groupings and a separate treatment of Arab and Gulf research. It identified four findings on which the literature converges, namely the primacy of workforce capability and role definition, the necessity of delivering results within the clinical workflow, the dependence of that delivery on structured data storage, and the distinction between financing a test and financing a service. It identified three points of divergence, concerning the weight assigned to governance, the sufficiency of education, and the transferability of economic findings.</w:t>
      </w:r>
    </w:p>
    <w:p>
      <w:pPr>
        <w:spacing w:before="60" w:after="120" w:line="276" w:lineRule="auto"/>
        <w:ind w:firstLine="284"/>
        <w:jc w:val="both"/>
      </w:pPr>
      <w:r>
        <w:rPr>
          <w:rFonts w:ascii="Times New Roman" w:hAnsi="Times New Roman" w:eastAsia="Times New Roman"/>
          <w:color w:val="000000"/>
          <w:sz w:val="24"/>
          <w:szCs w:val="24"/>
        </w:rPr>
        <w:t xml:space="preserve">The chapter then set out the methodological limitations recurring across the reviewed work, including the predominance of conceptual over empirical sources, the reliance on surveys of individual attitude as evidence of institutional readiness, the concentration of study settings in well-resourced academic institutions, and the scarcity of evidence on sustainability and on unsuccessful implementations. It stated the resulting research gap across four dimensions and specified six respects in which the present study differs from the previous studies reviewed. The methodology by which the present study addresses that gap is set out in the chapter that follows.</w:t>
      </w:r>
    </w:p>
    <w:p>
      <w:pPr>
        <w:pStyle w:val="Heading1"/>
        <w:keepNext/>
        <w:pageBreakBefore/>
        <w:spacing w:after="240"/>
      </w:pPr>
      <w:r>
        <w:rPr>
          <w:rFonts w:ascii="Times New Roman" w:hAnsi="Times New Roman" w:eastAsia="Times New Roman"/>
          <w:b/>
          <w:sz w:val="32"/>
        </w:rPr>
        <w:t>References</w:t>
      </w:r>
    </w:p>
    <w:p>
      <w:pPr>
        <w:spacing w:before="40" w:after="100" w:line="276" w:lineRule="auto"/>
        <w:ind w:left="567" w:hanging="567"/>
        <w:jc w:val="both"/>
      </w:pPr>
      <w:r>
        <w:rPr>
          <w:rFonts w:ascii="Times New Roman" w:hAnsi="Times New Roman" w:eastAsia="Times New Roman"/>
          <w:color w:val="000000"/>
          <w:sz w:val="22"/>
          <w:szCs w:val="22"/>
        </w:rPr>
        <w:t xml:space="preserve">Abdel-Latif, R., Al Muftah, W., Mohammed, S., et al. (2026). Implementing CYP2C19 pharmacogenetic testing for personalized antiplatelet therapy: Findings from the QPGx-CARES initiative. Clinical Therapeutics, 48(2), 170–178.</w:t>
      </w:r>
    </w:p>
    <w:p>
      <w:pPr>
        <w:spacing w:before="40" w:after="100" w:line="276" w:lineRule="auto"/>
        <w:ind w:left="567" w:hanging="567"/>
        <w:jc w:val="both"/>
      </w:pPr>
      <w:r>
        <w:rPr>
          <w:rFonts w:ascii="Times New Roman" w:hAnsi="Times New Roman" w:eastAsia="Times New Roman"/>
          <w:color w:val="000000"/>
          <w:sz w:val="22"/>
          <w:szCs w:val="22"/>
        </w:rPr>
        <w:t xml:space="preserve">Abushanab, D., Abdel-Latif, R., Alsoukhni, O., et al. (2024). Cost-effectiveness of genotype-guided optimization of major depression treatment in Qatar. Journal of Pharmaceutical Policy and Practice, 17(1), 2410197. https://doi.org/10.1080/20523211.2024.2410197</w:t>
      </w:r>
    </w:p>
    <w:p>
      <w:pPr>
        <w:spacing w:before="40" w:after="100" w:line="276" w:lineRule="auto"/>
        <w:ind w:left="567" w:hanging="567"/>
        <w:jc w:val="both"/>
      </w:pPr>
      <w:r>
        <w:rPr>
          <w:rFonts w:ascii="Times New Roman" w:hAnsi="Times New Roman" w:eastAsia="Times New Roman"/>
          <w:color w:val="000000"/>
          <w:sz w:val="22"/>
          <w:szCs w:val="22"/>
        </w:rPr>
        <w:t xml:space="preserve">Adnan, H. S., Shidani, A., Clifton, L., et al. (2025). Implementation framework for AI deployment at scale in healthcare systems. iScience, 28(5), 112406. https://doi.org/10.1016/j.isci.2025.112406</w:t>
      </w:r>
    </w:p>
    <w:p>
      <w:pPr>
        <w:spacing w:before="40" w:after="100" w:line="276" w:lineRule="auto"/>
        <w:ind w:left="567" w:hanging="567"/>
        <w:jc w:val="both"/>
      </w:pPr>
      <w:r>
        <w:rPr>
          <w:rFonts w:ascii="Times New Roman" w:hAnsi="Times New Roman" w:eastAsia="Times New Roman"/>
          <w:color w:val="000000"/>
          <w:sz w:val="22"/>
          <w:szCs w:val="22"/>
        </w:rPr>
        <w:t xml:space="preserve">Agarwal, A., Pritchard, D., Gullett, L., et al. (2021). A quantitative framework for measuring personalized medicine integration into US healthcare delivery organizations. Journal of Personalized Medicine, 11(3), 196. https://doi.org/10.3390/jpm11030196</w:t>
      </w:r>
    </w:p>
    <w:p>
      <w:pPr>
        <w:spacing w:before="40" w:after="100" w:line="276" w:lineRule="auto"/>
        <w:ind w:left="567" w:hanging="567"/>
        <w:jc w:val="both"/>
      </w:pPr>
      <w:r>
        <w:rPr>
          <w:rFonts w:ascii="Times New Roman" w:hAnsi="Times New Roman" w:eastAsia="Times New Roman"/>
          <w:color w:val="000000"/>
          <w:sz w:val="22"/>
          <w:szCs w:val="22"/>
        </w:rPr>
        <w:t xml:space="preserve">Aguilera-Cobos, L., García-Sanz, P., Rosario-Lozano, M. P., et al. (2023). An innovative framework to determine the implementation level of personalized medicine: A systematic review. Frontiers in Public Health, 11, 1039688. https://doi.org/10.3389/fpubh.2023.1039688</w:t>
      </w:r>
    </w:p>
    <w:p>
      <w:pPr>
        <w:spacing w:before="40" w:after="100" w:line="276" w:lineRule="auto"/>
        <w:ind w:left="567" w:hanging="567"/>
        <w:jc w:val="both"/>
      </w:pPr>
      <w:r>
        <w:rPr>
          <w:rFonts w:ascii="Times New Roman" w:hAnsi="Times New Roman" w:eastAsia="Times New Roman"/>
          <w:color w:val="000000"/>
          <w:sz w:val="22"/>
          <w:szCs w:val="22"/>
        </w:rPr>
        <w:t xml:space="preserve">Al-Mahayri, Z. N., Khasawneh, L. Q., Alqasrawi, M. N., et al. (2022). Pharmacogenomics implementation in cardiovascular disease in a highly diverse population. Human Genomics, 16(1), 42. https://doi.org/10.1186/s40246-022-00417-9</w:t>
      </w:r>
    </w:p>
    <w:p>
      <w:pPr>
        <w:spacing w:before="40" w:after="100" w:line="276" w:lineRule="auto"/>
        <w:ind w:left="567" w:hanging="567"/>
        <w:jc w:val="both"/>
      </w:pPr>
      <w:r>
        <w:rPr>
          <w:rFonts w:ascii="Times New Roman" w:hAnsi="Times New Roman" w:eastAsia="Times New Roman"/>
          <w:color w:val="000000"/>
          <w:sz w:val="22"/>
          <w:szCs w:val="22"/>
        </w:rPr>
        <w:t xml:space="preserve">Algahtani, M. (2020). Knowledge, perception, and application of pharmacogenomics among hospital pharmacists in Saudi Arabia. Risk Management and Healthcare Policy, 13, 1279–1291. https://doi.org/10.2147/RMHP.S267492</w:t>
      </w:r>
    </w:p>
    <w:p>
      <w:pPr>
        <w:spacing w:before="40" w:after="100" w:line="276" w:lineRule="auto"/>
        <w:ind w:left="567" w:hanging="567"/>
        <w:jc w:val="both"/>
      </w:pPr>
      <w:r>
        <w:rPr>
          <w:rFonts w:ascii="Times New Roman" w:hAnsi="Times New Roman" w:eastAsia="Times New Roman"/>
          <w:color w:val="000000"/>
          <w:sz w:val="22"/>
          <w:szCs w:val="22"/>
        </w:rPr>
        <w:t xml:space="preserve">Alhaddad, Z. A., AlMousa, H. A., &amp; Younis, N. S. (2022). Pharmacists’ knowledge and insights in implementing pharmacogenomics in Saudi Arabia. International Journal of Environmental Research and Public Health, 19(16), 10073. https://doi.org/10.3390/ijerph191610073</w:t>
      </w:r>
    </w:p>
    <w:p>
      <w:pPr>
        <w:spacing w:before="40" w:after="100" w:line="276" w:lineRule="auto"/>
        <w:ind w:left="567" w:hanging="567"/>
        <w:jc w:val="both"/>
      </w:pPr>
      <w:r>
        <w:rPr>
          <w:rFonts w:ascii="Times New Roman" w:hAnsi="Times New Roman" w:eastAsia="Times New Roman"/>
          <w:color w:val="000000"/>
          <w:sz w:val="22"/>
          <w:szCs w:val="22"/>
        </w:rPr>
        <w:t xml:space="preserve">Alharthi, S. (2025). How equipped are pharmacists for pharmacogenomics? A cross-sectional study on knowledge, attitudes, and implementation practices in Saudi Arabia. Medicine, 104(17), e42240. https://doi.org/10.1097/MD.0000000000042240</w:t>
      </w:r>
    </w:p>
    <w:p>
      <w:pPr>
        <w:spacing w:before="40" w:after="100" w:line="276" w:lineRule="auto"/>
        <w:ind w:left="567" w:hanging="567"/>
        <w:jc w:val="both"/>
      </w:pPr>
      <w:r>
        <w:rPr>
          <w:rFonts w:ascii="Times New Roman" w:hAnsi="Times New Roman" w:eastAsia="Times New Roman"/>
          <w:color w:val="000000"/>
          <w:sz w:val="22"/>
          <w:szCs w:val="22"/>
        </w:rPr>
        <w:t xml:space="preserve">Alnaimi, S. J., Ajaj, F., Awaisu, A., et al. (2024). Assessment of knowledge, perceptions, and readiness of healthcare professionals towards clinical pharmacogenomics implementation in Qatar: A mixed-method study. Journal of Pharmaceutical Policy and Practice, 17(1), 2429785. https://doi.org/10.1080/20523211.2024.2429785</w:t>
      </w:r>
    </w:p>
    <w:p>
      <w:pPr>
        <w:spacing w:before="40" w:after="100" w:line="276" w:lineRule="auto"/>
        <w:ind w:left="567" w:hanging="567"/>
        <w:jc w:val="both"/>
      </w:pPr>
      <w:r>
        <w:rPr>
          <w:rFonts w:ascii="Times New Roman" w:hAnsi="Times New Roman" w:eastAsia="Times New Roman"/>
          <w:color w:val="000000"/>
          <w:sz w:val="22"/>
          <w:szCs w:val="22"/>
        </w:rPr>
        <w:t xml:space="preserve">Alyabsi, M., Alhumaid, A., Allah-Bakhsh, H., et al. (2020). Colorectal cancer in Saudi Arabia as the proof-of-principle model for implementing strategies of predictive, preventive, and personalized medicine in healthcare. EPMA Journal, 11(1), 119–131. https://doi.org/10.1007/s13167-019-00186-x</w:t>
      </w:r>
    </w:p>
    <w:p>
      <w:pPr>
        <w:spacing w:before="40" w:after="100" w:line="276" w:lineRule="auto"/>
        <w:ind w:left="567" w:hanging="567"/>
        <w:jc w:val="both"/>
      </w:pPr>
      <w:r>
        <w:rPr>
          <w:rFonts w:ascii="Times New Roman" w:hAnsi="Times New Roman" w:eastAsia="Times New Roman"/>
          <w:color w:val="000000"/>
          <w:sz w:val="22"/>
          <w:szCs w:val="22"/>
        </w:rPr>
        <w:t xml:space="preserve">Aquilante, C. L., Kao, D. P., Trinkley, K. E., et al. (2020). Clinical implementation of pharmacogenomics via a health system-wide research biobank: The University of Colorado experience. Pharmacogenomics, 21(6), 375–386. https://doi.org/10.2217/pgs-2020-0007</w:t>
      </w:r>
    </w:p>
    <w:p>
      <w:pPr>
        <w:spacing w:before="40" w:after="100" w:line="276" w:lineRule="auto"/>
        <w:ind w:left="567" w:hanging="567"/>
        <w:jc w:val="both"/>
      </w:pPr>
      <w:r>
        <w:rPr>
          <w:rFonts w:ascii="Times New Roman" w:hAnsi="Times New Roman" w:eastAsia="Times New Roman"/>
          <w:color w:val="000000"/>
          <w:sz w:val="22"/>
          <w:szCs w:val="22"/>
        </w:rPr>
        <w:t xml:space="preserve">Aref, H. A. T., Makowsky, M. J., Kung, J. Y., et al. (2023). Mapping the implementation of pharmacogenomic testing in community pharmacies 2003–2021 using the Theoretical Domains Framework: A scoping review. Journal of the American Pharmacists Association, 63(2), 459–476.e6.</w:t>
      </w:r>
    </w:p>
    <w:p>
      <w:pPr>
        <w:spacing w:before="40" w:after="100" w:line="276" w:lineRule="auto"/>
        <w:ind w:left="567" w:hanging="567"/>
        <w:jc w:val="both"/>
      </w:pPr>
      <w:r>
        <w:rPr>
          <w:rFonts w:ascii="Times New Roman" w:hAnsi="Times New Roman" w:eastAsia="Times New Roman"/>
          <w:color w:val="000000"/>
          <w:sz w:val="22"/>
          <w:szCs w:val="22"/>
        </w:rPr>
        <w:t xml:space="preserve">Bagher, A. M., Neamatallah, T., Balto, G., et al. (2021). Knowledge, perception, and confidence of hospital pharmacists toward pharmacogenetics in Jeddah, Kingdom of Saudi Arabia. Saudi Pharmaceutical Journal, 29(1), 53–58. https://doi.org/10.1016/j.jsps.2020.12.006</w:t>
      </w:r>
    </w:p>
    <w:p>
      <w:pPr>
        <w:spacing w:before="40" w:after="100" w:line="276" w:lineRule="auto"/>
        <w:ind w:left="567" w:hanging="567"/>
        <w:jc w:val="both"/>
      </w:pPr>
      <w:r>
        <w:rPr>
          <w:rFonts w:ascii="Times New Roman" w:hAnsi="Times New Roman" w:eastAsia="Times New Roman"/>
          <w:color w:val="000000"/>
          <w:sz w:val="22"/>
          <w:szCs w:val="22"/>
        </w:rPr>
        <w:t xml:space="preserve">Brown-Johnson, C., Hong, J., Ojeda-Zapata, M., et al. (2021). Implementation outcomes of Humanwide: Integrated precision health in team-based family practice primary care. BMC Family Practice, 22(1), 28. https://doi.org/10.1186/s12875-021-01373-4</w:t>
      </w:r>
    </w:p>
    <w:p>
      <w:pPr>
        <w:spacing w:before="40" w:after="100" w:line="276" w:lineRule="auto"/>
        <w:ind w:left="567" w:hanging="567"/>
        <w:jc w:val="both"/>
      </w:pPr>
      <w:r>
        <w:rPr>
          <w:rFonts w:ascii="Times New Roman" w:hAnsi="Times New Roman" w:eastAsia="Times New Roman"/>
          <w:color w:val="000000"/>
          <w:sz w:val="22"/>
          <w:szCs w:val="22"/>
        </w:rPr>
        <w:t xml:space="preserve">Caraballo, P. J., Sutton, J. A., Giri, J., et al. (2020). Integrating pharmacogenomics into the electronic health record by implementing genomic indicators. Journal of the American Medical Informatics Association, 27(1), 154–158. https://doi.org/10.1093/jamia/ocz177</w:t>
      </w:r>
    </w:p>
    <w:p>
      <w:pPr>
        <w:spacing w:before="40" w:after="100" w:line="276" w:lineRule="auto"/>
        <w:ind w:left="567" w:hanging="567"/>
        <w:jc w:val="both"/>
      </w:pPr>
      <w:r>
        <w:rPr>
          <w:rFonts w:ascii="Times New Roman" w:hAnsi="Times New Roman" w:eastAsia="Times New Roman"/>
          <w:color w:val="000000"/>
          <w:sz w:val="22"/>
          <w:szCs w:val="22"/>
        </w:rPr>
        <w:t xml:space="preserve">Cicali, E. J., Weitzel, K. W., Elsey, A. R., et al. (2019). Challenges and lessons learned from clinical pharmacogenetic implementation of multiple gene-drug pairs across ambulatory care settings. Genetics in Medicine, 21(10), 2264–2274. https://doi.org/10.1038/s41436-019-0500-7</w:t>
      </w:r>
    </w:p>
    <w:p>
      <w:pPr>
        <w:spacing w:before="40" w:after="100" w:line="276" w:lineRule="auto"/>
        <w:ind w:left="567" w:hanging="567"/>
        <w:jc w:val="both"/>
      </w:pPr>
      <w:r>
        <w:rPr>
          <w:rFonts w:ascii="Times New Roman" w:hAnsi="Times New Roman" w:eastAsia="Times New Roman"/>
          <w:color w:val="000000"/>
          <w:sz w:val="22"/>
          <w:szCs w:val="22"/>
        </w:rPr>
        <w:t xml:space="preserve">Coumau, A., Coumau, C., &amp; Csajka, C. (2025). Implementing pharmacogenetic testing in community pharmacy practice: A scoping review. Frontiers in Pharmacology, 16, 1659875. https://doi.org/10.3389/fphar.2025.1659875</w:t>
      </w:r>
    </w:p>
    <w:p>
      <w:pPr>
        <w:spacing w:before="40" w:after="100" w:line="276" w:lineRule="auto"/>
        <w:ind w:left="567" w:hanging="567"/>
        <w:jc w:val="both"/>
      </w:pPr>
      <w:r>
        <w:rPr>
          <w:rFonts w:ascii="Times New Roman" w:hAnsi="Times New Roman" w:eastAsia="Times New Roman"/>
          <w:color w:val="000000"/>
          <w:sz w:val="22"/>
          <w:szCs w:val="22"/>
        </w:rPr>
        <w:t xml:space="preserve">Damschroder, L. J., Aron, D. C., Keith, R. E., Kirsh, S. R., Alexander, J. A., &amp; Lowery, J. C. (2009). Fostering implementation of health services research findings into practice: A consolidated framework for advancing implementation science. Implementation Science, 4(1), 50. https://doi.org/10.1186/1748-5908-4-50</w:t>
      </w:r>
    </w:p>
    <w:p>
      <w:pPr>
        <w:spacing w:before="40" w:after="100" w:line="276" w:lineRule="auto"/>
        <w:ind w:left="567" w:hanging="567"/>
        <w:jc w:val="both"/>
      </w:pPr>
      <w:r>
        <w:rPr>
          <w:rFonts w:ascii="Times New Roman" w:hAnsi="Times New Roman" w:eastAsia="Times New Roman"/>
          <w:color w:val="000000"/>
          <w:sz w:val="22"/>
          <w:szCs w:val="22"/>
        </w:rPr>
        <w:t xml:space="preserve">de Belvis, A. G., Pellegrino, R., Castagna, C., et al. (2021). Success factors and barriers in combining personalized medicine and patient centered care in breast cancer: Results from a systematic review and proposal of conceptual framework. Journal of Personalized Medicine, 11(7), 654. https://doi.org/10.3390/jpm11070654</w:t>
      </w:r>
    </w:p>
    <w:p>
      <w:pPr>
        <w:spacing w:before="40" w:after="100" w:line="276" w:lineRule="auto"/>
        <w:ind w:left="567" w:hanging="567"/>
        <w:jc w:val="both"/>
      </w:pPr>
      <w:r>
        <w:rPr>
          <w:rFonts w:ascii="Times New Roman" w:hAnsi="Times New Roman" w:eastAsia="Times New Roman"/>
          <w:color w:val="000000"/>
          <w:sz w:val="22"/>
          <w:szCs w:val="22"/>
        </w:rPr>
        <w:t xml:space="preserve">Duarte, J. D., Dalton, R., Elchynski, A. L., et al. (2021). Multisite investigation of strategies for the clinical implementation of pre-emptive pharmacogenetic testing. Genetics in Medicine, 23(12), 2335–2341. https://doi.org/10.1038/s41436-021-01269-9</w:t>
      </w:r>
    </w:p>
    <w:p>
      <w:pPr>
        <w:spacing w:before="40" w:after="100" w:line="276" w:lineRule="auto"/>
        <w:ind w:left="567" w:hanging="567"/>
        <w:jc w:val="both"/>
      </w:pPr>
      <w:r>
        <w:rPr>
          <w:rFonts w:ascii="Times New Roman" w:hAnsi="Times New Roman" w:eastAsia="Times New Roman"/>
          <w:color w:val="000000"/>
          <w:sz w:val="22"/>
          <w:szCs w:val="22"/>
        </w:rPr>
        <w:t xml:space="preserve">Duong, B. Q., Arwood, M. J., Hicks, J. K., et al. (2020). Development of customizable implementation guides to support clinical adoption of pharmacogenomics: Experiences of the Implementing GeNomics In pracTicE (IGNITE) Network. Pharmacogenomics and Personalized Medicine, 13, 217–226. https://doi.org/10.2147/PGPM.S241599</w:t>
      </w:r>
    </w:p>
    <w:p>
      <w:pPr>
        <w:spacing w:before="40" w:after="100" w:line="276" w:lineRule="auto"/>
        <w:ind w:left="567" w:hanging="567"/>
        <w:jc w:val="both"/>
      </w:pPr>
      <w:r>
        <w:rPr>
          <w:rFonts w:ascii="Times New Roman" w:hAnsi="Times New Roman" w:eastAsia="Times New Roman"/>
          <w:color w:val="000000"/>
          <w:sz w:val="22"/>
          <w:szCs w:val="22"/>
        </w:rPr>
        <w:t xml:space="preserve">Formea, C. M., Nicholson, W. T., &amp; Vitek, C. R. (2015). An inter-professional approach to personalized medicine education: One institution’s experience. Personalized Medicine, 12(2), 129–138. https://doi.org/10.2217/pme.14.63</w:t>
      </w:r>
    </w:p>
    <w:p>
      <w:pPr>
        <w:spacing w:before="40" w:after="100" w:line="276" w:lineRule="auto"/>
        <w:ind w:left="567" w:hanging="567"/>
        <w:jc w:val="both"/>
      </w:pPr>
      <w:r>
        <w:rPr>
          <w:rFonts w:ascii="Times New Roman" w:hAnsi="Times New Roman" w:eastAsia="Times New Roman"/>
          <w:color w:val="000000"/>
          <w:sz w:val="22"/>
          <w:szCs w:val="22"/>
        </w:rPr>
        <w:t xml:space="preserve">Ghanbarian, S., Wong, G. W. K., Bunka, M., et al. (2023). Cost-effectiveness of pharmacogenomic-guided treatment for major depression. CMAJ, 195(44), E1499–E1508. https://doi.org/10.1503/cmaj.221785</w:t>
      </w:r>
    </w:p>
    <w:p>
      <w:pPr>
        <w:spacing w:before="40" w:after="100" w:line="276" w:lineRule="auto"/>
        <w:ind w:left="567" w:hanging="567"/>
        <w:jc w:val="both"/>
      </w:pPr>
      <w:r>
        <w:rPr>
          <w:rFonts w:ascii="Times New Roman" w:hAnsi="Times New Roman" w:eastAsia="Times New Roman"/>
          <w:color w:val="000000"/>
          <w:sz w:val="22"/>
          <w:szCs w:val="22"/>
        </w:rPr>
        <w:t xml:space="preserve">Hayward, J., McDermott, J., Qureshi, N., et al. (2021). Pharmacogenomic testing to support prescribing in primary care: A structured review of implementation models. Pharmacogenomics, 22(12), 761–776. https://doi.org/10.2217/pgs-2021-0032</w:t>
      </w:r>
    </w:p>
    <w:p>
      <w:pPr>
        <w:spacing w:before="40" w:after="100" w:line="276" w:lineRule="auto"/>
        <w:ind w:left="567" w:hanging="567"/>
        <w:jc w:val="both"/>
      </w:pPr>
      <w:r>
        <w:rPr>
          <w:rFonts w:ascii="Times New Roman" w:hAnsi="Times New Roman" w:eastAsia="Times New Roman"/>
          <w:color w:val="000000"/>
          <w:sz w:val="22"/>
          <w:szCs w:val="22"/>
        </w:rPr>
        <w:t xml:space="preserve">Hicks, J. K., Shealy, A., Schreiber, A., et al. (2018). Patient decisions to receive secondary pharmacogenomic findings and development of a multidisciplinary practice model to integrate results into patient care. Clinical and Translational Science, 11(1), 71–76. https://doi.org/10.1111/cts.12493</w:t>
      </w:r>
    </w:p>
    <w:p>
      <w:pPr>
        <w:spacing w:before="40" w:after="100" w:line="276" w:lineRule="auto"/>
        <w:ind w:left="567" w:hanging="567"/>
        <w:jc w:val="both"/>
      </w:pPr>
      <w:r>
        <w:rPr>
          <w:rFonts w:ascii="Times New Roman" w:hAnsi="Times New Roman" w:eastAsia="Times New Roman"/>
          <w:color w:val="000000"/>
          <w:sz w:val="22"/>
          <w:szCs w:val="22"/>
        </w:rPr>
        <w:t xml:space="preserve">Hinderer, M., Boeker, M., Wagner, S. A., et al. (2017). Integrating clinical decision support systems for pharmacogenomic testing into clinical routine: A scoping review of designs of user-system interactions in recent system development. BMC Medical Informatics and Decision Making, 17(1), 81. https://doi.org/10.1186/s12911-017-0480-y</w:t>
      </w:r>
    </w:p>
    <w:p>
      <w:pPr>
        <w:spacing w:before="40" w:after="100" w:line="276" w:lineRule="auto"/>
        <w:ind w:left="567" w:hanging="567"/>
        <w:jc w:val="both"/>
      </w:pPr>
      <w:r>
        <w:rPr>
          <w:rFonts w:ascii="Times New Roman" w:hAnsi="Times New Roman" w:eastAsia="Times New Roman"/>
          <w:color w:val="000000"/>
          <w:sz w:val="22"/>
          <w:szCs w:val="22"/>
        </w:rPr>
        <w:t xml:space="preserve">Jameson, A., Tomlinson, J., Medlinskiene, K., et al. (2024). Normalising the implementation of pharmacogenomic (PGx) testing in adult mental health settings: A theory-based systematic review. Journal of Personalized Medicine, 14(10), 1032. https://doi.org/10.3390/jpm14101032</w:t>
      </w:r>
    </w:p>
    <w:p>
      <w:pPr>
        <w:spacing w:before="40" w:after="100" w:line="276" w:lineRule="auto"/>
        <w:ind w:left="567" w:hanging="567"/>
        <w:jc w:val="both"/>
      </w:pPr>
      <w:r>
        <w:rPr>
          <w:rFonts w:ascii="Times New Roman" w:hAnsi="Times New Roman" w:eastAsia="Times New Roman"/>
          <w:color w:val="000000"/>
          <w:sz w:val="22"/>
          <w:szCs w:val="22"/>
        </w:rPr>
        <w:t xml:space="preserve">Jiang, S., Mathias, P. C., Hendrix, N., et al. (2022). Implementation of pharmacogenomic clinical decision support for health systems: A cost-utility analysis. The Pharmacogenomics Journal, 22(3), 188–197. https://doi.org/10.1038/s41397-022-00275-7</w:t>
      </w:r>
    </w:p>
    <w:p>
      <w:pPr>
        <w:spacing w:before="40" w:after="100" w:line="276" w:lineRule="auto"/>
        <w:ind w:left="567" w:hanging="567"/>
        <w:jc w:val="both"/>
      </w:pPr>
      <w:r>
        <w:rPr>
          <w:rFonts w:ascii="Times New Roman" w:hAnsi="Times New Roman" w:eastAsia="Times New Roman"/>
          <w:color w:val="000000"/>
          <w:sz w:val="22"/>
          <w:szCs w:val="22"/>
        </w:rPr>
        <w:t xml:space="preserve">Knowles, L., Luth, W., &amp; Bubela, T. (2017). Paving the road to personalized medicine: Recommendations on regulatory, intellectual property and reimbursement challenges. Journal of Law and the Biosciences, 4(3), 453–506. https://doi.org/10.1093/jlb/lsx030</w:t>
      </w:r>
    </w:p>
    <w:p>
      <w:pPr>
        <w:spacing w:before="40" w:after="100" w:line="276" w:lineRule="auto"/>
        <w:ind w:left="567" w:hanging="567"/>
        <w:jc w:val="both"/>
      </w:pPr>
      <w:r>
        <w:rPr>
          <w:rFonts w:ascii="Times New Roman" w:hAnsi="Times New Roman" w:eastAsia="Times New Roman"/>
          <w:color w:val="000000"/>
          <w:sz w:val="22"/>
          <w:szCs w:val="22"/>
        </w:rPr>
        <w:t xml:space="preserve">Liang, S., Kennedy, E., Gale, N., et al. (2025). Implementation of precision medicine in treating non-communicable diseases: A systematic review. Journal of Translational Medicine, 23(1), 1174. https://doi.org/10.1186/s12967-025-07201-y</w:t>
      </w:r>
    </w:p>
    <w:p>
      <w:pPr>
        <w:spacing w:before="40" w:after="100" w:line="276" w:lineRule="auto"/>
        <w:ind w:left="567" w:hanging="567"/>
        <w:jc w:val="both"/>
      </w:pPr>
      <w:r>
        <w:rPr>
          <w:rFonts w:ascii="Times New Roman" w:hAnsi="Times New Roman" w:eastAsia="Times New Roman"/>
          <w:color w:val="000000"/>
          <w:sz w:val="22"/>
          <w:szCs w:val="22"/>
        </w:rPr>
        <w:t xml:space="preserve">Mai, C.-W., Sridhar, S. B., Karattuthodi, M. S., et al. (2024). Scoping review of enablers and challenges of implementing pharmacogenomics testing in the primary care settings. BMJ Open, 14(11), e087064. https://doi.org/10.1136/bmjopen-2024-087064</w:t>
      </w:r>
    </w:p>
    <w:p>
      <w:pPr>
        <w:spacing w:before="40" w:after="100" w:line="276" w:lineRule="auto"/>
        <w:ind w:left="567" w:hanging="567"/>
        <w:jc w:val="both"/>
      </w:pPr>
      <w:r>
        <w:rPr>
          <w:rFonts w:ascii="Times New Roman" w:hAnsi="Times New Roman" w:eastAsia="Times New Roman"/>
          <w:color w:val="000000"/>
          <w:sz w:val="22"/>
          <w:szCs w:val="22"/>
        </w:rPr>
        <w:t xml:space="preserve">Najafzadeh, M., Garces, J. A., &amp; Maciel, A. (2017). Economic evaluation of implementing a novel pharmacogenomic test (IDgenetix) to guide treatment of patients with depression and/or anxiety. PharmacoEconomics, 35(12), 1297–1310. https://doi.org/10.1007/s40273-017-0587-0</w:t>
      </w:r>
    </w:p>
    <w:p>
      <w:pPr>
        <w:spacing w:before="40" w:after="100" w:line="276" w:lineRule="auto"/>
        <w:ind w:left="567" w:hanging="567"/>
        <w:jc w:val="both"/>
      </w:pPr>
      <w:r>
        <w:rPr>
          <w:rFonts w:ascii="Times New Roman" w:hAnsi="Times New Roman" w:eastAsia="Times New Roman"/>
          <w:color w:val="000000"/>
          <w:sz w:val="22"/>
          <w:szCs w:val="22"/>
        </w:rPr>
        <w:t xml:space="preserve">Pritchard, D. E., Moeckel, F., Villa, M. S., Housman, L. T., McCarty, C. A., &amp; McLeod, H. L. (2017). Strategies for integrating personalized medicine into healthcare practice. Personalized Medicine, 14(2), 141–152. https://doi.org/10.2217/pme-2016-0064</w:t>
      </w:r>
    </w:p>
    <w:p>
      <w:pPr>
        <w:spacing w:before="40" w:after="100" w:line="276" w:lineRule="auto"/>
        <w:ind w:left="567" w:hanging="567"/>
        <w:jc w:val="both"/>
      </w:pPr>
      <w:r>
        <w:rPr>
          <w:rFonts w:ascii="Times New Roman" w:hAnsi="Times New Roman" w:eastAsia="Times New Roman"/>
          <w:color w:val="000000"/>
          <w:sz w:val="22"/>
          <w:szCs w:val="22"/>
        </w:rPr>
        <w:t xml:space="preserve">Proctor, E., Silmere, H., Raghavan, R., et al. (2011). Outcomes for implementation research: Conceptual distinctions, measurement challenges, and research agenda. Administration and Policy in Mental Health and Mental Health Services Research, 38(2), 65–76. https://doi.org/10.1007/s10488-010-0319-7</w:t>
      </w:r>
    </w:p>
    <w:p>
      <w:pPr>
        <w:spacing w:before="40" w:after="100" w:line="276" w:lineRule="auto"/>
        <w:ind w:left="567" w:hanging="567"/>
        <w:jc w:val="both"/>
      </w:pPr>
      <w:r>
        <w:rPr>
          <w:rFonts w:ascii="Times New Roman" w:hAnsi="Times New Roman" w:eastAsia="Times New Roman"/>
          <w:color w:val="000000"/>
          <w:sz w:val="22"/>
          <w:szCs w:val="22"/>
        </w:rPr>
        <w:t xml:space="preserve">Qoronfleh, M. W., Chouchane, L., Mifsud, B., et al. (2020). The future of medicine, healthcare innovation through precision medicine: Policy case study of Qatar. Life Sciences, Society and Policy, 16(1), 12. https://doi.org/10.1186/s40504-020-00107-1</w:t>
      </w:r>
    </w:p>
    <w:p>
      <w:pPr>
        <w:spacing w:before="40" w:after="100" w:line="276" w:lineRule="auto"/>
        <w:ind w:left="567" w:hanging="567"/>
        <w:jc w:val="both"/>
      </w:pPr>
      <w:r>
        <w:rPr>
          <w:rFonts w:ascii="Times New Roman" w:hAnsi="Times New Roman" w:eastAsia="Times New Roman"/>
          <w:color w:val="000000"/>
          <w:sz w:val="22"/>
          <w:szCs w:val="22"/>
        </w:rPr>
        <w:t xml:space="preserve">Rahma, A. T., Ali, B. R., Patrinos, G. P., et al. (2023). Knowledge, attitudes, and perceptions of the multi-ethnic population of the United Arab Emirates on genomic medicine and genetic testing. Human Genomics, 17(1), 63. https://doi.org/10.1186/s40246-023-00509-0</w:t>
      </w:r>
    </w:p>
    <w:p>
      <w:pPr>
        <w:spacing w:before="40" w:after="100" w:line="276" w:lineRule="auto"/>
        <w:ind w:left="567" w:hanging="567"/>
        <w:jc w:val="both"/>
      </w:pPr>
      <w:r>
        <w:rPr>
          <w:rFonts w:ascii="Times New Roman" w:hAnsi="Times New Roman" w:eastAsia="Times New Roman"/>
          <w:color w:val="000000"/>
          <w:sz w:val="22"/>
          <w:szCs w:val="22"/>
        </w:rPr>
        <w:t xml:space="preserve">Rahma, A. T., Elbarazi, I., Ali, B. R., et al. (2020a). Genomics and pharmacogenomics knowledge, attitude and practice of pharmacists working in United Arab Emirates: Findings from focus group discussions. A qualitative study. Journal of Personalized Medicine, 10(3), 134. https://doi.org/10.3390/jpm10030134</w:t>
      </w:r>
    </w:p>
    <w:p>
      <w:pPr>
        <w:spacing w:before="40" w:after="100" w:line="276" w:lineRule="auto"/>
        <w:ind w:left="567" w:hanging="567"/>
        <w:jc w:val="both"/>
      </w:pPr>
      <w:r>
        <w:rPr>
          <w:rFonts w:ascii="Times New Roman" w:hAnsi="Times New Roman" w:eastAsia="Times New Roman"/>
          <w:color w:val="000000"/>
          <w:sz w:val="22"/>
          <w:szCs w:val="22"/>
        </w:rPr>
        <w:t xml:space="preserve">Rahma, A. T., Elsheik, M., Ali, B. R., et al. (2020b). Knowledge, attitudes, and perceived barriers toward genetic testing and pharmacogenomics among healthcare workers in the United Arab Emirates: A cross-sectional study. Journal of Personalized Medicine, 10(4), 216. https://doi.org/10.3390/jpm10040216</w:t>
      </w:r>
    </w:p>
    <w:p>
      <w:pPr>
        <w:spacing w:before="40" w:after="100" w:line="276" w:lineRule="auto"/>
        <w:ind w:left="567" w:hanging="567"/>
        <w:jc w:val="both"/>
      </w:pPr>
      <w:r>
        <w:rPr>
          <w:rFonts w:ascii="Times New Roman" w:hAnsi="Times New Roman" w:eastAsia="Times New Roman"/>
          <w:color w:val="000000"/>
          <w:sz w:val="22"/>
          <w:szCs w:val="22"/>
        </w:rPr>
        <w:t xml:space="preserve">Rahma, A. T., Elsheik, M., Elbarazi, I., et al. (2020c). Knowledge and attitudes of medical and health science students in the United Arab Emirates toward genomic medicine and pharmacogenomics: A cross-sectional study. Journal of Personalized Medicine, 10(4), 191. https://doi.org/10.3390/jpm10040191</w:t>
      </w:r>
    </w:p>
    <w:p>
      <w:pPr>
        <w:spacing w:before="40" w:after="100" w:line="276" w:lineRule="auto"/>
        <w:ind w:left="567" w:hanging="567"/>
        <w:jc w:val="both"/>
      </w:pPr>
      <w:r>
        <w:rPr>
          <w:rFonts w:ascii="Times New Roman" w:hAnsi="Times New Roman" w:eastAsia="Times New Roman"/>
          <w:color w:val="000000"/>
          <w:sz w:val="22"/>
          <w:szCs w:val="22"/>
        </w:rPr>
        <w:t xml:space="preserve">Shaheen, S., &amp; Ghaly, M. (2026). Geneticization outside genetics’ birthplace: Ethical, legal and social implications in the Gulf Cooperation Council region. Frontiers in Genetics. https://doi.org/10.3389/fgene.2026.1716793</w:t>
      </w:r>
    </w:p>
    <w:p>
      <w:pPr>
        <w:spacing w:before="40" w:after="100" w:line="276" w:lineRule="auto"/>
        <w:ind w:left="567" w:hanging="567"/>
        <w:jc w:val="both"/>
      </w:pPr>
      <w:r>
        <w:rPr>
          <w:rFonts w:ascii="Times New Roman" w:hAnsi="Times New Roman" w:eastAsia="Times New Roman"/>
          <w:color w:val="000000"/>
          <w:sz w:val="22"/>
          <w:szCs w:val="22"/>
        </w:rPr>
        <w:t xml:space="preserve">Uddin, M., Deeb, A., Ardah, H., et al. (2024). A nationwide cross-sectional study in Saudi Arabia for the assessment of understanding and practices of clinicians towards personalized genetic testing. Scientific Reports, 14(1), 31748. https://doi.org/10.1038/s41598-024-82453-0</w:t>
      </w:r>
    </w:p>
    <w:p>
      <w:pPr>
        <w:spacing w:before="40" w:after="100" w:line="276" w:lineRule="auto"/>
        <w:ind w:left="567" w:hanging="567"/>
        <w:jc w:val="both"/>
      </w:pPr>
      <w:r>
        <w:rPr>
          <w:rFonts w:ascii="Times New Roman" w:hAnsi="Times New Roman" w:eastAsia="Times New Roman"/>
          <w:color w:val="000000"/>
          <w:sz w:val="22"/>
          <w:szCs w:val="22"/>
        </w:rPr>
        <w:t xml:space="preserve">Vorderstrasse, A., Katsanis, S. H., Minear, M. A., &amp; Yang, N. (2015). Perceptions of personalized medicine in an academic health system: A quantitative study. Journal of Contemporary Medical Education, 3(1), 14–19. https://doi.org/10.5455/jcme.20150408050414</w:t>
      </w:r>
    </w:p>
    <w:p>
      <w:pPr>
        <w:spacing w:before="40" w:after="100" w:line="276" w:lineRule="auto"/>
        <w:ind w:left="567" w:hanging="567"/>
        <w:jc w:val="both"/>
      </w:pPr>
      <w:r>
        <w:rPr>
          <w:rFonts w:ascii="Times New Roman" w:hAnsi="Times New Roman" w:eastAsia="Times New Roman"/>
          <w:color w:val="000000"/>
          <w:sz w:val="22"/>
          <w:szCs w:val="22"/>
        </w:rPr>
        <w:t xml:space="preserve">Weiner, B. J. (2009). A theory of organizational readiness for change. Implementation Science, 4, 67. https://doi.org/10.1186/1748-5908-4-67</w:t>
      </w:r>
    </w:p>
    <w:p>
      <w:pPr>
        <w:spacing w:before="40" w:after="100" w:line="276" w:lineRule="auto"/>
        <w:ind w:left="567" w:hanging="567"/>
        <w:jc w:val="both"/>
      </w:pPr>
      <w:r>
        <w:rPr>
          <w:rFonts w:ascii="Times New Roman" w:hAnsi="Times New Roman" w:eastAsia="Times New Roman"/>
          <w:color w:val="000000"/>
          <w:sz w:val="22"/>
          <w:szCs w:val="22"/>
        </w:rPr>
        <w:t xml:space="preserve">Youssef, E., Bhattacharya, D., Sharma, R., &amp; Wright, D. J. (2022). A theory-informed systematic review of barriers and enablers to implementing multi-drug pharmacogenomic testing. Journal of Personalized Medicine, 12(11), 1821. https://doi.org/10.3390/jpm12111821</w:t>
      </w:r>
    </w:p>
    <w:sectPr w:rsidR="001B3E70">
      <w:headerReference w:type="default" r:id="rId13"/>
      <w:footerReference w:type="default" r:id="rId14"/>
      <w:headerReference w:type="first" r:id="rId17"/>
      <w:footerReference w:type="first" r:id="rId1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8479A" w14:textId="77777777" w:rsidR="00772F72" w:rsidRDefault="00772F72">
      <w:r>
        <w:separator/>
      </w:r>
    </w:p>
  </w:endnote>
  <w:endnote w:type="continuationSeparator" w:id="0">
    <w:p w14:paraId="6D24D73B" w14:textId="77777777" w:rsidR="00772F72" w:rsidRDefault="00772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C78D" w14:textId="77777777" w:rsidR="001B3E70" w:rsidRDefault="00000000">
    <w:pPr>
      <w:jc w:val="center"/>
    </w:p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F50C6" w14:textId="77777777" w:rsidR="00772F72" w:rsidRDefault="00772F72">
      <w:r>
        <w:separator/>
      </w:r>
    </w:p>
  </w:footnote>
  <w:footnote w:type="continuationSeparator" w:id="0">
    <w:p w14:paraId="032E5511" w14:textId="77777777" w:rsidR="00772F72" w:rsidRDefault="00772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BC2FC" w14:textId="77777777" w:rsidR="001B3E70" w:rsidRDefault="00000000">
    <w:pPr>
      <w:pBdr>
        <w:bottom w:val="single" w:sz="4" w:space="2" w:color="AAAAAA"/>
      </w:pBdr>
      <w:tabs>
        <w:tab w:val="right" w:pos="9026"/>
      </w:tabs>
    </w:p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0739"/>
    <w:multiLevelType w:val="hybridMultilevel"/>
    <w:tmpl w:val="9A72A046"/>
    <w:lvl w:ilvl="0" w:tplc="11EE22D6">
      <w:start w:val="1"/>
      <w:numFmt w:val="bullet"/>
      <w:lvlText w:val="●"/>
      <w:lvlJc w:val="left"/>
      <w:pPr>
        <w:ind w:left="720" w:hanging="360"/>
      </w:pPr>
    </w:lvl>
    <w:lvl w:ilvl="1" w:tplc="F6F60620">
      <w:start w:val="1"/>
      <w:numFmt w:val="bullet"/>
      <w:lvlText w:val="○"/>
      <w:lvlJc w:val="left"/>
      <w:pPr>
        <w:ind w:left="1440" w:hanging="360"/>
      </w:pPr>
    </w:lvl>
    <w:lvl w:ilvl="2" w:tplc="6D141104">
      <w:start w:val="1"/>
      <w:numFmt w:val="bullet"/>
      <w:lvlText w:val="■"/>
      <w:lvlJc w:val="left"/>
      <w:pPr>
        <w:ind w:left="2160" w:hanging="360"/>
      </w:pPr>
    </w:lvl>
    <w:lvl w:ilvl="3" w:tplc="3F7A7CC0">
      <w:start w:val="1"/>
      <w:numFmt w:val="bullet"/>
      <w:lvlText w:val="●"/>
      <w:lvlJc w:val="left"/>
      <w:pPr>
        <w:ind w:left="2880" w:hanging="360"/>
      </w:pPr>
    </w:lvl>
    <w:lvl w:ilvl="4" w:tplc="2DFED6DA">
      <w:start w:val="1"/>
      <w:numFmt w:val="bullet"/>
      <w:lvlText w:val="○"/>
      <w:lvlJc w:val="left"/>
      <w:pPr>
        <w:ind w:left="3600" w:hanging="360"/>
      </w:pPr>
    </w:lvl>
    <w:lvl w:ilvl="5" w:tplc="F9DE6552">
      <w:start w:val="1"/>
      <w:numFmt w:val="bullet"/>
      <w:lvlText w:val="■"/>
      <w:lvlJc w:val="left"/>
      <w:pPr>
        <w:ind w:left="4320" w:hanging="360"/>
      </w:pPr>
    </w:lvl>
    <w:lvl w:ilvl="6" w:tplc="9AB45970">
      <w:start w:val="1"/>
      <w:numFmt w:val="bullet"/>
      <w:lvlText w:val="●"/>
      <w:lvlJc w:val="left"/>
      <w:pPr>
        <w:ind w:left="5040" w:hanging="360"/>
      </w:pPr>
    </w:lvl>
    <w:lvl w:ilvl="7" w:tplc="9E7C8D96">
      <w:start w:val="1"/>
      <w:numFmt w:val="bullet"/>
      <w:lvlText w:val="●"/>
      <w:lvlJc w:val="left"/>
      <w:pPr>
        <w:ind w:left="5760" w:hanging="360"/>
      </w:pPr>
    </w:lvl>
    <w:lvl w:ilvl="8" w:tplc="5FE671DA">
      <w:start w:val="1"/>
      <w:numFmt w:val="bullet"/>
      <w:lvlText w:val="●"/>
      <w:lvlJc w:val="left"/>
      <w:pPr>
        <w:ind w:left="6480" w:hanging="360"/>
      </w:pPr>
    </w:lvl>
  </w:abstractNum>
  <w:num w:numId="1" w16cid:durableId="12187851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E70"/>
    <w:rsid w:val="001660F3"/>
    <w:rsid w:val="001B3E70"/>
    <w:rsid w:val="00772F72"/>
    <w:rsid w:val="00D12221"/>
    <w:rsid w:val="00DD5B04"/>
    <w:rsid w:val="00F263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420F5"/>
  <w15:docId w15:val="{8606C594-787D-4F25-B1C6-F43122B6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rcid.org/0009-0000-4431-101X"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 Id="rId17" Type="http://schemas.openxmlformats.org/officeDocument/2006/relationships/header" Target="header2.xml"/><Relationship Id="rId1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b196578f-6ae1-40cd-93dd-1a3b7a6ede66}" enabled="1" method="Standard" siteId="{2c86bbfc-8d04-41ff-a83a-942f075e0f6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23</Pages>
  <Words>9006</Words>
  <Characters>51335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المختار عقيل بن سلمان الجارودي</cp:lastModifiedBy>
  <cp:revision>1</cp:revision>
  <dcterms:created xsi:type="dcterms:W3CDTF">2026-06-25T22:50:00Z</dcterms:created>
  <dcterms:modified xsi:type="dcterms:W3CDTF">2026-07-05T18:15:00Z</dcterms:modified>
</cp:coreProperties>
</file>