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4.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7079AE" w14:textId="77777777" w:rsidR="00CD715A" w:rsidRPr="00822632" w:rsidRDefault="00CD715A" w:rsidP="008523C4">
      <w:pPr>
        <w:bidi/>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3328" behindDoc="0" locked="0" layoutInCell="1" allowOverlap="1" wp14:anchorId="5ABF3B8B" wp14:editId="755C1E15">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AF8FDB3" w14:textId="77777777" w:rsidR="00CD715A" w:rsidRPr="00822632" w:rsidRDefault="00CD715A" w:rsidP="00CD715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84352" behindDoc="0" locked="0" layoutInCell="1" allowOverlap="1" wp14:anchorId="69FAFC9E" wp14:editId="5CBA364D">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073BE5" w14:textId="77777777" w:rsidR="00CD715A" w:rsidRPr="008523C4" w:rsidRDefault="00CD715A" w:rsidP="008523C4">
                            <w:pPr>
                              <w:spacing w:line="240" w:lineRule="auto"/>
                              <w:jc w:val="center"/>
                              <w:rPr>
                                <w:rFonts w:ascii="Traditional Arabic" w:hAnsi="Traditional Arabic" w:cs="Traditional Arabic"/>
                                <w:b/>
                                <w:bCs/>
                                <w:sz w:val="32"/>
                                <w:szCs w:val="32"/>
                                <w:rtl/>
                                <w:lang w:bidi="ar-EG"/>
                              </w:rPr>
                            </w:pPr>
                            <w:r w:rsidRPr="008523C4">
                              <w:rPr>
                                <w:rFonts w:ascii="Traditional Arabic" w:hAnsi="Traditional Arabic" w:cs="Traditional Arabic" w:hint="cs"/>
                                <w:b/>
                                <w:bCs/>
                                <w:sz w:val="32"/>
                                <w:szCs w:val="32"/>
                                <w:rtl/>
                                <w:lang w:bidi="ar-EG"/>
                              </w:rPr>
                              <w:t xml:space="preserve">جامعة ميد اوشن </w:t>
                            </w:r>
                          </w:p>
                          <w:p w14:paraId="5A91929C" w14:textId="77777777" w:rsidR="00CD715A" w:rsidRPr="008523C4" w:rsidRDefault="00CD715A" w:rsidP="008523C4">
                            <w:pPr>
                              <w:spacing w:line="240" w:lineRule="auto"/>
                              <w:jc w:val="center"/>
                              <w:rPr>
                                <w:rFonts w:ascii="Traditional Arabic" w:hAnsi="Traditional Arabic" w:cs="Traditional Arabic"/>
                                <w:sz w:val="32"/>
                                <w:szCs w:val="32"/>
                                <w:lang w:bidi="ar-EG"/>
                              </w:rPr>
                            </w:pPr>
                            <w:r w:rsidRPr="008523C4">
                              <w:rPr>
                                <w:rFonts w:ascii="Traditional Arabic" w:hAnsi="Traditional Arabic" w:cs="Traditional Arabic" w:hint="cs"/>
                                <w:b/>
                                <w:bCs/>
                                <w:sz w:val="32"/>
                                <w:szCs w:val="32"/>
                                <w:rtl/>
                                <w:lang w:bidi="ar-EG"/>
                              </w:rPr>
                              <w:t>برنامج الدكتوراة</w:t>
                            </w:r>
                            <w:r w:rsidRPr="008523C4">
                              <w:rPr>
                                <w:rFonts w:ascii="Traditional Arabic" w:hAnsi="Traditional Arabic" w:cs="Traditional Arabic" w:hint="cs"/>
                                <w:sz w:val="32"/>
                                <w:szCs w:val="32"/>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FAFC9E" id="Rectangle 53" o:spid="_x0000_s1026" style="position:absolute;margin-left:332.3pt;margin-top:12.05pt;width:114.8pt;height:1in;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2073BE5" w14:textId="77777777" w:rsidR="00CD715A" w:rsidRPr="008523C4" w:rsidRDefault="00CD715A" w:rsidP="008523C4">
                      <w:pPr>
                        <w:spacing w:line="240" w:lineRule="auto"/>
                        <w:jc w:val="center"/>
                        <w:rPr>
                          <w:rFonts w:ascii="Traditional Arabic" w:hAnsi="Traditional Arabic" w:cs="Traditional Arabic"/>
                          <w:b/>
                          <w:bCs/>
                          <w:sz w:val="32"/>
                          <w:szCs w:val="32"/>
                          <w:rtl/>
                          <w:lang w:bidi="ar-EG"/>
                        </w:rPr>
                      </w:pPr>
                      <w:r w:rsidRPr="008523C4">
                        <w:rPr>
                          <w:rFonts w:ascii="Traditional Arabic" w:hAnsi="Traditional Arabic" w:cs="Traditional Arabic" w:hint="cs"/>
                          <w:b/>
                          <w:bCs/>
                          <w:sz w:val="32"/>
                          <w:szCs w:val="32"/>
                          <w:rtl/>
                          <w:lang w:bidi="ar-EG"/>
                        </w:rPr>
                        <w:t xml:space="preserve">جامعة ميد اوشن </w:t>
                      </w:r>
                    </w:p>
                    <w:p w14:paraId="5A91929C" w14:textId="77777777" w:rsidR="00CD715A" w:rsidRPr="008523C4" w:rsidRDefault="00CD715A" w:rsidP="008523C4">
                      <w:pPr>
                        <w:spacing w:line="240" w:lineRule="auto"/>
                        <w:jc w:val="center"/>
                        <w:rPr>
                          <w:rFonts w:ascii="Traditional Arabic" w:hAnsi="Traditional Arabic" w:cs="Traditional Arabic"/>
                          <w:sz w:val="32"/>
                          <w:szCs w:val="32"/>
                          <w:lang w:bidi="ar-EG"/>
                        </w:rPr>
                      </w:pPr>
                      <w:r w:rsidRPr="008523C4">
                        <w:rPr>
                          <w:rFonts w:ascii="Traditional Arabic" w:hAnsi="Traditional Arabic" w:cs="Traditional Arabic" w:hint="cs"/>
                          <w:b/>
                          <w:bCs/>
                          <w:sz w:val="32"/>
                          <w:szCs w:val="32"/>
                          <w:rtl/>
                          <w:lang w:bidi="ar-EG"/>
                        </w:rPr>
                        <w:t>برنامج الدكتوراة</w:t>
                      </w:r>
                      <w:r w:rsidRPr="008523C4">
                        <w:rPr>
                          <w:rFonts w:ascii="Traditional Arabic" w:hAnsi="Traditional Arabic" w:cs="Traditional Arabic" w:hint="cs"/>
                          <w:sz w:val="32"/>
                          <w:szCs w:val="32"/>
                          <w:rtl/>
                          <w:lang w:bidi="ar-EG"/>
                        </w:rPr>
                        <w:t xml:space="preserve"> </w:t>
                      </w:r>
                    </w:p>
                  </w:txbxContent>
                </v:textbox>
              </v:rect>
            </w:pict>
          </mc:Fallback>
        </mc:AlternateContent>
      </w:r>
    </w:p>
    <w:p w14:paraId="5D298EAC" w14:textId="77777777" w:rsidR="00CD715A" w:rsidRPr="00822632" w:rsidRDefault="00CD715A" w:rsidP="00CD715A">
      <w:pPr>
        <w:spacing w:after="200" w:line="276" w:lineRule="auto"/>
        <w:jc w:val="right"/>
        <w:rPr>
          <w:rFonts w:ascii="Times New Roman" w:eastAsia="Times New Roman" w:hAnsi="Times New Roman" w:cs="Times New Roman"/>
          <w:sz w:val="24"/>
          <w:szCs w:val="24"/>
        </w:rPr>
      </w:pPr>
    </w:p>
    <w:p w14:paraId="1BB1B585" w14:textId="77777777" w:rsidR="00495DAE" w:rsidRDefault="00495DAE" w:rsidP="00495DAE">
      <w:pPr>
        <w:spacing w:line="360" w:lineRule="auto"/>
        <w:jc w:val="center"/>
        <w:rPr>
          <w:rFonts w:ascii="Simplified Arabic" w:hAnsi="Simplified Arabic" w:cs="Simplified Arabic"/>
          <w:b/>
          <w:bCs/>
          <w:sz w:val="28"/>
          <w:szCs w:val="28"/>
          <w:rtl/>
        </w:rPr>
      </w:pPr>
    </w:p>
    <w:p w14:paraId="4EDF4032" w14:textId="77777777" w:rsidR="00495DAE" w:rsidRDefault="00495DAE" w:rsidP="00495DAE">
      <w:pPr>
        <w:spacing w:line="360" w:lineRule="auto"/>
        <w:jc w:val="center"/>
        <w:rPr>
          <w:rFonts w:ascii="Simplified Arabic" w:hAnsi="Simplified Arabic" w:cs="Simplified Arabic"/>
          <w:b/>
          <w:bCs/>
          <w:sz w:val="28"/>
          <w:szCs w:val="28"/>
          <w:rtl/>
        </w:rPr>
      </w:pPr>
    </w:p>
    <w:p w14:paraId="3D89F0CE" w14:textId="0B8D82CA" w:rsidR="00495DAE" w:rsidRPr="008523C4" w:rsidRDefault="00495DAE" w:rsidP="00495DAE">
      <w:pPr>
        <w:spacing w:line="360" w:lineRule="auto"/>
        <w:jc w:val="center"/>
        <w:rPr>
          <w:rFonts w:ascii="Traditional Arabic" w:hAnsi="Traditional Arabic" w:cs="Traditional Arabic"/>
          <w:b/>
          <w:bCs/>
          <w:sz w:val="40"/>
          <w:szCs w:val="40"/>
          <w:rtl/>
        </w:rPr>
      </w:pPr>
      <w:r w:rsidRPr="008523C4">
        <w:rPr>
          <w:rFonts w:ascii="Traditional Arabic" w:hAnsi="Traditional Arabic" w:cs="Traditional Arabic" w:hint="cs"/>
          <w:b/>
          <w:bCs/>
          <w:sz w:val="40"/>
          <w:szCs w:val="40"/>
          <w:rtl/>
        </w:rPr>
        <w:t>تأثير إدارة المخاطر على سلامة المرضى: وتحليل الدور الوسيط للقيادة التحويلية: دراسة ميدانية على المرافق الصحية الحكومية</w:t>
      </w:r>
    </w:p>
    <w:p w14:paraId="2AB82200" w14:textId="77777777" w:rsidR="00CD715A" w:rsidRPr="00822632" w:rsidRDefault="00CD715A" w:rsidP="00CD715A">
      <w:pPr>
        <w:spacing w:after="80" w:line="240" w:lineRule="auto"/>
        <w:jc w:val="center"/>
        <w:rPr>
          <w:rFonts w:ascii="Times New Roman" w:eastAsia="Times New Roman" w:hAnsi="Times New Roman" w:cs="Times New Roman"/>
          <w:b/>
          <w:bCs/>
          <w:color w:val="1C1C1C"/>
          <w:sz w:val="32"/>
          <w:szCs w:val="32"/>
        </w:rPr>
      </w:pPr>
    </w:p>
    <w:p w14:paraId="2F05A470"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06821C75" w14:textId="77777777" w:rsidR="00CD715A" w:rsidRPr="00822632" w:rsidRDefault="00CD715A" w:rsidP="00CD715A">
      <w:pPr>
        <w:spacing w:after="80" w:line="240" w:lineRule="auto"/>
        <w:jc w:val="center"/>
        <w:rPr>
          <w:rFonts w:ascii="Times New Roman" w:eastAsia="Times New Roman" w:hAnsi="Times New Roman" w:cs="Times New Roman"/>
          <w:color w:val="1C1C1C"/>
          <w:sz w:val="32"/>
          <w:szCs w:val="32"/>
        </w:rPr>
      </w:pPr>
    </w:p>
    <w:p w14:paraId="488A57B8" w14:textId="77777777" w:rsidR="00CD715A" w:rsidRPr="008523C4" w:rsidRDefault="00CD715A" w:rsidP="00CD715A">
      <w:pPr>
        <w:spacing w:after="80" w:line="240" w:lineRule="auto"/>
        <w:jc w:val="center"/>
        <w:rPr>
          <w:rFonts w:ascii="Traditional Arabic" w:eastAsia="Times New Roman" w:hAnsi="Traditional Arabic" w:cs="Traditional Arabic"/>
          <w:b/>
          <w:bCs/>
          <w:color w:val="1C1C1C"/>
          <w:sz w:val="36"/>
          <w:szCs w:val="36"/>
          <w:rtl/>
        </w:rPr>
      </w:pPr>
      <w:r w:rsidRPr="008523C4">
        <w:rPr>
          <w:rFonts w:ascii="Traditional Arabic" w:eastAsia="Times New Roman" w:hAnsi="Traditional Arabic" w:cs="Traditional Arabic" w:hint="cs"/>
          <w:b/>
          <w:bCs/>
          <w:color w:val="1C1C1C"/>
          <w:sz w:val="36"/>
          <w:szCs w:val="36"/>
          <w:rtl/>
        </w:rPr>
        <w:t>إعداد</w:t>
      </w:r>
    </w:p>
    <w:p w14:paraId="3BBEE48C" w14:textId="77777777" w:rsidR="009E5516" w:rsidRPr="008523C4" w:rsidRDefault="009E5516" w:rsidP="009E5516">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36"/>
          <w:szCs w:val="36"/>
          <w:u w:color="0000FF"/>
          <w:bdr w:val="nil"/>
          <w14:textOutline w14:w="12700" w14:cap="flat" w14:cmpd="sng" w14:algn="ctr">
            <w14:noFill/>
            <w14:prstDash w14:val="solid"/>
            <w14:miter w14:lim="400000"/>
          </w14:textOutline>
        </w:rPr>
      </w:pPr>
      <w:r>
        <w:rPr>
          <w:rFonts w:ascii="Traditional Arabic" w:eastAsia="Arial Unicode MS" w:hAnsi="Traditional Arabic" w:cs="Traditional Arabic" w:hint="cs"/>
          <w:b/>
          <w:bCs/>
          <w:color w:val="000000"/>
          <w:sz w:val="36"/>
          <w:szCs w:val="36"/>
          <w:u w:color="0000FF"/>
          <w:bdr w:val="nil"/>
          <w:rtl/>
          <w:lang w:val="ar-SA"/>
          <w14:textOutline w14:w="12700" w14:cap="flat" w14:cmpd="sng" w14:algn="ctr">
            <w14:noFill/>
            <w14:prstDash w14:val="solid"/>
            <w14:miter w14:lim="400000"/>
          </w14:textOutline>
        </w:rPr>
        <w:t>نوره عبدالعزيز ابراهيم السيلم</w:t>
      </w:r>
    </w:p>
    <w:p w14:paraId="7AD9BDAC" w14:textId="77777777" w:rsidR="00CD715A" w:rsidRPr="008523C4" w:rsidRDefault="00CD715A" w:rsidP="00CD715A">
      <w:pPr>
        <w:spacing w:after="60" w:line="240" w:lineRule="auto"/>
        <w:rPr>
          <w:rFonts w:ascii="Traditional Arabic" w:eastAsia="Times New Roman" w:hAnsi="Traditional Arabic" w:cs="Traditional Arabic"/>
          <w:b/>
          <w:bCs/>
          <w:color w:val="1C1C1C"/>
          <w:sz w:val="36"/>
          <w:szCs w:val="36"/>
        </w:rPr>
      </w:pPr>
    </w:p>
    <w:p w14:paraId="6FB2A09E" w14:textId="77777777" w:rsidR="00CD715A" w:rsidRPr="008523C4" w:rsidRDefault="00CD715A" w:rsidP="00CD715A">
      <w:pPr>
        <w:spacing w:after="60" w:line="276" w:lineRule="auto"/>
        <w:rPr>
          <w:rFonts w:ascii="Traditional Arabic" w:eastAsia="Times New Roman" w:hAnsi="Traditional Arabic" w:cs="Traditional Arabic"/>
          <w:b/>
          <w:bCs/>
          <w:color w:val="1C1C1C"/>
          <w:sz w:val="36"/>
          <w:szCs w:val="36"/>
        </w:rPr>
      </w:pPr>
      <w:bookmarkStart w:id="0" w:name="OLE_LINK2"/>
    </w:p>
    <w:p w14:paraId="32C8B58D" w14:textId="77777777" w:rsidR="00CD715A" w:rsidRPr="008523C4" w:rsidRDefault="00CD715A" w:rsidP="00CD715A">
      <w:pPr>
        <w:bidi/>
        <w:spacing w:after="60" w:line="276" w:lineRule="auto"/>
        <w:jc w:val="center"/>
        <w:rPr>
          <w:rFonts w:ascii="Traditional Arabic" w:eastAsia="Times New Roman" w:hAnsi="Traditional Arabic" w:cs="Traditional Arabic"/>
          <w:b/>
          <w:bCs/>
          <w:color w:val="1C1C1C"/>
          <w:sz w:val="36"/>
          <w:szCs w:val="36"/>
          <w:rtl/>
        </w:rPr>
      </w:pPr>
      <w:r w:rsidRPr="008523C4">
        <w:rPr>
          <w:rFonts w:ascii="Traditional Arabic" w:eastAsia="Times New Roman" w:hAnsi="Traditional Arabic" w:cs="Traditional Arabic" w:hint="cs"/>
          <w:b/>
          <w:bCs/>
          <w:color w:val="1C1C1C"/>
          <w:sz w:val="36"/>
          <w:szCs w:val="36"/>
          <w:rtl/>
        </w:rPr>
        <w:t>رسالة مقدمة إلى  برنامج الدكتوراة</w:t>
      </w:r>
    </w:p>
    <w:p w14:paraId="58E9A848" w14:textId="77777777" w:rsidR="00CD715A" w:rsidRPr="008523C4" w:rsidRDefault="00CD715A" w:rsidP="00CD715A">
      <w:pPr>
        <w:bidi/>
        <w:spacing w:after="0" w:line="276" w:lineRule="auto"/>
        <w:jc w:val="center"/>
        <w:rPr>
          <w:rFonts w:ascii="Traditional Arabic" w:eastAsia="Times New Roman" w:hAnsi="Traditional Arabic" w:cs="Traditional Arabic"/>
          <w:b/>
          <w:bCs/>
          <w:color w:val="1C1C1C"/>
          <w:sz w:val="36"/>
          <w:szCs w:val="36"/>
        </w:rPr>
      </w:pPr>
      <w:r w:rsidRPr="008523C4">
        <w:rPr>
          <w:rFonts w:ascii="Traditional Arabic" w:eastAsia="Times New Roman" w:hAnsi="Traditional Arabic" w:cs="Traditional Arabic" w:hint="cs"/>
          <w:b/>
          <w:bCs/>
          <w:color w:val="1C1C1C"/>
          <w:sz w:val="36"/>
          <w:szCs w:val="36"/>
          <w:rtl/>
        </w:rPr>
        <w:t>كجزء من متطلبات نيل درجة دكتوراه الفلسفة في  الادارة</w:t>
      </w:r>
    </w:p>
    <w:bookmarkEnd w:id="0"/>
    <w:p w14:paraId="16E9A5A1" w14:textId="77777777" w:rsidR="00CD715A" w:rsidRPr="008523C4" w:rsidRDefault="00CD715A" w:rsidP="00CD715A">
      <w:pPr>
        <w:bidi/>
        <w:spacing w:after="0" w:line="276" w:lineRule="auto"/>
        <w:jc w:val="center"/>
        <w:rPr>
          <w:rFonts w:ascii="Traditional Arabic" w:eastAsia="Times New Roman" w:hAnsi="Traditional Arabic" w:cs="Traditional Arabic"/>
          <w:b/>
          <w:bCs/>
          <w:color w:val="1C1C1C"/>
          <w:sz w:val="36"/>
          <w:szCs w:val="36"/>
          <w:rtl/>
        </w:rPr>
      </w:pPr>
    </w:p>
    <w:p w14:paraId="1C83D24E" w14:textId="77777777" w:rsidR="00CD715A" w:rsidRPr="00822632" w:rsidRDefault="00CD715A" w:rsidP="00CD715A">
      <w:pPr>
        <w:bidi/>
        <w:spacing w:after="0" w:line="276" w:lineRule="auto"/>
        <w:jc w:val="center"/>
        <w:rPr>
          <w:rFonts w:ascii="Times New Roman" w:eastAsia="Times New Roman" w:hAnsi="Times New Roman" w:cs="Times New Roman"/>
          <w:color w:val="1C1C1C"/>
          <w:sz w:val="28"/>
          <w:szCs w:val="28"/>
          <w:rtl/>
        </w:rPr>
      </w:pPr>
    </w:p>
    <w:p w14:paraId="0827B263" w14:textId="77777777" w:rsidR="00CD715A" w:rsidRPr="00822632" w:rsidRDefault="00CD715A" w:rsidP="00CD715A">
      <w:pPr>
        <w:bidi/>
        <w:spacing w:after="0" w:line="276" w:lineRule="auto"/>
        <w:jc w:val="center"/>
        <w:rPr>
          <w:rFonts w:ascii="Times New Roman" w:eastAsia="Times New Roman" w:hAnsi="Times New Roman" w:cs="Times New Roman"/>
          <w:color w:val="1C1C1C"/>
          <w:sz w:val="28"/>
          <w:szCs w:val="28"/>
          <w:rtl/>
        </w:rPr>
      </w:pPr>
    </w:p>
    <w:p w14:paraId="6B29EF6A" w14:textId="4B794CDE" w:rsidR="00D3428D" w:rsidRPr="001C0712" w:rsidRDefault="00CD715A" w:rsidP="00CD715A">
      <w:pPr>
        <w:tabs>
          <w:tab w:val="left" w:pos="3666"/>
        </w:tabs>
        <w:bidi/>
        <w:spacing w:after="0" w:line="360" w:lineRule="auto"/>
        <w:jc w:val="center"/>
        <w:rPr>
          <w:rFonts w:ascii="Traditional Arabic" w:eastAsia="Calibri" w:hAnsi="Traditional Arabic" w:cs="Traditional Arabic"/>
          <w:b/>
          <w:bCs/>
          <w:sz w:val="32"/>
          <w:szCs w:val="32"/>
          <w:rtl/>
          <w:lang w:bidi="ar-EG"/>
        </w:rPr>
        <w:sectPr w:rsidR="00D3428D" w:rsidRPr="001C0712" w:rsidSect="00495DAE">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NumType w:start="0"/>
          <w:cols w:space="708"/>
          <w:titlePg/>
          <w:bidi/>
          <w:rtlGutter/>
          <w:docGrid w:linePitch="360"/>
        </w:sectPr>
      </w:pPr>
      <w:r w:rsidRPr="001C0712">
        <w:rPr>
          <w:rFonts w:ascii="Traditional Arabic" w:eastAsia="Times New Roman" w:hAnsi="Traditional Arabic" w:cs="Traditional Arabic" w:hint="cs"/>
          <w:color w:val="1C1C1C"/>
          <w:sz w:val="32"/>
          <w:szCs w:val="32"/>
          <w:rtl/>
        </w:rPr>
        <w:t>العام الجامعي</w:t>
      </w:r>
      <w:r w:rsidR="008523C4" w:rsidRPr="001C0712">
        <w:rPr>
          <w:rFonts w:ascii="Traditional Arabic" w:eastAsia="Times New Roman" w:hAnsi="Traditional Arabic" w:cs="Traditional Arabic" w:hint="cs"/>
          <w:color w:val="1C1C1C"/>
          <w:sz w:val="32"/>
          <w:szCs w:val="32"/>
          <w:rtl/>
        </w:rPr>
        <w:t>2026</w:t>
      </w:r>
      <w:r w:rsidRPr="001C0712">
        <w:rPr>
          <w:rFonts w:ascii="Traditional Arabic" w:eastAsia="Times New Roman" w:hAnsi="Traditional Arabic" w:cs="Traditional Arabic" w:hint="cs"/>
          <w:color w:val="1C1C1C"/>
          <w:sz w:val="32"/>
          <w:szCs w:val="32"/>
        </w:rPr>
        <w:t> </w:t>
      </w:r>
      <w:r w:rsidRPr="001C0712">
        <w:rPr>
          <w:rFonts w:ascii="Traditional Arabic" w:eastAsia="Times New Roman" w:hAnsi="Traditional Arabic" w:cs="Traditional Arabic" w:hint="cs"/>
          <w:color w:val="1C1C1C"/>
          <w:sz w:val="32"/>
          <w:szCs w:val="32"/>
          <w:rtl/>
        </w:rPr>
        <w:t>م</w:t>
      </w:r>
      <w:r w:rsidRPr="001C0712">
        <w:rPr>
          <w:rFonts w:ascii="Traditional Arabic" w:eastAsia="Times New Roman" w:hAnsi="Traditional Arabic" w:cs="Traditional Arabic" w:hint="cs"/>
          <w:b/>
          <w:bCs/>
          <w:color w:val="1C1C1C"/>
          <w:sz w:val="32"/>
          <w:szCs w:val="32"/>
          <w:rtl/>
        </w:rPr>
        <w:t> </w:t>
      </w:r>
      <w:r w:rsidRPr="001C0712">
        <w:rPr>
          <w:rFonts w:ascii="Traditional Arabic" w:eastAsia="Times New Roman" w:hAnsi="Traditional Arabic" w:cs="Traditional Arabic" w:hint="cs"/>
          <w:b/>
          <w:bCs/>
          <w:color w:val="1C1C1C"/>
          <w:sz w:val="32"/>
          <w:szCs w:val="32"/>
        </w:rPr>
        <w:br/>
      </w:r>
      <w:r w:rsidRPr="001C0712">
        <w:rPr>
          <w:rFonts w:ascii="Traditional Arabic" w:eastAsia="Calibri" w:hAnsi="Traditional Arabic" w:cs="Traditional Arabic" w:hint="cs"/>
          <w:b/>
          <w:bCs/>
          <w:sz w:val="32"/>
          <w:szCs w:val="32"/>
          <w:rtl/>
          <w:lang w:bidi="ar-EG"/>
        </w:rPr>
        <w:t>1447ه‍ - 1448ه</w:t>
      </w:r>
    </w:p>
    <w:p w14:paraId="7600F6C2" w14:textId="77777777" w:rsidR="00CD715A" w:rsidRDefault="00CD715A" w:rsidP="00D3428D">
      <w:pPr>
        <w:tabs>
          <w:tab w:val="left" w:pos="3666"/>
        </w:tabs>
        <w:bidi/>
        <w:spacing w:after="0" w:line="360" w:lineRule="auto"/>
        <w:rPr>
          <w:rFonts w:ascii="Traditional Arabic" w:eastAsia="Calibri" w:hAnsi="Traditional Arabic" w:cs="Traditional Arabic"/>
          <w:b/>
          <w:bCs/>
          <w:sz w:val="28"/>
          <w:szCs w:val="28"/>
          <w:rtl/>
          <w:lang w:bidi="ar-EG"/>
        </w:rPr>
      </w:pPr>
    </w:p>
    <w:p w14:paraId="1E0763A5" w14:textId="0A1F12F8" w:rsidR="00CD715A" w:rsidRPr="00822632" w:rsidRDefault="00A96864" w:rsidP="00A96864">
      <w:pPr>
        <w:spacing w:after="0" w:line="240" w:lineRule="auto"/>
        <w:jc w:val="both"/>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5376" behindDoc="0" locked="0" layoutInCell="1" allowOverlap="1" wp14:anchorId="43A0E2C3" wp14:editId="61A53714">
                <wp:simplePos x="0" y="0"/>
                <wp:positionH relativeFrom="column">
                  <wp:posOffset>3799840</wp:posOffset>
                </wp:positionH>
                <wp:positionV relativeFrom="paragraph">
                  <wp:posOffset>10160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B26362" w14:textId="77777777" w:rsidR="00CD715A" w:rsidRPr="00A96864" w:rsidRDefault="00CD715A" w:rsidP="00CD715A">
                            <w:pPr>
                              <w:rPr>
                                <w:rFonts w:asciiTheme="majorBidi" w:hAnsiTheme="majorBidi" w:cstheme="majorBidi"/>
                                <w:b/>
                                <w:bCs/>
                                <w:sz w:val="28"/>
                                <w:szCs w:val="28"/>
                                <w:rtl/>
                                <w:lang w:bidi="ar-EG"/>
                              </w:rPr>
                            </w:pPr>
                            <w:r w:rsidRPr="00A96864">
                              <w:rPr>
                                <w:rFonts w:asciiTheme="majorBidi" w:hAnsiTheme="majorBidi" w:cstheme="majorBidi"/>
                                <w:b/>
                                <w:bCs/>
                                <w:sz w:val="28"/>
                                <w:szCs w:val="28"/>
                                <w:lang w:bidi="ar-EG"/>
                              </w:rPr>
                              <w:t>Midocean University</w:t>
                            </w:r>
                          </w:p>
                          <w:p w14:paraId="5F9B71FA" w14:textId="77777777" w:rsidR="00CD715A" w:rsidRPr="00A96864" w:rsidRDefault="00CD715A" w:rsidP="00CD715A">
                            <w:pPr>
                              <w:rPr>
                                <w:rFonts w:asciiTheme="majorBidi" w:hAnsiTheme="majorBidi" w:cstheme="majorBidi"/>
                                <w:b/>
                                <w:bCs/>
                                <w:sz w:val="28"/>
                                <w:szCs w:val="28"/>
                                <w:lang w:bidi="ar-EG"/>
                              </w:rPr>
                            </w:pPr>
                            <w:r w:rsidRPr="00A96864">
                              <w:rPr>
                                <w:rFonts w:asciiTheme="majorBidi" w:hAnsiTheme="majorBidi" w:cstheme="majorBidi"/>
                                <w:b/>
                                <w:bCs/>
                                <w:sz w:val="28"/>
                                <w:szCs w:val="28"/>
                                <w:rtl/>
                                <w:lang w:bidi="ar-EG"/>
                              </w:rPr>
                              <w:t xml:space="preserve">    </w:t>
                            </w:r>
                            <w:r w:rsidRPr="00A96864">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A0E2C3" id="Rectangle 9" o:spid="_x0000_s1027" style="position:absolute;left:0;text-align:left;margin-left:299.2pt;margin-top:.8pt;width:148.2pt;height:73.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JBx7w3gAAAAkBAAAPAAAAZHJzL2Rvd25y&#10;ZXYueG1sTI/NSsNAFIX3gu8wXMGN2ImS1jTNpBShuCvYBtxOM7dJaOZOnJm06dt7Xeny8B3OT7Ge&#10;bC8u6EPnSMHLLAGBVDvTUaOgOmyfMxAhajK6d4QKbhhgXd7fFTo37kqfeNnHRnAIhVwraGMccilD&#10;3aLVYeYGJGYn562OLH0jjddXDre9fE2ShbS6I25o9YDvLdbn/WgVnOpKfnzJ7+2h8bvqbTON89vu&#10;SanHh2mzAhFxin9m+J3P06HkTUc3kgmiVzBfZilbGSxAMM+WKV85sk6zBGRZyP8Pyh8AAAD//wMA&#10;UEsBAi0AFAAGAAgAAAAhALaDOJL+AAAA4QEAABMAAAAAAAAAAAAAAAAAAAAAAFtDb250ZW50X1R5&#10;cGVzXS54bWxQSwECLQAUAAYACAAAACEAOP0h/9YAAACUAQAACwAAAAAAAAAAAAAAAAAvAQAAX3Jl&#10;bHMvLnJlbHNQSwECLQAUAAYACAAAACEAP6kOLWUCAAD9BAAADgAAAAAAAAAAAAAAAAAuAgAAZHJz&#10;L2Uyb0RvYy54bWxQSwECLQAUAAYACAAAACEASQce8N4AAAAJAQAADwAAAAAAAAAAAAAAAAC/BAAA&#10;ZHJzL2Rvd25yZXYueG1sUEsFBgAAAAAEAAQA8wAAAMoFAAAAAA==&#10;" fillcolor="window" strokecolor="window" strokeweight="1pt">
                <v:textbox>
                  <w:txbxContent>
                    <w:p w14:paraId="1DB26362" w14:textId="77777777" w:rsidR="00CD715A" w:rsidRPr="00A96864" w:rsidRDefault="00CD715A" w:rsidP="00CD715A">
                      <w:pPr>
                        <w:rPr>
                          <w:rFonts w:asciiTheme="majorBidi" w:hAnsiTheme="majorBidi" w:cstheme="majorBidi"/>
                          <w:b/>
                          <w:bCs/>
                          <w:sz w:val="28"/>
                          <w:szCs w:val="28"/>
                          <w:rtl/>
                          <w:lang w:bidi="ar-EG"/>
                        </w:rPr>
                      </w:pPr>
                      <w:r w:rsidRPr="00A96864">
                        <w:rPr>
                          <w:rFonts w:asciiTheme="majorBidi" w:hAnsiTheme="majorBidi" w:cstheme="majorBidi"/>
                          <w:b/>
                          <w:bCs/>
                          <w:sz w:val="28"/>
                          <w:szCs w:val="28"/>
                          <w:lang w:bidi="ar-EG"/>
                        </w:rPr>
                        <w:t>Midocean University</w:t>
                      </w:r>
                    </w:p>
                    <w:p w14:paraId="5F9B71FA" w14:textId="77777777" w:rsidR="00CD715A" w:rsidRPr="00A96864" w:rsidRDefault="00CD715A" w:rsidP="00CD715A">
                      <w:pPr>
                        <w:rPr>
                          <w:rFonts w:asciiTheme="majorBidi" w:hAnsiTheme="majorBidi" w:cstheme="majorBidi"/>
                          <w:b/>
                          <w:bCs/>
                          <w:sz w:val="28"/>
                          <w:szCs w:val="28"/>
                          <w:lang w:bidi="ar-EG"/>
                        </w:rPr>
                      </w:pPr>
                      <w:r w:rsidRPr="00A96864">
                        <w:rPr>
                          <w:rFonts w:asciiTheme="majorBidi" w:hAnsiTheme="majorBidi" w:cstheme="majorBidi"/>
                          <w:b/>
                          <w:bCs/>
                          <w:sz w:val="28"/>
                          <w:szCs w:val="28"/>
                          <w:rtl/>
                          <w:lang w:bidi="ar-EG"/>
                        </w:rPr>
                        <w:t xml:space="preserve">    </w:t>
                      </w:r>
                      <w:r w:rsidRPr="00A96864">
                        <w:rPr>
                          <w:rFonts w:asciiTheme="majorBidi" w:hAnsiTheme="majorBidi" w:cstheme="majorBidi"/>
                          <w:b/>
                          <w:bCs/>
                          <w:sz w:val="28"/>
                          <w:szCs w:val="28"/>
                          <w:lang w:bidi="ar-EG"/>
                        </w:rPr>
                        <w:t>Ph.D. program</w:t>
                      </w:r>
                    </w:p>
                  </w:txbxContent>
                </v:textbox>
                <w10:wrap type="square"/>
              </v:rect>
            </w:pict>
          </mc:Fallback>
        </mc:AlternateContent>
      </w:r>
      <w:r w:rsidR="00CD715A" w:rsidRPr="00822632">
        <w:rPr>
          <w:rFonts w:ascii="Times New Roman" w:eastAsia="Times New Roman" w:hAnsi="Times New Roman" w:cs="Times New Roman"/>
          <w:noProof/>
          <w:color w:val="1C1C1C"/>
          <w:sz w:val="24"/>
          <w:szCs w:val="24"/>
        </w:rPr>
        <w:drawing>
          <wp:anchor distT="0" distB="0" distL="114300" distR="114300" simplePos="0" relativeHeight="251686400" behindDoc="0" locked="0" layoutInCell="1" allowOverlap="1" wp14:anchorId="6EC2204E" wp14:editId="7C65E1F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48D6E96" w14:textId="77777777" w:rsidR="00156EA9" w:rsidRDefault="00156EA9" w:rsidP="008523C4">
      <w:pPr>
        <w:spacing w:line="360" w:lineRule="auto"/>
        <w:jc w:val="center"/>
        <w:rPr>
          <w:rFonts w:asciiTheme="majorBidi" w:hAnsiTheme="majorBidi" w:cstheme="majorBidi"/>
          <w:b/>
          <w:bCs/>
          <w:sz w:val="32"/>
          <w:szCs w:val="32"/>
          <w:rtl/>
        </w:rPr>
      </w:pPr>
    </w:p>
    <w:p w14:paraId="73695EE7" w14:textId="77777777" w:rsidR="00156EA9" w:rsidRDefault="00156EA9" w:rsidP="008523C4">
      <w:pPr>
        <w:spacing w:line="360" w:lineRule="auto"/>
        <w:jc w:val="center"/>
        <w:rPr>
          <w:rFonts w:asciiTheme="majorBidi" w:hAnsiTheme="majorBidi" w:cstheme="majorBidi"/>
          <w:b/>
          <w:bCs/>
          <w:sz w:val="32"/>
          <w:szCs w:val="32"/>
          <w:rtl/>
        </w:rPr>
      </w:pPr>
    </w:p>
    <w:p w14:paraId="167150E8" w14:textId="77777777" w:rsidR="00156EA9" w:rsidRDefault="00156EA9" w:rsidP="008523C4">
      <w:pPr>
        <w:spacing w:line="360" w:lineRule="auto"/>
        <w:jc w:val="center"/>
        <w:rPr>
          <w:rFonts w:asciiTheme="majorBidi" w:hAnsiTheme="majorBidi" w:cstheme="majorBidi"/>
          <w:b/>
          <w:bCs/>
          <w:sz w:val="32"/>
          <w:szCs w:val="32"/>
          <w:rtl/>
        </w:rPr>
      </w:pPr>
    </w:p>
    <w:p w14:paraId="7F2B02DC" w14:textId="77777777" w:rsidR="00156EA9" w:rsidRDefault="00156EA9" w:rsidP="008523C4">
      <w:pPr>
        <w:spacing w:line="360" w:lineRule="auto"/>
        <w:jc w:val="center"/>
        <w:rPr>
          <w:rFonts w:asciiTheme="majorBidi" w:hAnsiTheme="majorBidi" w:cstheme="majorBidi"/>
          <w:b/>
          <w:bCs/>
          <w:sz w:val="32"/>
          <w:szCs w:val="32"/>
          <w:rtl/>
        </w:rPr>
      </w:pPr>
    </w:p>
    <w:p w14:paraId="66C78B69" w14:textId="14398EE1" w:rsidR="008523C4" w:rsidRPr="00A96864" w:rsidRDefault="008523C4" w:rsidP="008523C4">
      <w:pPr>
        <w:spacing w:line="360" w:lineRule="auto"/>
        <w:jc w:val="center"/>
        <w:rPr>
          <w:rFonts w:asciiTheme="majorBidi" w:hAnsiTheme="majorBidi" w:cstheme="majorBidi"/>
          <w:b/>
          <w:bCs/>
          <w:sz w:val="32"/>
          <w:szCs w:val="32"/>
          <w:rtl/>
        </w:rPr>
      </w:pPr>
      <w:r w:rsidRPr="00A96864">
        <w:rPr>
          <w:rFonts w:asciiTheme="majorBidi" w:hAnsiTheme="majorBidi" w:cstheme="majorBidi"/>
          <w:b/>
          <w:bCs/>
          <w:sz w:val="32"/>
          <w:szCs w:val="32"/>
        </w:rPr>
        <w:t>The impact of risk management on patient safety: and Analysis of the mediating role of transformational leadership: A field study on governmental health facilities</w:t>
      </w:r>
    </w:p>
    <w:p w14:paraId="67155B07"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39520F4F"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1B1A2700" w14:textId="77777777" w:rsidR="00A96864" w:rsidRDefault="00A96864" w:rsidP="00CD715A">
      <w:pPr>
        <w:spacing w:after="80" w:line="240" w:lineRule="auto"/>
        <w:jc w:val="center"/>
        <w:rPr>
          <w:rFonts w:ascii="Times New Roman" w:eastAsia="Times New Roman" w:hAnsi="Times New Roman" w:cs="Times New Roman"/>
          <w:color w:val="1C1C1C"/>
          <w:sz w:val="28"/>
          <w:szCs w:val="28"/>
          <w:rtl/>
        </w:rPr>
      </w:pPr>
    </w:p>
    <w:p w14:paraId="1C221587" w14:textId="2A124CD4" w:rsidR="00CD715A" w:rsidRPr="00A96864" w:rsidRDefault="00CD715A" w:rsidP="00CD715A">
      <w:pPr>
        <w:spacing w:after="80" w:line="240" w:lineRule="auto"/>
        <w:jc w:val="center"/>
        <w:rPr>
          <w:rFonts w:ascii="Times New Roman" w:eastAsia="Times New Roman" w:hAnsi="Times New Roman" w:cs="Times New Roman"/>
          <w:b/>
          <w:bCs/>
          <w:color w:val="1C1C1C"/>
          <w:sz w:val="32"/>
          <w:szCs w:val="32"/>
        </w:rPr>
      </w:pPr>
      <w:r w:rsidRPr="00A96864">
        <w:rPr>
          <w:rFonts w:ascii="Times New Roman" w:eastAsia="Times New Roman" w:hAnsi="Times New Roman" w:cs="Times New Roman"/>
          <w:b/>
          <w:bCs/>
          <w:color w:val="1C1C1C"/>
          <w:sz w:val="32"/>
          <w:szCs w:val="32"/>
        </w:rPr>
        <w:t>Prepared by</w:t>
      </w:r>
    </w:p>
    <w:p w14:paraId="62A0AEFD" w14:textId="46A0338D" w:rsidR="00CD715A" w:rsidRPr="00A96864" w:rsidRDefault="008523C4" w:rsidP="00CD715A">
      <w:pPr>
        <w:spacing w:after="0" w:line="240" w:lineRule="auto"/>
        <w:jc w:val="center"/>
        <w:rPr>
          <w:rFonts w:ascii="Times New Roman" w:eastAsia="Times New Roman" w:hAnsi="Times New Roman" w:cs="Times New Roman"/>
          <w:b/>
          <w:bCs/>
          <w:color w:val="1C1C1C"/>
          <w:sz w:val="32"/>
          <w:szCs w:val="32"/>
        </w:rPr>
      </w:pPr>
      <w:r w:rsidRPr="00A96864">
        <w:rPr>
          <w:rFonts w:ascii="Times New Roman" w:eastAsia="Times New Roman" w:hAnsi="Times New Roman" w:cs="Times New Roman"/>
          <w:b/>
          <w:bCs/>
          <w:color w:val="1C1C1C"/>
          <w:sz w:val="32"/>
          <w:szCs w:val="32"/>
        </w:rPr>
        <w:t>Nora selem</w:t>
      </w:r>
    </w:p>
    <w:p w14:paraId="4965FCAC" w14:textId="77777777" w:rsidR="00CD715A" w:rsidRPr="00822632" w:rsidRDefault="00CD715A" w:rsidP="00CD715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89B2760" w14:textId="77777777" w:rsidR="00CD715A" w:rsidRPr="00822632" w:rsidRDefault="00CD715A" w:rsidP="00CD715A">
      <w:pPr>
        <w:spacing w:after="60" w:line="240" w:lineRule="auto"/>
        <w:rPr>
          <w:rFonts w:ascii="Times New Roman" w:eastAsia="Times New Roman" w:hAnsi="Times New Roman" w:cs="Times New Roman"/>
          <w:color w:val="1C1C1C"/>
          <w:sz w:val="24"/>
          <w:szCs w:val="24"/>
        </w:rPr>
      </w:pPr>
    </w:p>
    <w:p w14:paraId="2342865D" w14:textId="77777777" w:rsidR="00CD715A" w:rsidRPr="00822632" w:rsidRDefault="00CD715A" w:rsidP="00CD715A">
      <w:pPr>
        <w:spacing w:after="60" w:line="240" w:lineRule="auto"/>
        <w:rPr>
          <w:rFonts w:ascii="Times New Roman" w:eastAsia="Times New Roman" w:hAnsi="Times New Roman" w:cs="Times New Roman"/>
          <w:color w:val="1C1C1C"/>
          <w:sz w:val="24"/>
          <w:szCs w:val="24"/>
        </w:rPr>
      </w:pPr>
    </w:p>
    <w:p w14:paraId="4A295442" w14:textId="77777777" w:rsidR="00CD715A" w:rsidRPr="00822632" w:rsidRDefault="00CD715A" w:rsidP="00CD715A">
      <w:pPr>
        <w:spacing w:after="60" w:line="276" w:lineRule="auto"/>
        <w:jc w:val="center"/>
        <w:rPr>
          <w:rFonts w:ascii="Times New Roman" w:eastAsia="Times New Roman" w:hAnsi="Times New Roman" w:cs="Times New Roman"/>
          <w:color w:val="1C1C1C"/>
          <w:sz w:val="24"/>
          <w:szCs w:val="24"/>
        </w:rPr>
      </w:pPr>
    </w:p>
    <w:p w14:paraId="2E9243D7" w14:textId="77777777" w:rsidR="00CD715A" w:rsidRPr="00A96864" w:rsidRDefault="00CD715A" w:rsidP="00CD715A">
      <w:pPr>
        <w:spacing w:after="60" w:line="276" w:lineRule="auto"/>
        <w:jc w:val="center"/>
        <w:rPr>
          <w:rFonts w:ascii="Times New Roman" w:eastAsia="Times New Roman" w:hAnsi="Times New Roman" w:cs="Times New Roman"/>
          <w:color w:val="1C1C1C"/>
          <w:sz w:val="28"/>
          <w:szCs w:val="28"/>
        </w:rPr>
      </w:pPr>
      <w:r w:rsidRPr="00A96864">
        <w:rPr>
          <w:rFonts w:ascii="Times New Roman" w:eastAsia="Times New Roman" w:hAnsi="Times New Roman" w:cs="Times New Roman"/>
          <w:color w:val="1C1C1C"/>
          <w:sz w:val="28"/>
          <w:szCs w:val="28"/>
        </w:rPr>
        <w:t>A Dissertation submitted to Doctorate Program</w:t>
      </w:r>
    </w:p>
    <w:p w14:paraId="3C415D1B" w14:textId="77777777" w:rsidR="00CD715A" w:rsidRPr="00A96864" w:rsidRDefault="00CD715A" w:rsidP="00CD715A">
      <w:pPr>
        <w:spacing w:after="60" w:line="276" w:lineRule="auto"/>
        <w:jc w:val="center"/>
        <w:rPr>
          <w:rFonts w:ascii="Times New Roman" w:eastAsia="Times New Roman" w:hAnsi="Times New Roman" w:cs="Times New Roman"/>
          <w:color w:val="1C1C1C"/>
          <w:sz w:val="28"/>
          <w:szCs w:val="28"/>
        </w:rPr>
      </w:pPr>
      <w:r w:rsidRPr="00A96864">
        <w:rPr>
          <w:rFonts w:ascii="Times New Roman" w:eastAsia="Times New Roman" w:hAnsi="Times New Roman" w:cs="Times New Roman"/>
          <w:color w:val="1C1C1C"/>
          <w:sz w:val="28"/>
          <w:szCs w:val="28"/>
        </w:rPr>
        <w:t>In partial fulfillment of the requirements for the Degree of</w:t>
      </w:r>
    </w:p>
    <w:p w14:paraId="329DB205" w14:textId="77777777" w:rsidR="00CD715A" w:rsidRPr="00A96864" w:rsidRDefault="00CD715A" w:rsidP="00CD715A">
      <w:pPr>
        <w:spacing w:line="276" w:lineRule="auto"/>
        <w:jc w:val="center"/>
        <w:rPr>
          <w:rFonts w:ascii="Times New Roman" w:eastAsia="Times New Roman" w:hAnsi="Times New Roman" w:cs="Times New Roman"/>
          <w:b/>
          <w:bCs/>
          <w:color w:val="1C1C1C"/>
          <w:sz w:val="28"/>
          <w:szCs w:val="28"/>
          <w:lang w:val="en"/>
        </w:rPr>
      </w:pPr>
      <w:r w:rsidRPr="00A96864">
        <w:rPr>
          <w:rFonts w:ascii="Times New Roman" w:eastAsia="Times New Roman" w:hAnsi="Times New Roman" w:cs="Times New Roman"/>
          <w:b/>
          <w:bCs/>
          <w:color w:val="1C1C1C"/>
          <w:sz w:val="28"/>
          <w:szCs w:val="28"/>
        </w:rPr>
        <w:t xml:space="preserve">Doctor of Philosophy (PhD) In </w:t>
      </w:r>
      <w:r w:rsidRPr="00A96864">
        <w:rPr>
          <w:rFonts w:ascii="Times New Roman" w:eastAsia="Times New Roman" w:hAnsi="Times New Roman" w:cs="Times New Roman" w:hint="cs"/>
          <w:b/>
          <w:bCs/>
          <w:color w:val="1C1C1C"/>
          <w:sz w:val="28"/>
          <w:szCs w:val="28"/>
          <w:lang w:val="en"/>
        </w:rPr>
        <w:t>Management</w:t>
      </w:r>
    </w:p>
    <w:p w14:paraId="66C34228" w14:textId="77777777" w:rsidR="00CD715A" w:rsidRPr="002D494F" w:rsidRDefault="00CD715A" w:rsidP="00CD715A">
      <w:pPr>
        <w:spacing w:after="0" w:line="276" w:lineRule="auto"/>
        <w:jc w:val="center"/>
        <w:rPr>
          <w:rFonts w:ascii="Times New Roman" w:eastAsia="Times New Roman" w:hAnsi="Times New Roman" w:cs="Times New Roman"/>
          <w:b/>
          <w:bCs/>
          <w:color w:val="1C1C1C"/>
          <w:sz w:val="24"/>
          <w:szCs w:val="24"/>
          <w:lang w:val="en"/>
        </w:rPr>
      </w:pPr>
    </w:p>
    <w:p w14:paraId="6BCDD84A"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52EF6DF7"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465A89E7"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67976C36" w14:textId="77777777" w:rsidR="008523C4" w:rsidRPr="00A96864" w:rsidRDefault="008523C4" w:rsidP="008523C4">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sidRPr="00A96864">
        <w:rPr>
          <w:rFonts w:ascii="Times New Roman" w:eastAsia="Times New Roman" w:hAnsi="Times New Roman" w:cs="Times New Roman"/>
          <w:b/>
          <w:bCs/>
          <w:color w:val="1C1C1C"/>
          <w:sz w:val="28"/>
          <w:szCs w:val="28"/>
        </w:rPr>
        <w:t xml:space="preserve">Academic Year: 2026 AD </w:t>
      </w:r>
    </w:p>
    <w:p w14:paraId="2DC32A78" w14:textId="77777777" w:rsidR="00266487" w:rsidRDefault="008523C4"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sidRPr="00A96864">
        <w:rPr>
          <w:rFonts w:ascii="Times New Roman" w:eastAsia="Times New Roman" w:hAnsi="Times New Roman" w:cs="Times New Roman"/>
          <w:b/>
          <w:bCs/>
          <w:color w:val="1C1C1C"/>
          <w:sz w:val="28"/>
          <w:szCs w:val="28"/>
        </w:rPr>
        <w:t>1447–1448 AH</w:t>
      </w:r>
    </w:p>
    <w:p w14:paraId="5F361CA6"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903D13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543E8C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264E8A8"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4C399ED"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61E729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12A1AB2"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87B62BE"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253FCEB" w14:textId="77777777" w:rsidR="002A6565" w:rsidRDefault="002A6565" w:rsidP="002A6565">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FB8E6B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A5DE93F"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4515E0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53C400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1F2001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CB4FC53" w14:textId="77777777" w:rsidR="002A6565" w:rsidRPr="00156EA9" w:rsidRDefault="002A6565" w:rsidP="002A6565">
      <w:pPr>
        <w:pBdr>
          <w:top w:val="nil"/>
          <w:left w:val="nil"/>
          <w:bottom w:val="nil"/>
          <w:right w:val="nil"/>
          <w:between w:val="nil"/>
          <w:bar w:val="nil"/>
        </w:pBdr>
        <w:bidi/>
        <w:spacing w:before="50" w:after="50" w:line="360" w:lineRule="auto"/>
        <w:ind w:right="432"/>
        <w:jc w:val="center"/>
        <w:rPr>
          <w:rFonts w:eastAsia="Times New Roman" w:cstheme="minorHAnsi"/>
          <w:b/>
          <w:bCs/>
          <w:color w:val="1C1C1C"/>
          <w:sz w:val="56"/>
          <w:szCs w:val="56"/>
          <w:rtl/>
        </w:rPr>
      </w:pPr>
      <w:r w:rsidRPr="00156EA9">
        <w:rPr>
          <w:rFonts w:eastAsia="Times New Roman" w:cstheme="minorHAnsi"/>
          <w:b/>
          <w:bCs/>
          <w:color w:val="1C1C1C"/>
          <w:sz w:val="56"/>
          <w:szCs w:val="56"/>
          <w:rtl/>
        </w:rPr>
        <w:t xml:space="preserve">﴿ وَلَا تُلْقُوا بِأَيْدِيكُمْ إِلَى التَّهْلُكَةِ ۛ وَأَحْسِنُوا ۛ إِنَّ اللَّهَ يُحِبُّ الْمُحْسِنِينَ ﴾ </w:t>
      </w:r>
    </w:p>
    <w:p w14:paraId="13AE3CC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8599D79" w14:textId="5640EC18" w:rsidR="002A6565" w:rsidRP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hint="cs"/>
          <w:b/>
          <w:bCs/>
          <w:color w:val="1C1C1C"/>
          <w:sz w:val="28"/>
          <w:szCs w:val="28"/>
          <w:rtl/>
        </w:rPr>
        <w:t>(</w:t>
      </w:r>
      <w:r w:rsidRPr="002A6565">
        <w:rPr>
          <w:rFonts w:ascii="Times New Roman" w:eastAsia="Times New Roman" w:hAnsi="Times New Roman" w:cs="Times New Roman"/>
          <w:b/>
          <w:bCs/>
          <w:color w:val="1C1C1C"/>
          <w:sz w:val="28"/>
          <w:szCs w:val="28"/>
          <w:rtl/>
        </w:rPr>
        <w:t>سورة البقرة، الآية 195</w:t>
      </w:r>
      <w:r>
        <w:rPr>
          <w:rFonts w:ascii="Times New Roman" w:eastAsia="Times New Roman" w:hAnsi="Times New Roman" w:cs="Times New Roman" w:hint="cs"/>
          <w:b/>
          <w:bCs/>
          <w:color w:val="1C1C1C"/>
          <w:sz w:val="28"/>
          <w:szCs w:val="28"/>
          <w:rtl/>
        </w:rPr>
        <w:t>)</w:t>
      </w:r>
    </w:p>
    <w:p w14:paraId="0E88E3F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00CEEA0"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A64B080"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6F9271E"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D0F805B"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AAD129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316EEC3"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2BE84CF"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755E17E"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C01EC6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F0F1EE8"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0DC7479" w14:textId="77777777" w:rsidR="002A6565" w:rsidRDefault="002A6565" w:rsidP="00D3327D">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CFB98C7"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BF30F07"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EDAB3F5"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B7C19CB"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22680283"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F085FE9"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90BD97E"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F6DA07C"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1DA47BE" w14:textId="0668762B" w:rsidR="009E5516" w:rsidRDefault="002A6565" w:rsidP="00736A08">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hint="cs"/>
          <w:b/>
          <w:bCs/>
          <w:color w:val="1C1C1C"/>
          <w:sz w:val="28"/>
          <w:szCs w:val="28"/>
          <w:rtl/>
        </w:rPr>
        <w:t>الإهداء</w:t>
      </w:r>
    </w:p>
    <w:p w14:paraId="0DFF3A6A" w14:textId="77777777" w:rsidR="009E5516" w:rsidRDefault="009E5516" w:rsidP="009E5516">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370A7B0" w14:textId="77777777" w:rsidR="009E5516" w:rsidRPr="00736A08" w:rsidRDefault="009E5516" w:rsidP="00736A08">
      <w:pPr>
        <w:pBdr>
          <w:top w:val="nil"/>
          <w:left w:val="nil"/>
          <w:bottom w:val="nil"/>
          <w:right w:val="nil"/>
          <w:between w:val="nil"/>
          <w:bar w:val="nil"/>
        </w:pBdr>
        <w:bidi/>
        <w:spacing w:before="50" w:after="50" w:line="360" w:lineRule="auto"/>
        <w:ind w:right="431" w:firstLine="720"/>
        <w:jc w:val="both"/>
        <w:rPr>
          <w:rFonts w:ascii="Traditional Arabic" w:eastAsia="Times New Roman" w:hAnsi="Traditional Arabic" w:cs="Traditional Arabic"/>
          <w:b/>
          <w:bCs/>
          <w:color w:val="1C1C1C"/>
          <w:sz w:val="24"/>
          <w:szCs w:val="24"/>
          <w:rtl/>
        </w:rPr>
      </w:pPr>
      <w:r w:rsidRPr="00736A08">
        <w:rPr>
          <w:rFonts w:ascii="Traditional Arabic" w:hAnsi="Traditional Arabic" w:cs="Traditional Arabic" w:hint="cs"/>
          <w:b/>
          <w:bCs/>
          <w:color w:val="333333"/>
          <w:sz w:val="24"/>
          <w:szCs w:val="24"/>
          <w:shd w:val="clear" w:color="auto" w:fill="FFFFFF"/>
          <w:rtl/>
        </w:rPr>
        <w:t>أهدي ثمرة جهدي المتمثلة في هذه الرسالة المتواضعة، عسى أن أكون مصدر فخر لهم ، إلى من سعيت دومًا لنيل رضاهم، دونًا عن الناس</w:t>
      </w:r>
      <w:r w:rsidRPr="00736A08">
        <w:rPr>
          <w:rFonts w:ascii="Traditional Arabic" w:hAnsi="Traditional Arabic" w:cs="Traditional Arabic" w:hint="cs"/>
          <w:b/>
          <w:bCs/>
          <w:color w:val="333333"/>
          <w:sz w:val="24"/>
          <w:szCs w:val="24"/>
          <w:rtl/>
        </w:rPr>
        <w:t xml:space="preserve"> ، </w:t>
      </w:r>
      <w:r w:rsidRPr="00736A08">
        <w:rPr>
          <w:rFonts w:ascii="Traditional Arabic" w:hAnsi="Traditional Arabic" w:cs="Traditional Arabic" w:hint="cs"/>
          <w:b/>
          <w:bCs/>
          <w:color w:val="333333"/>
          <w:sz w:val="24"/>
          <w:szCs w:val="24"/>
          <w:shd w:val="clear" w:color="auto" w:fill="FFFFFF"/>
          <w:rtl/>
        </w:rPr>
        <w:t>إلى من ساندوا خطاي المتعثرة</w:t>
      </w:r>
      <w:r w:rsidRPr="00736A08">
        <w:rPr>
          <w:rFonts w:ascii="Traditional Arabic" w:hAnsi="Traditional Arabic" w:cs="Traditional Arabic" w:hint="cs"/>
          <w:b/>
          <w:bCs/>
          <w:color w:val="333333"/>
          <w:sz w:val="24"/>
          <w:szCs w:val="24"/>
          <w:rtl/>
        </w:rPr>
        <w:t xml:space="preserve"> منذُ الصغر ، </w:t>
      </w:r>
      <w:r w:rsidRPr="00736A08">
        <w:rPr>
          <w:rFonts w:ascii="Traditional Arabic" w:hAnsi="Traditional Arabic" w:cs="Traditional Arabic" w:hint="cs"/>
          <w:b/>
          <w:bCs/>
          <w:color w:val="333333"/>
          <w:sz w:val="24"/>
          <w:szCs w:val="24"/>
          <w:shd w:val="clear" w:color="auto" w:fill="FFFFFF"/>
          <w:rtl/>
        </w:rPr>
        <w:t>إلى أصحاب الكلمات التي سارت بي نحو النجاح  ، إلى الذين أغدقوا علي الدعوات والرضا</w:t>
      </w:r>
      <w:r w:rsidRPr="00736A08">
        <w:rPr>
          <w:rFonts w:ascii="Traditional Arabic" w:hAnsi="Traditional Arabic" w:cs="Traditional Arabic" w:hint="cs"/>
          <w:b/>
          <w:bCs/>
          <w:color w:val="333333"/>
          <w:sz w:val="24"/>
          <w:szCs w:val="24"/>
          <w:shd w:val="clear" w:color="auto" w:fill="FFFFFF"/>
        </w:rPr>
        <w:t>.</w:t>
      </w:r>
      <w:r w:rsidRPr="00736A08">
        <w:rPr>
          <w:rFonts w:ascii="Traditional Arabic" w:hAnsi="Traditional Arabic" w:cs="Traditional Arabic" w:hint="cs"/>
          <w:b/>
          <w:bCs/>
          <w:color w:val="333333"/>
          <w:sz w:val="24"/>
          <w:szCs w:val="24"/>
          <w:shd w:val="clear" w:color="auto" w:fill="FFFFFF"/>
          <w:rtl/>
        </w:rPr>
        <w:t xml:space="preserve"> إلى من لا يضاهيهما أحد في الكون، إلى من أمرنا الله ببرّهما، إلى من بذلا الكثير، وقدّما ما لا يمكن أن يُردّ ، إليكما تلك الكلمات </w:t>
      </w:r>
      <w:r w:rsidRPr="00736A08">
        <w:rPr>
          <w:rFonts w:ascii="Traditional Arabic" w:hAnsi="Traditional Arabic" w:cs="Traditional Arabic" w:hint="cs"/>
          <w:b/>
          <w:bCs/>
          <w:color w:val="333333"/>
          <w:sz w:val="24"/>
          <w:szCs w:val="24"/>
          <w:u w:val="single"/>
          <w:shd w:val="clear" w:color="auto" w:fill="FFFFFF"/>
          <w:rtl/>
        </w:rPr>
        <w:t>أمي وأبي الغاليان</w:t>
      </w:r>
      <w:r w:rsidRPr="00736A08">
        <w:rPr>
          <w:rFonts w:ascii="Traditional Arabic" w:hAnsi="Traditional Arabic" w:cs="Traditional Arabic" w:hint="cs"/>
          <w:b/>
          <w:bCs/>
          <w:color w:val="333333"/>
          <w:sz w:val="24"/>
          <w:szCs w:val="24"/>
          <w:shd w:val="clear" w:color="auto" w:fill="FFFFFF"/>
          <w:rtl/>
        </w:rPr>
        <w:t xml:space="preserve"> ، أهدي لكما هذا الكتاب ؛ فقد كنتما خير داعم لي طوال مسيرتي الدراسية و المهنيه و الحياتيه.</w:t>
      </w:r>
    </w:p>
    <w:p w14:paraId="6AE0FE55"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2B3562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C6732D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312D605"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018D3C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1259B35"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911813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6B248A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C909F9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A9B9EBB"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FF61C8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7C9107B"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EE02D8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ACD14D2"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840B9C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880FA3F"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A0BC02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2B1847D"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A299475"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6588D8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6868D0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5FBBBF0"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F3C136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CA026D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D8E6183"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F7B0BC6" w14:textId="77777777" w:rsidR="002A6565" w:rsidRDefault="002A6565"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3CB0AFC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554C45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pPr>
    </w:p>
    <w:p w14:paraId="2DD4AB95" w14:textId="57A5EA0E" w:rsidR="002A6565" w:rsidRDefault="002A6565" w:rsidP="00E5531E">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hint="cs"/>
          <w:b/>
          <w:bCs/>
          <w:color w:val="1C1C1C"/>
          <w:sz w:val="28"/>
          <w:szCs w:val="28"/>
          <w:rtl/>
        </w:rPr>
        <w:t>شكر وتقدير</w:t>
      </w:r>
    </w:p>
    <w:p w14:paraId="0DD5CB29" w14:textId="77777777" w:rsidR="00E5531E" w:rsidRDefault="00E5531E" w:rsidP="00E5531E">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81AF746" w14:textId="77777777" w:rsidR="009E5516" w:rsidRPr="007754AE" w:rsidRDefault="009E5516" w:rsidP="009E5516">
      <w:pPr>
        <w:pBdr>
          <w:top w:val="nil"/>
          <w:left w:val="nil"/>
          <w:bottom w:val="nil"/>
          <w:right w:val="nil"/>
          <w:between w:val="nil"/>
          <w:bar w:val="nil"/>
        </w:pBdr>
        <w:bidi/>
        <w:spacing w:before="50" w:after="50" w:line="360" w:lineRule="auto"/>
        <w:ind w:right="431" w:firstLine="720"/>
        <w:jc w:val="both"/>
        <w:rPr>
          <w:rFonts w:ascii="Traditional Arabic" w:eastAsia="Times New Roman" w:hAnsi="Traditional Arabic" w:cs="Traditional Arabic"/>
          <w:color w:val="1C1C1C"/>
          <w:sz w:val="24"/>
          <w:szCs w:val="24"/>
          <w:rtl/>
        </w:rPr>
      </w:pPr>
      <w:r w:rsidRPr="007754AE">
        <w:rPr>
          <w:rFonts w:ascii="Traditional Arabic" w:eastAsia="Times New Roman" w:hAnsi="Traditional Arabic" w:cs="Traditional Arabic"/>
          <w:color w:val="1C1C1C"/>
          <w:sz w:val="24"/>
          <w:szCs w:val="24"/>
          <w:rtl/>
        </w:rPr>
        <w:t xml:space="preserve">أتقدم بجزيل الشكر والعرفان إلى </w:t>
      </w:r>
      <w:r>
        <w:rPr>
          <w:rFonts w:ascii="Traditional Arabic" w:eastAsia="Times New Roman" w:hAnsi="Traditional Arabic" w:cs="Traditional Arabic" w:hint="cs"/>
          <w:color w:val="1C1C1C"/>
          <w:sz w:val="24"/>
          <w:szCs w:val="24"/>
          <w:rtl/>
        </w:rPr>
        <w:t>الدكاترة المشرفين على هذه الرسالة ، و مديري في العمل و جميع أعضاء هيئة التدريس</w:t>
      </w:r>
      <w:r w:rsidRPr="007754AE">
        <w:rPr>
          <w:rFonts w:ascii="Traditional Arabic" w:eastAsia="Times New Roman" w:hAnsi="Traditional Arabic" w:cs="Traditional Arabic"/>
          <w:color w:val="1C1C1C"/>
          <w:sz w:val="24"/>
          <w:szCs w:val="24"/>
          <w:rtl/>
        </w:rPr>
        <w:t>، الذي</w:t>
      </w:r>
      <w:r>
        <w:rPr>
          <w:rFonts w:ascii="Traditional Arabic" w:eastAsia="Times New Roman" w:hAnsi="Traditional Arabic" w:cs="Traditional Arabic" w:hint="cs"/>
          <w:color w:val="1C1C1C"/>
          <w:sz w:val="24"/>
          <w:szCs w:val="24"/>
          <w:rtl/>
        </w:rPr>
        <w:t>ن</w:t>
      </w:r>
      <w:r w:rsidRPr="007754AE">
        <w:rPr>
          <w:rFonts w:ascii="Traditional Arabic" w:eastAsia="Times New Roman" w:hAnsi="Traditional Arabic" w:cs="Traditional Arabic"/>
          <w:color w:val="1C1C1C"/>
          <w:sz w:val="24"/>
          <w:szCs w:val="24"/>
          <w:rtl/>
        </w:rPr>
        <w:t xml:space="preserve"> كان 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الفضل الأكبر في توجيهي وإرشادي خلال هذه الرحلة العلمية. لقد منح</w:t>
      </w:r>
      <w:r>
        <w:rPr>
          <w:rFonts w:ascii="Traditional Arabic" w:eastAsia="Times New Roman" w:hAnsi="Traditional Arabic" w:cs="Traditional Arabic" w:hint="cs"/>
          <w:color w:val="1C1C1C"/>
          <w:sz w:val="24"/>
          <w:szCs w:val="24"/>
          <w:rtl/>
        </w:rPr>
        <w:t>ا</w:t>
      </w:r>
      <w:r w:rsidRPr="007754AE">
        <w:rPr>
          <w:rFonts w:ascii="Traditional Arabic" w:eastAsia="Times New Roman" w:hAnsi="Traditional Arabic" w:cs="Traditional Arabic"/>
          <w:color w:val="1C1C1C"/>
          <w:sz w:val="24"/>
          <w:szCs w:val="24"/>
          <w:rtl/>
        </w:rPr>
        <w:t>ني من وقته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وجهده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الكثير، وكان</w:t>
      </w:r>
      <w:r>
        <w:rPr>
          <w:rFonts w:ascii="Traditional Arabic" w:eastAsia="Times New Roman" w:hAnsi="Traditional Arabic" w:cs="Traditional Arabic" w:hint="cs"/>
          <w:color w:val="1C1C1C"/>
          <w:sz w:val="24"/>
          <w:szCs w:val="24"/>
          <w:rtl/>
        </w:rPr>
        <w:t>ا</w:t>
      </w:r>
      <w:r w:rsidRPr="007754AE">
        <w:rPr>
          <w:rFonts w:ascii="Traditional Arabic" w:eastAsia="Times New Roman" w:hAnsi="Traditional Arabic" w:cs="Traditional Arabic"/>
          <w:color w:val="1C1C1C"/>
          <w:sz w:val="24"/>
          <w:szCs w:val="24"/>
          <w:rtl/>
        </w:rPr>
        <w:t xml:space="preserve"> مثالًا للعالم المخلص الذي لا يبخل بعلمه ونصائحه، فكان</w:t>
      </w:r>
      <w:r>
        <w:rPr>
          <w:rFonts w:ascii="Traditional Arabic" w:eastAsia="Times New Roman" w:hAnsi="Traditional Arabic" w:cs="Traditional Arabic" w:hint="cs"/>
          <w:color w:val="1C1C1C"/>
          <w:sz w:val="24"/>
          <w:szCs w:val="24"/>
          <w:rtl/>
        </w:rPr>
        <w:t>ا</w:t>
      </w:r>
      <w:r w:rsidRPr="007754AE">
        <w:rPr>
          <w:rFonts w:ascii="Traditional Arabic" w:eastAsia="Times New Roman" w:hAnsi="Traditional Arabic" w:cs="Traditional Arabic"/>
          <w:color w:val="1C1C1C"/>
          <w:sz w:val="24"/>
          <w:szCs w:val="24"/>
          <w:rtl/>
        </w:rPr>
        <w:t xml:space="preserve"> دائمًا حاضر</w:t>
      </w:r>
      <w:r>
        <w:rPr>
          <w:rFonts w:ascii="Traditional Arabic" w:eastAsia="Times New Roman" w:hAnsi="Traditional Arabic" w:cs="Traditional Arabic" w:hint="cs"/>
          <w:color w:val="1C1C1C"/>
          <w:sz w:val="24"/>
          <w:szCs w:val="24"/>
          <w:rtl/>
        </w:rPr>
        <w:t>ين</w:t>
      </w:r>
      <w:r w:rsidRPr="007754AE">
        <w:rPr>
          <w:rFonts w:ascii="Traditional Arabic" w:eastAsia="Times New Roman" w:hAnsi="Traditional Arabic" w:cs="Traditional Arabic"/>
          <w:color w:val="1C1C1C"/>
          <w:sz w:val="24"/>
          <w:szCs w:val="24"/>
          <w:rtl/>
        </w:rPr>
        <w:t xml:space="preserve"> لتصحيح مساري العلمي وتزويدي بما يعينني على تجاوز العقبات. إن دعمه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المستمر وملاحظاته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الدقيقة أسهمت في إخراج هذا العمل بالصورة التي أرجو أن تكون جديرة بالقبول والاعتبار، كما أن تشجيعه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الدائم كان مصدر قوة وإلهام لي في مواجهة الصعوبات التي اعترضت طريقي</w:t>
      </w:r>
      <w:r w:rsidRPr="007754AE">
        <w:rPr>
          <w:rFonts w:ascii="Traditional Arabic" w:eastAsia="Times New Roman" w:hAnsi="Traditional Arabic" w:cs="Traditional Arabic" w:hint="cs"/>
          <w:color w:val="1C1C1C"/>
          <w:sz w:val="24"/>
          <w:szCs w:val="24"/>
          <w:rtl/>
        </w:rPr>
        <w:t>،</w:t>
      </w:r>
      <w:r w:rsidRPr="007754AE">
        <w:rPr>
          <w:rFonts w:ascii="Traditional Arabic" w:eastAsia="Times New Roman" w:hAnsi="Traditional Arabic" w:cs="Traditional Arabic"/>
          <w:color w:val="1C1C1C"/>
          <w:sz w:val="24"/>
          <w:szCs w:val="24"/>
          <w:rtl/>
        </w:rPr>
        <w:t xml:space="preserve"> لقد تعلمت منه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أن البحث العلمي ليس مجرد جهد أكاديمي، بل هو رسالة ومسؤولية، وأن المثابرة والالتزام هما الطريق الحقيقي للنجاح</w:t>
      </w:r>
      <w:r w:rsidRPr="007754AE">
        <w:rPr>
          <w:rFonts w:ascii="Traditional Arabic" w:eastAsia="Times New Roman" w:hAnsi="Traditional Arabic" w:cs="Traditional Arabic" w:hint="cs"/>
          <w:color w:val="1C1C1C"/>
          <w:sz w:val="24"/>
          <w:szCs w:val="24"/>
          <w:rtl/>
        </w:rPr>
        <w:t>،</w:t>
      </w:r>
      <w:r w:rsidRPr="007754AE">
        <w:rPr>
          <w:rFonts w:ascii="Traditional Arabic" w:eastAsia="Times New Roman" w:hAnsi="Traditional Arabic" w:cs="Traditional Arabic"/>
          <w:color w:val="1C1C1C"/>
          <w:sz w:val="24"/>
          <w:szCs w:val="24"/>
          <w:rtl/>
        </w:rPr>
        <w:t xml:space="preserve"> فله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مني كل الامتنان والتقدير، وأسأل الله أن يجزيه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خير الجزاء، ويبارك في علمه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وعمله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ويجعله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ذخراً </w:t>
      </w:r>
      <w:r>
        <w:rPr>
          <w:rFonts w:ascii="Traditional Arabic" w:eastAsia="Times New Roman" w:hAnsi="Traditional Arabic" w:cs="Traditional Arabic" w:hint="cs"/>
          <w:color w:val="1C1C1C"/>
          <w:sz w:val="24"/>
          <w:szCs w:val="24"/>
          <w:rtl/>
        </w:rPr>
        <w:t>لي و</w:t>
      </w:r>
      <w:r w:rsidRPr="007754AE">
        <w:rPr>
          <w:rFonts w:ascii="Traditional Arabic" w:eastAsia="Times New Roman" w:hAnsi="Traditional Arabic" w:cs="Traditional Arabic"/>
          <w:color w:val="1C1C1C"/>
          <w:sz w:val="24"/>
          <w:szCs w:val="24"/>
          <w:rtl/>
        </w:rPr>
        <w:t xml:space="preserve">للعلم </w:t>
      </w:r>
      <w:r w:rsidRPr="007754AE">
        <w:rPr>
          <w:rFonts w:ascii="Traditional Arabic" w:eastAsia="Times New Roman" w:hAnsi="Traditional Arabic" w:cs="Traditional Arabic" w:hint="cs"/>
          <w:color w:val="1C1C1C"/>
          <w:sz w:val="24"/>
          <w:szCs w:val="24"/>
          <w:rtl/>
        </w:rPr>
        <w:t>.</w:t>
      </w:r>
    </w:p>
    <w:p w14:paraId="64E19324" w14:textId="77777777" w:rsidR="00E5531E" w:rsidRDefault="00E5531E" w:rsidP="00E5531E">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70FDF3C"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27226DD7"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21E1BFBC"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3BAC56C"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1D387E1"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BEE366B"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E085DA0"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318C1A9"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7B9A406"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D9423DB"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C79ECE5"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31157239" w14:textId="77777777" w:rsidR="009E5516" w:rsidRPr="00E5531E"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36F0C41C"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9095627"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7793A92"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3E6F43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A41AEF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CC87FBB"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D9391EA"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EC884C" w14:textId="77777777" w:rsidR="00736A08" w:rsidRDefault="00736A08" w:rsidP="00736A08">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18DE91"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226165D"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702CEBE" w14:textId="77777777" w:rsidR="00D3327D" w:rsidRDefault="00D3327D" w:rsidP="007754AE">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120B141" w14:textId="216BAD22"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hint="cs"/>
          <w:b/>
          <w:bCs/>
          <w:color w:val="1C1C1C"/>
          <w:sz w:val="28"/>
          <w:szCs w:val="28"/>
          <w:rtl/>
        </w:rPr>
        <w:lastRenderedPageBreak/>
        <w:t>المستخلص عربي</w:t>
      </w:r>
    </w:p>
    <w:p w14:paraId="6628723E"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F5A4A10"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02CD950" w14:textId="28EFA475" w:rsidR="00556E0D" w:rsidRPr="00556E0D" w:rsidRDefault="00623B51" w:rsidP="00556E0D">
      <w:pPr>
        <w:pBdr>
          <w:top w:val="nil"/>
          <w:left w:val="nil"/>
          <w:bottom w:val="nil"/>
          <w:right w:val="nil"/>
          <w:between w:val="nil"/>
          <w:bar w:val="nil"/>
        </w:pBdr>
        <w:bidi/>
        <w:spacing w:before="50" w:after="50"/>
        <w:ind w:right="431" w:firstLine="720"/>
        <w:jc w:val="both"/>
        <w:rPr>
          <w:rFonts w:ascii="Traditional Arabic" w:hAnsi="Traditional Arabic" w:cs="Traditional Arabic"/>
          <w:color w:val="1C1C1C"/>
          <w:sz w:val="28"/>
          <w:szCs w:val="28"/>
        </w:rPr>
      </w:pPr>
      <w:r w:rsidRPr="006E6339">
        <w:rPr>
          <w:rFonts w:ascii="Traditional Arabic" w:eastAsia="Times New Roman" w:hAnsi="Traditional Arabic" w:cs="Traditional Arabic" w:hint="cs"/>
          <w:color w:val="1C1C1C"/>
          <w:sz w:val="28"/>
          <w:szCs w:val="28"/>
          <w:highlight w:val="yellow"/>
          <w:rtl/>
        </w:rPr>
        <w:t xml:space="preserve">هدفت هذه الدراسة إلى تحليل أثر ممارسات إدارة المخاطر على سلامة المرضى في المستشفيات الحكومية بالمملكة العربية السعودية، مع التحقق من الدور الوسيط الذي تلعبه القيادة التحويلية في تعزيز هذه العلاقة. اعتمدت الدراسة على عينة عشوائية طبقية حجمها (389) مشاركًا من مجتمع يبلغ (15,000)، </w:t>
      </w:r>
      <w:r w:rsidR="00282E8A" w:rsidRPr="006E6339">
        <w:rPr>
          <w:rFonts w:ascii="Traditional Arabic" w:eastAsia="Times New Roman" w:hAnsi="Traditional Arabic" w:cs="Traditional Arabic" w:hint="cs"/>
          <w:color w:val="1C1C1C"/>
          <w:sz w:val="28"/>
          <w:szCs w:val="28"/>
          <w:highlight w:val="yellow"/>
          <w:rtl/>
        </w:rPr>
        <w:t>باستخدام</w:t>
      </w:r>
      <w:r w:rsidRPr="006E6339">
        <w:rPr>
          <w:rFonts w:ascii="Traditional Arabic" w:eastAsia="Times New Roman" w:hAnsi="Traditional Arabic" w:cs="Traditional Arabic" w:hint="cs"/>
          <w:color w:val="1C1C1C"/>
          <w:sz w:val="28"/>
          <w:szCs w:val="28"/>
          <w:highlight w:val="yellow"/>
          <w:rtl/>
        </w:rPr>
        <w:t xml:space="preserve"> استبانة إلكترونية تضمنت (60) عبارة موزعة على ثلاثة محاور رئيسة: إدارة المخاطر، القيادة التحويلية، وسلامة المرضى. </w:t>
      </w:r>
      <w:r w:rsidR="00556E0D" w:rsidRPr="006E6339">
        <w:rPr>
          <w:rFonts w:ascii="Traditional Arabic" w:eastAsia="Times New Roman" w:hAnsi="Traditional Arabic" w:cs="Traditional Arabic"/>
          <w:color w:val="1C1C1C"/>
          <w:sz w:val="28"/>
          <w:szCs w:val="28"/>
          <w:highlight w:val="yellow"/>
          <w:rtl/>
        </w:rPr>
        <w:t>استخدمت الباحثة مجموعة من الأساليب الإحصائية مثل معامل ألفا كرونباخ، معامل ارتباط بيرسون، الانحدار الخطي البسيط، نمذجة المعادلات الهيكلية بطريقة المربعات الصغرى الجزئية</w:t>
      </w:r>
      <w:r w:rsidR="00556E0D" w:rsidRPr="006E6339">
        <w:rPr>
          <w:rFonts w:ascii="Traditional Arabic" w:eastAsia="Times New Roman" w:hAnsi="Traditional Arabic" w:cs="Traditional Arabic" w:hint="cs"/>
          <w:color w:val="1C1C1C"/>
          <w:sz w:val="28"/>
          <w:szCs w:val="28"/>
          <w:highlight w:val="yellow"/>
          <w:rtl/>
        </w:rPr>
        <w:t xml:space="preserve"> </w:t>
      </w:r>
      <w:r w:rsidR="00556E0D" w:rsidRPr="006E6339">
        <w:rPr>
          <w:rFonts w:ascii="Traditional Arabic" w:eastAsia="Times New Roman" w:hAnsi="Traditional Arabic" w:cs="Traditional Arabic"/>
          <w:color w:val="1C1C1C"/>
          <w:sz w:val="28"/>
          <w:szCs w:val="28"/>
          <w:highlight w:val="yellow"/>
        </w:rPr>
        <w:t xml:space="preserve"> (PLS-SEM)</w:t>
      </w:r>
      <w:r w:rsidR="00556E0D" w:rsidRPr="006E6339">
        <w:rPr>
          <w:rFonts w:ascii="Traditional Arabic" w:eastAsia="Times New Roman" w:hAnsi="Traditional Arabic" w:cs="Traditional Arabic"/>
          <w:color w:val="1C1C1C"/>
          <w:sz w:val="28"/>
          <w:szCs w:val="28"/>
          <w:highlight w:val="yellow"/>
          <w:rtl/>
        </w:rPr>
        <w:t>، واختبارات</w:t>
      </w:r>
      <w:r w:rsidR="00556E0D" w:rsidRPr="006E6339">
        <w:rPr>
          <w:rFonts w:ascii="Traditional Arabic" w:eastAsia="Times New Roman" w:hAnsi="Traditional Arabic" w:cs="Traditional Arabic"/>
          <w:color w:val="1C1C1C"/>
          <w:sz w:val="28"/>
          <w:szCs w:val="28"/>
          <w:highlight w:val="yellow"/>
        </w:rPr>
        <w:t xml:space="preserve"> T-test </w:t>
      </w:r>
      <w:r w:rsidR="00556E0D" w:rsidRPr="006E6339">
        <w:rPr>
          <w:rFonts w:ascii="Traditional Arabic" w:eastAsia="Times New Roman" w:hAnsi="Traditional Arabic" w:cs="Traditional Arabic"/>
          <w:color w:val="1C1C1C"/>
          <w:sz w:val="28"/>
          <w:szCs w:val="28"/>
          <w:highlight w:val="yellow"/>
          <w:rtl/>
        </w:rPr>
        <w:t>و</w:t>
      </w:r>
      <w:r w:rsidR="00556E0D" w:rsidRPr="006E6339">
        <w:rPr>
          <w:rFonts w:ascii="Traditional Arabic" w:eastAsia="Times New Roman" w:hAnsi="Traditional Arabic" w:cs="Traditional Arabic"/>
          <w:color w:val="1C1C1C"/>
          <w:sz w:val="28"/>
          <w:szCs w:val="28"/>
          <w:highlight w:val="yellow"/>
        </w:rPr>
        <w:t xml:space="preserve">ANOVA </w:t>
      </w:r>
      <w:r w:rsidR="00556E0D" w:rsidRPr="006E6339">
        <w:rPr>
          <w:rFonts w:ascii="Traditional Arabic" w:eastAsia="Times New Roman" w:hAnsi="Traditional Arabic" w:cs="Traditional Arabic" w:hint="cs"/>
          <w:color w:val="1C1C1C"/>
          <w:sz w:val="28"/>
          <w:szCs w:val="28"/>
          <w:highlight w:val="yellow"/>
          <w:rtl/>
        </w:rPr>
        <w:t xml:space="preserve"> </w:t>
      </w:r>
      <w:r w:rsidR="00556E0D" w:rsidRPr="006E6339">
        <w:rPr>
          <w:rFonts w:ascii="Traditional Arabic" w:eastAsia="Times New Roman" w:hAnsi="Traditional Arabic" w:cs="Traditional Arabic"/>
          <w:color w:val="1C1C1C"/>
          <w:sz w:val="28"/>
          <w:szCs w:val="28"/>
          <w:highlight w:val="yellow"/>
          <w:rtl/>
        </w:rPr>
        <w:t>للكشف عن العلاقات والفروق</w:t>
      </w:r>
      <w:r w:rsidRPr="006E6339">
        <w:rPr>
          <w:rFonts w:ascii="Traditional Arabic" w:eastAsia="Times New Roman" w:hAnsi="Traditional Arabic" w:cs="Traditional Arabic" w:hint="cs"/>
          <w:color w:val="1C1C1C"/>
          <w:sz w:val="28"/>
          <w:szCs w:val="28"/>
          <w:highlight w:val="yellow"/>
          <w:rtl/>
        </w:rPr>
        <w:t xml:space="preserve">. </w:t>
      </w:r>
      <w:r w:rsidR="00556E0D" w:rsidRPr="006E6339">
        <w:rPr>
          <w:rFonts w:ascii="Traditional Arabic" w:hAnsi="Traditional Arabic" w:cs="Traditional Arabic"/>
          <w:color w:val="1C1C1C"/>
          <w:sz w:val="28"/>
          <w:szCs w:val="28"/>
          <w:highlight w:val="yellow"/>
          <w:rtl/>
        </w:rPr>
        <w:t>وقد أسفرت النتائج عن وجود علاقة ارتباطية وتأثير مباشر وموجب ودال إحصائيًا لممارسات إدارة المخاطر والقيادة التحويلية على سلامة المرضى. كما ثبت وجود أثر غير مباشر لإدارة المخاطر على سلامة المرضى من خلال الدور الوسيط الجزئي للقيادة التحويلية، والذي تفرّع إلى أربع نتائج أساسية تمثلت في التوسط للقيادة التحويلية في العلاقة بين أبعاد إدارة المخاطر (التحديد، التحليل، التقييم، والاستجابة) وسلامة المرضى في أبعادها كافة (تقليل الأخطاء، فعالية الإبلاغ، بيئة العمل الآمنة، وجودة الرعاية) مستثنيةً بُعد إشراك المرضى</w:t>
      </w:r>
      <w:r w:rsidR="00556E0D" w:rsidRPr="006E6339">
        <w:rPr>
          <w:rFonts w:ascii="Traditional Arabic" w:hAnsi="Traditional Arabic" w:cs="Traditional Arabic"/>
          <w:color w:val="1C1C1C"/>
          <w:sz w:val="28"/>
          <w:szCs w:val="28"/>
          <w:highlight w:val="yellow"/>
        </w:rPr>
        <w:t xml:space="preserve">. </w:t>
      </w:r>
      <w:r w:rsidR="00556E0D" w:rsidRPr="006E6339">
        <w:rPr>
          <w:rFonts w:ascii="Traditional Arabic" w:hAnsi="Traditional Arabic" w:cs="Traditional Arabic"/>
          <w:color w:val="1C1C1C"/>
          <w:sz w:val="28"/>
          <w:szCs w:val="28"/>
          <w:highlight w:val="yellow"/>
          <w:rtl/>
        </w:rPr>
        <w:t>وأوضحت النتائج أيضاً وجود فروق ذات دلالة إحصائية تعزى للنوع، المؤهل العلمي، وسنوات الخبرة، في حين لم تظهر فروق مرتبطة بنوع الوظيفة. وتوصي الدراسة بضرورة تبني نموذج استراتيجي متكامل للإدارة الصحية التحويلية للمخاطر وتأهيل القيادات لتطوير ثقافة الأمان الصحي بالمستشفيات الحكومية السعودية</w:t>
      </w:r>
      <w:r w:rsidR="00556E0D" w:rsidRPr="006E6339">
        <w:rPr>
          <w:rFonts w:ascii="Traditional Arabic" w:hAnsi="Traditional Arabic" w:cs="Traditional Arabic"/>
          <w:color w:val="1C1C1C"/>
          <w:sz w:val="28"/>
          <w:szCs w:val="28"/>
          <w:highlight w:val="yellow"/>
        </w:rPr>
        <w:t>.</w:t>
      </w:r>
    </w:p>
    <w:p w14:paraId="0FAB82A0" w14:textId="448AC676" w:rsidR="007754AE" w:rsidRPr="00623B51" w:rsidRDefault="007754AE" w:rsidP="00556E0D">
      <w:pPr>
        <w:pBdr>
          <w:top w:val="nil"/>
          <w:left w:val="nil"/>
          <w:bottom w:val="nil"/>
          <w:right w:val="nil"/>
          <w:between w:val="nil"/>
          <w:bar w:val="nil"/>
        </w:pBdr>
        <w:bidi/>
        <w:spacing w:before="50" w:after="50"/>
        <w:ind w:right="431" w:firstLine="720"/>
        <w:jc w:val="both"/>
        <w:rPr>
          <w:rFonts w:ascii="Traditional Arabic" w:eastAsia="Times New Roman" w:hAnsi="Traditional Arabic" w:cs="Traditional Arabic"/>
          <w:color w:val="1C1C1C"/>
          <w:sz w:val="28"/>
          <w:szCs w:val="28"/>
        </w:rPr>
      </w:pPr>
    </w:p>
    <w:p w14:paraId="41D18CF2" w14:textId="6266A5D0" w:rsidR="00623B51" w:rsidRPr="00623B51" w:rsidRDefault="00623B51" w:rsidP="00623B51">
      <w:pPr>
        <w:pBdr>
          <w:top w:val="nil"/>
          <w:left w:val="nil"/>
          <w:bottom w:val="nil"/>
          <w:right w:val="nil"/>
          <w:between w:val="nil"/>
          <w:bar w:val="nil"/>
        </w:pBdr>
        <w:bidi/>
        <w:spacing w:before="50" w:after="50" w:line="240" w:lineRule="auto"/>
        <w:ind w:right="432"/>
        <w:rPr>
          <w:rFonts w:ascii="Traditional Arabic" w:eastAsia="Times New Roman" w:hAnsi="Traditional Arabic" w:cs="Traditional Arabic"/>
          <w:color w:val="1C1C1C"/>
          <w:sz w:val="28"/>
          <w:szCs w:val="28"/>
        </w:rPr>
      </w:pPr>
      <w:r w:rsidRPr="00623B51">
        <w:rPr>
          <w:rFonts w:ascii="Traditional Arabic" w:eastAsia="Times New Roman" w:hAnsi="Traditional Arabic" w:cs="Traditional Arabic" w:hint="cs"/>
          <w:b/>
          <w:bCs/>
          <w:color w:val="1C1C1C"/>
          <w:sz w:val="28"/>
          <w:szCs w:val="28"/>
          <w:rtl/>
        </w:rPr>
        <w:t>الكلمات المفتاحية</w:t>
      </w:r>
      <w:r w:rsidRPr="00623B51">
        <w:rPr>
          <w:rFonts w:ascii="Traditional Arabic" w:eastAsia="Times New Roman" w:hAnsi="Traditional Arabic" w:cs="Traditional Arabic" w:hint="cs"/>
          <w:color w:val="1C1C1C"/>
          <w:sz w:val="28"/>
          <w:szCs w:val="28"/>
        </w:rPr>
        <w:t xml:space="preserve">: </w:t>
      </w:r>
      <w:r w:rsidRPr="00623B51">
        <w:rPr>
          <w:rFonts w:ascii="Traditional Arabic" w:eastAsia="Times New Roman" w:hAnsi="Traditional Arabic" w:cs="Traditional Arabic" w:hint="cs"/>
          <w:color w:val="1C1C1C"/>
          <w:sz w:val="28"/>
          <w:szCs w:val="28"/>
          <w:rtl/>
        </w:rPr>
        <w:t>إدارة المخاطر، سلامة المرضى، القيادة التحويلية، المستشفيات الحكومية</w:t>
      </w:r>
      <w:r w:rsidR="00556E0D">
        <w:rPr>
          <w:rFonts w:ascii="Traditional Arabic" w:eastAsia="Times New Roman" w:hAnsi="Traditional Arabic" w:cs="Traditional Arabic" w:hint="cs"/>
          <w:color w:val="1C1C1C"/>
          <w:sz w:val="28"/>
          <w:szCs w:val="28"/>
          <w:rtl/>
        </w:rPr>
        <w:t xml:space="preserve"> ب</w:t>
      </w:r>
      <w:r w:rsidRPr="00623B51">
        <w:rPr>
          <w:rFonts w:ascii="Traditional Arabic" w:eastAsia="Times New Roman" w:hAnsi="Traditional Arabic" w:cs="Traditional Arabic" w:hint="cs"/>
          <w:color w:val="1C1C1C"/>
          <w:sz w:val="28"/>
          <w:szCs w:val="28"/>
          <w:rtl/>
        </w:rPr>
        <w:t>المملكة العربية السعودية</w:t>
      </w:r>
      <w:r w:rsidRPr="00623B51">
        <w:rPr>
          <w:rFonts w:ascii="Traditional Arabic" w:eastAsia="Times New Roman" w:hAnsi="Traditional Arabic" w:cs="Traditional Arabic" w:hint="cs"/>
          <w:color w:val="1C1C1C"/>
          <w:sz w:val="28"/>
          <w:szCs w:val="28"/>
        </w:rPr>
        <w:t>.</w:t>
      </w:r>
    </w:p>
    <w:p w14:paraId="442759B2" w14:textId="77777777" w:rsidR="00163191" w:rsidRPr="00623B51" w:rsidRDefault="00163191" w:rsidP="00623B51">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E0229A3"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FB61FC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64FF2E7"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8EF8CCF"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8CF6DC5"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6DC095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56EE84E"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479DE29"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E0B77FD"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FAF37BC"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D0554FF" w14:textId="77777777" w:rsidR="00163191" w:rsidRDefault="00163191" w:rsidP="00623B51">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6BF0CCF" w14:textId="0E3D791B" w:rsidR="00163191" w:rsidRPr="00623B51" w:rsidRDefault="00623B5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r w:rsidRPr="00623B51">
        <w:rPr>
          <w:rFonts w:ascii="Times New Roman" w:eastAsia="Times New Roman" w:hAnsi="Times New Roman" w:cs="Times New Roman"/>
          <w:b/>
          <w:bCs/>
          <w:color w:val="1C1C1C"/>
          <w:sz w:val="28"/>
          <w:szCs w:val="28"/>
          <w:u w:val="single"/>
        </w:rPr>
        <w:lastRenderedPageBreak/>
        <w:t>Abastract</w:t>
      </w:r>
    </w:p>
    <w:p w14:paraId="236EB948" w14:textId="77777777" w:rsidR="00623B51" w:rsidRDefault="00623B51" w:rsidP="00623B51">
      <w:pPr>
        <w:pBdr>
          <w:top w:val="nil"/>
          <w:left w:val="nil"/>
          <w:bottom w:val="nil"/>
          <w:right w:val="nil"/>
          <w:between w:val="nil"/>
          <w:bar w:val="nil"/>
        </w:pBdr>
        <w:spacing w:before="50" w:after="50" w:line="240" w:lineRule="auto"/>
        <w:ind w:right="432"/>
        <w:jc w:val="both"/>
        <w:rPr>
          <w:rFonts w:ascii="Times New Roman" w:eastAsia="Times New Roman" w:hAnsi="Times New Roman" w:cs="Times New Roman"/>
          <w:b/>
          <w:bCs/>
          <w:color w:val="1C1C1C"/>
          <w:sz w:val="28"/>
          <w:szCs w:val="28"/>
        </w:rPr>
      </w:pPr>
    </w:p>
    <w:p w14:paraId="5312B8C4" w14:textId="5B688266" w:rsidR="007754AE" w:rsidRDefault="00556E0D" w:rsidP="00D3327D">
      <w:pPr>
        <w:pBdr>
          <w:top w:val="nil"/>
          <w:left w:val="nil"/>
          <w:bottom w:val="nil"/>
          <w:right w:val="nil"/>
          <w:between w:val="nil"/>
          <w:bar w:val="nil"/>
        </w:pBdr>
        <w:spacing w:before="50" w:after="50" w:line="276" w:lineRule="auto"/>
        <w:ind w:right="431" w:firstLine="720"/>
        <w:jc w:val="both"/>
        <w:rPr>
          <w:rFonts w:ascii="Times New Roman" w:eastAsia="Times New Roman" w:hAnsi="Times New Roman" w:cs="Times New Roman"/>
          <w:color w:val="1C1C1C"/>
          <w:sz w:val="28"/>
          <w:szCs w:val="28"/>
        </w:rPr>
      </w:pPr>
      <w:r w:rsidRPr="006E6339">
        <w:rPr>
          <w:rFonts w:ascii="Times New Roman" w:eastAsia="Times New Roman" w:hAnsi="Times New Roman" w:cs="Times New Roman"/>
          <w:color w:val="1C1C1C"/>
          <w:sz w:val="28"/>
          <w:szCs w:val="28"/>
          <w:highlight w:val="yellow"/>
        </w:rPr>
        <w:t>This study aimed to analyze the impact of risk management practices on patient safety in government hospitals in the Kingdom of Saudi Arabia, while verifying the mediating role that transformational leadership plays in strengthening this relationship. The study was based on a stratified random sample size of (389) participants from a community of (15,000), using an electronic questionnaire that included (60) statements distributed over three main axes: risk management, transformational leadership, and patient safety. The researcher used a range of statistical methods such as Cronbach's alpha coefficient, Pearson's correlation coefficient, simple linear regression, partial least squares structural equation modeling (PLS-SEM), and T-test and ANOVA tests to detect relationships and differences. The results revealed a direct, positive, and statistically significant correlation and impact of risk management and transformational leadership practices on patient safety. An indirect impact of risk management on patient safety has also been demonstrated through the partial mediating role of transformational leadership, which branched out into four main outcomes: transformational leadership mediated the relationship between risk management dimensions (identification, analysis, assessment, and response) and patient safety in all its dimensions (error reduction, effective reporting, safe work environment, and quality of care), excluding patient engagement. The results also showed that there were statistically significant differences attributed to gender, academic qualification, and years of experience, while no differences appeared related to the type of job. The study recommends the necessity of adopting an integrated strategic model for transformative health risk management and qualifying leaders to develop a culture of health safety in Saudi government hospitals.</w:t>
      </w:r>
    </w:p>
    <w:p w14:paraId="1E559933" w14:textId="1177988E" w:rsidR="00D3327D" w:rsidRPr="00623B51" w:rsidRDefault="00D3327D" w:rsidP="00D3327D">
      <w:pPr>
        <w:pBdr>
          <w:top w:val="nil"/>
          <w:left w:val="nil"/>
          <w:bottom w:val="nil"/>
          <w:right w:val="nil"/>
          <w:between w:val="nil"/>
          <w:bar w:val="nil"/>
        </w:pBdr>
        <w:spacing w:before="50" w:after="50" w:line="276" w:lineRule="auto"/>
        <w:ind w:right="431" w:firstLine="720"/>
        <w:jc w:val="both"/>
        <w:rPr>
          <w:rFonts w:ascii="Times New Roman" w:eastAsia="Times New Roman" w:hAnsi="Times New Roman" w:cs="Times New Roman"/>
          <w:color w:val="1C1C1C"/>
          <w:sz w:val="28"/>
          <w:szCs w:val="28"/>
          <w:rtl/>
        </w:rPr>
      </w:pPr>
      <w:r w:rsidRPr="00D3327D">
        <w:rPr>
          <w:rFonts w:ascii="Times New Roman" w:eastAsia="Times New Roman" w:hAnsi="Times New Roman" w:cs="Times New Roman"/>
          <w:b/>
          <w:bCs/>
          <w:color w:val="1C1C1C"/>
          <w:sz w:val="28"/>
          <w:szCs w:val="28"/>
        </w:rPr>
        <w:t>Keywords</w:t>
      </w:r>
      <w:r>
        <w:rPr>
          <w:rFonts w:ascii="Times New Roman" w:eastAsia="Times New Roman" w:hAnsi="Times New Roman" w:cs="Times New Roman"/>
          <w:b/>
          <w:bCs/>
          <w:color w:val="1C1C1C"/>
          <w:sz w:val="28"/>
          <w:szCs w:val="28"/>
        </w:rPr>
        <w:t xml:space="preserve"> </w:t>
      </w:r>
      <w:r w:rsidRPr="00D3327D">
        <w:rPr>
          <w:rFonts w:ascii="Times New Roman" w:eastAsia="Times New Roman" w:hAnsi="Times New Roman" w:cs="Times New Roman"/>
          <w:color w:val="1C1C1C"/>
          <w:sz w:val="28"/>
          <w:szCs w:val="28"/>
        </w:rPr>
        <w:t>: risk management, patient safety, transformational leadership, government hospitals</w:t>
      </w:r>
      <w:r w:rsidR="00556E0D">
        <w:rPr>
          <w:rFonts w:ascii="Times New Roman" w:eastAsia="Times New Roman" w:hAnsi="Times New Roman" w:cs="Times New Roman"/>
          <w:color w:val="1C1C1C"/>
          <w:sz w:val="28"/>
          <w:szCs w:val="28"/>
        </w:rPr>
        <w:t xml:space="preserve"> of</w:t>
      </w:r>
      <w:r w:rsidRPr="00D3327D">
        <w:rPr>
          <w:rFonts w:ascii="Times New Roman" w:eastAsia="Times New Roman" w:hAnsi="Times New Roman" w:cs="Times New Roman"/>
          <w:color w:val="1C1C1C"/>
          <w:sz w:val="28"/>
          <w:szCs w:val="28"/>
        </w:rPr>
        <w:t xml:space="preserve"> Saudi Arabia.</w:t>
      </w:r>
    </w:p>
    <w:p w14:paraId="42DD8BEA"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A27FAEE"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2CCB392"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82ECCA2"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EBC1185" w14:textId="77777777" w:rsidR="00163191" w:rsidRDefault="00163191" w:rsidP="007754AE">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DA5486A" w14:textId="4B8EDDF9"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r w:rsidRPr="006D262F">
        <w:rPr>
          <w:rFonts w:ascii="Times New Roman" w:eastAsia="Times New Roman" w:hAnsi="Times New Roman" w:cs="Times New Roman" w:hint="cs"/>
          <w:b/>
          <w:bCs/>
          <w:color w:val="1C1C1C"/>
          <w:sz w:val="28"/>
          <w:szCs w:val="28"/>
          <w:u w:val="single"/>
          <w:rtl/>
        </w:rPr>
        <w:lastRenderedPageBreak/>
        <w:t>قائمة المحتويات</w:t>
      </w:r>
    </w:p>
    <w:p w14:paraId="1FA926B7" w14:textId="77777777" w:rsidR="00C853E2" w:rsidRPr="006D262F" w:rsidRDefault="00C853E2" w:rsidP="00C853E2">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p>
    <w:tbl>
      <w:tblPr>
        <w:tblStyle w:val="TableGrid"/>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6717"/>
        <w:gridCol w:w="1573"/>
      </w:tblGrid>
      <w:tr w:rsidR="00C853E2" w:rsidRPr="00FF1999" w14:paraId="39DDE13B" w14:textId="77777777" w:rsidTr="000C3448">
        <w:trPr>
          <w:tblCellSpacing w:w="20" w:type="dxa"/>
          <w:jc w:val="center"/>
        </w:trPr>
        <w:tc>
          <w:tcPr>
            <w:tcW w:w="4015" w:type="pct"/>
            <w:shd w:val="clear" w:color="auto" w:fill="E5DFEC" w:themeFill="accent4" w:themeFillTint="33"/>
          </w:tcPr>
          <w:p w14:paraId="7D169CB5" w14:textId="77777777" w:rsidR="00C853E2" w:rsidRPr="002E572A" w:rsidRDefault="00C853E2" w:rsidP="001F1CE9">
            <w:pPr>
              <w:bidi/>
              <w:spacing w:before="50" w:after="50" w:line="240" w:lineRule="auto"/>
              <w:ind w:right="432"/>
              <w:jc w:val="center"/>
              <w:rPr>
                <w:rFonts w:ascii="Traditional Arabic" w:eastAsia="Times New Roman" w:hAnsi="Traditional Arabic" w:cs="Traditional Arabic"/>
                <w:b/>
                <w:bCs/>
                <w:color w:val="1C1C1C"/>
                <w:sz w:val="24"/>
                <w:szCs w:val="24"/>
                <w:rtl/>
                <w:lang w:bidi="ar-EG"/>
              </w:rPr>
            </w:pPr>
            <w:r w:rsidRPr="002E572A">
              <w:rPr>
                <w:rFonts w:ascii="Traditional Arabic" w:eastAsia="Times New Roman" w:hAnsi="Traditional Arabic" w:cs="Traditional Arabic" w:hint="cs"/>
                <w:b/>
                <w:bCs/>
                <w:color w:val="1C1C1C"/>
                <w:sz w:val="24"/>
                <w:szCs w:val="24"/>
                <w:rtl/>
                <w:lang w:bidi="ar-EG"/>
              </w:rPr>
              <w:t>الموضوع</w:t>
            </w:r>
          </w:p>
        </w:tc>
        <w:tc>
          <w:tcPr>
            <w:tcW w:w="913" w:type="pct"/>
            <w:shd w:val="clear" w:color="auto" w:fill="E5DFEC" w:themeFill="accent4" w:themeFillTint="33"/>
          </w:tcPr>
          <w:p w14:paraId="6786CFC7" w14:textId="77777777" w:rsidR="00C853E2" w:rsidRPr="002E572A" w:rsidRDefault="00C853E2" w:rsidP="001F1CE9">
            <w:pPr>
              <w:bidi/>
              <w:spacing w:before="50" w:after="50" w:line="240" w:lineRule="auto"/>
              <w:ind w:right="432"/>
              <w:jc w:val="center"/>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صفحة</w:t>
            </w:r>
          </w:p>
        </w:tc>
      </w:tr>
      <w:tr w:rsidR="004546DA" w:rsidRPr="00FF1999" w14:paraId="2B33ECF1" w14:textId="77777777" w:rsidTr="004546DA">
        <w:trPr>
          <w:tblCellSpacing w:w="20" w:type="dxa"/>
          <w:jc w:val="center"/>
        </w:trPr>
        <w:tc>
          <w:tcPr>
            <w:tcW w:w="4015" w:type="pct"/>
          </w:tcPr>
          <w:p w14:paraId="10166968" w14:textId="77777777" w:rsidR="004546DA" w:rsidRPr="00FF1999"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FF1999">
              <w:rPr>
                <w:rFonts w:ascii="Traditional Arabic" w:eastAsia="Times New Roman" w:hAnsi="Traditional Arabic" w:cs="Traditional Arabic" w:hint="cs"/>
                <w:b/>
                <w:bCs/>
                <w:color w:val="1C1C1C"/>
                <w:sz w:val="24"/>
                <w:szCs w:val="24"/>
                <w:rtl/>
              </w:rPr>
              <w:t>الفصل الأول</w:t>
            </w:r>
          </w:p>
        </w:tc>
        <w:tc>
          <w:tcPr>
            <w:tcW w:w="913" w:type="pct"/>
          </w:tcPr>
          <w:p w14:paraId="46D66D82" w14:textId="08417984" w:rsidR="004546DA" w:rsidRPr="00FF1999"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Pr>
                <w:rFonts w:ascii="Traditional Arabic" w:eastAsia="Times New Roman" w:hAnsi="Traditional Arabic" w:cs="Traditional Arabic" w:hint="cs"/>
                <w:b/>
                <w:bCs/>
                <w:color w:val="1C1C1C"/>
                <w:sz w:val="24"/>
                <w:szCs w:val="24"/>
                <w:rtl/>
              </w:rPr>
              <w:t>1</w:t>
            </w:r>
          </w:p>
        </w:tc>
      </w:tr>
      <w:tr w:rsidR="004546DA" w:rsidRPr="00FF1999" w14:paraId="12B876E5" w14:textId="77777777" w:rsidTr="004546DA">
        <w:trPr>
          <w:tblCellSpacing w:w="20" w:type="dxa"/>
          <w:jc w:val="center"/>
        </w:trPr>
        <w:tc>
          <w:tcPr>
            <w:tcW w:w="4015" w:type="pct"/>
          </w:tcPr>
          <w:p w14:paraId="0215B5C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sidRPr="00FF1999">
              <w:rPr>
                <w:rFonts w:ascii="Traditional Arabic" w:eastAsia="Times New Roman" w:hAnsi="Traditional Arabic" w:cs="Traditional Arabic" w:hint="cs"/>
                <w:color w:val="1C1C1C"/>
                <w:sz w:val="24"/>
                <w:szCs w:val="24"/>
                <w:rtl/>
              </w:rPr>
              <w:t>مقدمة الدراسة</w:t>
            </w:r>
          </w:p>
        </w:tc>
        <w:tc>
          <w:tcPr>
            <w:tcW w:w="913" w:type="pct"/>
          </w:tcPr>
          <w:p w14:paraId="15EBD0DD" w14:textId="52DF643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w:t>
            </w:r>
          </w:p>
        </w:tc>
      </w:tr>
      <w:tr w:rsidR="004546DA" w:rsidRPr="00FF1999" w14:paraId="5861D205" w14:textId="77777777" w:rsidTr="004546DA">
        <w:trPr>
          <w:tblCellSpacing w:w="20" w:type="dxa"/>
          <w:jc w:val="center"/>
        </w:trPr>
        <w:tc>
          <w:tcPr>
            <w:tcW w:w="4015" w:type="pct"/>
          </w:tcPr>
          <w:p w14:paraId="49B5FA0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مشكلة الدراسة</w:t>
            </w:r>
          </w:p>
        </w:tc>
        <w:tc>
          <w:tcPr>
            <w:tcW w:w="913" w:type="pct"/>
          </w:tcPr>
          <w:p w14:paraId="65466371" w14:textId="5F1472B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w:t>
            </w:r>
          </w:p>
        </w:tc>
      </w:tr>
      <w:tr w:rsidR="004546DA" w:rsidRPr="00FF1999" w14:paraId="650FEC1F" w14:textId="77777777" w:rsidTr="004546DA">
        <w:trPr>
          <w:tblCellSpacing w:w="20" w:type="dxa"/>
          <w:jc w:val="center"/>
        </w:trPr>
        <w:tc>
          <w:tcPr>
            <w:tcW w:w="4015" w:type="pct"/>
          </w:tcPr>
          <w:p w14:paraId="3BC3003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أهمية الدراسة</w:t>
            </w:r>
          </w:p>
        </w:tc>
        <w:tc>
          <w:tcPr>
            <w:tcW w:w="913" w:type="pct"/>
          </w:tcPr>
          <w:p w14:paraId="42EBA46E" w14:textId="2E819D10"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w:t>
            </w:r>
          </w:p>
        </w:tc>
      </w:tr>
      <w:tr w:rsidR="004546DA" w:rsidRPr="00FF1999" w14:paraId="7459AAE3" w14:textId="77777777" w:rsidTr="004546DA">
        <w:trPr>
          <w:tblCellSpacing w:w="20" w:type="dxa"/>
          <w:jc w:val="center"/>
        </w:trPr>
        <w:tc>
          <w:tcPr>
            <w:tcW w:w="4015" w:type="pct"/>
          </w:tcPr>
          <w:p w14:paraId="2EE24B2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أهداف الدراسة</w:t>
            </w:r>
          </w:p>
        </w:tc>
        <w:tc>
          <w:tcPr>
            <w:tcW w:w="913" w:type="pct"/>
          </w:tcPr>
          <w:p w14:paraId="3A694A71" w14:textId="3D734CB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w:t>
            </w:r>
          </w:p>
        </w:tc>
      </w:tr>
      <w:tr w:rsidR="004546DA" w:rsidRPr="00FF1999" w14:paraId="336171CC" w14:textId="77777777" w:rsidTr="004546DA">
        <w:trPr>
          <w:tblCellSpacing w:w="20" w:type="dxa"/>
          <w:jc w:val="center"/>
        </w:trPr>
        <w:tc>
          <w:tcPr>
            <w:tcW w:w="4015" w:type="pct"/>
          </w:tcPr>
          <w:p w14:paraId="2EFDBE8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فرضيات الدراسة</w:t>
            </w:r>
          </w:p>
        </w:tc>
        <w:tc>
          <w:tcPr>
            <w:tcW w:w="913" w:type="pct"/>
          </w:tcPr>
          <w:p w14:paraId="57820E0A" w14:textId="0B52395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w:t>
            </w:r>
          </w:p>
        </w:tc>
      </w:tr>
      <w:tr w:rsidR="004546DA" w:rsidRPr="00FF1999" w14:paraId="6923A73F" w14:textId="77777777" w:rsidTr="004546DA">
        <w:trPr>
          <w:tblCellSpacing w:w="20" w:type="dxa"/>
          <w:jc w:val="center"/>
        </w:trPr>
        <w:tc>
          <w:tcPr>
            <w:tcW w:w="4015" w:type="pct"/>
          </w:tcPr>
          <w:p w14:paraId="3C57629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نموذج الدراسة</w:t>
            </w:r>
          </w:p>
        </w:tc>
        <w:tc>
          <w:tcPr>
            <w:tcW w:w="913" w:type="pct"/>
          </w:tcPr>
          <w:p w14:paraId="7F6F3A7C" w14:textId="6C6F391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w:t>
            </w:r>
          </w:p>
        </w:tc>
      </w:tr>
      <w:tr w:rsidR="004546DA" w:rsidRPr="00FF1999" w14:paraId="068FE9BF" w14:textId="77777777" w:rsidTr="004546DA">
        <w:trPr>
          <w:tblCellSpacing w:w="20" w:type="dxa"/>
          <w:jc w:val="center"/>
        </w:trPr>
        <w:tc>
          <w:tcPr>
            <w:tcW w:w="4015" w:type="pct"/>
          </w:tcPr>
          <w:p w14:paraId="17D4140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الدرسات المرجعية</w:t>
            </w:r>
          </w:p>
        </w:tc>
        <w:tc>
          <w:tcPr>
            <w:tcW w:w="913" w:type="pct"/>
          </w:tcPr>
          <w:p w14:paraId="3E0FFDFF" w14:textId="01EE09D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w:t>
            </w:r>
          </w:p>
        </w:tc>
      </w:tr>
      <w:tr w:rsidR="004546DA" w:rsidRPr="00FF1999" w14:paraId="14D8A068" w14:textId="77777777" w:rsidTr="004546DA">
        <w:trPr>
          <w:tblCellSpacing w:w="20" w:type="dxa"/>
          <w:jc w:val="center"/>
        </w:trPr>
        <w:tc>
          <w:tcPr>
            <w:tcW w:w="4015" w:type="pct"/>
          </w:tcPr>
          <w:p w14:paraId="5A06EA2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مصطلحات الدراسة الإجرائية</w:t>
            </w:r>
          </w:p>
        </w:tc>
        <w:tc>
          <w:tcPr>
            <w:tcW w:w="913" w:type="pct"/>
          </w:tcPr>
          <w:p w14:paraId="5651A29F" w14:textId="23FB3E1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16</w:t>
            </w:r>
          </w:p>
        </w:tc>
      </w:tr>
      <w:tr w:rsidR="004546DA" w:rsidRPr="00FF1999" w14:paraId="27F1E4BA" w14:textId="77777777" w:rsidTr="004546DA">
        <w:trPr>
          <w:tblCellSpacing w:w="20" w:type="dxa"/>
          <w:jc w:val="center"/>
        </w:trPr>
        <w:tc>
          <w:tcPr>
            <w:tcW w:w="4015" w:type="pct"/>
          </w:tcPr>
          <w:p w14:paraId="558E65C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أبعاد متغيرات الدراسة</w:t>
            </w:r>
          </w:p>
        </w:tc>
        <w:tc>
          <w:tcPr>
            <w:tcW w:w="913" w:type="pct"/>
          </w:tcPr>
          <w:p w14:paraId="52E4A099" w14:textId="788AB84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18</w:t>
            </w:r>
          </w:p>
        </w:tc>
      </w:tr>
      <w:tr w:rsidR="004546DA" w:rsidRPr="00FF1999" w14:paraId="71FBD968" w14:textId="77777777" w:rsidTr="004546DA">
        <w:trPr>
          <w:tblCellSpacing w:w="20" w:type="dxa"/>
          <w:jc w:val="center"/>
        </w:trPr>
        <w:tc>
          <w:tcPr>
            <w:tcW w:w="4015" w:type="pct"/>
          </w:tcPr>
          <w:p w14:paraId="05E07091"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إجراءات الدراسة</w:t>
            </w:r>
          </w:p>
        </w:tc>
        <w:tc>
          <w:tcPr>
            <w:tcW w:w="913" w:type="pct"/>
          </w:tcPr>
          <w:p w14:paraId="0E4B189C" w14:textId="7CCD43A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21</w:t>
            </w:r>
          </w:p>
        </w:tc>
      </w:tr>
      <w:tr w:rsidR="004546DA" w:rsidRPr="00FF1999" w14:paraId="1AAE3C1B" w14:textId="77777777" w:rsidTr="004546DA">
        <w:trPr>
          <w:tblCellSpacing w:w="20" w:type="dxa"/>
          <w:jc w:val="center"/>
        </w:trPr>
        <w:tc>
          <w:tcPr>
            <w:tcW w:w="4015" w:type="pct"/>
          </w:tcPr>
          <w:p w14:paraId="65D0689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مجتمع وعينة الدراسة</w:t>
            </w:r>
          </w:p>
        </w:tc>
        <w:tc>
          <w:tcPr>
            <w:tcW w:w="913" w:type="pct"/>
          </w:tcPr>
          <w:p w14:paraId="07491B70" w14:textId="69AA3EA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21</w:t>
            </w:r>
          </w:p>
        </w:tc>
      </w:tr>
      <w:tr w:rsidR="004546DA" w:rsidRPr="00FF1999" w14:paraId="5B008AAA" w14:textId="77777777" w:rsidTr="004546DA">
        <w:trPr>
          <w:tblCellSpacing w:w="20" w:type="dxa"/>
          <w:jc w:val="center"/>
        </w:trPr>
        <w:tc>
          <w:tcPr>
            <w:tcW w:w="4015" w:type="pct"/>
          </w:tcPr>
          <w:p w14:paraId="294495E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حدود الدراسة</w:t>
            </w:r>
          </w:p>
        </w:tc>
        <w:tc>
          <w:tcPr>
            <w:tcW w:w="913" w:type="pct"/>
          </w:tcPr>
          <w:p w14:paraId="47386ED4" w14:textId="433281C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22</w:t>
            </w:r>
          </w:p>
        </w:tc>
      </w:tr>
      <w:tr w:rsidR="004546DA" w:rsidRPr="00FF1999" w14:paraId="4571A04D" w14:textId="77777777" w:rsidTr="004546DA">
        <w:trPr>
          <w:tblCellSpacing w:w="20" w:type="dxa"/>
          <w:jc w:val="center"/>
        </w:trPr>
        <w:tc>
          <w:tcPr>
            <w:tcW w:w="4015" w:type="pct"/>
          </w:tcPr>
          <w:p w14:paraId="3ED478D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وسائل جمع البيانات</w:t>
            </w:r>
          </w:p>
        </w:tc>
        <w:tc>
          <w:tcPr>
            <w:tcW w:w="913" w:type="pct"/>
          </w:tcPr>
          <w:p w14:paraId="782BDAB1" w14:textId="03A9ABD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22</w:t>
            </w:r>
          </w:p>
        </w:tc>
      </w:tr>
      <w:tr w:rsidR="004546DA" w:rsidRPr="00FF1999" w14:paraId="7E946C9F" w14:textId="77777777" w:rsidTr="004546DA">
        <w:trPr>
          <w:tblCellSpacing w:w="20" w:type="dxa"/>
          <w:jc w:val="center"/>
        </w:trPr>
        <w:tc>
          <w:tcPr>
            <w:tcW w:w="4015" w:type="pct"/>
          </w:tcPr>
          <w:p w14:paraId="331F884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الأساليب الإحصائية المستخدمة</w:t>
            </w:r>
          </w:p>
        </w:tc>
        <w:tc>
          <w:tcPr>
            <w:tcW w:w="913" w:type="pct"/>
          </w:tcPr>
          <w:p w14:paraId="5BBD0C79" w14:textId="1F31932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23</w:t>
            </w:r>
          </w:p>
        </w:tc>
      </w:tr>
      <w:tr w:rsidR="004546DA" w:rsidRPr="00FF1999" w14:paraId="35AD6AF4" w14:textId="77777777" w:rsidTr="004546DA">
        <w:trPr>
          <w:tblCellSpacing w:w="20" w:type="dxa"/>
          <w:jc w:val="center"/>
        </w:trPr>
        <w:tc>
          <w:tcPr>
            <w:tcW w:w="4015" w:type="pct"/>
          </w:tcPr>
          <w:p w14:paraId="1F181AD5"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الثاني</w:t>
            </w:r>
          </w:p>
        </w:tc>
        <w:tc>
          <w:tcPr>
            <w:tcW w:w="913" w:type="pct"/>
          </w:tcPr>
          <w:p w14:paraId="7ACA15A6" w14:textId="4BE6D5F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24</w:t>
            </w:r>
          </w:p>
        </w:tc>
      </w:tr>
      <w:tr w:rsidR="004546DA" w:rsidRPr="00FF1999" w14:paraId="41B6D9E3" w14:textId="77777777" w:rsidTr="004546DA">
        <w:trPr>
          <w:tblCellSpacing w:w="20" w:type="dxa"/>
          <w:jc w:val="center"/>
        </w:trPr>
        <w:tc>
          <w:tcPr>
            <w:tcW w:w="4015" w:type="pct"/>
          </w:tcPr>
          <w:p w14:paraId="58ECF0F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14E57499" w14:textId="71AA872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25</w:t>
            </w:r>
          </w:p>
        </w:tc>
      </w:tr>
      <w:tr w:rsidR="004546DA" w:rsidRPr="00FF1999" w14:paraId="1CEEE544" w14:textId="77777777" w:rsidTr="004546DA">
        <w:trPr>
          <w:tblCellSpacing w:w="20" w:type="dxa"/>
          <w:jc w:val="center"/>
        </w:trPr>
        <w:tc>
          <w:tcPr>
            <w:tcW w:w="4015" w:type="pct"/>
          </w:tcPr>
          <w:p w14:paraId="1ED1BE2C" w14:textId="77777777" w:rsidR="004546DA" w:rsidRPr="00A26FA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lang w:bidi="ar-EG"/>
              </w:rPr>
            </w:pPr>
            <w:r w:rsidRPr="00A26FAA">
              <w:rPr>
                <w:rFonts w:ascii="Traditional Arabic" w:eastAsia="Times New Roman" w:hAnsi="Traditional Arabic" w:cs="Traditional Arabic"/>
                <w:b/>
                <w:bCs/>
                <w:color w:val="1C1C1C"/>
                <w:sz w:val="24"/>
                <w:szCs w:val="24"/>
                <w:rtl/>
                <w:lang w:bidi="ar-EG"/>
              </w:rPr>
              <w:t xml:space="preserve">المبحث الأول: </w:t>
            </w:r>
            <w:r w:rsidRPr="00A26FAA">
              <w:rPr>
                <w:rFonts w:ascii="Traditional Arabic" w:eastAsia="Times New Roman" w:hAnsi="Traditional Arabic" w:cs="Traditional Arabic"/>
                <w:b/>
                <w:bCs/>
                <w:color w:val="1C1C1C"/>
                <w:sz w:val="24"/>
                <w:szCs w:val="24"/>
                <w:rtl/>
              </w:rPr>
              <w:t xml:space="preserve">إدارة المخاطر </w:t>
            </w:r>
          </w:p>
        </w:tc>
        <w:tc>
          <w:tcPr>
            <w:tcW w:w="913" w:type="pct"/>
          </w:tcPr>
          <w:p w14:paraId="6F795641" w14:textId="360F754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25</w:t>
            </w:r>
          </w:p>
        </w:tc>
      </w:tr>
      <w:tr w:rsidR="004546DA" w:rsidRPr="00FF1999" w14:paraId="70A8F56E" w14:textId="77777777" w:rsidTr="004546DA">
        <w:trPr>
          <w:tblCellSpacing w:w="20" w:type="dxa"/>
          <w:jc w:val="center"/>
        </w:trPr>
        <w:tc>
          <w:tcPr>
            <w:tcW w:w="4015" w:type="pct"/>
          </w:tcPr>
          <w:p w14:paraId="13DE19A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أولاً مفهوم المخاطر</w:t>
            </w:r>
          </w:p>
        </w:tc>
        <w:tc>
          <w:tcPr>
            <w:tcW w:w="913" w:type="pct"/>
          </w:tcPr>
          <w:p w14:paraId="4A8BCF9F" w14:textId="0A13E35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26</w:t>
            </w:r>
          </w:p>
        </w:tc>
      </w:tr>
      <w:tr w:rsidR="004546DA" w:rsidRPr="00FF1999" w14:paraId="64BF06FA" w14:textId="77777777" w:rsidTr="004546DA">
        <w:trPr>
          <w:tblCellSpacing w:w="20" w:type="dxa"/>
          <w:jc w:val="center"/>
        </w:trPr>
        <w:tc>
          <w:tcPr>
            <w:tcW w:w="4015" w:type="pct"/>
          </w:tcPr>
          <w:p w14:paraId="1CDC61A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ثانياً مفهوم إدارة المخاطر</w:t>
            </w:r>
          </w:p>
        </w:tc>
        <w:tc>
          <w:tcPr>
            <w:tcW w:w="913" w:type="pct"/>
          </w:tcPr>
          <w:p w14:paraId="4D9B9564" w14:textId="380453D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27</w:t>
            </w:r>
          </w:p>
        </w:tc>
      </w:tr>
      <w:tr w:rsidR="004546DA" w:rsidRPr="00FF1999" w14:paraId="7358C239" w14:textId="77777777" w:rsidTr="004546DA">
        <w:trPr>
          <w:tblCellSpacing w:w="20" w:type="dxa"/>
          <w:jc w:val="center"/>
        </w:trPr>
        <w:tc>
          <w:tcPr>
            <w:tcW w:w="4015" w:type="pct"/>
          </w:tcPr>
          <w:p w14:paraId="0F7B830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ثالثاً أهمية إدارة المخاطر</w:t>
            </w:r>
          </w:p>
        </w:tc>
        <w:tc>
          <w:tcPr>
            <w:tcW w:w="913" w:type="pct"/>
          </w:tcPr>
          <w:p w14:paraId="105DA392" w14:textId="19107E60"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28</w:t>
            </w:r>
          </w:p>
        </w:tc>
      </w:tr>
      <w:tr w:rsidR="004546DA" w:rsidRPr="00FF1999" w14:paraId="4AC33BC7" w14:textId="77777777" w:rsidTr="004546DA">
        <w:trPr>
          <w:tblCellSpacing w:w="20" w:type="dxa"/>
          <w:jc w:val="center"/>
        </w:trPr>
        <w:tc>
          <w:tcPr>
            <w:tcW w:w="4015" w:type="pct"/>
          </w:tcPr>
          <w:p w14:paraId="2F1FE8AA"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رابعاً أهداف إدارة المخاطر</w:t>
            </w:r>
          </w:p>
        </w:tc>
        <w:tc>
          <w:tcPr>
            <w:tcW w:w="913" w:type="pct"/>
          </w:tcPr>
          <w:p w14:paraId="762D8138" w14:textId="28CCEF9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29</w:t>
            </w:r>
          </w:p>
        </w:tc>
      </w:tr>
      <w:tr w:rsidR="004546DA" w:rsidRPr="00FF1999" w14:paraId="4C2F9781" w14:textId="77777777" w:rsidTr="004546DA">
        <w:trPr>
          <w:tblCellSpacing w:w="20" w:type="dxa"/>
          <w:jc w:val="center"/>
        </w:trPr>
        <w:tc>
          <w:tcPr>
            <w:tcW w:w="4015" w:type="pct"/>
          </w:tcPr>
          <w:p w14:paraId="3ED913A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خامساً خصائص إدارة المخاطر</w:t>
            </w:r>
          </w:p>
        </w:tc>
        <w:tc>
          <w:tcPr>
            <w:tcW w:w="913" w:type="pct"/>
          </w:tcPr>
          <w:p w14:paraId="28D345F5" w14:textId="5910F92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30</w:t>
            </w:r>
          </w:p>
        </w:tc>
      </w:tr>
      <w:tr w:rsidR="004546DA" w:rsidRPr="00FF1999" w14:paraId="4770E8D6" w14:textId="77777777" w:rsidTr="004546DA">
        <w:trPr>
          <w:tblCellSpacing w:w="20" w:type="dxa"/>
          <w:jc w:val="center"/>
        </w:trPr>
        <w:tc>
          <w:tcPr>
            <w:tcW w:w="4015" w:type="pct"/>
          </w:tcPr>
          <w:p w14:paraId="58D3FEF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lastRenderedPageBreak/>
              <w:t>سادساً أنواع المخاطر</w:t>
            </w:r>
          </w:p>
        </w:tc>
        <w:tc>
          <w:tcPr>
            <w:tcW w:w="913" w:type="pct"/>
          </w:tcPr>
          <w:p w14:paraId="57EA028E" w14:textId="7B324F6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30</w:t>
            </w:r>
          </w:p>
        </w:tc>
      </w:tr>
      <w:tr w:rsidR="004546DA" w:rsidRPr="00FF1999" w14:paraId="2C01C107" w14:textId="77777777" w:rsidTr="004546DA">
        <w:trPr>
          <w:tblCellSpacing w:w="20" w:type="dxa"/>
          <w:jc w:val="center"/>
        </w:trPr>
        <w:tc>
          <w:tcPr>
            <w:tcW w:w="4015" w:type="pct"/>
          </w:tcPr>
          <w:p w14:paraId="51A13F1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سابعاً برامج إدارة المخاطر</w:t>
            </w:r>
          </w:p>
        </w:tc>
        <w:tc>
          <w:tcPr>
            <w:tcW w:w="913" w:type="pct"/>
          </w:tcPr>
          <w:p w14:paraId="31FF58E3" w14:textId="541E5D7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32</w:t>
            </w:r>
          </w:p>
        </w:tc>
      </w:tr>
      <w:tr w:rsidR="004546DA" w:rsidRPr="00FF1999" w14:paraId="4344618A" w14:textId="77777777" w:rsidTr="004546DA">
        <w:trPr>
          <w:tblCellSpacing w:w="20" w:type="dxa"/>
          <w:jc w:val="center"/>
        </w:trPr>
        <w:tc>
          <w:tcPr>
            <w:tcW w:w="4015" w:type="pct"/>
          </w:tcPr>
          <w:p w14:paraId="5A56E4BC"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ثامناً النظريات المفسرة لإدارة المخاطر</w:t>
            </w:r>
          </w:p>
        </w:tc>
        <w:tc>
          <w:tcPr>
            <w:tcW w:w="913" w:type="pct"/>
          </w:tcPr>
          <w:p w14:paraId="5291ED2B" w14:textId="2BF4A01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33</w:t>
            </w:r>
          </w:p>
        </w:tc>
      </w:tr>
      <w:tr w:rsidR="004546DA" w:rsidRPr="00FF1999" w14:paraId="69A129FF" w14:textId="77777777" w:rsidTr="004546DA">
        <w:trPr>
          <w:tblCellSpacing w:w="20" w:type="dxa"/>
          <w:jc w:val="center"/>
        </w:trPr>
        <w:tc>
          <w:tcPr>
            <w:tcW w:w="4015" w:type="pct"/>
          </w:tcPr>
          <w:p w14:paraId="315EB99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تاسعاً تحديات إدارة المخاطر في المستشفيات</w:t>
            </w:r>
          </w:p>
        </w:tc>
        <w:tc>
          <w:tcPr>
            <w:tcW w:w="913" w:type="pct"/>
          </w:tcPr>
          <w:p w14:paraId="1A0269CA" w14:textId="62AE172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34</w:t>
            </w:r>
          </w:p>
        </w:tc>
      </w:tr>
      <w:tr w:rsidR="004546DA" w:rsidRPr="00FF1999" w14:paraId="484571BF" w14:textId="77777777" w:rsidTr="004546DA">
        <w:trPr>
          <w:tblCellSpacing w:w="20" w:type="dxa"/>
          <w:jc w:val="center"/>
        </w:trPr>
        <w:tc>
          <w:tcPr>
            <w:tcW w:w="4015" w:type="pct"/>
          </w:tcPr>
          <w:p w14:paraId="66D4FDA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عاشراً استراتيجيات تحسين إدارة الجودة</w:t>
            </w:r>
          </w:p>
        </w:tc>
        <w:tc>
          <w:tcPr>
            <w:tcW w:w="913" w:type="pct"/>
          </w:tcPr>
          <w:p w14:paraId="14136CE6" w14:textId="4BBAFE9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lang w:bidi="ar-EG"/>
              </w:rPr>
              <w:t>38</w:t>
            </w:r>
          </w:p>
        </w:tc>
      </w:tr>
      <w:tr w:rsidR="004546DA" w:rsidRPr="00FF1999" w14:paraId="1B3F4BC1" w14:textId="77777777" w:rsidTr="004546DA">
        <w:trPr>
          <w:tblCellSpacing w:w="20" w:type="dxa"/>
          <w:jc w:val="center"/>
        </w:trPr>
        <w:tc>
          <w:tcPr>
            <w:tcW w:w="4015" w:type="pct"/>
          </w:tcPr>
          <w:p w14:paraId="2B297D1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الدراسات السابقة حول إدارة المخاطر في الرعاية الصحية</w:t>
            </w:r>
          </w:p>
        </w:tc>
        <w:tc>
          <w:tcPr>
            <w:tcW w:w="913" w:type="pct"/>
          </w:tcPr>
          <w:p w14:paraId="71B08084" w14:textId="5FC6F03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40</w:t>
            </w:r>
          </w:p>
        </w:tc>
      </w:tr>
      <w:tr w:rsidR="004546DA" w:rsidRPr="00FF1999" w14:paraId="34565802" w14:textId="77777777" w:rsidTr="004546DA">
        <w:trPr>
          <w:tblCellSpacing w:w="20" w:type="dxa"/>
          <w:jc w:val="center"/>
        </w:trPr>
        <w:tc>
          <w:tcPr>
            <w:tcW w:w="4015" w:type="pct"/>
          </w:tcPr>
          <w:p w14:paraId="6649F21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تعقيب عن الدراسات السابقة للإدارة المخاطر</w:t>
            </w:r>
          </w:p>
        </w:tc>
        <w:tc>
          <w:tcPr>
            <w:tcW w:w="913" w:type="pct"/>
          </w:tcPr>
          <w:p w14:paraId="3DD876E7" w14:textId="6DFAD26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51</w:t>
            </w:r>
          </w:p>
        </w:tc>
      </w:tr>
      <w:tr w:rsidR="004546DA" w:rsidRPr="00FF1999" w14:paraId="78B3DE8B" w14:textId="77777777" w:rsidTr="004546DA">
        <w:trPr>
          <w:tblCellSpacing w:w="20" w:type="dxa"/>
          <w:jc w:val="center"/>
        </w:trPr>
        <w:tc>
          <w:tcPr>
            <w:tcW w:w="4015" w:type="pct"/>
          </w:tcPr>
          <w:p w14:paraId="6F7B014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أوجه الإستفادة من الدراسات السابقة لإدارة المخاطر</w:t>
            </w:r>
          </w:p>
        </w:tc>
        <w:tc>
          <w:tcPr>
            <w:tcW w:w="913" w:type="pct"/>
          </w:tcPr>
          <w:p w14:paraId="5CEC84EA" w14:textId="4A67E5B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51</w:t>
            </w:r>
          </w:p>
        </w:tc>
      </w:tr>
      <w:tr w:rsidR="004546DA" w:rsidRPr="00FF1999" w14:paraId="03799CC6" w14:textId="77777777" w:rsidTr="004546DA">
        <w:trPr>
          <w:tblCellSpacing w:w="20" w:type="dxa"/>
          <w:jc w:val="center"/>
        </w:trPr>
        <w:tc>
          <w:tcPr>
            <w:tcW w:w="4015" w:type="pct"/>
          </w:tcPr>
          <w:p w14:paraId="276D7D06"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المبحث الثاني سلامة المرضى</w:t>
            </w:r>
          </w:p>
        </w:tc>
        <w:tc>
          <w:tcPr>
            <w:tcW w:w="913" w:type="pct"/>
          </w:tcPr>
          <w:p w14:paraId="2E6212D7" w14:textId="0EE4347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52</w:t>
            </w:r>
          </w:p>
        </w:tc>
      </w:tr>
      <w:tr w:rsidR="004546DA" w:rsidRPr="00FF1999" w14:paraId="6E1FC98E" w14:textId="77777777" w:rsidTr="004546DA">
        <w:trPr>
          <w:tblCellSpacing w:w="20" w:type="dxa"/>
          <w:jc w:val="center"/>
        </w:trPr>
        <w:tc>
          <w:tcPr>
            <w:tcW w:w="4015" w:type="pct"/>
          </w:tcPr>
          <w:p w14:paraId="6B80032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اولاً مفهوم سلامة المرضى</w:t>
            </w:r>
          </w:p>
        </w:tc>
        <w:tc>
          <w:tcPr>
            <w:tcW w:w="913" w:type="pct"/>
          </w:tcPr>
          <w:p w14:paraId="290634AE" w14:textId="63BE49D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52</w:t>
            </w:r>
          </w:p>
        </w:tc>
      </w:tr>
      <w:tr w:rsidR="004546DA" w:rsidRPr="00FF1999" w14:paraId="780BE451" w14:textId="77777777" w:rsidTr="004546DA">
        <w:trPr>
          <w:tblCellSpacing w:w="20" w:type="dxa"/>
          <w:jc w:val="center"/>
        </w:trPr>
        <w:tc>
          <w:tcPr>
            <w:tcW w:w="4015" w:type="pct"/>
          </w:tcPr>
          <w:p w14:paraId="54843E5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ثانياً نظريات سلامة المرضى</w:t>
            </w:r>
          </w:p>
        </w:tc>
        <w:tc>
          <w:tcPr>
            <w:tcW w:w="913" w:type="pct"/>
          </w:tcPr>
          <w:p w14:paraId="7057EC29" w14:textId="1622CFC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54</w:t>
            </w:r>
          </w:p>
        </w:tc>
      </w:tr>
      <w:tr w:rsidR="004546DA" w:rsidRPr="00FF1999" w14:paraId="1440558A" w14:textId="77777777" w:rsidTr="004546DA">
        <w:trPr>
          <w:tblCellSpacing w:w="20" w:type="dxa"/>
          <w:jc w:val="center"/>
        </w:trPr>
        <w:tc>
          <w:tcPr>
            <w:tcW w:w="4015" w:type="pct"/>
          </w:tcPr>
          <w:p w14:paraId="7B42E857"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ثالثاً أسباب الأخطاء الطبية</w:t>
            </w:r>
          </w:p>
        </w:tc>
        <w:tc>
          <w:tcPr>
            <w:tcW w:w="913" w:type="pct"/>
          </w:tcPr>
          <w:p w14:paraId="50D8479E" w14:textId="508A2B5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56</w:t>
            </w:r>
          </w:p>
        </w:tc>
      </w:tr>
      <w:tr w:rsidR="004546DA" w:rsidRPr="00FF1999" w14:paraId="311347B8" w14:textId="77777777" w:rsidTr="004546DA">
        <w:trPr>
          <w:tblCellSpacing w:w="20" w:type="dxa"/>
          <w:jc w:val="center"/>
        </w:trPr>
        <w:tc>
          <w:tcPr>
            <w:tcW w:w="4015" w:type="pct"/>
          </w:tcPr>
          <w:p w14:paraId="031E3A2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رابعاً جودة الرعاية الصحية</w:t>
            </w:r>
          </w:p>
        </w:tc>
        <w:tc>
          <w:tcPr>
            <w:tcW w:w="913" w:type="pct"/>
          </w:tcPr>
          <w:p w14:paraId="39A95AF5" w14:textId="5FAD497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58</w:t>
            </w:r>
          </w:p>
        </w:tc>
      </w:tr>
      <w:tr w:rsidR="004546DA" w:rsidRPr="00FF1999" w14:paraId="249FA36F" w14:textId="77777777" w:rsidTr="004546DA">
        <w:trPr>
          <w:tblCellSpacing w:w="20" w:type="dxa"/>
          <w:jc w:val="center"/>
        </w:trPr>
        <w:tc>
          <w:tcPr>
            <w:tcW w:w="4015" w:type="pct"/>
          </w:tcPr>
          <w:p w14:paraId="4BB318B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خامساً معايير سلامة المرضى</w:t>
            </w:r>
          </w:p>
        </w:tc>
        <w:tc>
          <w:tcPr>
            <w:tcW w:w="913" w:type="pct"/>
          </w:tcPr>
          <w:p w14:paraId="30C8DBA9" w14:textId="15E98360"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58</w:t>
            </w:r>
          </w:p>
        </w:tc>
      </w:tr>
      <w:tr w:rsidR="004546DA" w:rsidRPr="00FF1999" w14:paraId="0A2315A9" w14:textId="77777777" w:rsidTr="004546DA">
        <w:trPr>
          <w:tblCellSpacing w:w="20" w:type="dxa"/>
          <w:jc w:val="center"/>
        </w:trPr>
        <w:tc>
          <w:tcPr>
            <w:tcW w:w="4015" w:type="pct"/>
          </w:tcPr>
          <w:p w14:paraId="1B4DA647"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سادساً المبادئ الخمسة لسلامة المرضى</w:t>
            </w:r>
          </w:p>
        </w:tc>
        <w:tc>
          <w:tcPr>
            <w:tcW w:w="913" w:type="pct"/>
          </w:tcPr>
          <w:p w14:paraId="0CF0BA2D" w14:textId="3A61C57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60</w:t>
            </w:r>
          </w:p>
        </w:tc>
      </w:tr>
      <w:tr w:rsidR="004546DA" w:rsidRPr="00FF1999" w14:paraId="7FB4B70D" w14:textId="77777777" w:rsidTr="004546DA">
        <w:trPr>
          <w:tblCellSpacing w:w="20" w:type="dxa"/>
          <w:jc w:val="center"/>
        </w:trPr>
        <w:tc>
          <w:tcPr>
            <w:tcW w:w="4015" w:type="pct"/>
          </w:tcPr>
          <w:p w14:paraId="7F02A88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دراسات سابقة حول سلامة المرضى</w:t>
            </w:r>
          </w:p>
        </w:tc>
        <w:tc>
          <w:tcPr>
            <w:tcW w:w="913" w:type="pct"/>
          </w:tcPr>
          <w:p w14:paraId="2408C686" w14:textId="53E1BDB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62</w:t>
            </w:r>
          </w:p>
        </w:tc>
      </w:tr>
      <w:tr w:rsidR="004546DA" w:rsidRPr="00FF1999" w14:paraId="2D958C8F" w14:textId="77777777" w:rsidTr="004546DA">
        <w:trPr>
          <w:tblCellSpacing w:w="20" w:type="dxa"/>
          <w:jc w:val="center"/>
        </w:trPr>
        <w:tc>
          <w:tcPr>
            <w:tcW w:w="4015" w:type="pct"/>
          </w:tcPr>
          <w:p w14:paraId="52DF6CA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تعقيب عن الدرسات السابقة لسلامة المرضى</w:t>
            </w:r>
          </w:p>
        </w:tc>
        <w:tc>
          <w:tcPr>
            <w:tcW w:w="913" w:type="pct"/>
          </w:tcPr>
          <w:p w14:paraId="6058111E" w14:textId="16384B5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70</w:t>
            </w:r>
          </w:p>
        </w:tc>
      </w:tr>
      <w:tr w:rsidR="004546DA" w:rsidRPr="00FF1999" w14:paraId="4D7C02BE" w14:textId="77777777" w:rsidTr="004546DA">
        <w:trPr>
          <w:tblCellSpacing w:w="20" w:type="dxa"/>
          <w:jc w:val="center"/>
        </w:trPr>
        <w:tc>
          <w:tcPr>
            <w:tcW w:w="4015" w:type="pct"/>
          </w:tcPr>
          <w:p w14:paraId="5D3E099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أوجه الإستفادة من الدراسات السابقة لسلامة المرضى</w:t>
            </w:r>
          </w:p>
        </w:tc>
        <w:tc>
          <w:tcPr>
            <w:tcW w:w="913" w:type="pct"/>
          </w:tcPr>
          <w:p w14:paraId="3001BB52" w14:textId="08AECFA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70</w:t>
            </w:r>
          </w:p>
        </w:tc>
      </w:tr>
      <w:tr w:rsidR="004546DA" w:rsidRPr="00FF1999" w14:paraId="73A7F5C1" w14:textId="77777777" w:rsidTr="004546DA">
        <w:trPr>
          <w:tblCellSpacing w:w="20" w:type="dxa"/>
          <w:jc w:val="center"/>
        </w:trPr>
        <w:tc>
          <w:tcPr>
            <w:tcW w:w="4015" w:type="pct"/>
          </w:tcPr>
          <w:p w14:paraId="29821794"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المبحث الثالث القيادة التحويلية</w:t>
            </w:r>
          </w:p>
        </w:tc>
        <w:tc>
          <w:tcPr>
            <w:tcW w:w="913" w:type="pct"/>
          </w:tcPr>
          <w:p w14:paraId="7ECF5976" w14:textId="3560EFF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72</w:t>
            </w:r>
          </w:p>
        </w:tc>
      </w:tr>
      <w:tr w:rsidR="004546DA" w:rsidRPr="00FF1999" w14:paraId="188C6919" w14:textId="77777777" w:rsidTr="004546DA">
        <w:trPr>
          <w:tblCellSpacing w:w="20" w:type="dxa"/>
          <w:jc w:val="center"/>
        </w:trPr>
        <w:tc>
          <w:tcPr>
            <w:tcW w:w="4015" w:type="pct"/>
          </w:tcPr>
          <w:p w14:paraId="0D8BF0EA"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4CA607F7" w14:textId="62E3B13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72</w:t>
            </w:r>
          </w:p>
        </w:tc>
      </w:tr>
      <w:tr w:rsidR="004546DA" w:rsidRPr="00FF1999" w14:paraId="220987E0" w14:textId="77777777" w:rsidTr="004546DA">
        <w:trPr>
          <w:tblCellSpacing w:w="20" w:type="dxa"/>
          <w:jc w:val="center"/>
        </w:trPr>
        <w:tc>
          <w:tcPr>
            <w:tcW w:w="4015" w:type="pct"/>
          </w:tcPr>
          <w:p w14:paraId="5DA899C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أولاً مفهوم القيادة الحويلية</w:t>
            </w:r>
          </w:p>
        </w:tc>
        <w:tc>
          <w:tcPr>
            <w:tcW w:w="913" w:type="pct"/>
          </w:tcPr>
          <w:p w14:paraId="282156BE" w14:textId="5411C7C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72</w:t>
            </w:r>
          </w:p>
        </w:tc>
      </w:tr>
      <w:tr w:rsidR="004546DA" w:rsidRPr="00FF1999" w14:paraId="2FEB1F96" w14:textId="77777777" w:rsidTr="004546DA">
        <w:trPr>
          <w:tblCellSpacing w:w="20" w:type="dxa"/>
          <w:jc w:val="center"/>
        </w:trPr>
        <w:tc>
          <w:tcPr>
            <w:tcW w:w="4015" w:type="pct"/>
          </w:tcPr>
          <w:p w14:paraId="62AE4F7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ثانياً أهمية القيادة التحويلية</w:t>
            </w:r>
          </w:p>
        </w:tc>
        <w:tc>
          <w:tcPr>
            <w:tcW w:w="913" w:type="pct"/>
          </w:tcPr>
          <w:p w14:paraId="542BD083" w14:textId="4929AD0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73</w:t>
            </w:r>
          </w:p>
        </w:tc>
      </w:tr>
      <w:tr w:rsidR="004546DA" w:rsidRPr="00FF1999" w14:paraId="718CAB4A" w14:textId="77777777" w:rsidTr="004546DA">
        <w:trPr>
          <w:tblCellSpacing w:w="20" w:type="dxa"/>
          <w:jc w:val="center"/>
        </w:trPr>
        <w:tc>
          <w:tcPr>
            <w:tcW w:w="4015" w:type="pct"/>
          </w:tcPr>
          <w:p w14:paraId="6A2789D8"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ثالثاً أدوات القيادة التحويلية</w:t>
            </w:r>
          </w:p>
        </w:tc>
        <w:tc>
          <w:tcPr>
            <w:tcW w:w="913" w:type="pct"/>
          </w:tcPr>
          <w:p w14:paraId="09E000D5" w14:textId="5EDFC4E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73</w:t>
            </w:r>
          </w:p>
        </w:tc>
      </w:tr>
      <w:tr w:rsidR="004546DA" w:rsidRPr="00FF1999" w14:paraId="40046F89" w14:textId="77777777" w:rsidTr="004546DA">
        <w:trPr>
          <w:tblCellSpacing w:w="20" w:type="dxa"/>
          <w:jc w:val="center"/>
        </w:trPr>
        <w:tc>
          <w:tcPr>
            <w:tcW w:w="4015" w:type="pct"/>
          </w:tcPr>
          <w:p w14:paraId="3C9433C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رابعاً أنماط القيادة الحويلية</w:t>
            </w:r>
          </w:p>
        </w:tc>
        <w:tc>
          <w:tcPr>
            <w:tcW w:w="913" w:type="pct"/>
          </w:tcPr>
          <w:p w14:paraId="1C929FAD" w14:textId="49929AB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76</w:t>
            </w:r>
          </w:p>
        </w:tc>
      </w:tr>
      <w:tr w:rsidR="004546DA" w:rsidRPr="00FF1999" w14:paraId="5EDC1545" w14:textId="77777777" w:rsidTr="004546DA">
        <w:trPr>
          <w:tblCellSpacing w:w="20" w:type="dxa"/>
          <w:jc w:val="center"/>
        </w:trPr>
        <w:tc>
          <w:tcPr>
            <w:tcW w:w="4015" w:type="pct"/>
          </w:tcPr>
          <w:p w14:paraId="0537C3B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خامساً صفات القيادة التحويلية</w:t>
            </w:r>
          </w:p>
        </w:tc>
        <w:tc>
          <w:tcPr>
            <w:tcW w:w="913" w:type="pct"/>
          </w:tcPr>
          <w:p w14:paraId="475D3C38" w14:textId="1845C6BB"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77</w:t>
            </w:r>
          </w:p>
        </w:tc>
      </w:tr>
      <w:tr w:rsidR="004546DA" w:rsidRPr="00FF1999" w14:paraId="19498488" w14:textId="77777777" w:rsidTr="004546DA">
        <w:trPr>
          <w:tblCellSpacing w:w="20" w:type="dxa"/>
          <w:jc w:val="center"/>
        </w:trPr>
        <w:tc>
          <w:tcPr>
            <w:tcW w:w="4015" w:type="pct"/>
          </w:tcPr>
          <w:p w14:paraId="3C28EB9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سادساً أهمية القيادة التحويلية</w:t>
            </w:r>
          </w:p>
        </w:tc>
        <w:tc>
          <w:tcPr>
            <w:tcW w:w="913" w:type="pct"/>
          </w:tcPr>
          <w:p w14:paraId="08E37699" w14:textId="47E5B78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78</w:t>
            </w:r>
          </w:p>
        </w:tc>
      </w:tr>
      <w:tr w:rsidR="004546DA" w:rsidRPr="00FF1999" w14:paraId="1E004DB3" w14:textId="77777777" w:rsidTr="004546DA">
        <w:trPr>
          <w:tblCellSpacing w:w="20" w:type="dxa"/>
          <w:jc w:val="center"/>
        </w:trPr>
        <w:tc>
          <w:tcPr>
            <w:tcW w:w="4015" w:type="pct"/>
          </w:tcPr>
          <w:p w14:paraId="346E0AA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lastRenderedPageBreak/>
              <w:t>سابعاً مبادئ القيادة الحويلية</w:t>
            </w:r>
          </w:p>
        </w:tc>
        <w:tc>
          <w:tcPr>
            <w:tcW w:w="913" w:type="pct"/>
          </w:tcPr>
          <w:p w14:paraId="7C9C94AB" w14:textId="52BE3D0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78</w:t>
            </w:r>
          </w:p>
        </w:tc>
      </w:tr>
      <w:tr w:rsidR="004546DA" w:rsidRPr="00FF1999" w14:paraId="5938D5E0" w14:textId="77777777" w:rsidTr="004546DA">
        <w:trPr>
          <w:tblCellSpacing w:w="20" w:type="dxa"/>
          <w:jc w:val="center"/>
        </w:trPr>
        <w:tc>
          <w:tcPr>
            <w:tcW w:w="4015" w:type="pct"/>
          </w:tcPr>
          <w:p w14:paraId="0CB17CF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ثامناً خصائص القائد التحويلي</w:t>
            </w:r>
          </w:p>
        </w:tc>
        <w:tc>
          <w:tcPr>
            <w:tcW w:w="913" w:type="pct"/>
          </w:tcPr>
          <w:p w14:paraId="10138DEF" w14:textId="673771C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79</w:t>
            </w:r>
          </w:p>
        </w:tc>
      </w:tr>
      <w:tr w:rsidR="004546DA" w:rsidRPr="00FF1999" w14:paraId="446AD8B0" w14:textId="77777777" w:rsidTr="004546DA">
        <w:trPr>
          <w:tblCellSpacing w:w="20" w:type="dxa"/>
          <w:jc w:val="center"/>
        </w:trPr>
        <w:tc>
          <w:tcPr>
            <w:tcW w:w="4015" w:type="pct"/>
          </w:tcPr>
          <w:p w14:paraId="7471DA3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تاسعاً عوامل نجاح القيادة الحويلية</w:t>
            </w:r>
          </w:p>
        </w:tc>
        <w:tc>
          <w:tcPr>
            <w:tcW w:w="913" w:type="pct"/>
          </w:tcPr>
          <w:p w14:paraId="4ECDB378" w14:textId="5515E43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79</w:t>
            </w:r>
          </w:p>
        </w:tc>
      </w:tr>
      <w:tr w:rsidR="004546DA" w:rsidRPr="00FF1999" w14:paraId="670F97A1" w14:textId="77777777" w:rsidTr="004546DA">
        <w:trPr>
          <w:tblCellSpacing w:w="20" w:type="dxa"/>
          <w:jc w:val="center"/>
        </w:trPr>
        <w:tc>
          <w:tcPr>
            <w:tcW w:w="4015" w:type="pct"/>
          </w:tcPr>
          <w:p w14:paraId="5207A67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الدراسات السابقة حول القيادة التحويلية</w:t>
            </w:r>
          </w:p>
        </w:tc>
        <w:tc>
          <w:tcPr>
            <w:tcW w:w="913" w:type="pct"/>
          </w:tcPr>
          <w:p w14:paraId="0A89E47F" w14:textId="43E21AC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81</w:t>
            </w:r>
          </w:p>
        </w:tc>
      </w:tr>
      <w:tr w:rsidR="004546DA" w:rsidRPr="00FF1999" w14:paraId="1CFA375D" w14:textId="77777777" w:rsidTr="004546DA">
        <w:trPr>
          <w:tblCellSpacing w:w="20" w:type="dxa"/>
          <w:jc w:val="center"/>
        </w:trPr>
        <w:tc>
          <w:tcPr>
            <w:tcW w:w="4015" w:type="pct"/>
          </w:tcPr>
          <w:p w14:paraId="5C38DDD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تعقيب على الدراسات السابقة للقيادة الحويلية</w:t>
            </w:r>
          </w:p>
        </w:tc>
        <w:tc>
          <w:tcPr>
            <w:tcW w:w="913" w:type="pct"/>
          </w:tcPr>
          <w:p w14:paraId="0CA47A73" w14:textId="54293E1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88</w:t>
            </w:r>
          </w:p>
        </w:tc>
      </w:tr>
      <w:tr w:rsidR="004546DA" w:rsidRPr="00FF1999" w14:paraId="0B44EF1C" w14:textId="77777777" w:rsidTr="004546DA">
        <w:trPr>
          <w:tblCellSpacing w:w="20" w:type="dxa"/>
          <w:jc w:val="center"/>
        </w:trPr>
        <w:tc>
          <w:tcPr>
            <w:tcW w:w="4015" w:type="pct"/>
          </w:tcPr>
          <w:p w14:paraId="462ABD5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أوجه الإستفادة من الدراسات السابقة للقيادة التحويلية</w:t>
            </w:r>
          </w:p>
        </w:tc>
        <w:tc>
          <w:tcPr>
            <w:tcW w:w="913" w:type="pct"/>
          </w:tcPr>
          <w:p w14:paraId="70AF2C57" w14:textId="4D4012B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89</w:t>
            </w:r>
          </w:p>
        </w:tc>
      </w:tr>
      <w:tr w:rsidR="004546DA" w:rsidRPr="00FF1999" w14:paraId="115A235C" w14:textId="77777777" w:rsidTr="004546DA">
        <w:trPr>
          <w:tblCellSpacing w:w="20" w:type="dxa"/>
          <w:jc w:val="center"/>
        </w:trPr>
        <w:tc>
          <w:tcPr>
            <w:tcW w:w="4015" w:type="pct"/>
          </w:tcPr>
          <w:p w14:paraId="6E95AF0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دراسات سابقة تجمع الثلاث متغيرات ( إدارة المخاطر- سلامة المرضى- القيادة التحويلية)</w:t>
            </w:r>
          </w:p>
        </w:tc>
        <w:tc>
          <w:tcPr>
            <w:tcW w:w="913" w:type="pct"/>
          </w:tcPr>
          <w:p w14:paraId="7F699A87" w14:textId="2E1A8A7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95</w:t>
            </w:r>
          </w:p>
        </w:tc>
      </w:tr>
      <w:tr w:rsidR="004546DA" w:rsidRPr="00FF1999" w14:paraId="1A2364F5" w14:textId="77777777" w:rsidTr="004546DA">
        <w:trPr>
          <w:tblCellSpacing w:w="20" w:type="dxa"/>
          <w:jc w:val="center"/>
        </w:trPr>
        <w:tc>
          <w:tcPr>
            <w:tcW w:w="4015" w:type="pct"/>
          </w:tcPr>
          <w:p w14:paraId="4A0B2CB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خلاصة</w:t>
            </w:r>
          </w:p>
        </w:tc>
        <w:tc>
          <w:tcPr>
            <w:tcW w:w="913" w:type="pct"/>
          </w:tcPr>
          <w:p w14:paraId="29BEDCA5" w14:textId="4B3FA3F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96</w:t>
            </w:r>
          </w:p>
        </w:tc>
      </w:tr>
      <w:tr w:rsidR="004546DA" w:rsidRPr="00FF1999" w14:paraId="29D2D1EB" w14:textId="77777777" w:rsidTr="004546DA">
        <w:trPr>
          <w:tblCellSpacing w:w="20" w:type="dxa"/>
          <w:jc w:val="center"/>
        </w:trPr>
        <w:tc>
          <w:tcPr>
            <w:tcW w:w="4015" w:type="pct"/>
          </w:tcPr>
          <w:p w14:paraId="5AE4DBA0"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الثالث</w:t>
            </w:r>
          </w:p>
        </w:tc>
        <w:tc>
          <w:tcPr>
            <w:tcW w:w="913" w:type="pct"/>
          </w:tcPr>
          <w:p w14:paraId="18CA740D" w14:textId="6383252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lang w:bidi="ar-EG"/>
              </w:rPr>
              <w:t>97</w:t>
            </w:r>
          </w:p>
        </w:tc>
      </w:tr>
      <w:tr w:rsidR="004546DA" w:rsidRPr="00FF1999" w14:paraId="35004B7B" w14:textId="77777777" w:rsidTr="004546DA">
        <w:trPr>
          <w:tblCellSpacing w:w="20" w:type="dxa"/>
          <w:jc w:val="center"/>
        </w:trPr>
        <w:tc>
          <w:tcPr>
            <w:tcW w:w="4015" w:type="pct"/>
          </w:tcPr>
          <w:p w14:paraId="17CBEAE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04FE90A9" w14:textId="3935603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98</w:t>
            </w:r>
          </w:p>
        </w:tc>
      </w:tr>
      <w:tr w:rsidR="004546DA" w:rsidRPr="00FF1999" w14:paraId="3B8A8723" w14:textId="77777777" w:rsidTr="004546DA">
        <w:trPr>
          <w:tblCellSpacing w:w="20" w:type="dxa"/>
          <w:jc w:val="center"/>
        </w:trPr>
        <w:tc>
          <w:tcPr>
            <w:tcW w:w="4015" w:type="pct"/>
          </w:tcPr>
          <w:p w14:paraId="675C8E57"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منهجية الدراسة</w:t>
            </w:r>
          </w:p>
        </w:tc>
        <w:tc>
          <w:tcPr>
            <w:tcW w:w="913" w:type="pct"/>
          </w:tcPr>
          <w:p w14:paraId="64CD8595" w14:textId="4FB94BB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lang w:bidi="ar-EG"/>
              </w:rPr>
              <w:t>98</w:t>
            </w:r>
          </w:p>
        </w:tc>
      </w:tr>
      <w:tr w:rsidR="004546DA" w:rsidRPr="00FF1999" w14:paraId="60F99C8B" w14:textId="77777777" w:rsidTr="004546DA">
        <w:trPr>
          <w:tblCellSpacing w:w="20" w:type="dxa"/>
          <w:jc w:val="center"/>
        </w:trPr>
        <w:tc>
          <w:tcPr>
            <w:tcW w:w="4015" w:type="pct"/>
          </w:tcPr>
          <w:p w14:paraId="4C6F13A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مجتمع الدراسة</w:t>
            </w:r>
          </w:p>
        </w:tc>
        <w:tc>
          <w:tcPr>
            <w:tcW w:w="913" w:type="pct"/>
          </w:tcPr>
          <w:p w14:paraId="5C526BAC" w14:textId="129B741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98</w:t>
            </w:r>
          </w:p>
        </w:tc>
      </w:tr>
      <w:tr w:rsidR="004546DA" w:rsidRPr="00FF1999" w14:paraId="0230BF4E" w14:textId="77777777" w:rsidTr="004546DA">
        <w:trPr>
          <w:tblCellSpacing w:w="20" w:type="dxa"/>
          <w:jc w:val="center"/>
        </w:trPr>
        <w:tc>
          <w:tcPr>
            <w:tcW w:w="4015" w:type="pct"/>
          </w:tcPr>
          <w:p w14:paraId="62F7726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عينة الدراسة</w:t>
            </w:r>
          </w:p>
        </w:tc>
        <w:tc>
          <w:tcPr>
            <w:tcW w:w="913" w:type="pct"/>
          </w:tcPr>
          <w:p w14:paraId="49EC1D66" w14:textId="70C2704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98</w:t>
            </w:r>
          </w:p>
        </w:tc>
      </w:tr>
      <w:tr w:rsidR="004546DA" w:rsidRPr="00FF1999" w14:paraId="275FBA98" w14:textId="77777777" w:rsidTr="004546DA">
        <w:trPr>
          <w:tblCellSpacing w:w="20" w:type="dxa"/>
          <w:jc w:val="center"/>
        </w:trPr>
        <w:tc>
          <w:tcPr>
            <w:tcW w:w="4015" w:type="pct"/>
          </w:tcPr>
          <w:p w14:paraId="2327C05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أداة الدراسة</w:t>
            </w:r>
          </w:p>
        </w:tc>
        <w:tc>
          <w:tcPr>
            <w:tcW w:w="913" w:type="pct"/>
          </w:tcPr>
          <w:p w14:paraId="470BB65C" w14:textId="6E5B05C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100</w:t>
            </w:r>
          </w:p>
        </w:tc>
      </w:tr>
      <w:tr w:rsidR="004546DA" w:rsidRPr="00FF1999" w14:paraId="32B977DD" w14:textId="77777777" w:rsidTr="004546DA">
        <w:trPr>
          <w:tblCellSpacing w:w="20" w:type="dxa"/>
          <w:jc w:val="center"/>
        </w:trPr>
        <w:tc>
          <w:tcPr>
            <w:tcW w:w="4015" w:type="pct"/>
          </w:tcPr>
          <w:p w14:paraId="1E86248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الأساليب الإحصائية</w:t>
            </w:r>
          </w:p>
        </w:tc>
        <w:tc>
          <w:tcPr>
            <w:tcW w:w="913" w:type="pct"/>
          </w:tcPr>
          <w:p w14:paraId="1B33F136" w14:textId="34FA5C6B"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104</w:t>
            </w:r>
          </w:p>
        </w:tc>
      </w:tr>
      <w:tr w:rsidR="004546DA" w:rsidRPr="00FF1999" w14:paraId="52CB8A0B" w14:textId="77777777" w:rsidTr="004546DA">
        <w:trPr>
          <w:tblCellSpacing w:w="20" w:type="dxa"/>
          <w:jc w:val="center"/>
        </w:trPr>
        <w:tc>
          <w:tcPr>
            <w:tcW w:w="4015" w:type="pct"/>
          </w:tcPr>
          <w:p w14:paraId="10382B8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التحليل الوصفي لأداة الدراسة</w:t>
            </w:r>
          </w:p>
        </w:tc>
        <w:tc>
          <w:tcPr>
            <w:tcW w:w="913" w:type="pct"/>
          </w:tcPr>
          <w:p w14:paraId="55EBD15C" w14:textId="03B851B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105</w:t>
            </w:r>
          </w:p>
        </w:tc>
      </w:tr>
      <w:tr w:rsidR="004546DA" w:rsidRPr="00FF1999" w14:paraId="76566413" w14:textId="77777777" w:rsidTr="004546DA">
        <w:trPr>
          <w:tblCellSpacing w:w="20" w:type="dxa"/>
          <w:jc w:val="center"/>
        </w:trPr>
        <w:tc>
          <w:tcPr>
            <w:tcW w:w="4015" w:type="pct"/>
          </w:tcPr>
          <w:p w14:paraId="657B96B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الخصائص السيكومترية لأداة الدراسة</w:t>
            </w:r>
          </w:p>
        </w:tc>
        <w:tc>
          <w:tcPr>
            <w:tcW w:w="913" w:type="pct"/>
          </w:tcPr>
          <w:p w14:paraId="5152F38E" w14:textId="5123689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109</w:t>
            </w:r>
          </w:p>
        </w:tc>
      </w:tr>
      <w:tr w:rsidR="004546DA" w:rsidRPr="00FF1999" w14:paraId="15FF420C" w14:textId="77777777" w:rsidTr="004546DA">
        <w:trPr>
          <w:tblCellSpacing w:w="20" w:type="dxa"/>
          <w:jc w:val="center"/>
        </w:trPr>
        <w:tc>
          <w:tcPr>
            <w:tcW w:w="4015" w:type="pct"/>
          </w:tcPr>
          <w:p w14:paraId="6B4A36C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خلاصة</w:t>
            </w:r>
          </w:p>
        </w:tc>
        <w:tc>
          <w:tcPr>
            <w:tcW w:w="913" w:type="pct"/>
          </w:tcPr>
          <w:p w14:paraId="192405CD" w14:textId="5671436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114</w:t>
            </w:r>
          </w:p>
        </w:tc>
      </w:tr>
      <w:tr w:rsidR="004546DA" w:rsidRPr="00FF1999" w14:paraId="2C559236" w14:textId="77777777" w:rsidTr="004546DA">
        <w:trPr>
          <w:tblCellSpacing w:w="20" w:type="dxa"/>
          <w:jc w:val="center"/>
        </w:trPr>
        <w:tc>
          <w:tcPr>
            <w:tcW w:w="4015" w:type="pct"/>
          </w:tcPr>
          <w:p w14:paraId="7C957F27"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الرابع</w:t>
            </w:r>
          </w:p>
        </w:tc>
        <w:tc>
          <w:tcPr>
            <w:tcW w:w="913" w:type="pct"/>
          </w:tcPr>
          <w:p w14:paraId="0E3BEF3C" w14:textId="52337D4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115</w:t>
            </w:r>
          </w:p>
        </w:tc>
      </w:tr>
      <w:tr w:rsidR="004546DA" w:rsidRPr="00FF1999" w14:paraId="3653C6AF" w14:textId="77777777" w:rsidTr="004546DA">
        <w:trPr>
          <w:tblCellSpacing w:w="20" w:type="dxa"/>
          <w:jc w:val="center"/>
        </w:trPr>
        <w:tc>
          <w:tcPr>
            <w:tcW w:w="4015" w:type="pct"/>
          </w:tcPr>
          <w:p w14:paraId="69D6EB0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7504057F" w14:textId="1C59720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116</w:t>
            </w:r>
          </w:p>
        </w:tc>
      </w:tr>
      <w:tr w:rsidR="004546DA" w:rsidRPr="00FF1999" w14:paraId="45A44398" w14:textId="77777777" w:rsidTr="004546DA">
        <w:trPr>
          <w:tblCellSpacing w:w="20" w:type="dxa"/>
          <w:jc w:val="center"/>
        </w:trPr>
        <w:tc>
          <w:tcPr>
            <w:tcW w:w="4015" w:type="pct"/>
          </w:tcPr>
          <w:p w14:paraId="46F9F0A1"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اختبار فرضيات الدراسة</w:t>
            </w:r>
          </w:p>
        </w:tc>
        <w:tc>
          <w:tcPr>
            <w:tcW w:w="913" w:type="pct"/>
          </w:tcPr>
          <w:p w14:paraId="7D912E25" w14:textId="2E78EFC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116</w:t>
            </w:r>
          </w:p>
        </w:tc>
      </w:tr>
      <w:tr w:rsidR="004546DA" w:rsidRPr="00FF1999" w14:paraId="20B0FAFD" w14:textId="77777777" w:rsidTr="004546DA">
        <w:trPr>
          <w:tblCellSpacing w:w="20" w:type="dxa"/>
          <w:jc w:val="center"/>
        </w:trPr>
        <w:tc>
          <w:tcPr>
            <w:tcW w:w="4015" w:type="pct"/>
          </w:tcPr>
          <w:p w14:paraId="49C1E55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الأول</w:t>
            </w:r>
          </w:p>
        </w:tc>
        <w:tc>
          <w:tcPr>
            <w:tcW w:w="913" w:type="pct"/>
          </w:tcPr>
          <w:p w14:paraId="2E878974" w14:textId="70929E3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116</w:t>
            </w:r>
          </w:p>
        </w:tc>
      </w:tr>
      <w:tr w:rsidR="004546DA" w:rsidRPr="00FF1999" w14:paraId="4D6E4848" w14:textId="77777777" w:rsidTr="004546DA">
        <w:trPr>
          <w:tblCellSpacing w:w="20" w:type="dxa"/>
          <w:jc w:val="center"/>
        </w:trPr>
        <w:tc>
          <w:tcPr>
            <w:tcW w:w="4015" w:type="pct"/>
          </w:tcPr>
          <w:p w14:paraId="4099793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الثاني</w:t>
            </w:r>
          </w:p>
        </w:tc>
        <w:tc>
          <w:tcPr>
            <w:tcW w:w="913" w:type="pct"/>
          </w:tcPr>
          <w:p w14:paraId="5ACB89B2" w14:textId="43CBD14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117</w:t>
            </w:r>
          </w:p>
        </w:tc>
      </w:tr>
      <w:tr w:rsidR="004546DA" w:rsidRPr="00FF1999" w14:paraId="3DD30467" w14:textId="77777777" w:rsidTr="004546DA">
        <w:trPr>
          <w:tblCellSpacing w:w="20" w:type="dxa"/>
          <w:jc w:val="center"/>
        </w:trPr>
        <w:tc>
          <w:tcPr>
            <w:tcW w:w="4015" w:type="pct"/>
          </w:tcPr>
          <w:p w14:paraId="1AD7CB1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الثالث</w:t>
            </w:r>
          </w:p>
        </w:tc>
        <w:tc>
          <w:tcPr>
            <w:tcW w:w="913" w:type="pct"/>
          </w:tcPr>
          <w:p w14:paraId="639748DC" w14:textId="7D27BCC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118</w:t>
            </w:r>
          </w:p>
        </w:tc>
      </w:tr>
      <w:tr w:rsidR="004546DA" w:rsidRPr="00FF1999" w14:paraId="3279F134" w14:textId="77777777" w:rsidTr="004546DA">
        <w:trPr>
          <w:tblCellSpacing w:w="20" w:type="dxa"/>
          <w:jc w:val="center"/>
        </w:trPr>
        <w:tc>
          <w:tcPr>
            <w:tcW w:w="4015" w:type="pct"/>
          </w:tcPr>
          <w:p w14:paraId="635CAD2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الرابع</w:t>
            </w:r>
          </w:p>
        </w:tc>
        <w:tc>
          <w:tcPr>
            <w:tcW w:w="913" w:type="pct"/>
          </w:tcPr>
          <w:p w14:paraId="756B5A73" w14:textId="7882C68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118</w:t>
            </w:r>
          </w:p>
        </w:tc>
      </w:tr>
      <w:tr w:rsidR="003C6694" w:rsidRPr="00FF1999" w14:paraId="7F1D0BEE" w14:textId="77777777" w:rsidTr="004546DA">
        <w:trPr>
          <w:tblCellSpacing w:w="20" w:type="dxa"/>
          <w:jc w:val="center"/>
        </w:trPr>
        <w:tc>
          <w:tcPr>
            <w:tcW w:w="4015" w:type="pct"/>
          </w:tcPr>
          <w:p w14:paraId="3EB2D3F4" w14:textId="4D274492"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الفرعي الأول</w:t>
            </w:r>
          </w:p>
        </w:tc>
        <w:tc>
          <w:tcPr>
            <w:tcW w:w="913" w:type="pct"/>
          </w:tcPr>
          <w:p w14:paraId="6D7A124D" w14:textId="170D9B7B"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119</w:t>
            </w:r>
          </w:p>
        </w:tc>
      </w:tr>
      <w:tr w:rsidR="003C6694" w:rsidRPr="00FF1999" w14:paraId="77AB1686" w14:textId="77777777" w:rsidTr="004546DA">
        <w:trPr>
          <w:tblCellSpacing w:w="20" w:type="dxa"/>
          <w:jc w:val="center"/>
        </w:trPr>
        <w:tc>
          <w:tcPr>
            <w:tcW w:w="4015" w:type="pct"/>
          </w:tcPr>
          <w:p w14:paraId="4A179BF0" w14:textId="33059505"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lastRenderedPageBreak/>
              <w:t>الفرض الفرعي الثاني</w:t>
            </w:r>
          </w:p>
        </w:tc>
        <w:tc>
          <w:tcPr>
            <w:tcW w:w="913" w:type="pct"/>
          </w:tcPr>
          <w:p w14:paraId="06C611F2" w14:textId="7D651D18"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120</w:t>
            </w:r>
          </w:p>
        </w:tc>
      </w:tr>
      <w:tr w:rsidR="003C6694" w:rsidRPr="00FF1999" w14:paraId="152A75FD" w14:textId="77777777" w:rsidTr="004546DA">
        <w:trPr>
          <w:tblCellSpacing w:w="20" w:type="dxa"/>
          <w:jc w:val="center"/>
        </w:trPr>
        <w:tc>
          <w:tcPr>
            <w:tcW w:w="4015" w:type="pct"/>
          </w:tcPr>
          <w:p w14:paraId="2D3BFBFD" w14:textId="7BB04139"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الفرعي الثالث</w:t>
            </w:r>
          </w:p>
        </w:tc>
        <w:tc>
          <w:tcPr>
            <w:tcW w:w="913" w:type="pct"/>
          </w:tcPr>
          <w:p w14:paraId="713EE6D5" w14:textId="49A6D061"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121</w:t>
            </w:r>
          </w:p>
        </w:tc>
      </w:tr>
      <w:tr w:rsidR="003C6694" w:rsidRPr="00FF1999" w14:paraId="7598FA9B" w14:textId="77777777" w:rsidTr="004546DA">
        <w:trPr>
          <w:tblCellSpacing w:w="20" w:type="dxa"/>
          <w:jc w:val="center"/>
        </w:trPr>
        <w:tc>
          <w:tcPr>
            <w:tcW w:w="4015" w:type="pct"/>
          </w:tcPr>
          <w:p w14:paraId="3D43F19E" w14:textId="6A92BC8E"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الفرعي الرابع</w:t>
            </w:r>
          </w:p>
        </w:tc>
        <w:tc>
          <w:tcPr>
            <w:tcW w:w="913" w:type="pct"/>
          </w:tcPr>
          <w:p w14:paraId="729913C9" w14:textId="069B408C"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123</w:t>
            </w:r>
          </w:p>
        </w:tc>
      </w:tr>
      <w:tr w:rsidR="004546DA" w:rsidRPr="00FF1999" w14:paraId="68BA4600" w14:textId="77777777" w:rsidTr="004546DA">
        <w:trPr>
          <w:tblCellSpacing w:w="20" w:type="dxa"/>
          <w:jc w:val="center"/>
        </w:trPr>
        <w:tc>
          <w:tcPr>
            <w:tcW w:w="4015" w:type="pct"/>
          </w:tcPr>
          <w:p w14:paraId="0B27227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الخامس</w:t>
            </w:r>
          </w:p>
        </w:tc>
        <w:tc>
          <w:tcPr>
            <w:tcW w:w="913" w:type="pct"/>
          </w:tcPr>
          <w:p w14:paraId="77613EFC" w14:textId="4C083DE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119</w:t>
            </w:r>
          </w:p>
        </w:tc>
      </w:tr>
      <w:tr w:rsidR="004546DA" w:rsidRPr="00FF1999" w14:paraId="7E0D6C19" w14:textId="77777777" w:rsidTr="004546DA">
        <w:trPr>
          <w:tblCellSpacing w:w="20" w:type="dxa"/>
          <w:jc w:val="center"/>
        </w:trPr>
        <w:tc>
          <w:tcPr>
            <w:tcW w:w="4015" w:type="pct"/>
          </w:tcPr>
          <w:p w14:paraId="4D1C62F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خلاصة</w:t>
            </w:r>
          </w:p>
        </w:tc>
        <w:tc>
          <w:tcPr>
            <w:tcW w:w="913" w:type="pct"/>
          </w:tcPr>
          <w:p w14:paraId="550D65F6" w14:textId="733ACA2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124</w:t>
            </w:r>
          </w:p>
        </w:tc>
      </w:tr>
      <w:tr w:rsidR="004546DA" w:rsidRPr="00FF1999" w14:paraId="510EB6EB" w14:textId="77777777" w:rsidTr="004546DA">
        <w:trPr>
          <w:tblCellSpacing w:w="20" w:type="dxa"/>
          <w:jc w:val="center"/>
        </w:trPr>
        <w:tc>
          <w:tcPr>
            <w:tcW w:w="4015" w:type="pct"/>
          </w:tcPr>
          <w:p w14:paraId="63F90433"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الخامس</w:t>
            </w:r>
          </w:p>
        </w:tc>
        <w:tc>
          <w:tcPr>
            <w:tcW w:w="913" w:type="pct"/>
          </w:tcPr>
          <w:p w14:paraId="632301F3" w14:textId="4F3866EF" w:rsidR="004546DA" w:rsidRPr="00FF1999" w:rsidRDefault="00441C99"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129</w:t>
            </w:r>
          </w:p>
        </w:tc>
      </w:tr>
      <w:tr w:rsidR="004546DA" w:rsidRPr="00FF1999" w14:paraId="4CCEFC31" w14:textId="77777777" w:rsidTr="004546DA">
        <w:trPr>
          <w:tblCellSpacing w:w="20" w:type="dxa"/>
          <w:jc w:val="center"/>
        </w:trPr>
        <w:tc>
          <w:tcPr>
            <w:tcW w:w="4015" w:type="pct"/>
          </w:tcPr>
          <w:p w14:paraId="3C8C47F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6CB0919C" w14:textId="5CA202D4"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130</w:t>
            </w:r>
          </w:p>
        </w:tc>
      </w:tr>
      <w:tr w:rsidR="004546DA" w:rsidRPr="00FF1999" w14:paraId="6C9BFB03" w14:textId="77777777" w:rsidTr="004546DA">
        <w:trPr>
          <w:tblCellSpacing w:w="20" w:type="dxa"/>
          <w:jc w:val="center"/>
        </w:trPr>
        <w:tc>
          <w:tcPr>
            <w:tcW w:w="4015" w:type="pct"/>
          </w:tcPr>
          <w:p w14:paraId="3BADBAA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تفسير ومناقشة النتائج</w:t>
            </w:r>
          </w:p>
        </w:tc>
        <w:tc>
          <w:tcPr>
            <w:tcW w:w="913" w:type="pct"/>
          </w:tcPr>
          <w:p w14:paraId="12DE136D" w14:textId="55F8F6CB" w:rsidR="004546DA" w:rsidRPr="00FF1999" w:rsidRDefault="00441C99"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130</w:t>
            </w:r>
          </w:p>
        </w:tc>
      </w:tr>
      <w:tr w:rsidR="004546DA" w:rsidRPr="00FF1999" w14:paraId="6DF68193" w14:textId="77777777" w:rsidTr="004546DA">
        <w:trPr>
          <w:tblCellSpacing w:w="20" w:type="dxa"/>
          <w:jc w:val="center"/>
        </w:trPr>
        <w:tc>
          <w:tcPr>
            <w:tcW w:w="4015" w:type="pct"/>
          </w:tcPr>
          <w:p w14:paraId="36F987B2" w14:textId="700BB4E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الأول</w:t>
            </w:r>
          </w:p>
        </w:tc>
        <w:tc>
          <w:tcPr>
            <w:tcW w:w="913" w:type="pct"/>
          </w:tcPr>
          <w:p w14:paraId="1DD776D5" w14:textId="014E4872"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130</w:t>
            </w:r>
          </w:p>
        </w:tc>
      </w:tr>
      <w:tr w:rsidR="004546DA" w:rsidRPr="00FF1999" w14:paraId="09D46087" w14:textId="77777777" w:rsidTr="004546DA">
        <w:trPr>
          <w:tblCellSpacing w:w="20" w:type="dxa"/>
          <w:jc w:val="center"/>
        </w:trPr>
        <w:tc>
          <w:tcPr>
            <w:tcW w:w="4015" w:type="pct"/>
          </w:tcPr>
          <w:p w14:paraId="24D5C716" w14:textId="2C62865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الثان</w:t>
            </w:r>
            <w:r w:rsidR="00441C99">
              <w:rPr>
                <w:rFonts w:ascii="Traditional Arabic" w:eastAsia="Times New Roman" w:hAnsi="Traditional Arabic" w:cs="Traditional Arabic" w:hint="cs"/>
                <w:color w:val="1C1C1C"/>
                <w:sz w:val="24"/>
                <w:szCs w:val="24"/>
                <w:rtl/>
              </w:rPr>
              <w:t>ي</w:t>
            </w:r>
          </w:p>
        </w:tc>
        <w:tc>
          <w:tcPr>
            <w:tcW w:w="913" w:type="pct"/>
          </w:tcPr>
          <w:p w14:paraId="38435303" w14:textId="1F029E1B"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131</w:t>
            </w:r>
          </w:p>
        </w:tc>
      </w:tr>
      <w:tr w:rsidR="004546DA" w:rsidRPr="00FF1999" w14:paraId="60DA4ABB" w14:textId="77777777" w:rsidTr="004546DA">
        <w:trPr>
          <w:tblCellSpacing w:w="20" w:type="dxa"/>
          <w:jc w:val="center"/>
        </w:trPr>
        <w:tc>
          <w:tcPr>
            <w:tcW w:w="4015" w:type="pct"/>
          </w:tcPr>
          <w:p w14:paraId="3387C4A1" w14:textId="0ADD3A8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الثالث</w:t>
            </w:r>
          </w:p>
        </w:tc>
        <w:tc>
          <w:tcPr>
            <w:tcW w:w="913" w:type="pct"/>
          </w:tcPr>
          <w:p w14:paraId="7A8F270E" w14:textId="0536A418"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132</w:t>
            </w:r>
          </w:p>
        </w:tc>
      </w:tr>
      <w:tr w:rsidR="004546DA" w:rsidRPr="00FF1999" w14:paraId="0AB1BC61" w14:textId="77777777" w:rsidTr="004546DA">
        <w:trPr>
          <w:tblCellSpacing w:w="20" w:type="dxa"/>
          <w:jc w:val="center"/>
        </w:trPr>
        <w:tc>
          <w:tcPr>
            <w:tcW w:w="4015" w:type="pct"/>
          </w:tcPr>
          <w:p w14:paraId="0EAE2099" w14:textId="77777777" w:rsidR="004546DA"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الرابع</w:t>
            </w:r>
          </w:p>
          <w:p w14:paraId="3171D182" w14:textId="2FAB456D" w:rsidR="00441C99" w:rsidRPr="00FF1999" w:rsidRDefault="00441C99" w:rsidP="00441C99">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والفروض الفرعية</w:t>
            </w:r>
          </w:p>
        </w:tc>
        <w:tc>
          <w:tcPr>
            <w:tcW w:w="913" w:type="pct"/>
          </w:tcPr>
          <w:p w14:paraId="767F3F71" w14:textId="58CCAA29"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133</w:t>
            </w:r>
          </w:p>
        </w:tc>
      </w:tr>
      <w:tr w:rsidR="004546DA" w:rsidRPr="00FF1999" w14:paraId="7AB70D8D" w14:textId="77777777" w:rsidTr="004546DA">
        <w:trPr>
          <w:tblCellSpacing w:w="20" w:type="dxa"/>
          <w:jc w:val="center"/>
        </w:trPr>
        <w:tc>
          <w:tcPr>
            <w:tcW w:w="4015" w:type="pct"/>
          </w:tcPr>
          <w:p w14:paraId="5F947F1F" w14:textId="52A47E0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الخامس</w:t>
            </w:r>
          </w:p>
        </w:tc>
        <w:tc>
          <w:tcPr>
            <w:tcW w:w="913" w:type="pct"/>
          </w:tcPr>
          <w:p w14:paraId="5EDDB6B4" w14:textId="3FA1415B"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135</w:t>
            </w:r>
          </w:p>
        </w:tc>
      </w:tr>
      <w:tr w:rsidR="004546DA" w:rsidRPr="00FF1999" w14:paraId="1E857667" w14:textId="77777777" w:rsidTr="004546DA">
        <w:trPr>
          <w:tblCellSpacing w:w="20" w:type="dxa"/>
          <w:jc w:val="center"/>
        </w:trPr>
        <w:tc>
          <w:tcPr>
            <w:tcW w:w="4015" w:type="pct"/>
          </w:tcPr>
          <w:p w14:paraId="5B8FC538"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توصيات الدراسة</w:t>
            </w:r>
          </w:p>
        </w:tc>
        <w:tc>
          <w:tcPr>
            <w:tcW w:w="913" w:type="pct"/>
          </w:tcPr>
          <w:p w14:paraId="358DDDDF" w14:textId="7AAE2909"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138</w:t>
            </w:r>
          </w:p>
        </w:tc>
      </w:tr>
      <w:tr w:rsidR="004546DA" w:rsidRPr="00FF1999" w14:paraId="5FFB4164" w14:textId="77777777" w:rsidTr="004546DA">
        <w:trPr>
          <w:tblCellSpacing w:w="20" w:type="dxa"/>
          <w:jc w:val="center"/>
        </w:trPr>
        <w:tc>
          <w:tcPr>
            <w:tcW w:w="4015" w:type="pct"/>
          </w:tcPr>
          <w:p w14:paraId="011BFE5A"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الدراسات المقترحة</w:t>
            </w:r>
          </w:p>
        </w:tc>
        <w:tc>
          <w:tcPr>
            <w:tcW w:w="913" w:type="pct"/>
          </w:tcPr>
          <w:p w14:paraId="29F96743" w14:textId="45F62EB4"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140</w:t>
            </w:r>
          </w:p>
        </w:tc>
      </w:tr>
      <w:tr w:rsidR="004546DA" w:rsidRPr="00FF1999" w14:paraId="37392079" w14:textId="77777777" w:rsidTr="004546DA">
        <w:trPr>
          <w:tblCellSpacing w:w="20" w:type="dxa"/>
          <w:jc w:val="center"/>
        </w:trPr>
        <w:tc>
          <w:tcPr>
            <w:tcW w:w="4015" w:type="pct"/>
          </w:tcPr>
          <w:p w14:paraId="45088CAE"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ملخص الدرسة</w:t>
            </w:r>
          </w:p>
        </w:tc>
        <w:tc>
          <w:tcPr>
            <w:tcW w:w="913" w:type="pct"/>
          </w:tcPr>
          <w:p w14:paraId="7409CE38" w14:textId="34167B8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145</w:t>
            </w:r>
          </w:p>
        </w:tc>
      </w:tr>
      <w:tr w:rsidR="004546DA" w:rsidRPr="00FF1999" w14:paraId="63F623A9" w14:textId="77777777" w:rsidTr="004546DA">
        <w:trPr>
          <w:tblCellSpacing w:w="20" w:type="dxa"/>
          <w:jc w:val="center"/>
        </w:trPr>
        <w:tc>
          <w:tcPr>
            <w:tcW w:w="4015" w:type="pct"/>
          </w:tcPr>
          <w:p w14:paraId="259F8B9D"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Pr>
            </w:pPr>
            <w:r w:rsidRPr="002E572A">
              <w:rPr>
                <w:rFonts w:ascii="Traditional Arabic" w:eastAsia="Times New Roman" w:hAnsi="Traditional Arabic" w:cs="Traditional Arabic"/>
                <w:b/>
                <w:bCs/>
                <w:color w:val="1C1C1C"/>
                <w:sz w:val="24"/>
                <w:szCs w:val="24"/>
              </w:rPr>
              <w:t>SUMMARY</w:t>
            </w:r>
          </w:p>
        </w:tc>
        <w:tc>
          <w:tcPr>
            <w:tcW w:w="913" w:type="pct"/>
          </w:tcPr>
          <w:p w14:paraId="74BBCEB6" w14:textId="5D8D7DE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148</w:t>
            </w:r>
          </w:p>
        </w:tc>
      </w:tr>
      <w:tr w:rsidR="004546DA" w:rsidRPr="00FF1999" w14:paraId="712EF6F6" w14:textId="77777777" w:rsidTr="004546DA">
        <w:trPr>
          <w:tblCellSpacing w:w="20" w:type="dxa"/>
          <w:jc w:val="center"/>
        </w:trPr>
        <w:tc>
          <w:tcPr>
            <w:tcW w:w="4015" w:type="pct"/>
          </w:tcPr>
          <w:p w14:paraId="74C2FADC"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lang w:bidi="ar-EG"/>
              </w:rPr>
            </w:pPr>
            <w:r w:rsidRPr="002E572A">
              <w:rPr>
                <w:rFonts w:ascii="Traditional Arabic" w:eastAsia="Times New Roman" w:hAnsi="Traditional Arabic" w:cs="Traditional Arabic" w:hint="cs"/>
                <w:b/>
                <w:bCs/>
                <w:color w:val="1C1C1C"/>
                <w:sz w:val="24"/>
                <w:szCs w:val="24"/>
                <w:rtl/>
                <w:lang w:bidi="ar-EG"/>
              </w:rPr>
              <w:t>المراجع</w:t>
            </w:r>
          </w:p>
        </w:tc>
        <w:tc>
          <w:tcPr>
            <w:tcW w:w="913" w:type="pct"/>
          </w:tcPr>
          <w:p w14:paraId="771EBC69" w14:textId="2E4B0E51" w:rsidR="004546DA" w:rsidRPr="00FF1999" w:rsidRDefault="00441C99"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151</w:t>
            </w:r>
          </w:p>
        </w:tc>
      </w:tr>
      <w:tr w:rsidR="00C853E2" w:rsidRPr="00FF1999" w14:paraId="4919880F" w14:textId="77777777" w:rsidTr="004546DA">
        <w:trPr>
          <w:tblCellSpacing w:w="20" w:type="dxa"/>
          <w:jc w:val="center"/>
        </w:trPr>
        <w:tc>
          <w:tcPr>
            <w:tcW w:w="4015" w:type="pct"/>
          </w:tcPr>
          <w:p w14:paraId="31C52E15" w14:textId="77777777" w:rsidR="00C853E2" w:rsidRPr="002E572A" w:rsidRDefault="00C853E2" w:rsidP="00A75FFD">
            <w:pPr>
              <w:bidi/>
              <w:spacing w:before="50" w:after="50" w:line="240" w:lineRule="auto"/>
              <w:ind w:right="432"/>
              <w:rPr>
                <w:rFonts w:ascii="Traditional Arabic" w:eastAsia="Times New Roman" w:hAnsi="Traditional Arabic" w:cs="Traditional Arabic"/>
                <w:b/>
                <w:bCs/>
                <w:color w:val="1C1C1C"/>
                <w:sz w:val="24"/>
                <w:szCs w:val="24"/>
                <w:rtl/>
                <w:lang w:bidi="ar-EG"/>
              </w:rPr>
            </w:pPr>
            <w:r w:rsidRPr="002E572A">
              <w:rPr>
                <w:rFonts w:ascii="Traditional Arabic" w:eastAsia="Times New Roman" w:hAnsi="Traditional Arabic" w:cs="Traditional Arabic" w:hint="cs"/>
                <w:b/>
                <w:bCs/>
                <w:color w:val="1C1C1C"/>
                <w:sz w:val="24"/>
                <w:szCs w:val="24"/>
                <w:rtl/>
                <w:lang w:bidi="ar-EG"/>
              </w:rPr>
              <w:t>الملاحق</w:t>
            </w:r>
          </w:p>
        </w:tc>
        <w:tc>
          <w:tcPr>
            <w:tcW w:w="913" w:type="pct"/>
          </w:tcPr>
          <w:p w14:paraId="7485B910" w14:textId="2677844E" w:rsidR="00C853E2" w:rsidRPr="00FF1999" w:rsidRDefault="00441C9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166</w:t>
            </w:r>
          </w:p>
        </w:tc>
      </w:tr>
    </w:tbl>
    <w:p w14:paraId="1D83208D" w14:textId="77777777" w:rsidR="00163191" w:rsidRDefault="00163191" w:rsidP="00D3327D">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E2DEEDC" w14:textId="77777777" w:rsidR="00360AAA" w:rsidRDefault="00360AAA" w:rsidP="00DA0F67">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5804AE45"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48D2A1F1"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0C48E376"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4C52562E"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3FCADD37"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4F5764FD"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5DD9E273" w14:textId="64955128" w:rsidR="00163191" w:rsidRPr="00DA0F67" w:rsidRDefault="000C3448"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r w:rsidRPr="00DA0F67">
        <w:rPr>
          <w:rFonts w:ascii="Traditional Arabic" w:eastAsia="Times New Roman" w:hAnsi="Traditional Arabic" w:cs="Traditional Arabic" w:hint="cs"/>
          <w:b/>
          <w:bCs/>
          <w:color w:val="1C1C1C"/>
          <w:sz w:val="28"/>
          <w:szCs w:val="28"/>
          <w:u w:val="single"/>
          <w:rtl/>
        </w:rPr>
        <w:t>قائمة الجداول</w:t>
      </w:r>
    </w:p>
    <w:p w14:paraId="2DFC38D6" w14:textId="77777777" w:rsidR="000C3448" w:rsidRDefault="000C3448" w:rsidP="000C3448">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tbl>
      <w:tblPr>
        <w:tblStyle w:val="TableGrid"/>
        <w:bidiVisual/>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7041"/>
        <w:gridCol w:w="1249"/>
      </w:tblGrid>
      <w:tr w:rsidR="00DA0F67" w:rsidRPr="0078379E" w14:paraId="28F35DE2" w14:textId="77777777" w:rsidTr="00DA0F67">
        <w:trPr>
          <w:tblCellSpacing w:w="20" w:type="dxa"/>
        </w:trPr>
        <w:tc>
          <w:tcPr>
            <w:tcW w:w="0" w:type="auto"/>
            <w:shd w:val="clear" w:color="auto" w:fill="E5DFEC" w:themeFill="accent4" w:themeFillTint="33"/>
          </w:tcPr>
          <w:p w14:paraId="7B9E1D27" w14:textId="77777777" w:rsidR="00DA0F67" w:rsidRPr="0078379E" w:rsidRDefault="00DA0F67" w:rsidP="00A75FFD">
            <w:pPr>
              <w:bidi/>
              <w:spacing w:before="50" w:after="50" w:line="240" w:lineRule="auto"/>
              <w:ind w:right="432"/>
              <w:jc w:val="both"/>
              <w:rPr>
                <w:rFonts w:ascii="Traditional Arabic" w:eastAsia="Times New Roman" w:hAnsi="Traditional Arabic" w:cs="Traditional Arabic"/>
                <w:b/>
                <w:bCs/>
                <w:color w:val="1C1C1C"/>
                <w:sz w:val="24"/>
                <w:szCs w:val="24"/>
                <w:rtl/>
                <w:lang w:bidi="ar-EG"/>
              </w:rPr>
            </w:pPr>
            <w:r w:rsidRPr="0078379E">
              <w:rPr>
                <w:rFonts w:ascii="Traditional Arabic" w:eastAsia="Times New Roman" w:hAnsi="Traditional Arabic" w:cs="Traditional Arabic" w:hint="cs"/>
                <w:b/>
                <w:bCs/>
                <w:color w:val="1C1C1C"/>
                <w:sz w:val="24"/>
                <w:szCs w:val="24"/>
                <w:rtl/>
                <w:lang w:bidi="ar-EG"/>
              </w:rPr>
              <w:t xml:space="preserve">الجدول </w:t>
            </w:r>
          </w:p>
        </w:tc>
        <w:tc>
          <w:tcPr>
            <w:tcW w:w="0" w:type="auto"/>
            <w:shd w:val="clear" w:color="auto" w:fill="E5DFEC" w:themeFill="accent4" w:themeFillTint="33"/>
          </w:tcPr>
          <w:p w14:paraId="7BD15694" w14:textId="77777777" w:rsidR="00DA0F67" w:rsidRPr="0078379E" w:rsidRDefault="00DA0F67" w:rsidP="00A75FFD">
            <w:pPr>
              <w:bidi/>
              <w:spacing w:before="50" w:after="50" w:line="240" w:lineRule="auto"/>
              <w:ind w:right="432"/>
              <w:rPr>
                <w:rFonts w:ascii="Traditional Arabic" w:eastAsia="Times New Roman" w:hAnsi="Traditional Arabic" w:cs="Traditional Arabic"/>
                <w:b/>
                <w:bCs/>
                <w:color w:val="1C1C1C"/>
                <w:sz w:val="24"/>
                <w:szCs w:val="24"/>
                <w:rtl/>
              </w:rPr>
            </w:pPr>
            <w:r w:rsidRPr="0078379E">
              <w:rPr>
                <w:rFonts w:ascii="Traditional Arabic" w:eastAsia="Times New Roman" w:hAnsi="Traditional Arabic" w:cs="Traditional Arabic" w:hint="cs"/>
                <w:b/>
                <w:bCs/>
                <w:color w:val="1C1C1C"/>
                <w:sz w:val="24"/>
                <w:szCs w:val="24"/>
                <w:rtl/>
              </w:rPr>
              <w:t>الصفحة</w:t>
            </w:r>
          </w:p>
        </w:tc>
      </w:tr>
      <w:tr w:rsidR="00DA0F67" w:rsidRPr="00FF1999" w14:paraId="6EEB9B36" w14:textId="77777777" w:rsidTr="00A75FFD">
        <w:trPr>
          <w:tblCellSpacing w:w="20" w:type="dxa"/>
        </w:trPr>
        <w:tc>
          <w:tcPr>
            <w:tcW w:w="0" w:type="auto"/>
          </w:tcPr>
          <w:p w14:paraId="1B657328"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 شرح العلاقة بين المتغيرات</w:t>
            </w:r>
          </w:p>
        </w:tc>
        <w:tc>
          <w:tcPr>
            <w:tcW w:w="0" w:type="auto"/>
          </w:tcPr>
          <w:p w14:paraId="1DFF870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7</w:t>
            </w:r>
          </w:p>
        </w:tc>
      </w:tr>
      <w:tr w:rsidR="00DA0F67" w:rsidRPr="00FF1999" w14:paraId="10533956" w14:textId="77777777" w:rsidTr="00A75FFD">
        <w:trPr>
          <w:tblCellSpacing w:w="20" w:type="dxa"/>
        </w:trPr>
        <w:tc>
          <w:tcPr>
            <w:tcW w:w="0" w:type="auto"/>
          </w:tcPr>
          <w:p w14:paraId="5FAE62FF" w14:textId="77777777" w:rsidR="00DA0F67" w:rsidRPr="00C0082A" w:rsidRDefault="00DA0F67" w:rsidP="00A75FFD">
            <w:pPr>
              <w:bidi/>
              <w:spacing w:after="200" w:line="240" w:lineRule="auto"/>
              <w:jc w:val="both"/>
              <w:rPr>
                <w:rFonts w:ascii="Traditional Arabic" w:eastAsia="Calibri" w:hAnsi="Traditional Arabic" w:cs="Traditional Arabic"/>
                <w:color w:val="000000" w:themeColor="text1"/>
                <w:sz w:val="24"/>
                <w:szCs w:val="24"/>
                <w:rtl/>
                <w:lang w:bidi="ar-EG"/>
              </w:rPr>
            </w:pPr>
            <w:r w:rsidRPr="00C0082A">
              <w:rPr>
                <w:rFonts w:ascii="Traditional Arabic" w:eastAsia="Calibri" w:hAnsi="Traditional Arabic" w:cs="Traditional Arabic" w:hint="cs"/>
                <w:color w:val="000000" w:themeColor="text1"/>
                <w:sz w:val="24"/>
                <w:szCs w:val="24"/>
                <w:rtl/>
                <w:lang w:bidi="ar-EG"/>
              </w:rPr>
              <w:t>جدول ( 2 ) ملخص الدراسات المرجعية.</w:t>
            </w:r>
          </w:p>
        </w:tc>
        <w:tc>
          <w:tcPr>
            <w:tcW w:w="0" w:type="auto"/>
          </w:tcPr>
          <w:p w14:paraId="4018BE8F"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14</w:t>
            </w:r>
          </w:p>
        </w:tc>
      </w:tr>
      <w:tr w:rsidR="00DA0F67" w:rsidRPr="00FF1999" w14:paraId="4DB00931" w14:textId="77777777" w:rsidTr="00A75FFD">
        <w:trPr>
          <w:tblCellSpacing w:w="20" w:type="dxa"/>
        </w:trPr>
        <w:tc>
          <w:tcPr>
            <w:tcW w:w="0" w:type="auto"/>
          </w:tcPr>
          <w:p w14:paraId="63CB535C" w14:textId="77777777" w:rsidR="00DA0F67" w:rsidRPr="00C0082A" w:rsidRDefault="00DA0F67" w:rsidP="00A75FFD">
            <w:pPr>
              <w:bidi/>
              <w:spacing w:after="0" w:line="240"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( 3 ) يوضح أبعاد متغيرات الدراسة</w:t>
            </w:r>
          </w:p>
        </w:tc>
        <w:tc>
          <w:tcPr>
            <w:tcW w:w="0" w:type="auto"/>
          </w:tcPr>
          <w:p w14:paraId="0A49D654"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21</w:t>
            </w:r>
          </w:p>
        </w:tc>
      </w:tr>
      <w:tr w:rsidR="00DA0F67" w:rsidRPr="00FF1999" w14:paraId="13FAD6E2" w14:textId="77777777" w:rsidTr="00A75FFD">
        <w:trPr>
          <w:tblCellSpacing w:w="20" w:type="dxa"/>
        </w:trPr>
        <w:tc>
          <w:tcPr>
            <w:tcW w:w="0" w:type="auto"/>
          </w:tcPr>
          <w:p w14:paraId="755D6AE0" w14:textId="77777777" w:rsidR="00DA0F67" w:rsidRPr="00C0082A" w:rsidRDefault="00DA0F67" w:rsidP="00A75FFD">
            <w:pPr>
              <w:bidi/>
              <w:spacing w:before="120" w:after="120" w:line="240" w:lineRule="auto"/>
              <w:jc w:val="both"/>
              <w:rPr>
                <w:rFonts w:ascii="Traditional Arabic" w:hAnsi="Traditional Arabic" w:cs="Traditional Arabic"/>
                <w:spacing w:val="-6"/>
                <w:sz w:val="24"/>
                <w:szCs w:val="24"/>
                <w:rtl/>
              </w:rPr>
            </w:pPr>
            <w:r w:rsidRPr="00C0082A">
              <w:rPr>
                <w:rFonts w:ascii="Traditional Arabic" w:hAnsi="Traditional Arabic" w:cs="Traditional Arabic" w:hint="cs"/>
                <w:spacing w:val="-6"/>
                <w:sz w:val="24"/>
                <w:szCs w:val="24"/>
                <w:rtl/>
              </w:rPr>
              <w:t>جدول ( 4 ) يوضح نظريات إدارة المخاطر</w:t>
            </w:r>
          </w:p>
        </w:tc>
        <w:tc>
          <w:tcPr>
            <w:tcW w:w="0" w:type="auto"/>
          </w:tcPr>
          <w:p w14:paraId="1BD9F78F"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34</w:t>
            </w:r>
          </w:p>
        </w:tc>
      </w:tr>
      <w:tr w:rsidR="00DA0F67" w:rsidRPr="00FF1999" w14:paraId="0C1082BA" w14:textId="77777777" w:rsidTr="00A75FFD">
        <w:trPr>
          <w:tblCellSpacing w:w="20" w:type="dxa"/>
        </w:trPr>
        <w:tc>
          <w:tcPr>
            <w:tcW w:w="0" w:type="auto"/>
          </w:tcPr>
          <w:p w14:paraId="19125CD8" w14:textId="77777777" w:rsidR="00DA0F67" w:rsidRPr="00C0082A" w:rsidRDefault="00DA0F67" w:rsidP="00A75FFD">
            <w:pPr>
              <w:bidi/>
              <w:spacing w:before="120" w:after="120" w:line="240" w:lineRule="auto"/>
              <w:jc w:val="both"/>
              <w:rPr>
                <w:rFonts w:ascii="Traditional Arabic" w:hAnsi="Traditional Arabic" w:cs="Traditional Arabic"/>
                <w:spacing w:val="-6"/>
                <w:sz w:val="24"/>
                <w:szCs w:val="24"/>
                <w:rtl/>
              </w:rPr>
            </w:pPr>
            <w:r w:rsidRPr="00C0082A">
              <w:rPr>
                <w:rFonts w:ascii="Traditional Arabic" w:hAnsi="Traditional Arabic" w:cs="Traditional Arabic" w:hint="cs"/>
                <w:spacing w:val="-6"/>
                <w:sz w:val="24"/>
                <w:szCs w:val="24"/>
                <w:rtl/>
                <w:lang w:bidi="ar-EG"/>
              </w:rPr>
              <w:t xml:space="preserve">جدول ( 5 ) ملخص الدراسات السابقة </w:t>
            </w:r>
            <w:r w:rsidRPr="00C0082A">
              <w:rPr>
                <w:rFonts w:ascii="Traditional Arabic" w:hAnsi="Traditional Arabic" w:cs="Traditional Arabic" w:hint="cs"/>
                <w:spacing w:val="-6"/>
                <w:sz w:val="24"/>
                <w:szCs w:val="24"/>
                <w:rtl/>
              </w:rPr>
              <w:t>حول إدارة المخاطر</w:t>
            </w:r>
          </w:p>
        </w:tc>
        <w:tc>
          <w:tcPr>
            <w:tcW w:w="0" w:type="auto"/>
          </w:tcPr>
          <w:p w14:paraId="70807B8B"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48</w:t>
            </w:r>
          </w:p>
        </w:tc>
      </w:tr>
      <w:tr w:rsidR="00DA0F67" w:rsidRPr="00FF1999" w14:paraId="1B996765" w14:textId="77777777" w:rsidTr="00A75FFD">
        <w:trPr>
          <w:tblCellSpacing w:w="20" w:type="dxa"/>
        </w:trPr>
        <w:tc>
          <w:tcPr>
            <w:tcW w:w="0" w:type="auto"/>
          </w:tcPr>
          <w:p w14:paraId="7073DD87" w14:textId="77777777" w:rsidR="00DA0F67" w:rsidRPr="00C0082A" w:rsidRDefault="00DA0F67" w:rsidP="00A75FFD">
            <w:pPr>
              <w:bidi/>
              <w:spacing w:after="200" w:line="276" w:lineRule="auto"/>
              <w:jc w:val="both"/>
              <w:rPr>
                <w:rFonts w:ascii="Traditional Arabic" w:hAnsi="Traditional Arabic" w:cs="Traditional Arabic"/>
                <w:spacing w:val="-6"/>
                <w:sz w:val="24"/>
                <w:szCs w:val="24"/>
                <w:rtl/>
                <w:lang w:bidi="ar-EG"/>
              </w:rPr>
            </w:pPr>
            <w:r w:rsidRPr="00C0082A">
              <w:rPr>
                <w:rFonts w:ascii="Traditional Arabic" w:hAnsi="Traditional Arabic" w:cs="Traditional Arabic" w:hint="cs"/>
                <w:spacing w:val="-6"/>
                <w:sz w:val="24"/>
                <w:szCs w:val="24"/>
                <w:rtl/>
                <w:lang w:bidi="ar-EG"/>
              </w:rPr>
              <w:t>جدول ( 6 ) النظريات المفسرة لسلامة المرضى</w:t>
            </w:r>
          </w:p>
        </w:tc>
        <w:tc>
          <w:tcPr>
            <w:tcW w:w="0" w:type="auto"/>
          </w:tcPr>
          <w:p w14:paraId="28067A9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54</w:t>
            </w:r>
          </w:p>
        </w:tc>
      </w:tr>
      <w:tr w:rsidR="00DA0F67" w:rsidRPr="00FF1999" w14:paraId="2BC7B8F0" w14:textId="77777777" w:rsidTr="00A75FFD">
        <w:trPr>
          <w:tblCellSpacing w:w="20" w:type="dxa"/>
        </w:trPr>
        <w:tc>
          <w:tcPr>
            <w:tcW w:w="0" w:type="auto"/>
          </w:tcPr>
          <w:p w14:paraId="6720492F" w14:textId="77777777" w:rsidR="00DA0F67" w:rsidRPr="00C0082A" w:rsidRDefault="00DA0F67" w:rsidP="00A75FFD">
            <w:pPr>
              <w:bidi/>
              <w:spacing w:after="200" w:line="276" w:lineRule="auto"/>
              <w:jc w:val="both"/>
              <w:rPr>
                <w:rFonts w:ascii="Traditional Arabic" w:hAnsi="Traditional Arabic" w:cs="Traditional Arabic"/>
                <w:spacing w:val="-6"/>
                <w:sz w:val="24"/>
                <w:szCs w:val="24"/>
                <w:rtl/>
                <w:lang w:bidi="ar-EG"/>
              </w:rPr>
            </w:pPr>
            <w:r w:rsidRPr="00C0082A">
              <w:rPr>
                <w:rFonts w:ascii="Traditional Arabic" w:hAnsi="Traditional Arabic" w:cs="Traditional Arabic" w:hint="cs"/>
                <w:spacing w:val="-6"/>
                <w:sz w:val="24"/>
                <w:szCs w:val="24"/>
                <w:rtl/>
                <w:lang w:bidi="ar-EG"/>
              </w:rPr>
              <w:t>جدول ( 7 ) دراسات سابقة حول سلامة المرضى.</w:t>
            </w:r>
          </w:p>
        </w:tc>
        <w:tc>
          <w:tcPr>
            <w:tcW w:w="0" w:type="auto"/>
          </w:tcPr>
          <w:p w14:paraId="5CA47274"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68</w:t>
            </w:r>
          </w:p>
        </w:tc>
      </w:tr>
      <w:tr w:rsidR="00DA0F67" w:rsidRPr="00FF1999" w14:paraId="7F0BD4CD" w14:textId="77777777" w:rsidTr="00A75FFD">
        <w:trPr>
          <w:tblCellSpacing w:w="20" w:type="dxa"/>
        </w:trPr>
        <w:tc>
          <w:tcPr>
            <w:tcW w:w="0" w:type="auto"/>
          </w:tcPr>
          <w:p w14:paraId="280E9F23" w14:textId="77777777" w:rsidR="00DA0F67" w:rsidRPr="00C0082A" w:rsidRDefault="00DA0F67" w:rsidP="00A75FFD">
            <w:pPr>
              <w:bidi/>
              <w:spacing w:before="120" w:after="120" w:line="240" w:lineRule="auto"/>
              <w:jc w:val="both"/>
              <w:rPr>
                <w:rFonts w:ascii="Traditional Arabic" w:hAnsi="Traditional Arabic" w:cs="Traditional Arabic"/>
                <w:spacing w:val="-6"/>
                <w:sz w:val="24"/>
                <w:szCs w:val="24"/>
                <w:rtl/>
                <w:lang w:bidi="ar-EG"/>
              </w:rPr>
            </w:pPr>
            <w:r w:rsidRPr="00C0082A">
              <w:rPr>
                <w:rFonts w:ascii="Traditional Arabic" w:hAnsi="Traditional Arabic" w:cs="Traditional Arabic" w:hint="cs"/>
                <w:spacing w:val="-6"/>
                <w:sz w:val="24"/>
                <w:szCs w:val="24"/>
                <w:rtl/>
                <w:lang w:bidi="ar-EG"/>
              </w:rPr>
              <w:t xml:space="preserve">جدول ( 8 ) </w:t>
            </w:r>
            <w:r w:rsidRPr="00C0082A">
              <w:rPr>
                <w:rFonts w:ascii="Traditional Arabic" w:hAnsi="Traditional Arabic" w:cs="Traditional Arabic" w:hint="cs"/>
                <w:spacing w:val="-6"/>
                <w:sz w:val="24"/>
                <w:szCs w:val="24"/>
                <w:rtl/>
              </w:rPr>
              <w:t>الدراسات السابقة حول القيادة التحويلة</w:t>
            </w:r>
          </w:p>
        </w:tc>
        <w:tc>
          <w:tcPr>
            <w:tcW w:w="0" w:type="auto"/>
          </w:tcPr>
          <w:p w14:paraId="53FBD449"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86</w:t>
            </w:r>
          </w:p>
        </w:tc>
      </w:tr>
      <w:tr w:rsidR="00DA0F67" w:rsidRPr="00FF1999" w14:paraId="0C1714D7" w14:textId="77777777" w:rsidTr="00A75FFD">
        <w:trPr>
          <w:tblCellSpacing w:w="20" w:type="dxa"/>
        </w:trPr>
        <w:tc>
          <w:tcPr>
            <w:tcW w:w="0" w:type="auto"/>
          </w:tcPr>
          <w:p w14:paraId="03EFA5FA" w14:textId="77777777" w:rsidR="00DA0F67" w:rsidRPr="00C0082A" w:rsidRDefault="00DA0F67" w:rsidP="00A75FFD">
            <w:pPr>
              <w:bidi/>
              <w:spacing w:after="200" w:line="276" w:lineRule="auto"/>
              <w:jc w:val="both"/>
              <w:rPr>
                <w:rFonts w:ascii="Traditional Arabic" w:hAnsi="Traditional Arabic" w:cs="Traditional Arabic"/>
                <w:spacing w:val="-6"/>
                <w:sz w:val="24"/>
                <w:szCs w:val="24"/>
                <w:rtl/>
              </w:rPr>
            </w:pPr>
            <w:r w:rsidRPr="00C0082A">
              <w:rPr>
                <w:rFonts w:ascii="Traditional Arabic" w:hAnsi="Traditional Arabic" w:cs="Traditional Arabic" w:hint="cs"/>
                <w:spacing w:val="-6"/>
                <w:sz w:val="24"/>
                <w:szCs w:val="24"/>
                <w:rtl/>
              </w:rPr>
              <w:t>جدول (9) ملخص الدراسات السابقة الواردة في الدراسة الحالية</w:t>
            </w:r>
          </w:p>
        </w:tc>
        <w:tc>
          <w:tcPr>
            <w:tcW w:w="0" w:type="auto"/>
          </w:tcPr>
          <w:p w14:paraId="1BBF11B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90</w:t>
            </w:r>
          </w:p>
        </w:tc>
      </w:tr>
      <w:tr w:rsidR="00DA0F67" w:rsidRPr="00FF1999" w14:paraId="0A697C84" w14:textId="77777777" w:rsidTr="00A75FFD">
        <w:trPr>
          <w:tblCellSpacing w:w="20" w:type="dxa"/>
        </w:trPr>
        <w:tc>
          <w:tcPr>
            <w:tcW w:w="0" w:type="auto"/>
          </w:tcPr>
          <w:p w14:paraId="6C87258A"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lang w:bidi="ar-EG"/>
              </w:rPr>
            </w:pPr>
            <w:r w:rsidRPr="00C0082A">
              <w:rPr>
                <w:rFonts w:ascii="Traditional Arabic" w:hAnsi="Traditional Arabic" w:cs="Traditional Arabic" w:hint="cs"/>
                <w:color w:val="000000" w:themeColor="text1"/>
                <w:sz w:val="24"/>
                <w:szCs w:val="24"/>
                <w:rtl/>
                <w:lang w:bidi="ar-EG"/>
              </w:rPr>
              <w:t>جدول( 10) البيانات الشخصية للمشاركين في الدراسة:</w:t>
            </w:r>
          </w:p>
        </w:tc>
        <w:tc>
          <w:tcPr>
            <w:tcW w:w="0" w:type="auto"/>
          </w:tcPr>
          <w:p w14:paraId="17B80A22"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99</w:t>
            </w:r>
          </w:p>
        </w:tc>
      </w:tr>
      <w:tr w:rsidR="00DA0F67" w:rsidRPr="00FF1999" w14:paraId="6433687B" w14:textId="77777777" w:rsidTr="00A75FFD">
        <w:trPr>
          <w:tblCellSpacing w:w="20" w:type="dxa"/>
        </w:trPr>
        <w:tc>
          <w:tcPr>
            <w:tcW w:w="0" w:type="auto"/>
          </w:tcPr>
          <w:p w14:paraId="0BDA9658"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(11) عبارات الإستبيان ومصادر صياغتها.</w:t>
            </w:r>
          </w:p>
        </w:tc>
        <w:tc>
          <w:tcPr>
            <w:tcW w:w="0" w:type="auto"/>
          </w:tcPr>
          <w:p w14:paraId="5BC65EE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101</w:t>
            </w:r>
          </w:p>
        </w:tc>
      </w:tr>
      <w:tr w:rsidR="00DA0F67" w:rsidRPr="00FF1999" w14:paraId="1462203A" w14:textId="77777777" w:rsidTr="00A75FFD">
        <w:trPr>
          <w:tblCellSpacing w:w="20" w:type="dxa"/>
        </w:trPr>
        <w:tc>
          <w:tcPr>
            <w:tcW w:w="0" w:type="auto"/>
          </w:tcPr>
          <w:p w14:paraId="233C291A"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(12) التحليل الوصفي لمتغيرات وأبعاد وعبارات البحث (ن= 389)</w:t>
            </w:r>
          </w:p>
        </w:tc>
        <w:tc>
          <w:tcPr>
            <w:tcW w:w="0" w:type="auto"/>
          </w:tcPr>
          <w:p w14:paraId="56018BEE"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105</w:t>
            </w:r>
          </w:p>
        </w:tc>
      </w:tr>
      <w:tr w:rsidR="00DA0F67" w:rsidRPr="00FF1999" w14:paraId="1C336260" w14:textId="77777777" w:rsidTr="00A75FFD">
        <w:trPr>
          <w:tblCellSpacing w:w="20" w:type="dxa"/>
        </w:trPr>
        <w:tc>
          <w:tcPr>
            <w:tcW w:w="0" w:type="auto"/>
          </w:tcPr>
          <w:p w14:paraId="137B00BA"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(13) معاملات ثبات أداة الدراسة</w:t>
            </w:r>
          </w:p>
        </w:tc>
        <w:tc>
          <w:tcPr>
            <w:tcW w:w="0" w:type="auto"/>
          </w:tcPr>
          <w:p w14:paraId="70D7A720"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111</w:t>
            </w:r>
          </w:p>
        </w:tc>
      </w:tr>
      <w:tr w:rsidR="00DA0F67" w:rsidRPr="00FF1999" w14:paraId="50EB7A51" w14:textId="77777777" w:rsidTr="00A75FFD">
        <w:trPr>
          <w:tblCellSpacing w:w="20" w:type="dxa"/>
        </w:trPr>
        <w:tc>
          <w:tcPr>
            <w:tcW w:w="0" w:type="auto"/>
          </w:tcPr>
          <w:p w14:paraId="7A51B824"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w:t>
            </w:r>
            <w:r w:rsidRPr="00C0082A">
              <w:rPr>
                <w:rFonts w:ascii="Traditional Arabic" w:hAnsi="Traditional Arabic" w:cs="Traditional Arabic" w:hint="cs"/>
                <w:color w:val="000000" w:themeColor="text1"/>
                <w:sz w:val="24"/>
                <w:szCs w:val="24"/>
              </w:rPr>
              <w:t xml:space="preserve"> </w:t>
            </w:r>
            <w:r w:rsidRPr="00C0082A">
              <w:rPr>
                <w:rFonts w:ascii="Traditional Arabic" w:hAnsi="Traditional Arabic" w:cs="Traditional Arabic" w:hint="cs"/>
                <w:color w:val="000000" w:themeColor="text1"/>
                <w:sz w:val="24"/>
                <w:szCs w:val="24"/>
                <w:rtl/>
              </w:rPr>
              <w:t>(</w:t>
            </w:r>
            <w:r w:rsidRPr="00C0082A">
              <w:rPr>
                <w:rFonts w:ascii="Traditional Arabic" w:hAnsi="Traditional Arabic" w:cs="Traditional Arabic" w:hint="cs"/>
                <w:color w:val="000000" w:themeColor="text1"/>
                <w:sz w:val="24"/>
                <w:szCs w:val="24"/>
              </w:rPr>
              <w:t xml:space="preserve"> </w:t>
            </w:r>
            <w:r w:rsidRPr="00C0082A">
              <w:rPr>
                <w:rFonts w:ascii="Traditional Arabic" w:hAnsi="Traditional Arabic" w:cs="Traditional Arabic" w:hint="cs"/>
                <w:color w:val="000000" w:themeColor="text1"/>
                <w:sz w:val="24"/>
                <w:szCs w:val="24"/>
                <w:rtl/>
              </w:rPr>
              <w:t>14 ) معاملات ارتباط بيرسون بين أبعاد القيادة التحويلية، إدارة المخاطر، وسلامة المرضى ودلالتها الإحصائية</w:t>
            </w:r>
          </w:p>
        </w:tc>
        <w:tc>
          <w:tcPr>
            <w:tcW w:w="0" w:type="auto"/>
          </w:tcPr>
          <w:p w14:paraId="2C1230EB"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113</w:t>
            </w:r>
          </w:p>
        </w:tc>
      </w:tr>
      <w:tr w:rsidR="00DA0F67" w:rsidRPr="00FF1999" w14:paraId="3FCE1F13" w14:textId="77777777" w:rsidTr="00A75FFD">
        <w:trPr>
          <w:tblCellSpacing w:w="20" w:type="dxa"/>
        </w:trPr>
        <w:tc>
          <w:tcPr>
            <w:tcW w:w="0" w:type="auto"/>
          </w:tcPr>
          <w:p w14:paraId="74C0522F" w14:textId="77777777" w:rsidR="00DA0F67" w:rsidRPr="00C0082A" w:rsidRDefault="00DA0F67" w:rsidP="00A75FFD">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C0082A">
              <w:rPr>
                <w:rFonts w:ascii="Traditional Arabic" w:eastAsia="Calibri" w:hAnsi="Traditional Arabic" w:cs="Traditional Arabic" w:hint="cs"/>
                <w:sz w:val="24"/>
                <w:szCs w:val="24"/>
                <w:rtl/>
              </w:rPr>
              <w:t xml:space="preserve">الجدول (15): مصفوفة معامل ارتباط بيرسون للعلاقة بين متغيرات الدراسة </w:t>
            </w:r>
          </w:p>
        </w:tc>
        <w:tc>
          <w:tcPr>
            <w:tcW w:w="0" w:type="auto"/>
          </w:tcPr>
          <w:p w14:paraId="111DD056"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116</w:t>
            </w:r>
          </w:p>
        </w:tc>
      </w:tr>
      <w:tr w:rsidR="00DA0F67" w:rsidRPr="00FF1999" w14:paraId="5CB3C883" w14:textId="77777777" w:rsidTr="00A75FFD">
        <w:trPr>
          <w:tblCellSpacing w:w="20" w:type="dxa"/>
        </w:trPr>
        <w:tc>
          <w:tcPr>
            <w:tcW w:w="0" w:type="auto"/>
          </w:tcPr>
          <w:p w14:paraId="618AFFB5" w14:textId="77777777" w:rsidR="00DA0F67" w:rsidRPr="00C0082A" w:rsidRDefault="00DA0F67" w:rsidP="00A75FFD">
            <w:pPr>
              <w:bidi/>
              <w:spacing w:after="200" w:line="360" w:lineRule="auto"/>
              <w:contextualSpacing/>
              <w:jc w:val="both"/>
              <w:rPr>
                <w:rFonts w:ascii="Traditional Arabic" w:eastAsia="Calibri" w:hAnsi="Traditional Arabic" w:cs="Traditional Arabic"/>
                <w:sz w:val="24"/>
                <w:szCs w:val="24"/>
                <w:rtl/>
              </w:rPr>
            </w:pPr>
            <w:r w:rsidRPr="00C0082A">
              <w:rPr>
                <w:rFonts w:ascii="Traditional Arabic" w:eastAsia="Calibri" w:hAnsi="Traditional Arabic" w:cs="Traditional Arabic" w:hint="cs"/>
                <w:sz w:val="24"/>
                <w:szCs w:val="24"/>
                <w:rtl/>
              </w:rPr>
              <w:t>الجدول (١٦): نتائج تحليل الانحدار الخطي البسيط لأثر ممارسات إدارة المخاطر على سلامة المرضى</w:t>
            </w:r>
          </w:p>
        </w:tc>
        <w:tc>
          <w:tcPr>
            <w:tcW w:w="0" w:type="auto"/>
          </w:tcPr>
          <w:p w14:paraId="2C809A7F"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117</w:t>
            </w:r>
          </w:p>
        </w:tc>
      </w:tr>
      <w:tr w:rsidR="00DA0F67" w:rsidRPr="00FF1999" w14:paraId="19BDC076" w14:textId="77777777" w:rsidTr="00A75FFD">
        <w:trPr>
          <w:tblCellSpacing w:w="20" w:type="dxa"/>
        </w:trPr>
        <w:tc>
          <w:tcPr>
            <w:tcW w:w="0" w:type="auto"/>
          </w:tcPr>
          <w:p w14:paraId="78202347" w14:textId="77777777" w:rsidR="00DA0F67" w:rsidRPr="00C0082A" w:rsidRDefault="00DA0F67" w:rsidP="00A75FFD">
            <w:pPr>
              <w:bidi/>
              <w:spacing w:after="200" w:line="360" w:lineRule="auto"/>
              <w:contextualSpacing/>
              <w:jc w:val="both"/>
              <w:rPr>
                <w:rFonts w:ascii="Traditional Arabic" w:eastAsia="Calibri" w:hAnsi="Traditional Arabic" w:cs="Traditional Arabic"/>
                <w:sz w:val="24"/>
                <w:szCs w:val="24"/>
                <w:rtl/>
              </w:rPr>
            </w:pPr>
            <w:r w:rsidRPr="00C0082A">
              <w:rPr>
                <w:rFonts w:ascii="Traditional Arabic" w:eastAsia="Calibri" w:hAnsi="Traditional Arabic" w:cs="Traditional Arabic" w:hint="cs"/>
                <w:sz w:val="24"/>
                <w:szCs w:val="24"/>
                <w:rtl/>
              </w:rPr>
              <w:t xml:space="preserve">الجدول (17): نتائج تحليل الانحدار الخطي البسيط لأثر القيادة التحويلية على سلامة المرضى </w:t>
            </w:r>
          </w:p>
        </w:tc>
        <w:tc>
          <w:tcPr>
            <w:tcW w:w="0" w:type="auto"/>
          </w:tcPr>
          <w:p w14:paraId="03F644E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118</w:t>
            </w:r>
          </w:p>
        </w:tc>
      </w:tr>
      <w:tr w:rsidR="00DA0F67" w:rsidRPr="00FF1999" w14:paraId="1F190408" w14:textId="77777777" w:rsidTr="00A75FFD">
        <w:trPr>
          <w:tblCellSpacing w:w="20" w:type="dxa"/>
        </w:trPr>
        <w:tc>
          <w:tcPr>
            <w:tcW w:w="0" w:type="auto"/>
          </w:tcPr>
          <w:p w14:paraId="1F8D3C58" w14:textId="3AB088BB" w:rsidR="00DA0F67" w:rsidRPr="00CB1860" w:rsidRDefault="00CB1860" w:rsidP="00CB1860">
            <w:pPr>
              <w:bidi/>
              <w:spacing w:after="200" w:line="360" w:lineRule="auto"/>
              <w:jc w:val="both"/>
              <w:rPr>
                <w:rFonts w:ascii="Traditional Arabic" w:eastAsia="Calibri" w:hAnsi="Traditional Arabic" w:cs="Traditional Arabic"/>
                <w:sz w:val="24"/>
                <w:szCs w:val="24"/>
                <w:rtl/>
                <w:lang w:bidi="ar-EG"/>
              </w:rPr>
            </w:pPr>
            <w:r w:rsidRPr="00CB1860">
              <w:rPr>
                <w:rFonts w:ascii="Traditional Arabic" w:eastAsia="Calibri" w:hAnsi="Traditional Arabic" w:cs="Traditional Arabic" w:hint="cs"/>
                <w:sz w:val="24"/>
                <w:szCs w:val="24"/>
                <w:rtl/>
                <w:lang w:bidi="ar-EG"/>
              </w:rPr>
              <w:lastRenderedPageBreak/>
              <w:t>جدول (18) نتائج إختبار الفرض 1/ 4 للدراسة</w:t>
            </w:r>
          </w:p>
        </w:tc>
        <w:tc>
          <w:tcPr>
            <w:tcW w:w="0" w:type="auto"/>
          </w:tcPr>
          <w:p w14:paraId="0850CEC5" w14:textId="146F96A4" w:rsidR="00DA0F67" w:rsidRPr="00C0082A" w:rsidRDefault="00CB1860"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118</w:t>
            </w:r>
          </w:p>
        </w:tc>
      </w:tr>
      <w:tr w:rsidR="00CB1860" w:rsidRPr="00FF1999" w14:paraId="3AA413B0" w14:textId="77777777" w:rsidTr="00A75FFD">
        <w:trPr>
          <w:tblCellSpacing w:w="20" w:type="dxa"/>
        </w:trPr>
        <w:tc>
          <w:tcPr>
            <w:tcW w:w="0" w:type="auto"/>
          </w:tcPr>
          <w:p w14:paraId="69FE63C8" w14:textId="14047007" w:rsidR="00CB1860" w:rsidRPr="00CB1860" w:rsidRDefault="00CB1860" w:rsidP="00CB1860">
            <w:pPr>
              <w:bidi/>
              <w:spacing w:after="200" w:line="360" w:lineRule="auto"/>
              <w:jc w:val="both"/>
              <w:rPr>
                <w:rFonts w:ascii="Traditional Arabic" w:eastAsia="Calibri" w:hAnsi="Traditional Arabic" w:cs="Traditional Arabic"/>
                <w:sz w:val="24"/>
                <w:szCs w:val="24"/>
                <w:rtl/>
                <w:lang w:bidi="ar-EG"/>
              </w:rPr>
            </w:pPr>
            <w:r w:rsidRPr="00CB1860">
              <w:rPr>
                <w:rFonts w:ascii="Traditional Arabic" w:eastAsia="Calibri" w:hAnsi="Traditional Arabic" w:cs="Traditional Arabic" w:hint="cs"/>
                <w:sz w:val="24"/>
                <w:szCs w:val="24"/>
                <w:rtl/>
                <w:lang w:bidi="ar-EG"/>
              </w:rPr>
              <w:t>جدول (19) نتائج إختبار الفرض 2/ 4 للدراسة</w:t>
            </w:r>
          </w:p>
        </w:tc>
        <w:tc>
          <w:tcPr>
            <w:tcW w:w="0" w:type="auto"/>
          </w:tcPr>
          <w:p w14:paraId="5F46CFF0" w14:textId="5CE9CA7D" w:rsidR="00CB1860" w:rsidRPr="00C0082A" w:rsidRDefault="00CB1860"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120</w:t>
            </w:r>
          </w:p>
        </w:tc>
      </w:tr>
      <w:tr w:rsidR="00CB1860" w:rsidRPr="00FF1999" w14:paraId="396772EF" w14:textId="77777777" w:rsidTr="00A75FFD">
        <w:trPr>
          <w:tblCellSpacing w:w="20" w:type="dxa"/>
        </w:trPr>
        <w:tc>
          <w:tcPr>
            <w:tcW w:w="0" w:type="auto"/>
          </w:tcPr>
          <w:p w14:paraId="7599421D" w14:textId="69F78BA1" w:rsidR="00CB1860" w:rsidRPr="00CB1860" w:rsidRDefault="00CB1860" w:rsidP="00CB1860">
            <w:pPr>
              <w:bidi/>
              <w:spacing w:after="200" w:line="360" w:lineRule="auto"/>
              <w:jc w:val="both"/>
              <w:rPr>
                <w:rFonts w:ascii="Traditional Arabic" w:eastAsia="Calibri" w:hAnsi="Traditional Arabic" w:cs="Traditional Arabic"/>
                <w:sz w:val="24"/>
                <w:szCs w:val="24"/>
                <w:rtl/>
                <w:lang w:bidi="ar-EG"/>
              </w:rPr>
            </w:pPr>
            <w:r w:rsidRPr="00CB1860">
              <w:rPr>
                <w:rFonts w:ascii="Traditional Arabic" w:eastAsia="Calibri" w:hAnsi="Traditional Arabic" w:cs="Traditional Arabic" w:hint="cs"/>
                <w:sz w:val="24"/>
                <w:szCs w:val="24"/>
                <w:rtl/>
                <w:lang w:bidi="ar-EG"/>
              </w:rPr>
              <w:t>جدول (</w:t>
            </w:r>
            <w:r>
              <w:rPr>
                <w:rFonts w:ascii="Traditional Arabic" w:eastAsia="Calibri" w:hAnsi="Traditional Arabic" w:cs="Traditional Arabic" w:hint="cs"/>
                <w:sz w:val="24"/>
                <w:szCs w:val="24"/>
                <w:rtl/>
                <w:lang w:bidi="ar-EG"/>
              </w:rPr>
              <w:t>20</w:t>
            </w:r>
            <w:r w:rsidRPr="00CB1860">
              <w:rPr>
                <w:rFonts w:ascii="Traditional Arabic" w:eastAsia="Calibri" w:hAnsi="Traditional Arabic" w:cs="Traditional Arabic" w:hint="cs"/>
                <w:sz w:val="24"/>
                <w:szCs w:val="24"/>
                <w:rtl/>
                <w:lang w:bidi="ar-EG"/>
              </w:rPr>
              <w:t xml:space="preserve">) نتائج إختبار الفرض </w:t>
            </w:r>
            <w:r>
              <w:rPr>
                <w:rFonts w:ascii="Traditional Arabic" w:eastAsia="Calibri" w:hAnsi="Traditional Arabic" w:cs="Traditional Arabic" w:hint="cs"/>
                <w:sz w:val="24"/>
                <w:szCs w:val="24"/>
                <w:rtl/>
                <w:lang w:bidi="ar-EG"/>
              </w:rPr>
              <w:t>3</w:t>
            </w:r>
            <w:r w:rsidRPr="00CB1860">
              <w:rPr>
                <w:rFonts w:ascii="Traditional Arabic" w:eastAsia="Calibri" w:hAnsi="Traditional Arabic" w:cs="Traditional Arabic" w:hint="cs"/>
                <w:sz w:val="24"/>
                <w:szCs w:val="24"/>
                <w:rtl/>
                <w:lang w:bidi="ar-EG"/>
              </w:rPr>
              <w:t>/ 4 للدراسة</w:t>
            </w:r>
          </w:p>
        </w:tc>
        <w:tc>
          <w:tcPr>
            <w:tcW w:w="0" w:type="auto"/>
          </w:tcPr>
          <w:p w14:paraId="138A3D89" w14:textId="138C6721"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122</w:t>
            </w:r>
          </w:p>
        </w:tc>
      </w:tr>
      <w:tr w:rsidR="00CB1860" w:rsidRPr="00FF1999" w14:paraId="7FCF40FD" w14:textId="77777777" w:rsidTr="00A75FFD">
        <w:trPr>
          <w:tblCellSpacing w:w="20" w:type="dxa"/>
        </w:trPr>
        <w:tc>
          <w:tcPr>
            <w:tcW w:w="0" w:type="auto"/>
          </w:tcPr>
          <w:p w14:paraId="55DDD092" w14:textId="3BFBE874" w:rsidR="00CB1860" w:rsidRPr="00CB1860" w:rsidRDefault="00CB1860" w:rsidP="00CB1860">
            <w:pPr>
              <w:bidi/>
              <w:spacing w:after="200" w:line="360" w:lineRule="auto"/>
              <w:jc w:val="both"/>
              <w:rPr>
                <w:rFonts w:ascii="Traditional Arabic" w:eastAsia="Calibri" w:hAnsi="Traditional Arabic" w:cs="Traditional Arabic"/>
                <w:sz w:val="24"/>
                <w:szCs w:val="24"/>
                <w:rtl/>
                <w:lang w:bidi="ar-EG"/>
              </w:rPr>
            </w:pPr>
            <w:r w:rsidRPr="00CB1860">
              <w:rPr>
                <w:rFonts w:ascii="Traditional Arabic" w:eastAsia="Calibri" w:hAnsi="Traditional Arabic" w:cs="Traditional Arabic" w:hint="cs"/>
                <w:sz w:val="24"/>
                <w:szCs w:val="24"/>
                <w:rtl/>
                <w:lang w:bidi="ar-EG"/>
              </w:rPr>
              <w:t>جدول (</w:t>
            </w:r>
            <w:r>
              <w:rPr>
                <w:rFonts w:ascii="Traditional Arabic" w:eastAsia="Calibri" w:hAnsi="Traditional Arabic" w:cs="Traditional Arabic" w:hint="cs"/>
                <w:sz w:val="24"/>
                <w:szCs w:val="24"/>
                <w:rtl/>
                <w:lang w:bidi="ar-EG"/>
              </w:rPr>
              <w:t>21</w:t>
            </w:r>
            <w:r w:rsidRPr="00CB1860">
              <w:rPr>
                <w:rFonts w:ascii="Traditional Arabic" w:eastAsia="Calibri" w:hAnsi="Traditional Arabic" w:cs="Traditional Arabic" w:hint="cs"/>
                <w:sz w:val="24"/>
                <w:szCs w:val="24"/>
                <w:rtl/>
                <w:lang w:bidi="ar-EG"/>
              </w:rPr>
              <w:t xml:space="preserve">) نتائج إختبار الفرض </w:t>
            </w:r>
            <w:r>
              <w:rPr>
                <w:rFonts w:ascii="Traditional Arabic" w:eastAsia="Calibri" w:hAnsi="Traditional Arabic" w:cs="Traditional Arabic" w:hint="cs"/>
                <w:sz w:val="24"/>
                <w:szCs w:val="24"/>
                <w:rtl/>
                <w:lang w:bidi="ar-EG"/>
              </w:rPr>
              <w:t>4</w:t>
            </w:r>
            <w:r w:rsidRPr="00CB1860">
              <w:rPr>
                <w:rFonts w:ascii="Traditional Arabic" w:eastAsia="Calibri" w:hAnsi="Traditional Arabic" w:cs="Traditional Arabic" w:hint="cs"/>
                <w:sz w:val="24"/>
                <w:szCs w:val="24"/>
                <w:rtl/>
                <w:lang w:bidi="ar-EG"/>
              </w:rPr>
              <w:t>/ 4 للدراسة</w:t>
            </w:r>
          </w:p>
        </w:tc>
        <w:tc>
          <w:tcPr>
            <w:tcW w:w="0" w:type="auto"/>
          </w:tcPr>
          <w:p w14:paraId="39976375" w14:textId="6F399544"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123</w:t>
            </w:r>
          </w:p>
        </w:tc>
      </w:tr>
      <w:tr w:rsidR="00CB1860" w:rsidRPr="00FF1999" w14:paraId="0AAA1103" w14:textId="77777777" w:rsidTr="00A75FFD">
        <w:trPr>
          <w:tblCellSpacing w:w="20" w:type="dxa"/>
        </w:trPr>
        <w:tc>
          <w:tcPr>
            <w:tcW w:w="0" w:type="auto"/>
          </w:tcPr>
          <w:p w14:paraId="1DBC5DAE" w14:textId="0112CFD1" w:rsidR="00CB1860" w:rsidRPr="00C0082A" w:rsidRDefault="00CB1860" w:rsidP="00CB1860">
            <w:pPr>
              <w:bidi/>
              <w:spacing w:after="200" w:line="360" w:lineRule="auto"/>
              <w:contextualSpacing/>
              <w:jc w:val="both"/>
              <w:rPr>
                <w:rFonts w:ascii="Traditional Arabic" w:eastAsia="Calibri" w:hAnsi="Traditional Arabic" w:cs="Traditional Arabic"/>
                <w:sz w:val="24"/>
                <w:szCs w:val="24"/>
                <w:rtl/>
                <w:lang w:bidi="ar-EG"/>
              </w:rPr>
            </w:pPr>
            <w:r w:rsidRPr="00C0082A">
              <w:rPr>
                <w:rFonts w:ascii="Traditional Arabic" w:eastAsia="Calibri" w:hAnsi="Traditional Arabic" w:cs="Traditional Arabic" w:hint="cs"/>
                <w:sz w:val="24"/>
                <w:szCs w:val="24"/>
                <w:rtl/>
              </w:rPr>
              <w:t>الجدول (</w:t>
            </w:r>
            <w:r>
              <w:rPr>
                <w:rFonts w:ascii="Traditional Arabic" w:eastAsia="Calibri" w:hAnsi="Traditional Arabic" w:cs="Traditional Arabic" w:hint="cs"/>
                <w:sz w:val="24"/>
                <w:szCs w:val="24"/>
                <w:rtl/>
              </w:rPr>
              <w:t>22</w:t>
            </w:r>
            <w:r w:rsidRPr="00C0082A">
              <w:rPr>
                <w:rFonts w:ascii="Traditional Arabic" w:eastAsia="Calibri" w:hAnsi="Traditional Arabic" w:cs="Traditional Arabic" w:hint="cs"/>
                <w:sz w:val="24"/>
                <w:szCs w:val="24"/>
                <w:rtl/>
              </w:rPr>
              <w:t>): نتائج اختبار</w:t>
            </w:r>
            <w:r w:rsidRPr="00C0082A">
              <w:rPr>
                <w:rFonts w:ascii="Traditional Arabic" w:eastAsia="Calibri" w:hAnsi="Traditional Arabic" w:cs="Traditional Arabic" w:hint="cs"/>
                <w:sz w:val="24"/>
                <w:szCs w:val="24"/>
                <w:lang w:bidi="ar-EG"/>
              </w:rPr>
              <w:t xml:space="preserve"> (T-test) </w:t>
            </w:r>
            <w:r w:rsidRPr="00C0082A">
              <w:rPr>
                <w:rFonts w:ascii="Traditional Arabic" w:eastAsia="Calibri" w:hAnsi="Traditional Arabic" w:cs="Traditional Arabic" w:hint="cs"/>
                <w:sz w:val="24"/>
                <w:szCs w:val="24"/>
                <w:rtl/>
              </w:rPr>
              <w:t>لاستجابات العينة باختلاف النوع</w:t>
            </w:r>
          </w:p>
        </w:tc>
        <w:tc>
          <w:tcPr>
            <w:tcW w:w="0" w:type="auto"/>
          </w:tcPr>
          <w:p w14:paraId="5E62AD95" w14:textId="77777777"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120</w:t>
            </w:r>
          </w:p>
        </w:tc>
      </w:tr>
      <w:tr w:rsidR="00CB1860" w:rsidRPr="00FF1999" w14:paraId="794B199D" w14:textId="77777777" w:rsidTr="00A75FFD">
        <w:trPr>
          <w:tblCellSpacing w:w="20" w:type="dxa"/>
        </w:trPr>
        <w:tc>
          <w:tcPr>
            <w:tcW w:w="0" w:type="auto"/>
          </w:tcPr>
          <w:p w14:paraId="395B5870" w14:textId="7913CA86" w:rsidR="00CB1860" w:rsidRPr="00C0082A" w:rsidRDefault="00CB1860" w:rsidP="00CB1860">
            <w:pPr>
              <w:bidi/>
              <w:spacing w:after="200" w:line="360" w:lineRule="auto"/>
              <w:contextualSpacing/>
              <w:jc w:val="both"/>
              <w:rPr>
                <w:rFonts w:ascii="Traditional Arabic" w:eastAsia="Calibri" w:hAnsi="Traditional Arabic" w:cs="Traditional Arabic"/>
                <w:sz w:val="24"/>
                <w:szCs w:val="24"/>
                <w:rtl/>
              </w:rPr>
            </w:pPr>
            <w:r w:rsidRPr="00C0082A">
              <w:rPr>
                <w:rFonts w:ascii="Traditional Arabic" w:eastAsia="Calibri" w:hAnsi="Traditional Arabic" w:cs="Traditional Arabic" w:hint="cs"/>
                <w:sz w:val="24"/>
                <w:szCs w:val="24"/>
                <w:rtl/>
              </w:rPr>
              <w:t>الجدول (</w:t>
            </w:r>
            <w:r>
              <w:rPr>
                <w:rFonts w:ascii="Traditional Arabic" w:eastAsia="Calibri" w:hAnsi="Traditional Arabic" w:cs="Traditional Arabic" w:hint="cs"/>
                <w:sz w:val="24"/>
                <w:szCs w:val="24"/>
                <w:rtl/>
              </w:rPr>
              <w:t>23</w:t>
            </w:r>
            <w:r w:rsidRPr="00C0082A">
              <w:rPr>
                <w:rFonts w:ascii="Traditional Arabic" w:eastAsia="Calibri" w:hAnsi="Traditional Arabic" w:cs="Traditional Arabic" w:hint="cs"/>
                <w:sz w:val="24"/>
                <w:szCs w:val="24"/>
                <w:rtl/>
              </w:rPr>
              <w:t>): نتائج اختبار تحليل التباين الأحادي</w:t>
            </w:r>
            <w:r w:rsidRPr="00C0082A">
              <w:rPr>
                <w:rFonts w:ascii="Traditional Arabic" w:eastAsia="Calibri" w:hAnsi="Traditional Arabic" w:cs="Traditional Arabic" w:hint="cs"/>
                <w:sz w:val="24"/>
                <w:szCs w:val="24"/>
                <w:lang w:bidi="ar-EG"/>
              </w:rPr>
              <w:t xml:space="preserve"> (One-Way ANOVA) </w:t>
            </w:r>
            <w:r w:rsidRPr="00C0082A">
              <w:rPr>
                <w:rFonts w:ascii="Traditional Arabic" w:eastAsia="Calibri" w:hAnsi="Traditional Arabic" w:cs="Traditional Arabic" w:hint="cs"/>
                <w:sz w:val="24"/>
                <w:szCs w:val="24"/>
                <w:rtl/>
              </w:rPr>
              <w:t>للفروق تعزى للمؤهل، الوظيفة، والخبرة</w:t>
            </w:r>
          </w:p>
        </w:tc>
        <w:tc>
          <w:tcPr>
            <w:tcW w:w="0" w:type="auto"/>
          </w:tcPr>
          <w:p w14:paraId="005C8AF2" w14:textId="77777777"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120</w:t>
            </w:r>
          </w:p>
        </w:tc>
      </w:tr>
      <w:tr w:rsidR="00CB1860" w:rsidRPr="00FF1999" w14:paraId="09F69235" w14:textId="77777777" w:rsidTr="00A75FFD">
        <w:trPr>
          <w:tblCellSpacing w:w="20" w:type="dxa"/>
        </w:trPr>
        <w:tc>
          <w:tcPr>
            <w:tcW w:w="0" w:type="auto"/>
          </w:tcPr>
          <w:p w14:paraId="5122829D" w14:textId="5348CE5B" w:rsidR="00CB1860" w:rsidRPr="00C0082A" w:rsidRDefault="00CB1860" w:rsidP="00CB1860">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w:t>
            </w:r>
            <w:r>
              <w:rPr>
                <w:rFonts w:ascii="Traditional Arabic" w:hAnsi="Traditional Arabic" w:cs="Traditional Arabic" w:hint="cs"/>
                <w:color w:val="000000" w:themeColor="text1"/>
                <w:sz w:val="24"/>
                <w:szCs w:val="24"/>
                <w:rtl/>
              </w:rPr>
              <w:t>24</w:t>
            </w:r>
            <w:r w:rsidRPr="00C0082A">
              <w:rPr>
                <w:rFonts w:ascii="Traditional Arabic" w:hAnsi="Traditional Arabic" w:cs="Traditional Arabic" w:hint="cs"/>
                <w:color w:val="000000" w:themeColor="text1"/>
                <w:sz w:val="24"/>
                <w:szCs w:val="24"/>
                <w:rtl/>
              </w:rPr>
              <w:t xml:space="preserve">) يلخص فرضيات الدراسة ونتائجها </w:t>
            </w:r>
          </w:p>
        </w:tc>
        <w:tc>
          <w:tcPr>
            <w:tcW w:w="0" w:type="auto"/>
          </w:tcPr>
          <w:p w14:paraId="33F99C86" w14:textId="295C37A6"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126</w:t>
            </w:r>
          </w:p>
        </w:tc>
      </w:tr>
      <w:tr w:rsidR="00CB1860" w:rsidRPr="00FF1999" w14:paraId="5A3E61B0" w14:textId="77777777" w:rsidTr="00A75FFD">
        <w:trPr>
          <w:tblCellSpacing w:w="20" w:type="dxa"/>
        </w:trPr>
        <w:tc>
          <w:tcPr>
            <w:tcW w:w="0" w:type="auto"/>
          </w:tcPr>
          <w:p w14:paraId="5353A058" w14:textId="4FDB2DEF" w:rsidR="00CB1860" w:rsidRPr="00C0082A" w:rsidRDefault="00CB1860" w:rsidP="00CB1860">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w:t>
            </w:r>
            <w:r>
              <w:rPr>
                <w:rFonts w:ascii="Traditional Arabic" w:hAnsi="Traditional Arabic" w:cs="Traditional Arabic" w:hint="cs"/>
                <w:color w:val="000000" w:themeColor="text1"/>
                <w:sz w:val="24"/>
                <w:szCs w:val="24"/>
                <w:rtl/>
              </w:rPr>
              <w:t>25</w:t>
            </w:r>
            <w:r w:rsidRPr="00C0082A">
              <w:rPr>
                <w:rFonts w:ascii="Traditional Arabic" w:hAnsi="Traditional Arabic" w:cs="Traditional Arabic" w:hint="cs"/>
                <w:color w:val="000000" w:themeColor="text1"/>
                <w:sz w:val="24"/>
                <w:szCs w:val="24"/>
                <w:rtl/>
              </w:rPr>
              <w:t>) يوضح توصيات الدراسة</w:t>
            </w:r>
          </w:p>
        </w:tc>
        <w:tc>
          <w:tcPr>
            <w:tcW w:w="0" w:type="auto"/>
          </w:tcPr>
          <w:p w14:paraId="4A3B2670" w14:textId="1EBDB29B"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133</w:t>
            </w:r>
          </w:p>
        </w:tc>
      </w:tr>
    </w:tbl>
    <w:p w14:paraId="709768D8" w14:textId="77777777" w:rsidR="00DA0F67" w:rsidRDefault="00DA0F67" w:rsidP="00DA0F67">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23BDE09" w14:textId="77777777" w:rsidR="002A6565" w:rsidRDefault="002A6565" w:rsidP="003F4C23">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1D46830" w14:textId="77777777" w:rsidR="00156EA9" w:rsidRDefault="00156EA9" w:rsidP="00CB1860">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u w:val="single"/>
          <w:rtl/>
        </w:rPr>
      </w:pPr>
    </w:p>
    <w:p w14:paraId="4D0EC758" w14:textId="77777777" w:rsidR="00156EA9" w:rsidRDefault="00156EA9" w:rsidP="00156EA9">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p>
    <w:p w14:paraId="69B201DF" w14:textId="1CADA7E5" w:rsidR="004959E0" w:rsidRDefault="004959E0" w:rsidP="00156EA9">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r w:rsidRPr="004959E0">
        <w:rPr>
          <w:rFonts w:ascii="Times New Roman" w:eastAsia="Times New Roman" w:hAnsi="Times New Roman" w:cs="Times New Roman" w:hint="cs"/>
          <w:b/>
          <w:bCs/>
          <w:color w:val="1C1C1C"/>
          <w:sz w:val="28"/>
          <w:szCs w:val="28"/>
          <w:u w:val="single"/>
          <w:rtl/>
        </w:rPr>
        <w:t>قائمة الأشكال</w:t>
      </w:r>
    </w:p>
    <w:p w14:paraId="03FAC72D" w14:textId="77777777" w:rsidR="004959E0" w:rsidRDefault="004959E0" w:rsidP="004959E0">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p>
    <w:tbl>
      <w:tblPr>
        <w:tblStyle w:val="TableGrid"/>
        <w:bidiVisual/>
        <w:tblW w:w="5000" w:type="pc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6240"/>
        <w:gridCol w:w="2050"/>
      </w:tblGrid>
      <w:tr w:rsidR="00156EA9" w:rsidRPr="0078379E" w14:paraId="150A16CC" w14:textId="77777777" w:rsidTr="00156EA9">
        <w:trPr>
          <w:tblCellSpacing w:w="20" w:type="dxa"/>
        </w:trPr>
        <w:tc>
          <w:tcPr>
            <w:tcW w:w="3691" w:type="pct"/>
            <w:shd w:val="clear" w:color="auto" w:fill="E5DFEC" w:themeFill="accent4" w:themeFillTint="33"/>
          </w:tcPr>
          <w:p w14:paraId="5B24FE95" w14:textId="77777777" w:rsidR="00156EA9" w:rsidRPr="0078379E" w:rsidRDefault="00156EA9" w:rsidP="00A75FFD">
            <w:pPr>
              <w:bidi/>
              <w:spacing w:before="50" w:after="50" w:line="240" w:lineRule="auto"/>
              <w:ind w:right="432"/>
              <w:rPr>
                <w:rFonts w:ascii="Traditional Arabic" w:eastAsia="Times New Roman" w:hAnsi="Traditional Arabic" w:cs="Traditional Arabic"/>
                <w:b/>
                <w:bCs/>
                <w:color w:val="1C1C1C"/>
                <w:sz w:val="24"/>
                <w:szCs w:val="24"/>
                <w:rtl/>
                <w:lang w:bidi="ar-EG"/>
              </w:rPr>
            </w:pPr>
            <w:r>
              <w:rPr>
                <w:rFonts w:ascii="Traditional Arabic" w:eastAsia="Times New Roman" w:hAnsi="Traditional Arabic" w:cs="Traditional Arabic" w:hint="cs"/>
                <w:b/>
                <w:bCs/>
                <w:color w:val="1C1C1C"/>
                <w:sz w:val="24"/>
                <w:szCs w:val="24"/>
                <w:rtl/>
                <w:lang w:bidi="ar-EG"/>
              </w:rPr>
              <w:t>الشكل</w:t>
            </w:r>
          </w:p>
        </w:tc>
        <w:tc>
          <w:tcPr>
            <w:tcW w:w="1189" w:type="pct"/>
            <w:shd w:val="clear" w:color="auto" w:fill="E5DFEC" w:themeFill="accent4" w:themeFillTint="33"/>
          </w:tcPr>
          <w:p w14:paraId="35478D72" w14:textId="77777777" w:rsidR="00156EA9" w:rsidRPr="0078379E" w:rsidRDefault="00156EA9" w:rsidP="00A75FFD">
            <w:pPr>
              <w:bidi/>
              <w:spacing w:before="50" w:after="50" w:line="240" w:lineRule="auto"/>
              <w:ind w:right="432"/>
              <w:rPr>
                <w:rFonts w:ascii="Traditional Arabic" w:eastAsia="Times New Roman" w:hAnsi="Traditional Arabic" w:cs="Traditional Arabic"/>
                <w:b/>
                <w:bCs/>
                <w:color w:val="1C1C1C"/>
                <w:sz w:val="24"/>
                <w:szCs w:val="24"/>
                <w:rtl/>
              </w:rPr>
            </w:pPr>
            <w:r>
              <w:rPr>
                <w:rFonts w:ascii="Traditional Arabic" w:eastAsia="Times New Roman" w:hAnsi="Traditional Arabic" w:cs="Traditional Arabic" w:hint="cs"/>
                <w:b/>
                <w:bCs/>
                <w:color w:val="1C1C1C"/>
                <w:sz w:val="24"/>
                <w:szCs w:val="24"/>
                <w:rtl/>
              </w:rPr>
              <w:t>الصفحة</w:t>
            </w:r>
          </w:p>
        </w:tc>
      </w:tr>
      <w:tr w:rsidR="00156EA9" w:rsidRPr="00FF1999" w14:paraId="67F0CD9F" w14:textId="77777777" w:rsidTr="00156EA9">
        <w:trPr>
          <w:tblCellSpacing w:w="20" w:type="dxa"/>
        </w:trPr>
        <w:tc>
          <w:tcPr>
            <w:tcW w:w="3691" w:type="pct"/>
          </w:tcPr>
          <w:p w14:paraId="3F19556B" w14:textId="77777777" w:rsidR="00156EA9" w:rsidRPr="0078379E" w:rsidRDefault="00156EA9" w:rsidP="00A75FFD">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الشكل ( 1 ) النموذج المفاهيمي للعلاقة بين المتغيرات</w:t>
            </w:r>
          </w:p>
        </w:tc>
        <w:tc>
          <w:tcPr>
            <w:tcW w:w="1189" w:type="pct"/>
          </w:tcPr>
          <w:p w14:paraId="49EEC462"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w:t>
            </w:r>
          </w:p>
        </w:tc>
      </w:tr>
      <w:tr w:rsidR="00156EA9" w:rsidRPr="00FF1999" w14:paraId="2A67E29B" w14:textId="77777777" w:rsidTr="00156EA9">
        <w:trPr>
          <w:tblCellSpacing w:w="20" w:type="dxa"/>
        </w:trPr>
        <w:tc>
          <w:tcPr>
            <w:tcW w:w="3691" w:type="pct"/>
          </w:tcPr>
          <w:p w14:paraId="1C0D4DCA" w14:textId="77777777" w:rsidR="00156EA9" w:rsidRPr="0078379E" w:rsidRDefault="00156EA9" w:rsidP="00A75FFD">
            <w:pPr>
              <w:bidi/>
              <w:spacing w:after="0" w:line="278" w:lineRule="auto"/>
              <w:rPr>
                <w:rFonts w:ascii="Traditional Arabic" w:hAnsi="Traditional Arabic" w:cs="Traditional Arabic"/>
                <w:sz w:val="24"/>
                <w:szCs w:val="24"/>
                <w:rtl/>
                <w:lang w:bidi="ar-EG"/>
              </w:rPr>
            </w:pPr>
            <w:r w:rsidRPr="00CF7747">
              <w:rPr>
                <w:rFonts w:ascii="Traditional Arabic" w:hAnsi="Traditional Arabic" w:cs="Traditional Arabic" w:hint="cs"/>
                <w:b/>
                <w:bCs/>
                <w:sz w:val="24"/>
                <w:szCs w:val="24"/>
                <w:rtl/>
              </w:rPr>
              <w:t>شكل (</w:t>
            </w:r>
            <w:r>
              <w:rPr>
                <w:rFonts w:ascii="Traditional Arabic" w:hAnsi="Traditional Arabic" w:cs="Traditional Arabic" w:hint="cs"/>
                <w:b/>
                <w:bCs/>
                <w:sz w:val="24"/>
                <w:szCs w:val="24"/>
                <w:rtl/>
              </w:rPr>
              <w:t>2</w:t>
            </w:r>
            <w:r w:rsidRPr="00CF7747">
              <w:rPr>
                <w:rFonts w:ascii="Traditional Arabic" w:hAnsi="Traditional Arabic" w:cs="Traditional Arabic" w:hint="cs"/>
                <w:b/>
                <w:bCs/>
                <w:sz w:val="24"/>
                <w:szCs w:val="24"/>
                <w:rtl/>
              </w:rPr>
              <w:t>) يوضح أبعاد إدارة المخاطر</w:t>
            </w:r>
          </w:p>
        </w:tc>
        <w:tc>
          <w:tcPr>
            <w:tcW w:w="1189" w:type="pct"/>
          </w:tcPr>
          <w:p w14:paraId="456E0FFB"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40</w:t>
            </w:r>
          </w:p>
        </w:tc>
      </w:tr>
      <w:tr w:rsidR="00156EA9" w:rsidRPr="00FF1999" w14:paraId="3D7879CB" w14:textId="77777777" w:rsidTr="00156EA9">
        <w:trPr>
          <w:tblCellSpacing w:w="20" w:type="dxa"/>
        </w:trPr>
        <w:tc>
          <w:tcPr>
            <w:tcW w:w="3691" w:type="pct"/>
          </w:tcPr>
          <w:p w14:paraId="6E6D26A7" w14:textId="77777777" w:rsidR="00156EA9" w:rsidRPr="0078379E" w:rsidRDefault="00156EA9" w:rsidP="00A75FFD">
            <w:pPr>
              <w:bidi/>
              <w:spacing w:after="0" w:line="278" w:lineRule="auto"/>
              <w:rPr>
                <w:rFonts w:ascii="Traditional Arabic" w:hAnsi="Traditional Arabic" w:cs="Traditional Arabic"/>
                <w:sz w:val="24"/>
                <w:szCs w:val="24"/>
                <w:rtl/>
                <w:lang w:bidi="ar-EG"/>
              </w:rPr>
            </w:pPr>
            <w:r w:rsidRPr="00F70920">
              <w:rPr>
                <w:rFonts w:ascii="Traditional Arabic" w:hAnsi="Traditional Arabic" w:cs="Traditional Arabic" w:hint="cs"/>
                <w:b/>
                <w:bCs/>
                <w:sz w:val="24"/>
                <w:szCs w:val="24"/>
                <w:rtl/>
              </w:rPr>
              <w:t>شكل (</w:t>
            </w:r>
            <w:r>
              <w:rPr>
                <w:rFonts w:ascii="Traditional Arabic" w:hAnsi="Traditional Arabic" w:cs="Traditional Arabic" w:hint="cs"/>
                <w:b/>
                <w:bCs/>
                <w:sz w:val="24"/>
                <w:szCs w:val="24"/>
                <w:rtl/>
              </w:rPr>
              <w:t>3</w:t>
            </w:r>
            <w:r w:rsidRPr="00F70920">
              <w:rPr>
                <w:rFonts w:ascii="Traditional Arabic" w:hAnsi="Traditional Arabic" w:cs="Traditional Arabic" w:hint="cs"/>
                <w:b/>
                <w:bCs/>
                <w:sz w:val="24"/>
                <w:szCs w:val="24"/>
                <w:rtl/>
              </w:rPr>
              <w:t>) يوضح أبعاد سلامة المرضى</w:t>
            </w:r>
          </w:p>
        </w:tc>
        <w:tc>
          <w:tcPr>
            <w:tcW w:w="1189" w:type="pct"/>
          </w:tcPr>
          <w:p w14:paraId="6C70C668"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62</w:t>
            </w:r>
          </w:p>
        </w:tc>
      </w:tr>
      <w:tr w:rsidR="00156EA9" w:rsidRPr="00FF1999" w14:paraId="77147DD5" w14:textId="77777777" w:rsidTr="00156EA9">
        <w:trPr>
          <w:tblCellSpacing w:w="20" w:type="dxa"/>
        </w:trPr>
        <w:tc>
          <w:tcPr>
            <w:tcW w:w="3691" w:type="pct"/>
          </w:tcPr>
          <w:p w14:paraId="51E53DE2" w14:textId="77777777" w:rsidR="00156EA9" w:rsidRPr="0078379E" w:rsidRDefault="00156EA9" w:rsidP="00A75FFD">
            <w:pPr>
              <w:tabs>
                <w:tab w:val="left" w:pos="416"/>
              </w:tabs>
              <w:bidi/>
              <w:spacing w:after="200" w:line="276" w:lineRule="auto"/>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الشكل (</w:t>
            </w:r>
            <w:r>
              <w:rPr>
                <w:rFonts w:ascii="Traditional Arabic" w:eastAsia="Calibri" w:hAnsi="Traditional Arabic" w:cs="Traditional Arabic" w:hint="cs"/>
                <w:b/>
                <w:bCs/>
                <w:sz w:val="24"/>
                <w:szCs w:val="24"/>
                <w:rtl/>
                <w:lang w:bidi="ar-EG"/>
              </w:rPr>
              <w:t>4</w:t>
            </w:r>
            <w:r w:rsidRPr="00742BC9">
              <w:rPr>
                <w:rFonts w:ascii="Traditional Arabic" w:eastAsia="Calibri" w:hAnsi="Traditional Arabic" w:cs="Traditional Arabic" w:hint="cs"/>
                <w:b/>
                <w:bCs/>
                <w:sz w:val="24"/>
                <w:szCs w:val="24"/>
                <w:rtl/>
                <w:lang w:bidi="ar-EG"/>
              </w:rPr>
              <w:t>) أدوات القيادة التحويلية</w:t>
            </w:r>
          </w:p>
        </w:tc>
        <w:tc>
          <w:tcPr>
            <w:tcW w:w="1189" w:type="pct"/>
          </w:tcPr>
          <w:p w14:paraId="6283D879"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74</w:t>
            </w:r>
          </w:p>
        </w:tc>
      </w:tr>
      <w:tr w:rsidR="00156EA9" w:rsidRPr="00FF1999" w14:paraId="5F20D9C1" w14:textId="77777777" w:rsidTr="00156EA9">
        <w:trPr>
          <w:tblCellSpacing w:w="20" w:type="dxa"/>
        </w:trPr>
        <w:tc>
          <w:tcPr>
            <w:tcW w:w="3691" w:type="pct"/>
          </w:tcPr>
          <w:p w14:paraId="682C5973" w14:textId="77777777" w:rsidR="00156EA9" w:rsidRPr="0078379E" w:rsidRDefault="00156EA9" w:rsidP="00A75FFD">
            <w:pPr>
              <w:bidi/>
              <w:spacing w:after="200" w:line="360" w:lineRule="auto"/>
              <w:contextualSpacing/>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الشكل (</w:t>
            </w:r>
            <w:r>
              <w:rPr>
                <w:rFonts w:ascii="Traditional Arabic" w:eastAsia="Calibri" w:hAnsi="Traditional Arabic" w:cs="Traditional Arabic" w:hint="cs"/>
                <w:b/>
                <w:bCs/>
                <w:sz w:val="24"/>
                <w:szCs w:val="24"/>
                <w:rtl/>
                <w:lang w:bidi="ar-EG"/>
              </w:rPr>
              <w:t>5</w:t>
            </w:r>
            <w:r w:rsidRPr="00742BC9">
              <w:rPr>
                <w:rFonts w:ascii="Traditional Arabic" w:eastAsia="Calibri" w:hAnsi="Traditional Arabic" w:cs="Traditional Arabic" w:hint="cs"/>
                <w:b/>
                <w:bCs/>
                <w:sz w:val="24"/>
                <w:szCs w:val="24"/>
                <w:rtl/>
                <w:lang w:bidi="ar-EG"/>
              </w:rPr>
              <w:t>) أبعاد القيادة التحويلية</w:t>
            </w:r>
          </w:p>
        </w:tc>
        <w:tc>
          <w:tcPr>
            <w:tcW w:w="1189" w:type="pct"/>
          </w:tcPr>
          <w:p w14:paraId="08708166"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76</w:t>
            </w:r>
          </w:p>
        </w:tc>
      </w:tr>
      <w:tr w:rsidR="00156EA9" w:rsidRPr="00FF1999" w14:paraId="10C0ABDE" w14:textId="77777777" w:rsidTr="00156EA9">
        <w:trPr>
          <w:tblCellSpacing w:w="20" w:type="dxa"/>
        </w:trPr>
        <w:tc>
          <w:tcPr>
            <w:tcW w:w="3691" w:type="pct"/>
          </w:tcPr>
          <w:p w14:paraId="0A4EA7B2" w14:textId="77777777" w:rsidR="00156EA9" w:rsidRPr="001E59F7" w:rsidRDefault="00156EA9" w:rsidP="00A75FFD">
            <w:pPr>
              <w:bidi/>
              <w:spacing w:after="200" w:line="276" w:lineRule="auto"/>
              <w:contextualSpacing/>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b/>
                <w:bCs/>
                <w:sz w:val="24"/>
                <w:szCs w:val="24"/>
                <w:rtl/>
                <w:lang w:bidi="ar-EG"/>
              </w:rPr>
              <w:t>الشكل (</w:t>
            </w:r>
            <w:r>
              <w:rPr>
                <w:rFonts w:ascii="Traditional Arabic" w:eastAsia="Calibri" w:hAnsi="Traditional Arabic" w:cs="Traditional Arabic" w:hint="cs"/>
                <w:b/>
                <w:bCs/>
                <w:sz w:val="24"/>
                <w:szCs w:val="24"/>
                <w:rtl/>
                <w:lang w:bidi="ar-EG"/>
              </w:rPr>
              <w:t>6</w:t>
            </w:r>
            <w:r w:rsidRPr="0038653A">
              <w:rPr>
                <w:rFonts w:ascii="Traditional Arabic" w:eastAsia="Calibri" w:hAnsi="Traditional Arabic" w:cs="Traditional Arabic" w:hint="cs"/>
                <w:b/>
                <w:bCs/>
                <w:sz w:val="24"/>
                <w:szCs w:val="24"/>
                <w:rtl/>
                <w:lang w:bidi="ar-EG"/>
              </w:rPr>
              <w:t>) عوامل نجاح القيادة التحويلية</w:t>
            </w:r>
          </w:p>
        </w:tc>
        <w:tc>
          <w:tcPr>
            <w:tcW w:w="1189" w:type="pct"/>
          </w:tcPr>
          <w:p w14:paraId="0683FE55"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81</w:t>
            </w:r>
          </w:p>
        </w:tc>
      </w:tr>
    </w:tbl>
    <w:p w14:paraId="11274416" w14:textId="77777777" w:rsidR="004959E0" w:rsidRPr="004959E0" w:rsidRDefault="004959E0" w:rsidP="004959E0">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CBBCAF1" w14:textId="54B99CA1" w:rsidR="004959E0" w:rsidRPr="004959E0" w:rsidRDefault="004959E0" w:rsidP="004959E0">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Pr>
        <w:sectPr w:rsidR="004959E0" w:rsidRPr="004959E0" w:rsidSect="002A6565">
          <w:pgSz w:w="11906" w:h="16838"/>
          <w:pgMar w:top="1440" w:right="1800" w:bottom="1440" w:left="1800" w:header="708" w:footer="708" w:gutter="0"/>
          <w:pgNumType w:fmt="arabicAlpha" w:start="1"/>
          <w:cols w:space="708"/>
          <w:bidi/>
          <w:rtlGutter/>
          <w:docGrid w:linePitch="360"/>
        </w:sectPr>
      </w:pPr>
    </w:p>
    <w:p w14:paraId="7486614A" w14:textId="77777777" w:rsidR="00266487" w:rsidRDefault="00266487" w:rsidP="003F4C23">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8C9BCC6"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EBA1BB7"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456D575"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BF49577"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5021FA5"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692C32"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60A3BAA"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80D83DD"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FFCDFF6"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D680A52"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92BD076" w14:textId="0328C05B" w:rsidR="00495DAE" w:rsidRPr="00266487" w:rsidRDefault="00266487" w:rsidP="00266487">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144"/>
          <w:szCs w:val="144"/>
          <w:rtl/>
        </w:rPr>
      </w:pPr>
      <w:r w:rsidRPr="00266487">
        <w:rPr>
          <w:rFonts w:ascii="Traditional Arabic" w:eastAsia="Times New Roman" w:hAnsi="Traditional Arabic" w:cs="Traditional Arabic" w:hint="cs"/>
          <w:b/>
          <w:bCs/>
          <w:color w:val="1C1C1C"/>
          <w:sz w:val="144"/>
          <w:szCs w:val="144"/>
          <w:rtl/>
        </w:rPr>
        <w:t>الفصل الأول</w:t>
      </w:r>
    </w:p>
    <w:p w14:paraId="38D69AA2" w14:textId="77777777" w:rsidR="00C354C4" w:rsidRDefault="00C354C4" w:rsidP="00CD715A">
      <w:pPr>
        <w:bidi/>
        <w:spacing w:after="200" w:line="276" w:lineRule="auto"/>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FD72A81" w14:textId="77777777" w:rsidR="00C354C4" w:rsidRDefault="00C354C4" w:rsidP="00C354C4">
      <w:pPr>
        <w:bidi/>
        <w:spacing w:after="200" w:line="276" w:lineRule="auto"/>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A8D7E36" w14:textId="77777777" w:rsidR="00266487" w:rsidRDefault="00266487" w:rsidP="00C354C4">
      <w:pPr>
        <w:bidi/>
        <w:spacing w:after="200" w:line="276" w:lineRule="auto"/>
        <w:rPr>
          <w:rFonts w:ascii="Traditional Arabic" w:hAnsi="Traditional Arabic" w:cs="Traditional Arabic"/>
          <w:b/>
          <w:bCs/>
          <w:color w:val="00B0F0"/>
          <w:sz w:val="32"/>
          <w:szCs w:val="32"/>
          <w:u w:val="single"/>
          <w:rtl/>
        </w:rPr>
      </w:pPr>
    </w:p>
    <w:p w14:paraId="3471B20F"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1494D220" w14:textId="73DAF818"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3F1A5CC4"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66872023"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721D9D82"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sectPr w:rsidR="00266487" w:rsidSect="00266487">
          <w:footerReference w:type="first" r:id="rId14"/>
          <w:pgSz w:w="11906" w:h="16838"/>
          <w:pgMar w:top="1440" w:right="1800" w:bottom="1440" w:left="1800" w:header="708" w:footer="708" w:gutter="0"/>
          <w:pgNumType w:start="0"/>
          <w:cols w:space="708"/>
          <w:titlePg/>
          <w:bidi/>
          <w:rtlGutter/>
          <w:docGrid w:linePitch="360"/>
        </w:sectPr>
      </w:pPr>
    </w:p>
    <w:p w14:paraId="02B695D8" w14:textId="75E481BE" w:rsidR="00C11026" w:rsidRPr="007E6E5B" w:rsidRDefault="00C11026" w:rsidP="00266487">
      <w:pPr>
        <w:bidi/>
        <w:spacing w:after="200" w:line="276" w:lineRule="auto"/>
        <w:rPr>
          <w:rFonts w:ascii="Traditional Arabic" w:hAnsi="Traditional Arabic" w:cs="Traditional Arabic"/>
          <w:b/>
          <w:bCs/>
          <w:color w:val="00B0F0"/>
          <w:sz w:val="32"/>
          <w:szCs w:val="32"/>
          <w:u w:val="single"/>
          <w:rtl/>
        </w:rPr>
      </w:pPr>
      <w:r w:rsidRPr="007E6E5B">
        <w:rPr>
          <w:rFonts w:ascii="Traditional Arabic" w:hAnsi="Traditional Arabic" w:cs="Traditional Arabic" w:hint="cs"/>
          <w:b/>
          <w:bCs/>
          <w:color w:val="00B0F0"/>
          <w:sz w:val="32"/>
          <w:szCs w:val="32"/>
          <w:u w:val="single"/>
          <w:rtl/>
        </w:rPr>
        <w:lastRenderedPageBreak/>
        <w:t>مقدمة الدراسة</w:t>
      </w:r>
    </w:p>
    <w:p w14:paraId="665E8F17" w14:textId="77777777"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برزت إدارة المخاطر كعنصر حاسم في ضمان تقديم رعاية عالية الجودة للمرضى. تشمل إدارة المخاطر منهجًا منظمًا لتحديد وتقييم وتخفيف المخاطر المحتملة. ويمكن أن تؤثر تلك المخاطر سلبًا على المرضى ومقدمي الرعاية الصحية والمنظمات. الهدف الأساسي لادارة المخاطر هو تقليل احتمالية وقوع أحداث سلبية وتعزيز سلامة المرضى. مما يؤدي الى تحسين جودة الرعاية الصحية بشكل عام (عثمان، 2022).</w:t>
      </w:r>
    </w:p>
    <w:p w14:paraId="5AB5B5AB" w14:textId="3F965D3D"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وتتضمن الإدارة الفعالة للمخاطر مجموعة من الممارسات، وتشمل </w:t>
      </w:r>
      <w:r w:rsidR="007A6E11" w:rsidRPr="006549C3">
        <w:rPr>
          <w:rFonts w:ascii="Traditional Arabic" w:hAnsi="Traditional Arabic" w:cs="Traditional Arabic" w:hint="cs"/>
          <w:color w:val="000000" w:themeColor="text1"/>
          <w:sz w:val="24"/>
          <w:szCs w:val="24"/>
          <w:rtl/>
          <w:lang w:bidi="ar-EG"/>
        </w:rPr>
        <w:t>ت</w:t>
      </w:r>
      <w:r w:rsidRPr="006549C3">
        <w:rPr>
          <w:rFonts w:ascii="Traditional Arabic" w:hAnsi="Traditional Arabic" w:cs="Traditional Arabic" w:hint="cs"/>
          <w:color w:val="000000" w:themeColor="text1"/>
          <w:sz w:val="24"/>
          <w:szCs w:val="24"/>
          <w:rtl/>
          <w:lang w:bidi="ar-EG"/>
        </w:rPr>
        <w:t>لك الممارسات تطوير السياسات والإجراءات، وتدريب الموظفين، وأنظمة الإبلاغ عن الحوادث، وعمليات التدقيق المنتظمة. ويمكن لمنظمات الرعاية الصحية من خلال معالجة المخاطر المحتملة بشكل استباقي، منع الأخطاء، وتقليل التباين في الرعاية، وتعزيز ثقافة السلامة (الغامدي، 2022).</w:t>
      </w:r>
    </w:p>
    <w:p w14:paraId="54E9B3A4" w14:textId="77777777"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كما أصبحت المنظمات المعاصرة تتسم بالمخاطر بسبب التغير والتعقد الكبير في بيئة الأعمال التي تحيط بها، فصارت المنظمات عرضة للتأثر بهذه المخاطر، ولما كانت الخطورة تتصف بعنصر المفاجأة فهذا يستدعي من الإدارات في مختلف المنظمات امتلاك القدرة على توقعها وتجنب حدوثها مع وجود مهارة عالية في إدارتها والتصدي لها عند حدوثها، وهنا تبرز أهمية القيـادة التحويلية في المنظمات في كيفية القدرة على التنبؤ بالتغييرات الحاصلة في البيئة الخارجية للمنظمات والتهديدات التي قد تؤثر بشكل سلبي عليها (</w:t>
      </w:r>
      <w:r w:rsidRPr="006549C3">
        <w:rPr>
          <w:rFonts w:ascii="Traditional Arabic" w:hAnsi="Traditional Arabic" w:cs="Traditional Arabic" w:hint="cs"/>
          <w:b/>
          <w:bCs/>
          <w:color w:val="000000" w:themeColor="text1"/>
          <w:sz w:val="24"/>
          <w:szCs w:val="24"/>
          <w:rtl/>
          <w:lang w:bidi="ar-EG"/>
        </w:rPr>
        <w:t>الحفني، 2017).</w:t>
      </w:r>
    </w:p>
    <w:p w14:paraId="35A27AE2" w14:textId="57F6B484"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أما القيادة التحويلية هي أحد أنماط الإدارة العديدة الموجودة في مؤسسات الرعاية الصحية</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ويعتبرها الكثيرون الأسلوب الذي يمكّن مؤسسات الرعاية الصحية من الاستجابة السريعة للتغيير والتحسين المستمر</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ويمكن أن تترجم هذه السمات وغيرها إلى تحسينات أكبر في سلامة المرضى .على سبيل المثال، قد يكون هدف المنشأة هو زيادة رضا المرضى . سيحدد قائد التمريض أهدافًا لتحسين خدمة العملاء، وتطوير مبادرة أو مبادرات بشكل تعاوني، وقياس النتائج على سبيل المثال، استبيان للمرضى - وإشراك الموظفين على طول الطريق (الغامدي،2022).</w:t>
      </w:r>
    </w:p>
    <w:p w14:paraId="16C8960E" w14:textId="50320F82"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وتعتبر القيادة التحويلية نظرية في القيادة حيث يقوم القائد بخلق بيئة مناسبة للعمل وستعمل على تحسين مخرجات الأعضاء الملتزمين في مجموعته. ويرتبط هذا النوع من القيادة بقوة بتحسين رعاية المرضى من خلال فرق عالية الأداء</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لذا تحتاج منظمات الرعاية الصحية إلى توفير تدريب منتظم لتطوير المهارات وبناء القدرات والثقافة التنظيمية. ستتمتع القيادة التحويلية لمديرين المستشفيات الجيدين بفرصة 6.2 مرة لتنفيذ بيئة سلامة جيدة( </w:t>
      </w:r>
      <w:r w:rsidRPr="006549C3">
        <w:rPr>
          <w:rFonts w:ascii="Traditional Arabic" w:hAnsi="Traditional Arabic" w:cs="Traditional Arabic" w:hint="cs"/>
          <w:color w:val="000000" w:themeColor="text1"/>
          <w:sz w:val="24"/>
          <w:szCs w:val="24"/>
          <w:lang w:bidi="ar-EG"/>
        </w:rPr>
        <w:t>Manisha V 2020</w:t>
      </w:r>
      <w:r w:rsidRPr="006549C3">
        <w:rPr>
          <w:rFonts w:ascii="Traditional Arabic" w:hAnsi="Traditional Arabic" w:cs="Traditional Arabic" w:hint="cs"/>
          <w:color w:val="000000" w:themeColor="text1"/>
          <w:sz w:val="24"/>
          <w:szCs w:val="24"/>
          <w:rtl/>
          <w:lang w:bidi="ar-EG"/>
        </w:rPr>
        <w:t>).</w:t>
      </w:r>
    </w:p>
    <w:p w14:paraId="27FE0CCE" w14:textId="77777777"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كما تعد القيادة التحويلية من أهم الأنماط القيادية القادرة على تحقيق الأهداف الأستراتيجية المستشفيات الحكومية ، بما تمتاز به من قدرة على تبديل الأدوار بين القادة والمرؤوسين الذين لديهم اطالع أكبر على المشكلات التي تواجههم بشكل يومي؛ مما يمكنهم من التعامل مع هذه المشكلات وإيجاد الحلول بفعالية أكبر (نور، 2020 ) وتظهر الأزمات بشكل فجائي عادة مما يسبب ارباكا المستشفيات </w:t>
      </w:r>
      <w:r w:rsidRPr="006549C3">
        <w:rPr>
          <w:rFonts w:ascii="Traditional Arabic" w:hAnsi="Traditional Arabic" w:cs="Traditional Arabic" w:hint="cs"/>
          <w:color w:val="000000" w:themeColor="text1"/>
          <w:sz w:val="24"/>
          <w:szCs w:val="24"/>
          <w:rtl/>
          <w:lang w:bidi="ar-EG"/>
        </w:rPr>
        <w:lastRenderedPageBreak/>
        <w:t>الحكومية ويهدد استمراريتها، ويضعف قدرتها على تقديم خدماتها، مما يستدعي وجود قيادة قادرة على اكتشاف الأزمات قبل وقوعها، وقادرة على استشراف المستقبل، والأستعداد له بشكل منظم لدرء المخاطر واحتوائها والتقليل من آثارها ومعالجتها (اليافعي، 2023).</w:t>
      </w:r>
    </w:p>
    <w:p w14:paraId="790CB6AF" w14:textId="77777777"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وتعتبر سلامة المرضى في مجال الرعاية الصحية قضية عالمية. لقد أوضحت الكثير من الدراسات أن القيادة الطبية فى المستشفيات لها تأثير كبير على سلامة المرضى حصريًا في العالم المتقدم.  القيادة والإدارة في مهنة الرعاية الصحية مهمة جدا. يمكن للقائد الجيد أن يحدث تطورا مفاجئًا في طريقة تقديم رعاية المرضى. إن التركيز الكبير على القادة الطبية من اطباء وتمريض على أدوارهم في نظام الرعاية الصحية يمكن أن يقلل من النتائج السلبية للمرضى ويحسن سلامة المرضى. أجريت هذه الدراسة لفهم تأثير القيادة التحويلية على سلامة المرضى ( </w:t>
      </w:r>
      <w:r w:rsidRPr="006549C3">
        <w:rPr>
          <w:rFonts w:ascii="Traditional Arabic" w:hAnsi="Traditional Arabic" w:cs="Traditional Arabic" w:hint="cs"/>
          <w:color w:val="000000" w:themeColor="text1"/>
          <w:sz w:val="24"/>
          <w:szCs w:val="24"/>
          <w:lang w:bidi="ar-EG"/>
        </w:rPr>
        <w:t>Fischer, S 2016</w:t>
      </w:r>
      <w:r w:rsidRPr="006549C3">
        <w:rPr>
          <w:rFonts w:ascii="Traditional Arabic" w:hAnsi="Traditional Arabic" w:cs="Traditional Arabic" w:hint="cs"/>
          <w:color w:val="000000" w:themeColor="text1"/>
          <w:sz w:val="24"/>
          <w:szCs w:val="24"/>
          <w:rtl/>
          <w:lang w:bidi="ar-EG"/>
        </w:rPr>
        <w:t>).</w:t>
      </w:r>
    </w:p>
    <w:p w14:paraId="06764EAB" w14:textId="3BE71A52"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وأصبحت المستشفيات الحكومية تتسم بالأزمات بسبب التغير والتعقد الكبير في بيئة </w:t>
      </w:r>
      <w:r w:rsidR="007A6E11" w:rsidRPr="006549C3">
        <w:rPr>
          <w:rFonts w:ascii="Traditional Arabic" w:hAnsi="Traditional Arabic" w:cs="Traditional Arabic" w:hint="cs"/>
          <w:color w:val="000000" w:themeColor="text1"/>
          <w:sz w:val="24"/>
          <w:szCs w:val="24"/>
          <w:rtl/>
          <w:lang w:bidi="ar-EG"/>
        </w:rPr>
        <w:t>الأعمال</w:t>
      </w:r>
      <w:r w:rsidRPr="006549C3">
        <w:rPr>
          <w:rFonts w:ascii="Traditional Arabic" w:hAnsi="Traditional Arabic" w:cs="Traditional Arabic" w:hint="cs"/>
          <w:color w:val="000000" w:themeColor="text1"/>
          <w:sz w:val="24"/>
          <w:szCs w:val="24"/>
          <w:rtl/>
          <w:lang w:bidi="ar-EG"/>
        </w:rPr>
        <w:t xml:space="preserve"> التي تحيط بها، فصارت المستشفيات الحكومية عرضة للتأثر بهذه الأزمات، ولما كانت الأزمـة تتصف بعنصر المفاجأة فهذا يستدعي من الأدارات في مختلف المستشفيات الحكومية </w:t>
      </w:r>
      <w:r w:rsidR="007A6E11" w:rsidRPr="006549C3">
        <w:rPr>
          <w:rFonts w:ascii="Traditional Arabic" w:hAnsi="Traditional Arabic" w:cs="Traditional Arabic" w:hint="cs"/>
          <w:color w:val="000000" w:themeColor="text1"/>
          <w:sz w:val="24"/>
          <w:szCs w:val="24"/>
          <w:rtl/>
          <w:lang w:bidi="ar-EG"/>
        </w:rPr>
        <w:t>إمتلاك</w:t>
      </w:r>
      <w:r w:rsidRPr="006549C3">
        <w:rPr>
          <w:rFonts w:ascii="Traditional Arabic" w:hAnsi="Traditional Arabic" w:cs="Traditional Arabic" w:hint="cs"/>
          <w:color w:val="000000" w:themeColor="text1"/>
          <w:sz w:val="24"/>
          <w:szCs w:val="24"/>
          <w:rtl/>
          <w:lang w:bidi="ar-EG"/>
        </w:rPr>
        <w:t xml:space="preserve"> القدرة على توقعها وتجنب حدوثها مع وجود مهارة عالية في إدارتها والتصدي لها عند حدوثها، وهنا تبرز أهمية القيـادة التحويلية في المستشفيات الحكومية في كيفية القدرة على التنبؤ بالتغييرات الحاصلة في البيئة الخارجية للمنظمات والتهديدات التي قد تؤثر بشكل سلبي عليها (الحفني، 2019 ).</w:t>
      </w:r>
    </w:p>
    <w:p w14:paraId="4552B7C6" w14:textId="339BCC13" w:rsidR="00D62444" w:rsidRPr="000F7C5D" w:rsidRDefault="00AD01DF" w:rsidP="000F7C5D">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ونجد معظم الدراسات تدور في المقام الأول حول الحالات الصحية الإيجابية المتعلقة إدارة المخاطر على سلامة المرضى. ومع ذلك، لم يتم إجراء سوى القليل من الأبحاث حول تأثير أسلوب القيادة على سلامة المرضى ، وخاصة الحالات الصحية السلبية، على سبيل المثال، الاكتئاب والقلق والإرهاق. اجتذبت القيادة التحويلية المزيد من الاهتمام التجريبي مقارنة بأنواع القيادة الأخرى في السنوات الأخيرة</w:t>
      </w:r>
      <w:r w:rsidR="000F7C5D">
        <w:rPr>
          <w:rFonts w:ascii="Traditional Arabic" w:hAnsi="Traditional Arabic" w:cs="Traditional Arabic" w:hint="cs"/>
          <w:color w:val="000000" w:themeColor="text1"/>
          <w:sz w:val="24"/>
          <w:szCs w:val="24"/>
          <w:rtl/>
          <w:lang w:bidi="ar-EG"/>
        </w:rPr>
        <w:t xml:space="preserve"> </w:t>
      </w:r>
      <w:r w:rsidRPr="000F7C5D">
        <w:rPr>
          <w:rFonts w:ascii="Traditional Arabic" w:hAnsi="Traditional Arabic" w:cs="Traditional Arabic" w:hint="cs"/>
          <w:color w:val="000000" w:themeColor="text1"/>
          <w:sz w:val="24"/>
          <w:szCs w:val="24"/>
          <w:rtl/>
          <w:lang w:bidi="ar-EG"/>
        </w:rPr>
        <w:t>(</w:t>
      </w:r>
      <w:r w:rsidRPr="000F7C5D">
        <w:rPr>
          <w:rFonts w:ascii="Traditional Arabic" w:hAnsi="Traditional Arabic" w:cs="Traditional Arabic" w:hint="cs"/>
          <w:color w:val="000000" w:themeColor="text1"/>
          <w:sz w:val="24"/>
          <w:szCs w:val="24"/>
          <w:lang w:bidi="ar-EG"/>
        </w:rPr>
        <w:t>Vainio</w:t>
      </w:r>
      <w:r w:rsidR="000F7C5D" w:rsidRPr="000F7C5D">
        <w:rPr>
          <w:rFonts w:ascii="Traditional Arabic" w:hAnsi="Traditional Arabic" w:cs="Traditional Arabic"/>
          <w:color w:val="000000" w:themeColor="text1"/>
          <w:sz w:val="24"/>
          <w:szCs w:val="24"/>
          <w:lang w:bidi="ar-EG"/>
        </w:rPr>
        <w:t>,2008</w:t>
      </w:r>
      <w:r w:rsidRPr="000F7C5D">
        <w:rPr>
          <w:rFonts w:ascii="Traditional Arabic" w:hAnsi="Traditional Arabic" w:cs="Traditional Arabic" w:hint="cs"/>
          <w:color w:val="000000" w:themeColor="text1"/>
          <w:sz w:val="24"/>
          <w:szCs w:val="24"/>
          <w:lang w:bidi="ar-EG"/>
        </w:rPr>
        <w:t xml:space="preserve"> </w:t>
      </w:r>
      <w:r w:rsidRPr="000F7C5D">
        <w:rPr>
          <w:rFonts w:ascii="Traditional Arabic" w:hAnsi="Traditional Arabic" w:cs="Traditional Arabic" w:hint="cs"/>
          <w:color w:val="000000" w:themeColor="text1"/>
          <w:sz w:val="24"/>
          <w:szCs w:val="24"/>
          <w:rtl/>
          <w:lang w:bidi="ar-EG"/>
        </w:rPr>
        <w:t>-</w:t>
      </w:r>
      <w:r w:rsidRPr="000F7C5D">
        <w:rPr>
          <w:rFonts w:ascii="Traditional Arabic" w:hAnsi="Traditional Arabic" w:cs="Traditional Arabic" w:hint="cs"/>
          <w:color w:val="000000" w:themeColor="text1"/>
          <w:sz w:val="24"/>
          <w:szCs w:val="24"/>
          <w:rtl/>
        </w:rPr>
        <w:t xml:space="preserve"> </w:t>
      </w:r>
      <w:r w:rsidRPr="000F7C5D">
        <w:rPr>
          <w:rFonts w:ascii="Traditional Arabic" w:hAnsi="Traditional Arabic" w:cs="Traditional Arabic" w:hint="cs"/>
          <w:color w:val="000000" w:themeColor="text1"/>
          <w:sz w:val="24"/>
          <w:szCs w:val="24"/>
          <w:rtl/>
          <w:lang w:bidi="ar-EG"/>
        </w:rPr>
        <w:t>شينز ب 2012).</w:t>
      </w:r>
    </w:p>
    <w:p w14:paraId="4F7CF354" w14:textId="585408AF" w:rsidR="00D62444" w:rsidRPr="000F7C5D" w:rsidRDefault="00AD01DF"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كما اقترحت بعض الدراسات أن المديرين يمكنهم الحفاظ على </w:t>
      </w:r>
      <w:r w:rsidRPr="006549C3">
        <w:rPr>
          <w:rFonts w:ascii="Traditional Arabic" w:hAnsi="Traditional Arabic" w:cs="Traditional Arabic" w:hint="cs"/>
          <w:color w:val="000000" w:themeColor="text1"/>
          <w:sz w:val="24"/>
          <w:szCs w:val="24"/>
          <w:rtl/>
        </w:rPr>
        <w:t>سلامة المرضى</w:t>
      </w:r>
      <w:r w:rsidRPr="006549C3">
        <w:rPr>
          <w:rFonts w:ascii="Traditional Arabic" w:hAnsi="Traditional Arabic" w:cs="Traditional Arabic" w:hint="cs"/>
          <w:color w:val="000000" w:themeColor="text1"/>
          <w:sz w:val="24"/>
          <w:szCs w:val="24"/>
          <w:rtl/>
          <w:lang w:bidi="ar-EG"/>
        </w:rPr>
        <w:t xml:space="preserve"> من خلال القيادة التحويلية وجد بعض الباحثين أن القيادة التحويلية مع </w:t>
      </w:r>
      <w:r w:rsidRPr="006549C3">
        <w:rPr>
          <w:rFonts w:ascii="Traditional Arabic" w:hAnsi="Traditional Arabic" w:cs="Traditional Arabic" w:hint="cs"/>
          <w:color w:val="000000" w:themeColor="text1"/>
          <w:sz w:val="24"/>
          <w:szCs w:val="24"/>
          <w:rtl/>
        </w:rPr>
        <w:t>وتحليل الدور الوسيط يودى الى</w:t>
      </w:r>
      <w:r w:rsidRPr="006549C3">
        <w:rPr>
          <w:rFonts w:ascii="Traditional Arabic" w:hAnsi="Traditional Arabic" w:cs="Traditional Arabic" w:hint="cs"/>
          <w:color w:val="000000" w:themeColor="text1"/>
          <w:sz w:val="24"/>
          <w:szCs w:val="24"/>
          <w:rtl/>
          <w:lang w:bidi="ar-EG"/>
        </w:rPr>
        <w:t xml:space="preserve"> إدارة المخاطر على سلامة المرضى بشكل ايجابى مع أن القيادة التحويلية يمكن أن </w:t>
      </w:r>
      <w:r w:rsidRPr="000F7C5D">
        <w:rPr>
          <w:rFonts w:ascii="Traditional Arabic" w:hAnsi="Traditional Arabic" w:cs="Traditional Arabic" w:hint="cs"/>
          <w:color w:val="000000" w:themeColor="text1"/>
          <w:sz w:val="24"/>
          <w:szCs w:val="24"/>
          <w:rtl/>
          <w:lang w:bidi="ar-EG"/>
        </w:rPr>
        <w:t>تخفف من الإرهاق الوظيفي بين موظفي صناعة إدارة المخاطر(جيل أ. أس 2006-</w:t>
      </w:r>
      <w:r w:rsidRPr="000F7C5D">
        <w:rPr>
          <w:rFonts w:ascii="Traditional Arabic" w:hAnsi="Traditional Arabic" w:cs="Traditional Arabic" w:hint="cs"/>
          <w:color w:val="000000" w:themeColor="text1"/>
          <w:sz w:val="24"/>
          <w:szCs w:val="24"/>
          <w:lang w:bidi="ar-EG"/>
        </w:rPr>
        <w:t xml:space="preserve">Liu </w:t>
      </w:r>
      <w:r w:rsidR="000F7C5D" w:rsidRPr="000F7C5D">
        <w:rPr>
          <w:rFonts w:ascii="Traditional Arabic" w:hAnsi="Traditional Arabic" w:cs="Traditional Arabic"/>
          <w:color w:val="000000" w:themeColor="text1"/>
          <w:sz w:val="24"/>
          <w:szCs w:val="24"/>
          <w:lang w:bidi="ar-EG"/>
        </w:rPr>
        <w:t>,2019</w:t>
      </w:r>
      <w:r w:rsidRPr="000F7C5D">
        <w:rPr>
          <w:rFonts w:ascii="Traditional Arabic" w:hAnsi="Traditional Arabic" w:cs="Traditional Arabic" w:hint="cs"/>
          <w:color w:val="000000" w:themeColor="text1"/>
          <w:sz w:val="24"/>
          <w:szCs w:val="24"/>
          <w:rtl/>
          <w:lang w:bidi="ar-EG"/>
        </w:rPr>
        <w:t>).</w:t>
      </w:r>
    </w:p>
    <w:p w14:paraId="0E257F1A" w14:textId="0051DB5C" w:rsidR="007A6E11" w:rsidRPr="006549C3" w:rsidRDefault="007A6E11" w:rsidP="006549C3">
      <w:pPr>
        <w:bidi/>
        <w:spacing w:line="360" w:lineRule="auto"/>
        <w:ind w:firstLine="720"/>
        <w:jc w:val="both"/>
        <w:rPr>
          <w:rFonts w:ascii="Traditional Arabic" w:hAnsi="Traditional Arabic" w:cs="Traditional Arabic"/>
          <w:color w:val="000000" w:themeColor="text1"/>
          <w:sz w:val="24"/>
          <w:szCs w:val="24"/>
          <w:lang w:bidi="ar-EG"/>
        </w:rPr>
      </w:pPr>
      <w:r w:rsidRPr="006549C3">
        <w:rPr>
          <w:rFonts w:ascii="Traditional Arabic" w:hAnsi="Traditional Arabic" w:cs="Traditional Arabic" w:hint="cs"/>
          <w:color w:val="000000" w:themeColor="text1"/>
          <w:sz w:val="24"/>
          <w:szCs w:val="24"/>
          <w:rtl/>
        </w:rPr>
        <w:t>تُطبق معظم المنظمات الصحية خططًا منهجية لإدارة المخاطر، وتُسند مسؤولية تنفيذها عادةً إلى القيادة العليا في المؤسسة</w:t>
      </w:r>
      <w:r w:rsidR="001A2117" w:rsidRPr="006549C3">
        <w:rPr>
          <w:rFonts w:ascii="Traditional Arabic" w:hAnsi="Traditional Arabic" w:cs="Traditional Arabic" w:hint="cs"/>
          <w:color w:val="000000" w:themeColor="text1"/>
          <w:sz w:val="24"/>
          <w:szCs w:val="24"/>
          <w:rtl/>
        </w:rPr>
        <w:t>،</w:t>
      </w:r>
      <w:r w:rsidRPr="006549C3">
        <w:rPr>
          <w:rFonts w:ascii="Traditional Arabic" w:hAnsi="Traditional Arabic" w:cs="Traditional Arabic" w:hint="cs"/>
          <w:color w:val="000000" w:themeColor="text1"/>
          <w:sz w:val="24"/>
          <w:szCs w:val="24"/>
          <w:rtl/>
        </w:rPr>
        <w:t xml:space="preserve"> وتُعد القيادة التحويلية، بأبعادها الأربعة: التأثير المثالي، الدافعية الإلهامية، الاستثارة الفكرية، والاعتبارات الفردية، من أهم الأنماط القيادية التي تُسهم في مواجهة المخاطر الصحية بفعالية</w:t>
      </w:r>
      <w:r w:rsidR="001A2117" w:rsidRPr="006549C3">
        <w:rPr>
          <w:rFonts w:ascii="Traditional Arabic" w:hAnsi="Traditional Arabic" w:cs="Traditional Arabic" w:hint="cs"/>
          <w:color w:val="000000" w:themeColor="text1"/>
          <w:sz w:val="24"/>
          <w:szCs w:val="24"/>
          <w:rtl/>
          <w:lang w:bidi="ar-EG"/>
        </w:rPr>
        <w:t>،</w:t>
      </w:r>
      <w:r w:rsidR="001A2117" w:rsidRPr="006549C3">
        <w:rPr>
          <w:rFonts w:ascii="Traditional Arabic" w:hAnsi="Traditional Arabic" w:cs="Traditional Arabic" w:hint="cs"/>
          <w:color w:val="000000" w:themeColor="text1"/>
          <w:sz w:val="24"/>
          <w:szCs w:val="24"/>
          <w:rtl/>
        </w:rPr>
        <w:t xml:space="preserve"> </w:t>
      </w:r>
      <w:r w:rsidRPr="006549C3">
        <w:rPr>
          <w:rFonts w:ascii="Traditional Arabic" w:hAnsi="Traditional Arabic" w:cs="Traditional Arabic" w:hint="cs"/>
          <w:color w:val="000000" w:themeColor="text1"/>
          <w:sz w:val="24"/>
          <w:szCs w:val="24"/>
          <w:rtl/>
        </w:rPr>
        <w:t>فعند حدوث الأزمات، تبادر القيادة إلى إعداد خطة استجابة أو تصور شامل يهدف إلى احتواء المخاطر ومنع انتشارها قدر الإمكان، والحد من آثارها السلبية ومعالجتها قبل استفحالها</w:t>
      </w:r>
      <w:r w:rsidR="001A2117" w:rsidRPr="006549C3">
        <w:rPr>
          <w:rFonts w:ascii="Traditional Arabic" w:hAnsi="Traditional Arabic" w:cs="Traditional Arabic" w:hint="cs"/>
          <w:color w:val="000000" w:themeColor="text1"/>
          <w:sz w:val="24"/>
          <w:szCs w:val="24"/>
          <w:rtl/>
        </w:rPr>
        <w:t>،</w:t>
      </w:r>
      <w:r w:rsidRPr="006549C3">
        <w:rPr>
          <w:rFonts w:ascii="Traditional Arabic" w:hAnsi="Traditional Arabic" w:cs="Traditional Arabic" w:hint="cs"/>
          <w:color w:val="000000" w:themeColor="text1"/>
          <w:sz w:val="24"/>
          <w:szCs w:val="24"/>
          <w:rtl/>
        </w:rPr>
        <w:t xml:space="preserve"> كما تسعى إلى استعادة النشاط في الأجزاء غير </w:t>
      </w:r>
      <w:r w:rsidRPr="006549C3">
        <w:rPr>
          <w:rFonts w:ascii="Traditional Arabic" w:hAnsi="Traditional Arabic" w:cs="Traditional Arabic" w:hint="cs"/>
          <w:color w:val="000000" w:themeColor="text1"/>
          <w:sz w:val="24"/>
          <w:szCs w:val="24"/>
          <w:rtl/>
        </w:rPr>
        <w:lastRenderedPageBreak/>
        <w:t>المتأثرة، وإعادة التوازن تدريجيًا لتعويض ما تم فقده أثناء الأزمة</w:t>
      </w:r>
      <w:r w:rsidR="001A2117" w:rsidRPr="006549C3">
        <w:rPr>
          <w:rFonts w:ascii="Traditional Arabic" w:hAnsi="Traditional Arabic" w:cs="Traditional Arabic" w:hint="cs"/>
          <w:color w:val="000000" w:themeColor="text1"/>
          <w:sz w:val="24"/>
          <w:szCs w:val="24"/>
          <w:rtl/>
          <w:lang w:bidi="ar-EG"/>
        </w:rPr>
        <w:t>،</w:t>
      </w:r>
      <w:r w:rsidR="001A2117" w:rsidRPr="006549C3">
        <w:rPr>
          <w:rFonts w:ascii="Traditional Arabic" w:hAnsi="Traditional Arabic" w:cs="Traditional Arabic" w:hint="cs"/>
          <w:color w:val="000000" w:themeColor="text1"/>
          <w:sz w:val="24"/>
          <w:szCs w:val="24"/>
          <w:rtl/>
        </w:rPr>
        <w:t xml:space="preserve"> </w:t>
      </w:r>
      <w:r w:rsidRPr="006549C3">
        <w:rPr>
          <w:rFonts w:ascii="Traditional Arabic" w:hAnsi="Traditional Arabic" w:cs="Traditional Arabic" w:hint="cs"/>
          <w:color w:val="000000" w:themeColor="text1"/>
          <w:sz w:val="24"/>
          <w:szCs w:val="24"/>
          <w:rtl/>
        </w:rPr>
        <w:t>ومن الضروري أن يستفيد القائد من الخبرات السابقة في التعامل مع المخاطر، وأن يوظفها في تحسين الاستجابة المستقبلية وتعزيز جاهزية المنظمة (المهلاوي، 2020)</w:t>
      </w:r>
      <w:r w:rsidRPr="006549C3">
        <w:rPr>
          <w:rFonts w:ascii="Traditional Arabic" w:hAnsi="Traditional Arabic" w:cs="Traditional Arabic" w:hint="cs"/>
          <w:color w:val="000000" w:themeColor="text1"/>
          <w:sz w:val="24"/>
          <w:szCs w:val="24"/>
          <w:lang w:bidi="ar-EG"/>
        </w:rPr>
        <w:t>.</w:t>
      </w:r>
    </w:p>
    <w:p w14:paraId="395AC777" w14:textId="5F591197" w:rsidR="007A6E11" w:rsidRPr="000F7C5D" w:rsidRDefault="00AD01DF" w:rsidP="006549C3">
      <w:pPr>
        <w:bidi/>
        <w:spacing w:line="360" w:lineRule="auto"/>
        <w:ind w:firstLine="720"/>
        <w:jc w:val="both"/>
        <w:rPr>
          <w:rFonts w:ascii="Traditional Arabic" w:hAnsi="Traditional Arabic" w:cs="Traditional Arabic"/>
          <w:color w:val="000000" w:themeColor="text1"/>
          <w:sz w:val="24"/>
          <w:szCs w:val="24"/>
          <w:rtl/>
          <w:lang w:bidi="ar-EG"/>
        </w:rPr>
      </w:pPr>
      <w:r w:rsidRPr="000F7C5D">
        <w:rPr>
          <w:rFonts w:ascii="Traditional Arabic" w:hAnsi="Traditional Arabic" w:cs="Traditional Arabic" w:hint="cs"/>
          <w:color w:val="000000" w:themeColor="text1"/>
          <w:sz w:val="24"/>
          <w:szCs w:val="24"/>
          <w:rtl/>
          <w:lang w:bidi="ar-EG"/>
        </w:rPr>
        <w:t>كما يُعدّ القطاع الصحي من أبرز القطاعات وأهمها في أي دولة نظراً لتأثيره الكبير على الأفراد والمجتمع، فاذا توفر نظام صحي قادر على مواجهة المخاطر ظهر ذلك على القطاعات الأخرى في الدولة، و قد أصبحت المخاطر حدثاً مًتوقعا لجميع المنظمات في هذا العصر المليء بالمتغيرات والمستجدات، وكلما استطاعت المنظمـة التأقلم مع المتغيرات، كان لديها القدرة على التعامل مع المخاطر بثبات واتزان، ومن هذا المنطلق تنبع أهمية دراسة المخاطر في محاولة لتصنيف وتحليل وتقييم المخاطر تبعا لاحتمال الحدوث وشدة الخطورة ودرجة التحكم من قبل المنظمـة وذلك كله بغرض مواجهة المخاطر المحتملة (الحفني،2017).</w:t>
      </w:r>
    </w:p>
    <w:p w14:paraId="53AEB38A" w14:textId="2BE989DE" w:rsidR="00AD01DF" w:rsidRPr="00844164" w:rsidRDefault="00883E09" w:rsidP="007A6E11">
      <w:pPr>
        <w:bidi/>
        <w:spacing w:after="200" w:line="276" w:lineRule="auto"/>
        <w:rPr>
          <w:rFonts w:ascii="Traditional Arabic" w:hAnsi="Traditional Arabic" w:cs="Traditional Arabic"/>
          <w:b/>
          <w:bCs/>
          <w:color w:val="00B0F0"/>
          <w:sz w:val="28"/>
          <w:szCs w:val="28"/>
          <w:u w:val="single"/>
          <w:rtl/>
        </w:rPr>
      </w:pPr>
      <w:r w:rsidRPr="00844164">
        <w:rPr>
          <w:rFonts w:ascii="Traditional Arabic" w:hAnsi="Traditional Arabic" w:cs="Traditional Arabic" w:hint="cs"/>
          <w:b/>
          <w:bCs/>
          <w:color w:val="00B0F0"/>
          <w:sz w:val="28"/>
          <w:szCs w:val="28"/>
          <w:u w:val="single"/>
          <w:rtl/>
        </w:rPr>
        <w:t>مشكلة الدراسة</w:t>
      </w:r>
      <w:r w:rsidR="00231AB1" w:rsidRPr="00844164">
        <w:rPr>
          <w:rFonts w:ascii="Traditional Arabic" w:hAnsi="Traditional Arabic" w:cs="Traditional Arabic" w:hint="cs"/>
          <w:b/>
          <w:bCs/>
          <w:color w:val="00B0F0"/>
          <w:sz w:val="28"/>
          <w:szCs w:val="28"/>
          <w:u w:val="single"/>
          <w:rtl/>
        </w:rPr>
        <w:t xml:space="preserve"> وأسئلتها</w:t>
      </w:r>
      <w:r w:rsidR="00AD01DF" w:rsidRPr="00844164">
        <w:rPr>
          <w:rFonts w:ascii="Traditional Arabic" w:hAnsi="Traditional Arabic" w:cs="Traditional Arabic" w:hint="cs"/>
          <w:b/>
          <w:bCs/>
          <w:color w:val="00B0F0"/>
          <w:sz w:val="28"/>
          <w:szCs w:val="28"/>
          <w:u w:val="single"/>
          <w:rtl/>
        </w:rPr>
        <w:t>:</w:t>
      </w:r>
    </w:p>
    <w:p w14:paraId="00BEAA31" w14:textId="1AF8F1A9" w:rsidR="00D62444" w:rsidRPr="000F7C5D" w:rsidRDefault="005E52AA" w:rsidP="000F7C5D">
      <w:pPr>
        <w:bidi/>
        <w:spacing w:line="276" w:lineRule="auto"/>
        <w:ind w:firstLine="720"/>
        <w:jc w:val="both"/>
        <w:rPr>
          <w:rFonts w:ascii="Traditional Arabic" w:hAnsi="Traditional Arabic" w:cs="Traditional Arabic"/>
          <w:sz w:val="24"/>
          <w:szCs w:val="24"/>
          <w:rtl/>
          <w:lang w:bidi="ar-EG"/>
        </w:rPr>
      </w:pPr>
      <w:r w:rsidRPr="000F7C5D">
        <w:rPr>
          <w:rFonts w:ascii="Traditional Arabic" w:hAnsi="Traditional Arabic" w:cs="Traditional Arabic" w:hint="cs"/>
          <w:sz w:val="24"/>
          <w:szCs w:val="24"/>
          <w:rtl/>
          <w:lang w:bidi="ar-EG"/>
        </w:rPr>
        <w:t xml:space="preserve">تسعى الدراسة للإجابة عن </w:t>
      </w:r>
      <w:r w:rsidR="00A21099" w:rsidRPr="000F7C5D">
        <w:rPr>
          <w:rFonts w:ascii="Traditional Arabic" w:hAnsi="Traditional Arabic" w:cs="Traditional Arabic" w:hint="cs"/>
          <w:sz w:val="24"/>
          <w:szCs w:val="24"/>
          <w:rtl/>
          <w:lang w:bidi="ar-EG"/>
        </w:rPr>
        <w:t>التساؤل</w:t>
      </w:r>
      <w:r w:rsidR="0078722F">
        <w:rPr>
          <w:rFonts w:ascii="Traditional Arabic" w:hAnsi="Traditional Arabic" w:cs="Traditional Arabic" w:hint="cs"/>
          <w:sz w:val="24"/>
          <w:szCs w:val="24"/>
          <w:rtl/>
          <w:lang w:bidi="ar-EG"/>
        </w:rPr>
        <w:t xml:space="preserve"> الرئيسي</w:t>
      </w:r>
      <w:r w:rsidRPr="000F7C5D">
        <w:rPr>
          <w:rFonts w:ascii="Traditional Arabic" w:hAnsi="Traditional Arabic" w:cs="Traditional Arabic" w:hint="cs"/>
          <w:sz w:val="24"/>
          <w:szCs w:val="24"/>
          <w:rtl/>
          <w:lang w:bidi="ar-EG"/>
        </w:rPr>
        <w:t xml:space="preserve"> </w:t>
      </w:r>
      <w:r w:rsidR="00A21099" w:rsidRPr="000F7C5D">
        <w:rPr>
          <w:rFonts w:ascii="Traditional Arabic" w:hAnsi="Traditional Arabic" w:cs="Traditional Arabic" w:hint="cs"/>
          <w:sz w:val="24"/>
          <w:szCs w:val="24"/>
          <w:rtl/>
          <w:lang w:bidi="ar-EG"/>
        </w:rPr>
        <w:t>التالي</w:t>
      </w:r>
      <w:r w:rsidRPr="000F7C5D">
        <w:rPr>
          <w:rFonts w:ascii="Traditional Arabic" w:hAnsi="Traditional Arabic" w:cs="Traditional Arabic" w:hint="cs"/>
          <w:sz w:val="24"/>
          <w:szCs w:val="24"/>
          <w:rtl/>
          <w:lang w:bidi="ar-EG"/>
        </w:rPr>
        <w:t>:</w:t>
      </w:r>
    </w:p>
    <w:p w14:paraId="012AF624" w14:textId="77777777" w:rsidR="0078722F" w:rsidRPr="0078722F" w:rsidRDefault="0078722F" w:rsidP="0078722F">
      <w:pPr>
        <w:bidi/>
        <w:spacing w:line="276" w:lineRule="auto"/>
        <w:jc w:val="both"/>
        <w:rPr>
          <w:rFonts w:ascii="Traditional Arabic" w:hAnsi="Traditional Arabic" w:cs="Traditional Arabic"/>
          <w:b/>
          <w:bCs/>
          <w:sz w:val="24"/>
          <w:szCs w:val="24"/>
          <w:lang w:bidi="ar-EG"/>
        </w:rPr>
      </w:pPr>
      <w:r w:rsidRPr="0078722F">
        <w:rPr>
          <w:rFonts w:ascii="Traditional Arabic" w:hAnsi="Traditional Arabic" w:cs="Traditional Arabic"/>
          <w:b/>
          <w:bCs/>
          <w:sz w:val="24"/>
          <w:szCs w:val="24"/>
          <w:lang w:bidi="ar-EG"/>
        </w:rPr>
        <w:t>"</w:t>
      </w:r>
      <w:r w:rsidRPr="0078722F">
        <w:rPr>
          <w:rFonts w:ascii="Traditional Arabic" w:hAnsi="Traditional Arabic" w:cs="Traditional Arabic"/>
          <w:b/>
          <w:bCs/>
          <w:sz w:val="24"/>
          <w:szCs w:val="24"/>
          <w:rtl/>
        </w:rPr>
        <w:t>ما أثر ممارسات إدارة المخاطر على سلامة المرضى في المستشفيات الحكومية بالمملكة العربية السعودية في ظل الدور الوسيط للقيادة التحويلية؟</w:t>
      </w:r>
      <w:r w:rsidRPr="0078722F">
        <w:rPr>
          <w:rFonts w:ascii="Traditional Arabic" w:hAnsi="Traditional Arabic" w:cs="Traditional Arabic"/>
          <w:b/>
          <w:bCs/>
          <w:sz w:val="24"/>
          <w:szCs w:val="24"/>
          <w:lang w:bidi="ar-EG"/>
        </w:rPr>
        <w:t>"</w:t>
      </w:r>
    </w:p>
    <w:p w14:paraId="0FFA520B" w14:textId="3240C5DD" w:rsidR="00AD01DF" w:rsidRPr="000F7C5D" w:rsidRDefault="00AD01DF" w:rsidP="000F7C5D">
      <w:pPr>
        <w:bidi/>
        <w:spacing w:line="276" w:lineRule="auto"/>
        <w:jc w:val="both"/>
        <w:rPr>
          <w:rFonts w:ascii="Traditional Arabic" w:hAnsi="Traditional Arabic" w:cs="Traditional Arabic"/>
          <w:b/>
          <w:bCs/>
          <w:sz w:val="24"/>
          <w:szCs w:val="24"/>
          <w:rtl/>
          <w:lang w:bidi="ar-EG"/>
        </w:rPr>
      </w:pPr>
      <w:r w:rsidRPr="000F7C5D">
        <w:rPr>
          <w:rFonts w:ascii="Traditional Arabic" w:hAnsi="Traditional Arabic" w:cs="Traditional Arabic" w:hint="cs"/>
          <w:b/>
          <w:bCs/>
          <w:sz w:val="24"/>
          <w:szCs w:val="24"/>
          <w:rtl/>
          <w:lang w:bidi="ar-EG"/>
        </w:rPr>
        <w:t xml:space="preserve">والذي تتفرع منه </w:t>
      </w:r>
      <w:r w:rsidR="00A60118" w:rsidRPr="000F7C5D">
        <w:rPr>
          <w:rFonts w:ascii="Traditional Arabic" w:hAnsi="Traditional Arabic" w:cs="Traditional Arabic" w:hint="cs"/>
          <w:b/>
          <w:bCs/>
          <w:sz w:val="24"/>
          <w:szCs w:val="24"/>
          <w:rtl/>
          <w:lang w:bidi="ar-EG"/>
        </w:rPr>
        <w:t>التساؤلات</w:t>
      </w:r>
      <w:r w:rsidRPr="000F7C5D">
        <w:rPr>
          <w:rFonts w:ascii="Traditional Arabic" w:hAnsi="Traditional Arabic" w:cs="Traditional Arabic" w:hint="cs"/>
          <w:b/>
          <w:bCs/>
          <w:sz w:val="24"/>
          <w:szCs w:val="24"/>
          <w:rtl/>
          <w:lang w:bidi="ar-EG"/>
        </w:rPr>
        <w:t xml:space="preserve"> التالية:</w:t>
      </w:r>
    </w:p>
    <w:p w14:paraId="5B293BDA" w14:textId="09AEC424" w:rsidR="0078722F" w:rsidRPr="0078722F" w:rsidRDefault="0078722F">
      <w:pPr>
        <w:numPr>
          <w:ilvl w:val="0"/>
          <w:numId w:val="44"/>
        </w:numPr>
        <w:bidi/>
        <w:spacing w:after="200" w:line="276" w:lineRule="auto"/>
        <w:rPr>
          <w:rFonts w:ascii="Traditional Arabic" w:hAnsi="Traditional Arabic" w:cs="Traditional Arabic"/>
          <w:sz w:val="24"/>
          <w:szCs w:val="24"/>
        </w:rPr>
      </w:pPr>
      <w:r w:rsidRPr="0078722F">
        <w:rPr>
          <w:rFonts w:ascii="Traditional Arabic" w:hAnsi="Traditional Arabic" w:cs="Traditional Arabic"/>
          <w:b/>
          <w:bCs/>
          <w:sz w:val="24"/>
          <w:szCs w:val="24"/>
          <w:rtl/>
        </w:rPr>
        <w:t xml:space="preserve">التساؤل الأول </w:t>
      </w:r>
      <w:r>
        <w:rPr>
          <w:rFonts w:ascii="Traditional Arabic" w:hAnsi="Traditional Arabic" w:cs="Traditional Arabic" w:hint="cs"/>
          <w:b/>
          <w:bCs/>
          <w:sz w:val="24"/>
          <w:szCs w:val="24"/>
          <w:rtl/>
        </w:rPr>
        <w:t>:</w:t>
      </w:r>
      <w:r w:rsidRPr="0078722F">
        <w:rPr>
          <w:rFonts w:ascii="Traditional Arabic" w:hAnsi="Traditional Arabic" w:cs="Traditional Arabic"/>
          <w:b/>
          <w:bCs/>
          <w:sz w:val="24"/>
          <w:szCs w:val="24"/>
        </w:rPr>
        <w:t xml:space="preserve"> "</w:t>
      </w:r>
      <w:r w:rsidRPr="0078722F">
        <w:rPr>
          <w:rFonts w:ascii="Traditional Arabic" w:hAnsi="Traditional Arabic" w:cs="Traditional Arabic"/>
          <w:sz w:val="24"/>
          <w:szCs w:val="24"/>
          <w:rtl/>
        </w:rPr>
        <w:t>ما مستوى تطبيق ممارسات إدارة المخاطر، ومستوى تبني القيادة التحويلية، والالتزام بمعايير سلامة المرضى في المستشفيات الحكومية بالمملكة العربية السعودية من وجهة نظر العاملين؟</w:t>
      </w:r>
      <w:r w:rsidRPr="0078722F">
        <w:rPr>
          <w:rFonts w:ascii="Traditional Arabic" w:hAnsi="Traditional Arabic" w:cs="Traditional Arabic"/>
          <w:sz w:val="24"/>
          <w:szCs w:val="24"/>
        </w:rPr>
        <w:t>"</w:t>
      </w:r>
    </w:p>
    <w:p w14:paraId="57EA0963" w14:textId="42D0CC66" w:rsidR="0078722F" w:rsidRPr="0078722F" w:rsidRDefault="0078722F">
      <w:pPr>
        <w:numPr>
          <w:ilvl w:val="0"/>
          <w:numId w:val="44"/>
        </w:numPr>
        <w:bidi/>
        <w:spacing w:after="200" w:line="276" w:lineRule="auto"/>
        <w:rPr>
          <w:rFonts w:ascii="Traditional Arabic" w:hAnsi="Traditional Arabic" w:cs="Traditional Arabic"/>
          <w:b/>
          <w:bCs/>
          <w:sz w:val="24"/>
          <w:szCs w:val="24"/>
        </w:rPr>
      </w:pPr>
      <w:r w:rsidRPr="0078722F">
        <w:rPr>
          <w:rFonts w:ascii="Traditional Arabic" w:hAnsi="Traditional Arabic" w:cs="Traditional Arabic"/>
          <w:b/>
          <w:bCs/>
          <w:sz w:val="24"/>
          <w:szCs w:val="24"/>
          <w:rtl/>
        </w:rPr>
        <w:t xml:space="preserve">التساؤل الثاني </w:t>
      </w:r>
      <w:r>
        <w:rPr>
          <w:rFonts w:ascii="Traditional Arabic" w:hAnsi="Traditional Arabic" w:cs="Traditional Arabic" w:hint="cs"/>
          <w:b/>
          <w:bCs/>
          <w:sz w:val="24"/>
          <w:szCs w:val="24"/>
          <w:rtl/>
        </w:rPr>
        <w:t>:</w:t>
      </w:r>
      <w:r w:rsidRPr="0078722F">
        <w:rPr>
          <w:rFonts w:ascii="Traditional Arabic" w:hAnsi="Traditional Arabic" w:cs="Traditional Arabic"/>
          <w:b/>
          <w:bCs/>
          <w:sz w:val="24"/>
          <w:szCs w:val="24"/>
        </w:rPr>
        <w:t xml:space="preserve"> "</w:t>
      </w:r>
      <w:r w:rsidRPr="0078722F">
        <w:rPr>
          <w:rFonts w:ascii="Traditional Arabic" w:hAnsi="Traditional Arabic" w:cs="Traditional Arabic"/>
          <w:sz w:val="24"/>
          <w:szCs w:val="24"/>
          <w:rtl/>
        </w:rPr>
        <w:t xml:space="preserve">ما طبيعة العلاقة الارتباطية المتبادلة بين ممارسات إدارة المخاطر، </w:t>
      </w:r>
      <w:r w:rsidR="00601188">
        <w:rPr>
          <w:rFonts w:ascii="Traditional Arabic" w:hAnsi="Traditional Arabic" w:cs="Traditional Arabic" w:hint="cs"/>
          <w:sz w:val="24"/>
          <w:szCs w:val="24"/>
          <w:rtl/>
        </w:rPr>
        <w:t>والقيادة</w:t>
      </w:r>
      <w:r w:rsidRPr="0078722F">
        <w:rPr>
          <w:rFonts w:ascii="Traditional Arabic" w:hAnsi="Traditional Arabic" w:cs="Traditional Arabic"/>
          <w:sz w:val="24"/>
          <w:szCs w:val="24"/>
          <w:rtl/>
        </w:rPr>
        <w:t xml:space="preserve"> التحويلية، وسلامة المرضى في المستشفيات الحكومية بالمملكة العربية السعودية؟</w:t>
      </w:r>
      <w:r w:rsidRPr="0078722F">
        <w:rPr>
          <w:rFonts w:ascii="Traditional Arabic" w:hAnsi="Traditional Arabic" w:cs="Traditional Arabic"/>
          <w:sz w:val="24"/>
          <w:szCs w:val="24"/>
        </w:rPr>
        <w:t>"</w:t>
      </w:r>
    </w:p>
    <w:p w14:paraId="48770A15" w14:textId="71337EB0" w:rsidR="0078722F" w:rsidRPr="0078722F" w:rsidRDefault="0078722F">
      <w:pPr>
        <w:numPr>
          <w:ilvl w:val="0"/>
          <w:numId w:val="44"/>
        </w:numPr>
        <w:bidi/>
        <w:spacing w:after="200" w:line="276" w:lineRule="auto"/>
        <w:rPr>
          <w:rFonts w:ascii="Traditional Arabic" w:hAnsi="Traditional Arabic" w:cs="Traditional Arabic"/>
          <w:b/>
          <w:bCs/>
          <w:sz w:val="24"/>
          <w:szCs w:val="24"/>
        </w:rPr>
      </w:pPr>
      <w:r w:rsidRPr="0078722F">
        <w:rPr>
          <w:rFonts w:ascii="Traditional Arabic" w:hAnsi="Traditional Arabic" w:cs="Traditional Arabic"/>
          <w:b/>
          <w:bCs/>
          <w:sz w:val="24"/>
          <w:szCs w:val="24"/>
          <w:rtl/>
        </w:rPr>
        <w:t xml:space="preserve">التساؤل الثالث </w:t>
      </w:r>
      <w:r>
        <w:rPr>
          <w:rFonts w:ascii="Traditional Arabic" w:hAnsi="Traditional Arabic" w:cs="Traditional Arabic" w:hint="cs"/>
          <w:b/>
          <w:bCs/>
          <w:sz w:val="24"/>
          <w:szCs w:val="24"/>
          <w:rtl/>
        </w:rPr>
        <w:t>:</w:t>
      </w:r>
      <w:r w:rsidRPr="0078722F">
        <w:rPr>
          <w:rFonts w:ascii="Traditional Arabic" w:hAnsi="Traditional Arabic" w:cs="Traditional Arabic"/>
          <w:b/>
          <w:bCs/>
          <w:sz w:val="24"/>
          <w:szCs w:val="24"/>
        </w:rPr>
        <w:t xml:space="preserve"> "</w:t>
      </w:r>
      <w:r w:rsidRPr="0078722F">
        <w:rPr>
          <w:rFonts w:ascii="Traditional Arabic" w:hAnsi="Traditional Arabic" w:cs="Traditional Arabic"/>
          <w:sz w:val="24"/>
          <w:szCs w:val="24"/>
          <w:rtl/>
        </w:rPr>
        <w:t>ما مدى تأثير كل من ممارسات إدارة المخاطر والقيادة التحويلية (كلٌ على حدة) على مستوى سلامة المرضى في المستشفيات الحكومية بالمملكة العربية السعودية؟</w:t>
      </w:r>
      <w:r w:rsidRPr="0078722F">
        <w:rPr>
          <w:rFonts w:ascii="Traditional Arabic" w:hAnsi="Traditional Arabic" w:cs="Traditional Arabic"/>
          <w:sz w:val="24"/>
          <w:szCs w:val="24"/>
        </w:rPr>
        <w:t>"</w:t>
      </w:r>
    </w:p>
    <w:p w14:paraId="19CAAFC8" w14:textId="341A729B" w:rsidR="0078722F" w:rsidRPr="005D1EEC" w:rsidRDefault="0078722F">
      <w:pPr>
        <w:numPr>
          <w:ilvl w:val="0"/>
          <w:numId w:val="44"/>
        </w:numPr>
        <w:bidi/>
        <w:spacing w:after="200" w:line="276" w:lineRule="auto"/>
        <w:rPr>
          <w:rFonts w:ascii="Traditional Arabic" w:hAnsi="Traditional Arabic" w:cs="Traditional Arabic"/>
          <w:sz w:val="24"/>
          <w:szCs w:val="24"/>
          <w:highlight w:val="yellow"/>
        </w:rPr>
      </w:pPr>
      <w:r w:rsidRPr="005D1EEC">
        <w:rPr>
          <w:rFonts w:ascii="Traditional Arabic" w:hAnsi="Traditional Arabic" w:cs="Traditional Arabic"/>
          <w:b/>
          <w:bCs/>
          <w:sz w:val="24"/>
          <w:szCs w:val="24"/>
          <w:highlight w:val="yellow"/>
          <w:rtl/>
        </w:rPr>
        <w:t xml:space="preserve">التساؤل الرابع </w:t>
      </w:r>
      <w:r w:rsidRPr="005D1EEC">
        <w:rPr>
          <w:rFonts w:ascii="Traditional Arabic" w:hAnsi="Traditional Arabic" w:cs="Traditional Arabic" w:hint="cs"/>
          <w:b/>
          <w:bCs/>
          <w:sz w:val="24"/>
          <w:szCs w:val="24"/>
          <w:highlight w:val="yellow"/>
          <w:rtl/>
        </w:rPr>
        <w:t>:</w:t>
      </w:r>
      <w:r w:rsidRPr="005D1EEC">
        <w:rPr>
          <w:rFonts w:ascii="Traditional Arabic" w:hAnsi="Traditional Arabic" w:cs="Traditional Arabic"/>
          <w:b/>
          <w:bCs/>
          <w:sz w:val="24"/>
          <w:szCs w:val="24"/>
          <w:highlight w:val="yellow"/>
        </w:rPr>
        <w:t xml:space="preserve"> "</w:t>
      </w:r>
      <w:r w:rsidRPr="005D1EEC">
        <w:rPr>
          <w:rFonts w:ascii="Traditional Arabic" w:hAnsi="Traditional Arabic" w:cs="Traditional Arabic"/>
          <w:sz w:val="24"/>
          <w:szCs w:val="24"/>
          <w:highlight w:val="yellow"/>
          <w:rtl/>
        </w:rPr>
        <w:t>كيف تساهم القيادة التحويلية في تفسير الأثر غير المباشر لإدارة المخاطر على سلامة المرضى عند دخولها كمتغير وسيط في هذه العلاقة؟</w:t>
      </w:r>
      <w:r w:rsidRPr="005D1EEC">
        <w:rPr>
          <w:rFonts w:ascii="Traditional Arabic" w:hAnsi="Traditional Arabic" w:cs="Traditional Arabic"/>
          <w:sz w:val="24"/>
          <w:szCs w:val="24"/>
          <w:highlight w:val="yellow"/>
        </w:rPr>
        <w:t>"</w:t>
      </w:r>
    </w:p>
    <w:p w14:paraId="34003020" w14:textId="03950D9A" w:rsidR="00360AAA" w:rsidRPr="005D1EEC" w:rsidRDefault="00360AAA" w:rsidP="00360AAA">
      <w:pPr>
        <w:bidi/>
        <w:spacing w:after="200" w:line="276" w:lineRule="auto"/>
        <w:ind w:left="720"/>
        <w:rPr>
          <w:rFonts w:ascii="Traditional Arabic" w:hAnsi="Traditional Arabic" w:cs="Traditional Arabic"/>
          <w:sz w:val="24"/>
          <w:szCs w:val="24"/>
          <w:highlight w:val="yellow"/>
          <w:rtl/>
        </w:rPr>
      </w:pPr>
      <w:r w:rsidRPr="005D1EEC">
        <w:rPr>
          <w:rFonts w:ascii="Traditional Arabic" w:hAnsi="Traditional Arabic" w:cs="Traditional Arabic"/>
          <w:sz w:val="24"/>
          <w:szCs w:val="24"/>
          <w:highlight w:val="yellow"/>
          <w:rtl/>
        </w:rPr>
        <w:t xml:space="preserve">كيف تساهم القيادة التحويلية في تفسير الأثر غير المباشر لـ </w:t>
      </w:r>
      <w:r w:rsidRPr="005D1EEC">
        <w:rPr>
          <w:rFonts w:ascii="Traditional Arabic" w:hAnsi="Traditional Arabic" w:cs="Traditional Arabic"/>
          <w:b/>
          <w:bCs/>
          <w:sz w:val="24"/>
          <w:szCs w:val="24"/>
          <w:highlight w:val="yellow"/>
          <w:rtl/>
        </w:rPr>
        <w:t>تحديد المخاطر</w:t>
      </w:r>
      <w:r w:rsidRPr="005D1EEC">
        <w:rPr>
          <w:rFonts w:ascii="Traditional Arabic" w:hAnsi="Traditional Arabic" w:cs="Traditional Arabic"/>
          <w:sz w:val="24"/>
          <w:szCs w:val="24"/>
          <w:highlight w:val="yellow"/>
          <w:rtl/>
        </w:rPr>
        <w:t xml:space="preserve"> على سلامة المرضى بالمستشفيات الحكومية بالمملكة العربية السعودية عند دخولها كمتغير وسيط في هذه العلاقة</w:t>
      </w:r>
      <w:r w:rsidRPr="005D1EEC">
        <w:rPr>
          <w:rFonts w:ascii="Traditional Arabic" w:hAnsi="Traditional Arabic" w:cs="Traditional Arabic" w:hint="cs"/>
          <w:sz w:val="24"/>
          <w:szCs w:val="24"/>
          <w:highlight w:val="yellow"/>
          <w:rtl/>
        </w:rPr>
        <w:t>؟</w:t>
      </w:r>
    </w:p>
    <w:p w14:paraId="56EA0283" w14:textId="4722C8C3" w:rsidR="00360AAA" w:rsidRPr="005D1EEC" w:rsidRDefault="00360AAA" w:rsidP="00360AAA">
      <w:pPr>
        <w:bidi/>
        <w:spacing w:after="200" w:line="276" w:lineRule="auto"/>
        <w:ind w:left="720"/>
        <w:rPr>
          <w:rFonts w:ascii="Traditional Arabic" w:hAnsi="Traditional Arabic" w:cs="Traditional Arabic"/>
          <w:sz w:val="24"/>
          <w:szCs w:val="24"/>
          <w:highlight w:val="yellow"/>
          <w:rtl/>
        </w:rPr>
      </w:pPr>
      <w:r w:rsidRPr="005D1EEC">
        <w:rPr>
          <w:rFonts w:ascii="Traditional Arabic" w:hAnsi="Traditional Arabic" w:cs="Traditional Arabic"/>
          <w:sz w:val="24"/>
          <w:szCs w:val="24"/>
          <w:highlight w:val="yellow"/>
          <w:rtl/>
        </w:rPr>
        <w:t xml:space="preserve">كيف تساهم القيادة التحويلية في تفسير الأثر غير المباشر لـ </w:t>
      </w:r>
      <w:r w:rsidR="00F748D1" w:rsidRPr="005D1EEC">
        <w:rPr>
          <w:rFonts w:ascii="Traditional Arabic" w:hAnsi="Traditional Arabic" w:cs="Traditional Arabic" w:hint="cs"/>
          <w:b/>
          <w:bCs/>
          <w:sz w:val="24"/>
          <w:szCs w:val="24"/>
          <w:highlight w:val="yellow"/>
          <w:rtl/>
        </w:rPr>
        <w:t>تحليل</w:t>
      </w:r>
      <w:r w:rsidRPr="005D1EEC">
        <w:rPr>
          <w:rFonts w:ascii="Traditional Arabic" w:hAnsi="Traditional Arabic" w:cs="Traditional Arabic"/>
          <w:b/>
          <w:bCs/>
          <w:sz w:val="24"/>
          <w:szCs w:val="24"/>
          <w:highlight w:val="yellow"/>
          <w:rtl/>
        </w:rPr>
        <w:t xml:space="preserve"> المخاطر</w:t>
      </w:r>
      <w:r w:rsidRPr="005D1EEC">
        <w:rPr>
          <w:rFonts w:ascii="Traditional Arabic" w:hAnsi="Traditional Arabic" w:cs="Traditional Arabic"/>
          <w:sz w:val="24"/>
          <w:szCs w:val="24"/>
          <w:highlight w:val="yellow"/>
          <w:rtl/>
        </w:rPr>
        <w:t xml:space="preserve"> على سلامة المرضى بالمستشفيات الحكومية بالمملكة العربية السعودية عند دخولها كمتغير وسيط في هذه العلاقة</w:t>
      </w:r>
      <w:r w:rsidR="00F748D1" w:rsidRPr="005D1EEC">
        <w:rPr>
          <w:rFonts w:ascii="Traditional Arabic" w:hAnsi="Traditional Arabic" w:cs="Traditional Arabic" w:hint="cs"/>
          <w:sz w:val="24"/>
          <w:szCs w:val="24"/>
          <w:highlight w:val="yellow"/>
          <w:rtl/>
        </w:rPr>
        <w:t>؟</w:t>
      </w:r>
    </w:p>
    <w:p w14:paraId="7862F342" w14:textId="67A92573" w:rsidR="00F748D1" w:rsidRPr="005D1EEC" w:rsidRDefault="00F748D1" w:rsidP="00F748D1">
      <w:pPr>
        <w:bidi/>
        <w:spacing w:after="200" w:line="276" w:lineRule="auto"/>
        <w:ind w:left="720"/>
        <w:rPr>
          <w:rFonts w:ascii="Traditional Arabic" w:hAnsi="Traditional Arabic" w:cs="Traditional Arabic"/>
          <w:sz w:val="24"/>
          <w:szCs w:val="24"/>
          <w:highlight w:val="yellow"/>
          <w:rtl/>
        </w:rPr>
      </w:pPr>
      <w:r w:rsidRPr="005D1EEC">
        <w:rPr>
          <w:rFonts w:ascii="Traditional Arabic" w:hAnsi="Traditional Arabic" w:cs="Traditional Arabic"/>
          <w:sz w:val="24"/>
          <w:szCs w:val="24"/>
          <w:highlight w:val="yellow"/>
          <w:rtl/>
        </w:rPr>
        <w:t xml:space="preserve">كيف تساهم القيادة التحويلية في تفسير الأثر غير المباشر لـ </w:t>
      </w:r>
      <w:r w:rsidRPr="005D1EEC">
        <w:rPr>
          <w:rFonts w:ascii="Traditional Arabic" w:hAnsi="Traditional Arabic" w:cs="Traditional Arabic" w:hint="cs"/>
          <w:b/>
          <w:bCs/>
          <w:sz w:val="24"/>
          <w:szCs w:val="24"/>
          <w:highlight w:val="yellow"/>
          <w:rtl/>
        </w:rPr>
        <w:t>تقيم</w:t>
      </w:r>
      <w:r w:rsidRPr="005D1EEC">
        <w:rPr>
          <w:rFonts w:ascii="Traditional Arabic" w:hAnsi="Traditional Arabic" w:cs="Traditional Arabic"/>
          <w:b/>
          <w:bCs/>
          <w:sz w:val="24"/>
          <w:szCs w:val="24"/>
          <w:highlight w:val="yellow"/>
          <w:rtl/>
        </w:rPr>
        <w:t xml:space="preserve"> المخاطر</w:t>
      </w:r>
      <w:r w:rsidRPr="005D1EEC">
        <w:rPr>
          <w:rFonts w:ascii="Traditional Arabic" w:hAnsi="Traditional Arabic" w:cs="Traditional Arabic"/>
          <w:sz w:val="24"/>
          <w:szCs w:val="24"/>
          <w:highlight w:val="yellow"/>
          <w:rtl/>
        </w:rPr>
        <w:t xml:space="preserve"> على سلامة المرضى بالمستشفيات الحكومية بالمملكة العربية السعودية عند دخولها كمتغير وسيط في هذه العلاقة</w:t>
      </w:r>
      <w:r w:rsidRPr="005D1EEC">
        <w:rPr>
          <w:rFonts w:ascii="Traditional Arabic" w:hAnsi="Traditional Arabic" w:cs="Traditional Arabic" w:hint="cs"/>
          <w:sz w:val="24"/>
          <w:szCs w:val="24"/>
          <w:highlight w:val="yellow"/>
          <w:rtl/>
        </w:rPr>
        <w:t>؟</w:t>
      </w:r>
    </w:p>
    <w:p w14:paraId="50E0ECED" w14:textId="27ED9F4A" w:rsidR="00F748D1" w:rsidRPr="0078722F" w:rsidRDefault="00F748D1" w:rsidP="00F748D1">
      <w:pPr>
        <w:bidi/>
        <w:spacing w:after="200" w:line="276" w:lineRule="auto"/>
        <w:ind w:left="720"/>
        <w:rPr>
          <w:rFonts w:ascii="Traditional Arabic" w:hAnsi="Traditional Arabic" w:cs="Traditional Arabic"/>
          <w:sz w:val="24"/>
          <w:szCs w:val="24"/>
        </w:rPr>
      </w:pPr>
      <w:r w:rsidRPr="005D1EEC">
        <w:rPr>
          <w:rFonts w:ascii="Traditional Arabic" w:hAnsi="Traditional Arabic" w:cs="Traditional Arabic"/>
          <w:sz w:val="24"/>
          <w:szCs w:val="24"/>
          <w:highlight w:val="yellow"/>
          <w:rtl/>
        </w:rPr>
        <w:lastRenderedPageBreak/>
        <w:t xml:space="preserve">كيف تساهم القيادة التحويلية في تفسير الأثر غير المباشر لـ </w:t>
      </w:r>
      <w:r w:rsidRPr="005D1EEC">
        <w:rPr>
          <w:rFonts w:ascii="Traditional Arabic" w:hAnsi="Traditional Arabic" w:cs="Traditional Arabic" w:hint="cs"/>
          <w:b/>
          <w:bCs/>
          <w:sz w:val="24"/>
          <w:szCs w:val="24"/>
          <w:highlight w:val="yellow"/>
          <w:rtl/>
        </w:rPr>
        <w:t>إستجابة</w:t>
      </w:r>
      <w:r w:rsidRPr="005D1EEC">
        <w:rPr>
          <w:rFonts w:ascii="Traditional Arabic" w:hAnsi="Traditional Arabic" w:cs="Traditional Arabic"/>
          <w:b/>
          <w:bCs/>
          <w:sz w:val="24"/>
          <w:szCs w:val="24"/>
          <w:highlight w:val="yellow"/>
          <w:rtl/>
        </w:rPr>
        <w:t xml:space="preserve"> المخاطر</w:t>
      </w:r>
      <w:r w:rsidRPr="005D1EEC">
        <w:rPr>
          <w:rFonts w:ascii="Traditional Arabic" w:hAnsi="Traditional Arabic" w:cs="Traditional Arabic"/>
          <w:sz w:val="24"/>
          <w:szCs w:val="24"/>
          <w:highlight w:val="yellow"/>
          <w:rtl/>
        </w:rPr>
        <w:t xml:space="preserve"> على سلامة المرضى بالمستشفيات الحكومية بالمملكة العربية السعودية عند دخولها كمتغير وسيط في هذه العلاقة</w:t>
      </w:r>
      <w:r w:rsidRPr="005D1EEC">
        <w:rPr>
          <w:rFonts w:ascii="Traditional Arabic" w:hAnsi="Traditional Arabic" w:cs="Traditional Arabic" w:hint="cs"/>
          <w:sz w:val="24"/>
          <w:szCs w:val="24"/>
          <w:highlight w:val="yellow"/>
          <w:rtl/>
        </w:rPr>
        <w:t>؟</w:t>
      </w:r>
    </w:p>
    <w:p w14:paraId="3620F5D5" w14:textId="789F7D8D" w:rsidR="00C74EAC" w:rsidRPr="00C07268" w:rsidRDefault="0078722F" w:rsidP="00C07268">
      <w:pPr>
        <w:numPr>
          <w:ilvl w:val="0"/>
          <w:numId w:val="44"/>
        </w:numPr>
        <w:bidi/>
        <w:spacing w:after="200" w:line="276" w:lineRule="auto"/>
        <w:rPr>
          <w:rFonts w:ascii="Traditional Arabic" w:hAnsi="Traditional Arabic" w:cs="Traditional Arabic"/>
          <w:sz w:val="24"/>
          <w:szCs w:val="24"/>
          <w:rtl/>
        </w:rPr>
      </w:pPr>
      <w:r w:rsidRPr="0078722F">
        <w:rPr>
          <w:rFonts w:ascii="Traditional Arabic" w:hAnsi="Traditional Arabic" w:cs="Traditional Arabic"/>
          <w:b/>
          <w:bCs/>
          <w:sz w:val="24"/>
          <w:szCs w:val="24"/>
          <w:rtl/>
        </w:rPr>
        <w:t xml:space="preserve">التساؤل الخامس </w:t>
      </w:r>
      <w:r>
        <w:rPr>
          <w:rFonts w:ascii="Traditional Arabic" w:hAnsi="Traditional Arabic" w:cs="Traditional Arabic" w:hint="cs"/>
          <w:b/>
          <w:bCs/>
          <w:sz w:val="24"/>
          <w:szCs w:val="24"/>
          <w:rtl/>
        </w:rPr>
        <w:t>:</w:t>
      </w:r>
      <w:r w:rsidRPr="0078722F">
        <w:rPr>
          <w:rFonts w:ascii="Traditional Arabic" w:hAnsi="Traditional Arabic" w:cs="Traditional Arabic"/>
          <w:b/>
          <w:bCs/>
          <w:sz w:val="24"/>
          <w:szCs w:val="24"/>
        </w:rPr>
        <w:t xml:space="preserve"> "</w:t>
      </w:r>
      <w:r w:rsidRPr="0078722F">
        <w:rPr>
          <w:rFonts w:ascii="Traditional Arabic" w:hAnsi="Traditional Arabic" w:cs="Traditional Arabic"/>
          <w:sz w:val="24"/>
          <w:szCs w:val="24"/>
          <w:rtl/>
        </w:rPr>
        <w:t>هل تختلف استجابات أفراد عينة الدراسة تجاه متغيرات البحث باختلاف خصائصهم الديموغرافية والوظيفية (النوع، المؤهل العلمي، نوع الوظيفة، سنوات الخبرة)؟</w:t>
      </w:r>
      <w:r w:rsidRPr="0078722F">
        <w:rPr>
          <w:rFonts w:ascii="Traditional Arabic" w:hAnsi="Traditional Arabic" w:cs="Traditional Arabic"/>
          <w:sz w:val="24"/>
          <w:szCs w:val="24"/>
        </w:rPr>
        <w:t>"</w:t>
      </w:r>
    </w:p>
    <w:p w14:paraId="15174074" w14:textId="7A1C98DB" w:rsidR="00883E09" w:rsidRPr="00844164" w:rsidRDefault="00C11026" w:rsidP="00C74EAC">
      <w:pPr>
        <w:bidi/>
        <w:spacing w:after="200" w:line="276" w:lineRule="auto"/>
        <w:rPr>
          <w:rFonts w:ascii="Traditional Arabic" w:hAnsi="Traditional Arabic" w:cs="Traditional Arabic"/>
          <w:b/>
          <w:bCs/>
          <w:color w:val="00B0F0"/>
          <w:sz w:val="28"/>
          <w:szCs w:val="28"/>
          <w:u w:val="single"/>
          <w:rtl/>
        </w:rPr>
      </w:pPr>
      <w:r w:rsidRPr="00844164">
        <w:rPr>
          <w:rFonts w:ascii="Traditional Arabic" w:hAnsi="Traditional Arabic" w:cs="Traditional Arabic" w:hint="cs"/>
          <w:b/>
          <w:bCs/>
          <w:color w:val="00B0F0"/>
          <w:sz w:val="28"/>
          <w:szCs w:val="28"/>
          <w:u w:val="single"/>
          <w:rtl/>
        </w:rPr>
        <w:t>أهمية الدراسة (</w:t>
      </w:r>
      <w:r w:rsidR="000A1E46" w:rsidRPr="00844164">
        <w:rPr>
          <w:rFonts w:ascii="Traditional Arabic" w:hAnsi="Traditional Arabic" w:cs="Traditional Arabic" w:hint="cs"/>
          <w:b/>
          <w:bCs/>
          <w:color w:val="00B0F0"/>
          <w:sz w:val="28"/>
          <w:szCs w:val="28"/>
          <w:u w:val="single"/>
          <w:rtl/>
        </w:rPr>
        <w:t>النظرية والتطبيقية</w:t>
      </w:r>
      <w:r w:rsidRPr="00844164">
        <w:rPr>
          <w:rFonts w:ascii="Traditional Arabic" w:hAnsi="Traditional Arabic" w:cs="Traditional Arabic" w:hint="cs"/>
          <w:b/>
          <w:bCs/>
          <w:color w:val="00B0F0"/>
          <w:sz w:val="28"/>
          <w:szCs w:val="28"/>
          <w:u w:val="single"/>
          <w:rtl/>
        </w:rPr>
        <w:t>)</w:t>
      </w:r>
      <w:r w:rsidR="00883E09" w:rsidRPr="00844164">
        <w:rPr>
          <w:rFonts w:ascii="Traditional Arabic" w:hAnsi="Traditional Arabic" w:cs="Traditional Arabic" w:hint="cs"/>
          <w:b/>
          <w:bCs/>
          <w:color w:val="00B0F0"/>
          <w:sz w:val="28"/>
          <w:szCs w:val="28"/>
          <w:u w:val="single"/>
          <w:rtl/>
        </w:rPr>
        <w:t>:</w:t>
      </w:r>
    </w:p>
    <w:p w14:paraId="1280ED08" w14:textId="77777777" w:rsidR="00114404" w:rsidRPr="00237BDF" w:rsidRDefault="00114404" w:rsidP="00114404">
      <w:pPr>
        <w:bidi/>
        <w:spacing w:line="360" w:lineRule="auto"/>
        <w:jc w:val="both"/>
        <w:rPr>
          <w:rFonts w:ascii="Traditional Arabic" w:hAnsi="Traditional Arabic" w:cs="Traditional Arabic"/>
          <w:sz w:val="28"/>
          <w:szCs w:val="28"/>
          <w:rtl/>
          <w:lang w:bidi="ar-EG"/>
        </w:rPr>
      </w:pPr>
      <w:r w:rsidRPr="00237BDF">
        <w:rPr>
          <w:rFonts w:ascii="Traditional Arabic" w:hAnsi="Traditional Arabic" w:cs="Traditional Arabic" w:hint="cs"/>
          <w:b/>
          <w:bCs/>
          <w:color w:val="000000" w:themeColor="text1"/>
          <w:sz w:val="28"/>
          <w:szCs w:val="28"/>
          <w:rtl/>
          <w:lang w:bidi="ar-EG"/>
        </w:rPr>
        <w:t>اولا</w:t>
      </w:r>
      <w:r w:rsidRPr="00237BDF">
        <w:rPr>
          <w:rFonts w:ascii="Traditional Arabic" w:hAnsi="Traditional Arabic" w:cs="Traditional Arabic" w:hint="cs"/>
          <w:b/>
          <w:bCs/>
          <w:sz w:val="28"/>
          <w:szCs w:val="28"/>
          <w:rtl/>
          <w:lang w:bidi="ar-EG"/>
        </w:rPr>
        <w:t>: الأهمية النظرية</w:t>
      </w:r>
      <w:r w:rsidRPr="00237BDF">
        <w:rPr>
          <w:rFonts w:ascii="Traditional Arabic" w:hAnsi="Traditional Arabic" w:cs="Traditional Arabic" w:hint="cs"/>
          <w:sz w:val="28"/>
          <w:szCs w:val="28"/>
          <w:rtl/>
          <w:lang w:bidi="ar-EG"/>
        </w:rPr>
        <w:t xml:space="preserve"> </w:t>
      </w:r>
    </w:p>
    <w:p w14:paraId="73E35ED9" w14:textId="18A556E6" w:rsidR="007B67FE" w:rsidRPr="008A3458" w:rsidRDefault="008A3458">
      <w:pPr>
        <w:numPr>
          <w:ilvl w:val="0"/>
          <w:numId w:val="27"/>
        </w:numPr>
        <w:bidi/>
        <w:spacing w:line="360" w:lineRule="auto"/>
        <w:jc w:val="both"/>
        <w:rPr>
          <w:rFonts w:ascii="Traditional Arabic" w:hAnsi="Traditional Arabic" w:cs="Traditional Arabic"/>
          <w:sz w:val="24"/>
          <w:szCs w:val="24"/>
          <w:lang w:bidi="ar-EG"/>
        </w:rPr>
      </w:pPr>
      <w:r w:rsidRPr="008A3458">
        <w:rPr>
          <w:rFonts w:ascii="Traditional Arabic" w:hAnsi="Traditional Arabic" w:cs="Traditional Arabic"/>
          <w:sz w:val="24"/>
          <w:szCs w:val="24"/>
          <w:rtl/>
        </w:rPr>
        <w:t>سد الفجوة المعرفية بين إدارة المخاطر وسلامة المرضى</w:t>
      </w:r>
      <w:r w:rsidRPr="008A3458">
        <w:rPr>
          <w:rFonts w:ascii="Traditional Arabic" w:hAnsi="Traditional Arabic" w:cs="Traditional Arabic"/>
          <w:sz w:val="24"/>
          <w:szCs w:val="24"/>
        </w:rPr>
        <w:t xml:space="preserve">: </w:t>
      </w:r>
      <w:r w:rsidRPr="008A3458">
        <w:rPr>
          <w:rFonts w:ascii="Traditional Arabic" w:hAnsi="Traditional Arabic" w:cs="Traditional Arabic"/>
          <w:sz w:val="24"/>
          <w:szCs w:val="24"/>
          <w:rtl/>
        </w:rPr>
        <w:t>تسعى الدراسة إلى توضيح وبناء الأطر النظرية للعلاقة السببية بين ممارسات إدارة المخاطر ومستوى سلامة المرضى، وهو مجال لا يزال بحاجة إلى مزيد من التوثيق والتحليل في السياق البحثي العربي، وخاصة في المرافق الصحية الحكومية</w:t>
      </w:r>
      <w:r w:rsidR="007B67FE" w:rsidRPr="008A3458">
        <w:rPr>
          <w:rFonts w:ascii="Traditional Arabic" w:hAnsi="Traditional Arabic" w:cs="Traditional Arabic" w:hint="cs"/>
          <w:sz w:val="24"/>
          <w:szCs w:val="24"/>
          <w:lang w:bidi="ar-EG"/>
        </w:rPr>
        <w:t>.</w:t>
      </w:r>
    </w:p>
    <w:p w14:paraId="74BAADA7" w14:textId="5A4D918B" w:rsidR="007B67FE" w:rsidRPr="008A3458" w:rsidRDefault="008A3458">
      <w:pPr>
        <w:numPr>
          <w:ilvl w:val="0"/>
          <w:numId w:val="27"/>
        </w:numPr>
        <w:bidi/>
        <w:spacing w:line="360" w:lineRule="auto"/>
        <w:jc w:val="both"/>
        <w:rPr>
          <w:rFonts w:ascii="Traditional Arabic" w:hAnsi="Traditional Arabic" w:cs="Traditional Arabic"/>
          <w:sz w:val="24"/>
          <w:szCs w:val="24"/>
          <w:lang w:bidi="ar-EG"/>
        </w:rPr>
      </w:pPr>
      <w:r w:rsidRPr="008A3458">
        <w:rPr>
          <w:rFonts w:ascii="Traditional Arabic" w:hAnsi="Traditional Arabic" w:cs="Traditional Arabic"/>
          <w:sz w:val="24"/>
          <w:szCs w:val="24"/>
          <w:rtl/>
        </w:rPr>
        <w:t>إبراز الدور الوسيط للقيادة التحويلية</w:t>
      </w:r>
      <w:r w:rsidRPr="008A3458">
        <w:rPr>
          <w:rFonts w:ascii="Traditional Arabic" w:hAnsi="Traditional Arabic" w:cs="Traditional Arabic"/>
          <w:sz w:val="24"/>
          <w:szCs w:val="24"/>
        </w:rPr>
        <w:t xml:space="preserve">: </w:t>
      </w:r>
      <w:r w:rsidRPr="008A3458">
        <w:rPr>
          <w:rFonts w:ascii="Traditional Arabic" w:hAnsi="Traditional Arabic" w:cs="Traditional Arabic"/>
          <w:sz w:val="24"/>
          <w:szCs w:val="24"/>
          <w:rtl/>
        </w:rPr>
        <w:t>تقدم الدراسة نموذجاً مفاهيمياً متكاملاً يوضح كيف يمكن للقيادة التحويلية أن تتوسط وتفسر العلاقة بين إدارة المخاطر وسلامة المرضى، مما يثري الأدبيات المتعلقة بالقيادة الصحية ويمنحها بعداً تحليلياً جديداً يربط الفكر القيادي بالنتائج السريرية</w:t>
      </w:r>
      <w:r w:rsidR="007B67FE" w:rsidRPr="008A3458">
        <w:rPr>
          <w:rFonts w:ascii="Traditional Arabic" w:hAnsi="Traditional Arabic" w:cs="Traditional Arabic" w:hint="cs"/>
          <w:sz w:val="24"/>
          <w:szCs w:val="24"/>
          <w:lang w:bidi="ar-EG"/>
        </w:rPr>
        <w:t>.</w:t>
      </w:r>
    </w:p>
    <w:p w14:paraId="4ADC1A0E" w14:textId="1901C33A" w:rsidR="00D62444" w:rsidRPr="008A3458" w:rsidRDefault="008A3458">
      <w:pPr>
        <w:numPr>
          <w:ilvl w:val="0"/>
          <w:numId w:val="27"/>
        </w:numPr>
        <w:bidi/>
        <w:spacing w:line="360" w:lineRule="auto"/>
        <w:jc w:val="both"/>
        <w:rPr>
          <w:rFonts w:ascii="Traditional Arabic" w:hAnsi="Traditional Arabic" w:cs="Traditional Arabic"/>
          <w:sz w:val="24"/>
          <w:szCs w:val="24"/>
          <w:rtl/>
          <w:lang w:bidi="ar-EG"/>
        </w:rPr>
      </w:pPr>
      <w:r w:rsidRPr="008A3458">
        <w:rPr>
          <w:rFonts w:ascii="Traditional Arabic" w:hAnsi="Traditional Arabic" w:cs="Traditional Arabic"/>
          <w:sz w:val="24"/>
          <w:szCs w:val="24"/>
          <w:rtl/>
        </w:rPr>
        <w:t>توسيع نطاق الدراسات في السياق العربي والبيئة السعودية</w:t>
      </w:r>
      <w:r w:rsidRPr="008A3458">
        <w:rPr>
          <w:rFonts w:ascii="Traditional Arabic" w:hAnsi="Traditional Arabic" w:cs="Traditional Arabic"/>
          <w:sz w:val="24"/>
          <w:szCs w:val="24"/>
        </w:rPr>
        <w:t xml:space="preserve">: </w:t>
      </w:r>
      <w:r w:rsidRPr="008A3458">
        <w:rPr>
          <w:rFonts w:ascii="Traditional Arabic" w:hAnsi="Traditional Arabic" w:cs="Traditional Arabic"/>
          <w:sz w:val="24"/>
          <w:szCs w:val="24"/>
          <w:rtl/>
        </w:rPr>
        <w:t>تُعد هذه الدراسة من المحاولات البحثية المتقدمة التي تتناول هذه العلاقة التشابكية في بيئة المرافق الصحية الحكومية في المملكة العربية السعودية، مما يمنحها قيمة علمية في إثراء الأدبيات المحلية، ويوفر مرجعاً نظرياً لمقارنتها بالنماذج العالمية المستقرة في هذا المجال</w:t>
      </w:r>
      <w:r w:rsidR="007B67FE" w:rsidRPr="008A3458">
        <w:rPr>
          <w:rFonts w:ascii="Traditional Arabic" w:hAnsi="Traditional Arabic" w:cs="Traditional Arabic" w:hint="cs"/>
          <w:sz w:val="24"/>
          <w:szCs w:val="24"/>
          <w:lang w:bidi="ar-EG"/>
        </w:rPr>
        <w:t>.</w:t>
      </w:r>
    </w:p>
    <w:p w14:paraId="6D6A78F6" w14:textId="77777777" w:rsidR="00114404" w:rsidRPr="001A6D31" w:rsidRDefault="00114404" w:rsidP="00114404">
      <w:pPr>
        <w:bidi/>
        <w:spacing w:line="360" w:lineRule="auto"/>
        <w:jc w:val="both"/>
        <w:rPr>
          <w:rFonts w:ascii="Traditional Arabic" w:hAnsi="Traditional Arabic" w:cs="Traditional Arabic"/>
          <w:b/>
          <w:bCs/>
          <w:color w:val="000000" w:themeColor="text1"/>
          <w:sz w:val="28"/>
          <w:szCs w:val="28"/>
          <w:rtl/>
          <w:lang w:bidi="ar-EG"/>
        </w:rPr>
      </w:pPr>
      <w:r w:rsidRPr="001A6D31">
        <w:rPr>
          <w:rFonts w:ascii="Traditional Arabic" w:hAnsi="Traditional Arabic" w:cs="Traditional Arabic" w:hint="cs"/>
          <w:b/>
          <w:bCs/>
          <w:color w:val="000000" w:themeColor="text1"/>
          <w:sz w:val="28"/>
          <w:szCs w:val="28"/>
          <w:rtl/>
          <w:lang w:bidi="ar-EG"/>
        </w:rPr>
        <w:t>ثانيا: الأهمية التطبيقية</w:t>
      </w:r>
    </w:p>
    <w:p w14:paraId="6F6CE884" w14:textId="77777777" w:rsidR="00D62444" w:rsidRPr="001A6D31" w:rsidRDefault="00114404" w:rsidP="001A6D31">
      <w:pPr>
        <w:bidi/>
        <w:spacing w:line="360" w:lineRule="auto"/>
        <w:ind w:firstLine="720"/>
        <w:jc w:val="both"/>
        <w:rPr>
          <w:rFonts w:ascii="Traditional Arabic" w:hAnsi="Traditional Arabic" w:cs="Traditional Arabic"/>
          <w:sz w:val="24"/>
          <w:szCs w:val="24"/>
          <w:rtl/>
          <w:lang w:bidi="ar-EG"/>
        </w:rPr>
      </w:pPr>
      <w:r w:rsidRPr="001A6D31">
        <w:rPr>
          <w:rFonts w:ascii="Traditional Arabic" w:hAnsi="Traditional Arabic" w:cs="Traditional Arabic" w:hint="cs"/>
          <w:sz w:val="24"/>
          <w:szCs w:val="24"/>
          <w:rtl/>
          <w:lang w:bidi="ar-EG"/>
        </w:rPr>
        <w:t>تظهر أهمية الدراسة عملياً من نتائجها التي قد تساعد صانعي القرار على تزويد القيادات بالمهارات اللازمة لاتباع نمط القيادة التحويلية عند مواجهة المخاطر ورفع مستوى القدرة على إدارتها بشكل يعزز من جوانب القوة لديها، ويخفف من سلبيات ضعفها، كما قد تساهم نتائج هذه الدراسة في تزويد مستشفى المملكة العربية السعودية بأبرز فجوات القيـادة التحويلية لديها، مما يساعدها على تخفيض حجم هذه الفجوات.</w:t>
      </w:r>
    </w:p>
    <w:p w14:paraId="0EA8BF56" w14:textId="123CC07C" w:rsidR="003877A2" w:rsidRPr="001A6D31" w:rsidRDefault="003877A2" w:rsidP="001A6D31">
      <w:pPr>
        <w:bidi/>
        <w:spacing w:line="360" w:lineRule="auto"/>
        <w:ind w:firstLine="720"/>
        <w:jc w:val="both"/>
        <w:rPr>
          <w:rFonts w:ascii="Traditional Arabic" w:hAnsi="Traditional Arabic" w:cs="Traditional Arabic"/>
          <w:sz w:val="24"/>
          <w:szCs w:val="24"/>
          <w:rtl/>
          <w:lang w:bidi="ar-EG"/>
        </w:rPr>
      </w:pPr>
      <w:r w:rsidRPr="001A6D31">
        <w:rPr>
          <w:rFonts w:ascii="Traditional Arabic" w:hAnsi="Traditional Arabic" w:cs="Traditional Arabic" w:hint="cs"/>
          <w:sz w:val="24"/>
          <w:szCs w:val="24"/>
          <w:rtl/>
          <w:lang w:bidi="ar-EG"/>
        </w:rPr>
        <w:t>تحسين جودة الرعاية الصحية من خلال فهم العلاقة بين إدارة المخاطر وسلامة المرضى، وتقليل الأخطاء الطبية وتحسين تجربة المريض، وأيضا تعميم نتائجها لتشمل المستشفيات الخاصة والمراكز الصحية؛ مما يوسع نطاق التأثير العملي.</w:t>
      </w:r>
    </w:p>
    <w:p w14:paraId="035798DB" w14:textId="77777777" w:rsidR="005D1EEC" w:rsidRDefault="005D1EEC" w:rsidP="00A16E60">
      <w:pPr>
        <w:bidi/>
        <w:spacing w:after="200" w:line="276" w:lineRule="auto"/>
        <w:rPr>
          <w:rFonts w:ascii="Traditional Arabic" w:hAnsi="Traditional Arabic" w:cs="Traditional Arabic"/>
          <w:b/>
          <w:bCs/>
          <w:color w:val="00B0F0"/>
          <w:sz w:val="28"/>
          <w:szCs w:val="28"/>
          <w:u w:val="single"/>
          <w:rtl/>
        </w:rPr>
      </w:pPr>
    </w:p>
    <w:p w14:paraId="0E8E9098" w14:textId="6D44CC1E" w:rsidR="00A16E60" w:rsidRPr="004B4F17" w:rsidRDefault="00C11026" w:rsidP="005D1EEC">
      <w:pPr>
        <w:bidi/>
        <w:spacing w:after="200" w:line="276" w:lineRule="auto"/>
        <w:rPr>
          <w:rFonts w:ascii="Traditional Arabic" w:hAnsi="Traditional Arabic" w:cs="Traditional Arabic"/>
          <w:b/>
          <w:bCs/>
          <w:color w:val="00B0F0"/>
          <w:sz w:val="28"/>
          <w:szCs w:val="28"/>
          <w:u w:val="single"/>
          <w:rtl/>
        </w:rPr>
      </w:pPr>
      <w:r w:rsidRPr="004B4F17">
        <w:rPr>
          <w:rFonts w:ascii="Traditional Arabic" w:hAnsi="Traditional Arabic" w:cs="Traditional Arabic" w:hint="cs"/>
          <w:b/>
          <w:bCs/>
          <w:color w:val="00B0F0"/>
          <w:sz w:val="28"/>
          <w:szCs w:val="28"/>
          <w:u w:val="single"/>
          <w:rtl/>
        </w:rPr>
        <w:lastRenderedPageBreak/>
        <w:t>أ</w:t>
      </w:r>
      <w:r w:rsidR="00A16E60" w:rsidRPr="004B4F17">
        <w:rPr>
          <w:rFonts w:ascii="Traditional Arabic" w:hAnsi="Traditional Arabic" w:cs="Traditional Arabic" w:hint="cs"/>
          <w:b/>
          <w:bCs/>
          <w:color w:val="00B0F0"/>
          <w:sz w:val="28"/>
          <w:szCs w:val="28"/>
          <w:u w:val="single"/>
          <w:rtl/>
        </w:rPr>
        <w:t>هد</w:t>
      </w:r>
      <w:r w:rsidRPr="004B4F17">
        <w:rPr>
          <w:rFonts w:ascii="Traditional Arabic" w:hAnsi="Traditional Arabic" w:cs="Traditional Arabic" w:hint="cs"/>
          <w:b/>
          <w:bCs/>
          <w:color w:val="00B0F0"/>
          <w:sz w:val="28"/>
          <w:szCs w:val="28"/>
          <w:u w:val="single"/>
          <w:rtl/>
        </w:rPr>
        <w:t>ا</w:t>
      </w:r>
      <w:r w:rsidR="00A16E60" w:rsidRPr="004B4F17">
        <w:rPr>
          <w:rFonts w:ascii="Traditional Arabic" w:hAnsi="Traditional Arabic" w:cs="Traditional Arabic" w:hint="cs"/>
          <w:b/>
          <w:bCs/>
          <w:color w:val="00B0F0"/>
          <w:sz w:val="28"/>
          <w:szCs w:val="28"/>
          <w:u w:val="single"/>
          <w:rtl/>
        </w:rPr>
        <w:t>ف الدراسة:</w:t>
      </w:r>
    </w:p>
    <w:p w14:paraId="420568BE" w14:textId="1AF553BA" w:rsidR="00AD01DF" w:rsidRPr="004B4F17" w:rsidRDefault="00AD01DF" w:rsidP="004B4F17">
      <w:pPr>
        <w:bidi/>
        <w:spacing w:line="360" w:lineRule="auto"/>
        <w:ind w:firstLine="720"/>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sz w:val="24"/>
          <w:szCs w:val="24"/>
          <w:rtl/>
          <w:lang w:bidi="ar-EG"/>
        </w:rPr>
        <w:t>نظراً للدور الكبير الذي يؤديه مستشفيات المملكة العربية السعودية في الحفاظ على صحة المواطنين والمقيمين، مما أظهر أهمية قدرة القيادات فيه على إدارة المخاطر، باستخدام الأنماط القيادية الحديثة، والتي تعتمد تبادل الأدوار بين القادة والمرؤوسين، فإنّ هذه الدراسة تسعى للتعرف إلى:</w:t>
      </w:r>
    </w:p>
    <w:p w14:paraId="389867AC" w14:textId="008F3AF7" w:rsidR="002B1EBD" w:rsidRPr="004B4F17"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التعرف على مستوى تطبيق ممارسات إدارة المخاطر، ومستوى تبني القيادة التحويلية، ومدى الالتزام بمعايير سلامة المرضى في المستشفيات الحكومية بالمملكة العربية السعودية من وجهة نظر العاملين</w:t>
      </w:r>
      <w:r w:rsidR="002B1EBD" w:rsidRPr="004B4F17">
        <w:rPr>
          <w:rFonts w:ascii="Traditional Arabic" w:eastAsia="Calibri" w:hAnsi="Traditional Arabic" w:cs="Traditional Arabic" w:hint="cs"/>
          <w:sz w:val="24"/>
          <w:szCs w:val="24"/>
          <w:rtl/>
          <w:lang w:bidi="ar-EG"/>
        </w:rPr>
        <w:t>.</w:t>
      </w:r>
    </w:p>
    <w:p w14:paraId="64900761" w14:textId="12079B36" w:rsidR="00AD01DF" w:rsidRPr="004B4F17"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تحديد طبيعة واتجاه العلاقة الارتباطية المتبادلة بين ممارسات إدارة المخاطر، والقيادة التحويلية، وسلامة المرضى في المستشفيات الحكومية المستهدفة</w:t>
      </w:r>
      <w:r w:rsidR="00AD01DF" w:rsidRPr="004B4F17">
        <w:rPr>
          <w:rFonts w:ascii="Traditional Arabic" w:eastAsia="Calibri" w:hAnsi="Traditional Arabic" w:cs="Traditional Arabic" w:hint="cs"/>
          <w:sz w:val="24"/>
          <w:szCs w:val="24"/>
          <w:rtl/>
          <w:lang w:bidi="ar-EG"/>
        </w:rPr>
        <w:t>.</w:t>
      </w:r>
    </w:p>
    <w:p w14:paraId="3E78BC1D" w14:textId="02458779" w:rsidR="00B12489" w:rsidRPr="004B4F17"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قياس مدى تأثير كل من ممارسات إدارة المخاطر والقيادة التحويلية (كلٌ على حدة) على مستوى سلامة المرضى في المستشفيات الحكومية بالمملكة العربية السعودية</w:t>
      </w:r>
      <w:r w:rsidR="00C75A49" w:rsidRPr="004B4F17">
        <w:rPr>
          <w:rFonts w:ascii="Traditional Arabic" w:eastAsia="Calibri" w:hAnsi="Traditional Arabic" w:cs="Traditional Arabic" w:hint="cs"/>
          <w:sz w:val="24"/>
          <w:szCs w:val="24"/>
          <w:rtl/>
          <w:lang w:bidi="ar-EG"/>
        </w:rPr>
        <w:t>.</w:t>
      </w:r>
    </w:p>
    <w:p w14:paraId="4168C65D" w14:textId="77777777" w:rsidR="008A3458"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الكشف عن الأثر غير المباشر والدور الوسيط الذي تلعبه القيادة التحويلية في تفسير وتعزيز العلاقة بين ممارسات إدارة المخاطر وسلامة المرضى</w:t>
      </w:r>
    </w:p>
    <w:p w14:paraId="69CF7559" w14:textId="0295A1B1" w:rsidR="008A3458" w:rsidRPr="008A3458"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rtl/>
          <w:lang w:bidi="ar-EG"/>
        </w:rPr>
      </w:pPr>
      <w:r w:rsidRPr="008A3458">
        <w:rPr>
          <w:rFonts w:ascii="Traditional Arabic" w:eastAsia="Calibri" w:hAnsi="Traditional Arabic" w:cs="Traditional Arabic"/>
          <w:sz w:val="24"/>
          <w:szCs w:val="24"/>
          <w:rtl/>
        </w:rPr>
        <w:t xml:space="preserve">الكشف عن مدى وجود فروق ذات دلالة إحصائية في استجابات أفراد عينة الدراسة تجاه متغيرات البحث تُعزى لخصائصهم الديموغرافية والوظيفية (النوع، المؤهل العلمي، نوع الوظيفة، سنوات الخبرة) </w:t>
      </w:r>
    </w:p>
    <w:p w14:paraId="69389CED" w14:textId="711FBE2B" w:rsidR="00A16E60" w:rsidRPr="004B4F17" w:rsidRDefault="00A16E60" w:rsidP="008A3458">
      <w:pPr>
        <w:bidi/>
        <w:spacing w:after="200" w:line="276" w:lineRule="auto"/>
        <w:rPr>
          <w:rFonts w:ascii="Traditional Arabic" w:hAnsi="Traditional Arabic" w:cs="Traditional Arabic"/>
          <w:b/>
          <w:bCs/>
          <w:color w:val="00B0F0"/>
          <w:sz w:val="28"/>
          <w:szCs w:val="28"/>
          <w:u w:val="single"/>
          <w:rtl/>
        </w:rPr>
      </w:pPr>
      <w:r w:rsidRPr="004B4F17">
        <w:rPr>
          <w:rFonts w:ascii="Traditional Arabic" w:hAnsi="Traditional Arabic" w:cs="Traditional Arabic" w:hint="cs"/>
          <w:b/>
          <w:bCs/>
          <w:color w:val="00B0F0"/>
          <w:sz w:val="28"/>
          <w:szCs w:val="28"/>
          <w:u w:val="single"/>
          <w:rtl/>
        </w:rPr>
        <w:t>فرضيات الدراسة:</w:t>
      </w:r>
    </w:p>
    <w:p w14:paraId="77B2F5E9" w14:textId="77777777" w:rsidR="009F15CA" w:rsidRPr="0044090C" w:rsidRDefault="009F15CA" w:rsidP="004B4F1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الأول (فرض الارتباط):"</w:t>
      </w:r>
      <w:r w:rsidRPr="0044090C">
        <w:rPr>
          <w:rFonts w:ascii="Traditional Arabic" w:eastAsia="Calibri" w:hAnsi="Traditional Arabic" w:cs="Traditional Arabic"/>
          <w:sz w:val="24"/>
          <w:szCs w:val="24"/>
          <w:rtl/>
          <w:lang w:bidi="ar-EG"/>
        </w:rPr>
        <w:t>توجد علاقة ارتباطية ذات دلالة إحصائية بين ممارسات إدارة المخاطر، والقيادة التحويلية، وسلامة المرضى في المستشفيات الحكومية بالمملكة العربية السعودية."</w:t>
      </w:r>
    </w:p>
    <w:p w14:paraId="7B369249" w14:textId="77777777" w:rsidR="009F15CA" w:rsidRPr="0044090C" w:rsidRDefault="009F15CA" w:rsidP="009F15CA">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الثاني (فرض أثر المستقل على التابع):"</w:t>
      </w:r>
      <w:r w:rsidRPr="0044090C">
        <w:rPr>
          <w:rFonts w:ascii="Traditional Arabic" w:eastAsia="Calibri" w:hAnsi="Traditional Arabic" w:cs="Traditional Arabic"/>
          <w:sz w:val="24"/>
          <w:szCs w:val="24"/>
          <w:rtl/>
          <w:lang w:bidi="ar-EG"/>
        </w:rPr>
        <w:t>يوجد تأثير ذو دلالة إحصائية لممارسات إدارة المخاطر على سلامة المرضى في المستشفيات الحكومية بالمملكة العربية السعودية."</w:t>
      </w:r>
    </w:p>
    <w:p w14:paraId="76373BB6" w14:textId="30C6042B" w:rsidR="009F15CA" w:rsidRPr="0044090C" w:rsidRDefault="009F15CA" w:rsidP="009F15CA">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الثالث (فرض أثر الوسيط على التابع):"</w:t>
      </w:r>
      <w:r w:rsidRPr="0044090C">
        <w:rPr>
          <w:rFonts w:ascii="Traditional Arabic" w:eastAsia="Calibri" w:hAnsi="Traditional Arabic" w:cs="Traditional Arabic"/>
          <w:sz w:val="24"/>
          <w:szCs w:val="24"/>
          <w:rtl/>
          <w:lang w:bidi="ar-EG"/>
        </w:rPr>
        <w:t>يوجد تأثير ذو دلالة إحصائية للقيادة التحويلية على سلامة المرضى في المستشفيات الحكومية بالمملكة العربية السعودية.</w:t>
      </w:r>
    </w:p>
    <w:p w14:paraId="102D5AFD" w14:textId="55887804" w:rsidR="009F15CA" w:rsidRDefault="009F15CA" w:rsidP="009F15CA">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الرابع (فرض الدور الوسيط / التأثير غير المباشر):"</w:t>
      </w:r>
      <w:r w:rsidRPr="0044090C">
        <w:rPr>
          <w:rFonts w:ascii="Traditional Arabic" w:eastAsia="Calibri" w:hAnsi="Traditional Arabic" w:cs="Traditional Arabic"/>
          <w:sz w:val="24"/>
          <w:szCs w:val="24"/>
          <w:rtl/>
          <w:lang w:bidi="ar-EG"/>
        </w:rPr>
        <w:t>يوجد تأثير ذو دلالة إحصائية للقيادة التحويلية عند توسطها العلاقة بين ممارسات إدارة المخاطر وسلامة المرضى في المستشفيات الحكومية بالمملكة العربية السعودية</w:t>
      </w:r>
      <w:r w:rsidRPr="0044090C">
        <w:rPr>
          <w:rFonts w:ascii="Traditional Arabic" w:eastAsia="Calibri" w:hAnsi="Traditional Arabic" w:cs="Traditional Arabic" w:hint="cs"/>
          <w:sz w:val="24"/>
          <w:szCs w:val="24"/>
          <w:rtl/>
          <w:lang w:bidi="ar-EG"/>
        </w:rPr>
        <w:t>.</w:t>
      </w:r>
    </w:p>
    <w:p w14:paraId="39A65487" w14:textId="72D9FE26" w:rsidR="00616897" w:rsidRDefault="00616897" w:rsidP="00616897">
      <w:pPr>
        <w:bidi/>
        <w:spacing w:after="200" w:line="360" w:lineRule="auto"/>
        <w:ind w:left="720" w:hanging="720"/>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hint="cs"/>
          <w:b/>
          <w:bCs/>
          <w:sz w:val="24"/>
          <w:szCs w:val="24"/>
          <w:rtl/>
          <w:lang w:bidi="ar-EG"/>
        </w:rPr>
        <w:t>تنبثق من هذا الفرض فروض فرعية كالتالي:</w:t>
      </w:r>
    </w:p>
    <w:p w14:paraId="40E1E66D" w14:textId="0B3521FC" w:rsidR="00616897" w:rsidRPr="00616897" w:rsidRDefault="00616897" w:rsidP="00616897">
      <w:pPr>
        <w:pStyle w:val="ListParagraph"/>
        <w:numPr>
          <w:ilvl w:val="0"/>
          <w:numId w:val="51"/>
        </w:numPr>
        <w:bidi/>
        <w:spacing w:after="200" w:line="360" w:lineRule="auto"/>
        <w:jc w:val="both"/>
        <w:rPr>
          <w:rFonts w:ascii="Traditional Arabic" w:eastAsia="Calibri" w:hAnsi="Traditional Arabic" w:cs="Traditional Arabic"/>
          <w:sz w:val="24"/>
          <w:szCs w:val="24"/>
          <w:highlight w:val="yellow"/>
          <w:lang w:bidi="ar-EG"/>
        </w:rPr>
      </w:pPr>
      <w:r w:rsidRPr="00616897">
        <w:rPr>
          <w:rFonts w:ascii="Traditional Arabic" w:eastAsia="Calibri" w:hAnsi="Traditional Arabic" w:cs="Traditional Arabic" w:hint="cs"/>
          <w:sz w:val="24"/>
          <w:szCs w:val="24"/>
          <w:highlight w:val="yellow"/>
          <w:rtl/>
          <w:lang w:bidi="ar-EG"/>
        </w:rPr>
        <w:lastRenderedPageBreak/>
        <w:t>تتوسط القيادة التحويلية العلاقة بين تحديد المخاطر وأبعاد سلامة المرضى بالمستفيات الحكومية بالمملكة العربية السعودية.</w:t>
      </w:r>
    </w:p>
    <w:p w14:paraId="7A1729B8" w14:textId="5E2D0002" w:rsidR="00616897" w:rsidRPr="00616897" w:rsidRDefault="00616897" w:rsidP="00616897">
      <w:pPr>
        <w:pStyle w:val="ListParagraph"/>
        <w:numPr>
          <w:ilvl w:val="0"/>
          <w:numId w:val="51"/>
        </w:numPr>
        <w:bidi/>
        <w:spacing w:after="200" w:line="360" w:lineRule="auto"/>
        <w:jc w:val="both"/>
        <w:rPr>
          <w:rFonts w:ascii="Traditional Arabic" w:eastAsia="Calibri" w:hAnsi="Traditional Arabic" w:cs="Traditional Arabic"/>
          <w:sz w:val="24"/>
          <w:szCs w:val="24"/>
          <w:highlight w:val="yellow"/>
          <w:lang w:bidi="ar-EG"/>
        </w:rPr>
      </w:pPr>
      <w:r w:rsidRPr="00616897">
        <w:rPr>
          <w:rFonts w:ascii="Traditional Arabic" w:eastAsia="Calibri" w:hAnsi="Traditional Arabic" w:cs="Traditional Arabic" w:hint="cs"/>
          <w:sz w:val="24"/>
          <w:szCs w:val="24"/>
          <w:highlight w:val="yellow"/>
          <w:rtl/>
          <w:lang w:bidi="ar-EG"/>
        </w:rPr>
        <w:t>تتوسط القيادة التحويلية العلاقة بين تحليل المخاطر وأبعاد سلامة المرضى بالمستفيات الحكومية بالمملكة العربية السعودية.</w:t>
      </w:r>
    </w:p>
    <w:p w14:paraId="7F6625D0" w14:textId="62A81ADC" w:rsidR="00616897" w:rsidRPr="00616897" w:rsidRDefault="00616897" w:rsidP="00616897">
      <w:pPr>
        <w:pStyle w:val="ListParagraph"/>
        <w:numPr>
          <w:ilvl w:val="0"/>
          <w:numId w:val="51"/>
        </w:numPr>
        <w:bidi/>
        <w:spacing w:after="200" w:line="360" w:lineRule="auto"/>
        <w:jc w:val="both"/>
        <w:rPr>
          <w:rFonts w:ascii="Traditional Arabic" w:eastAsia="Calibri" w:hAnsi="Traditional Arabic" w:cs="Traditional Arabic"/>
          <w:sz w:val="24"/>
          <w:szCs w:val="24"/>
          <w:highlight w:val="yellow"/>
          <w:lang w:bidi="ar-EG"/>
        </w:rPr>
      </w:pPr>
      <w:r w:rsidRPr="00616897">
        <w:rPr>
          <w:rFonts w:ascii="Traditional Arabic" w:eastAsia="Calibri" w:hAnsi="Traditional Arabic" w:cs="Traditional Arabic" w:hint="cs"/>
          <w:sz w:val="24"/>
          <w:szCs w:val="24"/>
          <w:highlight w:val="yellow"/>
          <w:rtl/>
          <w:lang w:bidi="ar-EG"/>
        </w:rPr>
        <w:t>تتوسط القيادة التحويلية العلاقة بين تقييم المخاطر وأبعاد سلامة المرضى بالمستفيات الحكومية بالمملكة العربية السعودية.</w:t>
      </w:r>
    </w:p>
    <w:p w14:paraId="1DE1CA36" w14:textId="7CADE4A2" w:rsidR="00616897" w:rsidRPr="00616897" w:rsidRDefault="00616897" w:rsidP="00616897">
      <w:pPr>
        <w:pStyle w:val="ListParagraph"/>
        <w:numPr>
          <w:ilvl w:val="0"/>
          <w:numId w:val="51"/>
        </w:num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تتوسط القيادة التحويلية العلاقة بين الإستجابة المخاطر وأبعاد سلامة المرضى بالمستفيات الحكومية بالمملكة العربية السعودية.</w:t>
      </w:r>
    </w:p>
    <w:p w14:paraId="2049B541" w14:textId="3FFAB638" w:rsidR="004B4F17" w:rsidRPr="009F15CA" w:rsidRDefault="009F15CA" w:rsidP="009F15CA">
      <w:pPr>
        <w:bidi/>
        <w:spacing w:after="200" w:line="360" w:lineRule="auto"/>
        <w:ind w:left="720" w:hanging="720"/>
        <w:contextualSpacing/>
        <w:jc w:val="both"/>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lang w:bidi="ar-EG"/>
        </w:rPr>
        <w:t>الفرض الرئيسي الخامس (فرض الفروق الديموغرافية):"</w:t>
      </w:r>
      <w:r w:rsidRPr="0044090C">
        <w:rPr>
          <w:rFonts w:ascii="Traditional Arabic" w:eastAsia="Calibri" w:hAnsi="Traditional Arabic" w:cs="Traditional Arabic"/>
          <w:sz w:val="24"/>
          <w:szCs w:val="24"/>
          <w:rtl/>
          <w:lang w:bidi="ar-EG"/>
        </w:rPr>
        <w:t>توجد فروق ذات دلالة إحصائية في إدراك أفراد العينة لمتغيرات الدراسة تُعزى للمتغيرات الديموغرافية والوظيفية (النوع، المؤهل العلمي، نوع الوظيفة، سنوات الخبرة)."</w:t>
      </w:r>
    </w:p>
    <w:p w14:paraId="2A18AB29" w14:textId="77777777" w:rsidR="009F15CA" w:rsidRDefault="009F15CA" w:rsidP="00616897">
      <w:pPr>
        <w:bidi/>
        <w:spacing w:after="200" w:line="360" w:lineRule="auto"/>
        <w:contextualSpacing/>
        <w:jc w:val="both"/>
        <w:rPr>
          <w:rFonts w:ascii="Traditional Arabic" w:eastAsia="Calibri" w:hAnsi="Traditional Arabic" w:cs="Traditional Arabic"/>
          <w:sz w:val="24"/>
          <w:szCs w:val="24"/>
          <w:rtl/>
          <w:lang w:bidi="ar-EG"/>
        </w:rPr>
      </w:pPr>
    </w:p>
    <w:p w14:paraId="3A35AE64" w14:textId="55D2155D" w:rsidR="00876D6E" w:rsidRDefault="00AD783C" w:rsidP="00876D6E">
      <w:pPr>
        <w:bidi/>
        <w:spacing w:after="200" w:line="276" w:lineRule="auto"/>
        <w:rPr>
          <w:rFonts w:ascii="Traditional Arabic" w:hAnsi="Traditional Arabic" w:cs="Traditional Arabic"/>
          <w:b/>
          <w:bCs/>
          <w:color w:val="00B0F0"/>
          <w:sz w:val="28"/>
          <w:szCs w:val="28"/>
          <w:u w:val="single"/>
        </w:rPr>
      </w:pPr>
      <w:r w:rsidRPr="00844164">
        <w:rPr>
          <w:rFonts w:ascii="Traditional Arabic" w:hAnsi="Traditional Arabic" w:cs="Traditional Arabic" w:hint="cs"/>
          <w:b/>
          <w:bCs/>
          <w:color w:val="00B0F0"/>
          <w:sz w:val="28"/>
          <w:szCs w:val="28"/>
          <w:u w:val="single"/>
          <w:rtl/>
        </w:rPr>
        <w:t>نموذج الدراسة</w:t>
      </w:r>
      <w:r w:rsidR="00876D6E" w:rsidRPr="00844164">
        <w:rPr>
          <w:rFonts w:ascii="Traditional Arabic" w:hAnsi="Traditional Arabic" w:cs="Traditional Arabic" w:hint="cs"/>
          <w:b/>
          <w:bCs/>
          <w:color w:val="00B0F0"/>
          <w:sz w:val="28"/>
          <w:szCs w:val="28"/>
          <w:u w:val="single"/>
          <w:rtl/>
        </w:rPr>
        <w:t>:</w:t>
      </w:r>
    </w:p>
    <w:p w14:paraId="05A4440E" w14:textId="77777777" w:rsidR="00844164" w:rsidRPr="00844164" w:rsidRDefault="00844164" w:rsidP="00844164">
      <w:pPr>
        <w:bidi/>
        <w:spacing w:after="200" w:line="276" w:lineRule="auto"/>
        <w:rPr>
          <w:rFonts w:ascii="Traditional Arabic" w:hAnsi="Traditional Arabic" w:cs="Traditional Arabic"/>
          <w:b/>
          <w:bCs/>
          <w:color w:val="00B0F0"/>
          <w:sz w:val="28"/>
          <w:szCs w:val="28"/>
          <w:u w:val="single"/>
          <w:rtl/>
        </w:rPr>
      </w:pPr>
    </w:p>
    <w:p w14:paraId="08B71AB1" w14:textId="02D8B98B" w:rsidR="00876D6E" w:rsidRPr="00844164" w:rsidRDefault="00876D6E" w:rsidP="00876D6E">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الشكل ( 1 ) النموذج المفاهيمي للعلاقة بين المتغيرات</w:t>
      </w:r>
    </w:p>
    <w:p w14:paraId="076342CA" w14:textId="6B6F7B4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0000" w:themeColor="text1"/>
          <w:sz w:val="24"/>
          <w:szCs w:val="24"/>
          <w:rtl/>
          <w:lang w:val="ar-SA"/>
        </w:rPr>
        <mc:AlternateContent>
          <mc:Choice Requires="wps">
            <w:drawing>
              <wp:anchor distT="0" distB="0" distL="114300" distR="114300" simplePos="0" relativeHeight="251671040" behindDoc="0" locked="0" layoutInCell="1" allowOverlap="1" wp14:anchorId="1C207EC0" wp14:editId="016C2C28">
                <wp:simplePos x="0" y="0"/>
                <wp:positionH relativeFrom="margin">
                  <wp:align>left</wp:align>
                </wp:positionH>
                <wp:positionV relativeFrom="paragraph">
                  <wp:posOffset>232438</wp:posOffset>
                </wp:positionV>
                <wp:extent cx="5527125" cy="382138"/>
                <wp:effectExtent l="0" t="0" r="16510" b="18415"/>
                <wp:wrapNone/>
                <wp:docPr id="98623567" name="Text Box 9"/>
                <wp:cNvGraphicFramePr/>
                <a:graphic xmlns:a="http://schemas.openxmlformats.org/drawingml/2006/main">
                  <a:graphicData uri="http://schemas.microsoft.com/office/word/2010/wordprocessingShape">
                    <wps:wsp>
                      <wps:cNvSpPr txBox="1"/>
                      <wps:spPr>
                        <a:xfrm>
                          <a:off x="0" y="0"/>
                          <a:ext cx="5527125" cy="382138"/>
                        </a:xfrm>
                        <a:prstGeom prst="rect">
                          <a:avLst/>
                        </a:prstGeom>
                        <a:solidFill>
                          <a:schemeClr val="lt1"/>
                        </a:solidFill>
                        <a:ln w="6350">
                          <a:solidFill>
                            <a:prstClr val="black"/>
                          </a:solidFill>
                        </a:ln>
                      </wps:spPr>
                      <wps:txbx>
                        <w:txbxContent>
                          <w:p w14:paraId="178F6FA6" w14:textId="5AC154E8" w:rsidR="00C53129" w:rsidRPr="00844164" w:rsidRDefault="00C53129" w:rsidP="00C53129">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المتغيرات الديموجرافية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207EC0" id="_x0000_t202" coordsize="21600,21600" o:spt="202" path="m,l,21600r21600,l21600,xe">
                <v:stroke joinstyle="miter"/>
                <v:path gradientshapeok="t" o:connecttype="rect"/>
              </v:shapetype>
              <v:shape id="Text Box 9" o:spid="_x0000_s1028" type="#_x0000_t202" style="position:absolute;left:0;text-align:left;margin-left:0;margin-top:18.3pt;width:435.2pt;height:30.1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urPQIAAIMEAAAOAAAAZHJzL2Uyb0RvYy54bWysVE1v2zAMvQ/YfxB0Xxw7SZsZcYosRYYB&#10;RVsgHXpWZCkxJouapMTOfv0o2flot9Owi0yJ1BP5+OjZXVsrchDWVaALmg6GlAjNoaz0tqDfX1af&#10;ppQ4z3TJFGhR0KNw9G7+8cOsMbnIYAeqFJYgiHZ5Ywq6897kSeL4TtTMDcAIjU4JtmYet3ablJY1&#10;iF6rJBsOb5IGbGkscOEcnt53TjqP+FIK7p+kdMITVVDMzcfVxnUT1mQ+Y/nWMrOreJ8G+4csalZp&#10;fPQMdc88I3tb/QFVV9yCA+kHHOoEpKy4iDVgNenwXTXrHTMi1oLkOHOmyf0/WP54WJtnS3z7BVps&#10;YCCkMS53eBjqaaWtwxczJehHCo9n2kTrCcfDySS7TbMJJRx9o2mWjqYBJrncNtb5rwJqEoyCWmxL&#10;ZIsdHpzvQk8h4TEHqipXlVJxE6QglsqSA8MmKh9zRPA3UUqTpqA3o8kwAr/xBejz/Y1i/Eef3lUU&#10;4imNOV9qD5ZvNy2pyoJmJ142UB6RLgudkpzhqwrhH5jzz8yidJAhHAf/hItUgDlBb1GyA/vrb+ch&#10;HjuKXkoalGJB3c89s4IS9U1jrz+n43HQbtyMJ7cZbuy1Z3Pt0ft6CUhUioNneDRDvFcnU1qoX3Fq&#10;FuFVdDHN8e2C+pO59N2A4NRxsVjEIFSrYf5Brw0P0KExgdaX9pVZ07fVoyAe4SRalr/rbhcbbmpY&#10;7D3IKrY+8Nyx2tOPSo/i6acyjNL1PkZd/h3z3wAAAP//AwBQSwMEFAAGAAgAAAAhAIv84NfaAAAA&#10;BgEAAA8AAABkcnMvZG93bnJldi54bWxMj81OwzAQhO9IvIO1SNyow4+Cm8apABUunFoQ5228ta3G&#10;dmS7aXh7zAmOoxnNfNOuZzewiWKywUu4XVTAyPdBWa8lfH683ghgKaNXOARPEr4pwbq7vGixUeHs&#10;tzTtsmalxKcGJZicx4bz1BtymBZhJF+8Q4gOc5FRcxXxXMrdwO+qquYOrS8LBkd6MdQfdycnYfOs&#10;l7oXGM1GKGun+evwrt+kvL6an1bAMs35Lwy/+AUdusK0DyevEhsklCNZwn1dAyuueKwegO0lLGsB&#10;vGv5f/zuBwAA//8DAFBLAQItABQABgAIAAAAIQC2gziS/gAAAOEBAAATAAAAAAAAAAAAAAAAAAAA&#10;AABbQ29udGVudF9UeXBlc10ueG1sUEsBAi0AFAAGAAgAAAAhADj9If/WAAAAlAEAAAsAAAAAAAAA&#10;AAAAAAAALwEAAF9yZWxzLy5yZWxzUEsBAi0AFAAGAAgAAAAhANFO66s9AgAAgwQAAA4AAAAAAAAA&#10;AAAAAAAALgIAAGRycy9lMm9Eb2MueG1sUEsBAi0AFAAGAAgAAAAhAIv84NfaAAAABgEAAA8AAAAA&#10;AAAAAAAAAAAAlwQAAGRycy9kb3ducmV2LnhtbFBLBQYAAAAABAAEAPMAAACeBQAAAAA=&#10;" fillcolor="white [3201]" strokeweight=".5pt">
                <v:textbox>
                  <w:txbxContent>
                    <w:p w14:paraId="178F6FA6" w14:textId="5AC154E8" w:rsidR="00C53129" w:rsidRPr="00844164" w:rsidRDefault="00C53129" w:rsidP="00C53129">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المتغيرات الديموجرافية</w:t>
                      </w:r>
                    </w:p>
                  </w:txbxContent>
                </v:textbox>
                <w10:wrap anchorx="margin"/>
              </v:shape>
            </w:pict>
          </mc:Fallback>
        </mc:AlternateContent>
      </w:r>
    </w:p>
    <w:p w14:paraId="2B3A6B01" w14:textId="505709FA"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5136" behindDoc="0" locked="0" layoutInCell="1" allowOverlap="1" wp14:anchorId="13E94C5A" wp14:editId="6E5023CA">
                <wp:simplePos x="0" y="0"/>
                <wp:positionH relativeFrom="column">
                  <wp:posOffset>344606</wp:posOffset>
                </wp:positionH>
                <wp:positionV relativeFrom="paragraph">
                  <wp:posOffset>264985</wp:posOffset>
                </wp:positionV>
                <wp:extent cx="1623742" cy="1774209"/>
                <wp:effectExtent l="38100" t="0" r="33655" b="54610"/>
                <wp:wrapNone/>
                <wp:docPr id="122395261" name="Straight Arrow Connector 28"/>
                <wp:cNvGraphicFramePr/>
                <a:graphic xmlns:a="http://schemas.openxmlformats.org/drawingml/2006/main">
                  <a:graphicData uri="http://schemas.microsoft.com/office/word/2010/wordprocessingShape">
                    <wps:wsp>
                      <wps:cNvCnPr/>
                      <wps:spPr>
                        <a:xfrm flipH="1">
                          <a:off x="0" y="0"/>
                          <a:ext cx="1623742" cy="17742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80E4B61" id="_x0000_t32" coordsize="21600,21600" o:spt="32" o:oned="t" path="m,l21600,21600e" filled="f">
                <v:path arrowok="t" fillok="f" o:connecttype="none"/>
                <o:lock v:ext="edit" shapetype="t"/>
              </v:shapetype>
              <v:shape id="Straight Arrow Connector 28" o:spid="_x0000_s1026" type="#_x0000_t32" style="position:absolute;margin-left:27.15pt;margin-top:20.85pt;width:127.85pt;height:139.7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CXuwwEAANsDAAAOAAAAZHJzL2Uyb0RvYy54bWysU8uO1DAQvCPxD5bvTJIB7UI0mT3M8jgg&#10;WAH7AV6nnVjyS+1mMvl7bGcmiwAJLeLScuyu6q7qzu7mZA07AkbtXcebTc0ZOOl77YaO33979+I1&#10;Z5GE64XxDjo+Q+Q3++fPdlNoYetHb3pAlkhcbKfQ8ZEotFUV5QhWxI0P4NKj8mgFpU8cqh7FlNit&#10;qbZ1fVVNHvuAXkKM6fZ2eeT7wq8USPqsVARipuOpNyoRS3zIsdrvRDugCKOW5zbEP3RhhXap6Ep1&#10;K0iw76h/o7Jaoo9e0UZ6W3mltISiIalp6l/UfB1FgKIlmRPDalP8f7Ty0/Hg7jDZMIXYxnCHWcVJ&#10;oWXK6PAhzbToSp2yU7FtXm2DEzGZLpur7cvrV1vOZHprrtOxfpONrRaiTBgw0nvwluVDxyOh0MNI&#10;B+9cGpHHpYg4foy0AC+ADDYuRxLavHU9ozmkPSLUwg0GznVySvWooJxoNrDAv4Bius+dFi1lueBg&#10;kB1FWgshJThqVqaUnWFKG7MC678Dz/kZCmXxngJeEaWyd7SCrXYe/1SdTpeW1ZJ/cWDRnS148P1c&#10;ZlusSRtUZnLe9ryiP38X+OM/uf8BAAD//wMAUEsDBBQABgAIAAAAIQBJZqdG4AAAAAkBAAAPAAAA&#10;ZHJzL2Rvd25yZXYueG1sTI/NTsMwEITvSLyDtUjcqOO0tBDiVPwIUS5ItNCzm2yTiHid2k4b3p7l&#10;BLddzezsN/lytJ04og+tIw1qkoBAKl3VUq3hY/N8dQMiREOV6Ryhhm8MsCzOz3KTVe5E73hcx1pw&#10;CIXMaGhi7DMpQ9mgNWHieiTW9s5bE3n1tay8OXG47WSaJHNpTUv8oTE9PjZYfq0Hyxj7l4N6vZ1v&#10;H7ZPw9tnulkcVqXX+vJivL8DEXGMf2b4xecbKJhp5waqgug0XM+m7NQwUwsQrE9Vwt12PKRKgSxy&#10;+b9B8QMAAP//AwBQSwECLQAUAAYACAAAACEAtoM4kv4AAADhAQAAEwAAAAAAAAAAAAAAAAAAAAAA&#10;W0NvbnRlbnRfVHlwZXNdLnhtbFBLAQItABQABgAIAAAAIQA4/SH/1gAAAJQBAAALAAAAAAAAAAAA&#10;AAAAAC8BAABfcmVscy8ucmVsc1BLAQItABQABgAIAAAAIQBGYCXuwwEAANsDAAAOAAAAAAAAAAAA&#10;AAAAAC4CAABkcnMvZTJvRG9jLnhtbFBLAQItABQABgAIAAAAIQBJZqdG4AAAAAkBAAAPAAAAAAAA&#10;AAAAAAAAAB0EAABkcnMvZG93bnJldi54bWxQSwUGAAAAAAQABADzAAAAKgUAAAAA&#10;" strokecolor="#4579b8 [3044]">
                <v:stroke endarrow="block"/>
              </v:shape>
            </w:pict>
          </mc:Fallback>
        </mc:AlternateContent>
      </w: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3088" behindDoc="0" locked="0" layoutInCell="1" allowOverlap="1" wp14:anchorId="761B306E" wp14:editId="336C04B7">
                <wp:simplePos x="0" y="0"/>
                <wp:positionH relativeFrom="column">
                  <wp:posOffset>3128749</wp:posOffset>
                </wp:positionH>
                <wp:positionV relativeFrom="paragraph">
                  <wp:posOffset>292280</wp:posOffset>
                </wp:positionV>
                <wp:extent cx="2152252" cy="869590"/>
                <wp:effectExtent l="0" t="0" r="76835" b="64135"/>
                <wp:wrapNone/>
                <wp:docPr id="1114228878" name="Straight Arrow Connector 28"/>
                <wp:cNvGraphicFramePr/>
                <a:graphic xmlns:a="http://schemas.openxmlformats.org/drawingml/2006/main">
                  <a:graphicData uri="http://schemas.microsoft.com/office/word/2010/wordprocessingShape">
                    <wps:wsp>
                      <wps:cNvCnPr/>
                      <wps:spPr>
                        <a:xfrm>
                          <a:off x="0" y="0"/>
                          <a:ext cx="2152252" cy="869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66BA2A9" id="Straight Arrow Connector 28" o:spid="_x0000_s1026" type="#_x0000_t32" style="position:absolute;margin-left:246.35pt;margin-top:23pt;width:169.45pt;height:68.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MkAwAEAANADAAAOAAAAZHJzL2Uyb0RvYy54bWysU9uO0zAQfUfiHyy/01ykrnarpvvQBV4Q&#10;rID9AK8zTiw5tmUPTfL3jJ02RYCQWO3LxJc5M2eOT/b302DYCULUzja82pScgZWu1bZr+NP3D+9u&#10;OYsobCuMs9DwGSK/P7x9sx/9DmrXO9NCYFTExt3oG94j+l1RRNnDIOLGebB0qVwYBNI2dEUbxEjV&#10;B1PUZXlTjC60PjgJMdLpw3LJD7m+UiDxi1IRkJmGEzfMMeT4nGJx2ItdF4TvtTzTEC9gMQhtqela&#10;6kGgYD+C/qPUoGVw0SncSDcUTiktIc9A01Tlb9N864WHPAuJE/0qU3y9svLz6WgfA8kw+riL/jGk&#10;KSYVhvQlfmzKYs2rWDAhk3RYV9u63tacSbq7vbnb3mU1iyvah4gfwQ0sLRoeMQjd9Xh01tK7uFBl&#10;xcTpU0TqT8ALILU2NkUU2ry3LcPZk3kwaGE7A+nVKD2lFFfaeYWzgQX+FRTTLRFd2mRHwdEEdhLk&#10;BSElWKzWSpSdYEobswLLzO+fwHN+gkJ22/+AV0Tu7Cyu4EFbF/7WHacLZbXkXxRY5k4SPLt2zg+a&#10;pSHbZK3OFk++/HWf4dcf8fATAAD//wMAUEsDBBQABgAIAAAAIQBFkg8c3gAAAAoBAAAPAAAAZHJz&#10;L2Rvd25yZXYueG1sTI9NT8MwDIbvSPyHyEjcWLp2Kl3XdBpf0o5j48Ita722onGqJNvCv8ec4GbL&#10;j14/b7WOZhQXdH6wpGA+S0AgNbYdqFPwcXh7KED4oKnVoyVU8I0e1vXtTaXL1l7pHS/70AkOIV9q&#10;BX0IUymlb3o02s/shMS3k3VGB15dJ1unrxxuRpkmSS6NHog/9HrC5x6br/3ZKHjabc3m5dNFzLLX&#10;hY8Hm1KzVer+Lm5WIALG8AfDrz6rQ81OR3um1otRwWKZPjLKQ86dGCiyeQ7iyGSRLkHWlfxfof4B&#10;AAD//wMAUEsBAi0AFAAGAAgAAAAhALaDOJL+AAAA4QEAABMAAAAAAAAAAAAAAAAAAAAAAFtDb250&#10;ZW50X1R5cGVzXS54bWxQSwECLQAUAAYACAAAACEAOP0h/9YAAACUAQAACwAAAAAAAAAAAAAAAAAv&#10;AQAAX3JlbHMvLnJlbHNQSwECLQAUAAYACAAAACEAvXDJAMABAADQAwAADgAAAAAAAAAAAAAAAAAu&#10;AgAAZHJzL2Uyb0RvYy54bWxQSwECLQAUAAYACAAAACEARZIPHN4AAAAKAQAADwAAAAAAAAAAAAAA&#10;AAAaBAAAZHJzL2Rvd25yZXYueG1sUEsFBgAAAAAEAAQA8wAAACUFAAAAAA==&#10;" strokecolor="#4579b8 [3044]">
                <v:stroke endarrow="block"/>
              </v:shape>
            </w:pict>
          </mc:Fallback>
        </mc:AlternateContent>
      </w:r>
    </w:p>
    <w:p w14:paraId="40662532" w14:textId="59730122"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6944" behindDoc="0" locked="0" layoutInCell="1" allowOverlap="1" wp14:anchorId="72C8BFBD" wp14:editId="29F317A4">
                <wp:simplePos x="0" y="0"/>
                <wp:positionH relativeFrom="column">
                  <wp:posOffset>2584137</wp:posOffset>
                </wp:positionH>
                <wp:positionV relativeFrom="paragraph">
                  <wp:posOffset>10293</wp:posOffset>
                </wp:positionV>
                <wp:extent cx="45719" cy="913822"/>
                <wp:effectExtent l="76200" t="0" r="50165" b="57785"/>
                <wp:wrapNone/>
                <wp:docPr id="350031028" name="Straight Arrow Connector 28"/>
                <wp:cNvGraphicFramePr/>
                <a:graphic xmlns:a="http://schemas.openxmlformats.org/drawingml/2006/main">
                  <a:graphicData uri="http://schemas.microsoft.com/office/word/2010/wordprocessingShape">
                    <wps:wsp>
                      <wps:cNvCnPr/>
                      <wps:spPr>
                        <a:xfrm flipH="1">
                          <a:off x="0" y="0"/>
                          <a:ext cx="45719" cy="9138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8377E86" id="Straight Arrow Connector 28" o:spid="_x0000_s1026" type="#_x0000_t32" style="position:absolute;margin-left:203.5pt;margin-top:.8pt;width:3.6pt;height:71.95pt;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LaxAEAANgDAAAOAAAAZHJzL2Uyb0RvYy54bWysU8uO1DAQvCPxD5bvTJLhtTuazB5meRwQ&#10;rBb4AK/TTiz5pXYzSf4e25nJIkBIIC4tx+6qrq7u7G8ma9gJMGrvWt5sas7ASd9p17f865e3z644&#10;iyRcJ4x30PIZIr85PH2yH8MOtn7wpgNkicTF3RhaPhCFXVVFOYAVceMDuPSoPFpB6RP7qkMxJnZr&#10;qm1dv6pGj11ALyHGdHu7PPJD4VcKJH1SKgIx0/KkjUrEEh9yrA57setRhEHLswzxDyqs0C4VXalu&#10;BQn2DfUvVFZL9NEr2khvK6+UllB6SN009U/dfB5EgNJLMieG1ab4/2jlx9PR3WGyYQxxF8Md5i4m&#10;hZYpo8P7NNPSV1LKpmLbvNoGEzGZLl+8fN1ccybTy3Xz/Gq7za5WC0tmCxjpHXjL8qHlkVDofqCj&#10;dy7Nx+NSQZw+RFqAF0AGG5cjCW3euI7RHNISEWrhegPnOjmlepRfTjQbWOD3oJjuksylTNksOBpk&#10;J5F2QkgJjpqVKWVnmNLGrMC6OPBH4Dk/Q6Fs3d+AV0Sp7B2tYKudx99Vp+kiWS35FweWvrMFD76b&#10;y2CLNWl9ykzOq57388fvAn/8IQ/fAQAA//8DAFBLAwQUAAYACAAAACEA616Xht8AAAAJAQAADwAA&#10;AGRycy9kb3ducmV2LnhtbEyPzU7DMBCE70i8g7VI3KiTKE1piFPxIwRckGhLz26yTSLidWo7bXh7&#10;lhMcR9/O7EyxmkwvTuh8Z0lBPItAIFW27qhRsN0839yC8EFTrXtLqOAbPazKy4tC57U90wee1qER&#10;HEI+1wraEIZcSl+1aLSf2QGJ2cE6owNL18ja6TOHm14mUZRJozviD60e8LHF6ms9Gq5xeDnGb8ts&#10;97B7Gt8/k83i+Fo5pa6vpvs7EAGn8HcMv/XZAyV32tuRai96BWm04C2BQQaCeRqnCYg963Q+B1kW&#10;8v+C8gcAAP//AwBQSwECLQAUAAYACAAAACEAtoM4kv4AAADhAQAAEwAAAAAAAAAAAAAAAAAAAAAA&#10;W0NvbnRlbnRfVHlwZXNdLnhtbFBLAQItABQABgAIAAAAIQA4/SH/1gAAAJQBAAALAAAAAAAAAAAA&#10;AAAAAC8BAABfcmVscy8ucmVsc1BLAQItABQABgAIAAAAIQASRHLaxAEAANgDAAAOAAAAAAAAAAAA&#10;AAAAAC4CAABkcnMvZTJvRG9jLnhtbFBLAQItABQABgAIAAAAIQDrXpeG3wAAAAkBAAAPAAAAAAAA&#10;AAAAAAAAAB4EAABkcnMvZG93bnJldi54bWxQSwUGAAAAAAQABADzAAAAKgUAAAAA&#10;" strokecolor="#4579b8 [3044]">
                <v:stroke endarrow="block"/>
              </v:shape>
            </w:pict>
          </mc:Fallback>
        </mc:AlternateContent>
      </w:r>
    </w:p>
    <w:p w14:paraId="0C74EC7C" w14:textId="39DAAB8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p>
    <w:p w14:paraId="4986D843" w14:textId="4110899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0800" behindDoc="0" locked="0" layoutInCell="1" allowOverlap="1" wp14:anchorId="225A04F8" wp14:editId="30A27F32">
                <wp:simplePos x="0" y="0"/>
                <wp:positionH relativeFrom="column">
                  <wp:posOffset>4357048</wp:posOffset>
                </wp:positionH>
                <wp:positionV relativeFrom="paragraph">
                  <wp:posOffset>333422</wp:posOffset>
                </wp:positionV>
                <wp:extent cx="1432560" cy="777923"/>
                <wp:effectExtent l="0" t="0" r="15240" b="22225"/>
                <wp:wrapNone/>
                <wp:docPr id="1007991622" name="Text Box 20"/>
                <wp:cNvGraphicFramePr/>
                <a:graphic xmlns:a="http://schemas.openxmlformats.org/drawingml/2006/main">
                  <a:graphicData uri="http://schemas.microsoft.com/office/word/2010/wordprocessingShape">
                    <wps:wsp>
                      <wps:cNvSpPr txBox="1"/>
                      <wps:spPr>
                        <a:xfrm>
                          <a:off x="0" y="0"/>
                          <a:ext cx="1432560" cy="777923"/>
                        </a:xfrm>
                        <a:prstGeom prst="rect">
                          <a:avLst/>
                        </a:prstGeom>
                        <a:solidFill>
                          <a:schemeClr val="lt1"/>
                        </a:solidFill>
                        <a:ln w="6350">
                          <a:solidFill>
                            <a:prstClr val="black"/>
                          </a:solidFill>
                        </a:ln>
                      </wps:spPr>
                      <wps:txbx>
                        <w:txbxContent>
                          <w:p w14:paraId="4D13BB2F" w14:textId="11B659DC" w:rsidR="00146303" w:rsidRPr="00844164" w:rsidRDefault="00146303" w:rsidP="00844164">
                            <w:pPr>
                              <w:bidi/>
                              <w:jc w:val="center"/>
                              <w:rPr>
                                <w:rFonts w:ascii="Traditional Arabic" w:hAnsi="Traditional Arabic" w:cs="Traditional Arabic"/>
                                <w:b/>
                                <w:bCs/>
                                <w:sz w:val="28"/>
                                <w:szCs w:val="28"/>
                                <w:lang w:bidi="ar-EG"/>
                              </w:rPr>
                            </w:pPr>
                            <w:r w:rsidRPr="00844164">
                              <w:rPr>
                                <w:rFonts w:ascii="Traditional Arabic" w:hAnsi="Traditional Arabic" w:cs="Traditional Arabic" w:hint="cs"/>
                                <w:b/>
                                <w:bCs/>
                                <w:sz w:val="28"/>
                                <w:szCs w:val="28"/>
                                <w:rtl/>
                                <w:lang w:bidi="ar-EG"/>
                              </w:rPr>
                              <w:t>سلامة المرضى</w:t>
                            </w:r>
                            <w:r w:rsidR="00CC175A" w:rsidRPr="00844164">
                              <w:rPr>
                                <w:rFonts w:ascii="Traditional Arabic" w:hAnsi="Traditional Arabic" w:cs="Traditional Arabic" w:hint="cs"/>
                                <w:b/>
                                <w:bCs/>
                                <w:sz w:val="28"/>
                                <w:szCs w:val="28"/>
                                <w:rtl/>
                                <w:lang w:bidi="ar-EG"/>
                              </w:rPr>
                              <w:t xml:space="preserve"> 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A04F8" id="Text Box 20" o:spid="_x0000_s1029" type="#_x0000_t202" style="position:absolute;left:0;text-align:left;margin-left:343.05pt;margin-top:26.25pt;width:112.8pt;height:61.2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NzOQIAAIMEAAAOAAAAZHJzL2Uyb0RvYy54bWysVE2P2yAQvVfqf0DcG+c7XSvOKs0qVaVo&#10;d6VstWeCIUHFDAUSO/31HYjzsdueql7wwAyPmTdvPL1vKk0OwnkFpqC9TpcSYTiUymwL+v1l+ekz&#10;JT4wUzINRhT0KDy9n338MK1tLvqwA10KRxDE+Ly2Bd2FYPMs83wnKuY7YIVBpwRXsYBbt81Kx2pE&#10;r3TW73bHWQ2utA648B5PH05OOkv4UgoenqT0IhBdUMwtpNWldRPXbDZl+dYxu1O8TYP9QxYVUwYf&#10;vUA9sMDI3qk/oCrFHXiQocOhykBKxUWqAavpdd9Vs94xK1ItSI63F5r8/4Plj4e1fXYkNF+gwQZG&#10;Qmrrc4+HsZ5Guip+MVOCfqTweKFNNIHweGk46I/G6OLom0wmd/1BhMmut63z4auAikSjoA7bkthi&#10;h5UPp9BzSHzMg1blUmmdNlEKYqEdOTBsog4pRwR/E6UNqQs6Hoy6CfiNL0Jf7m804z/a9G6iEE8b&#10;zPlae7RCs2mIKguaCoonGyiPSJeDk5K85UuF8CvmwzNzKB2kAcchPOEiNWBO0FqU7MD9+tt5jMeO&#10;opeSGqVYUP9zz5ygRH8z2Ou73nAYtZs2w9Gkjxt369ncesy+WgAS1cPBszyZMT7osykdVK84NfP4&#10;KrqY4fh2QcPZXITTgODUcTGfpyBUq2VhZdaWR+jYmEjrS/PKnG3bGlAQj3AWLcvfdfcUG28amO8D&#10;SJVaf2W1pR+VnsTTTmUcpdt9irr+O2a/AQAA//8DAFBLAwQUAAYACAAAACEAiU35VN0AAAAKAQAA&#10;DwAAAGRycy9kb3ducmV2LnhtbEyPwU7DMBBE70j8g7VI3KiTSknTEKcCVLhwoiDO29i1LeJ1ZLtp&#10;+HvMCY6reZp52+0WN7JZhWg9CShXBTBFg5eWtICP9+e7BlhMSBJHT0rAt4qw66+vOmylv9Cbmg9J&#10;s1xCsUUBJqWp5TwORjmMKz8pytnJB4cpn0FzGfCSy93I10VRc4eW8oLBST0ZNXwdzk7A/lFv9dBg&#10;MPtGWjsvn6dX/SLE7c3ycA8sqSX9wfCrn9Whz05HfyYZ2SigbuoyowKqdQUsA9uy3AA7ZnJTFcD7&#10;jv9/of8BAAD//wMAUEsBAi0AFAAGAAgAAAAhALaDOJL+AAAA4QEAABMAAAAAAAAAAAAAAAAAAAAA&#10;AFtDb250ZW50X1R5cGVzXS54bWxQSwECLQAUAAYACAAAACEAOP0h/9YAAACUAQAACwAAAAAAAAAA&#10;AAAAAAAvAQAAX3JlbHMvLnJlbHNQSwECLQAUAAYACAAAACEA+B3TczkCAACDBAAADgAAAAAAAAAA&#10;AAAAAAAuAgAAZHJzL2Uyb0RvYy54bWxQSwECLQAUAAYACAAAACEAiU35VN0AAAAKAQAADwAAAAAA&#10;AAAAAAAAAACTBAAAZHJzL2Rvd25yZXYueG1sUEsFBgAAAAAEAAQA8wAAAJ0FAAAAAA==&#10;" fillcolor="white [3201]" strokeweight=".5pt">
                <v:textbox>
                  <w:txbxContent>
                    <w:p w14:paraId="4D13BB2F" w14:textId="11B659DC" w:rsidR="00146303" w:rsidRPr="00844164" w:rsidRDefault="00146303" w:rsidP="00844164">
                      <w:pPr>
                        <w:bidi/>
                        <w:jc w:val="center"/>
                        <w:rPr>
                          <w:rFonts w:ascii="Traditional Arabic" w:hAnsi="Traditional Arabic" w:cs="Traditional Arabic"/>
                          <w:b/>
                          <w:bCs/>
                          <w:sz w:val="28"/>
                          <w:szCs w:val="28"/>
                          <w:lang w:bidi="ar-EG"/>
                        </w:rPr>
                      </w:pPr>
                      <w:r w:rsidRPr="00844164">
                        <w:rPr>
                          <w:rFonts w:ascii="Traditional Arabic" w:hAnsi="Traditional Arabic" w:cs="Traditional Arabic" w:hint="cs"/>
                          <w:b/>
                          <w:bCs/>
                          <w:sz w:val="28"/>
                          <w:szCs w:val="28"/>
                          <w:rtl/>
                          <w:lang w:bidi="ar-EG"/>
                        </w:rPr>
                        <w:t>سلامة المرضى</w:t>
                      </w:r>
                      <w:r w:rsidR="00CC175A" w:rsidRPr="00844164">
                        <w:rPr>
                          <w:rFonts w:ascii="Traditional Arabic" w:hAnsi="Traditional Arabic" w:cs="Traditional Arabic" w:hint="cs"/>
                          <w:b/>
                          <w:bCs/>
                          <w:sz w:val="28"/>
                          <w:szCs w:val="28"/>
                          <w:rtl/>
                          <w:lang w:bidi="ar-EG"/>
                        </w:rPr>
                        <w:t xml:space="preserve"> المتغير التابع)</w:t>
                      </w:r>
                    </w:p>
                  </w:txbxContent>
                </v:textbox>
              </v:shape>
            </w:pict>
          </mc:Fallback>
        </mc:AlternateContent>
      </w:r>
      <w:r w:rsidRPr="00844164">
        <w:rPr>
          <w:rFonts w:ascii="Traditional Arabic" w:eastAsia="Calibri" w:hAnsi="Traditional Arabic" w:cs="Traditional Arabic" w:hint="cs"/>
          <w:b/>
          <w:bCs/>
          <w:noProof/>
          <w:sz w:val="28"/>
          <w:szCs w:val="28"/>
          <w:u w:val="single"/>
          <w:rtl/>
          <w:lang w:val="ar-EG" w:bidi="ar-EG"/>
        </w:rPr>
        <mc:AlternateContent>
          <mc:Choice Requires="wps">
            <w:drawing>
              <wp:anchor distT="0" distB="0" distL="114300" distR="114300" simplePos="0" relativeHeight="251662848" behindDoc="0" locked="0" layoutInCell="1" allowOverlap="1" wp14:anchorId="6DD212FE" wp14:editId="30269066">
                <wp:simplePos x="0" y="0"/>
                <wp:positionH relativeFrom="margin">
                  <wp:align>center</wp:align>
                </wp:positionH>
                <wp:positionV relativeFrom="paragraph">
                  <wp:posOffset>244504</wp:posOffset>
                </wp:positionV>
                <wp:extent cx="1564037" cy="604434"/>
                <wp:effectExtent l="0" t="0" r="17145" b="24765"/>
                <wp:wrapNone/>
                <wp:docPr id="1490803541" name="Text Box 22"/>
                <wp:cNvGraphicFramePr/>
                <a:graphic xmlns:a="http://schemas.openxmlformats.org/drawingml/2006/main">
                  <a:graphicData uri="http://schemas.microsoft.com/office/word/2010/wordprocessingShape">
                    <wps:wsp>
                      <wps:cNvSpPr txBox="1"/>
                      <wps:spPr>
                        <a:xfrm>
                          <a:off x="0" y="0"/>
                          <a:ext cx="1564037" cy="604434"/>
                        </a:xfrm>
                        <a:prstGeom prst="rect">
                          <a:avLst/>
                        </a:prstGeom>
                        <a:solidFill>
                          <a:schemeClr val="lt1"/>
                        </a:solidFill>
                        <a:ln w="6350">
                          <a:solidFill>
                            <a:prstClr val="black"/>
                          </a:solidFill>
                        </a:ln>
                      </wps:spPr>
                      <wps:txbx>
                        <w:txbxContent>
                          <w:p w14:paraId="4C9FED1A" w14:textId="2118AB84" w:rsidR="00146303" w:rsidRPr="00844164" w:rsidRDefault="00146303" w:rsidP="00146303">
                            <w:pPr>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القيادة التحويلية</w:t>
                            </w:r>
                            <w:r w:rsidR="00FA5AD6" w:rsidRPr="00844164">
                              <w:rPr>
                                <w:rFonts w:ascii="Traditional Arabic" w:hAnsi="Traditional Arabic" w:cs="Traditional Arabic" w:hint="cs"/>
                                <w:b/>
                                <w:bCs/>
                                <w:sz w:val="24"/>
                                <w:szCs w:val="24"/>
                                <w:rtl/>
                                <w:lang w:bidi="ar-EG"/>
                              </w:rPr>
                              <w:t xml:space="preserve"> (</w:t>
                            </w:r>
                            <w:r w:rsidR="00CC175A" w:rsidRPr="00844164">
                              <w:rPr>
                                <w:rFonts w:ascii="Traditional Arabic" w:hAnsi="Traditional Arabic" w:cs="Traditional Arabic" w:hint="cs"/>
                                <w:b/>
                                <w:bCs/>
                                <w:sz w:val="24"/>
                                <w:szCs w:val="24"/>
                                <w:rtl/>
                                <w:lang w:bidi="ar-EG"/>
                              </w:rPr>
                              <w:t>المتغير الوسيط</w:t>
                            </w:r>
                            <w:r w:rsidR="00FA5AD6" w:rsidRPr="00844164">
                              <w:rPr>
                                <w:rFonts w:ascii="Traditional Arabic" w:hAnsi="Traditional Arabic" w:cs="Traditional Arabic" w:hint="cs"/>
                                <w:b/>
                                <w:bCs/>
                                <w:sz w:val="24"/>
                                <w:szCs w:val="24"/>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212FE" id="Text Box 22" o:spid="_x0000_s1030" type="#_x0000_t202" style="position:absolute;left:0;text-align:left;margin-left:0;margin-top:19.25pt;width:123.15pt;height:47.6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6OgIAAIMEAAAOAAAAZHJzL2Uyb0RvYy54bWysVE1v2zAMvQ/YfxB0X+wkTtoZcYosRYYB&#10;RVsgHXpWZDkWJouapMTOfv0oxflot9Owi0yK1CP5SHp21zWK7IV1EnRBh4OUEqE5lFJvC/r9ZfXp&#10;lhLnmS6ZAi0KehCO3s0/fpi1JhcjqEGVwhIE0S5vTUFr702eJI7XomFuAEZoNFZgG+ZRtduktKxF&#10;9EYlozSdJi3Y0ljgwjm8vT8a6TziV5Xg/qmqnPBEFRRz8/G08dyEM5nPWL61zNSS92mwf8iiYVJj&#10;0DPUPfOM7Kz8A6qR3IKDyg84NAlUleQi1oDVDNN31axrZkSsBclx5kyT+3+w/HG/Ns+W+O4LdNjA&#10;QEhrXO7wMtTTVbYJX8yUoB0pPJxpE50nPDyaTLN0fEMJR9s0zbJxFmCSy2tjnf8qoCFBKKjFtkS2&#10;2P7B+aPrySUEc6BkuZJKRSWMglgqS/YMm6h8zBHB33gpTVoMPp6kEfiNLUCf328U4z/69K68EE9p&#10;zPlSe5B8t+mILAsaCwo3GygPSJeF4yQ5w1cS4R+Y88/M4uggQ7gO/gmPSgHmBL1ESQ3219/ugz92&#10;FK2UtDiKBXU/d8wKStQ3jb3+PMyyMLtRySY3I1TstWVzbdG7ZglI1BAXz/AoBn+vTmJloXnFrVmE&#10;qGhimmPsgvqTuPTHBcGt42KxiE44rYb5B702PECHxgRaX7pXZk3fVo8D8QinoWX5u+4efcNLDYud&#10;h0rG1l9Y7enHSY/D029lWKVrPXpd/h3z3wAAAP//AwBQSwMEFAAGAAgAAAAhAACtJ+PbAAAABwEA&#10;AA8AAABkcnMvZG93bnJldi54bWxMj8FOwzAQRO9I/IO1SNyoQwMlhDgVoMKlJwri7MZbOyJeR7ab&#10;hr9nOcFxNKOZN8169oOYMKY+kILrRQECqQumJ6vg4/3lqgKRsiajh0Co4BsTrNvzs0bXJpzoDadd&#10;toJLKNVagct5rKVMnUOv0yKMSOwdQvQ6s4xWmqhPXO4HuSyKlfS6J15wesRnh93X7ugVbJ7sve0q&#10;Hd2mMn0/zZ+HrX1V6vJifnwAkXHOf2H4xWd0aJlpH45kkhgU8JGsoKxuQbC7vFmVIPYcK8s7kG0j&#10;//O3PwAAAP//AwBQSwECLQAUAAYACAAAACEAtoM4kv4AAADhAQAAEwAAAAAAAAAAAAAAAAAAAAAA&#10;W0NvbnRlbnRfVHlwZXNdLnhtbFBLAQItABQABgAIAAAAIQA4/SH/1gAAAJQBAAALAAAAAAAAAAAA&#10;AAAAAC8BAABfcmVscy8ucmVsc1BLAQItABQABgAIAAAAIQDB/s06OgIAAIMEAAAOAAAAAAAAAAAA&#10;AAAAAC4CAABkcnMvZTJvRG9jLnhtbFBLAQItABQABgAIAAAAIQAArSfj2wAAAAcBAAAPAAAAAAAA&#10;AAAAAAAAAJQEAABkcnMvZG93bnJldi54bWxQSwUGAAAAAAQABADzAAAAnAUAAAAA&#10;" fillcolor="white [3201]" strokeweight=".5pt">
                <v:textbox>
                  <w:txbxContent>
                    <w:p w14:paraId="4C9FED1A" w14:textId="2118AB84" w:rsidR="00146303" w:rsidRPr="00844164" w:rsidRDefault="00146303" w:rsidP="00146303">
                      <w:pPr>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القيادة التحويلية</w:t>
                      </w:r>
                      <w:r w:rsidR="00FA5AD6" w:rsidRPr="00844164">
                        <w:rPr>
                          <w:rFonts w:ascii="Traditional Arabic" w:hAnsi="Traditional Arabic" w:cs="Traditional Arabic" w:hint="cs"/>
                          <w:b/>
                          <w:bCs/>
                          <w:sz w:val="24"/>
                          <w:szCs w:val="24"/>
                          <w:rtl/>
                          <w:lang w:bidi="ar-EG"/>
                        </w:rPr>
                        <w:t xml:space="preserve"> (</w:t>
                      </w:r>
                      <w:r w:rsidR="00CC175A" w:rsidRPr="00844164">
                        <w:rPr>
                          <w:rFonts w:ascii="Traditional Arabic" w:hAnsi="Traditional Arabic" w:cs="Traditional Arabic" w:hint="cs"/>
                          <w:b/>
                          <w:bCs/>
                          <w:sz w:val="24"/>
                          <w:szCs w:val="24"/>
                          <w:rtl/>
                          <w:lang w:bidi="ar-EG"/>
                        </w:rPr>
                        <w:t>المتغير الوسيط</w:t>
                      </w:r>
                      <w:r w:rsidR="00FA5AD6" w:rsidRPr="00844164">
                        <w:rPr>
                          <w:rFonts w:ascii="Traditional Arabic" w:hAnsi="Traditional Arabic" w:cs="Traditional Arabic" w:hint="cs"/>
                          <w:b/>
                          <w:bCs/>
                          <w:sz w:val="24"/>
                          <w:szCs w:val="24"/>
                          <w:rtl/>
                          <w:lang w:bidi="ar-EG"/>
                        </w:rPr>
                        <w:t>)</w:t>
                      </w:r>
                    </w:p>
                  </w:txbxContent>
                </v:textbox>
                <w10:wrap anchorx="margin"/>
              </v:shape>
            </w:pict>
          </mc:Fallback>
        </mc:AlternateContent>
      </w:r>
    </w:p>
    <w:p w14:paraId="487483CE" w14:textId="0F15C715" w:rsidR="00C53129" w:rsidRPr="00844164" w:rsidRDefault="00844164"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1824" behindDoc="0" locked="0" layoutInCell="1" allowOverlap="1" wp14:anchorId="5523CDBB" wp14:editId="3F53212D">
                <wp:simplePos x="0" y="0"/>
                <wp:positionH relativeFrom="margin">
                  <wp:posOffset>-640080</wp:posOffset>
                </wp:positionH>
                <wp:positionV relativeFrom="paragraph">
                  <wp:posOffset>516255</wp:posOffset>
                </wp:positionV>
                <wp:extent cx="1443990" cy="533400"/>
                <wp:effectExtent l="0" t="0" r="22860" b="19050"/>
                <wp:wrapNone/>
                <wp:docPr id="2071523236" name="Text Box 21"/>
                <wp:cNvGraphicFramePr/>
                <a:graphic xmlns:a="http://schemas.openxmlformats.org/drawingml/2006/main">
                  <a:graphicData uri="http://schemas.microsoft.com/office/word/2010/wordprocessingShape">
                    <wps:wsp>
                      <wps:cNvSpPr txBox="1"/>
                      <wps:spPr>
                        <a:xfrm>
                          <a:off x="0" y="0"/>
                          <a:ext cx="1443990" cy="533400"/>
                        </a:xfrm>
                        <a:prstGeom prst="rect">
                          <a:avLst/>
                        </a:prstGeom>
                        <a:solidFill>
                          <a:schemeClr val="lt1"/>
                        </a:solidFill>
                        <a:ln w="6350">
                          <a:solidFill>
                            <a:prstClr val="black"/>
                          </a:solidFill>
                        </a:ln>
                      </wps:spPr>
                      <wps:txbx>
                        <w:txbxContent>
                          <w:p w14:paraId="4413FB4B" w14:textId="6756F7B0" w:rsidR="00146303" w:rsidRPr="00844164" w:rsidRDefault="00FA5AD6" w:rsidP="00FA5AD6">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إدارة المخاطر (</w:t>
                            </w:r>
                            <w:r w:rsidR="00C53129" w:rsidRPr="00844164">
                              <w:rPr>
                                <w:rFonts w:ascii="Traditional Arabic" w:hAnsi="Traditional Arabic" w:cs="Traditional Arabic"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3CDBB" id="Text Box 21" o:spid="_x0000_s1031" type="#_x0000_t202" style="position:absolute;left:0;text-align:left;margin-left:-50.4pt;margin-top:40.65pt;width:113.7pt;height:42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VeqOAIAAIMEAAAOAAAAZHJzL2Uyb0RvYy54bWysVEtv2zAMvg/YfxB0X+y8usaIU2QpMgwI&#10;2gLp0LMiS4kwWdQkJXb260cp726nYReZFMlP5EfS44e21mQnnFdgStrt5JQIw6FSZl3S76/zT/eU&#10;+MBMxTQYUdK98PRh8vHDuLGF6MEGdCUcQRDji8aWdBOCLbLM842ome+AFQaNElzNAqpunVWONYhe&#10;66yX53dZA66yDrjwHm8fD0Y6SfhSCh6epfQiEF1SzC2k06VzFc9sMmbF2jG7UfyYBvuHLGqmDD56&#10;hnpkgZGtU39A1Yo78CBDh0OdgZSKi1QDVtPN31Wz3DArUi1Ijrdnmvz/g+VPu6V9cSS0X6DFBkZC&#10;GusLj5exnla6On4xU4J2pHB/pk20gfAYNBj0RyM0cbQN+/1BnnjNLtHW+fBVQE2iUFKHbUlssd3C&#10;B3wRXU8u8TEPWlVzpXVS4iiImXZkx7CJOqQcMeLGSxvSlPSuP8wT8I0tQp/jV5rxH7HKWwTUtMHL&#10;S+1RCu2qJarCqk68rKDaI10ODpPkLZ8rhF8wH16Yw9FBGnAdwjMeUgPmBEeJkg24X3+7j/7YUbRS&#10;0uAoltT/3DInKNHfDPZ6hATH2U3KYPi5h4q7tqyuLWZbzwCJ6uLiWZ7E6B/0SZQO6jfcmml8FU3M&#10;cHy7pOEkzsJhQXDruJhOkxNOq2VhYZaWR+jYmEjra/vGnD22NeBAPMFpaFnxrrsH3xhpYLoNIFVq&#10;feT5wOqRfpz01J3jVsZVutaT1+XfMfkNAAD//wMAUEsDBBQABgAIAAAAIQBM/+bg3gAAAAsBAAAP&#10;AAAAZHJzL2Rvd25yZXYueG1sTI/BTsMwEETvSPyDtUjcWjutiEIapwJUuHCiIM7b2LWtxusodtPw&#10;97gnuO1oRzNvmu3sezbpMbpAEoqlAKapC8qRkfD1+bqogMWEpLAPpCX86Ajb9vamwVqFC33oaZ8M&#10;yyEUa5RgUxpqzmNntce4DIOm/DuG0WPKcjRcjXjJ4b7nKyFK7tFRbrA46Beru9P+7CXsns2j6Soc&#10;7a5Szk3z9/HdvEl5fzc/bYAlPac/M1zxMzq0mekQzqQi6yUsCiEye5JQFWtgV8eqLIEd8lE+rIG3&#10;Df+/of0FAAD//wMAUEsBAi0AFAAGAAgAAAAhALaDOJL+AAAA4QEAABMAAAAAAAAAAAAAAAAAAAAA&#10;AFtDb250ZW50X1R5cGVzXS54bWxQSwECLQAUAAYACAAAACEAOP0h/9YAAACUAQAACwAAAAAAAAAA&#10;AAAAAAAvAQAAX3JlbHMvLnJlbHNQSwECLQAUAAYACAAAACEAPH1XqjgCAACDBAAADgAAAAAAAAAA&#10;AAAAAAAuAgAAZHJzL2Uyb0RvYy54bWxQSwECLQAUAAYACAAAACEATP/m4N4AAAALAQAADwAAAAAA&#10;AAAAAAAAAACSBAAAZHJzL2Rvd25yZXYueG1sUEsFBgAAAAAEAAQA8wAAAJ0FAAAAAA==&#10;" fillcolor="white [3201]" strokeweight=".5pt">
                <v:textbox>
                  <w:txbxContent>
                    <w:p w14:paraId="4413FB4B" w14:textId="6756F7B0" w:rsidR="00146303" w:rsidRPr="00844164" w:rsidRDefault="00FA5AD6" w:rsidP="00FA5AD6">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إدارة المخاطر (</w:t>
                      </w:r>
                      <w:r w:rsidR="00C53129" w:rsidRPr="00844164">
                        <w:rPr>
                          <w:rFonts w:ascii="Traditional Arabic" w:hAnsi="Traditional Arabic" w:cs="Traditional Arabic" w:hint="cs"/>
                          <w:b/>
                          <w:bCs/>
                          <w:sz w:val="24"/>
                          <w:szCs w:val="24"/>
                          <w:rtl/>
                          <w:lang w:bidi="ar-EG"/>
                        </w:rPr>
                        <w:t>المتغير المستقل)</w:t>
                      </w:r>
                    </w:p>
                  </w:txbxContent>
                </v:textbox>
                <w10:wrap anchorx="margin"/>
              </v:shape>
            </w:pict>
          </mc:Fallback>
        </mc:AlternateContent>
      </w:r>
      <w:r w:rsidR="00A167FE"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9232" behindDoc="0" locked="0" layoutInCell="1" allowOverlap="1" wp14:anchorId="412E5217" wp14:editId="702185C4">
                <wp:simplePos x="0" y="0"/>
                <wp:positionH relativeFrom="column">
                  <wp:posOffset>3510887</wp:posOffset>
                </wp:positionH>
                <wp:positionV relativeFrom="paragraph">
                  <wp:posOffset>99078</wp:posOffset>
                </wp:positionV>
                <wp:extent cx="736979" cy="45719"/>
                <wp:effectExtent l="0" t="38100" r="44450" b="88265"/>
                <wp:wrapNone/>
                <wp:docPr id="701199641" name="Straight Arrow Connector 28"/>
                <wp:cNvGraphicFramePr/>
                <a:graphic xmlns:a="http://schemas.openxmlformats.org/drawingml/2006/main">
                  <a:graphicData uri="http://schemas.microsoft.com/office/word/2010/wordprocessingShape">
                    <wps:wsp>
                      <wps:cNvCnPr/>
                      <wps:spPr>
                        <a:xfrm>
                          <a:off x="0" y="0"/>
                          <a:ext cx="73697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A06A3D1" id="Straight Arrow Connector 28" o:spid="_x0000_s1026" type="#_x0000_t32" style="position:absolute;margin-left:276.45pt;margin-top:7.8pt;width:58.05pt;height:3.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ssvQEAAM4DAAAOAAAAZHJzL2Uyb0RvYy54bWysU02P0zAQvSPxHyzfaZIFtjRquocucEGw&#10;WuAHeJ1xYsmxrfHQJP8e22lTBAgJxGXij3kzb55f9nfTYNgJMGhnG15tSs7AStdq2zX865d3L95w&#10;FkjYVhhnoeEzBH53eP5sP/oablzvTAvIYhEb6tE3vCfydVEE2cMgwsZ5sPFSORwExS12RYtijNUH&#10;U9yU5W0xOmw9OgkhxNP75ZIfcn2lQNInpQIQMw2P3ChHzPEpxeKwF3WHwvdanmmIf2AxCG1j07XU&#10;vSDBvqH+pdSgJbrgFG2kGwqnlJaQZ4jTVOVP03zuhYc8SxQn+FWm8P/Kyo+no33AKMPoQx38A6Yp&#10;JoVD+kZ+bMpizatYMBGT8XD78na33XEm49Wr19tql7QsrliPgd6DG1haNDwQCt31dHTWxldxWGW9&#10;xOlDoAV4AaTGxqZIQpu3tmU0+2gdQi1sZ+DcJ6UUV9J5RbOBBf4Iiuk20lzaZD/B0SA7iegEISVY&#10;qtZKMTvBlDZmBZaZ3x+B5/wEhey1vwGviNzZWVrBg7YOf9edpgtlteRfFFjmThI8uXbOz5mliabJ&#10;b3I2eHLlj/sMv/6Gh+8AAAD//wMAUEsDBBQABgAIAAAAIQBzhikg3QAAAAkBAAAPAAAAZHJzL2Rv&#10;d25yZXYueG1sTI/LTsMwEEX3SPyDNUjsqINLojaNU5WX1CW0bLpz4yGJiMeR7bbh7xlWsBzdozvn&#10;VuvJDeKMIfaeNNzPMhBIjbc9tRo+9q93CxAxGbJm8IQavjHCur6+qkxp/YXe8bxLreASiqXR0KU0&#10;llLGpkNn4syPSJx9+uBM4jO00gZz4XI3SJVlhXSmJ/7QmRGfOmy+dien4fFt6zbPhzDhfP7yEKe9&#10;V9Rstb69mTYrEAmn9AfDrz6rQ81OR38iG8WgIc/VklEO8gIEA0Wx5HFHDUotQNaV/L+g/gEAAP//&#10;AwBQSwECLQAUAAYACAAAACEAtoM4kv4AAADhAQAAEwAAAAAAAAAAAAAAAAAAAAAAW0NvbnRlbnRf&#10;VHlwZXNdLnhtbFBLAQItABQABgAIAAAAIQA4/SH/1gAAAJQBAAALAAAAAAAAAAAAAAAAAC8BAABf&#10;cmVscy8ucmVsc1BLAQItABQABgAIAAAAIQC8Y1ssvQEAAM4DAAAOAAAAAAAAAAAAAAAAAC4CAABk&#10;cnMvZTJvRG9jLnhtbFBLAQItABQABgAIAAAAIQBzhikg3QAAAAkBAAAPAAAAAAAAAAAAAAAAABcE&#10;AABkcnMvZG93bnJldi54bWxQSwUGAAAAAAQABADzAAAAIQUAAAAA&#10;" strokecolor="#4579b8 [3044]">
                <v:stroke endarrow="block"/>
              </v:shape>
            </w:pict>
          </mc:Fallback>
        </mc:AlternateContent>
      </w:r>
      <w:r w:rsidR="00C53129"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7184" behindDoc="0" locked="0" layoutInCell="1" allowOverlap="1" wp14:anchorId="4200958A" wp14:editId="425B970A">
                <wp:simplePos x="0" y="0"/>
                <wp:positionH relativeFrom="column">
                  <wp:posOffset>863221</wp:posOffset>
                </wp:positionH>
                <wp:positionV relativeFrom="paragraph">
                  <wp:posOffset>130478</wp:posOffset>
                </wp:positionV>
                <wp:extent cx="914353" cy="589697"/>
                <wp:effectExtent l="0" t="38100" r="57785" b="20320"/>
                <wp:wrapNone/>
                <wp:docPr id="1270904330" name="Straight Arrow Connector 28"/>
                <wp:cNvGraphicFramePr/>
                <a:graphic xmlns:a="http://schemas.openxmlformats.org/drawingml/2006/main">
                  <a:graphicData uri="http://schemas.microsoft.com/office/word/2010/wordprocessingShape">
                    <wps:wsp>
                      <wps:cNvCnPr/>
                      <wps:spPr>
                        <a:xfrm flipV="1">
                          <a:off x="0" y="0"/>
                          <a:ext cx="914353" cy="589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18E7764" id="_x0000_t32" coordsize="21600,21600" o:spt="32" o:oned="t" path="m,l21600,21600e" filled="f">
                <v:path arrowok="t" fillok="f" o:connecttype="none"/>
                <o:lock v:ext="edit" shapetype="t"/>
              </v:shapetype>
              <v:shape id="Straight Arrow Connector 28" o:spid="_x0000_s1026" type="#_x0000_t32" style="position:absolute;margin-left:67.95pt;margin-top:10.25pt;width:1in;height:46.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yJxQEAANkDAAAOAAAAZHJzL2Uyb0RvYy54bWysU01v1DAQvSPxHyzf2WRbWrrRZnvYAhcE&#10;FVDurjNOLPlL9rDZ/HvGzm6KoEICcRk59rw3b95MtrdHa9gBYtLetXy9qjkDJ32nXd/yh6/vXt1w&#10;llC4ThjvoOUTJH67e/liO4YGLvzgTQeREYlLzRhaPiCGpqqSHMCKtPIBHD0qH61A+ox91UUxErs1&#10;1UVdX1ejj12IXkJKdHs3P/Jd4VcKJH5SKgEy03LShiXGEh9zrHZb0fRRhEHLkwzxDyqs0I6KLlR3&#10;AgX7HvVvVFbL6JNXuJLeVl4pLaH0QN2s61+6+TKIAKUXMieFxab0/2jlx8Pe3UeyYQypSeE+5i6O&#10;KlqmjA7faKalL1LKjsW2abENjsgkXW7Wry+vLjmT9HR1s7nevMm2VjNNpgsx4XvwluVDyxNGofsB&#10;9945GpCPcwlx+JBwBp4BGWxcjii0ees6hlOgLcKohesNnOrklOpJfznhZGCGfwbFdEc65zJltWBv&#10;IjsIWgohJThcL0yUnWFKG7MA62LBH4Gn/AyFsnZ/A14QpbJ3uICtdj4+Vx2PZ8lqzj87MPedLXj0&#10;3VQmW6yh/SkzOe16XtCfvwv86Y/c/QAAAP//AwBQSwMEFAAGAAgAAAAhAIcUfHLgAAAACgEAAA8A&#10;AABkcnMvZG93bnJldi54bWxMj0tPwzAQhO9I/AdrkbhRJyl9JMSpeAgBFyTa0rMbb5OIeJ3GThv+&#10;PcsJjrMzO/ttvhptK07Y+8aRgngSgUAqnWmoUrDdPN8sQfigyejWESr4Rg+r4vIi15lxZ/rA0zpU&#10;gkvIZ1pBHUKXSenLGq32E9chsXdwvdWBZV9J0+szl9tWJlE0l1Y3xBdq3eFjjeXXerCMcXg5xm/p&#10;fPewexreP5PN4vha9kpdX433dyACjuEvDL/4vAMFM+3dQMaLlvV0lnJUQRLNQHAgWaQ82LMTT29B&#10;Frn8/0LxAwAA//8DAFBLAQItABQABgAIAAAAIQC2gziS/gAAAOEBAAATAAAAAAAAAAAAAAAAAAAA&#10;AABbQ29udGVudF9UeXBlc10ueG1sUEsBAi0AFAAGAAgAAAAhADj9If/WAAAAlAEAAAsAAAAAAAAA&#10;AAAAAAAALwEAAF9yZWxzLy5yZWxzUEsBAi0AFAAGAAgAAAAhAKCWLInFAQAA2QMAAA4AAAAAAAAA&#10;AAAAAAAALgIAAGRycy9lMm9Eb2MueG1sUEsBAi0AFAAGAAgAAAAhAIcUfHLgAAAACgEAAA8AAAAA&#10;AAAAAAAAAAAAHwQAAGRycy9kb3ducmV2LnhtbFBLBQYAAAAABAAEAPMAAAAsBQAAAAA=&#10;" strokecolor="#4579b8 [3044]">
                <v:stroke endarrow="block"/>
              </v:shape>
            </w:pict>
          </mc:Fallback>
        </mc:AlternateContent>
      </w:r>
    </w:p>
    <w:p w14:paraId="1D848645" w14:textId="05BCFDA1"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81280" behindDoc="0" locked="0" layoutInCell="1" allowOverlap="1" wp14:anchorId="7E74C3A2" wp14:editId="38A447F6">
                <wp:simplePos x="0" y="0"/>
                <wp:positionH relativeFrom="column">
                  <wp:posOffset>863221</wp:posOffset>
                </wp:positionH>
                <wp:positionV relativeFrom="paragraph">
                  <wp:posOffset>85905</wp:posOffset>
                </wp:positionV>
                <wp:extent cx="3752433" cy="638886"/>
                <wp:effectExtent l="0" t="57150" r="635" b="27940"/>
                <wp:wrapNone/>
                <wp:docPr id="1346449953" name="Straight Arrow Connector 28"/>
                <wp:cNvGraphicFramePr/>
                <a:graphic xmlns:a="http://schemas.openxmlformats.org/drawingml/2006/main">
                  <a:graphicData uri="http://schemas.microsoft.com/office/word/2010/wordprocessingShape">
                    <wps:wsp>
                      <wps:cNvCnPr/>
                      <wps:spPr>
                        <a:xfrm flipV="1">
                          <a:off x="0" y="0"/>
                          <a:ext cx="3752433" cy="638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9990791" id="Straight Arrow Connector 28" o:spid="_x0000_s1026" type="#_x0000_t32" style="position:absolute;margin-left:67.95pt;margin-top:6.75pt;width:295.45pt;height:50.3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YSxQEAANoDAAAOAAAAZHJzL2Uyb0RvYy54bWysU8GO0zAQvSPxD5bvNGkLpYqa7qELXBCs&#10;WNi71xknlhzbsocm+XvGTptFgFYCcRk59rw3895MDjdjb9gZQtTO1ny9KjkDK12jbVvzb1/fv9pz&#10;FlHYRhhnoeYTRH5zfPniMPgKNq5zpoHAiMTGavA17xB9VRRRdtCLuHIeLD0qF3qB9BnaogliIPbe&#10;FJuy3BWDC40PTkKMdHs7P/Jj5lcKJH5WKgIyU3PqDXMMOT6mWBwPomqD8J2WlzbEP3TRC22p6EJ1&#10;K1Cw70H/RtVrGVx0ClfS9YVTSkvIGkjNuvxFzX0nPGQtZE70i03x/9HKT+eTvQtkw+BjFf1dSCpG&#10;FXqmjPYPNNOsizplY7ZtWmyDEZmky+3bN5vX2y1nkt522/1+v0u+FjNP4vMh4gdwPUuHmkcMQrcd&#10;npy1NCEX5hri/DHiDLwCEtjYFFFo8842DCdPa4RBC9sauNRJKcWTgHzCycAM/wKK6YYancvk3YKT&#10;CewsaCuElGBxvTBRdoIpbcwCLLMHzwIv+QkKee/+BrwgcmVncQH32rrwp+o4XltWc/7VgVl3suDR&#10;NVMebbaGFijP5LLsaUN//s7wp1/y+AMAAP//AwBQSwMEFAAGAAgAAAAhAI02VZbeAAAACgEAAA8A&#10;AABkcnMvZG93bnJldi54bWxMT01PwzAMvSPxHyIjcWNpC3RbaTrxIcS4IG2DnbPWaysap0vSrfx7&#10;DBe4+dnP7yNfjKYTR3S+taQgnkQgkEpbtVQreN88X81A+KCp0p0lVPCFHhbF+Vmus8qeaIXHdagF&#10;i5DPtIImhD6T0pcNGu0ntkfi2946owNDV8vK6ROLm04mUZRKo1tih0b3+Nhg+bkeDMfYvxzi13m6&#10;fdg+DW8fyWZ6WJZOqcuL8f4ORMAx/JHhJz7/QMGZdnagyouO8fXtnKm/AwgmTJOUu+x4Ed/EIItc&#10;/q9QfAMAAP//AwBQSwECLQAUAAYACAAAACEAtoM4kv4AAADhAQAAEwAAAAAAAAAAAAAAAAAAAAAA&#10;W0NvbnRlbnRfVHlwZXNdLnhtbFBLAQItABQABgAIAAAAIQA4/SH/1gAAAJQBAAALAAAAAAAAAAAA&#10;AAAAAC8BAABfcmVscy8ucmVsc1BLAQItABQABgAIAAAAIQCUTCYSxQEAANoDAAAOAAAAAAAAAAAA&#10;AAAAAC4CAABkcnMvZTJvRG9jLnhtbFBLAQItABQABgAIAAAAIQCNNlWW3gAAAAoBAAAPAAAAAAAA&#10;AAAAAAAAAB8EAABkcnMvZG93bnJldi54bWxQSwUGAAAAAAQABADzAAAAKgUAAAAA&#10;" strokecolor="#4579b8 [3044]">
                <v:stroke endarrow="block"/>
              </v:shape>
            </w:pict>
          </mc:Fallback>
        </mc:AlternateContent>
      </w:r>
    </w:p>
    <w:p w14:paraId="5FA9339E" w14:textId="614095BA"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Pr>
      </w:pPr>
    </w:p>
    <w:p w14:paraId="0D679FC4" w14:textId="078350A8" w:rsidR="00151D30" w:rsidRPr="00844164" w:rsidRDefault="00151D30" w:rsidP="00D62444">
      <w:pPr>
        <w:bidi/>
        <w:spacing w:after="200" w:line="276" w:lineRule="auto"/>
        <w:rPr>
          <w:rFonts w:ascii="Traditional Arabic" w:hAnsi="Traditional Arabic" w:cs="Traditional Arabic"/>
          <w:b/>
          <w:bCs/>
          <w:color w:val="00B0F0"/>
          <w:sz w:val="32"/>
          <w:szCs w:val="32"/>
          <w:u w:val="single"/>
          <w:rtl/>
        </w:rPr>
      </w:pPr>
    </w:p>
    <w:p w14:paraId="14236190" w14:textId="55DD4109" w:rsidR="00876D6E" w:rsidRPr="00844164" w:rsidRDefault="00876D6E" w:rsidP="00876D6E">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إعداد / الباحثة.</w:t>
      </w:r>
    </w:p>
    <w:p w14:paraId="3004A597" w14:textId="77777777" w:rsidR="00CC175A" w:rsidRPr="00844164" w:rsidRDefault="00CC175A" w:rsidP="00876D6E">
      <w:pPr>
        <w:bidi/>
        <w:spacing w:after="200" w:line="276" w:lineRule="auto"/>
        <w:rPr>
          <w:rFonts w:ascii="Traditional Arabic" w:hAnsi="Traditional Arabic" w:cs="Traditional Arabic"/>
          <w:b/>
          <w:bCs/>
          <w:color w:val="000000" w:themeColor="text1"/>
          <w:sz w:val="28"/>
          <w:szCs w:val="28"/>
          <w:rtl/>
        </w:rPr>
      </w:pPr>
    </w:p>
    <w:p w14:paraId="68304622" w14:textId="77777777" w:rsidR="008E420B" w:rsidRDefault="008E420B" w:rsidP="00F30DB3">
      <w:pPr>
        <w:bidi/>
        <w:spacing w:after="200" w:line="276" w:lineRule="auto"/>
        <w:rPr>
          <w:rFonts w:ascii="Traditional Arabic" w:hAnsi="Traditional Arabic" w:cs="Traditional Arabic"/>
          <w:b/>
          <w:bCs/>
          <w:color w:val="000000" w:themeColor="text1"/>
          <w:sz w:val="28"/>
          <w:szCs w:val="28"/>
          <w:rtl/>
        </w:rPr>
      </w:pPr>
    </w:p>
    <w:p w14:paraId="4DEDCEEE" w14:textId="4439604D" w:rsidR="00876D6E" w:rsidRPr="00844164" w:rsidRDefault="00876D6E" w:rsidP="008E420B">
      <w:pPr>
        <w:bidi/>
        <w:spacing w:after="200" w:line="276" w:lineRule="auto"/>
        <w:rPr>
          <w:rFonts w:ascii="Traditional Arabic" w:hAnsi="Traditional Arabic" w:cs="Traditional Arabic"/>
          <w:b/>
          <w:bCs/>
          <w:color w:val="000000" w:themeColor="text1"/>
          <w:sz w:val="28"/>
          <w:szCs w:val="28"/>
          <w:rtl/>
        </w:rPr>
      </w:pPr>
      <w:r w:rsidRPr="00844164">
        <w:rPr>
          <w:rFonts w:ascii="Traditional Arabic" w:hAnsi="Traditional Arabic" w:cs="Traditional Arabic" w:hint="cs"/>
          <w:b/>
          <w:bCs/>
          <w:color w:val="000000" w:themeColor="text1"/>
          <w:sz w:val="28"/>
          <w:szCs w:val="28"/>
          <w:rtl/>
        </w:rPr>
        <w:lastRenderedPageBreak/>
        <w:t>شرح النموذج:</w:t>
      </w:r>
    </w:p>
    <w:p w14:paraId="57C02A55" w14:textId="236DB42A" w:rsidR="00CD3C73" w:rsidRPr="00844164" w:rsidRDefault="00CD3C73" w:rsidP="00CD3C73">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 xml:space="preserve">جدول (1) </w:t>
      </w:r>
      <w:r w:rsidR="00881C14" w:rsidRPr="00844164">
        <w:rPr>
          <w:rFonts w:ascii="Traditional Arabic" w:hAnsi="Traditional Arabic" w:cs="Traditional Arabic" w:hint="cs"/>
          <w:b/>
          <w:bCs/>
          <w:color w:val="000000" w:themeColor="text1"/>
          <w:sz w:val="24"/>
          <w:szCs w:val="24"/>
          <w:rtl/>
        </w:rPr>
        <w:t>شرح العلاقة بين المتغيرات</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16"/>
        <w:gridCol w:w="1438"/>
        <w:gridCol w:w="5022"/>
      </w:tblGrid>
      <w:tr w:rsidR="00876D6E" w:rsidRPr="00844164" w14:paraId="69494348" w14:textId="77777777" w:rsidTr="00A13255">
        <w:tc>
          <w:tcPr>
            <w:tcW w:w="1820" w:type="dxa"/>
          </w:tcPr>
          <w:p w14:paraId="5B4130E3" w14:textId="4C06F2F1"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المتغير</w:t>
            </w:r>
          </w:p>
        </w:tc>
        <w:tc>
          <w:tcPr>
            <w:tcW w:w="1440" w:type="dxa"/>
          </w:tcPr>
          <w:p w14:paraId="6EFD636E" w14:textId="699B074E"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النوع</w:t>
            </w:r>
          </w:p>
        </w:tc>
        <w:tc>
          <w:tcPr>
            <w:tcW w:w="5036" w:type="dxa"/>
          </w:tcPr>
          <w:p w14:paraId="09DC738B" w14:textId="2F496325"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التأثير</w:t>
            </w:r>
          </w:p>
        </w:tc>
      </w:tr>
      <w:tr w:rsidR="00876D6E" w:rsidRPr="00844164" w14:paraId="3D90B96C" w14:textId="77777777" w:rsidTr="00A13255">
        <w:tc>
          <w:tcPr>
            <w:tcW w:w="1820" w:type="dxa"/>
          </w:tcPr>
          <w:p w14:paraId="3AA70C4E" w14:textId="12583FAF"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إدارة المخاطر</w:t>
            </w:r>
            <w:r w:rsidR="00CC175A" w:rsidRPr="00844164">
              <w:rPr>
                <w:rFonts w:ascii="Traditional Arabic" w:hAnsi="Traditional Arabic" w:cs="Traditional Arabic" w:hint="cs"/>
                <w:color w:val="000000" w:themeColor="text1"/>
                <w:sz w:val="24"/>
                <w:szCs w:val="24"/>
                <w:rtl/>
              </w:rPr>
              <w:t>( متغير مستقل)</w:t>
            </w:r>
          </w:p>
        </w:tc>
        <w:tc>
          <w:tcPr>
            <w:tcW w:w="1440" w:type="dxa"/>
          </w:tcPr>
          <w:p w14:paraId="358FDC6F" w14:textId="487B4F76"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xml:space="preserve">مستقل </w:t>
            </w:r>
          </w:p>
        </w:tc>
        <w:tc>
          <w:tcPr>
            <w:tcW w:w="5036" w:type="dxa"/>
          </w:tcPr>
          <w:p w14:paraId="6B086ED4" w14:textId="50F85AC2"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تأثير مباشر على سلامة المرضى.</w:t>
            </w:r>
          </w:p>
        </w:tc>
      </w:tr>
      <w:tr w:rsidR="00876D6E" w:rsidRPr="00844164" w14:paraId="460E8E94" w14:textId="77777777" w:rsidTr="00A13255">
        <w:tc>
          <w:tcPr>
            <w:tcW w:w="1820" w:type="dxa"/>
          </w:tcPr>
          <w:p w14:paraId="74262831" w14:textId="672FE20D"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القيادة التحويلية</w:t>
            </w:r>
            <w:r w:rsidR="00CC175A" w:rsidRPr="00844164">
              <w:rPr>
                <w:rFonts w:ascii="Traditional Arabic" w:hAnsi="Traditional Arabic" w:cs="Traditional Arabic" w:hint="cs"/>
                <w:color w:val="000000" w:themeColor="text1"/>
                <w:sz w:val="24"/>
                <w:szCs w:val="24"/>
                <w:rtl/>
              </w:rPr>
              <w:t xml:space="preserve"> ( متغير وسيط)</w:t>
            </w:r>
          </w:p>
        </w:tc>
        <w:tc>
          <w:tcPr>
            <w:tcW w:w="1440" w:type="dxa"/>
          </w:tcPr>
          <w:p w14:paraId="76E0D656" w14:textId="74037AFB"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وسيط</w:t>
            </w:r>
          </w:p>
        </w:tc>
        <w:tc>
          <w:tcPr>
            <w:tcW w:w="5036" w:type="dxa"/>
          </w:tcPr>
          <w:p w14:paraId="2A8B88DF" w14:textId="1C850083"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تأثير مباشر على سلامة المرضى.</w:t>
            </w:r>
          </w:p>
        </w:tc>
      </w:tr>
      <w:tr w:rsidR="00876D6E" w:rsidRPr="00844164" w14:paraId="3C47419A" w14:textId="77777777" w:rsidTr="00A13255">
        <w:tc>
          <w:tcPr>
            <w:tcW w:w="1820" w:type="dxa"/>
          </w:tcPr>
          <w:p w14:paraId="3780AD1E" w14:textId="241E5CCA"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سلامة المرضى</w:t>
            </w:r>
            <w:r w:rsidR="00CC175A" w:rsidRPr="00844164">
              <w:rPr>
                <w:rFonts w:ascii="Traditional Arabic" w:hAnsi="Traditional Arabic" w:cs="Traditional Arabic" w:hint="cs"/>
                <w:color w:val="000000" w:themeColor="text1"/>
                <w:sz w:val="24"/>
                <w:szCs w:val="24"/>
                <w:rtl/>
              </w:rPr>
              <w:t xml:space="preserve"> ( متغير تابع)</w:t>
            </w:r>
          </w:p>
        </w:tc>
        <w:tc>
          <w:tcPr>
            <w:tcW w:w="1440" w:type="dxa"/>
          </w:tcPr>
          <w:p w14:paraId="5E7E1A35" w14:textId="746220A6"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تابع</w:t>
            </w:r>
          </w:p>
        </w:tc>
        <w:tc>
          <w:tcPr>
            <w:tcW w:w="5036" w:type="dxa"/>
          </w:tcPr>
          <w:p w14:paraId="26C059F1" w14:textId="68579BBE"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تتأثر بإدارة المخاطر والقيادة التحويلية.</w:t>
            </w:r>
          </w:p>
        </w:tc>
      </w:tr>
      <w:tr w:rsidR="00FA5AD6" w:rsidRPr="00844164" w14:paraId="75041126" w14:textId="77777777" w:rsidTr="00A13255">
        <w:tc>
          <w:tcPr>
            <w:tcW w:w="1820" w:type="dxa"/>
          </w:tcPr>
          <w:p w14:paraId="7F12EB8F" w14:textId="019D9E83"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المتغيرات الديموجرافية</w:t>
            </w:r>
          </w:p>
        </w:tc>
        <w:tc>
          <w:tcPr>
            <w:tcW w:w="1440" w:type="dxa"/>
          </w:tcPr>
          <w:p w14:paraId="13E3D6E5" w14:textId="3B493AEA"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النوع</w:t>
            </w:r>
            <w:r w:rsidR="00A13255" w:rsidRPr="00844164">
              <w:rPr>
                <w:rFonts w:ascii="Traditional Arabic" w:hAnsi="Traditional Arabic" w:cs="Traditional Arabic" w:hint="cs"/>
                <w:color w:val="000000" w:themeColor="text1"/>
                <w:sz w:val="24"/>
                <w:szCs w:val="24"/>
                <w:rtl/>
              </w:rPr>
              <w:t xml:space="preserve"> </w:t>
            </w:r>
            <w:r w:rsidRPr="00844164">
              <w:rPr>
                <w:rFonts w:ascii="Traditional Arabic" w:hAnsi="Traditional Arabic" w:cs="Traditional Arabic" w:hint="cs"/>
                <w:color w:val="000000" w:themeColor="text1"/>
                <w:sz w:val="24"/>
                <w:szCs w:val="24"/>
                <w:rtl/>
              </w:rPr>
              <w:t>- المؤهل- نوع الوظيفة- سنوات الخبرة)</w:t>
            </w:r>
          </w:p>
        </w:tc>
        <w:tc>
          <w:tcPr>
            <w:tcW w:w="5036" w:type="dxa"/>
          </w:tcPr>
          <w:p w14:paraId="26B7D21B" w14:textId="6502E648"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xml:space="preserve">تأثير غير مباشر </w:t>
            </w:r>
            <w:r w:rsidR="00A13255" w:rsidRPr="00844164">
              <w:rPr>
                <w:rFonts w:ascii="Traditional Arabic" w:hAnsi="Traditional Arabic" w:cs="Traditional Arabic" w:hint="cs"/>
                <w:color w:val="000000" w:themeColor="text1"/>
                <w:sz w:val="24"/>
                <w:szCs w:val="24"/>
                <w:rtl/>
              </w:rPr>
              <w:t>على إدارة المخاطر والقيادة التحويلية وسلامة المرضى)</w:t>
            </w:r>
          </w:p>
        </w:tc>
      </w:tr>
    </w:tbl>
    <w:p w14:paraId="37B7E4D1" w14:textId="78CE9228" w:rsidR="00876D6E" w:rsidRPr="00844164" w:rsidRDefault="00881C14" w:rsidP="001A2117">
      <w:pPr>
        <w:bidi/>
        <w:spacing w:after="200" w:line="276" w:lineRule="auto"/>
        <w:jc w:val="right"/>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إعداد : الباحثة</w:t>
      </w:r>
      <w:r w:rsidR="00A21099" w:rsidRPr="00844164">
        <w:rPr>
          <w:rFonts w:ascii="Traditional Arabic" w:hAnsi="Traditional Arabic" w:cs="Traditional Arabic" w:hint="cs"/>
          <w:b/>
          <w:bCs/>
          <w:color w:val="000000" w:themeColor="text1"/>
          <w:sz w:val="24"/>
          <w:szCs w:val="24"/>
          <w:rtl/>
        </w:rPr>
        <w:t xml:space="preserve"> بالاعتماد على الدراسات المرجعية</w:t>
      </w:r>
      <w:r w:rsidRPr="00844164">
        <w:rPr>
          <w:rFonts w:ascii="Traditional Arabic" w:hAnsi="Traditional Arabic" w:cs="Traditional Arabic" w:hint="cs"/>
          <w:b/>
          <w:bCs/>
          <w:color w:val="000000" w:themeColor="text1"/>
          <w:sz w:val="24"/>
          <w:szCs w:val="24"/>
          <w:rtl/>
        </w:rPr>
        <w:t>.</w:t>
      </w:r>
    </w:p>
    <w:p w14:paraId="729A1469" w14:textId="6B15A06A" w:rsidR="00533AA9" w:rsidRPr="00844164" w:rsidRDefault="00533AA9" w:rsidP="00876D6E">
      <w:pPr>
        <w:bidi/>
        <w:spacing w:after="200" w:line="276" w:lineRule="auto"/>
        <w:rPr>
          <w:rFonts w:ascii="Traditional Arabic" w:hAnsi="Traditional Arabic" w:cs="Traditional Arabic"/>
          <w:b/>
          <w:bCs/>
          <w:color w:val="00B0F0"/>
          <w:sz w:val="32"/>
          <w:szCs w:val="32"/>
          <w:u w:val="single"/>
          <w:rtl/>
        </w:rPr>
      </w:pPr>
      <w:r w:rsidRPr="00844164">
        <w:rPr>
          <w:rFonts w:ascii="Traditional Arabic" w:hAnsi="Traditional Arabic" w:cs="Traditional Arabic" w:hint="cs"/>
          <w:b/>
          <w:bCs/>
          <w:color w:val="00B0F0"/>
          <w:sz w:val="32"/>
          <w:szCs w:val="32"/>
          <w:u w:val="single"/>
          <w:rtl/>
        </w:rPr>
        <w:t>الدراسات المرجعية:</w:t>
      </w:r>
    </w:p>
    <w:p w14:paraId="3C838217" w14:textId="77777777" w:rsidR="00ED2E9A" w:rsidRPr="00844164" w:rsidRDefault="00ED2E9A" w:rsidP="00ED2E9A">
      <w:pPr>
        <w:bidi/>
        <w:spacing w:after="200" w:line="360" w:lineRule="auto"/>
        <w:ind w:left="360"/>
        <w:contextualSpacing/>
        <w:jc w:val="both"/>
        <w:rPr>
          <w:rFonts w:ascii="Traditional Arabic" w:eastAsia="Calibri" w:hAnsi="Traditional Arabic" w:cs="Traditional Arabic"/>
          <w:b/>
          <w:bCs/>
          <w:sz w:val="28"/>
          <w:szCs w:val="28"/>
          <w:rtl/>
          <w:lang w:bidi="ar-EG"/>
        </w:rPr>
      </w:pPr>
      <w:r w:rsidRPr="00844164">
        <w:rPr>
          <w:rFonts w:ascii="Traditional Arabic" w:eastAsia="Calibri" w:hAnsi="Traditional Arabic" w:cs="Traditional Arabic" w:hint="cs"/>
          <w:b/>
          <w:bCs/>
          <w:sz w:val="28"/>
          <w:szCs w:val="28"/>
          <w:rtl/>
          <w:lang w:bidi="ar-EG"/>
        </w:rPr>
        <w:t>الدراسات باللغة العربية:</w:t>
      </w:r>
    </w:p>
    <w:p w14:paraId="147E9B8F" w14:textId="13686E65" w:rsidR="00E1749B" w:rsidRPr="00844164" w:rsidRDefault="00E1749B" w:rsidP="00E1749B">
      <w:pPr>
        <w:bidi/>
        <w:spacing w:after="200" w:line="240" w:lineRule="auto"/>
        <w:jc w:val="both"/>
        <w:rPr>
          <w:rFonts w:ascii="Traditional Arabic" w:eastAsia="Calibri" w:hAnsi="Traditional Arabic" w:cs="Traditional Arabic"/>
          <w:color w:val="FF0000"/>
          <w:sz w:val="28"/>
          <w:szCs w:val="28"/>
          <w:rtl/>
          <w:lang w:bidi="ar-EG"/>
        </w:rPr>
      </w:pPr>
      <w:r w:rsidRPr="00844164">
        <w:rPr>
          <w:rFonts w:ascii="Traditional Arabic" w:eastAsia="Calibri" w:hAnsi="Traditional Arabic" w:cs="Traditional Arabic" w:hint="cs"/>
          <w:b/>
          <w:bCs/>
          <w:sz w:val="28"/>
          <w:szCs w:val="28"/>
          <w:rtl/>
          <w:lang w:bidi="ar-EG"/>
        </w:rPr>
        <w:t xml:space="preserve">الدراسة الأولى: دراسة فاتن خليل 2018 </w:t>
      </w:r>
    </w:p>
    <w:p w14:paraId="58228BC6" w14:textId="77777777" w:rsidR="00E1749B" w:rsidRPr="00DF41B5" w:rsidRDefault="00E1749B" w:rsidP="00844164">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t>أجرت فاتن خليل</w:t>
      </w:r>
      <w:r w:rsidRPr="00DF41B5">
        <w:rPr>
          <w:rFonts w:ascii="Traditional Arabic" w:eastAsia="Calibri" w:hAnsi="Traditional Arabic" w:cs="Traditional Arabic" w:hint="cs"/>
          <w:color w:val="000000" w:themeColor="text1"/>
          <w:sz w:val="24"/>
          <w:szCs w:val="24"/>
          <w:lang w:bidi="ar-EG"/>
        </w:rPr>
        <w:t xml:space="preserve"> (2018) </w:t>
      </w:r>
      <w:r w:rsidRPr="00DF41B5">
        <w:rPr>
          <w:rFonts w:ascii="Traditional Arabic" w:eastAsia="Calibri" w:hAnsi="Traditional Arabic" w:cs="Traditional Arabic" w:hint="cs"/>
          <w:color w:val="000000" w:themeColor="text1"/>
          <w:sz w:val="24"/>
          <w:szCs w:val="24"/>
          <w:rtl/>
        </w:rPr>
        <w:t xml:space="preserve">دراسة بعنوان </w:t>
      </w:r>
      <w:r w:rsidRPr="00DF41B5">
        <w:rPr>
          <w:rFonts w:ascii="Traditional Arabic" w:eastAsia="Calibri" w:hAnsi="Traditional Arabic" w:cs="Traditional Arabic" w:hint="cs"/>
          <w:color w:val="000000" w:themeColor="text1"/>
          <w:sz w:val="24"/>
          <w:szCs w:val="24"/>
          <w:lang w:bidi="ar-EG"/>
        </w:rPr>
        <w:t>"</w:t>
      </w:r>
      <w:r w:rsidRPr="00DF41B5">
        <w:rPr>
          <w:rFonts w:ascii="Traditional Arabic" w:eastAsia="Calibri" w:hAnsi="Traditional Arabic" w:cs="Traditional Arabic" w:hint="cs"/>
          <w:color w:val="000000" w:themeColor="text1"/>
          <w:sz w:val="24"/>
          <w:szCs w:val="24"/>
          <w:rtl/>
        </w:rPr>
        <w:t>تقييم جودة الخدمة الصحية في مراكز الرعاية الصحية الأولية: دراسة حالة في مراكز طب الأسرة في بغداد</w:t>
      </w:r>
      <w:r w:rsidRPr="00DF41B5">
        <w:rPr>
          <w:rFonts w:ascii="Traditional Arabic" w:eastAsia="Calibri" w:hAnsi="Traditional Arabic" w:cs="Traditional Arabic" w:hint="cs"/>
          <w:color w:val="000000" w:themeColor="text1"/>
          <w:sz w:val="24"/>
          <w:szCs w:val="24"/>
          <w:lang w:bidi="ar-EG"/>
        </w:rPr>
        <w:t>"</w:t>
      </w:r>
      <w:r w:rsidRPr="00DF41B5">
        <w:rPr>
          <w:rFonts w:ascii="Traditional Arabic" w:eastAsia="Calibri" w:hAnsi="Traditional Arabic" w:cs="Traditional Arabic" w:hint="cs"/>
          <w:color w:val="000000" w:themeColor="text1"/>
          <w:sz w:val="24"/>
          <w:szCs w:val="24"/>
          <w:rtl/>
        </w:rPr>
        <w:t>، وهدفت إلى التعرف على مستوى الخدمات الصحية المقدمة في المراكز الصحية العاملة بنظام طب الأسرة، ومدى تطبيق هذه المراكز للمعايير المعتمدة عالميًا، مع التركيز على تحديد الفجوة بين الواقع الفعلي والمعايير الدولية في جودة الخدمة وسلامة المرضى</w:t>
      </w:r>
      <w:r w:rsidRPr="00DF41B5">
        <w:rPr>
          <w:rFonts w:ascii="Traditional Arabic" w:eastAsia="Calibri" w:hAnsi="Traditional Arabic" w:cs="Traditional Arabic" w:hint="cs"/>
          <w:color w:val="000000" w:themeColor="text1"/>
          <w:sz w:val="24"/>
          <w:szCs w:val="24"/>
          <w:lang w:bidi="ar-EG"/>
        </w:rPr>
        <w:t>.</w:t>
      </w:r>
    </w:p>
    <w:p w14:paraId="40590811" w14:textId="77777777" w:rsidR="00E1749B" w:rsidRPr="00DF41B5" w:rsidRDefault="00E1749B" w:rsidP="00844164">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t>استخدمت الدراسة الاستبانة المغلقة كأداة رئيسية لجمع البيانات، وتم تصميمها لقياس أبعاد جودة الخدمة الصحية وفقًا لنموذج</w:t>
      </w:r>
      <w:r w:rsidRPr="00DF41B5">
        <w:rPr>
          <w:rFonts w:ascii="Traditional Arabic" w:eastAsia="Calibri" w:hAnsi="Traditional Arabic" w:cs="Traditional Arabic" w:hint="cs"/>
          <w:color w:val="000000" w:themeColor="text1"/>
          <w:sz w:val="24"/>
          <w:szCs w:val="24"/>
          <w:lang w:bidi="ar-EG"/>
        </w:rPr>
        <w:t xml:space="preserve"> SERVQUAL</w:t>
      </w:r>
      <w:r w:rsidRPr="00DF41B5">
        <w:rPr>
          <w:rFonts w:ascii="Traditional Arabic" w:eastAsia="Calibri" w:hAnsi="Traditional Arabic" w:cs="Traditional Arabic" w:hint="cs"/>
          <w:color w:val="000000" w:themeColor="text1"/>
          <w:sz w:val="24"/>
          <w:szCs w:val="24"/>
          <w:rtl/>
        </w:rPr>
        <w:t>، الذي يشمل عناصر مثل الاستجابة، الاعتمادية، التعاطف، الضمان، والمظهر العام. كما تضمنت الاستبانة بنودًا تقيس مدى الالتزام بمعايير سلامة المرضى، مثل التوثيق الطبي، التعامل مع الحوادث، وتوفير بيئة آمنة. تم التحقق من صدق الأداة وثباتها باستخدام معامل كرونباخ ألفا، وأجريت مراجعة محتوى من قبل مختصين في إدارة الجودة الصحية</w:t>
      </w:r>
      <w:r w:rsidRPr="00DF41B5">
        <w:rPr>
          <w:rFonts w:ascii="Traditional Arabic" w:eastAsia="Calibri" w:hAnsi="Traditional Arabic" w:cs="Traditional Arabic" w:hint="cs"/>
          <w:color w:val="000000" w:themeColor="text1"/>
          <w:sz w:val="24"/>
          <w:szCs w:val="24"/>
          <w:lang w:bidi="ar-EG"/>
        </w:rPr>
        <w:t>.</w:t>
      </w:r>
    </w:p>
    <w:p w14:paraId="3297458D" w14:textId="77777777" w:rsidR="00E1749B" w:rsidRPr="00DF41B5" w:rsidRDefault="00E1749B" w:rsidP="00EB5DC9">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lastRenderedPageBreak/>
        <w:t xml:space="preserve">اعتمدت الدراسة على المنهج الوصفي التقييمي، حيث تم تحليل البيانات باستخدام المتوسطات الحسابية والانحراف المعياري، إلى جانب تحليل الفجوات بين التوقعات والممارسات الفعلية. وقد تم اختيار عينة قصدية مكونة من </w:t>
      </w:r>
      <w:r w:rsidRPr="00DF41B5">
        <w:rPr>
          <w:rFonts w:ascii="Traditional Arabic" w:eastAsia="Calibri" w:hAnsi="Traditional Arabic" w:cs="Traditional Arabic" w:hint="cs"/>
          <w:color w:val="000000" w:themeColor="text1"/>
          <w:sz w:val="24"/>
          <w:szCs w:val="24"/>
          <w:lang w:bidi="ar-EG"/>
        </w:rPr>
        <w:t xml:space="preserve">120 </w:t>
      </w:r>
      <w:r w:rsidRPr="00DF41B5">
        <w:rPr>
          <w:rFonts w:ascii="Traditional Arabic" w:eastAsia="Calibri" w:hAnsi="Traditional Arabic" w:cs="Traditional Arabic" w:hint="cs"/>
          <w:color w:val="000000" w:themeColor="text1"/>
          <w:sz w:val="24"/>
          <w:szCs w:val="24"/>
          <w:rtl/>
        </w:rPr>
        <w:t>مشاركًا من العاملين في أربعة مراكز صحية في بغداد، شملت أطباء، ممرضين، إداريين، وفنيين، ممن لديهم خبرة لا تقل عن سنتين في العمل داخل نظام طب الأسرة</w:t>
      </w:r>
      <w:r w:rsidRPr="00DF41B5">
        <w:rPr>
          <w:rFonts w:ascii="Traditional Arabic" w:eastAsia="Calibri" w:hAnsi="Traditional Arabic" w:cs="Traditional Arabic" w:hint="cs"/>
          <w:color w:val="000000" w:themeColor="text1"/>
          <w:sz w:val="24"/>
          <w:szCs w:val="24"/>
          <w:lang w:bidi="ar-EG"/>
        </w:rPr>
        <w:t>.</w:t>
      </w:r>
    </w:p>
    <w:p w14:paraId="7053EFBC" w14:textId="77777777" w:rsidR="00E1749B" w:rsidRPr="00DF41B5" w:rsidRDefault="00E1749B" w:rsidP="00DF41B5">
      <w:pPr>
        <w:bidi/>
        <w:spacing w:after="200" w:line="360" w:lineRule="auto"/>
        <w:jc w:val="both"/>
        <w:rPr>
          <w:rFonts w:ascii="Traditional Arabic" w:eastAsia="Calibri" w:hAnsi="Traditional Arabic" w:cs="Traditional Arabic"/>
          <w:color w:val="000000" w:themeColor="text1"/>
          <w:sz w:val="24"/>
          <w:szCs w:val="24"/>
          <w:rtl/>
          <w:lang w:bidi="ar-EG"/>
        </w:rPr>
      </w:pPr>
      <w:r w:rsidRPr="00DF41B5">
        <w:rPr>
          <w:rFonts w:ascii="Traditional Arabic" w:eastAsia="Calibri" w:hAnsi="Traditional Arabic" w:cs="Traditional Arabic" w:hint="cs"/>
          <w:color w:val="000000" w:themeColor="text1"/>
          <w:sz w:val="24"/>
          <w:szCs w:val="24"/>
          <w:rtl/>
        </w:rPr>
        <w:t>توصلت الدراسة إلى وجود فجوة واضحة بين الخدمات الصحية المقدمة والمعايير العالمية المعتمدة، خاصة في مجالات التوثيق الطبي، الاستجابة للحوادث، وتدريب الكوادر. كما أظهرت النتائج أن مستوى رضا العاملين عن جودة الخدمة كان متوسطًا، وأن هناك ضعفًا في تطبيق بعض الإجراءات المتعلقة بسلامة المرضى، مثل إدارة العدوى والتعامل مع الأخطاء الطبية. وأوصت الدراسة بضرورة تطوير السياسات التشغيلية داخل مراكز طب الأسرة، وتكثيف برامج التدريب المستمر للكوادر الصحية، وتفعيل أنظمة الرقابة الداخلية لضمان تحسين جودة الخدمة وسلامة المرضى، بالإضافة إلى تبني مؤشرات أداء واضحة وقابلة للقياس تساعد في تقييم التقدم وتحقيق التحسين المستمر</w:t>
      </w:r>
      <w:r w:rsidRPr="00DF41B5">
        <w:rPr>
          <w:rFonts w:ascii="Traditional Arabic" w:eastAsia="Calibri" w:hAnsi="Traditional Arabic" w:cs="Traditional Arabic" w:hint="cs"/>
          <w:color w:val="000000" w:themeColor="text1"/>
          <w:sz w:val="24"/>
          <w:szCs w:val="24"/>
          <w:lang w:bidi="ar-EG"/>
        </w:rPr>
        <w:t>.</w:t>
      </w:r>
    </w:p>
    <w:p w14:paraId="5F21045E" w14:textId="605C0F75" w:rsidR="00E1749B" w:rsidRPr="00DF41B5" w:rsidRDefault="00E1749B" w:rsidP="00DF41B5">
      <w:pPr>
        <w:bidi/>
        <w:spacing w:after="200" w:line="360" w:lineRule="auto"/>
        <w:jc w:val="both"/>
        <w:rPr>
          <w:rFonts w:ascii="Traditional Arabic" w:eastAsia="Calibri" w:hAnsi="Traditional Arabic" w:cs="Traditional Arabic"/>
          <w:sz w:val="24"/>
          <w:szCs w:val="24"/>
          <w:rtl/>
          <w:lang w:bidi="ar-EG"/>
        </w:rPr>
      </w:pPr>
      <w:r w:rsidRPr="00DF41B5">
        <w:rPr>
          <w:rFonts w:ascii="Traditional Arabic" w:eastAsia="Calibri" w:hAnsi="Traditional Arabic" w:cs="Traditional Arabic" w:hint="cs"/>
          <w:b/>
          <w:bCs/>
          <w:sz w:val="24"/>
          <w:szCs w:val="24"/>
          <w:rtl/>
          <w:lang w:bidi="ar-EG"/>
        </w:rPr>
        <w:t xml:space="preserve">الدراسة الثانية: دراسة حسين 2019 </w:t>
      </w:r>
    </w:p>
    <w:p w14:paraId="10B17AC5" w14:textId="77777777" w:rsidR="00E1749B" w:rsidRPr="00DF41B5" w:rsidRDefault="00E1749B" w:rsidP="00DF41B5">
      <w:pPr>
        <w:bidi/>
        <w:spacing w:after="200" w:line="360" w:lineRule="auto"/>
        <w:jc w:val="both"/>
        <w:rPr>
          <w:rFonts w:ascii="Traditional Arabic" w:eastAsia="Calibri" w:hAnsi="Traditional Arabic" w:cs="Traditional Arabic"/>
          <w:sz w:val="24"/>
          <w:szCs w:val="24"/>
          <w:lang w:bidi="ar-EG"/>
        </w:rPr>
      </w:pPr>
      <w:r w:rsidRPr="00DF41B5">
        <w:rPr>
          <w:rFonts w:ascii="Traditional Arabic" w:eastAsia="Calibri" w:hAnsi="Traditional Arabic" w:cs="Traditional Arabic" w:hint="cs"/>
          <w:sz w:val="24"/>
          <w:szCs w:val="24"/>
          <w:rtl/>
        </w:rPr>
        <w:t>أجرى رامز رمضان محمد حسين</w:t>
      </w:r>
      <w:r w:rsidRPr="00DF41B5">
        <w:rPr>
          <w:rFonts w:ascii="Traditional Arabic" w:eastAsia="Calibri" w:hAnsi="Traditional Arabic" w:cs="Traditional Arabic" w:hint="cs"/>
          <w:sz w:val="24"/>
          <w:szCs w:val="24"/>
          <w:lang w:bidi="ar-EG"/>
        </w:rPr>
        <w:t xml:space="preserve"> (2019) </w:t>
      </w:r>
      <w:r w:rsidRPr="00DF41B5">
        <w:rPr>
          <w:rFonts w:ascii="Traditional Arabic" w:eastAsia="Calibri" w:hAnsi="Traditional Arabic" w:cs="Traditional Arabic" w:hint="cs"/>
          <w:sz w:val="24"/>
          <w:szCs w:val="24"/>
          <w:rtl/>
        </w:rPr>
        <w:t xml:space="preserve">دراسة بعنوان </w:t>
      </w:r>
      <w:r w:rsidRPr="00DF41B5">
        <w:rPr>
          <w:rFonts w:ascii="Traditional Arabic" w:eastAsia="Calibri" w:hAnsi="Traditional Arabic" w:cs="Traditional Arabic" w:hint="cs"/>
          <w:sz w:val="24"/>
          <w:szCs w:val="24"/>
          <w:lang w:bidi="ar-EG"/>
        </w:rPr>
        <w:t>"</w:t>
      </w:r>
      <w:r w:rsidRPr="00DF41B5">
        <w:rPr>
          <w:rFonts w:ascii="Traditional Arabic" w:eastAsia="Calibri" w:hAnsi="Traditional Arabic" w:cs="Traditional Arabic" w:hint="cs"/>
          <w:sz w:val="24"/>
          <w:szCs w:val="24"/>
          <w:rtl/>
        </w:rPr>
        <w:t>أثر تطبيق القيادة التحويلية على تحسين الأداء في المنظمات الصحية طبقًا لرؤية مصر 2030: دراسة تطبيقية على المستشفيات الحكومية</w:t>
      </w:r>
      <w:r w:rsidRPr="00DF41B5">
        <w:rPr>
          <w:rFonts w:ascii="Traditional Arabic" w:eastAsia="Calibri" w:hAnsi="Traditional Arabic" w:cs="Traditional Arabic" w:hint="cs"/>
          <w:sz w:val="24"/>
          <w:szCs w:val="24"/>
          <w:lang w:bidi="ar-EG"/>
        </w:rPr>
        <w:t>"</w:t>
      </w:r>
      <w:r w:rsidRPr="00DF41B5">
        <w:rPr>
          <w:rFonts w:ascii="Traditional Arabic" w:eastAsia="Calibri" w:hAnsi="Traditional Arabic" w:cs="Traditional Arabic" w:hint="cs"/>
          <w:sz w:val="24"/>
          <w:szCs w:val="24"/>
          <w:rtl/>
        </w:rPr>
        <w:t>، وهدفت إلى تحديد مدى التزام المنظمات الصحية بتبني مبدأ القيادة التحويلية بأبعادها المختلفة، وتحليل أثر تطبيق تلك المبادئ على تحسين الأداء المؤسسي وجودة الخدمة الصحية المقدمة. ركزت الدراسة على المستشفيات الحكومية في مصر، في سياق التوجهات الاستراتيجية لرؤية مصر 2030، التي تسعى إلى تطوير القطاع الصحي من خلال تعزيز الكفاءة والقيادة الفعالة</w:t>
      </w:r>
      <w:r w:rsidRPr="00DF41B5">
        <w:rPr>
          <w:rFonts w:ascii="Traditional Arabic" w:eastAsia="Calibri" w:hAnsi="Traditional Arabic" w:cs="Traditional Arabic" w:hint="cs"/>
          <w:sz w:val="24"/>
          <w:szCs w:val="24"/>
          <w:lang w:bidi="ar-EG"/>
        </w:rPr>
        <w:t>.</w:t>
      </w:r>
    </w:p>
    <w:p w14:paraId="03BF8B45" w14:textId="77777777" w:rsidR="00E1749B" w:rsidRPr="00DF41B5" w:rsidRDefault="00E1749B" w:rsidP="00DF41B5">
      <w:pPr>
        <w:bidi/>
        <w:spacing w:after="200" w:line="360" w:lineRule="auto"/>
        <w:jc w:val="both"/>
        <w:rPr>
          <w:rFonts w:ascii="Traditional Arabic" w:eastAsia="Calibri" w:hAnsi="Traditional Arabic" w:cs="Traditional Arabic"/>
          <w:sz w:val="24"/>
          <w:szCs w:val="24"/>
          <w:lang w:bidi="ar-EG"/>
        </w:rPr>
      </w:pPr>
      <w:r w:rsidRPr="00DF41B5">
        <w:rPr>
          <w:rFonts w:ascii="Traditional Arabic" w:eastAsia="Calibri" w:hAnsi="Traditional Arabic" w:cs="Traditional Arabic" w:hint="cs"/>
          <w:sz w:val="24"/>
          <w:szCs w:val="24"/>
          <w:rtl/>
        </w:rPr>
        <w:t>استخدم الباحث استبانة مغلقة مكونة من 38 عبارة، تم تصميمها لقياس أبعاد القيادة التحويلية، وهي: التأثير المثالي، الدافع والإلهام، الاستثارة الفكرية، الاعتبارات الفردية، والتمكين الإداري. تم توزيع الاستبانة على العاملين في الوظائف الإشرافية والقيادية داخل المستشفيات الحكومية، وتم استرداد 138 استبانة، منها 126 صالحة للتحليل الإحصائي، أي بنسبة استجابة بلغت 84%. تم التحقق من صدق الأداة وثباتها باستخدام برنامج</w:t>
      </w:r>
      <w:r w:rsidRPr="00DF41B5">
        <w:rPr>
          <w:rFonts w:ascii="Traditional Arabic" w:eastAsia="Calibri" w:hAnsi="Traditional Arabic" w:cs="Traditional Arabic" w:hint="cs"/>
          <w:sz w:val="24"/>
          <w:szCs w:val="24"/>
          <w:lang w:bidi="ar-EG"/>
        </w:rPr>
        <w:t xml:space="preserve"> SPSS</w:t>
      </w:r>
      <w:r w:rsidRPr="00DF41B5">
        <w:rPr>
          <w:rFonts w:ascii="Traditional Arabic" w:eastAsia="Calibri" w:hAnsi="Traditional Arabic" w:cs="Traditional Arabic" w:hint="cs"/>
          <w:sz w:val="24"/>
          <w:szCs w:val="24"/>
          <w:rtl/>
        </w:rPr>
        <w:t>، حيث استخدم الباحث الإحصاء الوصفي، اختبارات التوزيع الطبيعي، وتحليل الانحدار البسيط لاختبار فرضيات الدراسة</w:t>
      </w:r>
      <w:r w:rsidRPr="00DF41B5">
        <w:rPr>
          <w:rFonts w:ascii="Traditional Arabic" w:eastAsia="Calibri" w:hAnsi="Traditional Arabic" w:cs="Traditional Arabic" w:hint="cs"/>
          <w:sz w:val="24"/>
          <w:szCs w:val="24"/>
          <w:lang w:bidi="ar-EG"/>
        </w:rPr>
        <w:t>.</w:t>
      </w:r>
    </w:p>
    <w:p w14:paraId="664E9647" w14:textId="77777777" w:rsidR="00E1749B" w:rsidRPr="003D2689" w:rsidRDefault="00E1749B" w:rsidP="003D2689">
      <w:pPr>
        <w:bidi/>
        <w:spacing w:after="200" w:line="360" w:lineRule="auto"/>
        <w:jc w:val="both"/>
        <w:rPr>
          <w:rFonts w:ascii="Traditional Arabic" w:eastAsia="Calibri" w:hAnsi="Traditional Arabic" w:cs="Traditional Arabic"/>
          <w:sz w:val="24"/>
          <w:szCs w:val="24"/>
          <w:lang w:bidi="ar-EG"/>
        </w:rPr>
      </w:pPr>
      <w:r w:rsidRPr="003D2689">
        <w:rPr>
          <w:rFonts w:ascii="Traditional Arabic" w:eastAsia="Calibri" w:hAnsi="Traditional Arabic" w:cs="Traditional Arabic" w:hint="cs"/>
          <w:sz w:val="24"/>
          <w:szCs w:val="24"/>
          <w:rtl/>
        </w:rPr>
        <w:t>اعتمدت الدراسة على المنهج الوصفي التحليلي، إلى جانب الدراسة الميدانية لجمع البيانات من بيئة العمل الفعلية. وقد تم اختيار عينة عشوائية من القيادات الصحية والإشرافية في المستشفيات الحكومية، بهدف ضمان تمثيل واقعي لمستوى القيادة داخل المؤسسات الصحية العامة، وتوفير بيانات دقيقة حول مدى تطبيق القيادة التحويلية في السياق المصري</w:t>
      </w:r>
      <w:r w:rsidRPr="003D2689">
        <w:rPr>
          <w:rFonts w:ascii="Traditional Arabic" w:eastAsia="Calibri" w:hAnsi="Traditional Arabic" w:cs="Traditional Arabic" w:hint="cs"/>
          <w:sz w:val="24"/>
          <w:szCs w:val="24"/>
          <w:lang w:bidi="ar-EG"/>
        </w:rPr>
        <w:t>.</w:t>
      </w:r>
    </w:p>
    <w:p w14:paraId="6FE8152E" w14:textId="77777777" w:rsidR="00E1749B" w:rsidRPr="003849C3" w:rsidRDefault="00E1749B" w:rsidP="00EB5DC9">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lastRenderedPageBreak/>
        <w:t>توصلت الدراسة إلى أن تطبيق القيادة التحويلية بأبعادها المختلفة يسهم بشكل مباشر في تحسين الأداء المؤسسي وجودة الخدمة الصحية المقدمة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وقد أظهرت النتائج أن المستشفيات التي تتبنى نمط القيادة التحويلية تحقق مستويات أعلى من الكفاءة التنظيمية، وتتمتع ببيئة عمل أكثر دعمًا للابتكار والتطوير. كما تبين أن التمكين الإداري والاستثارة الفكرية كانا من أكثر الأبعاد تأثيرًا في تحسين الأداء</w:t>
      </w:r>
      <w:r w:rsidRPr="003849C3">
        <w:rPr>
          <w:rFonts w:ascii="Traditional Arabic" w:eastAsia="Calibri" w:hAnsi="Traditional Arabic" w:cs="Traditional Arabic" w:hint="cs"/>
          <w:sz w:val="24"/>
          <w:szCs w:val="24"/>
          <w:lang w:bidi="ar-EG"/>
        </w:rPr>
        <w:t>.</w:t>
      </w:r>
    </w:p>
    <w:p w14:paraId="2098799F" w14:textId="46C9F33D" w:rsidR="00E1749B" w:rsidRPr="003849C3" w:rsidRDefault="00E1749B" w:rsidP="00EB5DC9">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تبني المستشفيات الحكومية لأبعاد القيادة التحويلية في إدارة أعمالها الإدارية، مع التركيز على تطوير برامج تدريب وتأهيل للقادة والمشرفين حول تطبيق هذه الأبعاد بشكل عملي. كما شددت على أهمية دمج القيادة التحويلية في السياسات التنظيمية والاستراتيجية، وتفعيل دورها في تحسين جودة الخدمات الصحية، بما يتماشى مع أهداف التنمية المستدامة ورؤية مصر 2030</w:t>
      </w:r>
      <w:r w:rsidRPr="003849C3">
        <w:rPr>
          <w:rFonts w:ascii="Traditional Arabic" w:eastAsia="Calibri" w:hAnsi="Traditional Arabic" w:cs="Traditional Arabic" w:hint="cs"/>
          <w:sz w:val="24"/>
          <w:szCs w:val="24"/>
          <w:lang w:bidi="ar-EG"/>
        </w:rPr>
        <w:t>.</w:t>
      </w:r>
    </w:p>
    <w:p w14:paraId="3C057559" w14:textId="7D0A59DF" w:rsidR="00E1749B" w:rsidRPr="003849C3" w:rsidRDefault="00E1749B" w:rsidP="00EB5DC9">
      <w:pPr>
        <w:bidi/>
        <w:spacing w:after="200" w:line="360" w:lineRule="auto"/>
        <w:contextualSpacing/>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الثالثة: دراسة الغامدي وعثمان 2023 </w:t>
      </w:r>
    </w:p>
    <w:p w14:paraId="3873AED9" w14:textId="77777777" w:rsidR="00E1749B" w:rsidRPr="003849C3" w:rsidRDefault="00E1749B" w:rsidP="00EB5DC9">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أجرى ماجد بن عزيز الغامدي ومزمل علي محمد عثمان</w:t>
      </w:r>
      <w:r w:rsidRPr="003849C3">
        <w:rPr>
          <w:rFonts w:ascii="Traditional Arabic" w:eastAsia="Calibri" w:hAnsi="Traditional Arabic" w:cs="Traditional Arabic" w:hint="cs"/>
          <w:color w:val="000000" w:themeColor="text1"/>
          <w:sz w:val="24"/>
          <w:szCs w:val="24"/>
          <w:lang w:bidi="ar-EG"/>
        </w:rPr>
        <w:t xml:space="preserve"> (2023) </w:t>
      </w:r>
      <w:r w:rsidRPr="003849C3">
        <w:rPr>
          <w:rFonts w:ascii="Traditional Arabic" w:eastAsia="Calibri" w:hAnsi="Traditional Arabic" w:cs="Traditional Arabic" w:hint="cs"/>
          <w:color w:val="000000" w:themeColor="text1"/>
          <w:sz w:val="24"/>
          <w:szCs w:val="24"/>
          <w:rtl/>
        </w:rPr>
        <w:t xml:space="preserve">دراسة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أثر القيادة التحويلية على إدارة الأزمات الصحية: دراسة ميدانية على مستشفى الملك عبدالله ببيشة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أثر القيادة التحويلية بأبعادها المختلفة (التأثير المثالي، الاستثارة الفكرية، الدافعية الإلهامية) على قدرة المستشفى في التعامل مع الأزمات الصحية. سعى الباحثان إلى فهم كيف يمكن للقيادة التحويلية أن تسهم في تعزيز كفاءة إدارة الأزمات داخل المؤسسات الصحية، خاصة في ظل التحديات المتزايدة التي تواجه القطاع الطبي</w:t>
      </w:r>
      <w:r w:rsidRPr="003849C3">
        <w:rPr>
          <w:rFonts w:ascii="Traditional Arabic" w:eastAsia="Calibri" w:hAnsi="Traditional Arabic" w:cs="Traditional Arabic" w:hint="cs"/>
          <w:color w:val="000000" w:themeColor="text1"/>
          <w:sz w:val="24"/>
          <w:szCs w:val="24"/>
          <w:lang w:bidi="ar-EG"/>
        </w:rPr>
        <w:t>.</w:t>
      </w:r>
    </w:p>
    <w:p w14:paraId="49079AAA" w14:textId="77777777"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استخدمت الدراسة الاستبانة المغلقة كأداة رئيسية لجمع البيانات، وتم تصميمها لقياس واقع تطبيق القيادة التحويلية ومستوى إدارة الأزمات الصحية. تضمنت الاستبانة مجموعة من البنود التي تغطي الأبعاد القيادية الثلاثة، بالإضافة إلى مؤشرات تتعلق بكفاءة الاستجابة للأزمات، مثل سرعة اتخاذ القرار، التنسيق الداخلي، والمرونة التنظيمية. تم التحقق من صدق الأداة وثباتها باستخدام الأساليب الإحصائية المناسبة، كما خضعت لمراجعة علمية من قبل مختصين في الإدارة الصحية</w:t>
      </w:r>
      <w:r w:rsidRPr="003849C3">
        <w:rPr>
          <w:rFonts w:ascii="Traditional Arabic" w:eastAsia="Calibri" w:hAnsi="Traditional Arabic" w:cs="Traditional Arabic" w:hint="cs"/>
          <w:color w:val="000000" w:themeColor="text1"/>
          <w:sz w:val="24"/>
          <w:szCs w:val="24"/>
          <w:lang w:bidi="ar-EG"/>
        </w:rPr>
        <w:t>.</w:t>
      </w:r>
    </w:p>
    <w:p w14:paraId="43C551CF" w14:textId="77777777"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 xml:space="preserve">اعتمدت الدراسة على المنهج الوصفي التحليلي، حيث تم تحليل العلاقة بين المتغيرات باستخدام معامل الارتباط وتحليل التباين. وقد تم اختيار عينة عشوائية مكونة من </w:t>
      </w:r>
      <w:r w:rsidRPr="003849C3">
        <w:rPr>
          <w:rFonts w:ascii="Traditional Arabic" w:eastAsia="Calibri" w:hAnsi="Traditional Arabic" w:cs="Traditional Arabic" w:hint="cs"/>
          <w:color w:val="000000" w:themeColor="text1"/>
          <w:sz w:val="24"/>
          <w:szCs w:val="24"/>
          <w:lang w:bidi="ar-EG"/>
        </w:rPr>
        <w:t xml:space="preserve">270 </w:t>
      </w:r>
      <w:r w:rsidRPr="003849C3">
        <w:rPr>
          <w:rFonts w:ascii="Traditional Arabic" w:eastAsia="Calibri" w:hAnsi="Traditional Arabic" w:cs="Traditional Arabic" w:hint="cs"/>
          <w:color w:val="000000" w:themeColor="text1"/>
          <w:sz w:val="24"/>
          <w:szCs w:val="24"/>
          <w:rtl/>
        </w:rPr>
        <w:t>موظفًا وموظفة من العاملين في مستشفى الملك عبدالله ببيشة، وشملت العينة تخصصات طبية وإدارية متنوعة. أظهرت البيانات أن نسبة الذكور بلغت 74%، وأن 39.3% من المشاركين يحملون الدرجة الجامعية الأولى، بينما يعمل 37.8% منهم في المجال الطبي المباشر، مما يعكس طبيعة المجتمع المهني داخل المستشفى</w:t>
      </w:r>
      <w:r w:rsidRPr="003849C3">
        <w:rPr>
          <w:rFonts w:ascii="Traditional Arabic" w:eastAsia="Calibri" w:hAnsi="Traditional Arabic" w:cs="Traditional Arabic" w:hint="cs"/>
          <w:color w:val="000000" w:themeColor="text1"/>
          <w:sz w:val="24"/>
          <w:szCs w:val="24"/>
          <w:lang w:bidi="ar-EG"/>
        </w:rPr>
        <w:t>.</w:t>
      </w:r>
    </w:p>
    <w:p w14:paraId="3635763B" w14:textId="029F4BCD"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 xml:space="preserve">توصلت الدراسة إلى وجود أثر ذو دلالة إحصائية للقيادة التحويلية على إدارة الأزمات الصحية، حيث كانت كافة الأبعاد التي تقيس واقع تطبيق القيادة التحويلية مرتفعة بشكل عام. كما تبين أن قدرة قادة مستشفى الملك عبدالله على إدارة الأزمات الصحية كانت عالية، وأن هناك فرقًا ذا دلالة إحصائية يعزى إلى النوع، بينما لم تظهر فروق تعزى للمؤهل العلمي أو نوع الوظيفة. وأوصت الدراسة بضرورة تبني نمط القيادة التحويلية بكافة أبعاده عند مواجهة الأزمات الصحية، وتنمية بعدي الاستثارة الفكرية والدافعية الإلهامية لدى القادة من خلال </w:t>
      </w:r>
      <w:r w:rsidRPr="003849C3">
        <w:rPr>
          <w:rFonts w:ascii="Traditional Arabic" w:eastAsia="Calibri" w:hAnsi="Traditional Arabic" w:cs="Traditional Arabic" w:hint="cs"/>
          <w:color w:val="000000" w:themeColor="text1"/>
          <w:sz w:val="24"/>
          <w:szCs w:val="24"/>
          <w:rtl/>
        </w:rPr>
        <w:lastRenderedPageBreak/>
        <w:t>الدورات التدريبية المتخصصة، بالإضافة إلى تحديد النمط القيادي الأمثل لكل متغير من متغيرات البيئة الخارجية عبر وضع خطط استراتيجية مرنة تساعد في مواجهة التغيرات المستقبلية بكفاءة</w:t>
      </w:r>
      <w:r w:rsidRPr="003849C3">
        <w:rPr>
          <w:rFonts w:ascii="Traditional Arabic" w:eastAsia="Calibri" w:hAnsi="Traditional Arabic" w:cs="Traditional Arabic" w:hint="cs"/>
          <w:color w:val="000000" w:themeColor="text1"/>
          <w:sz w:val="24"/>
          <w:szCs w:val="24"/>
          <w:lang w:bidi="ar-EG"/>
        </w:rPr>
        <w:t>.</w:t>
      </w:r>
    </w:p>
    <w:p w14:paraId="78133176" w14:textId="5ECA469B" w:rsidR="0004100F" w:rsidRPr="003849C3" w:rsidRDefault="00ED2E9A" w:rsidP="00E1749B">
      <w:pPr>
        <w:bidi/>
        <w:spacing w:after="200" w:line="360" w:lineRule="auto"/>
        <w:contextualSpacing/>
        <w:jc w:val="both"/>
        <w:rPr>
          <w:rFonts w:ascii="Traditional Arabic" w:eastAsia="Calibri" w:hAnsi="Traditional Arabic" w:cs="Traditional Arabic"/>
          <w:sz w:val="24"/>
          <w:szCs w:val="24"/>
          <w:rtl/>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الرابعة</w:t>
      </w:r>
      <w:r w:rsidRPr="003849C3">
        <w:rPr>
          <w:rFonts w:ascii="Traditional Arabic" w:eastAsia="Calibri" w:hAnsi="Traditional Arabic" w:cs="Traditional Arabic" w:hint="cs"/>
          <w:b/>
          <w:bCs/>
          <w:sz w:val="24"/>
          <w:szCs w:val="24"/>
          <w:rtl/>
          <w:lang w:bidi="ar-EG"/>
        </w:rPr>
        <w:t>:</w:t>
      </w:r>
      <w:r w:rsidRPr="003849C3">
        <w:rPr>
          <w:rFonts w:ascii="Traditional Arabic" w:eastAsia="Calibri" w:hAnsi="Traditional Arabic" w:cs="Traditional Arabic" w:hint="cs"/>
          <w:sz w:val="24"/>
          <w:szCs w:val="24"/>
          <w:rtl/>
          <w:lang w:bidi="ar-EG"/>
        </w:rPr>
        <w:t xml:space="preserve"> </w:t>
      </w:r>
      <w:r w:rsidRPr="003849C3">
        <w:rPr>
          <w:rFonts w:ascii="Traditional Arabic" w:eastAsia="Calibri" w:hAnsi="Traditional Arabic" w:cs="Traditional Arabic" w:hint="cs"/>
          <w:b/>
          <w:bCs/>
          <w:sz w:val="24"/>
          <w:szCs w:val="24"/>
          <w:rtl/>
          <w:lang w:bidi="ar-EG"/>
        </w:rPr>
        <w:t xml:space="preserve">دراسة </w:t>
      </w:r>
      <w:r w:rsidR="0004100F" w:rsidRPr="003849C3">
        <w:rPr>
          <w:rFonts w:ascii="Traditional Arabic" w:eastAsia="Calibri" w:hAnsi="Traditional Arabic" w:cs="Traditional Arabic" w:hint="cs"/>
          <w:b/>
          <w:bCs/>
          <w:sz w:val="24"/>
          <w:szCs w:val="24"/>
          <w:rtl/>
          <w:lang w:bidi="ar-EG"/>
        </w:rPr>
        <w:t>عفيفي</w:t>
      </w:r>
      <w:r w:rsidRPr="003849C3">
        <w:rPr>
          <w:rFonts w:ascii="Traditional Arabic" w:eastAsia="Calibri" w:hAnsi="Traditional Arabic" w:cs="Traditional Arabic" w:hint="cs"/>
          <w:b/>
          <w:bCs/>
          <w:sz w:val="24"/>
          <w:szCs w:val="24"/>
          <w:rtl/>
          <w:lang w:bidi="ar-EG"/>
        </w:rPr>
        <w:t xml:space="preserve"> و</w:t>
      </w:r>
      <w:r w:rsidR="0004100F" w:rsidRPr="003849C3">
        <w:rPr>
          <w:rFonts w:ascii="Traditional Arabic" w:eastAsia="Calibri" w:hAnsi="Traditional Arabic" w:cs="Traditional Arabic" w:hint="cs"/>
          <w:b/>
          <w:bCs/>
          <w:sz w:val="24"/>
          <w:szCs w:val="24"/>
          <w:rtl/>
          <w:lang w:bidi="ar-EG"/>
        </w:rPr>
        <w:t>آلاء</w:t>
      </w:r>
      <w:r w:rsidRPr="003849C3">
        <w:rPr>
          <w:rFonts w:ascii="Traditional Arabic" w:eastAsia="Calibri" w:hAnsi="Traditional Arabic" w:cs="Traditional Arabic" w:hint="cs"/>
          <w:b/>
          <w:bCs/>
          <w:sz w:val="24"/>
          <w:szCs w:val="24"/>
          <w:rtl/>
          <w:lang w:bidi="ar-EG"/>
        </w:rPr>
        <w:t xml:space="preserve"> </w:t>
      </w:r>
      <w:r w:rsidR="0004100F" w:rsidRPr="003849C3">
        <w:rPr>
          <w:rFonts w:ascii="Traditional Arabic" w:eastAsia="Calibri" w:hAnsi="Traditional Arabic" w:cs="Traditional Arabic" w:hint="cs"/>
          <w:b/>
          <w:bCs/>
          <w:sz w:val="24"/>
          <w:szCs w:val="24"/>
          <w:rtl/>
          <w:lang w:bidi="ar-EG"/>
        </w:rPr>
        <w:t>2024</w:t>
      </w:r>
      <w:r w:rsidRPr="003849C3">
        <w:rPr>
          <w:rFonts w:ascii="Traditional Arabic" w:eastAsia="Calibri" w:hAnsi="Traditional Arabic" w:cs="Traditional Arabic" w:hint="cs"/>
          <w:b/>
          <w:bCs/>
          <w:sz w:val="24"/>
          <w:szCs w:val="24"/>
          <w:rtl/>
          <w:lang w:bidi="ar-EG"/>
        </w:rPr>
        <w:t xml:space="preserve"> </w:t>
      </w:r>
    </w:p>
    <w:p w14:paraId="286372E4"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أجرى عفيفي وآلاء</w:t>
      </w:r>
      <w:r w:rsidRPr="003849C3">
        <w:rPr>
          <w:rFonts w:ascii="Traditional Arabic" w:eastAsia="Calibri" w:hAnsi="Traditional Arabic" w:cs="Traditional Arabic" w:hint="cs"/>
          <w:sz w:val="24"/>
          <w:szCs w:val="24"/>
          <w:lang w:bidi="ar-EG"/>
        </w:rPr>
        <w:t xml:space="preserve"> (2024)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تأثير تطبيق إدارة المخاطر على مشاريع الرعاية الصحية: دراسة تطبيقية على مستشفيات في جدة</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 وهدفت إلى تقييم أثر تطبيق نظم إدارة المخاطر على جودة الرعاية الصحية وسلامة المرضى في المستشفيات الحكومية والخاصة بمدينة جدة. سعى الباحثان إلى فهم مدى فاعلية السياسات والإجراءات المرتبطة بإدارة المخاطر في تحسين الأداء الصحي وتقليل الحوادث الطبية، وذلك في ظل التحديات التنظيمية والبيئية التي تواجه المؤسسات الصحية</w:t>
      </w:r>
      <w:r w:rsidRPr="003849C3">
        <w:rPr>
          <w:rFonts w:ascii="Traditional Arabic" w:eastAsia="Calibri" w:hAnsi="Traditional Arabic" w:cs="Traditional Arabic" w:hint="cs"/>
          <w:sz w:val="24"/>
          <w:szCs w:val="24"/>
          <w:lang w:bidi="ar-EG"/>
        </w:rPr>
        <w:t>.</w:t>
      </w:r>
    </w:p>
    <w:p w14:paraId="0A3B5AAA"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استخدمت الدراسة الاستبانة المغلقة كأداة رئيسية لجمع البيانات، وتم تصميمها بناءً على نماذج عالمية في إدارة الجودة وسلامة المرضى. تضمنت الاستبانة ثلاثة محاور: الأول يقيس ممارسات إدارة المخاطر، والثاني يختبر مؤشرات جودة الرعاية، والثالث يركز على سلامة المرضى. تم التحقق من صدق الأداة وثباتها باستخدام معامل كرونباخ ألفا، كما خضعت لمراجعة علمية من قبل خبراء في الإدارة الصحية لضمان ملاءمتها للسياق المحلي</w:t>
      </w:r>
      <w:r w:rsidRPr="003849C3">
        <w:rPr>
          <w:rFonts w:ascii="Traditional Arabic" w:eastAsia="Calibri" w:hAnsi="Traditional Arabic" w:cs="Traditional Arabic" w:hint="cs"/>
          <w:sz w:val="24"/>
          <w:szCs w:val="24"/>
          <w:lang w:bidi="ar-EG"/>
        </w:rPr>
        <w:t>.</w:t>
      </w:r>
    </w:p>
    <w:p w14:paraId="2211EA53"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 xml:space="preserve">اعتمدت الدراسة على المنهج الوصفي التحليلي، حيث تم تحليل العلاقة بين المتغيرات باستخدام أدوات إحصائية مثل المتوسطات والانحراف المعياري وتحليل الانحدار. وقد تم اختيار عينة قصدية مكونة من </w:t>
      </w:r>
      <w:r w:rsidRPr="003849C3">
        <w:rPr>
          <w:rFonts w:ascii="Traditional Arabic" w:eastAsia="Calibri" w:hAnsi="Traditional Arabic" w:cs="Traditional Arabic" w:hint="cs"/>
          <w:sz w:val="24"/>
          <w:szCs w:val="24"/>
          <w:lang w:bidi="ar-EG"/>
        </w:rPr>
        <w:t xml:space="preserve">200 </w:t>
      </w:r>
      <w:r w:rsidRPr="003849C3">
        <w:rPr>
          <w:rFonts w:ascii="Traditional Arabic" w:eastAsia="Calibri" w:hAnsi="Traditional Arabic" w:cs="Traditional Arabic" w:hint="cs"/>
          <w:sz w:val="24"/>
          <w:szCs w:val="24"/>
          <w:rtl/>
        </w:rPr>
        <w:t>مشارك من العاملين في القطاع الصحي، شملت أطباء، ممرضين، إداريين، ومديري الجودة، موزعين على عدد من المستشفيات الحكومية والخاصة في مدينة جدة. تم اختيار العينة بناءً على معيار الخبرة العملية (لا تقل عن ثلاث سنوات) لضمان جودة الاستجابات</w:t>
      </w:r>
      <w:r w:rsidRPr="003849C3">
        <w:rPr>
          <w:rFonts w:ascii="Traditional Arabic" w:eastAsia="Calibri" w:hAnsi="Traditional Arabic" w:cs="Traditional Arabic" w:hint="cs"/>
          <w:sz w:val="24"/>
          <w:szCs w:val="24"/>
          <w:lang w:bidi="ar-EG"/>
        </w:rPr>
        <w:t>.</w:t>
      </w:r>
    </w:p>
    <w:p w14:paraId="05EEBEF6" w14:textId="11916263"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 xml:space="preserve">توصلت الدراسة إلى أن </w:t>
      </w:r>
      <w:r w:rsidRPr="003849C3">
        <w:rPr>
          <w:rFonts w:ascii="Traditional Arabic" w:eastAsia="Calibri" w:hAnsi="Traditional Arabic" w:cs="Traditional Arabic" w:hint="cs"/>
          <w:sz w:val="24"/>
          <w:szCs w:val="24"/>
          <w:lang w:bidi="ar-EG"/>
        </w:rPr>
        <w:t xml:space="preserve">60% </w:t>
      </w:r>
      <w:r w:rsidRPr="003849C3">
        <w:rPr>
          <w:rFonts w:ascii="Traditional Arabic" w:eastAsia="Calibri" w:hAnsi="Traditional Arabic" w:cs="Traditional Arabic" w:hint="cs"/>
          <w:sz w:val="24"/>
          <w:szCs w:val="24"/>
          <w:rtl/>
        </w:rPr>
        <w:t xml:space="preserve">من المشاركين لاحظوا تحسنًا في جودة الرعاية الصحية بعد تطبيق نظم إدارة المخاطر، بينما أشار </w:t>
      </w:r>
      <w:r w:rsidRPr="003849C3">
        <w:rPr>
          <w:rFonts w:ascii="Traditional Arabic" w:eastAsia="Calibri" w:hAnsi="Traditional Arabic" w:cs="Traditional Arabic" w:hint="cs"/>
          <w:sz w:val="24"/>
          <w:szCs w:val="24"/>
          <w:lang w:bidi="ar-EG"/>
        </w:rPr>
        <w:t xml:space="preserve">50% </w:t>
      </w:r>
      <w:r w:rsidRPr="003849C3">
        <w:rPr>
          <w:rFonts w:ascii="Traditional Arabic" w:eastAsia="Calibri" w:hAnsi="Traditional Arabic" w:cs="Traditional Arabic" w:hint="cs"/>
          <w:sz w:val="24"/>
          <w:szCs w:val="24"/>
          <w:rtl/>
        </w:rPr>
        <w:t>إلى تحسن في سلامة المرضى من حيث تقليل الأخطاء الطبية والاستجابة للحوادث. كما كشفت النتائج عن وجود تحديات تعيق التطبيق الفعال، أبرزها ضعف التدريب، نقص الموارد، ومقاومة التغيير من قبل بعض العاملين. وأوصت الدراسة بضرورة تعزيز برامج التدريب والتوعية، تحسين الدعم الإداري، وتحديث السياسات بشكل دوري لضمان توافقها مع المعايير الحديثة، إلى جانب استخدام التكنولوجيا في تحليل البيانات وتطوير أنظمة الإنذار المبكر داخل المستشفيات</w:t>
      </w:r>
      <w:r w:rsidRPr="003849C3">
        <w:rPr>
          <w:rFonts w:ascii="Traditional Arabic" w:eastAsia="Calibri" w:hAnsi="Traditional Arabic" w:cs="Traditional Arabic" w:hint="cs"/>
          <w:sz w:val="24"/>
          <w:szCs w:val="24"/>
          <w:lang w:bidi="ar-EG"/>
        </w:rPr>
        <w:t>.</w:t>
      </w:r>
    </w:p>
    <w:p w14:paraId="169DA021" w14:textId="38B7694F" w:rsidR="00DC1812" w:rsidRPr="003849C3" w:rsidRDefault="00DC1812" w:rsidP="00F85136">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الدراسات باللغة الانجليزية:</w:t>
      </w:r>
    </w:p>
    <w:p w14:paraId="302E4498" w14:textId="0FC1D276" w:rsidR="00E1749B" w:rsidRPr="003849C3" w:rsidRDefault="00E1749B" w:rsidP="00E1749B">
      <w:pPr>
        <w:bidi/>
        <w:spacing w:after="200" w:line="240" w:lineRule="auto"/>
        <w:contextualSpacing/>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الدراسة الخامسة:</w:t>
      </w:r>
    </w:p>
    <w:p w14:paraId="7A0A3E34" w14:textId="77777777" w:rsidR="00E1749B" w:rsidRPr="003849C3" w:rsidRDefault="00E1749B" w:rsidP="00E1749B">
      <w:pPr>
        <w:spacing w:after="200" w:line="240" w:lineRule="auto"/>
        <w:jc w:val="both"/>
        <w:rPr>
          <w:rFonts w:ascii="Traditional Arabic" w:eastAsia="Calibri" w:hAnsi="Traditional Arabic" w:cs="Traditional Arabic"/>
          <w:b/>
          <w:bCs/>
          <w:sz w:val="24"/>
          <w:szCs w:val="24"/>
          <w:lang w:bidi="ar-EG"/>
        </w:rPr>
      </w:pPr>
      <w:r w:rsidRPr="003849C3">
        <w:rPr>
          <w:rFonts w:ascii="Traditional Arabic" w:eastAsia="Calibri" w:hAnsi="Traditional Arabic" w:cs="Traditional Arabic" w:hint="cs"/>
          <w:b/>
          <w:bCs/>
          <w:sz w:val="24"/>
          <w:szCs w:val="24"/>
          <w:lang w:bidi="ar-EG"/>
        </w:rPr>
        <w:t xml:space="preserve">Purwanto et al., 2020 </w:t>
      </w:r>
    </w:p>
    <w:p w14:paraId="76013990"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 xml:space="preserve">أجرى </w:t>
      </w:r>
      <w:r w:rsidRPr="003849C3">
        <w:rPr>
          <w:rFonts w:ascii="Traditional Arabic" w:eastAsia="Calibri" w:hAnsi="Traditional Arabic" w:cs="Traditional Arabic" w:hint="cs"/>
          <w:sz w:val="24"/>
          <w:szCs w:val="24"/>
          <w:lang w:bidi="ar-EG"/>
        </w:rPr>
        <w:t xml:space="preserve">Purwanto et al. (2020)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أثر أساليب القيادة التحويلية والتبادلية على أداء المركز الصحي: دراسة ميدانية في مدينة باتي بجاوا الوسطى</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 xml:space="preserve">، وهدفت إلى التعرف على مدى تأثير نمطي القيادة التحويلية والتبادلية على أداء العاملين في المراكز الصحية، وذلك </w:t>
      </w:r>
      <w:r w:rsidRPr="003849C3">
        <w:rPr>
          <w:rFonts w:ascii="Traditional Arabic" w:eastAsia="Calibri" w:hAnsi="Traditional Arabic" w:cs="Traditional Arabic" w:hint="cs"/>
          <w:sz w:val="24"/>
          <w:szCs w:val="24"/>
          <w:rtl/>
        </w:rPr>
        <w:lastRenderedPageBreak/>
        <w:t>في سياق سعي المؤسسات الصحية الإندونيسية إلى تحسين جودة الخدمات وتعزيز الكفاءة التشغيلية. ركزت الدراسة على تحليل العلاقة بين أساليب القيادة الحديثة ومستوى أداء الموظفين في بيئة صحية حكومية</w:t>
      </w:r>
      <w:r w:rsidRPr="003849C3">
        <w:rPr>
          <w:rFonts w:ascii="Traditional Arabic" w:eastAsia="Calibri" w:hAnsi="Traditional Arabic" w:cs="Traditional Arabic" w:hint="cs"/>
          <w:sz w:val="24"/>
          <w:szCs w:val="24"/>
          <w:lang w:bidi="ar-EG"/>
        </w:rPr>
        <w:t>.</w:t>
      </w:r>
    </w:p>
    <w:p w14:paraId="280A4013"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استخدم الباحثون الاستبانة المغلقة كأداة رئيسية لجمع البيانات، حيث تم تصميمها لقياس أبعاد القيادة التحويلية (مثل التحفيز، الرؤية، الاعتبار الفردي) والقيادة التبادلية (مثل المكافأة المشروطة والإدارة بالاستثناء)، بالإضافة إلى مؤشرات أداء الموظفين مثل الالتزام، الإنتاجية، وجودة الخدمة. تم التحقق من صدق الأداة وثباتها باستخدام الأساليب الإحصائية المناسبة، كما خضعت لمراجعة علمية لضمان ملاءمتها للسياق المحلي</w:t>
      </w:r>
      <w:r w:rsidRPr="003849C3">
        <w:rPr>
          <w:rFonts w:ascii="Traditional Arabic" w:eastAsia="Calibri" w:hAnsi="Traditional Arabic" w:cs="Traditional Arabic" w:hint="cs"/>
          <w:sz w:val="24"/>
          <w:szCs w:val="24"/>
          <w:lang w:bidi="ar-EG"/>
        </w:rPr>
        <w:t>.</w:t>
      </w:r>
    </w:p>
    <w:p w14:paraId="2C48EEFF"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اعتمدت الدراسة على المنهج الوصفي التحليلي، حيث تم تحليل العلاقة بين المتغيرات باستخدام معامل الارتباط وتحليل الانحدار. وقد تم اختيار عينة مكونة من 200 موظف وموظفة يعملون في المراكز الصحية بمدينة باتي بجاوا الوسطى، وشملت العينة فئات وظيفية متنوعة من أطباء، ممرضين، إداريين، وفنيين، لضمان تمثيل شامل للبيئة التنظيمية داخل المركز الصحي</w:t>
      </w:r>
      <w:r w:rsidRPr="003849C3">
        <w:rPr>
          <w:rFonts w:ascii="Traditional Arabic" w:eastAsia="Calibri" w:hAnsi="Traditional Arabic" w:cs="Traditional Arabic" w:hint="cs"/>
          <w:sz w:val="24"/>
          <w:szCs w:val="24"/>
          <w:lang w:bidi="ar-EG"/>
        </w:rPr>
        <w:t>.</w:t>
      </w:r>
    </w:p>
    <w:p w14:paraId="05057B2A" w14:textId="77777777" w:rsidR="00E1749B" w:rsidRPr="003849C3" w:rsidRDefault="00E1749B" w:rsidP="00193F62">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توصلت الدراسة إلى أن أسلوب القيادة التحويلية له تأثير إيجابي وهام للغاية على أداء الموظفين، حيث يعزز من روح المبادرة، الالتزام، والرضا الوظيفي. كما أظهرت النتائج أن أسلوب القيادة التبادلية له أيضًا تأثير كبير وإيجابي على الأداء، خاصة في الجوانب المتعلقة بالتحفيز المباشر والانضباط التنظيمي. وقد بينت الدراسة أن الجمع بين النمطين القياديين يحقق نتائج أفضل من الاعتماد على أحدهما فقط</w:t>
      </w:r>
      <w:r w:rsidRPr="003849C3">
        <w:rPr>
          <w:rFonts w:ascii="Traditional Arabic" w:eastAsia="Calibri" w:hAnsi="Traditional Arabic" w:cs="Traditional Arabic" w:hint="cs"/>
          <w:sz w:val="24"/>
          <w:szCs w:val="24"/>
          <w:lang w:bidi="ar-EG"/>
        </w:rPr>
        <w:t>.</w:t>
      </w:r>
    </w:p>
    <w:p w14:paraId="0CA850BE" w14:textId="19B3C0F3" w:rsidR="00E1749B" w:rsidRPr="003849C3" w:rsidRDefault="00E1749B" w:rsidP="00193F62">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استخدام أسلوبي القيادة التحويلية والتبادلية بشكل متكامل، من خلال التعليمات الواضحة، الاستشارات المستمرة، المشاركة في اتخاذ القرار، التفويض الفعّال، وتبني الأساليب القيادية ذات المرونة العالية التي تتكيف مع احتياجات الموظفين وظروف العمل. كما شددت على أهمية تدريب القادة الصحيين على تطبيق هذه الأنماط القيادية بما ينعكس إيجابًا على جودة الأداء المؤسسي والخدمة الصحية المقدمة</w:t>
      </w:r>
      <w:r w:rsidRPr="003849C3">
        <w:rPr>
          <w:rFonts w:ascii="Traditional Arabic" w:eastAsia="Calibri" w:hAnsi="Traditional Arabic" w:cs="Traditional Arabic" w:hint="cs"/>
          <w:sz w:val="24"/>
          <w:szCs w:val="24"/>
          <w:lang w:bidi="ar-EG"/>
        </w:rPr>
        <w:t>.</w:t>
      </w:r>
    </w:p>
    <w:p w14:paraId="3814DEF1" w14:textId="0C5E09F9" w:rsidR="00DC1812" w:rsidRPr="003849C3" w:rsidRDefault="00DC1812" w:rsidP="00E1749B">
      <w:pPr>
        <w:bidi/>
        <w:spacing w:after="200" w:line="240" w:lineRule="auto"/>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السادسة</w:t>
      </w:r>
      <w:r w:rsidRPr="003849C3">
        <w:rPr>
          <w:rFonts w:ascii="Traditional Arabic" w:eastAsia="Calibri" w:hAnsi="Traditional Arabic" w:cs="Traditional Arabic" w:hint="cs"/>
          <w:b/>
          <w:bCs/>
          <w:sz w:val="24"/>
          <w:szCs w:val="24"/>
          <w:rtl/>
          <w:lang w:bidi="ar-EG"/>
        </w:rPr>
        <w:t>:</w:t>
      </w:r>
    </w:p>
    <w:p w14:paraId="16242ADB" w14:textId="77777777" w:rsidR="008521C6" w:rsidRPr="003849C3" w:rsidRDefault="008521C6" w:rsidP="00F85136">
      <w:pPr>
        <w:bidi/>
        <w:spacing w:after="200" w:line="240" w:lineRule="auto"/>
        <w:jc w:val="right"/>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lang w:bidi="ar-EG"/>
        </w:rPr>
        <w:t>Badriyah Putri Jannah (2024)</w:t>
      </w:r>
      <w:r w:rsidRPr="003849C3">
        <w:rPr>
          <w:rFonts w:ascii="Traditional Arabic" w:eastAsia="Calibri" w:hAnsi="Traditional Arabic" w:cs="Traditional Arabic" w:hint="cs"/>
          <w:sz w:val="24"/>
          <w:szCs w:val="24"/>
          <w:lang w:bidi="ar-EG"/>
        </w:rPr>
        <w:t xml:space="preserve"> </w:t>
      </w:r>
    </w:p>
    <w:p w14:paraId="74441ACA"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rPr>
      </w:pPr>
      <w:r w:rsidRPr="003849C3">
        <w:rPr>
          <w:rFonts w:ascii="Traditional Arabic" w:eastAsia="Calibri" w:hAnsi="Traditional Arabic" w:cs="Traditional Arabic" w:hint="cs"/>
          <w:sz w:val="24"/>
          <w:szCs w:val="24"/>
          <w:rtl/>
        </w:rPr>
        <w:t xml:space="preserve">أجرت </w:t>
      </w:r>
      <w:r w:rsidRPr="003849C3">
        <w:rPr>
          <w:rFonts w:ascii="Traditional Arabic" w:eastAsia="Calibri" w:hAnsi="Traditional Arabic" w:cs="Traditional Arabic" w:hint="cs"/>
          <w:b/>
          <w:bCs/>
          <w:sz w:val="24"/>
          <w:szCs w:val="24"/>
          <w:rtl/>
        </w:rPr>
        <w:t>بدرية بوتري جانا</w:t>
      </w:r>
      <w:r w:rsidRPr="003849C3">
        <w:rPr>
          <w:rFonts w:ascii="Traditional Arabic" w:eastAsia="Calibri" w:hAnsi="Traditional Arabic" w:cs="Traditional Arabic" w:hint="cs"/>
          <w:b/>
          <w:bCs/>
          <w:sz w:val="24"/>
          <w:szCs w:val="24"/>
        </w:rPr>
        <w:t xml:space="preserve"> (2024)</w:t>
      </w:r>
      <w:r w:rsidRPr="003849C3">
        <w:rPr>
          <w:rFonts w:ascii="Traditional Arabic" w:eastAsia="Calibri" w:hAnsi="Traditional Arabic" w:cs="Traditional Arabic" w:hint="cs"/>
          <w:sz w:val="24"/>
          <w:szCs w:val="24"/>
        </w:rPr>
        <w:t xml:space="preserve">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rPr>
        <w:t>"</w:t>
      </w:r>
      <w:r w:rsidRPr="003849C3">
        <w:rPr>
          <w:rFonts w:ascii="Traditional Arabic" w:eastAsia="Calibri" w:hAnsi="Traditional Arabic" w:cs="Traditional Arabic" w:hint="cs"/>
          <w:sz w:val="24"/>
          <w:szCs w:val="24"/>
          <w:rtl/>
        </w:rPr>
        <w:t>تأثير نمط القيادة التحويلية على تطبيق سلامة المرضى في المستشفيات: مراجعة أدبية</w:t>
      </w:r>
      <w:r w:rsidRPr="003849C3">
        <w:rPr>
          <w:rFonts w:ascii="Traditional Arabic" w:eastAsia="Calibri" w:hAnsi="Traditional Arabic" w:cs="Traditional Arabic" w:hint="cs"/>
          <w:sz w:val="24"/>
          <w:szCs w:val="24"/>
        </w:rPr>
        <w:t>"</w:t>
      </w:r>
      <w:r w:rsidRPr="003849C3">
        <w:rPr>
          <w:rFonts w:ascii="Traditional Arabic" w:eastAsia="Calibri" w:hAnsi="Traditional Arabic" w:cs="Traditional Arabic" w:hint="cs"/>
          <w:sz w:val="24"/>
          <w:szCs w:val="24"/>
          <w:rtl/>
        </w:rPr>
        <w:t>، وهدفت إلى تحليل أثر القيادة التحويلية على جهود تعزيز سلامة المرضى داخل المؤسسات الصحية، باعتبار أن المستشفيات بيئات تنظيمية معقدة تتطلب نمطًا قياديًا مرنًا ومحفزًا قادرًا على إحداث التغيير. ركزت الدراسة على كيفية مساهمة القيادة التحويلية في تحسين بيئة العمل، وتقوية ثقافة السلامة، وتقليل الأخطاء الطبية من خلال دعم الفرق الصحية وتحفيزهم</w:t>
      </w:r>
      <w:r w:rsidRPr="003849C3">
        <w:rPr>
          <w:rFonts w:ascii="Traditional Arabic" w:eastAsia="Calibri" w:hAnsi="Traditional Arabic" w:cs="Traditional Arabic" w:hint="cs"/>
          <w:sz w:val="24"/>
          <w:szCs w:val="24"/>
        </w:rPr>
        <w:t>.</w:t>
      </w:r>
    </w:p>
    <w:p w14:paraId="1E231B08"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lastRenderedPageBreak/>
        <w:t>استخدمت الباحثة منهج الدراسة الأدبية</w:t>
      </w:r>
      <w:r w:rsidRPr="003849C3">
        <w:rPr>
          <w:rFonts w:ascii="Traditional Arabic" w:eastAsia="Calibri" w:hAnsi="Traditional Arabic" w:cs="Traditional Arabic" w:hint="cs"/>
          <w:sz w:val="24"/>
          <w:szCs w:val="24"/>
          <w:lang w:bidi="ar-EG"/>
        </w:rPr>
        <w:t xml:space="preserve"> (Literature Review)</w:t>
      </w:r>
      <w:r w:rsidRPr="003849C3">
        <w:rPr>
          <w:rFonts w:ascii="Traditional Arabic" w:eastAsia="Calibri" w:hAnsi="Traditional Arabic" w:cs="Traditional Arabic" w:hint="cs"/>
          <w:sz w:val="24"/>
          <w:szCs w:val="24"/>
          <w:rtl/>
        </w:rPr>
        <w:t>، حيث جمعت بيانات ثانوية من مقالات علمية منشورة في قواعد بيانات إلكترونية، وفقًا لمعايير إدراج واستبعاد محددة مسبقًا. تم تحليل الدراسات السابقة التي تناولت القيادة التحويلية وسلامة المرضى، مع التركيز على الأبعاد القيادية الأربعة: التأثير المثالي، الدافعية الإلهامية، الاستثارة الفكرية، والاعتبار الفردي. لم تعتمد الدراسة على عينة ميدانية، بل استندت إلى تحليل محتوى منهجي للدراسات المنشورة بين عامي 2015 و2023</w:t>
      </w:r>
      <w:r w:rsidRPr="003849C3">
        <w:rPr>
          <w:rFonts w:ascii="Traditional Arabic" w:eastAsia="Calibri" w:hAnsi="Traditional Arabic" w:cs="Traditional Arabic" w:hint="cs"/>
          <w:sz w:val="24"/>
          <w:szCs w:val="24"/>
          <w:lang w:bidi="ar-EG"/>
        </w:rPr>
        <w:t>.</w:t>
      </w:r>
    </w:p>
    <w:p w14:paraId="43D0B947"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أظهرت نتائج الدراسة أن القيادة التحويلية تُعد استراتيجية فعالة ومؤثرة بشكل كبير في تحسين سلامة المرضى داخل المستشفيات</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حيث أشار التحليل إلى أن القادة الذين يتبنون هذا النمط القيادي يساهمون في تحسين ظروف العمل، وخلق بيئة تنظيمية داعمة، مما ينعكس إيجابًا على جودة الخدمة المقدمة. كما تبين أن القيادة التحويلية تعزز التكامل بين الفرق الطبية، وتدعم اتخاذ قرارات سريعة وفعالة في المواقف الحرجة، مما يقلل من احتمالية وقوع الحوادث الطبية</w:t>
      </w:r>
      <w:r w:rsidRPr="003849C3">
        <w:rPr>
          <w:rFonts w:ascii="Traditional Arabic" w:eastAsia="Calibri" w:hAnsi="Traditional Arabic" w:cs="Traditional Arabic" w:hint="cs"/>
          <w:sz w:val="24"/>
          <w:szCs w:val="24"/>
          <w:lang w:bidi="ar-EG"/>
        </w:rPr>
        <w:t>.</w:t>
      </w:r>
    </w:p>
    <w:p w14:paraId="3960BB8D"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تبني نمط القيادة التحويلية في المؤسسات الصحية، خاصة في المستشفيات العامة التي تواجه تحديات تنظيمية وبشرية معقدة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كما شددت على أهمية تدريب القادة الصحيين على مهارات التحفيز والتواصل الفعال، وتطوير برامج قيادية تركز على بناء ثقافة السلامة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وأكدت الباحثة أن دمج القيادة التحويلية ضمن السياسات الإدارية للمستشفيات يمكن أن يكون عاملًا حاسمًا في تحسين الأداء المؤسسي وتحقيق أهداف الجودة وسلامة المرضى</w:t>
      </w:r>
      <w:r w:rsidRPr="003849C3">
        <w:rPr>
          <w:rFonts w:ascii="Traditional Arabic" w:eastAsia="Calibri" w:hAnsi="Traditional Arabic" w:cs="Traditional Arabic" w:hint="cs"/>
          <w:sz w:val="24"/>
          <w:szCs w:val="24"/>
          <w:lang w:bidi="ar-EG"/>
        </w:rPr>
        <w:t>.</w:t>
      </w:r>
    </w:p>
    <w:p w14:paraId="026B8C9B" w14:textId="6B6DD47A" w:rsidR="00E1749B" w:rsidRPr="003849C3" w:rsidRDefault="00E1749B" w:rsidP="00E1749B">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الدراسة السابعة:</w:t>
      </w:r>
    </w:p>
    <w:p w14:paraId="72FDCDD4"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أجرى</w:t>
      </w:r>
      <w:r w:rsidRPr="003849C3">
        <w:rPr>
          <w:rFonts w:ascii="Traditional Arabic" w:eastAsia="Calibri" w:hAnsi="Traditional Arabic" w:cs="Traditional Arabic" w:hint="cs"/>
          <w:color w:val="000000" w:themeColor="text1"/>
          <w:sz w:val="24"/>
          <w:szCs w:val="24"/>
        </w:rPr>
        <w:t xml:space="preserve"> </w:t>
      </w:r>
      <w:r w:rsidRPr="003849C3">
        <w:rPr>
          <w:rFonts w:ascii="Traditional Arabic" w:eastAsia="Calibri" w:hAnsi="Traditional Arabic" w:cs="Traditional Arabic" w:hint="cs"/>
          <w:b/>
          <w:bCs/>
          <w:color w:val="000000" w:themeColor="text1"/>
          <w:sz w:val="24"/>
          <w:szCs w:val="24"/>
          <w:lang w:bidi="ar-EG"/>
        </w:rPr>
        <w:t xml:space="preserve">Stöcker </w:t>
      </w:r>
      <w:r w:rsidRPr="003849C3">
        <w:rPr>
          <w:rFonts w:ascii="Traditional Arabic" w:eastAsia="Calibri" w:hAnsi="Traditional Arabic" w:cs="Traditional Arabic" w:hint="cs"/>
          <w:b/>
          <w:bCs/>
          <w:color w:val="000000" w:themeColor="text1"/>
          <w:sz w:val="24"/>
          <w:szCs w:val="24"/>
          <w:rtl/>
        </w:rPr>
        <w:t>وآخرون</w:t>
      </w:r>
      <w:r w:rsidRPr="003849C3">
        <w:rPr>
          <w:rFonts w:ascii="Traditional Arabic" w:eastAsia="Calibri" w:hAnsi="Traditional Arabic" w:cs="Traditional Arabic" w:hint="cs"/>
          <w:b/>
          <w:bCs/>
          <w:color w:val="000000" w:themeColor="text1"/>
          <w:sz w:val="24"/>
          <w:szCs w:val="24"/>
          <w:lang w:bidi="ar-EG"/>
        </w:rPr>
        <w:t xml:space="preserve"> (2023</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دراسة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القيادة التحويلية ورأس المال الاجتماعي كمحددات لسلامة المرضى: مقاربة بارسونية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تأثير القيادة التحويلية ورأس المال الاجتماعي على جودة الرعاية وسلامة المرضى في المستشفيات الألمانية، من خلال إطار نظري مستند إلى نموذج</w:t>
      </w:r>
      <w:r w:rsidRPr="003849C3">
        <w:rPr>
          <w:rFonts w:ascii="Traditional Arabic" w:eastAsia="Calibri" w:hAnsi="Traditional Arabic" w:cs="Traditional Arabic" w:hint="cs"/>
          <w:color w:val="000000" w:themeColor="text1"/>
          <w:sz w:val="24"/>
          <w:szCs w:val="24"/>
          <w:lang w:bidi="ar-EG"/>
        </w:rPr>
        <w:t xml:space="preserve"> AGIL </w:t>
      </w:r>
      <w:r w:rsidRPr="003849C3">
        <w:rPr>
          <w:rFonts w:ascii="Traditional Arabic" w:eastAsia="Calibri" w:hAnsi="Traditional Arabic" w:cs="Traditional Arabic" w:hint="cs"/>
          <w:color w:val="000000" w:themeColor="text1"/>
          <w:sz w:val="24"/>
          <w:szCs w:val="24"/>
          <w:rtl/>
        </w:rPr>
        <w:t>لبارسون، الذي يركز على التكيف، تحقيق الأهداف، التكامل، وصيانة الأنماط التنظيمية. سعى الباحثون إلى اختبار كيف تؤثر القيادة التحويلية (كعامل لتحقيق الأهداف) ورأس المال الاجتماعي (كعامل تكامل جماعي) على تقليل العيوب في جودة الرعاية الصحية</w:t>
      </w:r>
      <w:r w:rsidRPr="003849C3">
        <w:rPr>
          <w:rFonts w:ascii="Traditional Arabic" w:eastAsia="Calibri" w:hAnsi="Traditional Arabic" w:cs="Traditional Arabic" w:hint="cs"/>
          <w:color w:val="000000" w:themeColor="text1"/>
          <w:sz w:val="24"/>
          <w:szCs w:val="24"/>
          <w:lang w:bidi="ar-EG"/>
        </w:rPr>
        <w:t>.</w:t>
      </w:r>
    </w:p>
    <w:p w14:paraId="0DCE2EB7"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 xml:space="preserve">استخدمت الدراسة استبانة مغلقة تم توزيعها على </w:t>
      </w:r>
      <w:r w:rsidRPr="003849C3">
        <w:rPr>
          <w:rFonts w:ascii="Traditional Arabic" w:eastAsia="Calibri" w:hAnsi="Traditional Arabic" w:cs="Traditional Arabic" w:hint="cs"/>
          <w:color w:val="000000" w:themeColor="text1"/>
          <w:sz w:val="24"/>
          <w:szCs w:val="24"/>
          <w:lang w:bidi="ar-EG"/>
        </w:rPr>
        <w:t xml:space="preserve">551 </w:t>
      </w:r>
      <w:r w:rsidRPr="003849C3">
        <w:rPr>
          <w:rFonts w:ascii="Traditional Arabic" w:eastAsia="Calibri" w:hAnsi="Traditional Arabic" w:cs="Traditional Arabic" w:hint="cs"/>
          <w:color w:val="000000" w:themeColor="text1"/>
          <w:sz w:val="24"/>
          <w:szCs w:val="24"/>
          <w:rtl/>
        </w:rPr>
        <w:t>مديرًا طبيًا في المستشفيات الألمانية، لقياس مستوى القيادة التحويلية ورأس المال الاجتماعي داخل المؤسسات الصحية. كما تم ربط نتائج الاستبيان ببيانات تقارير الجودة للفترة بين عامي 2012 و2019، مما أتاح إجراء تحليل طولي شامل. اعتمد الباحثون على المنهج الكمي التحليلي، واستخدموا تقسيمًا ثلاثيًا لمستويات القيادة والتكامل (منخفض، متوسط، مرتفع) لإنشاء ما يسمى بعامل</w:t>
      </w:r>
      <w:r w:rsidRPr="003849C3">
        <w:rPr>
          <w:rFonts w:ascii="Traditional Arabic" w:eastAsia="Calibri" w:hAnsi="Traditional Arabic" w:cs="Traditional Arabic" w:hint="cs"/>
          <w:color w:val="000000" w:themeColor="text1"/>
          <w:sz w:val="24"/>
          <w:szCs w:val="24"/>
          <w:lang w:bidi="ar-EG"/>
        </w:rPr>
        <w:t xml:space="preserve"> GI (</w:t>
      </w:r>
      <w:r w:rsidRPr="003849C3">
        <w:rPr>
          <w:rFonts w:ascii="Traditional Arabic" w:eastAsia="Calibri" w:hAnsi="Traditional Arabic" w:cs="Traditional Arabic" w:hint="cs"/>
          <w:color w:val="000000" w:themeColor="text1"/>
          <w:sz w:val="24"/>
          <w:szCs w:val="24"/>
          <w:rtl/>
        </w:rPr>
        <w:t>الذي يجمع بين القيادة التحويلية والتكامل الاجتماعي</w:t>
      </w:r>
      <w:r w:rsidRPr="003849C3">
        <w:rPr>
          <w:rFonts w:ascii="Traditional Arabic" w:eastAsia="Calibri" w:hAnsi="Traditional Arabic" w:cs="Traditional Arabic" w:hint="cs"/>
          <w:color w:val="000000" w:themeColor="text1"/>
          <w:sz w:val="24"/>
          <w:szCs w:val="24"/>
          <w:rtl/>
          <w:lang w:bidi="ar-EG"/>
        </w:rPr>
        <w:t>.</w:t>
      </w:r>
    </w:p>
    <w:p w14:paraId="39E2CDDD"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lastRenderedPageBreak/>
        <w:t>أظهرت نتائج الدراسة أن المستشفيات التي تتمتع بمستوى مرتفع من القيادة التحويلية والتكامل الاجتماعي</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عامل</w:t>
      </w:r>
      <w:r w:rsidRPr="003849C3">
        <w:rPr>
          <w:rFonts w:ascii="Traditional Arabic" w:eastAsia="Calibri" w:hAnsi="Traditional Arabic" w:cs="Traditional Arabic" w:hint="cs"/>
          <w:color w:val="000000" w:themeColor="text1"/>
          <w:sz w:val="24"/>
          <w:szCs w:val="24"/>
          <w:lang w:bidi="ar-EG"/>
        </w:rPr>
        <w:t xml:space="preserve"> GI </w:t>
      </w:r>
      <w:r w:rsidRPr="003849C3">
        <w:rPr>
          <w:rFonts w:ascii="Traditional Arabic" w:eastAsia="Calibri" w:hAnsi="Traditional Arabic" w:cs="Traditional Arabic" w:hint="cs"/>
          <w:color w:val="000000" w:themeColor="text1"/>
          <w:sz w:val="24"/>
          <w:szCs w:val="24"/>
          <w:rtl/>
        </w:rPr>
        <w:t>المرتفع</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كانت أقل عرضة لظهور عيوب في جودة الرعاية الصحية، مقارنة بالمستشفيات ذات المستويات المنخفضة أو المتوسطة. كما تبين أن العلاقة بين القيادة التحويلية وسلامة المرضى تصبح أكثر قوة عندما تكون مصحوبة ببيئة عمل متكاملة اجتماعيًا، مما يعزز التعاون والثقة بين الفرق الطبية</w:t>
      </w:r>
      <w:r w:rsidRPr="003849C3">
        <w:rPr>
          <w:rFonts w:ascii="Traditional Arabic" w:eastAsia="Calibri" w:hAnsi="Traditional Arabic" w:cs="Traditional Arabic" w:hint="cs"/>
          <w:color w:val="000000" w:themeColor="text1"/>
          <w:sz w:val="24"/>
          <w:szCs w:val="24"/>
          <w:lang w:bidi="ar-EG"/>
        </w:rPr>
        <w:t>.</w:t>
      </w:r>
    </w:p>
    <w:p w14:paraId="680AD3C8" w14:textId="4D0077A4" w:rsidR="00E1749B" w:rsidRPr="003849C3" w:rsidRDefault="00E1749B"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color w:val="000000" w:themeColor="text1"/>
          <w:sz w:val="24"/>
          <w:szCs w:val="24"/>
          <w:rtl/>
        </w:rPr>
        <w:t>وأوصت الدراسة بضرورة أن تتبنى المؤسسات الصحية نهجًا مزدوجًا لتحسين سلامة المرضى، يجمع بين القيادة التحويلية الفعالة وبناء رأس مال اجتماعي قوي داخل فرق العمل</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كما شددت على أهمية أن يركز مدراء المستشفيات على تحقيق الأهداف التنظيمية من خلال تحفيز العاملين، وتوفير بيئة داعمة للتكامل والتواصل، بما يضمن استدامة الجودة وتقليل المخاطر في الرعاية الصحية</w:t>
      </w:r>
      <w:r w:rsidRPr="003849C3">
        <w:rPr>
          <w:rFonts w:ascii="Traditional Arabic" w:eastAsia="Calibri" w:hAnsi="Traditional Arabic" w:cs="Traditional Arabic" w:hint="cs"/>
          <w:color w:val="000000" w:themeColor="text1"/>
          <w:sz w:val="24"/>
          <w:szCs w:val="24"/>
          <w:lang w:bidi="ar-EG"/>
        </w:rPr>
        <w:t>.</w:t>
      </w:r>
    </w:p>
    <w:p w14:paraId="1F4D045D" w14:textId="694D4331" w:rsidR="00DC1812" w:rsidRPr="003849C3" w:rsidRDefault="00DC1812" w:rsidP="00F85136">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الثامنة</w:t>
      </w:r>
      <w:r w:rsidRPr="003849C3">
        <w:rPr>
          <w:rFonts w:ascii="Traditional Arabic" w:eastAsia="Calibri" w:hAnsi="Traditional Arabic" w:cs="Traditional Arabic" w:hint="cs"/>
          <w:b/>
          <w:bCs/>
          <w:sz w:val="24"/>
          <w:szCs w:val="24"/>
          <w:rtl/>
          <w:lang w:bidi="ar-EG"/>
        </w:rPr>
        <w:t xml:space="preserve">: </w:t>
      </w:r>
    </w:p>
    <w:p w14:paraId="248980E4" w14:textId="50F981F9"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bookmarkStart w:id="1" w:name="_Hlk208955892"/>
      <w:r w:rsidRPr="003849C3">
        <w:rPr>
          <w:rFonts w:ascii="Traditional Arabic" w:eastAsia="Calibri" w:hAnsi="Traditional Arabic" w:cs="Traditional Arabic" w:hint="cs"/>
          <w:color w:val="000000" w:themeColor="text1"/>
          <w:sz w:val="24"/>
          <w:szCs w:val="24"/>
          <w:rtl/>
        </w:rPr>
        <w:t xml:space="preserve">أجرى </w:t>
      </w:r>
      <w:r w:rsidRPr="003849C3">
        <w:rPr>
          <w:rFonts w:ascii="Traditional Arabic" w:eastAsia="Calibri" w:hAnsi="Traditional Arabic" w:cs="Traditional Arabic" w:hint="cs"/>
          <w:b/>
          <w:bCs/>
          <w:color w:val="000000" w:themeColor="text1"/>
          <w:sz w:val="24"/>
          <w:szCs w:val="24"/>
          <w:lang w:bidi="ar-EG"/>
        </w:rPr>
        <w:t xml:space="preserve">Hassan Alabdullah </w:t>
      </w:r>
      <w:r w:rsidR="00F86114" w:rsidRPr="003849C3">
        <w:rPr>
          <w:rFonts w:ascii="Traditional Arabic" w:eastAsia="Calibri" w:hAnsi="Traditional Arabic" w:cs="Traditional Arabic" w:hint="cs"/>
          <w:b/>
          <w:bCs/>
          <w:color w:val="000000" w:themeColor="text1"/>
          <w:sz w:val="24"/>
          <w:szCs w:val="24"/>
          <w:rtl/>
          <w:lang w:bidi="ar-EG"/>
        </w:rPr>
        <w:t xml:space="preserve"> </w:t>
      </w:r>
      <w:r w:rsidR="00F86114" w:rsidRPr="003849C3">
        <w:rPr>
          <w:rFonts w:ascii="Traditional Arabic" w:eastAsia="Calibri" w:hAnsi="Traditional Arabic" w:cs="Traditional Arabic" w:hint="cs"/>
          <w:b/>
          <w:bCs/>
          <w:color w:val="000000" w:themeColor="text1"/>
          <w:sz w:val="24"/>
          <w:szCs w:val="24"/>
          <w:rtl/>
        </w:rPr>
        <w:t>&amp;</w:t>
      </w:r>
      <w:r w:rsidRPr="003849C3">
        <w:rPr>
          <w:rFonts w:ascii="Traditional Arabic" w:eastAsia="Calibri" w:hAnsi="Traditional Arabic" w:cs="Traditional Arabic" w:hint="cs"/>
          <w:b/>
          <w:bCs/>
          <w:color w:val="000000" w:themeColor="text1"/>
          <w:sz w:val="24"/>
          <w:szCs w:val="24"/>
          <w:lang w:bidi="ar-EG"/>
        </w:rPr>
        <w:t>Waldemar Karwowski (2024)</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ثقافة سلامة المرضى في بيئات المستشفيات عبر القارات: مراجعة منهجية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الفروقات العالمية في إدراك العاملين في المستشفيات لثقافة سلامة المرضى، وتحديد نقاط القوة والضعف في تطبيق هذه الثقافة عبر أنظمة صحية مختلفة. ركزت الدراسة على أهمية بناء ثقافة مؤسسية داعمة للسلامة، باعتبارها حجر الأساس في تحسين جودة الرعاية وتقليل الأخطاء الطبية</w:t>
      </w:r>
      <w:r w:rsidRPr="003849C3">
        <w:rPr>
          <w:rFonts w:ascii="Traditional Arabic" w:eastAsia="Calibri" w:hAnsi="Traditional Arabic" w:cs="Traditional Arabic" w:hint="cs"/>
          <w:color w:val="000000" w:themeColor="text1"/>
          <w:sz w:val="24"/>
          <w:szCs w:val="24"/>
          <w:lang w:bidi="ar-EG"/>
        </w:rPr>
        <w:t>.</w:t>
      </w:r>
    </w:p>
    <w:bookmarkEnd w:id="1"/>
    <w:p w14:paraId="4A226A4B"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استخدم الباحثان منهج المراجعة المنهجية</w:t>
      </w:r>
      <w:r w:rsidRPr="003849C3">
        <w:rPr>
          <w:rFonts w:ascii="Traditional Arabic" w:eastAsia="Calibri" w:hAnsi="Traditional Arabic" w:cs="Traditional Arabic" w:hint="cs"/>
          <w:color w:val="000000" w:themeColor="text1"/>
          <w:sz w:val="24"/>
          <w:szCs w:val="24"/>
          <w:lang w:bidi="ar-EG"/>
        </w:rPr>
        <w:t xml:space="preserve"> (Systematic Review)</w:t>
      </w:r>
      <w:r w:rsidRPr="003849C3">
        <w:rPr>
          <w:rFonts w:ascii="Traditional Arabic" w:eastAsia="Calibri" w:hAnsi="Traditional Arabic" w:cs="Traditional Arabic" w:hint="cs"/>
          <w:color w:val="000000" w:themeColor="text1"/>
          <w:sz w:val="24"/>
          <w:szCs w:val="24"/>
          <w:rtl/>
        </w:rPr>
        <w:t>، وفقًا لإرشادات</w:t>
      </w:r>
      <w:r w:rsidRPr="003849C3">
        <w:rPr>
          <w:rFonts w:ascii="Traditional Arabic" w:eastAsia="Calibri" w:hAnsi="Traditional Arabic" w:cs="Traditional Arabic" w:hint="cs"/>
          <w:color w:val="000000" w:themeColor="text1"/>
          <w:sz w:val="24"/>
          <w:szCs w:val="24"/>
          <w:lang w:bidi="ar-EG"/>
        </w:rPr>
        <w:t xml:space="preserve"> PRISMA</w:t>
      </w:r>
      <w:r w:rsidRPr="003849C3">
        <w:rPr>
          <w:rFonts w:ascii="Traditional Arabic" w:eastAsia="Calibri" w:hAnsi="Traditional Arabic" w:cs="Traditional Arabic" w:hint="cs"/>
          <w:color w:val="000000" w:themeColor="text1"/>
          <w:sz w:val="24"/>
          <w:szCs w:val="24"/>
          <w:rtl/>
        </w:rPr>
        <w:t xml:space="preserve">، حيث تم تحليل الدراسات المنشورة بين عامي 2010 و2024 التي استخدمت أداة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استبيان ثقافة سلامة المرضى في المستشفيات</w:t>
      </w:r>
      <w:r w:rsidRPr="003849C3">
        <w:rPr>
          <w:rFonts w:ascii="Traditional Arabic" w:eastAsia="Calibri" w:hAnsi="Traditional Arabic" w:cs="Traditional Arabic" w:hint="cs"/>
          <w:color w:val="000000" w:themeColor="text1"/>
          <w:sz w:val="24"/>
          <w:szCs w:val="24"/>
          <w:lang w:bidi="ar-EG"/>
        </w:rPr>
        <w:t xml:space="preserve">" (HSOPSC) </w:t>
      </w:r>
      <w:r w:rsidRPr="003849C3">
        <w:rPr>
          <w:rFonts w:ascii="Traditional Arabic" w:eastAsia="Calibri" w:hAnsi="Traditional Arabic" w:cs="Traditional Arabic" w:hint="cs"/>
          <w:color w:val="000000" w:themeColor="text1"/>
          <w:sz w:val="24"/>
          <w:szCs w:val="24"/>
          <w:rtl/>
        </w:rPr>
        <w:t>بنسختيها 1.0 و2.0. شملت المراجعة دراسات من عدة دول في آسيا، أوروبا، وأمريكا الشمالية، ما أتاح مقارنة شاملة بين السياقات الصحية المختلفة. لم تعتمد الدراسة على عينة ميدانية مباشرة، بل استندت إلى تحليل محتوى منهجي للدراسات السابقة</w:t>
      </w:r>
      <w:r w:rsidRPr="003849C3">
        <w:rPr>
          <w:rFonts w:ascii="Traditional Arabic" w:eastAsia="Calibri" w:hAnsi="Traditional Arabic" w:cs="Traditional Arabic" w:hint="cs"/>
          <w:color w:val="000000" w:themeColor="text1"/>
          <w:sz w:val="24"/>
          <w:szCs w:val="24"/>
          <w:lang w:bidi="ar-EG"/>
        </w:rPr>
        <w:t>.</w:t>
      </w:r>
    </w:p>
    <w:p w14:paraId="25549351"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أظهرت نتائج الدراسة أن هناك تفاوتًا ملحوظًا في إدراك العاملين لثقافة سلامة المرضى بين الدول والمناطق الصحية، إلا أن هناك نقطتي قوة ظهرتا بشكل متكرر، خاصة في الدول الآسيوية</w:t>
      </w:r>
      <w:r w:rsidRPr="003849C3">
        <w:rPr>
          <w:rFonts w:ascii="Traditional Arabic" w:eastAsia="Calibri" w:hAnsi="Traditional Arabic" w:cs="Traditional Arabic" w:hint="cs"/>
          <w:color w:val="000000" w:themeColor="text1"/>
          <w:sz w:val="24"/>
          <w:szCs w:val="24"/>
          <w:lang w:bidi="ar-EG"/>
        </w:rPr>
        <w:t>: "</w:t>
      </w:r>
      <w:r w:rsidRPr="003849C3">
        <w:rPr>
          <w:rFonts w:ascii="Traditional Arabic" w:eastAsia="Calibri" w:hAnsi="Traditional Arabic" w:cs="Traditional Arabic" w:hint="cs"/>
          <w:color w:val="000000" w:themeColor="text1"/>
          <w:sz w:val="24"/>
          <w:szCs w:val="24"/>
          <w:rtl/>
        </w:rPr>
        <w:t>العمل الجماعي داخل الوحدات</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و</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التركيز على التعلم المستمر</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في المقابل، كشفت الدراسة عن تحديات مشتركة، أبرزها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البيئة العقابية التي تعيق الإبلاغ عن الأخطاء</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نقص الكوادر البشرية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بالإضافة إلى ضعف التواصل بين الفرق الصحية. كما تبين أن الممرضين يميلون إلى تقييم ثقافة السلامة بشكل أقل إيجابية مقارنةً بالعاملين المختلطين</w:t>
      </w:r>
      <w:r w:rsidRPr="003849C3">
        <w:rPr>
          <w:rFonts w:ascii="Traditional Arabic" w:eastAsia="Calibri" w:hAnsi="Traditional Arabic" w:cs="Traditional Arabic" w:hint="cs"/>
          <w:color w:val="000000" w:themeColor="text1"/>
          <w:sz w:val="24"/>
          <w:szCs w:val="24"/>
          <w:lang w:bidi="ar-EG"/>
        </w:rPr>
        <w:t>.</w:t>
      </w:r>
    </w:p>
    <w:p w14:paraId="38A45C9F"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 xml:space="preserve">وأوصت الدراسة بضرورة تبني نهج شامل لتعزيز ثقافة سلامة المرضى عالميًا، يشمل بناء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ثقافة عادلة</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تشجع على الإبلاغ عن الأخطاء دون خوف، ومعالجة نقص الموارد البشرية، وتعزيز التواصل المفتوح بين جميع العاملين في القطاع الصحي. كما شددت على أهمية تصميم تدخلات مخصصة حسب السياق الإقليمي، لضمان ملاءمة السياسات والممارسات مع الواقع المحلي، وتحقيق بيئة صحية أكثر أمانًا ودعمًا للمرضى</w:t>
      </w:r>
      <w:r w:rsidRPr="003849C3">
        <w:rPr>
          <w:rFonts w:ascii="Traditional Arabic" w:eastAsia="Calibri" w:hAnsi="Traditional Arabic" w:cs="Traditional Arabic" w:hint="cs"/>
          <w:color w:val="000000" w:themeColor="text1"/>
          <w:sz w:val="24"/>
          <w:szCs w:val="24"/>
          <w:lang w:bidi="ar-EG"/>
        </w:rPr>
        <w:t>.</w:t>
      </w:r>
    </w:p>
    <w:p w14:paraId="68DB4959" w14:textId="77777777" w:rsidR="00294D20" w:rsidRDefault="00294D20" w:rsidP="00EB5DC9">
      <w:pPr>
        <w:bidi/>
        <w:spacing w:after="200" w:line="240" w:lineRule="auto"/>
        <w:rPr>
          <w:rFonts w:ascii="Traditional Arabic" w:eastAsia="Calibri" w:hAnsi="Traditional Arabic" w:cs="Traditional Arabic"/>
          <w:b/>
          <w:bCs/>
          <w:color w:val="000000" w:themeColor="text1"/>
          <w:sz w:val="24"/>
          <w:szCs w:val="24"/>
          <w:lang w:bidi="ar-EG"/>
        </w:rPr>
      </w:pPr>
    </w:p>
    <w:p w14:paraId="733A883B" w14:textId="44721D4F" w:rsidR="004743BB" w:rsidRPr="000E6E9F" w:rsidRDefault="0016365B" w:rsidP="00294D20">
      <w:pPr>
        <w:bidi/>
        <w:spacing w:after="200" w:line="240" w:lineRule="auto"/>
        <w:jc w:val="center"/>
        <w:rPr>
          <w:rFonts w:ascii="Traditional Arabic" w:eastAsia="Calibri" w:hAnsi="Traditional Arabic" w:cs="Traditional Arabic"/>
          <w:b/>
          <w:bCs/>
          <w:color w:val="000000" w:themeColor="text1"/>
          <w:sz w:val="24"/>
          <w:szCs w:val="24"/>
          <w:rtl/>
          <w:lang w:bidi="ar-EG"/>
        </w:rPr>
      </w:pPr>
      <w:r w:rsidRPr="000E6E9F">
        <w:rPr>
          <w:rFonts w:ascii="Traditional Arabic" w:eastAsia="Calibri" w:hAnsi="Traditional Arabic" w:cs="Traditional Arabic" w:hint="cs"/>
          <w:b/>
          <w:bCs/>
          <w:color w:val="000000" w:themeColor="text1"/>
          <w:sz w:val="24"/>
          <w:szCs w:val="24"/>
          <w:rtl/>
          <w:lang w:bidi="ar-EG"/>
        </w:rPr>
        <w:lastRenderedPageBreak/>
        <w:t>جدول ( 2 ) ملخص الدراسات المرجعية.</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984"/>
        <w:gridCol w:w="2069"/>
        <w:gridCol w:w="2197"/>
        <w:gridCol w:w="2040"/>
      </w:tblGrid>
      <w:tr w:rsidR="008776B5" w:rsidRPr="00294D20" w14:paraId="1EFB397E" w14:textId="77777777" w:rsidTr="00294D20">
        <w:trPr>
          <w:tblCellSpacing w:w="20" w:type="dxa"/>
        </w:trPr>
        <w:tc>
          <w:tcPr>
            <w:tcW w:w="4952" w:type="pct"/>
            <w:gridSpan w:val="4"/>
            <w:tcBorders>
              <w:top w:val="outset" w:sz="6" w:space="0" w:color="000000" w:themeColor="text1"/>
            </w:tcBorders>
            <w:shd w:val="clear" w:color="auto" w:fill="E5DFEC" w:themeFill="accent4" w:themeFillTint="33"/>
          </w:tcPr>
          <w:p w14:paraId="19FD2182" w14:textId="0B73EB9D" w:rsidR="008776B5" w:rsidRPr="00294D20" w:rsidRDefault="008776B5" w:rsidP="000D4A7D">
            <w:pPr>
              <w:bidi/>
              <w:spacing w:before="120" w:after="120" w:line="240" w:lineRule="auto"/>
              <w:jc w:val="center"/>
              <w:rPr>
                <w:rFonts w:ascii="Traditional Arabic" w:hAnsi="Traditional Arabic" w:cs="Traditional Arabic"/>
                <w:b/>
                <w:bCs/>
                <w:spacing w:val="-6"/>
                <w:sz w:val="24"/>
                <w:szCs w:val="24"/>
                <w:rtl/>
              </w:rPr>
            </w:pPr>
            <w:bookmarkStart w:id="2" w:name="_Hlk208973695"/>
            <w:r w:rsidRPr="00294D20">
              <w:rPr>
                <w:rFonts w:ascii="Traditional Arabic" w:hAnsi="Traditional Arabic" w:cs="Traditional Arabic" w:hint="cs"/>
                <w:b/>
                <w:bCs/>
                <w:spacing w:val="-6"/>
                <w:sz w:val="24"/>
                <w:szCs w:val="24"/>
                <w:rtl/>
                <w:lang w:bidi="ar-EG"/>
              </w:rPr>
              <w:t xml:space="preserve">ملخص الدراسات المرجعية </w:t>
            </w:r>
          </w:p>
        </w:tc>
      </w:tr>
      <w:tr w:rsidR="008776B5" w:rsidRPr="00294D20" w14:paraId="71D3B181" w14:textId="77777777" w:rsidTr="00294D20">
        <w:trPr>
          <w:tblCellSpacing w:w="20" w:type="dxa"/>
        </w:trPr>
        <w:tc>
          <w:tcPr>
            <w:tcW w:w="1178" w:type="pct"/>
            <w:shd w:val="clear" w:color="auto" w:fill="EAF1DD" w:themeFill="accent3" w:themeFillTint="33"/>
          </w:tcPr>
          <w:p w14:paraId="26D95245"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الدراسة</w:t>
            </w:r>
          </w:p>
        </w:tc>
        <w:tc>
          <w:tcPr>
            <w:tcW w:w="1242" w:type="pct"/>
            <w:shd w:val="clear" w:color="auto" w:fill="EAF1DD" w:themeFill="accent3" w:themeFillTint="33"/>
          </w:tcPr>
          <w:p w14:paraId="7A35DD15"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الهدف</w:t>
            </w:r>
          </w:p>
        </w:tc>
        <w:tc>
          <w:tcPr>
            <w:tcW w:w="1320" w:type="pct"/>
            <w:shd w:val="clear" w:color="auto" w:fill="EAF1DD" w:themeFill="accent3" w:themeFillTint="33"/>
          </w:tcPr>
          <w:p w14:paraId="7F6F5B6C"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النتيجة</w:t>
            </w:r>
          </w:p>
        </w:tc>
        <w:tc>
          <w:tcPr>
            <w:tcW w:w="1139" w:type="pct"/>
            <w:shd w:val="clear" w:color="auto" w:fill="EAF1DD" w:themeFill="accent3" w:themeFillTint="33"/>
          </w:tcPr>
          <w:p w14:paraId="6E13348B" w14:textId="77777777"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الفرق بينها وبين دراستي</w:t>
            </w:r>
          </w:p>
        </w:tc>
      </w:tr>
      <w:tr w:rsidR="008776B5" w:rsidRPr="00294D20" w14:paraId="1A453704" w14:textId="77777777" w:rsidTr="00294D20">
        <w:trPr>
          <w:tblCellSpacing w:w="20" w:type="dxa"/>
        </w:trPr>
        <w:tc>
          <w:tcPr>
            <w:tcW w:w="1178" w:type="pct"/>
          </w:tcPr>
          <w:p w14:paraId="614D8930" w14:textId="6981420A" w:rsidR="008776B5" w:rsidRPr="00294D20" w:rsidRDefault="00213216" w:rsidP="005A111C">
            <w:pPr>
              <w:bidi/>
              <w:spacing w:after="200" w:line="240" w:lineRule="auto"/>
              <w:jc w:val="center"/>
              <w:rPr>
                <w:rFonts w:ascii="Traditional Arabic" w:eastAsia="Calibri" w:hAnsi="Traditional Arabic" w:cs="Traditional Arabic"/>
                <w:b/>
                <w:bCs/>
                <w:color w:val="FF0000"/>
                <w:sz w:val="24"/>
                <w:szCs w:val="24"/>
                <w:rtl/>
                <w:lang w:bidi="ar-EG"/>
              </w:rPr>
            </w:pPr>
            <w:r w:rsidRPr="00294D20">
              <w:rPr>
                <w:rFonts w:ascii="Traditional Arabic" w:eastAsia="Calibri" w:hAnsi="Traditional Arabic" w:cs="Traditional Arabic" w:hint="cs"/>
                <w:b/>
                <w:bCs/>
                <w:sz w:val="24"/>
                <w:szCs w:val="24"/>
                <w:rtl/>
                <w:lang w:bidi="ar-EG"/>
              </w:rPr>
              <w:t>الدراسة الأولى: دراسة فاتن خليل 2018</w:t>
            </w:r>
          </w:p>
        </w:tc>
        <w:tc>
          <w:tcPr>
            <w:tcW w:w="1242" w:type="pct"/>
          </w:tcPr>
          <w:p w14:paraId="7694E2DB" w14:textId="10946DC4" w:rsidR="008776B5" w:rsidRPr="00294D20" w:rsidRDefault="0016365B" w:rsidP="005A111C">
            <w:pPr>
              <w:bidi/>
              <w:spacing w:line="278" w:lineRule="auto"/>
              <w:jc w:val="center"/>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تقييم جودة الخدمات الصحية في مراكز طب الأسرة ببغداد ومدى توافقها مع المعايير العالمية</w:t>
            </w:r>
            <w:r w:rsidRPr="00294D20">
              <w:rPr>
                <w:rFonts w:ascii="Traditional Arabic" w:hAnsi="Traditional Arabic" w:cs="Traditional Arabic" w:hint="cs"/>
                <w:b/>
                <w:bCs/>
                <w:sz w:val="24"/>
                <w:szCs w:val="24"/>
              </w:rPr>
              <w:t>.</w:t>
            </w:r>
          </w:p>
        </w:tc>
        <w:tc>
          <w:tcPr>
            <w:tcW w:w="1320" w:type="pct"/>
          </w:tcPr>
          <w:p w14:paraId="48CFE564" w14:textId="420290A1" w:rsidR="008776B5" w:rsidRPr="00294D20" w:rsidRDefault="0016365B"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كشفت عن وجود فجوة واضحة بين الواقع الفعلي والمعايير الدولية، خاصة في التوثيق الطبي وتدريب الكوادر</w:t>
            </w:r>
            <w:r w:rsidRPr="00294D20">
              <w:rPr>
                <w:rFonts w:ascii="Traditional Arabic" w:hAnsi="Traditional Arabic" w:cs="Traditional Arabic" w:hint="cs"/>
                <w:b/>
                <w:bCs/>
              </w:rPr>
              <w:t>.</w:t>
            </w:r>
          </w:p>
        </w:tc>
        <w:tc>
          <w:tcPr>
            <w:tcW w:w="1139" w:type="pct"/>
          </w:tcPr>
          <w:p w14:paraId="6AA014A7" w14:textId="7B385E84" w:rsidR="008776B5" w:rsidRPr="00294D20" w:rsidRDefault="00146D5F" w:rsidP="005A111C">
            <w:pPr>
              <w:bidi/>
              <w:spacing w:line="278" w:lineRule="auto"/>
              <w:jc w:val="center"/>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ركزت على جودة الخدمة بشكل عام دون تناول إدارة المخاطر أو القيادة التحويلية، وفي مراكز أولية وليس مرافق حكومية شاملة</w:t>
            </w:r>
            <w:r w:rsidRPr="00294D20">
              <w:rPr>
                <w:rFonts w:ascii="Traditional Arabic" w:hAnsi="Traditional Arabic" w:cs="Traditional Arabic" w:hint="cs"/>
                <w:b/>
                <w:bCs/>
                <w:sz w:val="24"/>
                <w:szCs w:val="24"/>
                <w:lang w:bidi="ar-EG"/>
              </w:rPr>
              <w:t>.</w:t>
            </w:r>
          </w:p>
        </w:tc>
      </w:tr>
      <w:tr w:rsidR="008776B5" w:rsidRPr="00294D20" w14:paraId="2334C740" w14:textId="77777777" w:rsidTr="00294D20">
        <w:trPr>
          <w:tblCellSpacing w:w="20" w:type="dxa"/>
        </w:trPr>
        <w:tc>
          <w:tcPr>
            <w:tcW w:w="1178" w:type="pct"/>
          </w:tcPr>
          <w:p w14:paraId="5A8E3E6F" w14:textId="1DFE07DC" w:rsidR="00213216" w:rsidRPr="00294D20" w:rsidRDefault="00213216" w:rsidP="005A111C">
            <w:pPr>
              <w:bidi/>
              <w:spacing w:after="200" w:line="240" w:lineRule="auto"/>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الثانية: دراسة حسين 2019</w:t>
            </w:r>
          </w:p>
          <w:p w14:paraId="6C5C60F4" w14:textId="15939A2C"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p>
        </w:tc>
        <w:tc>
          <w:tcPr>
            <w:tcW w:w="1242" w:type="pct"/>
          </w:tcPr>
          <w:p w14:paraId="2F005BF0" w14:textId="65E07763" w:rsidR="008776B5" w:rsidRPr="00294D20" w:rsidRDefault="0016365B"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تحليل أثر القيادة التحويلية على تحسين الأداء المؤسسي في المستشفيات الحكومية ضمن إطار رؤية مصر 2030</w:t>
            </w:r>
            <w:r w:rsidRPr="00294D20">
              <w:rPr>
                <w:rFonts w:ascii="Traditional Arabic" w:hAnsi="Traditional Arabic" w:cs="Traditional Arabic" w:hint="cs"/>
                <w:b/>
                <w:bCs/>
              </w:rPr>
              <w:t>.</w:t>
            </w:r>
          </w:p>
        </w:tc>
        <w:tc>
          <w:tcPr>
            <w:tcW w:w="1320" w:type="pct"/>
          </w:tcPr>
          <w:p w14:paraId="3BD3E439" w14:textId="0C523259" w:rsidR="008776B5" w:rsidRPr="00294D20" w:rsidRDefault="00B712BF"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أظهرت أن القيادة التحويلية تسهم بشكل مباشر في رفع كفاءة الأداء وجودة الخدمة الصحية، خاصة من خلال التمكين والاستثارة الفكرية</w:t>
            </w:r>
            <w:r w:rsidRPr="00294D20">
              <w:rPr>
                <w:rFonts w:ascii="Traditional Arabic" w:hAnsi="Traditional Arabic" w:cs="Traditional Arabic" w:hint="cs"/>
                <w:b/>
                <w:bCs/>
              </w:rPr>
              <w:t>.</w:t>
            </w:r>
          </w:p>
        </w:tc>
        <w:tc>
          <w:tcPr>
            <w:tcW w:w="1139" w:type="pct"/>
          </w:tcPr>
          <w:p w14:paraId="4AE736F9" w14:textId="594CDDC1" w:rsidR="008776B5" w:rsidRPr="00294D20" w:rsidRDefault="00146D5F" w:rsidP="005A111C">
            <w:pPr>
              <w:bidi/>
              <w:spacing w:line="278" w:lineRule="auto"/>
              <w:jc w:val="center"/>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 القيادة التحويلية بشكل مباشر دون ربطها بإدارة المخاطر أو سلامة المرضى، وركز على الأداء المؤسسي فقط</w:t>
            </w:r>
            <w:r w:rsidRPr="00294D20">
              <w:rPr>
                <w:rFonts w:ascii="Traditional Arabic" w:hAnsi="Traditional Arabic" w:cs="Traditional Arabic" w:hint="cs"/>
                <w:b/>
                <w:bCs/>
                <w:sz w:val="24"/>
                <w:szCs w:val="24"/>
                <w:lang w:bidi="ar-EG"/>
              </w:rPr>
              <w:t>.</w:t>
            </w:r>
          </w:p>
        </w:tc>
      </w:tr>
      <w:tr w:rsidR="008776B5" w:rsidRPr="00294D20" w14:paraId="32618AAD" w14:textId="77777777" w:rsidTr="00294D20">
        <w:trPr>
          <w:tblCellSpacing w:w="20" w:type="dxa"/>
        </w:trPr>
        <w:tc>
          <w:tcPr>
            <w:tcW w:w="1178" w:type="pct"/>
          </w:tcPr>
          <w:p w14:paraId="1919E5D5" w14:textId="1192E909" w:rsidR="00213216" w:rsidRPr="00294D20" w:rsidRDefault="00213216" w:rsidP="00213216">
            <w:pPr>
              <w:bidi/>
              <w:spacing w:after="200" w:line="240" w:lineRule="auto"/>
              <w:contextualSpacing/>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الثالثة: دراسة الغامدي وعثمان 2023</w:t>
            </w:r>
          </w:p>
          <w:p w14:paraId="3ACC9F18" w14:textId="161AB18B"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lang w:bidi="ar-EG"/>
              </w:rPr>
            </w:pPr>
          </w:p>
        </w:tc>
        <w:tc>
          <w:tcPr>
            <w:tcW w:w="1242" w:type="pct"/>
          </w:tcPr>
          <w:p w14:paraId="57002213" w14:textId="514BD6B9" w:rsidR="008776B5" w:rsidRPr="00294D20" w:rsidRDefault="00B712BF" w:rsidP="000D4A7D">
            <w:pPr>
              <w:bidi/>
              <w:spacing w:before="120" w:after="120" w:line="240" w:lineRule="auto"/>
              <w:rPr>
                <w:rFonts w:ascii="Traditional Arabic" w:hAnsi="Traditional Arabic" w:cs="Traditional Arabic"/>
                <w:b/>
                <w:bCs/>
                <w:spacing w:val="-6"/>
                <w:sz w:val="24"/>
                <w:szCs w:val="24"/>
                <w:rtl/>
                <w:lang w:bidi="ar-EG"/>
              </w:rPr>
            </w:pPr>
            <w:r w:rsidRPr="00294D20">
              <w:rPr>
                <w:rFonts w:ascii="Traditional Arabic" w:eastAsia="Times New Roman" w:hAnsi="Traditional Arabic" w:cs="Traditional Arabic" w:hint="cs"/>
                <w:b/>
                <w:bCs/>
                <w:sz w:val="24"/>
                <w:szCs w:val="24"/>
                <w:rtl/>
              </w:rPr>
              <w:t>تحليل أثر القيادة التحويلية بأبعادها المختلفة على إدارة الأزمات الصحية في مستشفى الملك عبدالله ببيشة</w:t>
            </w:r>
            <w:r w:rsidRPr="00294D20">
              <w:rPr>
                <w:rFonts w:ascii="Traditional Arabic" w:eastAsia="Times New Roman" w:hAnsi="Traditional Arabic" w:cs="Traditional Arabic" w:hint="cs"/>
                <w:b/>
                <w:bCs/>
                <w:sz w:val="24"/>
                <w:szCs w:val="24"/>
              </w:rPr>
              <w:t>.</w:t>
            </w:r>
          </w:p>
        </w:tc>
        <w:tc>
          <w:tcPr>
            <w:tcW w:w="1320" w:type="pct"/>
          </w:tcPr>
          <w:p w14:paraId="3B28223F" w14:textId="777E2448" w:rsidR="008776B5" w:rsidRPr="00294D20" w:rsidRDefault="00B712BF" w:rsidP="000D4A7D">
            <w:pPr>
              <w:bidi/>
              <w:spacing w:before="120" w:after="120" w:line="240" w:lineRule="auto"/>
              <w:rPr>
                <w:rFonts w:ascii="Traditional Arabic" w:hAnsi="Traditional Arabic" w:cs="Traditional Arabic"/>
                <w:b/>
                <w:bCs/>
                <w:spacing w:val="-6"/>
                <w:sz w:val="24"/>
                <w:szCs w:val="24"/>
                <w:rtl/>
                <w:lang w:bidi="ar-EG"/>
              </w:rPr>
            </w:pPr>
            <w:r w:rsidRPr="00294D20">
              <w:rPr>
                <w:rFonts w:ascii="Traditional Arabic" w:eastAsia="Times New Roman" w:hAnsi="Traditional Arabic" w:cs="Traditional Arabic" w:hint="cs"/>
                <w:b/>
                <w:bCs/>
                <w:sz w:val="24"/>
                <w:szCs w:val="24"/>
                <w:rtl/>
              </w:rPr>
              <w:t>تحليل أثر القيادة التحويلية بأبعادها المختلفة على إدارة الأزمات الصحية في مستشفى الملك عبدالله ببيشة</w:t>
            </w:r>
            <w:r w:rsidRPr="00294D20">
              <w:rPr>
                <w:rFonts w:ascii="Traditional Arabic" w:eastAsia="Times New Roman" w:hAnsi="Traditional Arabic" w:cs="Traditional Arabic" w:hint="cs"/>
                <w:b/>
                <w:bCs/>
                <w:sz w:val="24"/>
                <w:szCs w:val="24"/>
              </w:rPr>
              <w:t>.</w:t>
            </w:r>
          </w:p>
        </w:tc>
        <w:tc>
          <w:tcPr>
            <w:tcW w:w="1139" w:type="pct"/>
          </w:tcPr>
          <w:p w14:paraId="0DB6A195" w14:textId="40E300DA" w:rsidR="008776B5" w:rsidRPr="00294D20" w:rsidRDefault="00146D5F" w:rsidP="00146D5F">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ركزت على القيادة التحويلية في سياق الأزمات، وليس كعامل وسيط بين إدارة المخاطر وسلامة المرضى</w:t>
            </w:r>
            <w:r w:rsidRPr="00294D20">
              <w:rPr>
                <w:rFonts w:ascii="Traditional Arabic" w:hAnsi="Traditional Arabic" w:cs="Traditional Arabic" w:hint="cs"/>
                <w:b/>
                <w:bCs/>
                <w:sz w:val="24"/>
                <w:szCs w:val="24"/>
                <w:lang w:bidi="ar-EG"/>
              </w:rPr>
              <w:t>.</w:t>
            </w:r>
          </w:p>
        </w:tc>
      </w:tr>
      <w:tr w:rsidR="008776B5" w:rsidRPr="00294D20" w14:paraId="03BAB7ED" w14:textId="77777777" w:rsidTr="00294D20">
        <w:trPr>
          <w:tblCellSpacing w:w="20" w:type="dxa"/>
        </w:trPr>
        <w:tc>
          <w:tcPr>
            <w:tcW w:w="1178" w:type="pct"/>
          </w:tcPr>
          <w:p w14:paraId="4A18A702" w14:textId="2ECBC97A" w:rsidR="00213216" w:rsidRPr="00294D20" w:rsidRDefault="00213216" w:rsidP="00213216">
            <w:pPr>
              <w:bidi/>
              <w:spacing w:after="200" w:line="360" w:lineRule="auto"/>
              <w:contextualSpacing/>
              <w:jc w:val="center"/>
              <w:rPr>
                <w:rFonts w:ascii="Traditional Arabic" w:eastAsia="Calibri" w:hAnsi="Traditional Arabic" w:cs="Traditional Arabic"/>
                <w:b/>
                <w:bCs/>
                <w:sz w:val="24"/>
                <w:szCs w:val="24"/>
                <w:rtl/>
              </w:rPr>
            </w:pPr>
            <w:r w:rsidRPr="00294D20">
              <w:rPr>
                <w:rFonts w:ascii="Traditional Arabic" w:eastAsia="Calibri" w:hAnsi="Traditional Arabic" w:cs="Traditional Arabic" w:hint="cs"/>
                <w:b/>
                <w:bCs/>
                <w:sz w:val="24"/>
                <w:szCs w:val="24"/>
                <w:rtl/>
                <w:lang w:bidi="ar-EG"/>
              </w:rPr>
              <w:t>الدراسة الرابعة: دراسة عفيفي وآلاء 2024</w:t>
            </w:r>
          </w:p>
          <w:p w14:paraId="6311D581" w14:textId="1D5E6A17"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rPr>
            </w:pPr>
          </w:p>
        </w:tc>
        <w:tc>
          <w:tcPr>
            <w:tcW w:w="1242" w:type="pct"/>
          </w:tcPr>
          <w:p w14:paraId="3E389AB8" w14:textId="7EA9B4B6"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t>تقييم أثر تطبيق نظم إدارة المخاطر على جودة الرعاية الصحية وسلامة المرضى في مستشفيات مدينة جدة</w:t>
            </w:r>
            <w:r w:rsidRPr="00294D20">
              <w:rPr>
                <w:rFonts w:ascii="Traditional Arabic" w:hAnsi="Traditional Arabic" w:cs="Traditional Arabic" w:hint="cs"/>
                <w:b/>
                <w:bCs/>
              </w:rPr>
              <w:t>.</w:t>
            </w:r>
          </w:p>
        </w:tc>
        <w:tc>
          <w:tcPr>
            <w:tcW w:w="1320" w:type="pct"/>
          </w:tcPr>
          <w:p w14:paraId="1C944B0E" w14:textId="75CCA048"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تطبيق إدارة المخاطر أدى إلى تحسن ملحوظ في جودة الرعاية وسلامة المرضى، مع تحديات تتعلق بنقص التدريب ومقاومة التغيير</w:t>
            </w:r>
            <w:r w:rsidRPr="00294D20">
              <w:rPr>
                <w:rFonts w:ascii="Traditional Arabic" w:hAnsi="Traditional Arabic" w:cs="Traditional Arabic" w:hint="cs"/>
                <w:b/>
                <w:bCs/>
              </w:rPr>
              <w:t>.</w:t>
            </w:r>
          </w:p>
        </w:tc>
        <w:tc>
          <w:tcPr>
            <w:tcW w:w="1139" w:type="pct"/>
          </w:tcPr>
          <w:p w14:paraId="00101322" w14:textId="2499D96A"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تناولت إدارة المخاطر وتأثيرها على الجودة وسلامة المرضى، لكنها لم تدمج القيادة التحويلية كعامل وسيط في النموذج التحليلي</w:t>
            </w:r>
            <w:r w:rsidRPr="00294D20">
              <w:rPr>
                <w:rFonts w:ascii="Traditional Arabic" w:hAnsi="Traditional Arabic" w:cs="Traditional Arabic" w:hint="cs"/>
                <w:b/>
                <w:bCs/>
                <w:sz w:val="24"/>
                <w:szCs w:val="24"/>
                <w:lang w:bidi="ar-EG"/>
              </w:rPr>
              <w:t>.</w:t>
            </w:r>
          </w:p>
        </w:tc>
      </w:tr>
      <w:tr w:rsidR="008776B5" w:rsidRPr="00294D20" w14:paraId="654E5755" w14:textId="77777777" w:rsidTr="00294D20">
        <w:trPr>
          <w:tblCellSpacing w:w="20" w:type="dxa"/>
        </w:trPr>
        <w:tc>
          <w:tcPr>
            <w:tcW w:w="1178" w:type="pct"/>
          </w:tcPr>
          <w:p w14:paraId="1CD0E13A" w14:textId="77777777" w:rsidR="00213216" w:rsidRPr="00294D20" w:rsidRDefault="00213216" w:rsidP="00213216">
            <w:pPr>
              <w:bidi/>
              <w:spacing w:after="200" w:line="240" w:lineRule="auto"/>
              <w:contextualSpacing/>
              <w:jc w:val="both"/>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الخامسة:</w:t>
            </w:r>
          </w:p>
          <w:p w14:paraId="145D3A5A" w14:textId="57943EB9" w:rsidR="00213216" w:rsidRPr="00294D20" w:rsidRDefault="00213216" w:rsidP="00213216">
            <w:pPr>
              <w:spacing w:after="200" w:line="240" w:lineRule="auto"/>
              <w:jc w:val="center"/>
              <w:rPr>
                <w:rFonts w:ascii="Traditional Arabic" w:eastAsia="Calibri" w:hAnsi="Traditional Arabic" w:cs="Traditional Arabic"/>
                <w:b/>
                <w:bCs/>
                <w:sz w:val="24"/>
                <w:szCs w:val="24"/>
                <w:lang w:bidi="ar-EG"/>
              </w:rPr>
            </w:pPr>
            <w:r w:rsidRPr="00294D20">
              <w:rPr>
                <w:rFonts w:ascii="Traditional Arabic" w:eastAsia="Calibri" w:hAnsi="Traditional Arabic" w:cs="Traditional Arabic" w:hint="cs"/>
                <w:b/>
                <w:bCs/>
                <w:sz w:val="24"/>
                <w:szCs w:val="24"/>
                <w:lang w:bidi="ar-EG"/>
              </w:rPr>
              <w:t>Purwanto et al., 2020</w:t>
            </w:r>
          </w:p>
          <w:p w14:paraId="2D2EB7E5" w14:textId="1E32C589" w:rsidR="008776B5" w:rsidRPr="00294D20" w:rsidRDefault="008776B5" w:rsidP="000D4A7D">
            <w:pPr>
              <w:bidi/>
              <w:spacing w:before="120" w:after="120" w:line="240" w:lineRule="auto"/>
              <w:jc w:val="center"/>
              <w:rPr>
                <w:rFonts w:ascii="Traditional Arabic" w:hAnsi="Traditional Arabic" w:cs="Traditional Arabic"/>
                <w:b/>
                <w:bCs/>
                <w:sz w:val="24"/>
                <w:szCs w:val="24"/>
                <w:rtl/>
              </w:rPr>
            </w:pPr>
          </w:p>
        </w:tc>
        <w:tc>
          <w:tcPr>
            <w:tcW w:w="1242" w:type="pct"/>
          </w:tcPr>
          <w:p w14:paraId="7451A78B" w14:textId="254CC328"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lastRenderedPageBreak/>
              <w:t xml:space="preserve">التعرف على أثر أسلوبي القيادة التحويلية والتبادلية على أداء العاملين في المركز </w:t>
            </w:r>
            <w:r w:rsidRPr="00294D20">
              <w:rPr>
                <w:rFonts w:ascii="Traditional Arabic" w:hAnsi="Traditional Arabic" w:cs="Traditional Arabic" w:hint="cs"/>
                <w:b/>
                <w:bCs/>
                <w:rtl/>
              </w:rPr>
              <w:lastRenderedPageBreak/>
              <w:t>الصحي بمدينة باتي بجاوا الوسطى</w:t>
            </w:r>
            <w:r w:rsidRPr="00294D20">
              <w:rPr>
                <w:rFonts w:ascii="Traditional Arabic" w:hAnsi="Traditional Arabic" w:cs="Traditional Arabic" w:hint="cs"/>
                <w:b/>
                <w:bCs/>
              </w:rPr>
              <w:t>.</w:t>
            </w:r>
          </w:p>
        </w:tc>
        <w:tc>
          <w:tcPr>
            <w:tcW w:w="1320" w:type="pct"/>
          </w:tcPr>
          <w:p w14:paraId="7B9587F0" w14:textId="2E4386D4"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lastRenderedPageBreak/>
              <w:t xml:space="preserve">أظهرت أن كلا النمطين القياديين لهما تأثير إيجابي وكبير على أداء الموظفين، خاصة عند تطبيقهما بأسلوب مرن </w:t>
            </w:r>
            <w:r w:rsidRPr="00294D20">
              <w:rPr>
                <w:rFonts w:ascii="Traditional Arabic" w:hAnsi="Traditional Arabic" w:cs="Traditional Arabic" w:hint="cs"/>
                <w:b/>
                <w:bCs/>
                <w:rtl/>
              </w:rPr>
              <w:lastRenderedPageBreak/>
              <w:t>يشمل المشاركة والتفويض والاستشارات</w:t>
            </w:r>
            <w:r w:rsidRPr="00294D20">
              <w:rPr>
                <w:rFonts w:ascii="Traditional Arabic" w:hAnsi="Traditional Arabic" w:cs="Traditional Arabic" w:hint="cs"/>
                <w:b/>
                <w:bCs/>
              </w:rPr>
              <w:t>.</w:t>
            </w:r>
          </w:p>
        </w:tc>
        <w:tc>
          <w:tcPr>
            <w:tcW w:w="1139" w:type="pct"/>
          </w:tcPr>
          <w:p w14:paraId="328CF98D" w14:textId="13CA9D2B"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lastRenderedPageBreak/>
              <w:t xml:space="preserve">ركزت على القيادة التحويلية والتبادلية وتأثيرهما على الأداء، دون </w:t>
            </w:r>
            <w:r w:rsidRPr="00294D20">
              <w:rPr>
                <w:rFonts w:ascii="Traditional Arabic" w:hAnsi="Traditional Arabic" w:cs="Traditional Arabic" w:hint="cs"/>
                <w:b/>
                <w:bCs/>
                <w:sz w:val="24"/>
                <w:szCs w:val="24"/>
                <w:rtl/>
              </w:rPr>
              <w:lastRenderedPageBreak/>
              <w:t>تناول إدارة المخاطر أو سلامة المرضى كمتغيرات</w:t>
            </w:r>
            <w:r w:rsidRPr="00294D20">
              <w:rPr>
                <w:rFonts w:ascii="Traditional Arabic" w:hAnsi="Traditional Arabic" w:cs="Traditional Arabic" w:hint="cs"/>
                <w:b/>
                <w:bCs/>
                <w:sz w:val="24"/>
                <w:szCs w:val="24"/>
                <w:lang w:bidi="ar-EG"/>
              </w:rPr>
              <w:t>.</w:t>
            </w:r>
          </w:p>
        </w:tc>
      </w:tr>
      <w:tr w:rsidR="008776B5" w:rsidRPr="00294D20" w14:paraId="285334C5" w14:textId="77777777" w:rsidTr="00294D20">
        <w:trPr>
          <w:tblCellSpacing w:w="20" w:type="dxa"/>
        </w:trPr>
        <w:tc>
          <w:tcPr>
            <w:tcW w:w="1178" w:type="pct"/>
          </w:tcPr>
          <w:p w14:paraId="482CF4DD" w14:textId="77777777" w:rsidR="0016365B" w:rsidRPr="00294D20" w:rsidRDefault="0016365B" w:rsidP="0016365B">
            <w:pPr>
              <w:bidi/>
              <w:spacing w:after="200" w:line="240" w:lineRule="auto"/>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lastRenderedPageBreak/>
              <w:t>الدراسة السادسة:</w:t>
            </w:r>
          </w:p>
          <w:p w14:paraId="7FBA9215" w14:textId="33831AA1" w:rsidR="0016365B" w:rsidRPr="00294D20" w:rsidRDefault="0016365B" w:rsidP="0016365B">
            <w:pPr>
              <w:bidi/>
              <w:spacing w:after="200" w:line="240" w:lineRule="auto"/>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lang w:bidi="ar-EG"/>
              </w:rPr>
              <w:t>Badriyah Putri Jannah (2024)</w:t>
            </w:r>
          </w:p>
          <w:p w14:paraId="0979522A" w14:textId="2A3B8368" w:rsidR="008776B5" w:rsidRPr="00294D20" w:rsidRDefault="008776B5" w:rsidP="000D4A7D">
            <w:pPr>
              <w:bidi/>
              <w:spacing w:before="120" w:after="120" w:line="240" w:lineRule="auto"/>
              <w:jc w:val="both"/>
              <w:rPr>
                <w:rFonts w:ascii="Traditional Arabic" w:hAnsi="Traditional Arabic" w:cs="Traditional Arabic"/>
                <w:b/>
                <w:bCs/>
                <w:sz w:val="24"/>
                <w:szCs w:val="24"/>
                <w:rtl/>
                <w:lang w:bidi="ar-EG"/>
              </w:rPr>
            </w:pPr>
          </w:p>
        </w:tc>
        <w:tc>
          <w:tcPr>
            <w:tcW w:w="1242" w:type="pct"/>
          </w:tcPr>
          <w:p w14:paraId="0E51D985" w14:textId="55F525DF" w:rsidR="008776B5" w:rsidRPr="00294D20" w:rsidRDefault="006A70AA" w:rsidP="006A70AA">
            <w:pPr>
              <w:pStyle w:val="NormalWeb"/>
              <w:bidi/>
              <w:rPr>
                <w:rFonts w:ascii="Traditional Arabic" w:hAnsi="Traditional Arabic" w:cs="Traditional Arabic"/>
                <w:b/>
                <w:bCs/>
                <w:rtl/>
              </w:rPr>
            </w:pPr>
            <w:r w:rsidRPr="00294D20">
              <w:rPr>
                <w:rFonts w:ascii="Traditional Arabic" w:hAnsi="Traditional Arabic" w:cs="Traditional Arabic" w:hint="cs"/>
                <w:b/>
                <w:bCs/>
                <w:rtl/>
              </w:rPr>
              <w:t>تحليل أثر القيادة التحويلية على تطبيق سلامة المرضى في المستشفيات من خلال مراجعة الأدبيات المنشورة بين عامي 2015 و2023</w:t>
            </w:r>
            <w:r w:rsidRPr="00294D20">
              <w:rPr>
                <w:rFonts w:ascii="Traditional Arabic" w:hAnsi="Traditional Arabic" w:cs="Traditional Arabic" w:hint="cs"/>
                <w:b/>
                <w:bCs/>
              </w:rPr>
              <w:t>.</w:t>
            </w:r>
          </w:p>
        </w:tc>
        <w:tc>
          <w:tcPr>
            <w:tcW w:w="1320" w:type="pct"/>
          </w:tcPr>
          <w:p w14:paraId="751288FF" w14:textId="16230076" w:rsidR="008776B5" w:rsidRPr="00294D20" w:rsidRDefault="006A70AA" w:rsidP="006A70AA">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القيادة التحويلية تساهم بشكل فعّال في تحسين بيئة العمل وتعزيز ثقافة السلامة وتقليل الحوادث الطبية داخل المستشفيات</w:t>
            </w:r>
            <w:r w:rsidRPr="00294D20">
              <w:rPr>
                <w:rFonts w:ascii="Traditional Arabic" w:hAnsi="Traditional Arabic" w:cs="Traditional Arabic" w:hint="cs"/>
                <w:b/>
                <w:bCs/>
              </w:rPr>
              <w:t>.</w:t>
            </w:r>
          </w:p>
        </w:tc>
        <w:tc>
          <w:tcPr>
            <w:tcW w:w="1139" w:type="pct"/>
          </w:tcPr>
          <w:p w14:paraId="631E9BFD" w14:textId="2324458B"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تناولت القيادة التحويلية وتأثيرها على سلامة المرضى، لكنها لم تربط ذلك بإدارة المخاطر أو تستخدم نموذج وساطة تحليلي</w:t>
            </w:r>
            <w:r w:rsidRPr="00294D20">
              <w:rPr>
                <w:rFonts w:ascii="Traditional Arabic" w:hAnsi="Traditional Arabic" w:cs="Traditional Arabic" w:hint="cs"/>
                <w:b/>
                <w:bCs/>
                <w:sz w:val="24"/>
                <w:szCs w:val="24"/>
                <w:lang w:bidi="ar-EG"/>
              </w:rPr>
              <w:t>.</w:t>
            </w:r>
          </w:p>
        </w:tc>
      </w:tr>
      <w:tr w:rsidR="008776B5" w:rsidRPr="00294D20" w14:paraId="17E3F848" w14:textId="77777777" w:rsidTr="00294D20">
        <w:trPr>
          <w:tblCellSpacing w:w="20" w:type="dxa"/>
        </w:trPr>
        <w:tc>
          <w:tcPr>
            <w:tcW w:w="1178" w:type="pct"/>
          </w:tcPr>
          <w:p w14:paraId="77335F3C" w14:textId="77777777" w:rsidR="0016365B" w:rsidRPr="00294D20" w:rsidRDefault="0016365B" w:rsidP="0016365B">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294D20">
              <w:rPr>
                <w:rFonts w:ascii="Traditional Arabic" w:eastAsia="Calibri" w:hAnsi="Traditional Arabic" w:cs="Traditional Arabic" w:hint="cs"/>
                <w:b/>
                <w:bCs/>
                <w:color w:val="000000" w:themeColor="text1"/>
                <w:sz w:val="24"/>
                <w:szCs w:val="24"/>
                <w:rtl/>
                <w:lang w:bidi="ar-EG"/>
              </w:rPr>
              <w:t xml:space="preserve">الدراسة السابعة </w:t>
            </w:r>
            <w:r w:rsidRPr="00294D20">
              <w:rPr>
                <w:rFonts w:ascii="Traditional Arabic" w:eastAsia="Calibri" w:hAnsi="Traditional Arabic" w:cs="Traditional Arabic" w:hint="cs"/>
                <w:b/>
                <w:bCs/>
                <w:color w:val="000000" w:themeColor="text1"/>
                <w:sz w:val="24"/>
                <w:szCs w:val="24"/>
                <w:lang w:bidi="ar-EG"/>
              </w:rPr>
              <w:t xml:space="preserve">Stöcker </w:t>
            </w:r>
          </w:p>
          <w:p w14:paraId="1D7FCBC0" w14:textId="729E9577" w:rsidR="0016365B" w:rsidRPr="00294D20" w:rsidRDefault="0016365B" w:rsidP="0016365B">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294D20">
              <w:rPr>
                <w:rFonts w:ascii="Traditional Arabic" w:eastAsia="Calibri" w:hAnsi="Traditional Arabic" w:cs="Traditional Arabic" w:hint="cs"/>
                <w:b/>
                <w:bCs/>
                <w:color w:val="000000" w:themeColor="text1"/>
                <w:sz w:val="24"/>
                <w:szCs w:val="24"/>
                <w:rtl/>
                <w:lang w:bidi="ar-EG"/>
              </w:rPr>
              <w:t>وآخرون 2023</w:t>
            </w:r>
          </w:p>
          <w:p w14:paraId="1B1C26B6" w14:textId="431D2494" w:rsidR="0016365B" w:rsidRPr="00294D20" w:rsidRDefault="0016365B" w:rsidP="0016365B">
            <w:pPr>
              <w:bidi/>
              <w:spacing w:before="120" w:after="120" w:line="240" w:lineRule="auto"/>
              <w:jc w:val="center"/>
              <w:rPr>
                <w:rFonts w:ascii="Traditional Arabic" w:hAnsi="Traditional Arabic" w:cs="Traditional Arabic"/>
                <w:b/>
                <w:bCs/>
                <w:sz w:val="24"/>
                <w:szCs w:val="24"/>
                <w:rtl/>
              </w:rPr>
            </w:pPr>
          </w:p>
        </w:tc>
        <w:tc>
          <w:tcPr>
            <w:tcW w:w="1242" w:type="pct"/>
          </w:tcPr>
          <w:p w14:paraId="2205CFFD" w14:textId="5CC32FB8" w:rsidR="008776B5" w:rsidRPr="00294D20" w:rsidRDefault="006E2632" w:rsidP="006E2632">
            <w:pPr>
              <w:pStyle w:val="NormalWeb"/>
              <w:bidi/>
              <w:rPr>
                <w:rFonts w:ascii="Traditional Arabic" w:hAnsi="Traditional Arabic" w:cs="Traditional Arabic"/>
                <w:b/>
                <w:bCs/>
                <w:rtl/>
              </w:rPr>
            </w:pPr>
            <w:r w:rsidRPr="00294D20">
              <w:rPr>
                <w:rFonts w:ascii="Traditional Arabic" w:hAnsi="Traditional Arabic" w:cs="Traditional Arabic" w:hint="cs"/>
                <w:b/>
                <w:bCs/>
                <w:rtl/>
              </w:rPr>
              <w:t>تحليل تأثير القيادة التحويلية ورأس المال الاجتماعي على سلامة المرضى وجودة الرعاية الصحية في المستشفيات الألمانية من خلال نموذج بارسون الوظيفي</w:t>
            </w:r>
            <w:r w:rsidRPr="00294D20">
              <w:rPr>
                <w:rFonts w:ascii="Traditional Arabic" w:hAnsi="Traditional Arabic" w:cs="Traditional Arabic" w:hint="cs"/>
                <w:b/>
                <w:bCs/>
              </w:rPr>
              <w:t>.</w:t>
            </w:r>
          </w:p>
        </w:tc>
        <w:tc>
          <w:tcPr>
            <w:tcW w:w="1320" w:type="pct"/>
          </w:tcPr>
          <w:p w14:paraId="5408D568" w14:textId="5862795F" w:rsidR="008776B5" w:rsidRPr="00294D20" w:rsidRDefault="006E2632" w:rsidP="006E2632">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المستشفيات التي تجمع بين القيادة التحويلية والتكامل الاجتماعي تحقق مستويات أعلى من السلامة وجودة الرعاية، مقارنة بالمستشفيات ذات المستويات المنخفضة في هذين البعدين</w:t>
            </w:r>
            <w:r w:rsidRPr="00294D20">
              <w:rPr>
                <w:rFonts w:ascii="Traditional Arabic" w:hAnsi="Traditional Arabic" w:cs="Traditional Arabic" w:hint="cs"/>
                <w:b/>
                <w:bCs/>
              </w:rPr>
              <w:t>.</w:t>
            </w:r>
          </w:p>
        </w:tc>
        <w:tc>
          <w:tcPr>
            <w:tcW w:w="1139" w:type="pct"/>
          </w:tcPr>
          <w:p w14:paraId="71EFCEF8" w14:textId="46FCED91"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دمجت القيادة التحويلية مع رأس المال الاجتماعي، وليس إدارة المخاطر، وركزت على نموذج بارسون وليس نموذج وساطة</w:t>
            </w:r>
            <w:r w:rsidRPr="00294D20">
              <w:rPr>
                <w:rFonts w:ascii="Traditional Arabic" w:hAnsi="Traditional Arabic" w:cs="Traditional Arabic" w:hint="cs"/>
                <w:b/>
                <w:bCs/>
                <w:sz w:val="24"/>
                <w:szCs w:val="24"/>
                <w:lang w:bidi="ar-EG"/>
              </w:rPr>
              <w:t>.</w:t>
            </w:r>
          </w:p>
        </w:tc>
      </w:tr>
      <w:tr w:rsidR="008776B5" w:rsidRPr="00294D20" w14:paraId="28921460" w14:textId="77777777" w:rsidTr="00294D20">
        <w:trPr>
          <w:tblCellSpacing w:w="20" w:type="dxa"/>
        </w:trPr>
        <w:tc>
          <w:tcPr>
            <w:tcW w:w="1178" w:type="pct"/>
          </w:tcPr>
          <w:p w14:paraId="1FB8A31F" w14:textId="330758C6" w:rsidR="008776B5" w:rsidRPr="00294D20" w:rsidRDefault="0016365B" w:rsidP="0016365B">
            <w:pPr>
              <w:bidi/>
              <w:spacing w:before="120" w:after="120" w:line="240" w:lineRule="auto"/>
              <w:jc w:val="center"/>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 xml:space="preserve">الدراسة الثامنة </w:t>
            </w:r>
            <w:r w:rsidRPr="00294D20">
              <w:rPr>
                <w:rFonts w:ascii="Traditional Arabic" w:eastAsia="Calibri" w:hAnsi="Traditional Arabic" w:cs="Traditional Arabic" w:hint="cs"/>
                <w:b/>
                <w:bCs/>
                <w:color w:val="000000" w:themeColor="text1"/>
                <w:sz w:val="24"/>
                <w:szCs w:val="24"/>
                <w:lang w:bidi="ar-EG"/>
              </w:rPr>
              <w:t xml:space="preserve">Hassan Alabdullah </w:t>
            </w:r>
            <w:r w:rsidRPr="00294D20">
              <w:rPr>
                <w:rFonts w:ascii="Traditional Arabic" w:eastAsia="Calibri" w:hAnsi="Traditional Arabic" w:cs="Traditional Arabic" w:hint="cs"/>
                <w:b/>
                <w:bCs/>
                <w:color w:val="000000" w:themeColor="text1"/>
                <w:sz w:val="24"/>
                <w:szCs w:val="24"/>
                <w:rtl/>
              </w:rPr>
              <w:t>و</w:t>
            </w:r>
            <w:r w:rsidRPr="00294D20">
              <w:rPr>
                <w:rFonts w:ascii="Traditional Arabic" w:eastAsia="Calibri" w:hAnsi="Traditional Arabic" w:cs="Traditional Arabic" w:hint="cs"/>
                <w:b/>
                <w:bCs/>
                <w:color w:val="000000" w:themeColor="text1"/>
                <w:sz w:val="24"/>
                <w:szCs w:val="24"/>
                <w:lang w:bidi="ar-EG"/>
              </w:rPr>
              <w:t xml:space="preserve">Waldemar Karwowski (2024)  </w:t>
            </w:r>
            <w:r w:rsidRPr="00294D20">
              <w:rPr>
                <w:rFonts w:ascii="Traditional Arabic" w:eastAsia="Calibri" w:hAnsi="Traditional Arabic" w:cs="Traditional Arabic" w:hint="cs"/>
                <w:b/>
                <w:bCs/>
                <w:color w:val="000000" w:themeColor="text1"/>
                <w:sz w:val="24"/>
                <w:szCs w:val="24"/>
                <w:rtl/>
              </w:rPr>
              <w:t xml:space="preserve"> </w:t>
            </w:r>
            <w:r w:rsidRPr="00294D20">
              <w:rPr>
                <w:rFonts w:ascii="Traditional Arabic" w:eastAsia="Calibri" w:hAnsi="Traditional Arabic" w:cs="Traditional Arabic" w:hint="cs"/>
                <w:b/>
                <w:bCs/>
                <w:color w:val="000000" w:themeColor="text1"/>
                <w:sz w:val="24"/>
                <w:szCs w:val="24"/>
                <w:lang w:bidi="ar-EG"/>
              </w:rPr>
              <w:t>“</w:t>
            </w:r>
          </w:p>
        </w:tc>
        <w:tc>
          <w:tcPr>
            <w:tcW w:w="1242" w:type="pct"/>
          </w:tcPr>
          <w:p w14:paraId="0956A240" w14:textId="26ED3A9D" w:rsidR="008776B5" w:rsidRPr="00294D20" w:rsidRDefault="006E2632" w:rsidP="006E2632">
            <w:pPr>
              <w:bidi/>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تحليل الفروقات العالمية في إدراك العاملين لثقافة سلامة المرضى في المستشفيات، من خلال مراجعة منهجية للدراسات التي استخدمت أداة</w:t>
            </w:r>
            <w:r w:rsidRPr="00294D20">
              <w:rPr>
                <w:rFonts w:ascii="Traditional Arabic" w:hAnsi="Traditional Arabic" w:cs="Traditional Arabic" w:hint="cs"/>
                <w:b/>
                <w:bCs/>
                <w:sz w:val="24"/>
                <w:szCs w:val="24"/>
                <w:lang w:bidi="ar-EG"/>
              </w:rPr>
              <w:t xml:space="preserve"> HSOPSC.</w:t>
            </w:r>
          </w:p>
        </w:tc>
        <w:tc>
          <w:tcPr>
            <w:tcW w:w="1320" w:type="pct"/>
          </w:tcPr>
          <w:p w14:paraId="5B9B1763" w14:textId="5539599B" w:rsidR="008776B5" w:rsidRPr="00294D20" w:rsidRDefault="006E2632" w:rsidP="006E2632">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كشفت عن تفاوت كبير بين الدول في تقييم ثقافة السلامة، مع بروز العمل الجماعي والتعلم المستمر كنقاط قوة، مقابل ضعف الإبلاغ عن الأخطاء والخوف من العقاب في بيئات متعددة</w:t>
            </w:r>
            <w:r w:rsidRPr="00294D20">
              <w:rPr>
                <w:rFonts w:ascii="Traditional Arabic" w:hAnsi="Traditional Arabic" w:cs="Traditional Arabic" w:hint="cs"/>
                <w:b/>
                <w:bCs/>
                <w:sz w:val="24"/>
                <w:szCs w:val="24"/>
                <w:lang w:bidi="ar-EG"/>
              </w:rPr>
              <w:t>.</w:t>
            </w:r>
          </w:p>
        </w:tc>
        <w:tc>
          <w:tcPr>
            <w:tcW w:w="1139" w:type="pct"/>
          </w:tcPr>
          <w:p w14:paraId="67DD1C43" w14:textId="5AEB930C"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دراسة مراجعة منهجية تناولت ثقافة سلامة المرضى عالميًا، دون تحليل تأثير القيادة أو إدارة المخاطر بشكل مباشر</w:t>
            </w:r>
            <w:r w:rsidRPr="00294D20">
              <w:rPr>
                <w:rFonts w:ascii="Traditional Arabic" w:hAnsi="Traditional Arabic" w:cs="Traditional Arabic" w:hint="cs"/>
                <w:b/>
                <w:bCs/>
                <w:sz w:val="24"/>
                <w:szCs w:val="24"/>
                <w:lang w:bidi="ar-EG"/>
              </w:rPr>
              <w:t>.</w:t>
            </w:r>
          </w:p>
        </w:tc>
      </w:tr>
    </w:tbl>
    <w:bookmarkEnd w:id="2"/>
    <w:p w14:paraId="6472FB82" w14:textId="01B667B5" w:rsidR="00EA0060" w:rsidRPr="000E6E9F" w:rsidRDefault="0016365B" w:rsidP="00983EA2">
      <w:pPr>
        <w:bidi/>
        <w:spacing w:after="200" w:line="240" w:lineRule="auto"/>
        <w:jc w:val="right"/>
        <w:rPr>
          <w:rFonts w:ascii="Traditional Arabic" w:eastAsia="Calibri" w:hAnsi="Traditional Arabic" w:cs="Traditional Arabic"/>
          <w:b/>
          <w:bCs/>
          <w:color w:val="000000" w:themeColor="text1"/>
          <w:sz w:val="24"/>
          <w:szCs w:val="24"/>
          <w:rtl/>
          <w:lang w:bidi="ar-EG"/>
        </w:rPr>
      </w:pPr>
      <w:r w:rsidRPr="000E6E9F">
        <w:rPr>
          <w:rFonts w:ascii="Traditional Arabic" w:eastAsia="Calibri" w:hAnsi="Traditional Arabic" w:cs="Traditional Arabic" w:hint="cs"/>
          <w:b/>
          <w:bCs/>
          <w:color w:val="000000" w:themeColor="text1"/>
          <w:sz w:val="24"/>
          <w:szCs w:val="24"/>
          <w:rtl/>
          <w:lang w:bidi="ar-EG"/>
        </w:rPr>
        <w:t xml:space="preserve">إعداد / الباحثة </w:t>
      </w:r>
      <w:r w:rsidR="00A21099" w:rsidRPr="000E6E9F">
        <w:rPr>
          <w:rFonts w:ascii="Traditional Arabic" w:eastAsia="Calibri" w:hAnsi="Traditional Arabic" w:cs="Traditional Arabic" w:hint="cs"/>
          <w:b/>
          <w:bCs/>
          <w:color w:val="000000" w:themeColor="text1"/>
          <w:sz w:val="24"/>
          <w:szCs w:val="24"/>
          <w:rtl/>
          <w:lang w:bidi="ar-EG"/>
        </w:rPr>
        <w:t>بالإعتماد على الدراسات المرجعية</w:t>
      </w:r>
      <w:r w:rsidRPr="000E6E9F">
        <w:rPr>
          <w:rFonts w:ascii="Traditional Arabic" w:eastAsia="Calibri" w:hAnsi="Traditional Arabic" w:cs="Traditional Arabic" w:hint="cs"/>
          <w:b/>
          <w:bCs/>
          <w:color w:val="000000" w:themeColor="text1"/>
          <w:sz w:val="24"/>
          <w:szCs w:val="24"/>
          <w:rtl/>
          <w:lang w:bidi="ar-EG"/>
        </w:rPr>
        <w:t>.</w:t>
      </w:r>
    </w:p>
    <w:p w14:paraId="04772A25" w14:textId="0C82B265" w:rsidR="008D4126" w:rsidRPr="003849C3" w:rsidRDefault="00F86114" w:rsidP="00EA0060">
      <w:pPr>
        <w:bidi/>
        <w:spacing w:after="200" w:line="240" w:lineRule="auto"/>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 xml:space="preserve">أوجه الإستفادة من الدراسات </w:t>
      </w:r>
      <w:r w:rsidR="004D121C" w:rsidRPr="003849C3">
        <w:rPr>
          <w:rFonts w:ascii="Traditional Arabic" w:eastAsia="Calibri" w:hAnsi="Traditional Arabic" w:cs="Traditional Arabic" w:hint="cs"/>
          <w:b/>
          <w:bCs/>
          <w:color w:val="000000" w:themeColor="text1"/>
          <w:sz w:val="24"/>
          <w:szCs w:val="24"/>
          <w:rtl/>
          <w:lang w:bidi="ar-EG"/>
        </w:rPr>
        <w:t>المرجعية</w:t>
      </w:r>
      <w:r w:rsidRPr="003849C3">
        <w:rPr>
          <w:rFonts w:ascii="Traditional Arabic" w:eastAsia="Calibri" w:hAnsi="Traditional Arabic" w:cs="Traditional Arabic" w:hint="cs"/>
          <w:b/>
          <w:bCs/>
          <w:color w:val="000000" w:themeColor="text1"/>
          <w:sz w:val="24"/>
          <w:szCs w:val="24"/>
          <w:rtl/>
          <w:lang w:bidi="ar-EG"/>
        </w:rPr>
        <w:t>:</w:t>
      </w:r>
    </w:p>
    <w:p w14:paraId="3E993806"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تُظهر الدراسات السابقة أهمية القيادة التحويلية وإدارة المخاطر في تحسين جودة الخدمات الصحية وسلامة المرضى. فقد تناولت دراسة فاتن خليل (2018) تقييم جودة الخدمة الصحية في مراكز طب الأسرة ببغداد، مسلطة الضوء على الفجوة بين الواقع الفعلي والمعايير الدولية، مما يدعم بناء مؤشرات دقيقة لسلامة المرضى في دراستك. أما دراسة عفيفي وآلاء (2024)، فقد ركزت على أثر تطبيق إدارة المخاطر في مستشفيات جدة، مؤكدة دور السياسات والإجراءات التنظيمية في تقليل الحوادث الطبية وتحسين الأداء الصحي، وهو ما يعزز متغير إدارة المخاطر في بحثك ويمنحه بعدًا تطبيقيًا واضحًا</w:t>
      </w:r>
      <w:r w:rsidRPr="003849C3">
        <w:rPr>
          <w:rFonts w:ascii="Traditional Arabic" w:eastAsia="Calibri" w:hAnsi="Traditional Arabic" w:cs="Traditional Arabic" w:hint="cs"/>
          <w:color w:val="000000" w:themeColor="text1"/>
          <w:sz w:val="24"/>
          <w:szCs w:val="24"/>
          <w:lang w:bidi="ar-EG"/>
        </w:rPr>
        <w:t>.</w:t>
      </w:r>
    </w:p>
    <w:p w14:paraId="17070AD6"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lastRenderedPageBreak/>
        <w:t>من جهة أخرى، تناولت دراسة رامز رمضان (2019) أثر القيادة التحويلية على تحسين الأداء المؤسسي في المستشفيات الحكومية المصرية، موضحة كيف تسهم أبعاد القيادة التحويلية في تعزيز جودة الخدمة الصحية، مما يدعم استخدامها كمتغير وسيط في دراستك. كما ركزت دراسة الغامدي وعثمان (2023) على العلاقة بين القيادة التحويلية وإدارة الأزمات الصحية، مشيرة إلى دور القيادة في رفع جاهزية المؤسسات للتعامل مع التحديات، وهو ما يثري الربط بين القيادة وإدارة المخاطر في نموذجك المفاهيمي. مجتمعة، توفر هذه الدراسات أساسًا نظريًا ومنهجيًا متينًا لدراستك، وتساعد في صياغة الفرضيات وتحديد أدوات القياس بدقة</w:t>
      </w:r>
      <w:r w:rsidRPr="003849C3">
        <w:rPr>
          <w:rFonts w:ascii="Traditional Arabic" w:eastAsia="Calibri" w:hAnsi="Traditional Arabic" w:cs="Traditional Arabic" w:hint="cs"/>
          <w:color w:val="000000" w:themeColor="text1"/>
          <w:sz w:val="24"/>
          <w:szCs w:val="24"/>
          <w:lang w:bidi="ar-EG"/>
        </w:rPr>
        <w:t>.</w:t>
      </w:r>
    </w:p>
    <w:p w14:paraId="42C0AE54"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lang w:bidi="ar-EG"/>
        </w:rPr>
        <w:t xml:space="preserve">كما </w:t>
      </w:r>
      <w:r w:rsidRPr="003849C3">
        <w:rPr>
          <w:rFonts w:ascii="Traditional Arabic" w:eastAsia="Calibri" w:hAnsi="Traditional Arabic" w:cs="Traditional Arabic" w:hint="cs"/>
          <w:color w:val="000000" w:themeColor="text1"/>
          <w:sz w:val="24"/>
          <w:szCs w:val="24"/>
          <w:rtl/>
        </w:rPr>
        <w:t>تُظهر الدراسات الحديثة أهمية القيادة التحويلية في تعزيز جودة الأداء وسلامة المرضى داخل المؤسسات الصحية. فقد تناولت دراسة</w:t>
      </w:r>
      <w:r w:rsidRPr="003849C3">
        <w:rPr>
          <w:rFonts w:ascii="Traditional Arabic" w:eastAsia="Calibri" w:hAnsi="Traditional Arabic" w:cs="Traditional Arabic" w:hint="cs"/>
          <w:color w:val="000000" w:themeColor="text1"/>
          <w:sz w:val="24"/>
          <w:szCs w:val="24"/>
          <w:lang w:bidi="ar-EG"/>
        </w:rPr>
        <w:t xml:space="preserve"> Purwanto et al. (2020) </w:t>
      </w:r>
      <w:r w:rsidRPr="003849C3">
        <w:rPr>
          <w:rFonts w:ascii="Traditional Arabic" w:eastAsia="Calibri" w:hAnsi="Traditional Arabic" w:cs="Traditional Arabic" w:hint="cs"/>
          <w:color w:val="000000" w:themeColor="text1"/>
          <w:sz w:val="24"/>
          <w:szCs w:val="24"/>
          <w:rtl/>
        </w:rPr>
        <w:t>أثر أسلوبي القيادة التحويلية والتبادلية على أداء العاملين في المراكز الصحية بجاوا الوسطى، مؤكدة أن القيادة الحديثة تسهم في رفع الكفاءة التشغيلية وتحسين جودة الخدمات. كما ركزت دراسة</w:t>
      </w:r>
      <w:r w:rsidRPr="003849C3">
        <w:rPr>
          <w:rFonts w:ascii="Traditional Arabic" w:eastAsia="Calibri" w:hAnsi="Traditional Arabic" w:cs="Traditional Arabic" w:hint="cs"/>
          <w:color w:val="000000" w:themeColor="text1"/>
          <w:sz w:val="24"/>
          <w:szCs w:val="24"/>
          <w:lang w:bidi="ar-EG"/>
        </w:rPr>
        <w:t xml:space="preserve"> Badriyah Putri Jannah (2024) </w:t>
      </w:r>
      <w:r w:rsidRPr="003849C3">
        <w:rPr>
          <w:rFonts w:ascii="Traditional Arabic" w:eastAsia="Calibri" w:hAnsi="Traditional Arabic" w:cs="Traditional Arabic" w:hint="cs"/>
          <w:color w:val="000000" w:themeColor="text1"/>
          <w:sz w:val="24"/>
          <w:szCs w:val="24"/>
          <w:rtl/>
        </w:rPr>
        <w:t>على دور القيادة التحويلية في تعزيز ثقافة السلامة وتقليل الأخطاء الطبية، من خلال دعم الفرق الصحية وتحفيزهم، مما يدعم استخدام القيادة التحويلية كمتغير مؤثر في بيئات تنظيمية معقدة كالمستشفيات</w:t>
      </w:r>
      <w:r w:rsidRPr="003849C3">
        <w:rPr>
          <w:rFonts w:ascii="Traditional Arabic" w:eastAsia="Calibri" w:hAnsi="Traditional Arabic" w:cs="Traditional Arabic" w:hint="cs"/>
          <w:color w:val="000000" w:themeColor="text1"/>
          <w:sz w:val="24"/>
          <w:szCs w:val="24"/>
          <w:lang w:bidi="ar-EG"/>
        </w:rPr>
        <w:t>.</w:t>
      </w:r>
    </w:p>
    <w:p w14:paraId="339FC81E" w14:textId="7B6AE757" w:rsidR="001A2117"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ومن جهة أخرى، قدمت دراسة</w:t>
      </w:r>
      <w:r w:rsidRPr="003849C3">
        <w:rPr>
          <w:rFonts w:ascii="Traditional Arabic" w:eastAsia="Calibri" w:hAnsi="Traditional Arabic" w:cs="Traditional Arabic" w:hint="cs"/>
          <w:color w:val="000000" w:themeColor="text1"/>
          <w:sz w:val="24"/>
          <w:szCs w:val="24"/>
          <w:lang w:bidi="ar-EG"/>
        </w:rPr>
        <w:t xml:space="preserve"> Stöcker </w:t>
      </w:r>
      <w:r w:rsidRPr="003849C3">
        <w:rPr>
          <w:rFonts w:ascii="Traditional Arabic" w:eastAsia="Calibri" w:hAnsi="Traditional Arabic" w:cs="Traditional Arabic" w:hint="cs"/>
          <w:color w:val="000000" w:themeColor="text1"/>
          <w:sz w:val="24"/>
          <w:szCs w:val="24"/>
          <w:rtl/>
        </w:rPr>
        <w:t>وآخرون (2023) إطارًا نظريًا متقدمًا لتحليل العلاقة بين القيادة التحويلية ورأس المال الاجتماعي وسلامة المرضى، مستندة إلى نموذج</w:t>
      </w:r>
      <w:r w:rsidRPr="003849C3">
        <w:rPr>
          <w:rFonts w:ascii="Traditional Arabic" w:eastAsia="Calibri" w:hAnsi="Traditional Arabic" w:cs="Traditional Arabic" w:hint="cs"/>
          <w:color w:val="000000" w:themeColor="text1"/>
          <w:sz w:val="24"/>
          <w:szCs w:val="24"/>
          <w:lang w:bidi="ar-EG"/>
        </w:rPr>
        <w:t xml:space="preserve"> AGIL </w:t>
      </w:r>
      <w:r w:rsidRPr="003849C3">
        <w:rPr>
          <w:rFonts w:ascii="Traditional Arabic" w:eastAsia="Calibri" w:hAnsi="Traditional Arabic" w:cs="Traditional Arabic" w:hint="cs"/>
          <w:color w:val="000000" w:themeColor="text1"/>
          <w:sz w:val="24"/>
          <w:szCs w:val="24"/>
          <w:rtl/>
        </w:rPr>
        <w:t>لبارسون، مما يثري الجانب النظري لدراستك. كما ركزت دراسة</w:t>
      </w:r>
      <w:r w:rsidRPr="003849C3">
        <w:rPr>
          <w:rFonts w:ascii="Traditional Arabic" w:eastAsia="Calibri" w:hAnsi="Traditional Arabic" w:cs="Traditional Arabic" w:hint="cs"/>
          <w:color w:val="000000" w:themeColor="text1"/>
          <w:sz w:val="24"/>
          <w:szCs w:val="24"/>
          <w:lang w:bidi="ar-EG"/>
        </w:rPr>
        <w:t xml:space="preserve"> Hassan Alabdullah &amp; Waldemar Karwowski (2024) </w:t>
      </w:r>
      <w:r w:rsidRPr="003849C3">
        <w:rPr>
          <w:rFonts w:ascii="Traditional Arabic" w:eastAsia="Calibri" w:hAnsi="Traditional Arabic" w:cs="Traditional Arabic" w:hint="cs"/>
          <w:color w:val="000000" w:themeColor="text1"/>
          <w:sz w:val="24"/>
          <w:szCs w:val="24"/>
          <w:rtl/>
        </w:rPr>
        <w:t>على الفروقات العالمية في إدراك ثقافة سلامة المرضى، مشيرة إلى أهمية بناء ثقافة مؤسسية داعمة للسلامة كعنصر أساسي في تحسين جودة الرعاية. مجتمعة، تقدم هذه الدراسات دعمًا نظريًا ومنهجيًا قويًا لدراستك، وتساعد في صياغة الفرضيات وتحديد أبعاد المتغيرات بدقة</w:t>
      </w:r>
      <w:r w:rsidRPr="003849C3">
        <w:rPr>
          <w:rFonts w:ascii="Traditional Arabic" w:eastAsia="Calibri" w:hAnsi="Traditional Arabic" w:cs="Traditional Arabic" w:hint="cs"/>
          <w:color w:val="000000" w:themeColor="text1"/>
          <w:sz w:val="24"/>
          <w:szCs w:val="24"/>
          <w:lang w:bidi="ar-EG"/>
        </w:rPr>
        <w:t>.</w:t>
      </w:r>
    </w:p>
    <w:p w14:paraId="753100B8" w14:textId="128345FC" w:rsidR="00DD4E42" w:rsidRPr="003849C3" w:rsidRDefault="00DD4E42"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تؤكد الدراسات الحديثة أن القيادة التحويلية وإدارة المخاطر تمثلان عناصر حاسمة في تطوير الأداء الصحي وتعزيز سلامة المرضى، وهو ما يتماشى مع أهداف دراستك. فقد أظهرت الأبحاث أن القيادة التحويلية تساهم في تحفيز العاملين، تحسين بيئة العمل، وتعزيز ثقافة السلامة، مما يدعم دورها كمتغير وسيط مؤثر في العلاقة بين إدارة المخاطر وسلامة المرضى. كما بيّنت دراسات أخرى أن تطبيق إدارة المخاطر بشكل منهجي يسهم في تقليل الحوادث الطبية ورفع جودة الرعاية، مما يعزز موقعها كمتغير مستقل في نموذجك. هذه النتائج تدعم بناء إطار نظري متماسك وتوجه صياغة الفرضيات نحو علاقات سببية قابلة للقياس</w:t>
      </w:r>
      <w:r w:rsidRPr="003849C3">
        <w:rPr>
          <w:rFonts w:ascii="Traditional Arabic" w:eastAsia="Calibri" w:hAnsi="Traditional Arabic" w:cs="Traditional Arabic" w:hint="cs"/>
          <w:color w:val="000000" w:themeColor="text1"/>
          <w:sz w:val="24"/>
          <w:szCs w:val="24"/>
          <w:lang w:bidi="ar-EG"/>
        </w:rPr>
        <w:t>.</w:t>
      </w:r>
    </w:p>
    <w:p w14:paraId="59BBA661" w14:textId="306F29B5" w:rsidR="00AD783C" w:rsidRPr="003849C3" w:rsidRDefault="00AD783C" w:rsidP="001A2117">
      <w:pPr>
        <w:bidi/>
        <w:spacing w:after="200" w:line="276" w:lineRule="auto"/>
        <w:rPr>
          <w:rFonts w:ascii="Traditional Arabic" w:hAnsi="Traditional Arabic" w:cs="Traditional Arabic"/>
          <w:color w:val="00B0F0"/>
          <w:sz w:val="24"/>
          <w:szCs w:val="24"/>
          <w:rtl/>
        </w:rPr>
      </w:pPr>
      <w:r w:rsidRPr="003849C3">
        <w:rPr>
          <w:rFonts w:ascii="Traditional Arabic" w:hAnsi="Traditional Arabic" w:cs="Traditional Arabic" w:hint="cs"/>
          <w:b/>
          <w:bCs/>
          <w:color w:val="00B0F0"/>
          <w:sz w:val="24"/>
          <w:szCs w:val="24"/>
          <w:u w:val="single"/>
          <w:rtl/>
        </w:rPr>
        <w:t>مصطلحات الدراسة وتعريفاتها الإجرائية</w:t>
      </w:r>
    </w:p>
    <w:p w14:paraId="4997CB1F" w14:textId="77777777" w:rsidR="00EA0060" w:rsidRPr="003849C3" w:rsidRDefault="008B2E01" w:rsidP="008B2E01">
      <w:pPr>
        <w:bidi/>
        <w:spacing w:after="200" w:line="276"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 xml:space="preserve">أولاً: </w:t>
      </w:r>
      <w:r w:rsidR="00A53F00" w:rsidRPr="003849C3">
        <w:rPr>
          <w:rFonts w:ascii="Traditional Arabic" w:eastAsia="Calibri" w:hAnsi="Traditional Arabic" w:cs="Traditional Arabic" w:hint="cs"/>
          <w:b/>
          <w:bCs/>
          <w:sz w:val="24"/>
          <w:szCs w:val="24"/>
          <w:rtl/>
          <w:lang w:bidi="ar-EG"/>
        </w:rPr>
        <w:t>إدارة المخاطر:</w:t>
      </w:r>
      <w:r w:rsidR="00A53F00" w:rsidRPr="003849C3">
        <w:rPr>
          <w:rFonts w:ascii="Traditional Arabic" w:eastAsia="Calibri" w:hAnsi="Traditional Arabic" w:cs="Traditional Arabic" w:hint="cs"/>
          <w:sz w:val="24"/>
          <w:szCs w:val="24"/>
          <w:rtl/>
          <w:lang w:bidi="ar-EG"/>
        </w:rPr>
        <w:t xml:space="preserve"> </w:t>
      </w:r>
    </w:p>
    <w:p w14:paraId="5375D42F" w14:textId="69E96A83" w:rsidR="00A53F00" w:rsidRPr="003849C3" w:rsidRDefault="006C7E2A" w:rsidP="000E6E9F">
      <w:pPr>
        <w:bidi/>
        <w:spacing w:after="200" w:line="360" w:lineRule="auto"/>
        <w:ind w:firstLine="720"/>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lang w:bidi="ar-EG"/>
        </w:rPr>
        <w:t xml:space="preserve">تُعرّف إدارة المخاطر في الرعاية الصحية بأنها عملية منهجية تهدف إلى تحديد وتحليل وتخفيف المخاطر المحتملة التي قد تؤثر على سلامة المرضى أو كفاءة المؤسسة الصحية، وذلك من خلال تطبيق سياسات استباقية، أنظمة مراقبة، وتدابير وقائية تضمن بيئة علاجية آمنة </w:t>
      </w:r>
      <w:r w:rsidRPr="003849C3">
        <w:rPr>
          <w:rFonts w:ascii="Traditional Arabic" w:eastAsia="Calibri" w:hAnsi="Traditional Arabic" w:cs="Traditional Arabic" w:hint="cs"/>
          <w:sz w:val="24"/>
          <w:szCs w:val="24"/>
          <w:rtl/>
          <w:lang w:bidi="ar-EG"/>
        </w:rPr>
        <w:lastRenderedPageBreak/>
        <w:t>ومستدامة</w:t>
      </w:r>
      <w:r w:rsidR="00DD4E42" w:rsidRPr="003849C3">
        <w:rPr>
          <w:rFonts w:ascii="Traditional Arabic" w:eastAsia="Calibri" w:hAnsi="Traditional Arabic" w:cs="Traditional Arabic" w:hint="cs"/>
          <w:sz w:val="24"/>
          <w:szCs w:val="24"/>
          <w:rtl/>
          <w:lang w:bidi="ar-EG"/>
        </w:rPr>
        <w:t>،</w:t>
      </w:r>
      <w:r w:rsidRPr="003849C3">
        <w:rPr>
          <w:rFonts w:ascii="Traditional Arabic" w:eastAsia="Calibri" w:hAnsi="Traditional Arabic" w:cs="Traditional Arabic" w:hint="cs"/>
          <w:sz w:val="24"/>
          <w:szCs w:val="24"/>
          <w:rtl/>
          <w:lang w:bidi="ar-EG"/>
        </w:rPr>
        <w:t xml:space="preserve"> وتشمل هذه الإدارة تقييم دوري للمخاطر، </w:t>
      </w:r>
      <w:r w:rsidR="00EA0060"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تدريب الكوادر، واستخدام التكنولوجيا لتحسين الاستجابة وتقليل الأخطاء الطبية</w:t>
      </w:r>
      <w:r w:rsidR="00262C3B" w:rsidRPr="003849C3">
        <w:rPr>
          <w:rFonts w:ascii="Traditional Arabic" w:eastAsia="Calibri" w:hAnsi="Traditional Arabic" w:cs="Traditional Arabic" w:hint="cs"/>
          <w:sz w:val="24"/>
          <w:szCs w:val="24"/>
          <w:rtl/>
          <w:lang w:bidi="ar-EG"/>
        </w:rPr>
        <w:t xml:space="preserve"> </w:t>
      </w:r>
      <w:r w:rsidRPr="003849C3">
        <w:rPr>
          <w:rFonts w:ascii="Traditional Arabic" w:eastAsia="Calibri" w:hAnsi="Traditional Arabic" w:cs="Traditional Arabic" w:hint="cs"/>
          <w:sz w:val="24"/>
          <w:szCs w:val="24"/>
          <w:rtl/>
          <w:lang w:bidi="ar-EG"/>
        </w:rPr>
        <w:t>(مصباح ، 2025، 2) .</w:t>
      </w:r>
    </w:p>
    <w:p w14:paraId="5DA47709" w14:textId="6878F7B8" w:rsidR="00FD2175" w:rsidRPr="003849C3" w:rsidRDefault="00DD4E42" w:rsidP="000E6E9F">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وتعرف الباحثة</w:t>
      </w:r>
      <w:r w:rsidR="00294E45" w:rsidRPr="003849C3">
        <w:rPr>
          <w:rFonts w:ascii="Traditional Arabic" w:eastAsia="Calibri" w:hAnsi="Traditional Arabic" w:cs="Traditional Arabic" w:hint="cs"/>
          <w:sz w:val="24"/>
          <w:szCs w:val="24"/>
          <w:rtl/>
          <w:lang w:bidi="ar-EG"/>
        </w:rPr>
        <w:t xml:space="preserve"> إدارة المخاطر إجرائيا بأنها مجموعة العمليات والإجراءات التي يقوم بها العاملون في المرافق الصحية الحكومية لتحديد المخاطر المحتملة، وتحليلها، </w:t>
      </w:r>
      <w:r w:rsidR="00F21CF6" w:rsidRPr="003849C3">
        <w:rPr>
          <w:rFonts w:ascii="Traditional Arabic" w:eastAsia="Calibri" w:hAnsi="Traditional Arabic" w:cs="Traditional Arabic" w:hint="cs"/>
          <w:sz w:val="24"/>
          <w:szCs w:val="24"/>
          <w:rtl/>
          <w:lang w:bidi="ar-EG"/>
        </w:rPr>
        <w:t>وتقيم</w:t>
      </w:r>
      <w:r w:rsidRPr="003849C3">
        <w:rPr>
          <w:rFonts w:ascii="Traditional Arabic" w:eastAsia="Calibri" w:hAnsi="Traditional Arabic" w:cs="Traditional Arabic" w:hint="cs"/>
          <w:sz w:val="24"/>
          <w:szCs w:val="24"/>
          <w:rtl/>
          <w:lang w:bidi="ar-EG"/>
        </w:rPr>
        <w:t>ه</w:t>
      </w:r>
      <w:r w:rsidR="00F21CF6" w:rsidRPr="003849C3">
        <w:rPr>
          <w:rFonts w:ascii="Traditional Arabic" w:eastAsia="Calibri" w:hAnsi="Traditional Arabic" w:cs="Traditional Arabic" w:hint="cs"/>
          <w:sz w:val="24"/>
          <w:szCs w:val="24"/>
          <w:rtl/>
          <w:lang w:bidi="ar-EG"/>
        </w:rPr>
        <w:t xml:space="preserve">ا ، </w:t>
      </w:r>
      <w:r w:rsidR="00294E45" w:rsidRPr="003849C3">
        <w:rPr>
          <w:rFonts w:ascii="Traditional Arabic" w:eastAsia="Calibri" w:hAnsi="Traditional Arabic" w:cs="Traditional Arabic" w:hint="cs"/>
          <w:sz w:val="24"/>
          <w:szCs w:val="24"/>
          <w:rtl/>
          <w:lang w:bidi="ar-EG"/>
        </w:rPr>
        <w:t>واتخاذ التدابير الوقائية المناسبة للحد من تأثيرها على سلامة المرضى</w:t>
      </w:r>
      <w:r w:rsidR="00262C3B" w:rsidRPr="003849C3">
        <w:rPr>
          <w:rFonts w:ascii="Traditional Arabic" w:eastAsia="Calibri" w:hAnsi="Traditional Arabic" w:cs="Traditional Arabic" w:hint="cs"/>
          <w:sz w:val="24"/>
          <w:szCs w:val="24"/>
          <w:rtl/>
          <w:lang w:bidi="ar-EG"/>
        </w:rPr>
        <w:t>،</w:t>
      </w:r>
      <w:r w:rsidR="00294E45" w:rsidRPr="003849C3">
        <w:rPr>
          <w:rFonts w:ascii="Traditional Arabic" w:eastAsia="Calibri" w:hAnsi="Traditional Arabic" w:cs="Traditional Arabic" w:hint="cs"/>
          <w:sz w:val="24"/>
          <w:szCs w:val="24"/>
          <w:rtl/>
          <w:lang w:bidi="ar-EG"/>
        </w:rPr>
        <w:t xml:space="preserve"> ويُقاس هذا المفهوم من خلال استجابات المشاركين على بنود الاستبانة </w:t>
      </w:r>
      <w:r w:rsidR="003B7B0C" w:rsidRPr="003849C3">
        <w:rPr>
          <w:rFonts w:ascii="Traditional Arabic" w:eastAsia="Calibri" w:hAnsi="Traditional Arabic" w:cs="Traditional Arabic" w:hint="cs"/>
          <w:sz w:val="24"/>
          <w:szCs w:val="24"/>
          <w:rtl/>
          <w:lang w:bidi="ar-EG"/>
        </w:rPr>
        <w:t>.</w:t>
      </w:r>
    </w:p>
    <w:p w14:paraId="2FF1D08A" w14:textId="6F2F903E" w:rsidR="00A60118" w:rsidRPr="003849C3" w:rsidRDefault="003979B0" w:rsidP="00A60118">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أبعاد إدارة المخاطر:</w:t>
      </w:r>
    </w:p>
    <w:p w14:paraId="6398126A" w14:textId="03C43626" w:rsidR="00C43B15" w:rsidRPr="003849C3" w:rsidRDefault="00C43B15">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تحديد المخاطر</w:t>
      </w:r>
      <w:r w:rsidRPr="003849C3">
        <w:rPr>
          <w:rFonts w:ascii="Traditional Arabic" w:hAnsi="Traditional Arabic" w:cs="Traditional Arabic" w:hint="cs"/>
          <w:b/>
          <w:bCs/>
          <w:sz w:val="24"/>
          <w:szCs w:val="24"/>
          <w:lang w:bidi="ar-EG"/>
        </w:rPr>
        <w:t xml:space="preserve"> (Risk Identification):</w:t>
      </w:r>
      <w:r w:rsidR="00DD4E42"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يُقصد به عملية التعرف المنهجي على مصادر الخطر المحتملة داخل المؤسسة</w:t>
      </w:r>
      <w:r w:rsidR="00A51217" w:rsidRPr="003849C3">
        <w:rPr>
          <w:rFonts w:ascii="Traditional Arabic" w:hAnsi="Traditional Arabic" w:cs="Traditional Arabic" w:hint="cs"/>
          <w:sz w:val="24"/>
          <w:szCs w:val="24"/>
          <w:rtl/>
        </w:rPr>
        <w:t xml:space="preserve"> </w:t>
      </w:r>
      <w:r w:rsidRPr="003849C3">
        <w:rPr>
          <w:rFonts w:ascii="Traditional Arabic" w:hAnsi="Traditional Arabic" w:cs="Traditional Arabic" w:hint="cs"/>
          <w:sz w:val="24"/>
          <w:szCs w:val="24"/>
          <w:rtl/>
        </w:rPr>
        <w:t>الصحية، سواء كانت سريرية أو تشغيلية أو تنظيمية، بهدف رصدها قبل أن تؤثر على سلامة المرضى أو جودة الخدمة (</w:t>
      </w:r>
      <w:r w:rsidR="00A51217" w:rsidRPr="003849C3">
        <w:rPr>
          <w:rFonts w:ascii="Traditional Arabic" w:hAnsi="Traditional Arabic" w:cs="Traditional Arabic" w:hint="cs"/>
          <w:sz w:val="24"/>
          <w:szCs w:val="24"/>
          <w:rtl/>
        </w:rPr>
        <w:t xml:space="preserve"> </w:t>
      </w:r>
      <w:r w:rsidRPr="003849C3">
        <w:rPr>
          <w:rFonts w:ascii="Traditional Arabic" w:hAnsi="Traditional Arabic" w:cs="Traditional Arabic" w:hint="cs"/>
          <w:sz w:val="24"/>
          <w:szCs w:val="24"/>
          <w:rtl/>
        </w:rPr>
        <w:t>الشمري، 2023</w:t>
      </w:r>
      <w:r w:rsidR="0032534E"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45)</w:t>
      </w:r>
      <w:r w:rsidRPr="003849C3">
        <w:rPr>
          <w:rFonts w:ascii="Traditional Arabic" w:hAnsi="Traditional Arabic" w:cs="Traditional Arabic" w:hint="cs"/>
          <w:sz w:val="24"/>
          <w:szCs w:val="24"/>
          <w:lang w:bidi="ar-EG"/>
        </w:rPr>
        <w:t>.</w:t>
      </w:r>
    </w:p>
    <w:p w14:paraId="6B68A626" w14:textId="2FCA90A4" w:rsidR="00921FD9" w:rsidRPr="003849C3" w:rsidRDefault="00921FD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 xml:space="preserve">وتعرفه الباحثة إجرائيا </w:t>
      </w:r>
      <w:r w:rsidR="007D1C68" w:rsidRPr="003849C3">
        <w:rPr>
          <w:rFonts w:ascii="Traditional Arabic" w:hAnsi="Traditional Arabic" w:cs="Traditional Arabic" w:hint="cs"/>
          <w:sz w:val="24"/>
          <w:szCs w:val="24"/>
          <w:rtl/>
        </w:rPr>
        <w:t>بأنه</w:t>
      </w:r>
      <w:r w:rsidR="0074582D" w:rsidRPr="003849C3">
        <w:rPr>
          <w:rFonts w:ascii="Traditional Arabic" w:hAnsi="Traditional Arabic" w:cs="Traditional Arabic" w:hint="cs"/>
          <w:sz w:val="24"/>
          <w:szCs w:val="24"/>
          <w:rtl/>
        </w:rPr>
        <w:t xml:space="preserve"> يُقاس هذا البعد من خلال مدى قدرة العاملين في المؤسسة الصحية على التعرف المسبق على مصادر الخطر المحتملة، مثل الأخطاء الطبية، أوالثغرات التنظيمية، وذلك عبر استجابتهم لبنود الاستبانة التي تقيس وجود آليات واضحة لرصد المخاطر وتوثيقها</w:t>
      </w:r>
      <w:r w:rsidR="0074582D" w:rsidRPr="003849C3">
        <w:rPr>
          <w:rFonts w:ascii="Traditional Arabic" w:hAnsi="Traditional Arabic" w:cs="Traditional Arabic" w:hint="cs"/>
          <w:sz w:val="24"/>
          <w:szCs w:val="24"/>
          <w:lang w:bidi="ar-EG"/>
        </w:rPr>
        <w:t>.</w:t>
      </w:r>
    </w:p>
    <w:p w14:paraId="1BDC6DB9" w14:textId="77777777" w:rsidR="00F610E1" w:rsidRPr="003849C3" w:rsidRDefault="00C43B15">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تحليل المخاطر</w:t>
      </w:r>
      <w:r w:rsidRPr="003849C3">
        <w:rPr>
          <w:rFonts w:ascii="Traditional Arabic" w:hAnsi="Traditional Arabic" w:cs="Traditional Arabic" w:hint="cs"/>
          <w:b/>
          <w:bCs/>
          <w:sz w:val="24"/>
          <w:szCs w:val="24"/>
          <w:lang w:bidi="ar-EG"/>
        </w:rPr>
        <w:t xml:space="preserve"> (Risk Analysis):</w:t>
      </w:r>
      <w:r w:rsidR="00DD4E42"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يتضمن دراسة احتمالية حدوث كل خطر وتأثيره المحتمل، باستخدام أدوات كمية أونوعية لتقدير درجة الخطورة، مما يساعد في ترتيب الأولويات وتوجيه الموارد (عبدالحميد، 2024</w:t>
      </w:r>
      <w:r w:rsidR="00A51217"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61)</w:t>
      </w:r>
      <w:r w:rsidRPr="003849C3">
        <w:rPr>
          <w:rFonts w:ascii="Traditional Arabic" w:hAnsi="Traditional Arabic" w:cs="Traditional Arabic" w:hint="cs"/>
          <w:sz w:val="24"/>
          <w:szCs w:val="24"/>
          <w:lang w:bidi="ar-EG"/>
        </w:rPr>
        <w:t>.</w:t>
      </w:r>
    </w:p>
    <w:p w14:paraId="6DCA065D" w14:textId="17B1D245" w:rsidR="0074582D" w:rsidRPr="003849C3" w:rsidRDefault="0074582D" w:rsidP="000E6E9F">
      <w:pPr>
        <w:bidi/>
        <w:spacing w:line="360" w:lineRule="auto"/>
        <w:ind w:left="720"/>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وتعرفه الباحثة إجرائيا بأنه يُقاس من خلال مدى قيام العاملين بتحليل احتمالية حدوث كل خطر وتأثيره، باستخدام أدوات تقييم داخلية، ويظهر ذلك في استجابتهم لبنود تتعلق بتقدير درجة الخطورة، وتحديد الأولويات بناءً على شدة التأثير</w:t>
      </w:r>
      <w:r w:rsidRPr="003849C3">
        <w:rPr>
          <w:rFonts w:ascii="Traditional Arabic" w:hAnsi="Traditional Arabic" w:cs="Traditional Arabic" w:hint="cs"/>
          <w:sz w:val="24"/>
          <w:szCs w:val="24"/>
        </w:rPr>
        <w:t>.</w:t>
      </w:r>
    </w:p>
    <w:p w14:paraId="20393DF4" w14:textId="726A15B7" w:rsidR="00C43B15" w:rsidRPr="003849C3" w:rsidRDefault="00C43B15">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تقييم المخاطر</w:t>
      </w:r>
      <w:r w:rsidRPr="003849C3">
        <w:rPr>
          <w:rFonts w:ascii="Traditional Arabic" w:hAnsi="Traditional Arabic" w:cs="Traditional Arabic" w:hint="cs"/>
          <w:b/>
          <w:bCs/>
          <w:sz w:val="24"/>
          <w:szCs w:val="24"/>
          <w:lang w:bidi="ar-EG"/>
        </w:rPr>
        <w:t xml:space="preserve"> (Risk Evaluation):</w:t>
      </w:r>
      <w:r w:rsidR="00F610E1"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 xml:space="preserve">يُعنى بتقدير مدى قبول أو رفض كل خطر بناءً على نتائجه المتوقعة، ويُستخدم لتحديد ما إذا كانت المخاطر تتطلب تدخلًا فوريًا أو يمكن تحملها ضمن حدود معينة (مدوّن حر، 2024، </w:t>
      </w:r>
      <w:r w:rsidR="0032534E" w:rsidRPr="003849C3">
        <w:rPr>
          <w:rFonts w:ascii="Traditional Arabic" w:hAnsi="Traditional Arabic" w:cs="Traditional Arabic" w:hint="cs"/>
          <w:sz w:val="24"/>
          <w:szCs w:val="24"/>
          <w:rtl/>
        </w:rPr>
        <w:t>1</w:t>
      </w:r>
      <w:r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lang w:bidi="ar-EG"/>
        </w:rPr>
        <w:t>.</w:t>
      </w:r>
    </w:p>
    <w:p w14:paraId="01A81C0E" w14:textId="5239206B" w:rsidR="0074582D" w:rsidRPr="003849C3" w:rsidRDefault="0074582D" w:rsidP="000E6E9F">
      <w:pPr>
        <w:bidi/>
        <w:spacing w:line="360" w:lineRule="auto"/>
        <w:ind w:left="720"/>
        <w:rPr>
          <w:rFonts w:ascii="Traditional Arabic" w:hAnsi="Traditional Arabic" w:cs="Traditional Arabic"/>
          <w:sz w:val="24"/>
          <w:szCs w:val="24"/>
        </w:rPr>
      </w:pPr>
      <w:r w:rsidRPr="003849C3">
        <w:rPr>
          <w:rFonts w:ascii="Traditional Arabic" w:hAnsi="Traditional Arabic" w:cs="Traditional Arabic" w:hint="cs"/>
          <w:sz w:val="24"/>
          <w:szCs w:val="24"/>
          <w:rtl/>
        </w:rPr>
        <w:t>وتعرفه الباحثة إجرائيا بأنه يُقاس من خلال مدى قدرة المؤسسة على اتخاذ قرارات بشأن قبول أو رفض المخاطر بناءً على نتائج التحليل، ويُرصد ذلك عبر بنود تقيس وضوح معايير التقييم، وتطبيقها في الممارسات اليومية</w:t>
      </w:r>
      <w:r w:rsidRPr="003849C3">
        <w:rPr>
          <w:rFonts w:ascii="Traditional Arabic" w:hAnsi="Traditional Arabic" w:cs="Traditional Arabic" w:hint="cs"/>
          <w:sz w:val="24"/>
          <w:szCs w:val="24"/>
        </w:rPr>
        <w:t>.</w:t>
      </w:r>
    </w:p>
    <w:p w14:paraId="180004B0" w14:textId="48B2BAE1" w:rsidR="003979B0" w:rsidRPr="003849C3" w:rsidRDefault="00C43B15">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lastRenderedPageBreak/>
        <w:t>الاستجابة للمخاطر</w:t>
      </w:r>
      <w:r w:rsidRPr="003849C3">
        <w:rPr>
          <w:rFonts w:ascii="Traditional Arabic" w:hAnsi="Traditional Arabic" w:cs="Traditional Arabic" w:hint="cs"/>
          <w:b/>
          <w:bCs/>
          <w:sz w:val="24"/>
          <w:szCs w:val="24"/>
          <w:lang w:bidi="ar-EG"/>
        </w:rPr>
        <w:t xml:space="preserve"> (Risk Response):</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32534E"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88)</w:t>
      </w:r>
      <w:r w:rsidRPr="003849C3">
        <w:rPr>
          <w:rFonts w:ascii="Traditional Arabic" w:hAnsi="Traditional Arabic" w:cs="Traditional Arabic" w:hint="cs"/>
          <w:sz w:val="24"/>
          <w:szCs w:val="24"/>
          <w:lang w:bidi="ar-EG"/>
        </w:rPr>
        <w:t>.</w:t>
      </w:r>
    </w:p>
    <w:p w14:paraId="5A6FC8FE" w14:textId="3602D36A" w:rsidR="0074582D" w:rsidRPr="003849C3" w:rsidRDefault="0074582D" w:rsidP="000E6E9F">
      <w:pPr>
        <w:bidi/>
        <w:spacing w:line="360" w:lineRule="auto"/>
        <w:ind w:left="720"/>
        <w:rPr>
          <w:rFonts w:ascii="Traditional Arabic" w:hAnsi="Traditional Arabic" w:cs="Traditional Arabic"/>
          <w:sz w:val="24"/>
          <w:szCs w:val="24"/>
        </w:rPr>
      </w:pPr>
      <w:r w:rsidRPr="003849C3">
        <w:rPr>
          <w:rFonts w:ascii="Traditional Arabic" w:hAnsi="Traditional Arabic" w:cs="Traditional Arabic" w:hint="cs"/>
          <w:sz w:val="24"/>
          <w:szCs w:val="24"/>
          <w:rtl/>
        </w:rPr>
        <w:t>وتعرفه الباحثة إجرائيا بأنه يُقاس من خلال مدى تطبيق العاملين لاستراتيجيات وقائية أوعلاجية للتعامل مع المخاطر، مثل تعديل السياسات، أو تنفيذ خطط الطوارئ، ويظهر ذلك في استجابتهم لبنود تقيس فعالية التدخلات وسرعة الاستجابة</w:t>
      </w:r>
      <w:r w:rsidRPr="003849C3">
        <w:rPr>
          <w:rFonts w:ascii="Traditional Arabic" w:hAnsi="Traditional Arabic" w:cs="Traditional Arabic" w:hint="cs"/>
          <w:sz w:val="24"/>
          <w:szCs w:val="24"/>
        </w:rPr>
        <w:t>.</w:t>
      </w:r>
    </w:p>
    <w:p w14:paraId="5D2D850D" w14:textId="77777777" w:rsidR="0032534E" w:rsidRPr="003849C3" w:rsidRDefault="008B2E01" w:rsidP="008B2E01">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 xml:space="preserve">ثانياً: </w:t>
      </w:r>
      <w:r w:rsidR="00532954" w:rsidRPr="003849C3">
        <w:rPr>
          <w:rFonts w:ascii="Traditional Arabic" w:eastAsia="Calibri" w:hAnsi="Traditional Arabic" w:cs="Traditional Arabic" w:hint="cs"/>
          <w:b/>
          <w:bCs/>
          <w:color w:val="000000" w:themeColor="text1"/>
          <w:sz w:val="24"/>
          <w:szCs w:val="24"/>
          <w:rtl/>
          <w:lang w:bidi="ar-EG"/>
        </w:rPr>
        <w:t>سلامة المرضى</w:t>
      </w:r>
      <w:r w:rsidR="0032534E" w:rsidRPr="003849C3">
        <w:rPr>
          <w:rFonts w:ascii="Traditional Arabic" w:eastAsia="Calibri" w:hAnsi="Traditional Arabic" w:cs="Traditional Arabic" w:hint="cs"/>
          <w:b/>
          <w:bCs/>
          <w:color w:val="000000" w:themeColor="text1"/>
          <w:sz w:val="24"/>
          <w:szCs w:val="24"/>
          <w:rtl/>
          <w:lang w:bidi="ar-EG"/>
        </w:rPr>
        <w:t>:</w:t>
      </w:r>
    </w:p>
    <w:p w14:paraId="6316B4DD" w14:textId="223A4164" w:rsidR="00532954" w:rsidRPr="003849C3" w:rsidRDefault="00532954" w:rsidP="000E6E9F">
      <w:pPr>
        <w:bidi/>
        <w:spacing w:after="200" w:line="360" w:lineRule="auto"/>
        <w:ind w:firstLine="720"/>
        <w:contextualSpacing/>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lang w:bidi="ar-EG"/>
        </w:rPr>
        <w:t xml:space="preserve"> بأنها مجموعة من الأنشطة والأنظمة والإجراءات التي تهدف إلى تقليل المخاطر المرتبطة بالرعاية الصحية، والحد من الأذى الذي يمكن الوقاية منه، من خلال بناء ثقافة مؤسسية تركز على التعلم المستمر، والتحسين، والاستجابة الفعالة للأخطاء عند وقوعها (منظمة الصحة العالمية، 2023</w:t>
      </w:r>
      <w:r w:rsidR="0032534E" w:rsidRPr="003849C3">
        <w:rPr>
          <w:rFonts w:ascii="Traditional Arabic" w:eastAsia="Calibri" w:hAnsi="Traditional Arabic" w:cs="Traditional Arabic" w:hint="cs"/>
          <w:color w:val="000000" w:themeColor="text1"/>
          <w:sz w:val="24"/>
          <w:szCs w:val="24"/>
          <w:rtl/>
          <w:lang w:bidi="ar-EG"/>
        </w:rPr>
        <w:t>،</w:t>
      </w:r>
      <w:r w:rsidRPr="003849C3">
        <w:rPr>
          <w:rFonts w:ascii="Traditional Arabic" w:eastAsia="Calibri" w:hAnsi="Traditional Arabic" w:cs="Traditional Arabic" w:hint="cs"/>
          <w:color w:val="000000" w:themeColor="text1"/>
          <w:sz w:val="24"/>
          <w:szCs w:val="24"/>
          <w:rtl/>
          <w:lang w:bidi="ar-EG"/>
        </w:rPr>
        <w:t xml:space="preserve"> 1).</w:t>
      </w:r>
    </w:p>
    <w:p w14:paraId="2D199E40" w14:textId="0C380A33" w:rsidR="00154AF7" w:rsidRPr="003849C3" w:rsidRDefault="00154AF7" w:rsidP="000E6E9F">
      <w:pPr>
        <w:bidi/>
        <w:spacing w:after="200" w:line="360" w:lineRule="auto"/>
        <w:ind w:firstLine="720"/>
        <w:contextualSpacing/>
        <w:jc w:val="both"/>
        <w:rPr>
          <w:rFonts w:ascii="Traditional Arabic" w:eastAsia="Calibri" w:hAnsi="Traditional Arabic" w:cs="Traditional Arabic"/>
          <w:color w:val="000000" w:themeColor="text1"/>
          <w:sz w:val="24"/>
          <w:szCs w:val="24"/>
          <w:rtl/>
        </w:rPr>
      </w:pPr>
      <w:r w:rsidRPr="003849C3">
        <w:rPr>
          <w:rFonts w:ascii="Traditional Arabic" w:eastAsia="Calibri" w:hAnsi="Traditional Arabic" w:cs="Traditional Arabic" w:hint="cs"/>
          <w:color w:val="000000" w:themeColor="text1"/>
          <w:sz w:val="24"/>
          <w:szCs w:val="24"/>
          <w:rtl/>
          <w:lang w:bidi="ar-EG"/>
        </w:rPr>
        <w:t xml:space="preserve">وتعرفه إجرائيا </w:t>
      </w:r>
      <w:r w:rsidRPr="003849C3">
        <w:rPr>
          <w:rFonts w:ascii="Traditional Arabic" w:eastAsia="Calibri" w:hAnsi="Traditional Arabic" w:cs="Traditional Arabic" w:hint="cs"/>
          <w:color w:val="000000" w:themeColor="text1"/>
          <w:sz w:val="24"/>
          <w:szCs w:val="24"/>
          <w:rtl/>
        </w:rPr>
        <w:t xml:space="preserve">بأنه درجة إدراك العاملين الصحيين لمستوى الحماية المقدمة للمرضى من الأخطاء والإخفاقات أثناء تقديم الرعاية الصحية، وذلك داخل المستشفيات الحكومية بالمملكة العربية السعودية. </w:t>
      </w:r>
    </w:p>
    <w:p w14:paraId="0824CB38" w14:textId="1DE418E9" w:rsidR="000F7ABC" w:rsidRPr="003849C3" w:rsidRDefault="000F7ABC" w:rsidP="000F7ABC">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أبعاد سلامة المرضى:</w:t>
      </w:r>
    </w:p>
    <w:p w14:paraId="678B8870" w14:textId="4B5BB797" w:rsidR="000F7ABC" w:rsidRPr="003849C3" w:rsidRDefault="000F7ABC">
      <w:pPr>
        <w:numPr>
          <w:ilvl w:val="0"/>
          <w:numId w:val="30"/>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تقليل الأخطاء الطبية</w:t>
      </w:r>
      <w:r w:rsidRPr="003849C3">
        <w:rPr>
          <w:rFonts w:ascii="Traditional Arabic" w:hAnsi="Traditional Arabic" w:cs="Traditional Arabic" w:hint="cs"/>
          <w:b/>
          <w:bCs/>
          <w:sz w:val="24"/>
          <w:szCs w:val="24"/>
          <w:lang w:bidi="ar-EG"/>
        </w:rPr>
        <w:t xml:space="preserve"> (Reducing Medical Errors)</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 xml:space="preserve">يُعد هذا البعد من أهم مؤشرات سلامة المرضى، ويشمل تقليل الأخطاء في التشخيص، </w:t>
      </w:r>
      <w:r w:rsidR="00F610E1" w:rsidRPr="003849C3">
        <w:rPr>
          <w:rFonts w:ascii="Traditional Arabic" w:hAnsi="Traditional Arabic" w:cs="Traditional Arabic" w:hint="cs"/>
          <w:sz w:val="24"/>
          <w:szCs w:val="24"/>
          <w:rtl/>
        </w:rPr>
        <w:t>و</w:t>
      </w:r>
      <w:r w:rsidRPr="003849C3">
        <w:rPr>
          <w:rFonts w:ascii="Traditional Arabic" w:hAnsi="Traditional Arabic" w:cs="Traditional Arabic" w:hint="cs"/>
          <w:sz w:val="24"/>
          <w:szCs w:val="24"/>
          <w:rtl/>
        </w:rPr>
        <w:t>وصف الأدوية، أو تنفيذ الإجراءات العلاجية، من خلال تطبيق بروتوكولات صارمة ومعايير مهنية واضحة (الأحمدي، 1438هـ</w:t>
      </w:r>
      <w:r w:rsidR="00F610E1"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57)</w:t>
      </w:r>
      <w:r w:rsidR="004446C9" w:rsidRPr="003849C3">
        <w:rPr>
          <w:rFonts w:ascii="Traditional Arabic" w:hAnsi="Traditional Arabic" w:cs="Traditional Arabic" w:hint="cs"/>
          <w:sz w:val="24"/>
          <w:szCs w:val="24"/>
          <w:rtl/>
          <w:lang w:bidi="ar-EG"/>
        </w:rPr>
        <w:t>.</w:t>
      </w:r>
    </w:p>
    <w:p w14:paraId="17FFB118" w14:textId="7FE4C23F"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قدرة المؤسسة الصحية على الحد من الأخطاء السريرية، مثل الأخطاء في التشخيص، وصف الأدوية، أو تنفيذ الإجراءات العلاجية.</w:t>
      </w:r>
    </w:p>
    <w:p w14:paraId="6EFE29B2" w14:textId="7AB83564" w:rsidR="000F7ABC" w:rsidRPr="003849C3" w:rsidRDefault="000F7ABC">
      <w:pPr>
        <w:numPr>
          <w:ilvl w:val="0"/>
          <w:numId w:val="30"/>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فعالية أنظمة الإبلاغ عن الحوادث</w:t>
      </w:r>
      <w:r w:rsidRPr="003849C3">
        <w:rPr>
          <w:rFonts w:ascii="Traditional Arabic" w:hAnsi="Traditional Arabic" w:cs="Traditional Arabic" w:hint="cs"/>
          <w:b/>
          <w:bCs/>
          <w:sz w:val="24"/>
          <w:szCs w:val="24"/>
          <w:lang w:bidi="ar-EG"/>
        </w:rPr>
        <w:t xml:space="preserve"> (Incident Reporting Systems)</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يشير إلى وجود آليات مؤسسية تسمح بالإبلاغ عن الحوادث والأخطاء الطبية دون خوف من العقوبة، مما يعزز ثقافة التعلم والتحسين المستمر (مدوّن حر، 2024</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1)</w:t>
      </w:r>
      <w:r w:rsidRPr="003849C3">
        <w:rPr>
          <w:rFonts w:ascii="Traditional Arabic" w:hAnsi="Traditional Arabic" w:cs="Traditional Arabic" w:hint="cs"/>
          <w:sz w:val="24"/>
          <w:szCs w:val="24"/>
          <w:lang w:bidi="ar-EG"/>
        </w:rPr>
        <w:t>.</w:t>
      </w:r>
    </w:p>
    <w:p w14:paraId="01FDCC32" w14:textId="199F8B16"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وجود نظام مؤسسي منظم يسمح بالإبلاغ عن الحوادث الطبية والأخطاء الوشيكة أو الجسيمة، دون خوف من العقوبة، وبما يضمن التحسين المستمر لجودة الرعاية.</w:t>
      </w:r>
    </w:p>
    <w:p w14:paraId="279278EB" w14:textId="1C5F2174" w:rsidR="000F7ABC" w:rsidRPr="003849C3" w:rsidRDefault="000F7ABC">
      <w:pPr>
        <w:numPr>
          <w:ilvl w:val="0"/>
          <w:numId w:val="30"/>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lastRenderedPageBreak/>
        <w:t>إشراك المرضى في الرعاية</w:t>
      </w:r>
      <w:r w:rsidRPr="003849C3">
        <w:rPr>
          <w:rFonts w:ascii="Traditional Arabic" w:hAnsi="Traditional Arabic" w:cs="Traditional Arabic" w:hint="cs"/>
          <w:b/>
          <w:bCs/>
          <w:sz w:val="24"/>
          <w:szCs w:val="24"/>
          <w:lang w:bidi="ar-EG"/>
        </w:rPr>
        <w:t xml:space="preserve"> (Patient Engagement)</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103)</w:t>
      </w:r>
      <w:r w:rsidRPr="003849C3">
        <w:rPr>
          <w:rFonts w:ascii="Traditional Arabic" w:hAnsi="Traditional Arabic" w:cs="Traditional Arabic" w:hint="cs"/>
          <w:sz w:val="24"/>
          <w:szCs w:val="24"/>
          <w:lang w:bidi="ar-EG"/>
        </w:rPr>
        <w:t>.</w:t>
      </w:r>
    </w:p>
    <w:p w14:paraId="3F7C6419" w14:textId="0C45DFC2"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مشاركة المرضى في اتخاذ قراراتهم العلاجية، وتفاعلهم مع مقدمي الخدمة، ومدى تمكينهم من فهم حالتهم الصحية والمساهمة في إدارتها</w:t>
      </w:r>
      <w:r w:rsidRPr="003849C3">
        <w:rPr>
          <w:rFonts w:ascii="Traditional Arabic" w:hAnsi="Traditional Arabic" w:cs="Traditional Arabic" w:hint="cs"/>
          <w:sz w:val="24"/>
          <w:szCs w:val="24"/>
          <w:lang w:bidi="ar-EG"/>
        </w:rPr>
        <w:t>.</w:t>
      </w:r>
    </w:p>
    <w:p w14:paraId="32FB2735" w14:textId="2BA8206F" w:rsidR="00F610E1" w:rsidRPr="003849C3" w:rsidRDefault="000F7ABC">
      <w:pPr>
        <w:numPr>
          <w:ilvl w:val="0"/>
          <w:numId w:val="30"/>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بيئة العمل الآمنة</w:t>
      </w:r>
      <w:r w:rsidRPr="003849C3">
        <w:rPr>
          <w:rFonts w:ascii="Traditional Arabic" w:hAnsi="Traditional Arabic" w:cs="Traditional Arabic" w:hint="cs"/>
          <w:b/>
          <w:bCs/>
          <w:sz w:val="24"/>
          <w:szCs w:val="24"/>
          <w:lang w:bidi="ar-EG"/>
        </w:rPr>
        <w:t xml:space="preserve"> (Safe Work Environment)</w:t>
      </w:r>
      <w:r w:rsidR="00F610E1" w:rsidRPr="003849C3">
        <w:rPr>
          <w:rFonts w:ascii="Traditional Arabic" w:hAnsi="Traditional Arabic" w:cs="Traditional Arabic" w:hint="cs"/>
          <w:b/>
          <w:bCs/>
          <w:sz w:val="24"/>
          <w:szCs w:val="24"/>
          <w:lang w:bidi="ar-EG"/>
        </w:rPr>
        <w:t xml:space="preserve"> </w:t>
      </w:r>
      <w:r w:rsidR="00F610E1" w:rsidRPr="003849C3">
        <w:rPr>
          <w:rFonts w:ascii="Traditional Arabic" w:hAnsi="Traditional Arabic" w:cs="Traditional Arabic" w:hint="cs"/>
          <w:b/>
          <w:bCs/>
          <w:sz w:val="24"/>
          <w:szCs w:val="24"/>
          <w:rtl/>
          <w:lang w:bidi="ar-EG"/>
        </w:rPr>
        <w:t xml:space="preserve"> </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تشمل توفير بيئة مهنية خالية من الضغوط النفسية والإجهاد، وتضمن سلامة مقدمي الرعاية الصحية، مما ينعكس إيجابًا على سلامة المرضى أنفسهم</w:t>
      </w:r>
      <w:r w:rsidR="00F610E1" w:rsidRPr="003849C3">
        <w:rPr>
          <w:rFonts w:ascii="Traditional Arabic" w:hAnsi="Traditional Arabic" w:cs="Traditional Arabic" w:hint="cs"/>
          <w:sz w:val="24"/>
          <w:szCs w:val="24"/>
          <w:rtl/>
        </w:rPr>
        <w:t xml:space="preserve"> </w:t>
      </w:r>
      <w:r w:rsidR="00F610E1" w:rsidRPr="003849C3">
        <w:rPr>
          <w:rFonts w:ascii="Traditional Arabic" w:hAnsi="Traditional Arabic" w:cs="Traditional Arabic" w:hint="cs"/>
          <w:sz w:val="24"/>
          <w:szCs w:val="24"/>
          <w:lang w:bidi="ar-EG"/>
        </w:rPr>
        <w:t>GAHAR,2019.42</w:t>
      </w:r>
      <w:r w:rsidR="00F610E1" w:rsidRPr="003849C3">
        <w:rPr>
          <w:rFonts w:ascii="Traditional Arabic" w:hAnsi="Traditional Arabic" w:cs="Traditional Arabic" w:hint="cs"/>
          <w:sz w:val="24"/>
          <w:szCs w:val="24"/>
          <w:rtl/>
          <w:lang w:bidi="ar-EG"/>
        </w:rPr>
        <w:t xml:space="preserve">. </w:t>
      </w:r>
    </w:p>
    <w:p w14:paraId="4A6F9695" w14:textId="19BE421E" w:rsidR="00E96506" w:rsidRPr="003849C3" w:rsidRDefault="00E96506" w:rsidP="000E6E9F">
      <w:pPr>
        <w:bidi/>
        <w:spacing w:line="360" w:lineRule="auto"/>
        <w:ind w:left="720"/>
        <w:jc w:val="both"/>
        <w:rPr>
          <w:rFonts w:ascii="Traditional Arabic" w:hAnsi="Traditional Arabic" w:cs="Traditional Arabic"/>
          <w:sz w:val="24"/>
          <w:szCs w:val="24"/>
          <w:rtl/>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توفر ظروف مهنية خالية من المخاطر الجسدية والنفسية، مثل وضوح إجراءات السلامة، توفر أدوات الوقاية، التدريب على التعامل مع الحوادث، وتطبيق معايير الصحة المهنية داخل المؤسسة الصحية</w:t>
      </w:r>
      <w:r w:rsidRPr="003849C3">
        <w:rPr>
          <w:rFonts w:ascii="Traditional Arabic" w:hAnsi="Traditional Arabic" w:cs="Traditional Arabic" w:hint="cs"/>
          <w:sz w:val="24"/>
          <w:szCs w:val="24"/>
          <w:lang w:bidi="ar-EG"/>
        </w:rPr>
        <w:t>.</w:t>
      </w:r>
    </w:p>
    <w:p w14:paraId="781F65A6" w14:textId="71DEF5A4" w:rsidR="000F7ABC" w:rsidRPr="003849C3" w:rsidRDefault="000F7ABC">
      <w:pPr>
        <w:numPr>
          <w:ilvl w:val="0"/>
          <w:numId w:val="30"/>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جودة الرعاية السريرية</w:t>
      </w:r>
      <w:r w:rsidRPr="003849C3">
        <w:rPr>
          <w:rFonts w:ascii="Traditional Arabic" w:hAnsi="Traditional Arabic" w:cs="Traditional Arabic" w:hint="cs"/>
          <w:b/>
          <w:bCs/>
          <w:sz w:val="24"/>
          <w:szCs w:val="24"/>
          <w:lang w:bidi="ar-EG"/>
        </w:rPr>
        <w:t xml:space="preserve"> (Clinical Care Quality)</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يرتبط هذا البعد بتطبيق الممارسات المبنية على الأدلة، وكفاءة الكوادر الصحية، وتكامل الخدمات، بما يحقق نتائج علاجية آمنة وفعالة (الأحمدي، 1438هـ</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13</w:t>
      </w:r>
      <w:r w:rsidR="006E2E73" w:rsidRPr="003849C3">
        <w:rPr>
          <w:rFonts w:ascii="Traditional Arabic" w:hAnsi="Traditional Arabic" w:cs="Traditional Arabic" w:hint="cs"/>
          <w:sz w:val="24"/>
          <w:szCs w:val="24"/>
          <w:rtl/>
        </w:rPr>
        <w:t xml:space="preserve">5 </w:t>
      </w:r>
      <w:r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lang w:bidi="ar-EG"/>
        </w:rPr>
        <w:t>.</w:t>
      </w:r>
    </w:p>
    <w:p w14:paraId="10FF59CE" w14:textId="72577CAA" w:rsidR="00195681" w:rsidRPr="003849C3" w:rsidRDefault="00195681" w:rsidP="009D5A23">
      <w:pPr>
        <w:bidi/>
        <w:spacing w:line="360" w:lineRule="auto"/>
        <w:ind w:left="720"/>
        <w:jc w:val="both"/>
        <w:rPr>
          <w:rFonts w:ascii="Traditional Arabic" w:hAnsi="Traditional Arabic" w:cs="Traditional Arabic"/>
          <w:sz w:val="24"/>
          <w:szCs w:val="24"/>
          <w:rtl/>
          <w:lang w:bidi="ar-EG"/>
        </w:rPr>
      </w:pPr>
      <w:r w:rsidRPr="003849C3">
        <w:rPr>
          <w:rFonts w:ascii="Traditional Arabic" w:hAnsi="Traditional Arabic" w:cs="Traditional Arabic" w:hint="cs"/>
          <w:sz w:val="24"/>
          <w:szCs w:val="24"/>
          <w:rtl/>
          <w:lang w:bidi="ar-EG"/>
        </w:rPr>
        <w:t>يُقاس إجرائيًا من خلال استجابات أفراد العينة على بنود الاستبانة التي تعكس مدى التزام المؤسسة الصحية بتطبيق الممارسات العلاجية المبنية على الأدلة، كفاءة الكوادر الطبية، تكامل الخدمات، ودقة الإجراءات السريرية، بما يضمن تحقيق نتائج علاجية آمنة وفعالة.</w:t>
      </w:r>
    </w:p>
    <w:p w14:paraId="5EEFA92B" w14:textId="713535BF" w:rsidR="008B2E01" w:rsidRPr="003849C3" w:rsidRDefault="008B2E01" w:rsidP="00997A3F">
      <w:pPr>
        <w:bidi/>
        <w:spacing w:after="200" w:line="276"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 xml:space="preserve">ثالثاً: </w:t>
      </w:r>
      <w:r w:rsidR="00294E45" w:rsidRPr="003849C3">
        <w:rPr>
          <w:rFonts w:ascii="Traditional Arabic" w:eastAsia="Calibri" w:hAnsi="Traditional Arabic" w:cs="Traditional Arabic" w:hint="cs"/>
          <w:b/>
          <w:bCs/>
          <w:sz w:val="24"/>
          <w:szCs w:val="24"/>
          <w:rtl/>
          <w:lang w:bidi="ar-EG"/>
        </w:rPr>
        <w:t>القيادة التحويلية:</w:t>
      </w:r>
      <w:r w:rsidR="00294E45" w:rsidRPr="003849C3">
        <w:rPr>
          <w:rFonts w:ascii="Traditional Arabic" w:eastAsia="Calibri" w:hAnsi="Traditional Arabic" w:cs="Traditional Arabic" w:hint="cs"/>
          <w:sz w:val="24"/>
          <w:szCs w:val="24"/>
          <w:rtl/>
          <w:lang w:bidi="ar-EG"/>
        </w:rPr>
        <w:t xml:space="preserve"> </w:t>
      </w:r>
    </w:p>
    <w:p w14:paraId="3B8680CB" w14:textId="4EE5024D" w:rsidR="008B2E01" w:rsidRPr="003849C3" w:rsidRDefault="008B2E01" w:rsidP="009D5A23">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تُعرّف القيادة التحويلية بأنها نمط قيادي يهدف إلى إحداث تغيير إيجابي في سلوك العاملين من خلال التأثير المثالي، الإلهام، الاستثارة الفكرية، والتمكين الإداري، حيث يسعى القائد إلى تحفيز الأفراد نحو تحقيق أهداف تتجاوز المصالح الشخصية، وتعزيز الالتزام الجماعي بقيم المؤسسة الصحية (حسين، 2019، ص. 705)</w:t>
      </w:r>
      <w:r w:rsidRPr="003849C3">
        <w:rPr>
          <w:rFonts w:ascii="Traditional Arabic" w:eastAsia="Calibri" w:hAnsi="Traditional Arabic" w:cs="Traditional Arabic" w:hint="cs"/>
          <w:sz w:val="24"/>
          <w:szCs w:val="24"/>
          <w:lang w:bidi="ar-EG"/>
        </w:rPr>
        <w:t>.</w:t>
      </w:r>
    </w:p>
    <w:p w14:paraId="73C6BE7E" w14:textId="33AF2A89" w:rsidR="006C4114" w:rsidRPr="003849C3" w:rsidRDefault="00F610E1" w:rsidP="009D5A23">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 xml:space="preserve">كما </w:t>
      </w:r>
      <w:r w:rsidR="006C4114" w:rsidRPr="003849C3">
        <w:rPr>
          <w:rFonts w:ascii="Traditional Arabic" w:eastAsia="Calibri" w:hAnsi="Traditional Arabic" w:cs="Traditional Arabic" w:hint="cs"/>
          <w:sz w:val="24"/>
          <w:szCs w:val="24"/>
          <w:rtl/>
        </w:rPr>
        <w:t xml:space="preserve">تعرف الباحثة القيادة التحويلية إجرائيا بأنها درجة ممارسة القادة الصحيين لنمط قيادي يهدف إلى إحداث تغيير إيجابي في بيئة العمل، من خلال تحفيز العاملين، تعزيز الالتزام التنظيمي، وتطوير الأداء الجماعي. </w:t>
      </w:r>
    </w:p>
    <w:p w14:paraId="095361BC" w14:textId="77777777" w:rsidR="0060279C" w:rsidRPr="003849C3" w:rsidRDefault="0060279C" w:rsidP="0060279C">
      <w:pPr>
        <w:bidi/>
        <w:spacing w:line="278" w:lineRule="auto"/>
        <w:rPr>
          <w:rFonts w:ascii="Traditional Arabic" w:eastAsia="Calibri" w:hAnsi="Traditional Arabic" w:cs="Traditional Arabic"/>
          <w:b/>
          <w:bCs/>
          <w:kern w:val="2"/>
          <w:sz w:val="24"/>
          <w:szCs w:val="24"/>
          <w:lang w:bidi="ar-EG"/>
          <w14:ligatures w14:val="standardContextual"/>
        </w:rPr>
      </w:pPr>
      <w:r w:rsidRPr="003849C3">
        <w:rPr>
          <w:rFonts w:ascii="Traditional Arabic" w:eastAsia="Calibri" w:hAnsi="Traditional Arabic" w:cs="Traditional Arabic" w:hint="cs"/>
          <w:b/>
          <w:bCs/>
          <w:kern w:val="2"/>
          <w:sz w:val="24"/>
          <w:szCs w:val="24"/>
          <w:rtl/>
          <w14:ligatures w14:val="standardContextual"/>
        </w:rPr>
        <w:t>أبعاد القيادة التحويلية</w:t>
      </w:r>
      <w:r w:rsidRPr="003849C3">
        <w:rPr>
          <w:rFonts w:ascii="Traditional Arabic" w:eastAsia="Calibri" w:hAnsi="Traditional Arabic" w:cs="Traditional Arabic" w:hint="cs"/>
          <w:b/>
          <w:bCs/>
          <w:kern w:val="2"/>
          <w:sz w:val="24"/>
          <w:szCs w:val="24"/>
          <w:lang w:bidi="ar-EG"/>
          <w14:ligatures w14:val="standardContextual"/>
        </w:rPr>
        <w:t>:</w:t>
      </w:r>
    </w:p>
    <w:p w14:paraId="0133E761" w14:textId="3F401F79" w:rsidR="00F610E1" w:rsidRPr="003849C3" w:rsidRDefault="0060279C">
      <w:pPr>
        <w:numPr>
          <w:ilvl w:val="0"/>
          <w:numId w:val="28"/>
        </w:numPr>
        <w:bidi/>
        <w:spacing w:line="278"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lastRenderedPageBreak/>
        <w:t>التأثير المثالي</w:t>
      </w:r>
      <w:r w:rsidRPr="003849C3">
        <w:rPr>
          <w:rFonts w:ascii="Traditional Arabic" w:eastAsia="Calibri" w:hAnsi="Traditional Arabic" w:cs="Traditional Arabic" w:hint="cs"/>
          <w:b/>
          <w:bCs/>
          <w:kern w:val="2"/>
          <w:sz w:val="24"/>
          <w:szCs w:val="24"/>
          <w:lang w:bidi="ar-EG"/>
          <w14:ligatures w14:val="standardContextual"/>
        </w:rPr>
        <w:t xml:space="preserve"> (Idealized Influence):</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يتمثل في كون القائد نموذجًا يُحتذى به، يملك رؤية واضحة وقيمًا أخلاقية عالية، ويكسب احترام وثقة العاملين</w:t>
      </w:r>
      <w:r w:rsidR="00F610E1" w:rsidRPr="003849C3">
        <w:rPr>
          <w:rFonts w:ascii="Traditional Arabic" w:eastAsia="Calibri" w:hAnsi="Traditional Arabic" w:cs="Traditional Arabic" w:hint="cs"/>
          <w:kern w:val="2"/>
          <w:sz w:val="24"/>
          <w:szCs w:val="24"/>
          <w:rtl/>
          <w14:ligatures w14:val="standardContextual"/>
        </w:rPr>
        <w:t>.</w:t>
      </w:r>
    </w:p>
    <w:p w14:paraId="5ED9137B" w14:textId="274E482E"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إدراك العاملين لكون القائد نموذجًا يُحتذى به، يتمتع بالنزاهة، ويكسب احترام الفريق، ويُظهر التزامًا واضحًا بقيم العمل الصحي</w:t>
      </w:r>
      <w:r w:rsidRPr="003849C3">
        <w:rPr>
          <w:rFonts w:ascii="Traditional Arabic" w:hAnsi="Traditional Arabic" w:cs="Traditional Arabic" w:hint="cs"/>
          <w:sz w:val="24"/>
          <w:szCs w:val="24"/>
          <w:lang w:bidi="ar-EG"/>
        </w:rPr>
        <w:t>.</w:t>
      </w:r>
    </w:p>
    <w:p w14:paraId="18375016" w14:textId="1D081AC9" w:rsidR="00F610E1" w:rsidRPr="003849C3" w:rsidRDefault="0060279C">
      <w:pPr>
        <w:numPr>
          <w:ilvl w:val="0"/>
          <w:numId w:val="28"/>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الدافع والإلهام</w:t>
      </w:r>
      <w:r w:rsidRPr="003849C3">
        <w:rPr>
          <w:rFonts w:ascii="Traditional Arabic" w:eastAsia="Calibri" w:hAnsi="Traditional Arabic" w:cs="Traditional Arabic" w:hint="cs"/>
          <w:b/>
          <w:bCs/>
          <w:kern w:val="2"/>
          <w:sz w:val="24"/>
          <w:szCs w:val="24"/>
          <w:lang w:bidi="ar-EG"/>
          <w14:ligatures w14:val="standardContextual"/>
        </w:rPr>
        <w:t xml:space="preserve"> (Inspirational Motivation):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قدرة القائد على تحفيز العاملين من خلال بث الحماس، وتوضيح الأهداف المشتركة، ورفع سقف التوقعات الإيجابية</w:t>
      </w:r>
      <w:r w:rsidR="00F610E1" w:rsidRPr="003849C3">
        <w:rPr>
          <w:rFonts w:ascii="Traditional Arabic" w:eastAsia="Calibri" w:hAnsi="Traditional Arabic" w:cs="Traditional Arabic" w:hint="cs"/>
          <w:kern w:val="2"/>
          <w:sz w:val="24"/>
          <w:szCs w:val="24"/>
          <w:rtl/>
          <w14:ligatures w14:val="standardContextual"/>
        </w:rPr>
        <w:t>.</w:t>
      </w:r>
    </w:p>
    <w:p w14:paraId="48CD39A3" w14:textId="2ECD620D"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قدرة القائد على تحفيز العاملين، وبث روح الحماس، وتوضيح الأهداف المشتركة بطريقة ملهمة تعزز الانتماء للمستشفى</w:t>
      </w:r>
      <w:r w:rsidRPr="003849C3">
        <w:rPr>
          <w:rFonts w:ascii="Traditional Arabic" w:hAnsi="Traditional Arabic" w:cs="Traditional Arabic" w:hint="cs"/>
          <w:sz w:val="24"/>
          <w:szCs w:val="24"/>
          <w:lang w:bidi="ar-EG"/>
        </w:rPr>
        <w:t>.</w:t>
      </w:r>
    </w:p>
    <w:p w14:paraId="456C9AB7" w14:textId="727833E5" w:rsidR="00110989" w:rsidRPr="003849C3" w:rsidRDefault="0060279C">
      <w:pPr>
        <w:numPr>
          <w:ilvl w:val="0"/>
          <w:numId w:val="28"/>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الاستثارة الفكرية</w:t>
      </w:r>
      <w:r w:rsidRPr="003849C3">
        <w:rPr>
          <w:rFonts w:ascii="Traditional Arabic" w:eastAsia="Calibri" w:hAnsi="Traditional Arabic" w:cs="Traditional Arabic" w:hint="cs"/>
          <w:b/>
          <w:bCs/>
          <w:kern w:val="2"/>
          <w:sz w:val="24"/>
          <w:szCs w:val="24"/>
          <w:lang w:bidi="ar-EG"/>
          <w14:ligatures w14:val="standardContextual"/>
        </w:rPr>
        <w:t xml:space="preserve"> (Intellectual Stimulation):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يشجع القائد العاملين على التفكير النقدي، الابتكار، وتحدي الأساليب التقليدية في العمل، مما يعزز التطوير المستمر</w:t>
      </w:r>
      <w:r w:rsidR="00110989" w:rsidRPr="003849C3">
        <w:rPr>
          <w:rFonts w:ascii="Traditional Arabic" w:eastAsia="Calibri" w:hAnsi="Traditional Arabic" w:cs="Traditional Arabic" w:hint="cs"/>
          <w:kern w:val="2"/>
          <w:sz w:val="24"/>
          <w:szCs w:val="24"/>
          <w:rtl/>
          <w14:ligatures w14:val="standardContextual"/>
        </w:rPr>
        <w:t>.</w:t>
      </w:r>
    </w:p>
    <w:p w14:paraId="042907E6" w14:textId="3A36050D"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تشجيع القائد للعاملين على التفكير النقدي، واقتراح حلول مبتكرة، وتحدي الأساليب التقليدية في تقديم الرعاية الصحية</w:t>
      </w:r>
      <w:r w:rsidRPr="003849C3">
        <w:rPr>
          <w:rFonts w:ascii="Traditional Arabic" w:hAnsi="Traditional Arabic" w:cs="Traditional Arabic" w:hint="cs"/>
          <w:sz w:val="24"/>
          <w:szCs w:val="24"/>
          <w:lang w:bidi="ar-EG"/>
        </w:rPr>
        <w:t>.</w:t>
      </w:r>
    </w:p>
    <w:p w14:paraId="52ED5391" w14:textId="59E09621" w:rsidR="00260C64" w:rsidRPr="003849C3" w:rsidRDefault="0060279C">
      <w:pPr>
        <w:numPr>
          <w:ilvl w:val="0"/>
          <w:numId w:val="28"/>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الاعتبارات الفردية</w:t>
      </w:r>
      <w:r w:rsidRPr="003849C3">
        <w:rPr>
          <w:rFonts w:ascii="Traditional Arabic" w:eastAsia="Calibri" w:hAnsi="Traditional Arabic" w:cs="Traditional Arabic" w:hint="cs"/>
          <w:b/>
          <w:bCs/>
          <w:kern w:val="2"/>
          <w:sz w:val="24"/>
          <w:szCs w:val="24"/>
          <w:lang w:bidi="ar-EG"/>
          <w14:ligatures w14:val="standardContextual"/>
        </w:rPr>
        <w:t xml:space="preserve"> (Individualized Consideration):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يعامل القائد كل فرد ككيان مستقل، يراعي احتياجاته المهنية، ويوفر له الدعم والتوجيه المناسب</w:t>
      </w:r>
      <w:r w:rsidRPr="003849C3">
        <w:rPr>
          <w:rFonts w:ascii="Traditional Arabic" w:eastAsia="Calibri" w:hAnsi="Traditional Arabic" w:cs="Traditional Arabic" w:hint="cs"/>
          <w:kern w:val="2"/>
          <w:sz w:val="24"/>
          <w:szCs w:val="24"/>
          <w:rtl/>
          <w:lang w:bidi="ar-EG"/>
          <w14:ligatures w14:val="standardContextual"/>
        </w:rPr>
        <w:t xml:space="preserve"> ( حسين ، 2019، 705</w:t>
      </w:r>
      <w:r w:rsidR="00260C64" w:rsidRPr="003849C3">
        <w:rPr>
          <w:rFonts w:ascii="Traditional Arabic" w:eastAsia="Calibri" w:hAnsi="Traditional Arabic" w:cs="Traditional Arabic" w:hint="cs"/>
          <w:kern w:val="2"/>
          <w:sz w:val="24"/>
          <w:szCs w:val="24"/>
          <w:rtl/>
          <w:lang w:bidi="ar-EG"/>
          <w14:ligatures w14:val="standardContextual"/>
        </w:rPr>
        <w:t>).</w:t>
      </w:r>
    </w:p>
    <w:p w14:paraId="292FC2EB" w14:textId="7E99391E" w:rsidR="00DD4E42"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اهتمام القائد باحتياجات العاملين الفردية، وتقديم الدعم والتوجيه المناسب لكل منهم وفقًا لظروفه المهنية</w:t>
      </w:r>
      <w:r w:rsidRPr="003849C3">
        <w:rPr>
          <w:rFonts w:ascii="Traditional Arabic" w:hAnsi="Traditional Arabic" w:cs="Traditional Arabic" w:hint="cs"/>
          <w:sz w:val="24"/>
          <w:szCs w:val="24"/>
          <w:lang w:bidi="ar-EG"/>
        </w:rPr>
        <w:t>.</w:t>
      </w:r>
    </w:p>
    <w:p w14:paraId="74F1E400" w14:textId="77777777" w:rsidR="00294D20" w:rsidRDefault="00294D20" w:rsidP="00294D20">
      <w:pPr>
        <w:bidi/>
        <w:spacing w:line="360" w:lineRule="auto"/>
        <w:ind w:left="720"/>
        <w:rPr>
          <w:rFonts w:ascii="Traditional Arabic" w:hAnsi="Traditional Arabic" w:cs="Traditional Arabic"/>
          <w:sz w:val="24"/>
          <w:szCs w:val="24"/>
          <w:lang w:bidi="ar-EG"/>
        </w:rPr>
      </w:pPr>
    </w:p>
    <w:p w14:paraId="7CDC0FFF" w14:textId="77777777" w:rsidR="00294D20" w:rsidRDefault="00294D20" w:rsidP="00294D20">
      <w:pPr>
        <w:bidi/>
        <w:spacing w:line="360" w:lineRule="auto"/>
        <w:ind w:left="720"/>
        <w:rPr>
          <w:rFonts w:ascii="Traditional Arabic" w:hAnsi="Traditional Arabic" w:cs="Traditional Arabic"/>
          <w:sz w:val="24"/>
          <w:szCs w:val="24"/>
          <w:lang w:bidi="ar-EG"/>
        </w:rPr>
      </w:pPr>
    </w:p>
    <w:p w14:paraId="4824E929" w14:textId="77777777" w:rsidR="00294D20" w:rsidRDefault="00294D20" w:rsidP="00294D20">
      <w:pPr>
        <w:bidi/>
        <w:spacing w:line="360" w:lineRule="auto"/>
        <w:ind w:left="720"/>
        <w:rPr>
          <w:rFonts w:ascii="Traditional Arabic" w:hAnsi="Traditional Arabic" w:cs="Traditional Arabic"/>
          <w:sz w:val="24"/>
          <w:szCs w:val="24"/>
          <w:lang w:bidi="ar-EG"/>
        </w:rPr>
      </w:pPr>
    </w:p>
    <w:p w14:paraId="014FB79E" w14:textId="77777777" w:rsidR="00294D20" w:rsidRDefault="00294D20" w:rsidP="00294D20">
      <w:pPr>
        <w:bidi/>
        <w:spacing w:line="360" w:lineRule="auto"/>
        <w:ind w:left="720"/>
        <w:rPr>
          <w:rFonts w:ascii="Traditional Arabic" w:hAnsi="Traditional Arabic" w:cs="Traditional Arabic"/>
          <w:sz w:val="24"/>
          <w:szCs w:val="24"/>
          <w:lang w:bidi="ar-EG"/>
        </w:rPr>
      </w:pPr>
    </w:p>
    <w:p w14:paraId="460F6C4D" w14:textId="77777777" w:rsidR="00294D20" w:rsidRPr="003849C3" w:rsidRDefault="00294D20" w:rsidP="00294D20">
      <w:pPr>
        <w:bidi/>
        <w:spacing w:line="360" w:lineRule="auto"/>
        <w:ind w:left="720"/>
        <w:rPr>
          <w:rFonts w:ascii="Traditional Arabic" w:hAnsi="Traditional Arabic" w:cs="Traditional Arabic"/>
          <w:sz w:val="24"/>
          <w:szCs w:val="24"/>
          <w:rtl/>
          <w:lang w:bidi="ar-EG"/>
        </w:rPr>
      </w:pPr>
    </w:p>
    <w:p w14:paraId="50B5BC38" w14:textId="77777777" w:rsidR="00997A3F" w:rsidRDefault="00997A3F" w:rsidP="00DD4E42">
      <w:pPr>
        <w:bidi/>
        <w:spacing w:after="0" w:line="240" w:lineRule="auto"/>
        <w:rPr>
          <w:rFonts w:ascii="Traditional Arabic" w:hAnsi="Traditional Arabic" w:cs="Traditional Arabic"/>
          <w:b/>
          <w:bCs/>
          <w:color w:val="00B0F0"/>
          <w:sz w:val="24"/>
          <w:szCs w:val="24"/>
          <w:u w:val="single"/>
          <w:rtl/>
        </w:rPr>
      </w:pPr>
    </w:p>
    <w:p w14:paraId="4CC39A9A" w14:textId="77777777" w:rsidR="006A74B5" w:rsidRDefault="006A74B5" w:rsidP="006A74B5">
      <w:pPr>
        <w:bidi/>
        <w:spacing w:after="0" w:line="240" w:lineRule="auto"/>
        <w:rPr>
          <w:rFonts w:ascii="Traditional Arabic" w:hAnsi="Traditional Arabic" w:cs="Traditional Arabic"/>
          <w:b/>
          <w:bCs/>
          <w:color w:val="00B0F0"/>
          <w:sz w:val="24"/>
          <w:szCs w:val="24"/>
          <w:u w:val="single"/>
        </w:rPr>
      </w:pPr>
    </w:p>
    <w:p w14:paraId="67913F9C" w14:textId="631C5354" w:rsidR="005A111C" w:rsidRPr="003849C3" w:rsidRDefault="005A111C" w:rsidP="00997A3F">
      <w:pPr>
        <w:bidi/>
        <w:spacing w:after="0" w:line="240" w:lineRule="auto"/>
        <w:rPr>
          <w:rFonts w:ascii="Traditional Arabic" w:hAnsi="Traditional Arabic" w:cs="Traditional Arabic"/>
          <w:b/>
          <w:bCs/>
          <w:color w:val="FF0000"/>
          <w:sz w:val="24"/>
          <w:szCs w:val="24"/>
          <w:rtl/>
        </w:rPr>
      </w:pPr>
      <w:r w:rsidRPr="003849C3">
        <w:rPr>
          <w:rFonts w:ascii="Traditional Arabic" w:hAnsi="Traditional Arabic" w:cs="Traditional Arabic" w:hint="cs"/>
          <w:b/>
          <w:bCs/>
          <w:color w:val="00B0F0"/>
          <w:sz w:val="24"/>
          <w:szCs w:val="24"/>
          <w:u w:val="single"/>
          <w:rtl/>
        </w:rPr>
        <w:lastRenderedPageBreak/>
        <w:t>أبعاد متغيرات الدراسة:</w:t>
      </w:r>
      <w:r w:rsidRPr="003849C3">
        <w:rPr>
          <w:rFonts w:ascii="Traditional Arabic" w:hAnsi="Traditional Arabic" w:cs="Traditional Arabic" w:hint="cs"/>
          <w:b/>
          <w:bCs/>
          <w:color w:val="00B0F0"/>
          <w:sz w:val="24"/>
          <w:szCs w:val="24"/>
          <w:rtl/>
        </w:rPr>
        <w:t xml:space="preserve"> </w:t>
      </w:r>
      <w:r w:rsidRPr="003849C3">
        <w:rPr>
          <w:rFonts w:ascii="Traditional Arabic" w:hAnsi="Traditional Arabic" w:cs="Traditional Arabic" w:hint="cs"/>
          <w:b/>
          <w:bCs/>
          <w:color w:val="FF0000"/>
          <w:sz w:val="24"/>
          <w:szCs w:val="24"/>
          <w:rtl/>
        </w:rPr>
        <w:t xml:space="preserve"> </w:t>
      </w:r>
    </w:p>
    <w:p w14:paraId="75AD0376" w14:textId="77777777" w:rsidR="00260C64" w:rsidRPr="003849C3" w:rsidRDefault="00260C64" w:rsidP="00260C64">
      <w:pPr>
        <w:bidi/>
        <w:spacing w:after="0" w:line="240" w:lineRule="auto"/>
        <w:jc w:val="center"/>
        <w:rPr>
          <w:rFonts w:ascii="Traditional Arabic" w:hAnsi="Traditional Arabic" w:cs="Traditional Arabic"/>
          <w:b/>
          <w:bCs/>
          <w:color w:val="000000" w:themeColor="text1"/>
          <w:sz w:val="24"/>
          <w:szCs w:val="24"/>
          <w:rtl/>
        </w:rPr>
      </w:pPr>
    </w:p>
    <w:p w14:paraId="2F4B2534" w14:textId="2F8B89F4" w:rsidR="005A111C" w:rsidRPr="003849C3" w:rsidRDefault="005A111C" w:rsidP="00260C64">
      <w:pPr>
        <w:bidi/>
        <w:spacing w:after="0" w:line="240" w:lineRule="auto"/>
        <w:jc w:val="center"/>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 xml:space="preserve">جدول ( </w:t>
      </w:r>
      <w:r w:rsidR="006441C4" w:rsidRPr="003849C3">
        <w:rPr>
          <w:rFonts w:ascii="Traditional Arabic" w:hAnsi="Traditional Arabic" w:cs="Traditional Arabic" w:hint="cs"/>
          <w:b/>
          <w:bCs/>
          <w:color w:val="000000" w:themeColor="text1"/>
          <w:sz w:val="24"/>
          <w:szCs w:val="24"/>
          <w:rtl/>
        </w:rPr>
        <w:t>3</w:t>
      </w:r>
      <w:r w:rsidRPr="003849C3">
        <w:rPr>
          <w:rFonts w:ascii="Traditional Arabic" w:hAnsi="Traditional Arabic" w:cs="Traditional Arabic" w:hint="cs"/>
          <w:b/>
          <w:bCs/>
          <w:color w:val="000000" w:themeColor="text1"/>
          <w:sz w:val="24"/>
          <w:szCs w:val="24"/>
          <w:rtl/>
        </w:rPr>
        <w:t xml:space="preserve"> ) يوضح أبعاد متغيرات الدراسة</w:t>
      </w:r>
    </w:p>
    <w:tbl>
      <w:tblPr>
        <w:tblStyle w:val="TableGrid"/>
        <w:tblW w:w="5000" w:type="pct"/>
        <w:tblCellSpacing w:w="20" w:type="dxa"/>
        <w:tblLook w:val="04A0" w:firstRow="1" w:lastRow="0" w:firstColumn="1" w:lastColumn="0" w:noHBand="0" w:noVBand="1"/>
      </w:tblPr>
      <w:tblGrid>
        <w:gridCol w:w="6189"/>
        <w:gridCol w:w="696"/>
        <w:gridCol w:w="1411"/>
      </w:tblGrid>
      <w:tr w:rsidR="005A111C" w:rsidRPr="00294D20" w14:paraId="0DF5910C" w14:textId="77777777" w:rsidTr="00EB5DC9">
        <w:trPr>
          <w:tblCellSpacing w:w="20" w:type="dxa"/>
        </w:trPr>
        <w:tc>
          <w:tcPr>
            <w:tcW w:w="3695" w:type="pct"/>
            <w:shd w:val="clear" w:color="auto" w:fill="E5DFEC" w:themeFill="accent4" w:themeFillTint="33"/>
            <w:hideMark/>
          </w:tcPr>
          <w:p w14:paraId="1FEB75EA"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الأبعاد الفرعية</w:t>
            </w:r>
          </w:p>
        </w:tc>
        <w:tc>
          <w:tcPr>
            <w:tcW w:w="395" w:type="pct"/>
            <w:shd w:val="clear" w:color="auto" w:fill="E5DFEC" w:themeFill="accent4" w:themeFillTint="33"/>
            <w:hideMark/>
          </w:tcPr>
          <w:p w14:paraId="27175E49"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النوع</w:t>
            </w:r>
          </w:p>
        </w:tc>
        <w:tc>
          <w:tcPr>
            <w:tcW w:w="814" w:type="pct"/>
            <w:shd w:val="clear" w:color="auto" w:fill="E5DFEC" w:themeFill="accent4" w:themeFillTint="33"/>
            <w:hideMark/>
          </w:tcPr>
          <w:p w14:paraId="4688ECE9"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المتغير</w:t>
            </w:r>
          </w:p>
        </w:tc>
      </w:tr>
      <w:tr w:rsidR="005A111C" w:rsidRPr="00294D20" w14:paraId="77F22129" w14:textId="77777777" w:rsidTr="00EB5DC9">
        <w:trPr>
          <w:tblCellSpacing w:w="20" w:type="dxa"/>
        </w:trPr>
        <w:tc>
          <w:tcPr>
            <w:tcW w:w="3695" w:type="pct"/>
            <w:hideMark/>
          </w:tcPr>
          <w:p w14:paraId="39A7867E"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تحديد المخاطر – تحليل المخاطر – تقييم المخاطر – الاستجابة للمخاطر</w:t>
            </w:r>
          </w:p>
        </w:tc>
        <w:tc>
          <w:tcPr>
            <w:tcW w:w="395" w:type="pct"/>
            <w:hideMark/>
          </w:tcPr>
          <w:p w14:paraId="6ADF5F6C"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مستقل</w:t>
            </w:r>
          </w:p>
        </w:tc>
        <w:tc>
          <w:tcPr>
            <w:tcW w:w="814" w:type="pct"/>
            <w:hideMark/>
          </w:tcPr>
          <w:p w14:paraId="165C8F4C"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إدارة المخاطر</w:t>
            </w:r>
          </w:p>
        </w:tc>
      </w:tr>
      <w:tr w:rsidR="00DD4E42" w:rsidRPr="00294D20" w14:paraId="261C8C79" w14:textId="77777777" w:rsidTr="00EB5DC9">
        <w:trPr>
          <w:tblCellSpacing w:w="20" w:type="dxa"/>
        </w:trPr>
        <w:tc>
          <w:tcPr>
            <w:tcW w:w="3695" w:type="pct"/>
            <w:hideMark/>
          </w:tcPr>
          <w:p w14:paraId="594697FC"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bookmarkStart w:id="3" w:name="_Hlk208948933"/>
            <w:r w:rsidRPr="00294D20">
              <w:rPr>
                <w:rFonts w:ascii="Traditional Arabic" w:hAnsi="Traditional Arabic" w:cs="Traditional Arabic" w:hint="cs"/>
                <w:b/>
                <w:bCs/>
                <w:spacing w:val="-6"/>
                <w:sz w:val="24"/>
                <w:szCs w:val="24"/>
                <w:rtl/>
              </w:rPr>
              <w:t>التأثير المثالي – التحفيز الإلهامي – الاستثارة الفكرية – الاعتبار الفردي</w:t>
            </w:r>
          </w:p>
        </w:tc>
        <w:tc>
          <w:tcPr>
            <w:tcW w:w="395" w:type="pct"/>
            <w:hideMark/>
          </w:tcPr>
          <w:p w14:paraId="0441858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وسيط</w:t>
            </w:r>
          </w:p>
        </w:tc>
        <w:tc>
          <w:tcPr>
            <w:tcW w:w="814" w:type="pct"/>
            <w:hideMark/>
          </w:tcPr>
          <w:p w14:paraId="60AB490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القيادة التحويلية</w:t>
            </w:r>
          </w:p>
        </w:tc>
      </w:tr>
      <w:tr w:rsidR="00DD4E42" w:rsidRPr="00294D20" w14:paraId="0ABF4AA8" w14:textId="77777777" w:rsidTr="00EB5DC9">
        <w:trPr>
          <w:tblCellSpacing w:w="20" w:type="dxa"/>
        </w:trPr>
        <w:tc>
          <w:tcPr>
            <w:tcW w:w="3695" w:type="pct"/>
            <w:hideMark/>
          </w:tcPr>
          <w:p w14:paraId="21075BB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bookmarkStart w:id="4" w:name="_Hlk208959511"/>
            <w:r w:rsidRPr="00294D20">
              <w:rPr>
                <w:rFonts w:ascii="Traditional Arabic" w:hAnsi="Traditional Arabic" w:cs="Traditional Arabic" w:hint="cs"/>
                <w:b/>
                <w:bCs/>
                <w:spacing w:val="-6"/>
                <w:sz w:val="24"/>
                <w:szCs w:val="24"/>
                <w:rtl/>
              </w:rPr>
              <w:t>تقليل الأخطاء الطبية – فعالية أنظمة الإبلاغ – إشراك المرضى – بيئة العمل الآمنة – جودة الرعاية السريرية</w:t>
            </w:r>
            <w:bookmarkEnd w:id="3"/>
            <w:bookmarkEnd w:id="4"/>
          </w:p>
        </w:tc>
        <w:tc>
          <w:tcPr>
            <w:tcW w:w="395" w:type="pct"/>
            <w:hideMark/>
          </w:tcPr>
          <w:p w14:paraId="32554C86"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تابع</w:t>
            </w:r>
          </w:p>
        </w:tc>
        <w:tc>
          <w:tcPr>
            <w:tcW w:w="814" w:type="pct"/>
            <w:hideMark/>
          </w:tcPr>
          <w:p w14:paraId="0D658580"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سلامة المرضى</w:t>
            </w:r>
          </w:p>
        </w:tc>
      </w:tr>
      <w:tr w:rsidR="004018BE" w:rsidRPr="00294D20" w14:paraId="2E97B24B" w14:textId="77777777" w:rsidTr="00EB5DC9">
        <w:trPr>
          <w:tblCellSpacing w:w="20" w:type="dxa"/>
        </w:trPr>
        <w:tc>
          <w:tcPr>
            <w:tcW w:w="3695" w:type="pct"/>
          </w:tcPr>
          <w:p w14:paraId="2951D1E8" w14:textId="39F3AAAD"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النوع – المؤهل التعليمي – نوع الوظيفة – سنوات الخبرة</w:t>
            </w:r>
          </w:p>
        </w:tc>
        <w:tc>
          <w:tcPr>
            <w:tcW w:w="395" w:type="pct"/>
          </w:tcPr>
          <w:p w14:paraId="42EE6D99" w14:textId="1665B5D8"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ضابطة</w:t>
            </w:r>
          </w:p>
        </w:tc>
        <w:tc>
          <w:tcPr>
            <w:tcW w:w="814" w:type="pct"/>
          </w:tcPr>
          <w:p w14:paraId="4FEF68E3" w14:textId="5636DA52"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المتغيرات الشخصية</w:t>
            </w:r>
          </w:p>
        </w:tc>
      </w:tr>
    </w:tbl>
    <w:p w14:paraId="57B5197D" w14:textId="539D8A07" w:rsidR="000F7ABC" w:rsidRPr="003849C3" w:rsidRDefault="005A111C" w:rsidP="005A5029">
      <w:pPr>
        <w:bidi/>
        <w:spacing w:after="0" w:line="240" w:lineRule="auto"/>
        <w:jc w:val="right"/>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إعداد/ الباحثة</w:t>
      </w:r>
    </w:p>
    <w:p w14:paraId="0E27CCF0" w14:textId="61C1EC4A" w:rsidR="00257F01" w:rsidRPr="003849C3" w:rsidRDefault="00257F01" w:rsidP="00322838">
      <w:pPr>
        <w:bidi/>
        <w:spacing w:after="0" w:line="240" w:lineRule="auto"/>
        <w:rPr>
          <w:rFonts w:ascii="Traditional Arabic" w:hAnsi="Traditional Arabic" w:cs="Traditional Arabic"/>
          <w:b/>
          <w:bCs/>
          <w:color w:val="1F497D" w:themeColor="text2"/>
          <w:sz w:val="24"/>
          <w:szCs w:val="24"/>
          <w:u w:val="single"/>
          <w:rtl/>
        </w:rPr>
      </w:pPr>
      <w:r w:rsidRPr="003849C3">
        <w:rPr>
          <w:rFonts w:ascii="Traditional Arabic" w:hAnsi="Traditional Arabic" w:cs="Traditional Arabic" w:hint="cs"/>
          <w:b/>
          <w:bCs/>
          <w:color w:val="00B0F0"/>
          <w:sz w:val="24"/>
          <w:szCs w:val="24"/>
          <w:u w:val="single"/>
          <w:rtl/>
        </w:rPr>
        <w:t>إجراءات الدراسة:</w:t>
      </w:r>
      <w:r w:rsidRPr="003849C3">
        <w:rPr>
          <w:rFonts w:ascii="Traditional Arabic" w:hAnsi="Traditional Arabic" w:cs="Traditional Arabic" w:hint="cs"/>
          <w:b/>
          <w:bCs/>
          <w:color w:val="00B0F0"/>
          <w:sz w:val="24"/>
          <w:szCs w:val="24"/>
          <w:rtl/>
        </w:rPr>
        <w:t xml:space="preserve"> </w:t>
      </w:r>
      <w:r w:rsidRPr="003849C3">
        <w:rPr>
          <w:rFonts w:ascii="Traditional Arabic" w:hAnsi="Traditional Arabic" w:cs="Traditional Arabic" w:hint="cs"/>
          <w:b/>
          <w:bCs/>
          <w:color w:val="FF0000"/>
          <w:sz w:val="24"/>
          <w:szCs w:val="24"/>
          <w:rtl/>
        </w:rPr>
        <w:t xml:space="preserve"> </w:t>
      </w:r>
    </w:p>
    <w:p w14:paraId="19351B93" w14:textId="7329301D" w:rsidR="00533AA9" w:rsidRPr="003849C3" w:rsidRDefault="00533AA9" w:rsidP="003235C8">
      <w:pPr>
        <w:bidi/>
        <w:spacing w:after="0" w:line="240" w:lineRule="auto"/>
        <w:rPr>
          <w:rFonts w:ascii="Traditional Arabic" w:hAnsi="Traditional Arabic" w:cs="Traditional Arabic"/>
          <w:b/>
          <w:bCs/>
          <w:color w:val="0070C0"/>
          <w:sz w:val="24"/>
          <w:szCs w:val="24"/>
          <w:u w:val="single"/>
          <w:rtl/>
        </w:rPr>
      </w:pPr>
      <w:r w:rsidRPr="003849C3">
        <w:rPr>
          <w:rFonts w:ascii="Traditional Arabic" w:hAnsi="Traditional Arabic" w:cs="Traditional Arabic" w:hint="cs"/>
          <w:b/>
          <w:bCs/>
          <w:color w:val="0070C0"/>
          <w:sz w:val="24"/>
          <w:szCs w:val="24"/>
          <w:u w:val="single"/>
          <w:rtl/>
        </w:rPr>
        <w:t>منهج الدراسة:</w:t>
      </w:r>
    </w:p>
    <w:p w14:paraId="38E54C72" w14:textId="16F670B9" w:rsidR="00166680" w:rsidRPr="003849C3" w:rsidRDefault="00166680" w:rsidP="00EB5DC9">
      <w:pPr>
        <w:bidi/>
        <w:spacing w:after="200" w:line="360" w:lineRule="auto"/>
        <w:ind w:firstLine="720"/>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تعتمد هذه الدراسة على المنهج الوصفي التحليلي، باعتباره الأنسب لفهم الظواهر الإدارية والسلوكية داخل المؤسسات الصحية، وتحليل العلاقات بين المتغيرات المدروسة. يهدف هذا المنهج إلى وصف واقع إدارة المخاطر وسلامة المرضى والقيادة التحويلية، ثم تحليل مدى تأثيرها المتبادل، مع التركيز على الدور الوسيط الذي تلعبه القيادة التحويلية في العلاقة بين إدارة المخاطر وسلامة المرضى</w:t>
      </w:r>
      <w:r w:rsidRPr="003849C3">
        <w:rPr>
          <w:rFonts w:ascii="Traditional Arabic" w:eastAsia="Calibri" w:hAnsi="Traditional Arabic" w:cs="Traditional Arabic" w:hint="cs"/>
          <w:sz w:val="24"/>
          <w:szCs w:val="24"/>
          <w:lang w:bidi="ar-EG"/>
        </w:rPr>
        <w:t>.</w:t>
      </w:r>
    </w:p>
    <w:p w14:paraId="5C708C65" w14:textId="64CCC076" w:rsidR="002548F5" w:rsidRPr="003849C3" w:rsidRDefault="002548F5" w:rsidP="00EB5DC9">
      <w:pPr>
        <w:bidi/>
        <w:spacing w:after="200" w:line="360" w:lineRule="auto"/>
        <w:ind w:firstLine="720"/>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وتستخدم المنهج الكمي من خلال تصميم استبانة مغلقة موجهة إلى العاملين في المرافق الصحية الحكومية، لجمع البيانات المتعلقة بأبعاد إدارة المخاطر (تحديد، تحليل، تقييم، استجابة)، وأبعاد القيادة التحويلية (التأثير المثالي، الإلهام، الاستثارة الفكرية، الاعتبارات الفردية، التمكين الإداري)، ومستوى سلامة المرضى</w:t>
      </w:r>
      <w:r w:rsidR="00260C64" w:rsidRPr="003849C3">
        <w:rPr>
          <w:rFonts w:ascii="Traditional Arabic" w:eastAsia="Calibri" w:hAnsi="Traditional Arabic" w:cs="Traditional Arabic" w:hint="cs"/>
          <w:sz w:val="24"/>
          <w:szCs w:val="24"/>
          <w:rtl/>
        </w:rPr>
        <w:t xml:space="preserve"> من خلال الأبعاد</w:t>
      </w:r>
      <w:r w:rsidR="00260C64" w:rsidRPr="003849C3">
        <w:rPr>
          <w:rFonts w:ascii="Traditional Arabic" w:eastAsia="Calibri" w:hAnsi="Traditional Arabic" w:cs="Traditional Arabic" w:hint="cs"/>
          <w:sz w:val="24"/>
          <w:szCs w:val="24"/>
          <w:rtl/>
          <w:lang w:bidi="ar-EG"/>
        </w:rPr>
        <w:t xml:space="preserve"> ( </w:t>
      </w:r>
      <w:r w:rsidR="00260C64" w:rsidRPr="003849C3">
        <w:rPr>
          <w:rFonts w:ascii="Traditional Arabic" w:eastAsia="Calibri" w:hAnsi="Traditional Arabic" w:cs="Traditional Arabic" w:hint="cs"/>
          <w:sz w:val="24"/>
          <w:szCs w:val="24"/>
          <w:rtl/>
        </w:rPr>
        <w:t>تقليل الأخطاء الطبية – فعالية أنظمة الإبلاغ – إشراك المرضى – بيئة العمل الآمنة – جودة الرعاية السريرية)، وإستمارة بيانات أولية.</w:t>
      </w:r>
    </w:p>
    <w:p w14:paraId="6C1FA1E1" w14:textId="223ECBBF" w:rsidR="00533AA9" w:rsidRPr="003849C3" w:rsidRDefault="00533AA9" w:rsidP="003235C8">
      <w:pPr>
        <w:bidi/>
        <w:spacing w:after="200" w:line="276" w:lineRule="auto"/>
        <w:rPr>
          <w:rFonts w:ascii="Traditional Arabic" w:hAnsi="Traditional Arabic" w:cs="Traditional Arabic"/>
          <w:b/>
          <w:bCs/>
          <w:color w:val="0070C0"/>
          <w:sz w:val="24"/>
          <w:szCs w:val="24"/>
          <w:u w:val="single"/>
          <w:rtl/>
        </w:rPr>
      </w:pPr>
      <w:r w:rsidRPr="003849C3">
        <w:rPr>
          <w:rFonts w:ascii="Traditional Arabic" w:hAnsi="Traditional Arabic" w:cs="Traditional Arabic" w:hint="cs"/>
          <w:b/>
          <w:bCs/>
          <w:color w:val="0070C0"/>
          <w:sz w:val="24"/>
          <w:szCs w:val="24"/>
          <w:u w:val="single"/>
          <w:rtl/>
        </w:rPr>
        <w:t>مجتمع وعينة الدراسة:</w:t>
      </w:r>
    </w:p>
    <w:p w14:paraId="02E0CC71" w14:textId="2E2298EF" w:rsidR="003235C8" w:rsidRPr="003849C3" w:rsidRDefault="003235C8">
      <w:pPr>
        <w:pStyle w:val="ListParagraph"/>
        <w:numPr>
          <w:ilvl w:val="0"/>
          <w:numId w:val="1"/>
        </w:numPr>
        <w:bidi/>
        <w:spacing w:after="200" w:line="276" w:lineRule="auto"/>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مجتمع الدراسة:</w:t>
      </w:r>
    </w:p>
    <w:p w14:paraId="28E4DEBD" w14:textId="5BB44079" w:rsidR="005E367A" w:rsidRPr="003849C3" w:rsidRDefault="005E367A" w:rsidP="00EB5DC9">
      <w:pPr>
        <w:bidi/>
        <w:spacing w:after="200" w:line="360" w:lineRule="auto"/>
        <w:ind w:left="360" w:firstLine="720"/>
        <w:jc w:val="both"/>
        <w:rPr>
          <w:rFonts w:ascii="Traditional Arabic" w:hAnsi="Traditional Arabic" w:cs="Traditional Arabic"/>
          <w:b/>
          <w:bCs/>
          <w:color w:val="000000" w:themeColor="text1"/>
          <w:sz w:val="24"/>
          <w:szCs w:val="24"/>
        </w:rPr>
      </w:pPr>
      <w:r w:rsidRPr="003849C3">
        <w:rPr>
          <w:rFonts w:ascii="Traditional Arabic" w:eastAsia="Calibri" w:hAnsi="Traditional Arabic" w:cs="Traditional Arabic" w:hint="cs"/>
          <w:sz w:val="24"/>
          <w:szCs w:val="24"/>
          <w:rtl/>
          <w:lang w:bidi="ar-EG"/>
        </w:rPr>
        <w:t xml:space="preserve">يتكوّن مجتمع الدراسة من العاملين في المرافق الصحية الحكومية في المملكة العربية السعودية، والذين تشمل مهامهم الجوانب المتعلقة بإدارة المخاطر، والقيادة التحويلية، </w:t>
      </w:r>
      <w:r w:rsidR="00260C64"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سلامة المرضى. وبحسب الإحصاءات الصادرة عن وزارة الصحة السعودية لعام 2024، فإن عدد العاملين في هذه الفئة يتجاوز 15,000 موظفًا موزعين على مختلف المناطق الصحية، ويشمل ذلك الأطباء، الممرضين، مسؤولي الجودة، والمشرفين الإداريين والفنيين.</w:t>
      </w:r>
    </w:p>
    <w:p w14:paraId="5BC59B3A" w14:textId="356CC596" w:rsidR="003235C8" w:rsidRPr="003849C3" w:rsidRDefault="00E52459">
      <w:pPr>
        <w:pStyle w:val="ListParagraph"/>
        <w:numPr>
          <w:ilvl w:val="0"/>
          <w:numId w:val="1"/>
        </w:numPr>
        <w:bidi/>
        <w:spacing w:after="200" w:line="276" w:lineRule="auto"/>
        <w:rPr>
          <w:rFonts w:ascii="Traditional Arabic" w:hAnsi="Traditional Arabic" w:cs="Traditional Arabic"/>
          <w:b/>
          <w:bCs/>
          <w:color w:val="000000" w:themeColor="text1"/>
          <w:sz w:val="24"/>
          <w:szCs w:val="24"/>
        </w:rPr>
      </w:pPr>
      <w:r w:rsidRPr="003849C3">
        <w:rPr>
          <w:rFonts w:ascii="Traditional Arabic" w:hAnsi="Traditional Arabic" w:cs="Traditional Arabic" w:hint="cs"/>
          <w:b/>
          <w:bCs/>
          <w:color w:val="000000" w:themeColor="text1"/>
          <w:sz w:val="24"/>
          <w:szCs w:val="24"/>
          <w:rtl/>
        </w:rPr>
        <w:lastRenderedPageBreak/>
        <w:t>عينة الدراسة:</w:t>
      </w:r>
    </w:p>
    <w:p w14:paraId="63323A13" w14:textId="2F2A629C" w:rsidR="00BD5E87" w:rsidRPr="003849C3" w:rsidRDefault="00FF1D14" w:rsidP="00EB5DC9">
      <w:pPr>
        <w:bidi/>
        <w:spacing w:after="200" w:line="360" w:lineRule="auto"/>
        <w:ind w:left="360" w:firstLine="720"/>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 xml:space="preserve">سيتم اختيار عينة الدراسة من مجتمع العاملين في المرافق الصحية الحكومية في المملكة العربية السعودية، ممن تشمل مهامهم الجوانب المتعلقة بإدارة المخاطر، </w:t>
      </w:r>
      <w:r w:rsidR="00BD5E87"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 xml:space="preserve">القيادة، </w:t>
      </w:r>
      <w:r w:rsidR="00260C64"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سلامة المرضى</w:t>
      </w:r>
      <w:r w:rsidR="00260C64" w:rsidRPr="003849C3">
        <w:rPr>
          <w:rFonts w:ascii="Traditional Arabic" w:eastAsia="Calibri" w:hAnsi="Traditional Arabic" w:cs="Traditional Arabic" w:hint="cs"/>
          <w:sz w:val="24"/>
          <w:szCs w:val="24"/>
          <w:rtl/>
          <w:lang w:bidi="ar-EG"/>
        </w:rPr>
        <w:t>،</w:t>
      </w:r>
      <w:r w:rsidRPr="003849C3">
        <w:rPr>
          <w:rFonts w:ascii="Traditional Arabic" w:eastAsia="Calibri" w:hAnsi="Traditional Arabic" w:cs="Traditional Arabic" w:hint="cs"/>
          <w:sz w:val="24"/>
          <w:szCs w:val="24"/>
          <w:rtl/>
          <w:lang w:bidi="ar-EG"/>
        </w:rPr>
        <w:t xml:space="preserve"> وقد تم استخدام أسلوب العينة </w:t>
      </w:r>
      <w:r w:rsidR="006A74B5">
        <w:rPr>
          <w:rFonts w:ascii="Traditional Arabic" w:eastAsia="Calibri" w:hAnsi="Traditional Arabic" w:cs="Traditional Arabic" w:hint="cs"/>
          <w:sz w:val="24"/>
          <w:szCs w:val="24"/>
          <w:rtl/>
          <w:lang w:bidi="ar-EG"/>
        </w:rPr>
        <w:t>العشوائية</w:t>
      </w:r>
      <w:r w:rsidRPr="003849C3">
        <w:rPr>
          <w:rFonts w:ascii="Traditional Arabic" w:eastAsia="Calibri" w:hAnsi="Traditional Arabic" w:cs="Traditional Arabic" w:hint="cs"/>
          <w:sz w:val="24"/>
          <w:szCs w:val="24"/>
          <w:rtl/>
          <w:lang w:bidi="ar-EG"/>
        </w:rPr>
        <w:t xml:space="preserve"> الطبقية لضمان تمثيل الفئات المختلفة داخل المؤسسات الصحية</w:t>
      </w:r>
      <w:r w:rsidR="006B5F98" w:rsidRPr="003849C3">
        <w:rPr>
          <w:rFonts w:ascii="Traditional Arabic" w:eastAsia="Calibri" w:hAnsi="Traditional Arabic" w:cs="Traditional Arabic" w:hint="cs"/>
          <w:sz w:val="24"/>
          <w:szCs w:val="24"/>
          <w:rtl/>
          <w:lang w:bidi="ar-EG"/>
        </w:rPr>
        <w:t xml:space="preserve"> كما ورد بالدراسات السابقة</w:t>
      </w:r>
      <w:r w:rsidRPr="003849C3">
        <w:rPr>
          <w:rFonts w:ascii="Traditional Arabic" w:eastAsia="Calibri" w:hAnsi="Traditional Arabic" w:cs="Traditional Arabic" w:hint="cs"/>
          <w:sz w:val="24"/>
          <w:szCs w:val="24"/>
          <w:rtl/>
          <w:lang w:bidi="ar-EG"/>
        </w:rPr>
        <w:t>، مثل الأطباء، الممرضين، مسؤولي الجودة، والمشرفين الإداريين.</w:t>
      </w:r>
    </w:p>
    <w:p w14:paraId="010F94CD" w14:textId="05AD4208" w:rsidR="00F972C1" w:rsidRPr="002E232C" w:rsidRDefault="00F972C1" w:rsidP="00F972C1">
      <w:pPr>
        <w:bidi/>
        <w:spacing w:after="200" w:line="360" w:lineRule="auto"/>
        <w:ind w:firstLine="720"/>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تكونت العينة</w:t>
      </w:r>
      <w:r w:rsidRPr="002E232C">
        <w:rPr>
          <w:rFonts w:ascii="Traditional Arabic" w:hAnsi="Traditional Arabic" w:cs="Traditional Arabic" w:hint="cs"/>
          <w:color w:val="000000" w:themeColor="text1"/>
          <w:sz w:val="24"/>
          <w:szCs w:val="24"/>
          <w:rtl/>
        </w:rPr>
        <w:t xml:space="preserve">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إلى أقل من 10 سنوات) بنسبة (40.0%) بعدد (156)، مما يعكس خبرة عملية متوسطة لدى غالبية أفراد العينة</w:t>
      </w:r>
      <w:r w:rsidRPr="002E232C">
        <w:rPr>
          <w:rFonts w:ascii="Traditional Arabic" w:hAnsi="Traditional Arabic" w:cs="Traditional Arabic" w:hint="cs"/>
          <w:color w:val="000000" w:themeColor="text1"/>
          <w:sz w:val="24"/>
          <w:szCs w:val="24"/>
        </w:rPr>
        <w:t>.</w:t>
      </w:r>
    </w:p>
    <w:p w14:paraId="7551EF3D" w14:textId="707DC6F0" w:rsidR="000A1E46" w:rsidRPr="003849C3" w:rsidRDefault="000A1E46" w:rsidP="000A1E46">
      <w:pPr>
        <w:bidi/>
        <w:spacing w:after="0" w:line="240"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حدود الدراسة: (المكانية ، الزمانية ، البشرية)</w:t>
      </w:r>
    </w:p>
    <w:p w14:paraId="75EFCC4D" w14:textId="77777777" w:rsidR="00494334" w:rsidRPr="003849C3" w:rsidRDefault="00494334" w:rsidP="00EB5DC9">
      <w:pPr>
        <w:bidi/>
        <w:spacing w:after="200" w:line="360" w:lineRule="auto"/>
        <w:ind w:firstLine="720"/>
        <w:jc w:val="both"/>
        <w:rPr>
          <w:rFonts w:ascii="Traditional Arabic" w:eastAsia="Calibri" w:hAnsi="Traditional Arabic" w:cs="Traditional Arabic"/>
          <w:sz w:val="24"/>
          <w:szCs w:val="24"/>
          <w:lang w:bidi="ar-EG"/>
        </w:rPr>
      </w:pPr>
      <w:bookmarkStart w:id="5" w:name="_Hlk197237034"/>
      <w:r w:rsidRPr="003849C3">
        <w:rPr>
          <w:rFonts w:ascii="Traditional Arabic" w:eastAsia="Calibri" w:hAnsi="Traditional Arabic" w:cs="Traditional Arabic" w:hint="cs"/>
          <w:sz w:val="24"/>
          <w:szCs w:val="24"/>
          <w:rtl/>
          <w:lang w:bidi="ar-EG"/>
        </w:rPr>
        <w:t>سيتم تنفيذ هذه الدراسة ضمن مجموعة من الحدود التي تفترضها طبيعة الدراسة، والمنهجية التي تم اتباعها لتحقيق أهدافها، ومجتمع الدراسة الذي تم تحديده لجمع بياناتها الأولية، وهذه الحدود هي:</w:t>
      </w:r>
    </w:p>
    <w:p w14:paraId="0B7DAB20" w14:textId="23A6CA6B"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الحدود الموضوعية:</w:t>
      </w:r>
      <w:r w:rsidRPr="003849C3">
        <w:rPr>
          <w:rFonts w:ascii="Traditional Arabic" w:eastAsia="Calibri" w:hAnsi="Traditional Arabic" w:cs="Traditional Arabic" w:hint="cs"/>
          <w:sz w:val="24"/>
          <w:szCs w:val="24"/>
          <w:rtl/>
          <w:lang w:bidi="ar-EG"/>
        </w:rPr>
        <w:t xml:space="preserve"> تقتصر هذه الدراسة على البحث في أثر القيادة التحويلية على إدارة المخاطر وسلامة المرضى.</w:t>
      </w:r>
    </w:p>
    <w:p w14:paraId="6F1A958E" w14:textId="77777777"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المكانية:</w:t>
      </w:r>
      <w:r w:rsidRPr="003849C3">
        <w:rPr>
          <w:rFonts w:ascii="Traditional Arabic" w:eastAsia="Calibri" w:hAnsi="Traditional Arabic" w:cs="Traditional Arabic" w:hint="cs"/>
          <w:sz w:val="24"/>
          <w:szCs w:val="24"/>
          <w:rtl/>
          <w:lang w:bidi="ar-EG"/>
        </w:rPr>
        <w:t xml:space="preserve"> يقتصر تنفيذ هذه الدراسة على مستشفيات المملكة العربية السعودية.</w:t>
      </w:r>
    </w:p>
    <w:p w14:paraId="69E86BDC" w14:textId="03B3FBE8"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البشرية:</w:t>
      </w:r>
      <w:r w:rsidRPr="003849C3">
        <w:rPr>
          <w:rFonts w:ascii="Traditional Arabic" w:eastAsia="Calibri" w:hAnsi="Traditional Arabic" w:cs="Traditional Arabic" w:hint="cs"/>
          <w:sz w:val="24"/>
          <w:szCs w:val="24"/>
          <w:rtl/>
          <w:lang w:bidi="ar-EG"/>
        </w:rPr>
        <w:t xml:space="preserve"> يقتصر تنفيذ هذه الدراسة على عينة من العاملين بمستشفيات المملكة العربية السعودية</w:t>
      </w:r>
      <w:r w:rsidR="005E367A" w:rsidRPr="003849C3">
        <w:rPr>
          <w:rFonts w:ascii="Traditional Arabic" w:eastAsia="Calibri" w:hAnsi="Traditional Arabic" w:cs="Traditional Arabic" w:hint="cs"/>
          <w:sz w:val="24"/>
          <w:szCs w:val="24"/>
          <w:rtl/>
          <w:lang w:bidi="ar-EG"/>
        </w:rPr>
        <w:t>.</w:t>
      </w:r>
    </w:p>
    <w:p w14:paraId="147EB9C1" w14:textId="35503285"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الزمانية</w:t>
      </w:r>
      <w:r w:rsidRPr="003849C3">
        <w:rPr>
          <w:rFonts w:ascii="Traditional Arabic" w:eastAsia="Calibri" w:hAnsi="Traditional Arabic" w:cs="Traditional Arabic" w:hint="cs"/>
          <w:sz w:val="24"/>
          <w:szCs w:val="24"/>
          <w:rtl/>
          <w:lang w:bidi="ar-EG"/>
        </w:rPr>
        <w:t>: يتم تنفيذ هذه الدراسة خلال العام الميلادى  2025 و 2026</w:t>
      </w:r>
      <w:r w:rsidR="006308D3" w:rsidRPr="003849C3">
        <w:rPr>
          <w:rFonts w:ascii="Traditional Arabic" w:eastAsia="Calibri" w:hAnsi="Traditional Arabic" w:cs="Traditional Arabic" w:hint="cs"/>
          <w:sz w:val="24"/>
          <w:szCs w:val="24"/>
          <w:rtl/>
          <w:lang w:bidi="ar-EG"/>
        </w:rPr>
        <w:t xml:space="preserve"> .</w:t>
      </w:r>
    </w:p>
    <w:bookmarkEnd w:id="5"/>
    <w:p w14:paraId="54BD9CFC" w14:textId="7A731100" w:rsidR="007F4183" w:rsidRPr="003849C3" w:rsidRDefault="007F4183" w:rsidP="000A1E46">
      <w:pPr>
        <w:bidi/>
        <w:spacing w:after="200" w:line="276"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وسائل جمع بيانات الدراسة:</w:t>
      </w:r>
    </w:p>
    <w:p w14:paraId="589C4996" w14:textId="02EAE398" w:rsidR="00883E09" w:rsidRPr="003849C3" w:rsidRDefault="005E367A" w:rsidP="004B3F0D">
      <w:pPr>
        <w:bidi/>
        <w:spacing w:after="0" w:line="360" w:lineRule="auto"/>
        <w:jc w:val="both"/>
        <w:rPr>
          <w:rFonts w:ascii="Traditional Arabic" w:hAnsi="Traditional Arabic" w:cs="Traditional Arabic"/>
          <w:color w:val="000000" w:themeColor="text1"/>
          <w:sz w:val="24"/>
          <w:szCs w:val="24"/>
          <w:rtl/>
        </w:rPr>
      </w:pPr>
      <w:r w:rsidRPr="003849C3">
        <w:rPr>
          <w:rFonts w:ascii="Traditional Arabic" w:hAnsi="Traditional Arabic" w:cs="Traditional Arabic" w:hint="cs"/>
          <w:color w:val="000000" w:themeColor="text1"/>
          <w:sz w:val="24"/>
          <w:szCs w:val="24"/>
          <w:rtl/>
        </w:rPr>
        <w:t>تعتمد الدراسة على الاستبانة المغلقة كأداة رئيسية لجمع البيانات، لقياس المتغيرات بشكل كمي صحيح ، سيتم تصميم الإستبانة على الأطر النظرية والمعرفية لكل من ( إدارة المخاطر ، والقيادة التحويلية ، وسلامة المرضى) ، وسيت توزيع الاستبانة بشكل ورقي مباشر في بعض المستشفيات والمراكز الصحية.</w:t>
      </w:r>
    </w:p>
    <w:p w14:paraId="3677ABF6" w14:textId="20C0F759" w:rsidR="003B7B0C" w:rsidRPr="003849C3" w:rsidRDefault="003B7B0C" w:rsidP="004B3F0D">
      <w:pPr>
        <w:bidi/>
        <w:spacing w:after="0" w:line="360" w:lineRule="auto"/>
        <w:rPr>
          <w:rFonts w:ascii="Traditional Arabic" w:hAnsi="Traditional Arabic" w:cs="Traditional Arabic"/>
          <w:sz w:val="24"/>
          <w:szCs w:val="24"/>
          <w:rtl/>
        </w:rPr>
      </w:pPr>
      <w:r w:rsidRPr="003849C3">
        <w:rPr>
          <w:rFonts w:ascii="Traditional Arabic" w:hAnsi="Traditional Arabic" w:cs="Traditional Arabic" w:hint="cs"/>
          <w:sz w:val="24"/>
          <w:szCs w:val="24"/>
          <w:rtl/>
        </w:rPr>
        <w:t>كما سيتم التأكد من صدق</w:t>
      </w:r>
      <w:r w:rsidRPr="003849C3">
        <w:rPr>
          <w:rFonts w:ascii="Traditional Arabic" w:hAnsi="Traditional Arabic" w:cs="Traditional Arabic" w:hint="cs"/>
          <w:b/>
          <w:bCs/>
          <w:sz w:val="24"/>
          <w:szCs w:val="24"/>
          <w:rtl/>
        </w:rPr>
        <w:t xml:space="preserve"> </w:t>
      </w:r>
      <w:r w:rsidRPr="003849C3">
        <w:rPr>
          <w:rFonts w:ascii="Traditional Arabic" w:hAnsi="Traditional Arabic" w:cs="Traditional Arabic" w:hint="cs"/>
          <w:sz w:val="24"/>
          <w:szCs w:val="24"/>
          <w:rtl/>
        </w:rPr>
        <w:t>الأداة من خلال عرضها على مجموعة من المحكمين المتخصصين في الإدارة الصحية، وقياس ثباتها باستخدام معامل كرونباخ ألفا، لضمان موثوقية النتائج</w:t>
      </w:r>
      <w:r w:rsidRPr="003849C3">
        <w:rPr>
          <w:rFonts w:ascii="Traditional Arabic" w:hAnsi="Traditional Arabic" w:cs="Traditional Arabic" w:hint="cs"/>
          <w:sz w:val="24"/>
          <w:szCs w:val="24"/>
        </w:rPr>
        <w:t>.</w:t>
      </w:r>
    </w:p>
    <w:p w14:paraId="08319A4A" w14:textId="77777777" w:rsidR="002940F0" w:rsidRDefault="002940F0" w:rsidP="00C61182">
      <w:pPr>
        <w:bidi/>
        <w:spacing w:after="200" w:line="276" w:lineRule="auto"/>
        <w:rPr>
          <w:rFonts w:ascii="Traditional Arabic" w:hAnsi="Traditional Arabic" w:cs="Traditional Arabic"/>
          <w:b/>
          <w:bCs/>
          <w:color w:val="00B0F0"/>
          <w:sz w:val="24"/>
          <w:szCs w:val="24"/>
          <w:u w:val="single"/>
          <w:rtl/>
        </w:rPr>
      </w:pPr>
    </w:p>
    <w:p w14:paraId="2770DAC6" w14:textId="6A20D253" w:rsidR="00C61182" w:rsidRPr="003849C3" w:rsidRDefault="00A72E29" w:rsidP="002940F0">
      <w:pPr>
        <w:bidi/>
        <w:spacing w:after="200" w:line="276" w:lineRule="auto"/>
        <w:rPr>
          <w:rFonts w:ascii="Traditional Arabic" w:hAnsi="Traditional Arabic" w:cs="Traditional Arabic"/>
          <w:b/>
          <w:bCs/>
          <w:color w:val="00B0F0"/>
          <w:sz w:val="24"/>
          <w:szCs w:val="24"/>
          <w:u w:val="single"/>
          <w:rtl/>
        </w:rPr>
      </w:pPr>
      <w:r>
        <w:rPr>
          <w:rFonts w:ascii="Traditional Arabic" w:hAnsi="Traditional Arabic" w:cs="Traditional Arabic" w:hint="cs"/>
          <w:b/>
          <w:bCs/>
          <w:color w:val="00B0F0"/>
          <w:sz w:val="24"/>
          <w:szCs w:val="24"/>
          <w:u w:val="single"/>
          <w:rtl/>
        </w:rPr>
        <w:lastRenderedPageBreak/>
        <w:t>الأساليب</w:t>
      </w:r>
      <w:r w:rsidR="00C61182" w:rsidRPr="003849C3">
        <w:rPr>
          <w:rFonts w:ascii="Traditional Arabic" w:hAnsi="Traditional Arabic" w:cs="Traditional Arabic" w:hint="cs"/>
          <w:b/>
          <w:bCs/>
          <w:color w:val="00B0F0"/>
          <w:sz w:val="24"/>
          <w:szCs w:val="24"/>
          <w:u w:val="single"/>
          <w:rtl/>
        </w:rPr>
        <w:t xml:space="preserve"> الإحصائية  </w:t>
      </w:r>
      <w:r>
        <w:rPr>
          <w:rFonts w:ascii="Traditional Arabic" w:hAnsi="Traditional Arabic" w:cs="Traditional Arabic" w:hint="cs"/>
          <w:b/>
          <w:bCs/>
          <w:color w:val="00B0F0"/>
          <w:sz w:val="24"/>
          <w:szCs w:val="24"/>
          <w:u w:val="single"/>
          <w:rtl/>
        </w:rPr>
        <w:t>المستخدمة</w:t>
      </w:r>
      <w:r w:rsidR="00C61182" w:rsidRPr="003849C3">
        <w:rPr>
          <w:rFonts w:ascii="Traditional Arabic" w:hAnsi="Traditional Arabic" w:cs="Traditional Arabic" w:hint="cs"/>
          <w:b/>
          <w:bCs/>
          <w:color w:val="00B0F0"/>
          <w:sz w:val="24"/>
          <w:szCs w:val="24"/>
          <w:u w:val="single"/>
          <w:rtl/>
        </w:rPr>
        <w:t>:</w:t>
      </w:r>
    </w:p>
    <w:p w14:paraId="4355A86A" w14:textId="3E27C73C" w:rsidR="00130980" w:rsidRPr="0044090C" w:rsidRDefault="00130980">
      <w:pPr>
        <w:pStyle w:val="ListParagraph"/>
        <w:numPr>
          <w:ilvl w:val="0"/>
          <w:numId w:val="42"/>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معامل ألفا كرونباخ</w:t>
      </w:r>
      <w:r w:rsidRPr="0044090C">
        <w:rPr>
          <w:rFonts w:ascii="Traditional Arabic" w:hAnsi="Traditional Arabic" w:cs="Traditional Arabic"/>
          <w:color w:val="000000" w:themeColor="text1"/>
          <w:sz w:val="24"/>
          <w:szCs w:val="24"/>
        </w:rPr>
        <w:t xml:space="preserve"> (Cronbach’s Alpha): </w:t>
      </w:r>
      <w:r w:rsidRPr="0044090C">
        <w:rPr>
          <w:rFonts w:ascii="Traditional Arabic" w:hAnsi="Traditional Arabic" w:cs="Traditional Arabic"/>
          <w:color w:val="000000" w:themeColor="text1"/>
          <w:sz w:val="24"/>
          <w:szCs w:val="24"/>
          <w:rtl/>
        </w:rPr>
        <w:t>لقياس ثبات الأداة والاتساق الداخلي للعبارات</w:t>
      </w:r>
      <w:r w:rsidRPr="0044090C">
        <w:rPr>
          <w:rFonts w:ascii="Traditional Arabic" w:hAnsi="Traditional Arabic" w:cs="Traditional Arabic"/>
          <w:color w:val="000000" w:themeColor="text1"/>
          <w:sz w:val="24"/>
          <w:szCs w:val="24"/>
        </w:rPr>
        <w:t>.</w:t>
      </w:r>
    </w:p>
    <w:p w14:paraId="482ABAAE" w14:textId="135E094C" w:rsidR="00130980" w:rsidRPr="0044090C" w:rsidRDefault="00130980">
      <w:pPr>
        <w:pStyle w:val="ListParagraph"/>
        <w:numPr>
          <w:ilvl w:val="0"/>
          <w:numId w:val="42"/>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معامل ارتباط بيرسون للصدق الداخلي</w:t>
      </w:r>
      <w:r w:rsidRPr="0044090C">
        <w:rPr>
          <w:rFonts w:ascii="Traditional Arabic" w:hAnsi="Traditional Arabic" w:cs="Traditional Arabic"/>
          <w:color w:val="000000" w:themeColor="text1"/>
          <w:sz w:val="24"/>
          <w:szCs w:val="24"/>
        </w:rPr>
        <w:t xml:space="preserve">: </w:t>
      </w:r>
      <w:r w:rsidRPr="0044090C">
        <w:rPr>
          <w:rFonts w:ascii="Traditional Arabic" w:hAnsi="Traditional Arabic" w:cs="Traditional Arabic"/>
          <w:color w:val="000000" w:themeColor="text1"/>
          <w:sz w:val="24"/>
          <w:szCs w:val="24"/>
          <w:rtl/>
        </w:rPr>
        <w:t>لقياس قوة علاقة العبارات بالدرجة الكلية لمحورها</w:t>
      </w:r>
      <w:r w:rsidRPr="0044090C">
        <w:rPr>
          <w:rFonts w:ascii="Traditional Arabic" w:hAnsi="Traditional Arabic" w:cs="Traditional Arabic"/>
          <w:color w:val="000000" w:themeColor="text1"/>
          <w:sz w:val="24"/>
          <w:szCs w:val="24"/>
        </w:rPr>
        <w:t>.</w:t>
      </w:r>
    </w:p>
    <w:p w14:paraId="2A488CB0" w14:textId="34DADB79" w:rsidR="00130980" w:rsidRPr="0044090C" w:rsidRDefault="00130980">
      <w:pPr>
        <w:pStyle w:val="ListParagraph"/>
        <w:numPr>
          <w:ilvl w:val="0"/>
          <w:numId w:val="42"/>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معامل ارتباط بيرسون للعلاقات</w:t>
      </w:r>
      <w:r w:rsidRPr="0044090C">
        <w:rPr>
          <w:rFonts w:ascii="Traditional Arabic" w:hAnsi="Traditional Arabic" w:cs="Traditional Arabic"/>
          <w:color w:val="000000" w:themeColor="text1"/>
          <w:sz w:val="24"/>
          <w:szCs w:val="24"/>
        </w:rPr>
        <w:t xml:space="preserve">: </w:t>
      </w:r>
      <w:r w:rsidRPr="0044090C">
        <w:rPr>
          <w:rFonts w:ascii="Traditional Arabic" w:hAnsi="Traditional Arabic" w:cs="Traditional Arabic"/>
          <w:color w:val="000000" w:themeColor="text1"/>
          <w:sz w:val="24"/>
          <w:szCs w:val="24"/>
          <w:rtl/>
        </w:rPr>
        <w:t>لقياس قوة واتجاه العلاقات بين المتغيرات الثلاثة الرئيسة</w:t>
      </w:r>
      <w:r w:rsidRPr="0044090C">
        <w:rPr>
          <w:rFonts w:ascii="Traditional Arabic" w:hAnsi="Traditional Arabic" w:cs="Traditional Arabic"/>
          <w:color w:val="000000" w:themeColor="text1"/>
          <w:sz w:val="24"/>
          <w:szCs w:val="24"/>
        </w:rPr>
        <w:t>.</w:t>
      </w:r>
    </w:p>
    <w:p w14:paraId="3C4A0FDC" w14:textId="70676999" w:rsidR="00130980" w:rsidRPr="0044090C" w:rsidRDefault="00130980">
      <w:pPr>
        <w:pStyle w:val="ListParagraph"/>
        <w:numPr>
          <w:ilvl w:val="0"/>
          <w:numId w:val="42"/>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الانحدار الخطي البسيط</w:t>
      </w:r>
      <w:r w:rsidRPr="0044090C">
        <w:rPr>
          <w:rFonts w:ascii="Traditional Arabic" w:hAnsi="Traditional Arabic" w:cs="Traditional Arabic"/>
          <w:color w:val="000000" w:themeColor="text1"/>
          <w:sz w:val="24"/>
          <w:szCs w:val="24"/>
        </w:rPr>
        <w:t xml:space="preserve"> (Simple Regression): </w:t>
      </w:r>
      <w:r w:rsidRPr="0044090C">
        <w:rPr>
          <w:rFonts w:ascii="Traditional Arabic" w:hAnsi="Traditional Arabic" w:cs="Traditional Arabic"/>
          <w:color w:val="000000" w:themeColor="text1"/>
          <w:sz w:val="24"/>
          <w:szCs w:val="24"/>
          <w:rtl/>
        </w:rPr>
        <w:t>لتحليل أثر إدارة المخاطر والقيادة على سلامة المرضى</w:t>
      </w:r>
      <w:r w:rsidRPr="0044090C">
        <w:rPr>
          <w:rFonts w:ascii="Traditional Arabic" w:hAnsi="Traditional Arabic" w:cs="Traditional Arabic"/>
          <w:color w:val="000000" w:themeColor="text1"/>
          <w:sz w:val="24"/>
          <w:szCs w:val="24"/>
        </w:rPr>
        <w:t>.</w:t>
      </w:r>
    </w:p>
    <w:p w14:paraId="62E8F837" w14:textId="77777777" w:rsidR="00616897" w:rsidRPr="00616897" w:rsidRDefault="00616897" w:rsidP="00616897">
      <w:pPr>
        <w:pStyle w:val="ListParagraph"/>
        <w:numPr>
          <w:ilvl w:val="0"/>
          <w:numId w:val="42"/>
        </w:numPr>
        <w:bidi/>
        <w:rPr>
          <w:rFonts w:ascii="Traditional Arabic" w:hAnsi="Traditional Arabic" w:cs="Traditional Arabic"/>
          <w:color w:val="000000" w:themeColor="text1"/>
          <w:sz w:val="24"/>
          <w:szCs w:val="24"/>
          <w:highlight w:val="yellow"/>
        </w:rPr>
      </w:pPr>
      <w:r w:rsidRPr="00616897">
        <w:rPr>
          <w:rFonts w:ascii="Traditional Arabic" w:hAnsi="Traditional Arabic" w:cs="Traditional Arabic"/>
          <w:color w:val="000000" w:themeColor="text1"/>
          <w:sz w:val="24"/>
          <w:szCs w:val="24"/>
          <w:highlight w:val="yellow"/>
          <w:rtl/>
        </w:rPr>
        <w:t>نمذجة المعادلات الهيكلية</w:t>
      </w:r>
      <w:r w:rsidRPr="00616897">
        <w:rPr>
          <w:rFonts w:ascii="Traditional Arabic" w:hAnsi="Traditional Arabic" w:cs="Traditional Arabic"/>
          <w:color w:val="000000" w:themeColor="text1"/>
          <w:sz w:val="24"/>
          <w:szCs w:val="24"/>
          <w:highlight w:val="yellow"/>
        </w:rPr>
        <w:t xml:space="preserve"> (Structural Equation Modeling – SEM) </w:t>
      </w:r>
      <w:r w:rsidRPr="00616897">
        <w:rPr>
          <w:rFonts w:ascii="Traditional Arabic" w:hAnsi="Traditional Arabic" w:cs="Traditional Arabic"/>
          <w:color w:val="000000" w:themeColor="text1"/>
          <w:sz w:val="24"/>
          <w:szCs w:val="24"/>
          <w:highlight w:val="yellow"/>
          <w:rtl/>
        </w:rPr>
        <w:t>باستخدام طريقة المربعات الصغرى الجزئية</w:t>
      </w:r>
      <w:r w:rsidRPr="00616897">
        <w:rPr>
          <w:rFonts w:ascii="Traditional Arabic" w:hAnsi="Traditional Arabic" w:cs="Traditional Arabic"/>
          <w:color w:val="000000" w:themeColor="text1"/>
          <w:sz w:val="24"/>
          <w:szCs w:val="24"/>
          <w:highlight w:val="yellow"/>
        </w:rPr>
        <w:t xml:space="preserve"> (PLS): </w:t>
      </w:r>
      <w:r w:rsidRPr="00616897">
        <w:rPr>
          <w:rFonts w:ascii="Traditional Arabic" w:hAnsi="Traditional Arabic" w:cs="Traditional Arabic"/>
          <w:color w:val="000000" w:themeColor="text1"/>
          <w:sz w:val="24"/>
          <w:szCs w:val="24"/>
          <w:highlight w:val="yellow"/>
          <w:rtl/>
        </w:rPr>
        <w:t>لاختبار النموذج والعلاقات السببية بين المتغيرات</w:t>
      </w:r>
      <w:r w:rsidRPr="00616897">
        <w:rPr>
          <w:rFonts w:ascii="Traditional Arabic" w:hAnsi="Traditional Arabic" w:cs="Traditional Arabic"/>
          <w:color w:val="000000" w:themeColor="text1"/>
          <w:sz w:val="24"/>
          <w:szCs w:val="24"/>
          <w:highlight w:val="yellow"/>
        </w:rPr>
        <w:t>.</w:t>
      </w:r>
    </w:p>
    <w:p w14:paraId="78D1E3C1" w14:textId="52DC9E06" w:rsidR="00130980" w:rsidRPr="0044090C" w:rsidRDefault="00130980">
      <w:pPr>
        <w:pStyle w:val="ListParagraph"/>
        <w:numPr>
          <w:ilvl w:val="0"/>
          <w:numId w:val="42"/>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اختبار ت للمجموعات المستقلة</w:t>
      </w:r>
      <w:r w:rsidRPr="0044090C">
        <w:rPr>
          <w:rFonts w:ascii="Traditional Arabic" w:hAnsi="Traditional Arabic" w:cs="Traditional Arabic"/>
          <w:color w:val="000000" w:themeColor="text1"/>
          <w:sz w:val="24"/>
          <w:szCs w:val="24"/>
        </w:rPr>
        <w:t xml:space="preserve"> (T-test): </w:t>
      </w:r>
      <w:r w:rsidRPr="0044090C">
        <w:rPr>
          <w:rFonts w:ascii="Traditional Arabic" w:hAnsi="Traditional Arabic" w:cs="Traditional Arabic"/>
          <w:color w:val="000000" w:themeColor="text1"/>
          <w:sz w:val="24"/>
          <w:szCs w:val="24"/>
          <w:rtl/>
        </w:rPr>
        <w:t>للكشف عن الفروق الإحصائية التي تعزى لمتغير النوع</w:t>
      </w:r>
      <w:r w:rsidRPr="0044090C">
        <w:rPr>
          <w:rFonts w:ascii="Traditional Arabic" w:hAnsi="Traditional Arabic" w:cs="Traditional Arabic"/>
          <w:color w:val="000000" w:themeColor="text1"/>
          <w:sz w:val="24"/>
          <w:szCs w:val="24"/>
        </w:rPr>
        <w:t>.</w:t>
      </w:r>
    </w:p>
    <w:p w14:paraId="718879E4" w14:textId="42DEC265" w:rsidR="00AB48A3" w:rsidRPr="0044090C" w:rsidRDefault="00130980">
      <w:pPr>
        <w:pStyle w:val="ListParagraph"/>
        <w:numPr>
          <w:ilvl w:val="0"/>
          <w:numId w:val="42"/>
        </w:numPr>
        <w:bidi/>
        <w:spacing w:after="200" w:line="360" w:lineRule="auto"/>
        <w:rPr>
          <w:rFonts w:ascii="Traditional Arabic" w:hAnsi="Traditional Arabic" w:cs="Traditional Arabic"/>
          <w:color w:val="000000" w:themeColor="text1"/>
          <w:sz w:val="24"/>
          <w:szCs w:val="24"/>
          <w:rtl/>
        </w:rPr>
        <w:sectPr w:rsidR="00AB48A3" w:rsidRPr="0044090C" w:rsidSect="00EB5DC9">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r w:rsidRPr="0044090C">
        <w:rPr>
          <w:rFonts w:ascii="Traditional Arabic" w:hAnsi="Traditional Arabic" w:cs="Traditional Arabic"/>
          <w:color w:val="000000" w:themeColor="text1"/>
          <w:sz w:val="24"/>
          <w:szCs w:val="24"/>
          <w:rtl/>
        </w:rPr>
        <w:t>تحليل التباين الأحادي</w:t>
      </w:r>
      <w:r w:rsidRPr="0044090C">
        <w:rPr>
          <w:rFonts w:ascii="Traditional Arabic" w:hAnsi="Traditional Arabic" w:cs="Traditional Arabic"/>
          <w:color w:val="000000" w:themeColor="text1"/>
          <w:sz w:val="24"/>
          <w:szCs w:val="24"/>
        </w:rPr>
        <w:t xml:space="preserve"> (One-Way ANOVA): </w:t>
      </w:r>
      <w:r w:rsidRPr="0044090C">
        <w:rPr>
          <w:rFonts w:ascii="Traditional Arabic" w:hAnsi="Traditional Arabic" w:cs="Traditional Arabic"/>
          <w:color w:val="000000" w:themeColor="text1"/>
          <w:sz w:val="24"/>
          <w:szCs w:val="24"/>
          <w:rtl/>
        </w:rPr>
        <w:t>للكشف عن الفروق تعزى للمؤهل والوظيفة والخبرة</w:t>
      </w:r>
      <w:r w:rsidRPr="0044090C">
        <w:rPr>
          <w:rFonts w:ascii="Traditional Arabic" w:hAnsi="Traditional Arabic" w:cs="Traditional Arabic"/>
          <w:color w:val="000000" w:themeColor="text1"/>
          <w:sz w:val="24"/>
          <w:szCs w:val="24"/>
        </w:rPr>
        <w:t>.</w:t>
      </w:r>
    </w:p>
    <w:p w14:paraId="5AAAA5AF" w14:textId="77777777" w:rsidR="00A21099" w:rsidRDefault="00A21099" w:rsidP="00A21099">
      <w:pPr>
        <w:bidi/>
        <w:spacing w:after="200" w:line="240" w:lineRule="auto"/>
        <w:rPr>
          <w:rFonts w:ascii="Simplified Arabic" w:hAnsi="Simplified Arabic" w:cs="Simplified Arabic"/>
          <w:color w:val="000000" w:themeColor="text1"/>
          <w:sz w:val="28"/>
          <w:szCs w:val="28"/>
          <w:rtl/>
          <w:lang w:bidi="ar-EG"/>
        </w:rPr>
      </w:pPr>
    </w:p>
    <w:p w14:paraId="0DBBF35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E2B9251"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0E3D6F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7D450EC"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0647E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B33C5A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68A25B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5EAAAB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096AAF2C" w14:textId="629F5DF9" w:rsidR="00A21099" w:rsidRPr="00E33DEA" w:rsidRDefault="00E33DEA" w:rsidP="00E33DEA">
      <w:pPr>
        <w:bidi/>
        <w:spacing w:after="200" w:line="240" w:lineRule="auto"/>
        <w:jc w:val="center"/>
        <w:rPr>
          <w:rFonts w:ascii="Traditional Arabic" w:hAnsi="Traditional Arabic" w:cs="Traditional Arabic"/>
          <w:color w:val="000000" w:themeColor="text1"/>
          <w:sz w:val="144"/>
          <w:szCs w:val="144"/>
          <w:rtl/>
        </w:rPr>
      </w:pPr>
      <w:r w:rsidRPr="00E33DEA">
        <w:rPr>
          <w:rFonts w:ascii="Traditional Arabic" w:hAnsi="Traditional Arabic" w:cs="Traditional Arabic" w:hint="cs"/>
          <w:color w:val="000000" w:themeColor="text1"/>
          <w:sz w:val="144"/>
          <w:szCs w:val="144"/>
          <w:rtl/>
        </w:rPr>
        <w:t>الفصل الثاني</w:t>
      </w:r>
    </w:p>
    <w:p w14:paraId="069B0DA8"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1E088C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07A306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E30B05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C92F60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B902E3" w14:textId="77777777" w:rsidR="00E33DEA" w:rsidRDefault="00E33DEA" w:rsidP="007E2994">
      <w:pPr>
        <w:bidi/>
        <w:spacing w:after="200" w:line="360" w:lineRule="auto"/>
        <w:jc w:val="both"/>
        <w:rPr>
          <w:rFonts w:ascii="Simplified Arabic" w:eastAsia="Calibri" w:hAnsi="Simplified Arabic" w:cs="Times New Roman"/>
          <w:b/>
          <w:bCs/>
          <w:sz w:val="28"/>
          <w:szCs w:val="28"/>
          <w:rtl/>
          <w:lang w:bidi="ar-EG"/>
        </w:rPr>
        <w:sectPr w:rsidR="00E33DEA" w:rsidSect="00E33DEA">
          <w:footerReference w:type="first" r:id="rId16"/>
          <w:pgSz w:w="11906" w:h="16838"/>
          <w:pgMar w:top="1440" w:right="1800" w:bottom="1440" w:left="1800" w:header="708" w:footer="708" w:gutter="0"/>
          <w:pgNumType w:start="0"/>
          <w:cols w:space="708"/>
          <w:titlePg/>
          <w:bidi/>
          <w:rtlGutter/>
          <w:docGrid w:linePitch="360"/>
        </w:sectPr>
      </w:pPr>
    </w:p>
    <w:p w14:paraId="125CFA42" w14:textId="158CB852" w:rsidR="00494334" w:rsidRPr="00263F0F" w:rsidRDefault="00494334" w:rsidP="00A44ABC">
      <w:pPr>
        <w:bidi/>
        <w:spacing w:after="200" w:line="360" w:lineRule="auto"/>
        <w:jc w:val="both"/>
        <w:rPr>
          <w:rFonts w:ascii="Traditional Arabic" w:eastAsia="Calibri" w:hAnsi="Traditional Arabic" w:cs="Traditional Arabic"/>
          <w:b/>
          <w:bCs/>
          <w:sz w:val="28"/>
          <w:szCs w:val="28"/>
          <w:rtl/>
          <w:lang w:bidi="ar-EG"/>
        </w:rPr>
      </w:pPr>
      <w:r w:rsidRPr="00263F0F">
        <w:rPr>
          <w:rFonts w:ascii="Traditional Arabic" w:eastAsia="Calibri" w:hAnsi="Traditional Arabic" w:cs="Traditional Arabic" w:hint="cs"/>
          <w:b/>
          <w:bCs/>
          <w:sz w:val="28"/>
          <w:szCs w:val="28"/>
          <w:rtl/>
          <w:lang w:bidi="ar-EG"/>
        </w:rPr>
        <w:lastRenderedPageBreak/>
        <w:t>تمهيد:</w:t>
      </w:r>
    </w:p>
    <w:p w14:paraId="1925E08E" w14:textId="77777777" w:rsidR="001407E6" w:rsidRPr="00263F0F" w:rsidRDefault="001407E6" w:rsidP="00263F0F">
      <w:pPr>
        <w:bidi/>
        <w:spacing w:after="200" w:line="360" w:lineRule="auto"/>
        <w:ind w:left="360" w:firstLine="720"/>
        <w:contextualSpacing/>
        <w:jc w:val="both"/>
        <w:rPr>
          <w:rFonts w:ascii="Traditional Arabic" w:hAnsi="Traditional Arabic" w:cs="Traditional Arabic"/>
          <w:sz w:val="24"/>
          <w:szCs w:val="24"/>
          <w:lang w:bidi="ar-EG"/>
        </w:rPr>
      </w:pPr>
      <w:r w:rsidRPr="00263F0F">
        <w:rPr>
          <w:rFonts w:ascii="Traditional Arabic" w:hAnsi="Traditional Arabic" w:cs="Traditional Arabic" w:hint="cs"/>
          <w:sz w:val="24"/>
          <w:szCs w:val="24"/>
          <w:rtl/>
        </w:rPr>
        <w:t>في ظل التحديات المتزايدة التي تواجه النظم الصحية الحديثة، تبرز سلامة المرضى كأحد المحاور الجوهرية لضمان جودة الرعاية الصحية واستدامتها. إذ تُعد سلامة المرضى معيارًا حاسمًا في تقييم كفاءة المرافق الصحية، لا سيما في البيئات الحكومية التي تتحمل العبء الأكبر من تقديم الخدمات الصحية للمجتمع. ومن هذا المنطلق، أصبحت إدارة المخاطر الصحية أداة استراتيجية لا غنى عنها في تعزيز بيئة آمنة للمرضى، من خلال الحد من الأخطاء الطبية، وتحسين الإجراءات الوقائية، وتفعيل الاستجابة الفعالة للحوادث</w:t>
      </w:r>
      <w:r w:rsidRPr="00263F0F">
        <w:rPr>
          <w:rFonts w:ascii="Traditional Arabic" w:hAnsi="Traditional Arabic" w:cs="Traditional Arabic" w:hint="cs"/>
          <w:sz w:val="24"/>
          <w:szCs w:val="24"/>
          <w:lang w:bidi="ar-EG"/>
        </w:rPr>
        <w:t>.</w:t>
      </w:r>
    </w:p>
    <w:p w14:paraId="5D246C25" w14:textId="77777777" w:rsidR="001407E6" w:rsidRPr="00263F0F" w:rsidRDefault="001407E6" w:rsidP="00263F0F">
      <w:pPr>
        <w:bidi/>
        <w:spacing w:after="200" w:line="360" w:lineRule="auto"/>
        <w:ind w:left="360" w:firstLine="720"/>
        <w:contextualSpacing/>
        <w:jc w:val="both"/>
        <w:rPr>
          <w:rFonts w:ascii="Traditional Arabic" w:hAnsi="Traditional Arabic" w:cs="Traditional Arabic"/>
          <w:sz w:val="24"/>
          <w:szCs w:val="24"/>
          <w:lang w:bidi="ar-EG"/>
        </w:rPr>
      </w:pPr>
      <w:r w:rsidRPr="00263F0F">
        <w:rPr>
          <w:rFonts w:ascii="Traditional Arabic" w:hAnsi="Traditional Arabic" w:cs="Traditional Arabic" w:hint="cs"/>
          <w:sz w:val="24"/>
          <w:szCs w:val="24"/>
          <w:rtl/>
        </w:rPr>
        <w:t>ومع ذلك، فإن فعالية إدارة المخاطر لا تعتمد فقط على السياسات والإجراءات، بل تتأثر أيضًا بالأنماط القيادية السائدة داخل المؤسسات الصحية. وهنا تبرز القيادة التحويلية كنموذج قيادي قادر على إحداث تغيير إيجابي في الثقافة التنظيمية، وتحفيز العاملين نحو الالتزام بمعايير السلامة، وتبني ممارسات إدارة المخاطر بشكل أكثر فاعلية. فالقيادة التحويلية، بما تتسم به من رؤية مستقبلية، وتمكين للفرق، وتركيز على الابتكار، قد تلعب دورًا وسيطًا في تعزيز العلاقة بين إدارة المخاطر وسلامة المرضى</w:t>
      </w:r>
      <w:r w:rsidRPr="00263F0F">
        <w:rPr>
          <w:rFonts w:ascii="Traditional Arabic" w:hAnsi="Traditional Arabic" w:cs="Traditional Arabic" w:hint="cs"/>
          <w:sz w:val="24"/>
          <w:szCs w:val="24"/>
          <w:lang w:bidi="ar-EG"/>
        </w:rPr>
        <w:t>.</w:t>
      </w:r>
    </w:p>
    <w:p w14:paraId="5955A8FF" w14:textId="77777777" w:rsidR="001407E6" w:rsidRPr="00AF4242" w:rsidRDefault="001407E6" w:rsidP="00AF4242">
      <w:pPr>
        <w:bidi/>
        <w:spacing w:after="200" w:line="360" w:lineRule="auto"/>
        <w:ind w:left="360" w:firstLine="720"/>
        <w:contextualSpacing/>
        <w:jc w:val="both"/>
        <w:rPr>
          <w:rFonts w:ascii="Traditional Arabic" w:hAnsi="Traditional Arabic" w:cs="Traditional Arabic"/>
          <w:sz w:val="24"/>
          <w:szCs w:val="24"/>
          <w:lang w:bidi="ar-EG"/>
        </w:rPr>
      </w:pPr>
      <w:r w:rsidRPr="00AF4242">
        <w:rPr>
          <w:rFonts w:ascii="Traditional Arabic" w:hAnsi="Traditional Arabic" w:cs="Traditional Arabic" w:hint="cs"/>
          <w:sz w:val="24"/>
          <w:szCs w:val="24"/>
          <w:rtl/>
        </w:rPr>
        <w:t>بناءً على ذلك، تهدف هذه الدراسة الميدانية إلى تحليل تأثير إدارة المخاطر على سلامة المرضى في المرافق الصحية الحكومية بالمملكة العربية السعودية، مع استكشاف الدور الوسيط الذي تلعبه القيادة التحويلية في هذه العلاقة. وتأتي هذه الدراسة في سياق الحاجة الملحة لفهم العوامل التنظيمية المؤثرة في جودة الرعاية الصحية، وتقديم توصيات عملية تسهم في تطوير السياسات الصحية الوطنية وتحسين الأداء المؤسسي</w:t>
      </w:r>
      <w:r w:rsidRPr="00AF4242">
        <w:rPr>
          <w:rFonts w:ascii="Traditional Arabic" w:hAnsi="Traditional Arabic" w:cs="Traditional Arabic" w:hint="cs"/>
          <w:sz w:val="24"/>
          <w:szCs w:val="24"/>
          <w:lang w:bidi="ar-EG"/>
        </w:rPr>
        <w:t>.</w:t>
      </w:r>
    </w:p>
    <w:p w14:paraId="102CC5C2" w14:textId="65794367" w:rsidR="003902F8" w:rsidRPr="00AF4242" w:rsidRDefault="00494334" w:rsidP="00AF4242">
      <w:pPr>
        <w:bidi/>
        <w:spacing w:after="200" w:line="360" w:lineRule="auto"/>
        <w:ind w:left="360" w:firstLine="720"/>
        <w:contextualSpacing/>
        <w:jc w:val="both"/>
        <w:rPr>
          <w:rFonts w:ascii="Traditional Arabic" w:eastAsia="Calibri" w:hAnsi="Traditional Arabic" w:cs="Traditional Arabic"/>
          <w:sz w:val="24"/>
          <w:szCs w:val="24"/>
          <w:lang w:bidi="ar-EG"/>
        </w:rPr>
      </w:pPr>
      <w:r w:rsidRPr="00AF4242">
        <w:rPr>
          <w:rFonts w:ascii="Traditional Arabic" w:eastAsia="Calibri" w:hAnsi="Traditional Arabic" w:cs="Traditional Arabic" w:hint="cs"/>
          <w:sz w:val="24"/>
          <w:szCs w:val="24"/>
          <w:rtl/>
          <w:lang w:bidi="ar-EG"/>
        </w:rPr>
        <w:t>يتناول هذا الفصل في</w:t>
      </w:r>
      <w:r w:rsidR="003902F8" w:rsidRPr="00AF4242">
        <w:rPr>
          <w:rFonts w:ascii="Traditional Arabic" w:eastAsia="Calibri" w:hAnsi="Traditional Arabic" w:cs="Traditional Arabic" w:hint="cs"/>
          <w:sz w:val="24"/>
          <w:szCs w:val="24"/>
          <w:rtl/>
          <w:lang w:bidi="ar-EG"/>
        </w:rPr>
        <w:t xml:space="preserve"> المبحث الاول المخاطر ومراحلها، </w:t>
      </w:r>
      <w:r w:rsidR="00EF26D0" w:rsidRPr="00AF4242">
        <w:rPr>
          <w:rFonts w:ascii="Traditional Arabic" w:eastAsia="Calibri" w:hAnsi="Traditional Arabic" w:cs="Traditional Arabic" w:hint="cs"/>
          <w:sz w:val="24"/>
          <w:szCs w:val="24"/>
          <w:rtl/>
          <w:lang w:bidi="ar-EG"/>
        </w:rPr>
        <w:t>و</w:t>
      </w:r>
      <w:r w:rsidR="003902F8" w:rsidRPr="00AF4242">
        <w:rPr>
          <w:rFonts w:ascii="Traditional Arabic" w:eastAsia="Calibri" w:hAnsi="Traditional Arabic" w:cs="Traditional Arabic" w:hint="cs"/>
          <w:sz w:val="24"/>
          <w:szCs w:val="24"/>
          <w:rtl/>
          <w:lang w:bidi="ar-EG"/>
        </w:rPr>
        <w:t>إدارة المخاطر، وأنواع المخاطر، فتعرض فيه الدراسة مفهوم والدراسات السابقة ذات العلاقة بمتغيرات الدراسة الحالية والتعليق عليها ، و</w:t>
      </w:r>
      <w:r w:rsidRPr="00AF4242">
        <w:rPr>
          <w:rFonts w:ascii="Traditional Arabic" w:eastAsia="Calibri" w:hAnsi="Traditional Arabic" w:cs="Traditional Arabic" w:hint="cs"/>
          <w:sz w:val="24"/>
          <w:szCs w:val="24"/>
          <w:rtl/>
          <w:lang w:bidi="ar-EG"/>
        </w:rPr>
        <w:t xml:space="preserve">المبحث </w:t>
      </w:r>
      <w:r w:rsidR="001407E6" w:rsidRPr="00AF4242">
        <w:rPr>
          <w:rFonts w:ascii="Traditional Arabic" w:eastAsia="Calibri" w:hAnsi="Traditional Arabic" w:cs="Traditional Arabic" w:hint="cs"/>
          <w:sz w:val="24"/>
          <w:szCs w:val="24"/>
          <w:rtl/>
          <w:lang w:bidi="ar-EG"/>
        </w:rPr>
        <w:t>الثاني الذي يحتوي على متغير سلامة المرضى والنظريات التي تفسر المتغير و</w:t>
      </w:r>
      <w:r w:rsidR="00EF26D0" w:rsidRPr="00AF4242">
        <w:rPr>
          <w:rFonts w:ascii="Traditional Arabic" w:eastAsia="Calibri" w:hAnsi="Traditional Arabic" w:cs="Traditional Arabic" w:hint="cs"/>
          <w:sz w:val="24"/>
          <w:szCs w:val="24"/>
          <w:rtl/>
          <w:lang w:bidi="ar-EG"/>
        </w:rPr>
        <w:t>أسباب الأخطاء الطبية ومعايير سلامة المرضى والدراسات السابقة والمبحث الثالث الذي يتضمن القيادة التحويلية و</w:t>
      </w:r>
      <w:r w:rsidRPr="00AF4242">
        <w:rPr>
          <w:rFonts w:ascii="Traditional Arabic" w:eastAsia="Calibri" w:hAnsi="Traditional Arabic" w:cs="Traditional Arabic" w:hint="cs"/>
          <w:sz w:val="24"/>
          <w:szCs w:val="24"/>
          <w:rtl/>
          <w:lang w:bidi="ar-EG"/>
        </w:rPr>
        <w:t>بعض المفاهيم ذات العلاقة بالقيـادة التحويـلية وهي مفهوم القيـادة التحويلية وأهميتها، وأبعاد القيادة التحويلية، وأنماط القيادة التحويلية وعوامل نجاحها، وخصائص القيادة التحويلية</w:t>
      </w:r>
      <w:r w:rsidR="00EF26D0" w:rsidRPr="00AF4242">
        <w:rPr>
          <w:rFonts w:ascii="Traditional Arabic" w:eastAsia="Calibri" w:hAnsi="Traditional Arabic" w:cs="Traditional Arabic" w:hint="cs"/>
          <w:sz w:val="24"/>
          <w:szCs w:val="24"/>
          <w:rtl/>
          <w:lang w:bidi="ar-EG"/>
        </w:rPr>
        <w:t xml:space="preserve"> والدراسات السابقة المتصلة بها.</w:t>
      </w:r>
    </w:p>
    <w:p w14:paraId="2B18E2CC" w14:textId="1AAE88D3" w:rsidR="001A390A" w:rsidRPr="00A42379" w:rsidRDefault="001A390A" w:rsidP="00C22C5A">
      <w:pPr>
        <w:bidi/>
        <w:spacing w:after="200" w:line="240" w:lineRule="auto"/>
        <w:jc w:val="both"/>
        <w:rPr>
          <w:rFonts w:ascii="Traditional Arabic" w:eastAsia="Calibri" w:hAnsi="Traditional Arabic" w:cs="Traditional Arabic"/>
          <w:b/>
          <w:bCs/>
          <w:sz w:val="28"/>
          <w:szCs w:val="28"/>
          <w:rtl/>
          <w:lang w:bidi="ar-EG"/>
        </w:rPr>
      </w:pPr>
      <w:r w:rsidRPr="00A42379">
        <w:rPr>
          <w:rFonts w:ascii="Traditional Arabic" w:eastAsia="Calibri" w:hAnsi="Traditional Arabic" w:cs="Traditional Arabic" w:hint="cs"/>
          <w:b/>
          <w:bCs/>
          <w:sz w:val="28"/>
          <w:szCs w:val="28"/>
          <w:rtl/>
          <w:lang w:bidi="ar-EG"/>
        </w:rPr>
        <w:t xml:space="preserve">المبحث الأول: </w:t>
      </w:r>
      <w:r w:rsidRPr="00A42379">
        <w:rPr>
          <w:rFonts w:ascii="Traditional Arabic" w:hAnsi="Traditional Arabic" w:cs="Traditional Arabic" w:hint="cs"/>
          <w:b/>
          <w:bCs/>
          <w:sz w:val="28"/>
          <w:szCs w:val="28"/>
          <w:rtl/>
        </w:rPr>
        <w:t xml:space="preserve">إدارة المخاطر </w:t>
      </w:r>
      <w:r w:rsidRPr="00A42379">
        <w:rPr>
          <w:rFonts w:ascii="Traditional Arabic" w:hAnsi="Traditional Arabic" w:cs="Traditional Arabic" w:hint="cs"/>
          <w:b/>
          <w:bCs/>
          <w:sz w:val="28"/>
          <w:szCs w:val="28"/>
        </w:rPr>
        <w:t>Risk management</w:t>
      </w:r>
      <w:r w:rsidR="00080B2E" w:rsidRPr="00A42379">
        <w:rPr>
          <w:rFonts w:ascii="Traditional Arabic" w:hAnsi="Traditional Arabic" w:cs="Traditional Arabic" w:hint="cs"/>
          <w:b/>
          <w:bCs/>
          <w:sz w:val="28"/>
          <w:szCs w:val="28"/>
          <w:rtl/>
        </w:rPr>
        <w:t>:</w:t>
      </w:r>
    </w:p>
    <w:p w14:paraId="0A910FAF" w14:textId="5C041963" w:rsidR="00C22C5A" w:rsidRPr="00A42379" w:rsidRDefault="00C22C5A" w:rsidP="00A42379">
      <w:pPr>
        <w:bidi/>
        <w:spacing w:before="240" w:after="120" w:line="360" w:lineRule="auto"/>
        <w:ind w:firstLine="720"/>
        <w:jc w:val="both"/>
        <w:rPr>
          <w:rFonts w:ascii="Traditional Arabic" w:hAnsi="Traditional Arabic" w:cs="Traditional Arabic"/>
          <w:sz w:val="24"/>
          <w:szCs w:val="24"/>
          <w:rtl/>
        </w:rPr>
      </w:pPr>
      <w:r w:rsidRPr="00A42379">
        <w:rPr>
          <w:rFonts w:ascii="Traditional Arabic" w:hAnsi="Traditional Arabic" w:cs="Traditional Arabic" w:hint="cs"/>
          <w:sz w:val="24"/>
          <w:szCs w:val="24"/>
          <w:rtl/>
        </w:rPr>
        <w:t>إدارة المخاطر هي مجال حيوي يسعى إلى تحديد وتقييم والتحكم في المخاطر المحتملة للحد من آثارها السلبية على الأفراد والمنظمات، خاصة في مجال الرعاية الصحية، وتساهم إدارة المخاطر في ضمان سلامة المرضى وتقليل الأخطاء الطبية وتحسين جودة الخدمات الصحية مع التطورات التكنولوجية المتسارعة وزيادة تعقيد الإجراءات الطبية وارتفاع توقعات المرضى، أصبحت إدارة المخاطر أداة ضرورية لتحقيق التوازن بين تقديم رعاية صحية فعالة وآمنة وبين التكلفة المرتبطة بالمخاطر المحتملة.</w:t>
      </w:r>
    </w:p>
    <w:p w14:paraId="7DCC99E6" w14:textId="63F4FCF9" w:rsidR="00C22C5A" w:rsidRPr="00A42379" w:rsidRDefault="00C22C5A" w:rsidP="00A42379">
      <w:pPr>
        <w:bidi/>
        <w:spacing w:before="240" w:after="120" w:line="360" w:lineRule="auto"/>
        <w:ind w:firstLine="720"/>
        <w:jc w:val="both"/>
        <w:rPr>
          <w:rFonts w:ascii="Traditional Arabic" w:hAnsi="Traditional Arabic" w:cs="Traditional Arabic"/>
          <w:sz w:val="24"/>
          <w:szCs w:val="24"/>
          <w:rtl/>
        </w:rPr>
      </w:pPr>
      <w:r w:rsidRPr="00A42379">
        <w:rPr>
          <w:rFonts w:ascii="Traditional Arabic" w:hAnsi="Traditional Arabic" w:cs="Traditional Arabic" w:hint="cs"/>
          <w:sz w:val="24"/>
          <w:szCs w:val="24"/>
          <w:rtl/>
        </w:rPr>
        <w:t xml:space="preserve">وفي السياق الصحي في السعودية، تتزايد الحاجة إلى تطبيق نظم إدارة المخاطر بفعالية، نظراً للتوسع الكبير في عدد المستشفيات والمراكز الصحية. تُعنى إدارة المخاطر بتحديد المخاطر المحتملة وتحليلها واتخاذ الإجراءات الوقائية اللازمة لتقليلها من الفوائد الرئيسية لهذه النظم </w:t>
      </w:r>
      <w:r w:rsidRPr="00A42379">
        <w:rPr>
          <w:rFonts w:ascii="Traditional Arabic" w:hAnsi="Traditional Arabic" w:cs="Traditional Arabic" w:hint="cs"/>
          <w:sz w:val="24"/>
          <w:szCs w:val="24"/>
          <w:rtl/>
        </w:rPr>
        <w:lastRenderedPageBreak/>
        <w:t>تحسين سلامة المرضى وتقليل التكاليف المرتبطة بالحوادث الطبية وتحسين الكفاءة التشغيلية. كما تسهم في تعزيز ثقافة السلامة بين الكوادر الطبية والإدارية مما يؤدي إلى زيادة رضا المرضى وتعزيز سمعة المستشفيات، على الرغم من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المدربة. كما يتطلب إدارة المخاطر جمع وتحليل كميات كبيرة من البيانات، وهو ما يتطلب استخدام تقنيات وأنظمة معلومات متطورة في المستشفيات نمواً كبيراً، ما يفرض ضرورة تحسين نظم إدارة المخاطر لضمان جودة الرعاية الصحية وسلامة 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w:t>
      </w:r>
    </w:p>
    <w:p w14:paraId="196D7BC0" w14:textId="206196E8" w:rsidR="001A390A" w:rsidRPr="00100562" w:rsidRDefault="003165AF" w:rsidP="00C22C5A">
      <w:pPr>
        <w:bidi/>
        <w:spacing w:after="200" w:line="276" w:lineRule="auto"/>
        <w:jc w:val="both"/>
        <w:rPr>
          <w:rFonts w:ascii="Traditional Arabic" w:eastAsia="Calibri" w:hAnsi="Traditional Arabic" w:cs="Traditional Arabic"/>
          <w:b/>
          <w:bCs/>
          <w:sz w:val="28"/>
          <w:szCs w:val="28"/>
          <w:rtl/>
          <w:lang w:bidi="ar-EG"/>
        </w:rPr>
      </w:pPr>
      <w:r w:rsidRPr="00100562">
        <w:rPr>
          <w:rFonts w:ascii="Traditional Arabic" w:eastAsia="Calibri" w:hAnsi="Traditional Arabic" w:cs="Traditional Arabic" w:hint="cs"/>
          <w:b/>
          <w:bCs/>
          <w:sz w:val="28"/>
          <w:szCs w:val="28"/>
          <w:rtl/>
          <w:lang w:bidi="ar-EG"/>
        </w:rPr>
        <w:t xml:space="preserve">أولا : </w:t>
      </w:r>
      <w:r w:rsidR="001A390A" w:rsidRPr="00100562">
        <w:rPr>
          <w:rFonts w:ascii="Traditional Arabic" w:eastAsia="Calibri" w:hAnsi="Traditional Arabic" w:cs="Traditional Arabic" w:hint="cs"/>
          <w:b/>
          <w:bCs/>
          <w:sz w:val="28"/>
          <w:szCs w:val="28"/>
          <w:rtl/>
          <w:lang w:bidi="ar-EG"/>
        </w:rPr>
        <w:t>مفهوم المخاطر:</w:t>
      </w:r>
    </w:p>
    <w:p w14:paraId="5B9848DA" w14:textId="0E6926E6"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rPr>
      </w:pPr>
      <w:r w:rsidRPr="00A42379">
        <w:rPr>
          <w:rFonts w:ascii="Traditional Arabic" w:eastAsia="Calibri" w:hAnsi="Traditional Arabic" w:cs="Traditional Arabic" w:hint="cs"/>
          <w:sz w:val="24"/>
          <w:szCs w:val="24"/>
          <w:rtl/>
        </w:rPr>
        <w:t xml:space="preserve">تُعرّف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احتمالية وقوع حدث غير مرغوب فيه قد يؤثر سلبًا على تحقيق أهداف المؤسسة أو جودة خدماتها</w:t>
      </w:r>
      <w:r w:rsidRPr="00A42379">
        <w:rPr>
          <w:rFonts w:ascii="Traditional Arabic" w:eastAsia="Calibri" w:hAnsi="Traditional Arabic" w:cs="Traditional Arabic" w:hint="cs"/>
          <w:sz w:val="24"/>
          <w:szCs w:val="24"/>
          <w:lang w:bidi="ar-EG"/>
        </w:rPr>
        <w:t xml:space="preserve"> </w:t>
      </w:r>
      <w:r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rPr>
        <w:t>الشمري، 2023، ص. 21).</w:t>
      </w:r>
    </w:p>
    <w:p w14:paraId="78A001F2" w14:textId="2EE39F08"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ويرى عبد الحميد (2024، ص. 34) أن المخاطر هي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الانحرافات المحتملة عن الأداء المتوقع، والتي قد تنتج عن عوامل داخلية أو خارجية، وتستوجب التدخل الإداري لتقليل آثارها</w:t>
      </w:r>
      <w:r w:rsidRPr="00A42379">
        <w:rPr>
          <w:rFonts w:ascii="Traditional Arabic" w:eastAsia="Calibri" w:hAnsi="Traditional Arabic" w:cs="Traditional Arabic" w:hint="cs"/>
          <w:sz w:val="24"/>
          <w:szCs w:val="24"/>
          <w:lang w:bidi="ar-EG"/>
        </w:rPr>
        <w:t>".</w:t>
      </w:r>
    </w:p>
    <w:p w14:paraId="277C86D5" w14:textId="19224F2D"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كما تُعرف المخاطر في السياق الصحي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مجموعة من التهديدات التي قد تؤثر على سلامة المرضى أو كفاءة الرعاية، وتشمل الأخطاء الطبية، الإخفاقات التنظيمية، أو الأعطال التقنية</w:t>
      </w:r>
      <w:r w:rsidRPr="00A42379">
        <w:rPr>
          <w:rFonts w:ascii="Traditional Arabic" w:eastAsia="Calibri" w:hAnsi="Traditional Arabic" w:cs="Traditional Arabic" w:hint="cs"/>
          <w:sz w:val="24"/>
          <w:szCs w:val="24"/>
          <w:lang w:bidi="ar-EG"/>
        </w:rPr>
        <w:t xml:space="preserve">" </w:t>
      </w:r>
      <w:r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rPr>
        <w:t>جمال، 2023، ص. 88</w:t>
      </w:r>
      <w:r w:rsidRPr="00A42379">
        <w:rPr>
          <w:rFonts w:ascii="Traditional Arabic" w:eastAsia="Calibri" w:hAnsi="Traditional Arabic" w:cs="Traditional Arabic" w:hint="cs"/>
          <w:sz w:val="24"/>
          <w:szCs w:val="24"/>
          <w:rtl/>
          <w:lang w:bidi="ar-EG"/>
        </w:rPr>
        <w:t>).</w:t>
      </w:r>
    </w:p>
    <w:p w14:paraId="637E9C27" w14:textId="3672FAE3" w:rsidR="00B55185" w:rsidRPr="00A42379" w:rsidRDefault="00B55185"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ويعرّفها ايضا مدوّن حر (2024، ص. 1)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الاحتمالات التي قد تؤدي إلى خسائر أو أضرار في بيئة العمل، سواء كانت بشرية أو تشغيلية أو قانونية، وتتطلب إدارة استباقية</w:t>
      </w:r>
      <w:r w:rsidRPr="00A42379">
        <w:rPr>
          <w:rFonts w:ascii="Traditional Arabic" w:eastAsia="Calibri" w:hAnsi="Traditional Arabic" w:cs="Traditional Arabic" w:hint="cs"/>
          <w:sz w:val="24"/>
          <w:szCs w:val="24"/>
          <w:lang w:bidi="ar-EG"/>
        </w:rPr>
        <w:t>".</w:t>
      </w:r>
    </w:p>
    <w:p w14:paraId="2C927DBB" w14:textId="73670190" w:rsidR="00B55185" w:rsidRPr="00A42379" w:rsidRDefault="00B55185"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ويوضح الطائي (2022، ص. 57) أن المخاطر هي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الظروف أو الأحداث التي قد تؤدي إلى نتائج سلبية على مستوى الأفراد أو المؤسسات، وتُقاس بدرجة احتمال وقوعها وتأثيرها</w:t>
      </w:r>
      <w:r w:rsidRPr="00A42379">
        <w:rPr>
          <w:rFonts w:ascii="Traditional Arabic" w:eastAsia="Calibri" w:hAnsi="Traditional Arabic" w:cs="Traditional Arabic" w:hint="cs"/>
          <w:sz w:val="24"/>
          <w:szCs w:val="24"/>
          <w:lang w:bidi="ar-EG"/>
        </w:rPr>
        <w:t>".</w:t>
      </w:r>
    </w:p>
    <w:p w14:paraId="6A335CE1" w14:textId="77777777" w:rsidR="00FB3600" w:rsidRPr="00A42379" w:rsidRDefault="00FB3600"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ويعرّف منصور (2023، ص. 103)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مزيج من التهديدات والفرص التي تتطلب قرارات استراتيجية لتقليل الأثر السلبي وتعظيم الفائدة الممكنة</w:t>
      </w:r>
      <w:r w:rsidRPr="00A42379">
        <w:rPr>
          <w:rFonts w:ascii="Traditional Arabic" w:eastAsia="Calibri" w:hAnsi="Traditional Arabic" w:cs="Traditional Arabic" w:hint="cs"/>
          <w:sz w:val="24"/>
          <w:szCs w:val="24"/>
          <w:lang w:bidi="ar-EG"/>
        </w:rPr>
        <w:t>".</w:t>
      </w:r>
    </w:p>
    <w:p w14:paraId="18312229" w14:textId="51FCCC38" w:rsidR="001A390A" w:rsidRPr="00A42379" w:rsidRDefault="001A390A" w:rsidP="00100562">
      <w:pPr>
        <w:bidi/>
        <w:spacing w:after="200" w:line="360" w:lineRule="auto"/>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ويمكن تعريف المخاطر استناداً إلى</w:t>
      </w:r>
      <w:r w:rsidRPr="00A42379">
        <w:rPr>
          <w:rFonts w:ascii="Traditional Arabic" w:eastAsia="Calibri" w:hAnsi="Traditional Arabic" w:cs="Traditional Arabic" w:hint="cs"/>
          <w:b/>
          <w:bCs/>
          <w:sz w:val="24"/>
          <w:szCs w:val="24"/>
          <w:rtl/>
          <w:lang w:bidi="ar-EG"/>
        </w:rPr>
        <w:t xml:space="preserve"> (اللامي والعيساوي، 2015)</w:t>
      </w:r>
      <w:r w:rsidRPr="00A42379">
        <w:rPr>
          <w:rFonts w:ascii="Traditional Arabic" w:eastAsia="Calibri" w:hAnsi="Traditional Arabic" w:cs="Traditional Arabic" w:hint="cs"/>
          <w:sz w:val="24"/>
          <w:szCs w:val="24"/>
          <w:rtl/>
          <w:lang w:bidi="ar-EG"/>
        </w:rPr>
        <w:t xml:space="preserve"> بالآتي:</w:t>
      </w:r>
    </w:p>
    <w:p w14:paraId="2FF83538" w14:textId="77777777" w:rsidR="001A390A"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المخاطر هي حالة متحركة غير ساكنة تمثل تهديداً مباشراً وحقيقيا لبقاء واستمرارية المنظمة تتميز بدرجة معينة من المخاطرة وتمثل نقطة تحول في اوضاع غير مستقرة تعود الى نتائج غير مرغوبة تؤثر سلباً على كفاءة وفاعلية متخذ القرار وتؤدي الى خسائر مادية ومعنوية وجسدية تؤثر في سمعة ومستقبل المستشفيات بالمملكة العربية السعودية.</w:t>
      </w:r>
    </w:p>
    <w:p w14:paraId="7696DBDD" w14:textId="781BA07B" w:rsidR="003165AF"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lastRenderedPageBreak/>
        <w:t>المخاطر حدث سلبي لا يمكن تجاوزه أو تجنبه مهما كانت درجة تحفز المنظمة التي تتميز بـعنصر المباغتة، ونقص المعلومات، وانعدام السيطرة مع تسارع الاحداث</w:t>
      </w:r>
      <w:r w:rsidR="003165AF"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rtl/>
          <w:lang w:bidi="ar-EG"/>
        </w:rPr>
        <w:t>أنّها أي الأزمة لحظة حادة ومرعبة شديدة الالم محيرة في ظل دائرة خبيئة من عدم التأكد وقصور المعرفة واختلاط المسببات</w:t>
      </w:r>
      <w:r w:rsidR="003165AF"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rtl/>
          <w:lang w:bidi="ar-EG"/>
        </w:rPr>
        <w:t>بالنتائج</w:t>
      </w:r>
      <w:r w:rsidR="003165AF"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وتداعي الاحداث بشكل متلاحق ليزيد من حدتها ومن درجة المجهول ليهدد الكيان الاداري وبالتالي ضياع سمعة وكرامة كبار المديرين</w:t>
      </w:r>
      <w:r w:rsidR="003165AF" w:rsidRPr="00A42379">
        <w:rPr>
          <w:rFonts w:ascii="Traditional Arabic" w:eastAsia="Calibri" w:hAnsi="Traditional Arabic" w:cs="Traditional Arabic" w:hint="cs"/>
          <w:sz w:val="24"/>
          <w:szCs w:val="24"/>
          <w:rtl/>
          <w:lang w:bidi="ar-EG"/>
        </w:rPr>
        <w:t>.</w:t>
      </w:r>
    </w:p>
    <w:p w14:paraId="15CBD88D"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كما </w:t>
      </w:r>
      <w:r w:rsidR="001A390A" w:rsidRPr="00A42379">
        <w:rPr>
          <w:rFonts w:ascii="Traditional Arabic" w:eastAsia="Calibri" w:hAnsi="Traditional Arabic" w:cs="Traditional Arabic" w:hint="cs"/>
          <w:sz w:val="24"/>
          <w:szCs w:val="24"/>
          <w:rtl/>
          <w:lang w:bidi="ar-EG"/>
        </w:rPr>
        <w:t xml:space="preserve">تعتبر الخطورة موقف خارج عن السيطرة وتحول فجائي عن السلوك المعتاد يؤدي إلى خلل في المجتمع وان مواجهة هذا الموقف يحتاج تداركه إلى اتخاذ قرار محدد سريع في ظل قلة المعلومات والمفاجأة وضيق الوقت المقترن بالمهددات. </w:t>
      </w:r>
    </w:p>
    <w:p w14:paraId="2C7F6D82" w14:textId="77777777" w:rsidR="003165AF"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ويعد تحديد حالة ما على انها ازمة من الامور التي تعد بالغة الصعوبة والتعقيد، الا انه يعد الصراع، الكارثة، الصدمة، والمشكلة معبرة شكلياً عن مفهوم الازمة والقاصرة عن اعطاء المعنى الدقيق والمقصود لمفهوم المخاطرة، فالأزمة برأيه لا تكون كذلك الا إذا تضمنت عناصر أساسية أربعة هي</w:t>
      </w:r>
      <w:r w:rsidR="003165AF"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التهديد، ضغط الوقت، المباغتة، وعدم التأكد. </w:t>
      </w:r>
    </w:p>
    <w:p w14:paraId="31A7F083"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وهي </w:t>
      </w:r>
      <w:r w:rsidR="001A390A" w:rsidRPr="00A42379">
        <w:rPr>
          <w:rFonts w:ascii="Traditional Arabic" w:eastAsia="Calibri" w:hAnsi="Traditional Arabic" w:cs="Traditional Arabic" w:hint="cs"/>
          <w:sz w:val="24"/>
          <w:szCs w:val="24"/>
          <w:rtl/>
          <w:lang w:bidi="ar-EG"/>
        </w:rPr>
        <w:t xml:space="preserve">موقف تحذيري يتضمن مجموعة من المخاطر كالتعارض مع العمليات اليومية والعادية للأعمال، وتعريض المنظمة. للرقابة الشديدة من جني الحكومة او من جانب وسائل الاعلام، وتعريض الصورة الذهنية الايجابية التي تتمتع بها المنظمة للخطر، من جانب آخر فان الازمة قد تؤدي الى تعزيز الشكوك في اداء المنظمة، وتؤدي الى فقدان الثقة في المنظمة،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 xml:space="preserve">ي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ن</w:t>
      </w:r>
      <w:r w:rsidRPr="00A42379">
        <w:rPr>
          <w:rFonts w:ascii="Traditional Arabic" w:eastAsia="Calibri" w:hAnsi="Traditional Arabic" w:cs="Traditional Arabic" w:hint="cs"/>
          <w:sz w:val="24"/>
          <w:szCs w:val="24"/>
          <w:rtl/>
          <w:lang w:bidi="ar-EG"/>
        </w:rPr>
        <w:t xml:space="preserve"> </w:t>
      </w:r>
      <w:r w:rsidR="001A390A" w:rsidRPr="00A42379">
        <w:rPr>
          <w:rFonts w:ascii="Traditional Arabic" w:eastAsia="Calibri" w:hAnsi="Traditional Arabic" w:cs="Traditional Arabic" w:hint="cs"/>
          <w:sz w:val="24"/>
          <w:szCs w:val="24"/>
          <w:rtl/>
          <w:lang w:bidi="ar-EG"/>
        </w:rPr>
        <w:t xml:space="preserve">تأثيرها يكون تأثيراً سلبياً وفي حالات قليلة يكون تأثيرها ايجابياً. </w:t>
      </w:r>
    </w:p>
    <w:p w14:paraId="6AB97646"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إ</w:t>
      </w:r>
      <w:r w:rsidR="001A390A" w:rsidRPr="00A42379">
        <w:rPr>
          <w:rFonts w:ascii="Traditional Arabic" w:eastAsia="Calibri" w:hAnsi="Traditional Arabic" w:cs="Traditional Arabic" w:hint="cs"/>
          <w:sz w:val="24"/>
          <w:szCs w:val="24"/>
          <w:rtl/>
          <w:lang w:bidi="ar-EG"/>
        </w:rPr>
        <w:t xml:space="preserve">ذاً الخطورة حالة غير طبيعية تمر بها المنظمة تهدد وجودها بسبب ظرف داخلي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 xml:space="preserve">و خارجي متوقع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و غير متوقع وعدم الاستعداد الكافي لتفادي الضرر.</w:t>
      </w:r>
    </w:p>
    <w:p w14:paraId="0B38F450" w14:textId="75937EEF" w:rsidR="001A390A" w:rsidRPr="00CD29C3" w:rsidRDefault="003165AF" w:rsidP="003165AF">
      <w:pPr>
        <w:bidi/>
        <w:spacing w:before="240" w:after="120" w:line="240" w:lineRule="auto"/>
        <w:rPr>
          <w:rFonts w:ascii="Traditional Arabic" w:hAnsi="Traditional Arabic" w:cs="Traditional Arabic"/>
          <w:b/>
          <w:bCs/>
          <w:sz w:val="28"/>
          <w:szCs w:val="28"/>
          <w:lang w:bidi="ar-EG"/>
        </w:rPr>
      </w:pPr>
      <w:r w:rsidRPr="00CD29C3">
        <w:rPr>
          <w:rFonts w:ascii="Traditional Arabic" w:hAnsi="Traditional Arabic" w:cs="Traditional Arabic" w:hint="cs"/>
          <w:b/>
          <w:bCs/>
          <w:sz w:val="28"/>
          <w:szCs w:val="28"/>
          <w:rtl/>
        </w:rPr>
        <w:t>ثانياً : مفهوم إدارة المخاطر:</w:t>
      </w:r>
      <w:r w:rsidR="001A390A" w:rsidRPr="00CD29C3">
        <w:rPr>
          <w:rFonts w:ascii="Traditional Arabic" w:eastAsia="Calibri" w:hAnsi="Traditional Arabic" w:cs="Traditional Arabic" w:hint="cs"/>
          <w:sz w:val="28"/>
          <w:szCs w:val="28"/>
          <w:rtl/>
          <w:lang w:bidi="ar-EG"/>
        </w:rPr>
        <w:tab/>
      </w:r>
    </w:p>
    <w:p w14:paraId="4BA3A244" w14:textId="77777777" w:rsidR="001101CF"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تعني كيفية التغلب على الكوارث أي المخاطر بالأدوات العلمية والإدارية المختلفة وتجنب سلبياتها والاستفادة من إيجابياتها فعلم إدارة المخاطر هو علم إدارة التوازنات التأقلم والتواؤم مع المتغيرات المختلفة وبحث مترتباتها في كافة المجالات("الحفني،2017)</w:t>
      </w:r>
      <w:r w:rsidR="003165AF" w:rsidRPr="00A42379">
        <w:rPr>
          <w:rFonts w:ascii="Traditional Arabic" w:eastAsia="Calibri" w:hAnsi="Traditional Arabic" w:cs="Traditional Arabic" w:hint="cs"/>
          <w:sz w:val="24"/>
          <w:szCs w:val="24"/>
          <w:rtl/>
          <w:lang w:bidi="ar-EG"/>
        </w:rPr>
        <w:t>.</w:t>
      </w:r>
    </w:p>
    <w:p w14:paraId="578E6898" w14:textId="673E427E" w:rsidR="001101CF"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وهي العملية الإدارية المستمرة التي تهتم بالتنبؤ بالمخاطر المتوقعة عن طريق الاستشعار ورصد المتغيرات البيئية الداخلية وكذلك الخارجية المولدة للخطورة وتعبئة الموارد والإمكانات المتوفرة لمنع أوالتعامل مع المخاطر بالقدر الكافي من الكفاءة وبما يحقق أقل قدر ممكن من الضرر للمنظمـة وللبيئة والعاملين مع ضمان العودة للأوضاع الطبيعية بأسرع وقت (2017</w:t>
      </w:r>
      <w:r w:rsidRPr="00A42379">
        <w:rPr>
          <w:rFonts w:ascii="Traditional Arabic" w:eastAsia="Calibri" w:hAnsi="Traditional Arabic" w:cs="Traditional Arabic" w:hint="cs"/>
          <w:sz w:val="24"/>
          <w:szCs w:val="24"/>
        </w:rPr>
        <w:t xml:space="preserve"> </w:t>
      </w:r>
      <w:r w:rsidRPr="00A42379">
        <w:rPr>
          <w:rFonts w:ascii="Traditional Arabic" w:eastAsia="Calibri" w:hAnsi="Traditional Arabic" w:cs="Traditional Arabic" w:hint="cs"/>
          <w:sz w:val="24"/>
          <w:szCs w:val="24"/>
          <w:lang w:bidi="ar-EG"/>
        </w:rPr>
        <w:t>al, et</w:t>
      </w: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lang w:bidi="ar-EG"/>
        </w:rPr>
        <w:t>(Wester</w:t>
      </w:r>
      <w:r w:rsidR="001101CF" w:rsidRPr="00A42379">
        <w:rPr>
          <w:rFonts w:ascii="Traditional Arabic" w:eastAsia="Calibri" w:hAnsi="Traditional Arabic" w:cs="Traditional Arabic" w:hint="cs"/>
          <w:sz w:val="24"/>
          <w:szCs w:val="24"/>
          <w:rtl/>
          <w:lang w:bidi="ar-EG"/>
        </w:rPr>
        <w:t>.</w:t>
      </w:r>
    </w:p>
    <w:p w14:paraId="42C214B3" w14:textId="328CF03F" w:rsidR="00AF3C3E" w:rsidRPr="00A42379" w:rsidRDefault="003D2D97" w:rsidP="008A0800">
      <w:pPr>
        <w:bidi/>
        <w:spacing w:before="240" w:after="120" w:line="360" w:lineRule="auto"/>
        <w:ind w:firstLine="432"/>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وأيضا</w:t>
      </w:r>
      <w:r w:rsidR="00AF3C3E" w:rsidRPr="00A42379">
        <w:rPr>
          <w:rFonts w:ascii="Traditional Arabic" w:hAnsi="Traditional Arabic" w:cs="Traditional Arabic" w:hint="cs"/>
          <w:color w:val="000000"/>
          <w:sz w:val="24"/>
          <w:szCs w:val="24"/>
          <w:rtl/>
          <w:lang w:bidi="ar-EG"/>
        </w:rPr>
        <w:t xml:space="preserve"> عملية تحديد وتحليل جميع المخاطر التي قد تحول دون تحقيق الأهداف ووضع خطط لتقييمها ومراقبتها والحد من أثرها (وزارة الصحة 2019-2022).</w:t>
      </w:r>
    </w:p>
    <w:p w14:paraId="13AD28D3" w14:textId="2A4F77D4" w:rsidR="00356A50" w:rsidRPr="00A42379" w:rsidRDefault="00356A50"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rPr>
        <w:lastRenderedPageBreak/>
        <w:t>تُعرّف إدارة المخاطر بأنها عملية منهجية تهدف إلى تحديد المخاطر وتقييمها وترتيبها حسب الأولوية، ثم اتخاذ إجراءات الاستجابة المناسبة ومراقبتها، بهدف تقليل احتمالية حدوثها أو تخفيف آثارها على الأهداف التنظيمية. ولا تسعى هذه الإدارة إلى القضاء التام على جميع المخاطر، بل إلى التحكم بها ضمن مستويات مقبولة، وتحقيق توازن فعّال بين التهديدات والفرص، لا سيما في البيئات المعقدة والمتغيرة</w:t>
      </w:r>
      <w:r w:rsidRPr="00A42379">
        <w:rPr>
          <w:rFonts w:ascii="Traditional Arabic" w:hAnsi="Traditional Arabic" w:cs="Traditional Arabic" w:hint="cs"/>
          <w:color w:val="000000"/>
          <w:sz w:val="24"/>
          <w:szCs w:val="24"/>
          <w:lang w:bidi="ar-EG"/>
        </w:rPr>
        <w:t xml:space="preserve"> (Oliveira &amp; Ribeiro, 2023)</w:t>
      </w:r>
      <w:r w:rsidRPr="00A42379">
        <w:rPr>
          <w:rFonts w:ascii="Traditional Arabic" w:hAnsi="Traditional Arabic" w:cs="Traditional Arabic" w:hint="cs"/>
          <w:color w:val="000000"/>
          <w:sz w:val="24"/>
          <w:szCs w:val="24"/>
          <w:rtl/>
          <w:lang w:bidi="ar-EG"/>
        </w:rPr>
        <w:t>.</w:t>
      </w:r>
    </w:p>
    <w:p w14:paraId="6BC93B74" w14:textId="3ECD6172" w:rsidR="005B569C" w:rsidRPr="00A42379" w:rsidRDefault="003D2D97"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 xml:space="preserve">كما أن </w:t>
      </w:r>
      <w:r w:rsidR="005B569C" w:rsidRPr="00A42379">
        <w:rPr>
          <w:rFonts w:ascii="Traditional Arabic" w:hAnsi="Traditional Arabic" w:cs="Traditional Arabic" w:hint="cs"/>
          <w:color w:val="000000"/>
          <w:sz w:val="24"/>
          <w:szCs w:val="24"/>
          <w:rtl/>
        </w:rPr>
        <w:t>إدارة المخاطر في المؤسسات الصحية هي مجموعة من العمليات المنظمة التي تهدف إلى تقليل احتمالية وقوع أحداث ضارة تؤثر على سلامة المرضى أو العاملين، من خلال تحليل المخاطر وتطوير خطط استجابة فعالة</w:t>
      </w:r>
      <w:r w:rsidR="00AF4DBC" w:rsidRPr="00A42379">
        <w:rPr>
          <w:rFonts w:ascii="Traditional Arabic" w:hAnsi="Traditional Arabic" w:cs="Traditional Arabic" w:hint="cs"/>
          <w:color w:val="000000"/>
          <w:sz w:val="24"/>
          <w:szCs w:val="24"/>
          <w:rtl/>
          <w:lang w:bidi="ar-EG"/>
        </w:rPr>
        <w:t>(</w:t>
      </w:r>
      <w:r w:rsidR="005B569C" w:rsidRPr="00A42379">
        <w:rPr>
          <w:rFonts w:ascii="Traditional Arabic" w:hAnsi="Traditional Arabic" w:cs="Traditional Arabic" w:hint="cs"/>
          <w:color w:val="000000"/>
          <w:sz w:val="24"/>
          <w:szCs w:val="24"/>
          <w:rtl/>
          <w:lang w:bidi="ar-EG"/>
        </w:rPr>
        <w:t xml:space="preserve"> الشمري، 2020، 112).</w:t>
      </w:r>
    </w:p>
    <w:p w14:paraId="3E6C6E04" w14:textId="6BB712AA" w:rsidR="005B569C" w:rsidRPr="00A42379" w:rsidRDefault="005B569C"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و</w:t>
      </w:r>
      <w:r w:rsidRPr="00A42379">
        <w:rPr>
          <w:rFonts w:ascii="Traditional Arabic" w:hAnsi="Traditional Arabic" w:cs="Traditional Arabic" w:hint="cs"/>
          <w:color w:val="000000"/>
          <w:sz w:val="24"/>
          <w:szCs w:val="24"/>
          <w:lang w:bidi="ar-EG"/>
        </w:rPr>
        <w:t>"</w:t>
      </w:r>
      <w:r w:rsidRPr="00A42379">
        <w:rPr>
          <w:rFonts w:ascii="Traditional Arabic" w:hAnsi="Traditional Arabic" w:cs="Traditional Arabic" w:hint="cs"/>
          <w:color w:val="000000"/>
          <w:sz w:val="24"/>
          <w:szCs w:val="24"/>
          <w:rtl/>
        </w:rPr>
        <w:t>تُعرف إدارة المخاطر الصحية بأنها نشاط إداري يهدف إلى حماية المرضى والمنشأة من الأخطاء الطبية والمخاطر التشغيلية، عبر تطبيق أدوات تقييم وتحليل المخاطر، وتطوير سياسات وقائية تضمن جودة الخدمة وسلامة الأداء</w:t>
      </w:r>
      <w:r w:rsidRPr="00A42379">
        <w:rPr>
          <w:rFonts w:ascii="Traditional Arabic" w:hAnsi="Traditional Arabic" w:cs="Traditional Arabic" w:hint="cs"/>
          <w:color w:val="000000"/>
          <w:sz w:val="24"/>
          <w:szCs w:val="24"/>
          <w:rtl/>
          <w:lang w:bidi="ar-EG"/>
        </w:rPr>
        <w:t>( الطائي، 2021، 89).</w:t>
      </w:r>
    </w:p>
    <w:p w14:paraId="2301572A" w14:textId="61DDB8F4" w:rsidR="001A390A"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يمكن القول بأن إدارة المخاطر هي: عملية إدارية تعنى بالتنبؤ المستقبلي لما قد يواجه المنظمـة مستقبلا من أحداث، وتعمل على الاستعداد لمواجهة هذه الأحداث بما يجنب المنظمـة تحمل الأضرار أو قد يعود عليها بالنفع لتستمر بتحقيق أهدافها، كما ظهر مفهوم آخر يرتبط بالمخاطر وهو مفهوم الإدارة </w:t>
      </w:r>
      <w:r w:rsidR="00FF1E0A" w:rsidRPr="00A42379">
        <w:rPr>
          <w:rFonts w:ascii="Traditional Arabic" w:eastAsia="Calibri" w:hAnsi="Traditional Arabic" w:cs="Traditional Arabic" w:hint="cs"/>
          <w:sz w:val="24"/>
          <w:szCs w:val="24"/>
          <w:rtl/>
          <w:lang w:bidi="ar-EG"/>
        </w:rPr>
        <w:t>ب</w:t>
      </w:r>
      <w:r w:rsidRPr="00A42379">
        <w:rPr>
          <w:rFonts w:ascii="Traditional Arabic" w:eastAsia="Calibri" w:hAnsi="Traditional Arabic" w:cs="Traditional Arabic" w:hint="cs"/>
          <w:sz w:val="24"/>
          <w:szCs w:val="24"/>
          <w:rtl/>
          <w:lang w:bidi="ar-EG"/>
        </w:rPr>
        <w:t xml:space="preserve">المخاطر، ويشير </w:t>
      </w:r>
      <w:r w:rsidRPr="00A42379">
        <w:rPr>
          <w:rFonts w:ascii="Traditional Arabic" w:eastAsia="Calibri" w:hAnsi="Traditional Arabic" w:cs="Traditional Arabic" w:hint="cs"/>
          <w:b/>
          <w:bCs/>
          <w:sz w:val="24"/>
          <w:szCs w:val="24"/>
          <w:rtl/>
          <w:lang w:bidi="ar-EG"/>
        </w:rPr>
        <w:t>(المساعدة،2020)</w:t>
      </w:r>
      <w:r w:rsidRPr="00A42379">
        <w:rPr>
          <w:rFonts w:ascii="Traditional Arabic" w:eastAsia="Calibri" w:hAnsi="Traditional Arabic" w:cs="Traditional Arabic" w:hint="cs"/>
          <w:sz w:val="24"/>
          <w:szCs w:val="24"/>
          <w:rtl/>
          <w:lang w:bidi="ar-EG"/>
        </w:rPr>
        <w:t xml:space="preserve"> إلى أنّ الفرق بين إدارة االمخاطر والإدارة بالمخاطر كما يلي:</w:t>
      </w:r>
    </w:p>
    <w:p w14:paraId="05799F48" w14:textId="77777777" w:rsidR="001A390A" w:rsidRPr="00A42379" w:rsidRDefault="001A390A">
      <w:pPr>
        <w:numPr>
          <w:ilvl w:val="1"/>
          <w:numId w:val="40"/>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إدارة المخاطر:</w:t>
      </w:r>
      <w:r w:rsidRPr="00A42379">
        <w:rPr>
          <w:rFonts w:ascii="Traditional Arabic" w:eastAsia="Calibri" w:hAnsi="Traditional Arabic" w:cs="Traditional Arabic" w:hint="cs"/>
          <w:sz w:val="24"/>
          <w:szCs w:val="24"/>
          <w:rtl/>
          <w:lang w:bidi="ar-EG"/>
        </w:rPr>
        <w:t xml:space="preserve"> بشكلها التقليدي تعتبر "مجموعة من التجهيزات والجهود التي تبذل لمواجهة الحد أو الدمار المترتب على الأزمة"، أما بشكلها الحديث فهي تتطلب التفكير فيما لا يمكن التفكير به وتوقع ما لا يمكن توقعه من قبل المديرين، فهي "عملية الترتيب والاعداد المنظم والمنتظم للمشكلات التي تهدد بشكل خطير سمعة المنظمة، وربحيتها أو بقاءها في السوق."</w:t>
      </w:r>
    </w:p>
    <w:p w14:paraId="25E04967" w14:textId="547B0280" w:rsidR="001A390A" w:rsidRPr="00A42379" w:rsidRDefault="001A390A">
      <w:pPr>
        <w:numPr>
          <w:ilvl w:val="1"/>
          <w:numId w:val="40"/>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الإدارة</w:t>
      </w: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بالمخاطر</w:t>
      </w:r>
      <w:r w:rsidR="00AF3C3E"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تقوم على افتعال الأزمة وايجادها من العدم كوسيلة للتغطية والتمويه على المشاكل القائمة التي تواجه المنظمة، فلنسيان مشكلة ما يتم يجب حدوث مشكلة أكبر وأشد تأثيرا، للتغطية على المشكلة القائمة بمشكلة جديدة، ويطلق البعض على هذا مفهوم صناعة المخاطرة للتحكم والسيطرة على الآخرين، وهو فن مستحدث يهدف للسيطرة على الآخرين، واخضاعهم وابتزازهم وتحريك الثوابت الراسخة فيما يتصل بالقواعد المستقرة وخلخلة الوضع الراهن والأسس المتعارف عليها من خلال صناعة الأزمة لتحقيق المكاسب، وهذه العملية تحتاج إلى احكام السيطرة حتى لا يحدث انفلات وقلب للأوضاع نتيجة سوء التقدير والإصرار على الخطأ والتمادي فيه.</w:t>
      </w:r>
    </w:p>
    <w:p w14:paraId="5E47A952" w14:textId="44C33546" w:rsidR="00AF3C3E" w:rsidRPr="00C67F7A" w:rsidRDefault="00A44ABC" w:rsidP="00AF3C3E">
      <w:pPr>
        <w:bidi/>
        <w:spacing w:before="240" w:after="120" w:line="240" w:lineRule="auto"/>
        <w:rPr>
          <w:rFonts w:ascii="Traditional Arabic" w:hAnsi="Traditional Arabic" w:cs="Traditional Arabic"/>
          <w:b/>
          <w:bCs/>
          <w:sz w:val="28"/>
          <w:szCs w:val="28"/>
          <w:rtl/>
          <w:lang w:bidi="ar-EG"/>
        </w:rPr>
      </w:pPr>
      <w:r w:rsidRPr="00C67F7A">
        <w:rPr>
          <w:rFonts w:ascii="Traditional Arabic" w:hAnsi="Traditional Arabic" w:cs="Traditional Arabic" w:hint="cs"/>
          <w:b/>
          <w:bCs/>
          <w:sz w:val="28"/>
          <w:szCs w:val="28"/>
          <w:rtl/>
          <w:lang w:bidi="ar-EG"/>
        </w:rPr>
        <w:t xml:space="preserve">ثالثا : </w:t>
      </w:r>
      <w:r w:rsidR="00AF3C3E" w:rsidRPr="00C67F7A">
        <w:rPr>
          <w:rFonts w:ascii="Traditional Arabic" w:hAnsi="Traditional Arabic" w:cs="Traditional Arabic" w:hint="cs"/>
          <w:b/>
          <w:bCs/>
          <w:sz w:val="28"/>
          <w:szCs w:val="28"/>
          <w:rtl/>
          <w:lang w:bidi="ar-EG"/>
        </w:rPr>
        <w:t>أهمية إدارة المخاطر</w:t>
      </w:r>
      <w:r w:rsidR="00080B2E" w:rsidRPr="00C67F7A">
        <w:rPr>
          <w:rFonts w:ascii="Traditional Arabic" w:hAnsi="Traditional Arabic" w:cs="Traditional Arabic" w:hint="cs"/>
          <w:b/>
          <w:bCs/>
          <w:sz w:val="28"/>
          <w:szCs w:val="28"/>
          <w:rtl/>
          <w:lang w:bidi="ar-EG"/>
        </w:rPr>
        <w:t>:</w:t>
      </w:r>
    </w:p>
    <w:p w14:paraId="7E3794D7" w14:textId="77777777" w:rsidR="00AF3C3E" w:rsidRPr="00A42379" w:rsidRDefault="00AF3C3E" w:rsidP="00C67F7A">
      <w:pPr>
        <w:bidi/>
        <w:spacing w:before="24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 xml:space="preserve">تقوم إدارة المخاطر بحماية المؤسسة وتقويمها بطريقة علمية صحيحة وتنفيذ استراتيجيات مختلفة تدعم أهداف المؤسسة وتواجه مخاطرها وتكمن أهميتها في: </w:t>
      </w:r>
    </w:p>
    <w:p w14:paraId="3555E515" w14:textId="77777777" w:rsidR="00AF3C3E" w:rsidRPr="00A42379" w:rsidRDefault="00AF3C3E">
      <w:pPr>
        <w:numPr>
          <w:ilvl w:val="0"/>
          <w:numId w:val="11"/>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lastRenderedPageBreak/>
        <w:t>تطوير أساليب اتخاذ القرار والتخطيط لها وتحديد الأولويات عن طريق الادراك الشامل والمنظم لأنشطة المؤسسات.</w:t>
      </w:r>
    </w:p>
    <w:p w14:paraId="3B421C8A" w14:textId="77777777" w:rsidR="00AF3C3E" w:rsidRPr="00A42379" w:rsidRDefault="00AF3C3E">
      <w:pPr>
        <w:numPr>
          <w:ilvl w:val="0"/>
          <w:numId w:val="11"/>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ابراز الثغرات والتعرف على الفرص السلبية والإيجابية المتاحة للمشروعات، وهذا لتفادي الخسائر مستقبلا، ووضع أداة لتنقيد الاستراتيجية حيث تزود المؤسسة بنظرة ، أفضل حول مستقبل المؤسسة.</w:t>
      </w:r>
    </w:p>
    <w:p w14:paraId="724D9FAA" w14:textId="77777777" w:rsidR="00AF3C3E" w:rsidRPr="00A42379" w:rsidRDefault="00AF3C3E">
      <w:pPr>
        <w:numPr>
          <w:ilvl w:val="0"/>
          <w:numId w:val="11"/>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تقوم بقياس مدى كفاية رأس المال والقدرة على الوفاء بالتزاماتها، وذلك لعدم الوقوع في مخاطر نقص السيولة.</w:t>
      </w:r>
    </w:p>
    <w:p w14:paraId="26F32C2E" w14:textId="77777777" w:rsidR="00AF3C3E" w:rsidRPr="00A42379" w:rsidRDefault="00AF3C3E">
      <w:pPr>
        <w:numPr>
          <w:ilvl w:val="0"/>
          <w:numId w:val="11"/>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تساعد في اتخاذ القرارات.</w:t>
      </w:r>
    </w:p>
    <w:p w14:paraId="0A541001" w14:textId="1B613206" w:rsidR="00AF3C3E" w:rsidRPr="00A42379" w:rsidRDefault="00AF3C3E">
      <w:pPr>
        <w:numPr>
          <w:ilvl w:val="0"/>
          <w:numId w:val="11"/>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تنمية المزايا التنافسية والتحكم في المخاطر كونها عامل رئيسي في الربحية وزيادة التنافسية (حماد، 2007 ، 224).</w:t>
      </w:r>
    </w:p>
    <w:p w14:paraId="0411BA3F" w14:textId="16A559FD" w:rsidR="00AF3C3E" w:rsidRPr="000D690F" w:rsidRDefault="00A44ABC" w:rsidP="00AF3C3E">
      <w:pPr>
        <w:bidi/>
        <w:spacing w:before="240" w:after="120" w:line="240" w:lineRule="auto"/>
        <w:rPr>
          <w:rFonts w:ascii="Traditional Arabic" w:hAnsi="Traditional Arabic" w:cs="Traditional Arabic"/>
          <w:sz w:val="28"/>
          <w:szCs w:val="28"/>
          <w:rtl/>
          <w:lang w:bidi="ar-EG"/>
        </w:rPr>
      </w:pPr>
      <w:r w:rsidRPr="000D690F">
        <w:rPr>
          <w:rFonts w:ascii="Traditional Arabic" w:hAnsi="Traditional Arabic" w:cs="Traditional Arabic" w:hint="cs"/>
          <w:b/>
          <w:bCs/>
          <w:sz w:val="28"/>
          <w:szCs w:val="28"/>
          <w:rtl/>
          <w:lang w:bidi="ar-EG"/>
        </w:rPr>
        <w:t xml:space="preserve">رابعاً: </w:t>
      </w:r>
      <w:r w:rsidR="00AF3C3E" w:rsidRPr="000D690F">
        <w:rPr>
          <w:rFonts w:ascii="Traditional Arabic" w:hAnsi="Traditional Arabic" w:cs="Traditional Arabic" w:hint="cs"/>
          <w:b/>
          <w:bCs/>
          <w:sz w:val="28"/>
          <w:szCs w:val="28"/>
          <w:rtl/>
          <w:lang w:bidi="ar-EG"/>
        </w:rPr>
        <w:t>أهداف إدارة المخاطر:</w:t>
      </w:r>
    </w:p>
    <w:p w14:paraId="3722AE0C" w14:textId="25934E21" w:rsidR="00AF3C3E" w:rsidRPr="00A42379" w:rsidRDefault="00AF3C3E" w:rsidP="000D690F">
      <w:pPr>
        <w:bidi/>
        <w:spacing w:before="240" w:after="120" w:line="360" w:lineRule="auto"/>
        <w:ind w:firstLine="720"/>
        <w:jc w:val="both"/>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ان أهداف إدارة المخاطر لا تقل أهمية عن أهداف القطاعات الأخرى في المؤسسة، ل</w:t>
      </w:r>
      <w:r w:rsidR="00FF1E0A" w:rsidRPr="00A42379">
        <w:rPr>
          <w:rFonts w:ascii="Traditional Arabic" w:hAnsi="Traditional Arabic" w:cs="Traditional Arabic" w:hint="cs"/>
          <w:sz w:val="24"/>
          <w:szCs w:val="24"/>
          <w:rtl/>
          <w:lang w:bidi="ar-EG"/>
        </w:rPr>
        <w:t>ذ</w:t>
      </w:r>
      <w:r w:rsidRPr="00A42379">
        <w:rPr>
          <w:rFonts w:ascii="Traditional Arabic" w:hAnsi="Traditional Arabic" w:cs="Traditional Arabic" w:hint="cs"/>
          <w:sz w:val="24"/>
          <w:szCs w:val="24"/>
          <w:rtl/>
          <w:lang w:bidi="ar-EG"/>
        </w:rPr>
        <w:t xml:space="preserve">ا نجد أن الكتاب يطرحون العديد من الأهداف لإدارة المخاطر، والهدفان الرئيسيان فيها يكونان عادة التحقيق من تأثيرات المخاطر وتقليل الخسائر الى الحد الأدنى لذا فان إدارة المخاطر لها مجموعة متنوعة من الأهداف نذكر من بينها: </w:t>
      </w:r>
    </w:p>
    <w:p w14:paraId="487BCDD0"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التحكم والسيطرة على المخاطر، وتفادي تأثيرها على سير العمل. </w:t>
      </w:r>
    </w:p>
    <w:p w14:paraId="50937B07"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ضمان سلامة أي معلومات من التسرب والحفاظ على أمن البيانات. </w:t>
      </w:r>
    </w:p>
    <w:p w14:paraId="44E3ACE9"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تقسيم وتصنيف المناطق الخطرة ووضع الإجراءات والارشادات لها في مجال الأمن والسلامة المهنية والصحية.</w:t>
      </w:r>
    </w:p>
    <w:p w14:paraId="6D6D39AA"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تطوير أدوات إدارة المخاطر ومواجهة المخاطر بشكل مستمر.</w:t>
      </w:r>
    </w:p>
    <w:p w14:paraId="124A127E"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نشر ثقافة إدارة المخاطر داخل المؤسسة. </w:t>
      </w:r>
    </w:p>
    <w:p w14:paraId="3EB41642"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نشر الأنظمة الرقابية وآليات التنبؤ في الأزمات المختلفة ومحاولة اكتشافها ووقوعها.</w:t>
      </w:r>
    </w:p>
    <w:p w14:paraId="1DC6BB71"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ضمان وجود إدارة مهنية مستقلة تصدر التوجيه السليم وتشرف على عمل المؤسسة.</w:t>
      </w:r>
    </w:p>
    <w:p w14:paraId="6C11B33E"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ادخال نظم المراجعة والرقابة من طرف إدارة المخاطر بما يضمن منع واكتشاف وتحليل النتائج الغير مرغوب فيها. </w:t>
      </w:r>
    </w:p>
    <w:p w14:paraId="7E163F84" w14:textId="77777777"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حماية حقوق المساهمين وغيرهم من الأطراف المعنية بما يكفل استدامة وازدهار المؤسسة. </w:t>
      </w:r>
    </w:p>
    <w:p w14:paraId="1096CBB6" w14:textId="536A9E2C" w:rsidR="00AF3C3E" w:rsidRPr="00A42379" w:rsidRDefault="00AF3C3E">
      <w:pPr>
        <w:numPr>
          <w:ilvl w:val="0"/>
          <w:numId w:val="17"/>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lastRenderedPageBreak/>
        <w:t>تعزیز مبادئ المسؤولية والاستدامة والمشاركة لصالح الأطراف المعنية من الداخل والخارج (جمعية الحوكمة والشفافية في قطاع الصحة ،2013، 28).</w:t>
      </w:r>
    </w:p>
    <w:p w14:paraId="52A5D378" w14:textId="7D1E60F7" w:rsidR="00AF3C3E" w:rsidRPr="009C3AB4" w:rsidRDefault="00A44ABC" w:rsidP="00AF3C3E">
      <w:pPr>
        <w:bidi/>
        <w:spacing w:before="240" w:after="120" w:line="240" w:lineRule="auto"/>
        <w:rPr>
          <w:rFonts w:ascii="Traditional Arabic" w:hAnsi="Traditional Arabic" w:cs="Traditional Arabic"/>
          <w:b/>
          <w:bCs/>
          <w:sz w:val="28"/>
          <w:szCs w:val="28"/>
          <w:rtl/>
          <w:lang w:bidi="ar-EG"/>
        </w:rPr>
      </w:pPr>
      <w:r w:rsidRPr="009C3AB4">
        <w:rPr>
          <w:rFonts w:ascii="Traditional Arabic" w:hAnsi="Traditional Arabic" w:cs="Traditional Arabic" w:hint="cs"/>
          <w:b/>
          <w:bCs/>
          <w:sz w:val="28"/>
          <w:szCs w:val="28"/>
          <w:rtl/>
          <w:lang w:bidi="ar-EG"/>
        </w:rPr>
        <w:t xml:space="preserve">خامساً : </w:t>
      </w:r>
      <w:r w:rsidR="00AF3C3E" w:rsidRPr="009C3AB4">
        <w:rPr>
          <w:rFonts w:ascii="Traditional Arabic" w:hAnsi="Traditional Arabic" w:cs="Traditional Arabic" w:hint="cs"/>
          <w:b/>
          <w:bCs/>
          <w:sz w:val="28"/>
          <w:szCs w:val="28"/>
          <w:rtl/>
          <w:lang w:bidi="ar-EG"/>
        </w:rPr>
        <w:t>خصائص إدارة المخاطر:</w:t>
      </w:r>
    </w:p>
    <w:p w14:paraId="3EAE86EC" w14:textId="77777777" w:rsidR="00AF3C3E" w:rsidRPr="00A42379" w:rsidRDefault="00AF3C3E" w:rsidP="009C3AB4">
      <w:pPr>
        <w:bidi/>
        <w:spacing w:before="12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تتميز إدارة المخاطر بالخصائص التالية:</w:t>
      </w:r>
    </w:p>
    <w:p w14:paraId="487AEDE4"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تتطلب قرارات مصيرية لمواجهتها أو حسمها.</w:t>
      </w:r>
    </w:p>
    <w:p w14:paraId="2F051BB8"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تهدد الأهداف الرئيسية للمنظمة وسمعة وكرامة متخذي القرار فيها. </w:t>
      </w:r>
    </w:p>
    <w:p w14:paraId="72053E27"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تتطلب المخاطر معالجة خاصة وأشكال تنظميه.</w:t>
      </w:r>
    </w:p>
    <w:p w14:paraId="4E2E55FA"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تتميز بالتعقيد والتشابك والتداخل في عناصرها وعواملها وأسبابها.</w:t>
      </w:r>
    </w:p>
    <w:p w14:paraId="62A542BE"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 تتطلب من المسيرين درجة عالية من العمل والأداء.</w:t>
      </w:r>
    </w:p>
    <w:p w14:paraId="78FE5494"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زيادة المخاطر يؤدي إلى الشك في البدائل المطروحة. </w:t>
      </w:r>
    </w:p>
    <w:p w14:paraId="4FFF9EA3"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المخاطر تهدد استقرار المؤسسة.</w:t>
      </w:r>
    </w:p>
    <w:p w14:paraId="1C75AA36" w14:textId="77777777" w:rsidR="00AF3C3E" w:rsidRPr="00A42379" w:rsidRDefault="00AF3C3E">
      <w:pPr>
        <w:numPr>
          <w:ilvl w:val="0"/>
          <w:numId w:val="12"/>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إمكانية الاستفادة من المواقف السابقة التي تتعرض إليها المؤسسة واكتساب خبرات جديدة.</w:t>
      </w:r>
    </w:p>
    <w:p w14:paraId="6C27C245" w14:textId="7A56CC3C" w:rsidR="00AF3C3E" w:rsidRPr="00A42379" w:rsidRDefault="00AF3C3E">
      <w:pPr>
        <w:numPr>
          <w:ilvl w:val="0"/>
          <w:numId w:val="12"/>
        </w:numPr>
        <w:bidi/>
        <w:spacing w:before="12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إن معرفة خصائص إدارة المخاطر يساعد على تكيف الخطر والحد من تأثيراته السلبية على المؤسسة ووضع استراتيجية للتحكم فيه</w:t>
      </w:r>
      <w:r w:rsidRPr="00A42379">
        <w:rPr>
          <w:rFonts w:ascii="Traditional Arabic" w:hAnsi="Traditional Arabic" w:cs="Traditional Arabic" w:hint="cs"/>
          <w:spacing w:val="-6"/>
          <w:sz w:val="24"/>
          <w:szCs w:val="24"/>
          <w:rtl/>
          <w:lang w:bidi="ar-EG"/>
        </w:rPr>
        <w:t xml:space="preserve"> (جلدة، 2011، 20)</w:t>
      </w:r>
      <w:r w:rsidRPr="00A42379">
        <w:rPr>
          <w:rFonts w:ascii="Traditional Arabic" w:hAnsi="Traditional Arabic" w:cs="Traditional Arabic" w:hint="cs"/>
          <w:spacing w:val="-6"/>
          <w:sz w:val="24"/>
          <w:szCs w:val="24"/>
          <w:lang w:bidi="ar-EG"/>
        </w:rPr>
        <w:t>.</w:t>
      </w:r>
      <w:r w:rsidRPr="00A42379">
        <w:rPr>
          <w:rFonts w:ascii="Traditional Arabic" w:hAnsi="Traditional Arabic" w:cs="Traditional Arabic" w:hint="cs"/>
          <w:spacing w:val="-6"/>
          <w:sz w:val="24"/>
          <w:szCs w:val="24"/>
          <w:rtl/>
          <w:lang w:bidi="ar-EG"/>
        </w:rPr>
        <w:t xml:space="preserve"> </w:t>
      </w:r>
    </w:p>
    <w:p w14:paraId="286CA965" w14:textId="361B27F5" w:rsidR="001A390A" w:rsidRPr="00292189" w:rsidRDefault="00A44ABC" w:rsidP="001A390A">
      <w:pPr>
        <w:bidi/>
        <w:spacing w:after="200" w:line="360" w:lineRule="auto"/>
        <w:rPr>
          <w:rFonts w:ascii="Traditional Arabic" w:eastAsia="Calibri" w:hAnsi="Traditional Arabic" w:cs="Traditional Arabic"/>
          <w:sz w:val="28"/>
          <w:szCs w:val="28"/>
          <w:rtl/>
          <w:lang w:bidi="ar-EG"/>
        </w:rPr>
      </w:pPr>
      <w:r w:rsidRPr="00292189">
        <w:rPr>
          <w:rFonts w:ascii="Traditional Arabic" w:eastAsia="Calibri" w:hAnsi="Traditional Arabic" w:cs="Traditional Arabic" w:hint="cs"/>
          <w:b/>
          <w:bCs/>
          <w:sz w:val="28"/>
          <w:szCs w:val="28"/>
          <w:rtl/>
          <w:lang w:bidi="ar-EG"/>
        </w:rPr>
        <w:t xml:space="preserve">سادساً : </w:t>
      </w:r>
      <w:r w:rsidR="001A390A" w:rsidRPr="00292189">
        <w:rPr>
          <w:rFonts w:ascii="Traditional Arabic" w:eastAsia="Calibri" w:hAnsi="Traditional Arabic" w:cs="Traditional Arabic" w:hint="cs"/>
          <w:b/>
          <w:bCs/>
          <w:sz w:val="28"/>
          <w:szCs w:val="28"/>
          <w:rtl/>
          <w:lang w:bidi="ar-EG"/>
        </w:rPr>
        <w:t>أنواع المخاطر:</w:t>
      </w:r>
    </w:p>
    <w:p w14:paraId="6BAB4B46" w14:textId="00F3C584" w:rsidR="001A390A" w:rsidRPr="00A42379" w:rsidRDefault="001A390A">
      <w:pPr>
        <w:numPr>
          <w:ilvl w:val="0"/>
          <w:numId w:val="8"/>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 xml:space="preserve">تكرار الخطورة: </w:t>
      </w:r>
      <w:r w:rsidRPr="00A42379">
        <w:rPr>
          <w:rFonts w:ascii="Traditional Arabic" w:eastAsia="Calibri" w:hAnsi="Traditional Arabic" w:cs="Traditional Arabic" w:hint="cs"/>
          <w:sz w:val="24"/>
          <w:szCs w:val="24"/>
          <w:rtl/>
          <w:lang w:bidi="ar-EG"/>
        </w:rPr>
        <w:t>يعد التكرار من أهم المقومات في تصنيف المخاطر وعلى الرغم من أن حدوثها الدوري يتيح رصد مقدماتها وعلاج مخاطرها، فإن أي تنظيم إداري سواء كان فردا أو منظمـة أو دولة، لا يستطيع تجنبها على ما يملك من أجهزة وقائية ويمكن تقسيمها إلـى: (رشاد،2020)</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w:t>
      </w:r>
    </w:p>
    <w:p w14:paraId="2573B67D" w14:textId="7808EBE7" w:rsidR="001A390A" w:rsidRPr="00A42379" w:rsidRDefault="001A390A">
      <w:pPr>
        <w:numPr>
          <w:ilvl w:val="0"/>
          <w:numId w:val="8"/>
        </w:numPr>
        <w:bidi/>
        <w:spacing w:after="200" w:line="360" w:lineRule="auto"/>
        <w:contextualSpacing/>
        <w:jc w:val="both"/>
        <w:rPr>
          <w:rFonts w:ascii="Traditional Arabic" w:eastAsia="Calibri" w:hAnsi="Traditional Arabic" w:cs="Traditional Arabic"/>
          <w:b/>
          <w:bCs/>
          <w:sz w:val="24"/>
          <w:szCs w:val="24"/>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مخاطر دورية متكررة</w:t>
      </w:r>
      <w:r w:rsidRPr="00A42379">
        <w:rPr>
          <w:rFonts w:ascii="Traditional Arabic" w:eastAsia="Calibri" w:hAnsi="Traditional Arabic" w:cs="Traditional Arabic" w:hint="cs"/>
          <w:sz w:val="24"/>
          <w:szCs w:val="24"/>
          <w:rtl/>
          <w:lang w:bidi="ar-EG"/>
        </w:rPr>
        <w:t>: تكرر الخطورة بالتنبؤ بحدوثها، فإنه لا يمكن توقعها توقعا</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دقيقا</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بمداها وحجمها وتأثيرها واتساع مجالها وهي تتمثل في المخاطر الاقتصادية المرتبطة بالدورة الشرائية والناجمة عن الكساد، والتي قد تنتج كذلك عن الانتعاش نتيجة لخلل في القوي الإنتاجية.</w:t>
      </w:r>
    </w:p>
    <w:p w14:paraId="632CAF34" w14:textId="77777777" w:rsidR="001A390A" w:rsidRPr="00A42379" w:rsidRDefault="001A390A">
      <w:pPr>
        <w:numPr>
          <w:ilvl w:val="0"/>
          <w:numId w:val="8"/>
        </w:numPr>
        <w:bidi/>
        <w:spacing w:after="200" w:line="360" w:lineRule="auto"/>
        <w:contextualSpacing/>
        <w:jc w:val="both"/>
        <w:rPr>
          <w:rFonts w:ascii="Traditional Arabic" w:eastAsia="Calibri" w:hAnsi="Traditional Arabic" w:cs="Traditional Arabic"/>
          <w:b/>
          <w:bCs/>
          <w:sz w:val="24"/>
          <w:szCs w:val="24"/>
          <w:rtl/>
          <w:lang w:bidi="ar-EG"/>
        </w:rPr>
      </w:pPr>
      <w:r w:rsidRPr="00A42379">
        <w:rPr>
          <w:rFonts w:ascii="Traditional Arabic" w:eastAsia="Calibri" w:hAnsi="Traditional Arabic" w:cs="Traditional Arabic" w:hint="cs"/>
          <w:b/>
          <w:bCs/>
          <w:sz w:val="24"/>
          <w:szCs w:val="24"/>
          <w:rtl/>
          <w:lang w:bidi="ar-EG"/>
        </w:rPr>
        <w:lastRenderedPageBreak/>
        <w:t>مخاطر غير دورية</w:t>
      </w:r>
      <w:r w:rsidRPr="00A42379">
        <w:rPr>
          <w:rFonts w:ascii="Traditional Arabic" w:eastAsia="Calibri" w:hAnsi="Traditional Arabic" w:cs="Traditional Arabic" w:hint="cs"/>
          <w:sz w:val="24"/>
          <w:szCs w:val="24"/>
          <w:rtl/>
          <w:lang w:bidi="ar-EG"/>
        </w:rPr>
        <w:t>: هذه المخاطر الاقتصادية، ومن ثم لا يسهل توقعها، المخاطر غير الدورية تحدث نتيجة مسببات متعددة، وإن كانت عادة تكون فجأة وبدون مقدمات مثل المخاطر التي تنتج عن سوء الأحوال الجوية، أو تغير المناخ.</w:t>
      </w:r>
    </w:p>
    <w:p w14:paraId="444A36E8" w14:textId="77777777" w:rsidR="001A390A" w:rsidRPr="005372F2" w:rsidRDefault="001A390A" w:rsidP="00B94EB0">
      <w:pPr>
        <w:bidi/>
        <w:spacing w:after="200" w:line="276" w:lineRule="auto"/>
        <w:jc w:val="both"/>
        <w:rPr>
          <w:rFonts w:ascii="Traditional Arabic" w:eastAsia="Calibri" w:hAnsi="Traditional Arabic" w:cs="Traditional Arabic"/>
          <w:b/>
          <w:bCs/>
          <w:sz w:val="28"/>
          <w:szCs w:val="28"/>
          <w:rtl/>
          <w:lang w:bidi="ar-EG"/>
        </w:rPr>
      </w:pPr>
      <w:r w:rsidRPr="005372F2">
        <w:rPr>
          <w:rFonts w:ascii="Traditional Arabic" w:eastAsia="Calibri" w:hAnsi="Traditional Arabic" w:cs="Traditional Arabic" w:hint="cs"/>
          <w:b/>
          <w:bCs/>
          <w:sz w:val="28"/>
          <w:szCs w:val="28"/>
          <w:rtl/>
          <w:lang w:bidi="ar-EG"/>
        </w:rPr>
        <w:t>محاور المخاطر:</w:t>
      </w:r>
    </w:p>
    <w:p w14:paraId="6E293407" w14:textId="4D6D8456" w:rsidR="001A390A" w:rsidRPr="005372F2" w:rsidRDefault="001A390A" w:rsidP="00B94EB0">
      <w:pPr>
        <w:bidi/>
        <w:spacing w:after="200" w:line="276" w:lineRule="auto"/>
        <w:jc w:val="both"/>
        <w:rPr>
          <w:rFonts w:ascii="Traditional Arabic" w:eastAsia="Calibri" w:hAnsi="Traditional Arabic" w:cs="Traditional Arabic"/>
          <w:b/>
          <w:bCs/>
          <w:sz w:val="28"/>
          <w:szCs w:val="28"/>
          <w:rtl/>
          <w:lang w:bidi="ar-EG"/>
        </w:rPr>
      </w:pPr>
      <w:r w:rsidRPr="005372F2">
        <w:rPr>
          <w:rFonts w:ascii="Traditional Arabic" w:eastAsia="Calibri" w:hAnsi="Traditional Arabic" w:cs="Traditional Arabic" w:hint="cs"/>
          <w:b/>
          <w:bCs/>
          <w:sz w:val="28"/>
          <w:szCs w:val="28"/>
          <w:rtl/>
          <w:lang w:bidi="ar-EG"/>
        </w:rPr>
        <w:t xml:space="preserve">يتم تصنيف المخاطر إلـى الأنواع الآتية: (الحفني، 2017) </w:t>
      </w:r>
      <w:r w:rsidR="00080B2E" w:rsidRPr="005372F2">
        <w:rPr>
          <w:rFonts w:ascii="Traditional Arabic" w:eastAsia="Calibri" w:hAnsi="Traditional Arabic" w:cs="Traditional Arabic" w:hint="cs"/>
          <w:b/>
          <w:bCs/>
          <w:sz w:val="28"/>
          <w:szCs w:val="28"/>
          <w:rtl/>
          <w:lang w:bidi="ar-EG"/>
        </w:rPr>
        <w:t>.</w:t>
      </w:r>
    </w:p>
    <w:p w14:paraId="3DBDD0E7" w14:textId="77777777" w:rsidR="001A390A" w:rsidRPr="00A42379" w:rsidRDefault="001A390A">
      <w:pPr>
        <w:numPr>
          <w:ilvl w:val="0"/>
          <w:numId w:val="9"/>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مخاطر مادية:</w:t>
      </w:r>
      <w:r w:rsidRPr="00A42379">
        <w:rPr>
          <w:rFonts w:ascii="Traditional Arabic" w:eastAsia="Calibri" w:hAnsi="Traditional Arabic" w:cs="Traditional Arabic" w:hint="cs"/>
          <w:sz w:val="24"/>
          <w:szCs w:val="24"/>
          <w:rtl/>
          <w:lang w:bidi="ar-EG"/>
        </w:rPr>
        <w:t xml:space="preserve"> تدور حول محور مادي، مثل خطورة الغذاء، وخطورة السيول، وخطورة العمالة، وخطورة انخفاض المبيعات، وهي جميعها أزمات تدور حول شيء مادي ملموس، يمكن التحقق منه ودراسته والتعامل معه ماديا وطبيعيا بأدوات التعامل المختلفة، وقياس مدى توافق أدوات التعامل في إدارة الخطورة بنجاح ومعرفة ذلك بالنتائج المادية المترتبة على هذا التدخل مثل فقدان جزء كبير من المال.</w:t>
      </w:r>
    </w:p>
    <w:p w14:paraId="3603F82C" w14:textId="49BE768E" w:rsidR="001A390A" w:rsidRPr="00A42379" w:rsidRDefault="001A390A">
      <w:pPr>
        <w:numPr>
          <w:ilvl w:val="0"/>
          <w:numId w:val="9"/>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المخاطر المعنوية:</w:t>
      </w:r>
      <w:r w:rsidRPr="00A42379">
        <w:rPr>
          <w:rFonts w:ascii="Traditional Arabic" w:eastAsia="Calibri" w:hAnsi="Traditional Arabic" w:cs="Traditional Arabic" w:hint="cs"/>
          <w:sz w:val="24"/>
          <w:szCs w:val="24"/>
          <w:rtl/>
          <w:lang w:bidi="ar-EG"/>
        </w:rPr>
        <w:t xml:space="preserve"> وهذه تدور حول محور غير موضوعي يرتبط بذاتية الأشخاص المحيطين بالخطورة مثل خطورة الثقة أو المصداقية، والولاء والانتماء، وجميعها تدور حول محور معنوي شخصي غير ملموس، لا يمكن الإمساك به مادياً أو لمسه، وإنما التعامل معه يتم من خلال إدراكه المضموني</w:t>
      </w:r>
      <w:r w:rsidR="00E07023" w:rsidRPr="00A42379">
        <w:rPr>
          <w:rFonts w:ascii="Traditional Arabic" w:eastAsia="Calibri" w:hAnsi="Traditional Arabic" w:cs="Traditional Arabic" w:hint="cs"/>
          <w:sz w:val="24"/>
          <w:szCs w:val="24"/>
          <w:rtl/>
          <w:lang w:bidi="ar-EG"/>
        </w:rPr>
        <w:t>.</w:t>
      </w:r>
    </w:p>
    <w:p w14:paraId="51548A0C" w14:textId="77777777" w:rsidR="001A390A" w:rsidRPr="00A42379" w:rsidRDefault="001A390A">
      <w:pPr>
        <w:numPr>
          <w:ilvl w:val="0"/>
          <w:numId w:val="9"/>
        </w:numPr>
        <w:bidi/>
        <w:spacing w:after="200" w:line="360" w:lineRule="auto"/>
        <w:contextualSpacing/>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المخاطر المزدوجة:</w:t>
      </w:r>
      <w:r w:rsidRPr="00A42379">
        <w:rPr>
          <w:rFonts w:ascii="Traditional Arabic" w:eastAsia="Calibri" w:hAnsi="Traditional Arabic" w:cs="Traditional Arabic" w:hint="cs"/>
          <w:sz w:val="24"/>
          <w:szCs w:val="24"/>
          <w:rtl/>
          <w:lang w:bidi="ar-EG"/>
        </w:rPr>
        <w:t xml:space="preserve"> يتمثل هذا النوع في المشكلات الدولية والمحلية، مثل أزمات الرهائن، وخطورة الإرهاب وهي ذات جانبين أحدهما مادي ملموس هو الواقع المادي الذي أحدثته أو نتجت منه وهو الرهائن أو الخسائر والأضرار المادية، والآخر معنوي يتمثل في ردود الفعل العنيفة المصاحبة للظروف الامنية.</w:t>
      </w:r>
    </w:p>
    <w:p w14:paraId="3340D4F0" w14:textId="77777777" w:rsidR="001A390A" w:rsidRPr="000408F5" w:rsidRDefault="001A390A" w:rsidP="00B94EB0">
      <w:pPr>
        <w:bidi/>
        <w:spacing w:line="276" w:lineRule="auto"/>
        <w:jc w:val="both"/>
        <w:rPr>
          <w:rFonts w:ascii="Traditional Arabic" w:hAnsi="Traditional Arabic" w:cs="Traditional Arabic"/>
          <w:b/>
          <w:bCs/>
          <w:sz w:val="28"/>
          <w:szCs w:val="28"/>
          <w:rtl/>
          <w:lang w:bidi="ar-EG"/>
        </w:rPr>
      </w:pPr>
      <w:r w:rsidRPr="000408F5">
        <w:rPr>
          <w:rFonts w:ascii="Traditional Arabic" w:hAnsi="Traditional Arabic" w:cs="Traditional Arabic" w:hint="cs"/>
          <w:b/>
          <w:bCs/>
          <w:sz w:val="28"/>
          <w:szCs w:val="28"/>
          <w:rtl/>
          <w:lang w:bidi="ar-EG"/>
        </w:rPr>
        <w:t>مستويات الخطورة:</w:t>
      </w:r>
    </w:p>
    <w:p w14:paraId="5935C836" w14:textId="77777777" w:rsidR="001A390A" w:rsidRPr="00A42379" w:rsidRDefault="001A390A" w:rsidP="00B94EB0">
      <w:pPr>
        <w:bidi/>
        <w:spacing w:line="276" w:lineRule="auto"/>
        <w:jc w:val="both"/>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 xml:space="preserve">وفقا لهذا الأساس يمكن التفرقة بين نوعين من الخطورة: </w:t>
      </w:r>
      <w:r w:rsidRPr="00A42379">
        <w:rPr>
          <w:rFonts w:ascii="Traditional Arabic" w:hAnsi="Traditional Arabic" w:cs="Traditional Arabic" w:hint="cs"/>
          <w:b/>
          <w:bCs/>
          <w:sz w:val="24"/>
          <w:szCs w:val="24"/>
          <w:rtl/>
          <w:lang w:bidi="ar-EG"/>
        </w:rPr>
        <w:t xml:space="preserve">(2017 </w:t>
      </w:r>
      <w:r w:rsidRPr="00A42379">
        <w:rPr>
          <w:rFonts w:ascii="Traditional Arabic" w:hAnsi="Traditional Arabic" w:cs="Traditional Arabic" w:hint="cs"/>
          <w:b/>
          <w:bCs/>
          <w:sz w:val="24"/>
          <w:szCs w:val="24"/>
          <w:lang w:bidi="ar-EG"/>
        </w:rPr>
        <w:t>Luoma</w:t>
      </w:r>
      <w:r w:rsidRPr="00A42379">
        <w:rPr>
          <w:rFonts w:ascii="Traditional Arabic" w:hAnsi="Traditional Arabic" w:cs="Traditional Arabic" w:hint="cs"/>
          <w:b/>
          <w:bCs/>
          <w:sz w:val="24"/>
          <w:szCs w:val="24"/>
          <w:rtl/>
          <w:lang w:bidi="ar-EG"/>
        </w:rPr>
        <w:t>)</w:t>
      </w:r>
    </w:p>
    <w:p w14:paraId="7F4EB553" w14:textId="48AAC7F7" w:rsidR="001A390A" w:rsidRPr="00A42379" w:rsidRDefault="001A390A">
      <w:pPr>
        <w:pStyle w:val="ListParagraph"/>
        <w:numPr>
          <w:ilvl w:val="0"/>
          <w:numId w:val="41"/>
        </w:numPr>
        <w:bidi/>
        <w:spacing w:after="200" w:line="360" w:lineRule="auto"/>
        <w:jc w:val="both"/>
        <w:rPr>
          <w:rFonts w:ascii="Traditional Arabic" w:hAnsi="Traditional Arabic" w:cs="Traditional Arabic"/>
          <w:sz w:val="24"/>
          <w:szCs w:val="24"/>
          <w:lang w:bidi="ar-EG"/>
        </w:rPr>
      </w:pPr>
      <w:r w:rsidRPr="00A42379">
        <w:rPr>
          <w:rFonts w:ascii="Traditional Arabic" w:hAnsi="Traditional Arabic" w:cs="Traditional Arabic" w:hint="cs"/>
          <w:b/>
          <w:bCs/>
          <w:sz w:val="24"/>
          <w:szCs w:val="24"/>
          <w:rtl/>
          <w:lang w:bidi="ar-EG"/>
        </w:rPr>
        <w:t>مخاطر شاملة:</w:t>
      </w:r>
      <w:r w:rsidRPr="00A42379">
        <w:rPr>
          <w:rFonts w:ascii="Traditional Arabic" w:hAnsi="Traditional Arabic" w:cs="Traditional Arabic" w:hint="cs"/>
          <w:sz w:val="24"/>
          <w:szCs w:val="24"/>
          <w:rtl/>
          <w:lang w:bidi="ar-EG"/>
        </w:rPr>
        <w:t xml:space="preserve"> تصيب الدولة وتؤثر في مجتمعها كله فهي أزمات شاملة سواء في مسبباتها وما تنجم عنه وكذلك متطلبات علاجها، ولهذا النوع من المخاطر تأثيرات مختلفة ويشمل المخاطر المتصلة ببنية الدولة واقتصادها السياسي أو وضعها الأمني الداخلي أو الخارجي، فضلا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عن سيادتها واستقرارها السياسي والاجتماعي وهذه المخاطر تتطلب مواجهتها جهدا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كبيرا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بل تتطلب دعما خارجياً، وغالبا ما تحاول الدولة أو المنظمـة بتجنب السقوط التام في التوازن داخل المنظمـة والتوفيق بين الحاجة أو حماية البنيات المعرضة للخطر والرغبة في تجنب التصعيد السالب فيه للخطورة لتصبح خطورة شاملة.</w:t>
      </w:r>
    </w:p>
    <w:p w14:paraId="1DF10A51" w14:textId="5AC63B73" w:rsidR="00B94EB0" w:rsidRPr="00A42379" w:rsidRDefault="001A390A">
      <w:pPr>
        <w:pStyle w:val="ListParagraph"/>
        <w:numPr>
          <w:ilvl w:val="0"/>
          <w:numId w:val="41"/>
        </w:numPr>
        <w:bidi/>
        <w:spacing w:after="200" w:line="360" w:lineRule="auto"/>
        <w:jc w:val="both"/>
        <w:rPr>
          <w:rFonts w:ascii="Traditional Arabic" w:hAnsi="Traditional Arabic" w:cs="Traditional Arabic"/>
          <w:sz w:val="24"/>
          <w:szCs w:val="24"/>
          <w:lang w:bidi="ar-EG"/>
        </w:rPr>
      </w:pPr>
      <w:r w:rsidRPr="00A42379">
        <w:rPr>
          <w:rFonts w:ascii="Traditional Arabic" w:hAnsi="Traditional Arabic" w:cs="Traditional Arabic" w:hint="cs"/>
          <w:b/>
          <w:bCs/>
          <w:sz w:val="24"/>
          <w:szCs w:val="24"/>
          <w:rtl/>
          <w:lang w:bidi="ar-EG"/>
        </w:rPr>
        <w:t>المخاطر الجزئية:</w:t>
      </w:r>
      <w:r w:rsidRPr="00A42379">
        <w:rPr>
          <w:rFonts w:ascii="Traditional Arabic" w:hAnsi="Traditional Arabic" w:cs="Traditional Arabic" w:hint="cs"/>
          <w:sz w:val="24"/>
          <w:szCs w:val="24"/>
          <w:rtl/>
          <w:lang w:bidi="ar-EG"/>
        </w:rPr>
        <w:t xml:space="preserve"> تمثل في مخاطر المشاريع أو الوحدات الإنتاجية أو قطاع بعينه وينحصر تأثيرها فيها إلا أنه قد يمتد إلـى المشروعات الأخرى المرتبطة بها بل يطول الدولة برمتها إن لم يكن السيطرة عليه، وهذا النوع من المخاطر يتميز بالتنوع والتعدد، طبقا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للكيان الذي قد ينشأ فيه إضافة إلـى التأثيرات المتباينة للمخاطر والمتمثلة في عوامل انتشارها وتكاملها ونشوئها، وفي هذا النوع من المخاطر يجب تدخل الدولة لمواجهة الخطورة ومعالجتها، إن لم يتمكن الكيان الإداري الذي تأثر بها من مواجهتها.</w:t>
      </w:r>
    </w:p>
    <w:p w14:paraId="5A4B8DB0" w14:textId="606DA018" w:rsidR="00B94EB0" w:rsidRPr="004149BB" w:rsidRDefault="00A44ABC" w:rsidP="00B94EB0">
      <w:pPr>
        <w:bidi/>
        <w:spacing w:before="120" w:after="120" w:line="240" w:lineRule="auto"/>
        <w:rPr>
          <w:rFonts w:ascii="Traditional Arabic" w:hAnsi="Traditional Arabic" w:cs="Traditional Arabic"/>
          <w:b/>
          <w:bCs/>
          <w:spacing w:val="-6"/>
          <w:sz w:val="28"/>
          <w:szCs w:val="28"/>
          <w:rtl/>
        </w:rPr>
      </w:pPr>
      <w:r w:rsidRPr="004149BB">
        <w:rPr>
          <w:rFonts w:ascii="Traditional Arabic" w:hAnsi="Traditional Arabic" w:cs="Traditional Arabic" w:hint="cs"/>
          <w:b/>
          <w:bCs/>
          <w:spacing w:val="-6"/>
          <w:sz w:val="28"/>
          <w:szCs w:val="28"/>
          <w:rtl/>
        </w:rPr>
        <w:lastRenderedPageBreak/>
        <w:t xml:space="preserve">سابعاً : </w:t>
      </w:r>
      <w:r w:rsidR="00B94EB0" w:rsidRPr="004149BB">
        <w:rPr>
          <w:rFonts w:ascii="Traditional Arabic" w:hAnsi="Traditional Arabic" w:cs="Traditional Arabic" w:hint="cs"/>
          <w:b/>
          <w:bCs/>
          <w:spacing w:val="-6"/>
          <w:sz w:val="28"/>
          <w:szCs w:val="28"/>
          <w:rtl/>
        </w:rPr>
        <w:t>برامج إدارة المخاطر:</w:t>
      </w:r>
    </w:p>
    <w:p w14:paraId="1F87885C"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يمكن وضع برنامج لإدارة المخاطر من خلال إبراز خطوات ومراحل إدارة المخاطر الموضوعة من طرف المؤسسة ويوضح الخطوط العريضة لهذه العملية، والبدء من الإطار الزمني إلى تحديد المخاطر الأساسية التي يمكن إدارتها من خلال تحليلها وتقييمها وتحديد أساليب التعامل معها، بما يقترحه فريق إدارة المخاطر ويصادق عليه مجلس إدارة المؤسسة، ويكون هذا البرنامج حجر أساس لأي نظام لإدارتها، ويكون برنامج إدارة المخاطر في غالب الأحيان على شكل جداول تحدد جميع نقاط ممارسة نشاط إدارة المخاطر. </w:t>
      </w:r>
    </w:p>
    <w:p w14:paraId="2D86E8B8"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كما أن هناك أربع مراحل رئيسية لإدارة المخاطر التي تتعرض لها المؤسسات، وهي تعريف وتحديد هذه المخاطر، وفحصها وقياسها لتحديد ما يمكن تحمله منها بإيجاد أدوات مناسبة للتعامل معها، ومراقبة عمل هذه الأدوات، قصد ضمان السير الحسن للمؤسسة بمستوى مناسب من المخاطر الذي يتم قبوله من طرف المؤسسة.</w:t>
      </w:r>
    </w:p>
    <w:p w14:paraId="2B9AB6A2"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ومن هنا تبدأ عملية إدارة المخاطر بصفة عامة من الشيء المادي ثم الانتقال إلى القضايا الاستراتيجية، إلا أن في المؤسسة الصغيرة والمتوسطة فالأمر قد يختلف فيمكن البدء بشكل مسبق أو لاحق من السياسة أو التخطيط، وفي الأخير نستنتج أن الإدارة العليا هي التي تحدد النقطة أو وحدة النشاط أو مستوى البدء في عملية إدارة المخاطر.</w:t>
      </w:r>
    </w:p>
    <w:p w14:paraId="695D2BE2"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ومنه قامت المنظمة العالمية للمعايرة ( </w:t>
      </w:r>
      <w:r w:rsidRPr="00A42379">
        <w:rPr>
          <w:rFonts w:ascii="Traditional Arabic" w:hAnsi="Traditional Arabic" w:cs="Traditional Arabic" w:hint="cs"/>
          <w:spacing w:val="-6"/>
          <w:sz w:val="24"/>
          <w:szCs w:val="24"/>
        </w:rPr>
        <w:t>ISO</w:t>
      </w:r>
      <w:r w:rsidRPr="00A42379">
        <w:rPr>
          <w:rFonts w:ascii="Traditional Arabic" w:hAnsi="Traditional Arabic" w:cs="Traditional Arabic" w:hint="cs"/>
          <w:spacing w:val="-6"/>
          <w:sz w:val="24"/>
          <w:szCs w:val="24"/>
          <w:rtl/>
        </w:rPr>
        <w:t xml:space="preserve">) بإصدار المعيار </w:t>
      </w:r>
      <w:r w:rsidRPr="00A42379">
        <w:rPr>
          <w:rFonts w:ascii="Traditional Arabic" w:hAnsi="Traditional Arabic" w:cs="Traditional Arabic" w:hint="cs"/>
          <w:spacing w:val="-6"/>
          <w:sz w:val="24"/>
          <w:szCs w:val="24"/>
        </w:rPr>
        <w:t>(ISO) 31000</w:t>
      </w:r>
      <w:r w:rsidRPr="00A42379">
        <w:rPr>
          <w:rFonts w:ascii="Traditional Arabic" w:hAnsi="Traditional Arabic" w:cs="Traditional Arabic" w:hint="cs"/>
          <w:spacing w:val="-6"/>
          <w:sz w:val="24"/>
          <w:szCs w:val="24"/>
          <w:rtl/>
        </w:rPr>
        <w:t xml:space="preserve">  المخاطر وهو عائلة من المعايير المتعلقة بإدارة المخاطر المقننة من قبل هذه المنظمة ؛ والغرض من هذا توفير مبادئ ودلائل توجيهية عامة في إدارة المخاطر ويسعى هذا المعيار( </w:t>
      </w:r>
      <w:r w:rsidRPr="00A42379">
        <w:rPr>
          <w:rFonts w:ascii="Traditional Arabic" w:hAnsi="Traditional Arabic" w:cs="Traditional Arabic" w:hint="cs"/>
          <w:spacing w:val="-6"/>
          <w:sz w:val="24"/>
          <w:szCs w:val="24"/>
        </w:rPr>
        <w:t>(ISO) (31000:2009</w:t>
      </w:r>
      <w:r w:rsidRPr="00A42379">
        <w:rPr>
          <w:rFonts w:ascii="Traditional Arabic" w:hAnsi="Traditional Arabic" w:cs="Traditional Arabic" w:hint="cs"/>
          <w:spacing w:val="-6"/>
          <w:sz w:val="24"/>
          <w:szCs w:val="24"/>
          <w:rtl/>
        </w:rPr>
        <w:t xml:space="preserve"> إلى تقديم نموذج لتصميم وتنفيذ وصيانة عمليات إدارة المخاطر لمختلف الشركات، وهذا لإضفاء الطابع الرسمي لممارسات إدارة المخاطر يكون معترف بها عالمياً للعاملين في الشركات التي تقوم بإجراءات إدارة المخاطر، لتحل محل عدد لا يحصى من المعايير القائمة والمنهجيات والنماذج التي تختلف بين الصناعات والموضوعات والمناطق(عصماني عبد القادر، 2009، 13).</w:t>
      </w:r>
    </w:p>
    <w:p w14:paraId="36695E6F" w14:textId="77777777" w:rsidR="00B94EB0" w:rsidRPr="00E9530D" w:rsidRDefault="00B94EB0" w:rsidP="00B94EB0">
      <w:pPr>
        <w:bidi/>
        <w:spacing w:before="120" w:after="120" w:line="240" w:lineRule="auto"/>
        <w:rPr>
          <w:rFonts w:ascii="Traditional Arabic" w:hAnsi="Traditional Arabic" w:cs="Traditional Arabic"/>
          <w:b/>
          <w:bCs/>
          <w:spacing w:val="-6"/>
          <w:sz w:val="28"/>
          <w:szCs w:val="28"/>
          <w:rtl/>
        </w:rPr>
      </w:pPr>
      <w:r w:rsidRPr="00E9530D">
        <w:rPr>
          <w:rFonts w:ascii="Traditional Arabic" w:hAnsi="Traditional Arabic" w:cs="Traditional Arabic" w:hint="cs"/>
          <w:b/>
          <w:bCs/>
          <w:spacing w:val="-6"/>
          <w:sz w:val="28"/>
          <w:szCs w:val="28"/>
          <w:rtl/>
        </w:rPr>
        <w:t xml:space="preserve">وتشمل أسرة شهادة </w:t>
      </w:r>
      <w:r w:rsidRPr="00E9530D">
        <w:rPr>
          <w:rFonts w:ascii="Traditional Arabic" w:hAnsi="Traditional Arabic" w:cs="Traditional Arabic" w:hint="cs"/>
          <w:b/>
          <w:bCs/>
          <w:spacing w:val="-6"/>
          <w:sz w:val="28"/>
          <w:szCs w:val="28"/>
        </w:rPr>
        <w:t>ISO31000</w:t>
      </w:r>
      <w:r w:rsidRPr="00E9530D">
        <w:rPr>
          <w:rFonts w:ascii="Traditional Arabic" w:hAnsi="Traditional Arabic" w:cs="Traditional Arabic" w:hint="cs"/>
          <w:b/>
          <w:bCs/>
          <w:spacing w:val="-6"/>
          <w:sz w:val="28"/>
          <w:szCs w:val="28"/>
          <w:rtl/>
        </w:rPr>
        <w:t xml:space="preserve"> حالياً، على ما يلي :</w:t>
      </w:r>
    </w:p>
    <w:p w14:paraId="0358A04B"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Pr>
        <w:t>ISO31000</w:t>
      </w:r>
      <w:r w:rsidRPr="00A42379">
        <w:rPr>
          <w:rFonts w:ascii="Traditional Arabic" w:hAnsi="Traditional Arabic" w:cs="Traditional Arabic" w:hint="cs"/>
          <w:spacing w:val="-6"/>
          <w:sz w:val="24"/>
          <w:szCs w:val="24"/>
          <w:rtl/>
        </w:rPr>
        <w:t xml:space="preserve"> المبادئ والخطوط التوجيهية لممارسة إدارة المخاطر</w:t>
      </w:r>
      <w:r w:rsidRPr="00A42379">
        <w:rPr>
          <w:rFonts w:ascii="Traditional Arabic" w:hAnsi="Traditional Arabic" w:cs="Traditional Arabic" w:hint="cs"/>
          <w:spacing w:val="-6"/>
          <w:sz w:val="24"/>
          <w:szCs w:val="24"/>
          <w:rtl/>
          <w:lang w:bidi="ar-EG"/>
        </w:rPr>
        <w:t>.</w:t>
      </w:r>
      <w:r w:rsidRPr="00A42379">
        <w:rPr>
          <w:rFonts w:ascii="Traditional Arabic" w:hAnsi="Traditional Arabic" w:cs="Traditional Arabic" w:hint="cs"/>
          <w:spacing w:val="-6"/>
          <w:sz w:val="24"/>
          <w:szCs w:val="24"/>
          <w:rtl/>
        </w:rPr>
        <w:t xml:space="preserve"> </w:t>
      </w:r>
    </w:p>
    <w:p w14:paraId="7A0A1A29"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Pr>
        <w:t>31010 IEC</w:t>
      </w:r>
      <w:r w:rsidRPr="00A42379">
        <w:rPr>
          <w:rFonts w:ascii="Traditional Arabic" w:hAnsi="Traditional Arabic" w:cs="Traditional Arabic" w:hint="cs"/>
          <w:spacing w:val="-6"/>
          <w:sz w:val="24"/>
          <w:szCs w:val="24"/>
          <w:rtl/>
        </w:rPr>
        <w:t xml:space="preserve"> لإدارة المخاطر خاص بتقنيات .</w:t>
      </w:r>
    </w:p>
    <w:p w14:paraId="709A8A95"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تقييم </w:t>
      </w:r>
      <w:r w:rsidRPr="00A42379">
        <w:rPr>
          <w:rFonts w:ascii="Traditional Arabic" w:hAnsi="Traditional Arabic" w:cs="Traditional Arabic" w:hint="cs"/>
          <w:spacing w:val="-6"/>
          <w:sz w:val="24"/>
          <w:szCs w:val="24"/>
        </w:rPr>
        <w:t>ISO/IEC73</w:t>
      </w:r>
      <w:r w:rsidRPr="00A42379">
        <w:rPr>
          <w:rFonts w:ascii="Traditional Arabic" w:hAnsi="Traditional Arabic" w:cs="Traditional Arabic" w:hint="cs"/>
          <w:spacing w:val="-6"/>
          <w:sz w:val="24"/>
          <w:szCs w:val="24"/>
          <w:rtl/>
          <w:lang w:bidi="ar-EG"/>
        </w:rPr>
        <w:t xml:space="preserve"> بصفة أكبر على تحقيق الانسجام بين البرامج، وشمل:</w:t>
      </w:r>
    </w:p>
    <w:p w14:paraId="73C36159" w14:textId="77777777" w:rsidR="00B94EB0" w:rsidRPr="00A42379" w:rsidRDefault="00B94EB0" w:rsidP="00E9530D">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نقل ثغرات المسؤولية إلى إدارة مخاطر المؤسسة ، دمج نظام إدارة آليات الإبلاع التوفيق بين أهداف برامج الحوكمة مع هذا المعيار ، خلق معايير وتقييم قياسي موحد للمخاطر ونطاق هذا النهج لإدارة المخاطر هو تمكين المهام الاستراتيجية، والإدارية، والتشغيلية للمؤسسة في جميع الإجراءات والمشاريع والوظائف لأن تكون متماشية مع مجموعة الأهداف المشتركة لإدارة المخاطر.</w:t>
      </w:r>
    </w:p>
    <w:p w14:paraId="297A90D7" w14:textId="77777777" w:rsidR="00B94EB0" w:rsidRPr="00A42379" w:rsidRDefault="00B94EB0" w:rsidP="00E9530D">
      <w:p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ومعيار </w:t>
      </w:r>
      <w:r w:rsidRPr="00A42379">
        <w:rPr>
          <w:rFonts w:ascii="Traditional Arabic" w:hAnsi="Traditional Arabic" w:cs="Traditional Arabic" w:hint="cs"/>
          <w:spacing w:val="-6"/>
          <w:sz w:val="24"/>
          <w:szCs w:val="24"/>
        </w:rPr>
        <w:t>ISO 31000</w:t>
      </w:r>
      <w:r w:rsidRPr="00A42379">
        <w:rPr>
          <w:rFonts w:ascii="Traditional Arabic" w:hAnsi="Traditional Arabic" w:cs="Traditional Arabic" w:hint="cs"/>
          <w:spacing w:val="-6"/>
          <w:sz w:val="24"/>
          <w:szCs w:val="24"/>
          <w:rtl/>
        </w:rPr>
        <w:t xml:space="preserve"> ( </w:t>
      </w:r>
      <w:r w:rsidRPr="00A42379">
        <w:rPr>
          <w:rFonts w:ascii="Traditional Arabic" w:hAnsi="Traditional Arabic" w:cs="Traditional Arabic" w:hint="cs"/>
          <w:spacing w:val="-6"/>
          <w:sz w:val="24"/>
          <w:szCs w:val="24"/>
        </w:rPr>
        <w:t>2009</w:t>
      </w:r>
      <w:r w:rsidRPr="00A42379">
        <w:rPr>
          <w:rFonts w:ascii="Traditional Arabic" w:hAnsi="Traditional Arabic" w:cs="Traditional Arabic" w:hint="cs"/>
          <w:spacing w:val="-6"/>
          <w:sz w:val="24"/>
          <w:szCs w:val="24"/>
          <w:rtl/>
        </w:rPr>
        <w:t xml:space="preserve"> ) مخصص لمجموعة واسعة من أصحاب المصلحة بما في ذلك :</w:t>
      </w:r>
    </w:p>
    <w:p w14:paraId="5E13452C"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lastRenderedPageBreak/>
        <w:t>أصحاب المصلحة على الصعيد التنفيذي.</w:t>
      </w:r>
    </w:p>
    <w:p w14:paraId="24518440"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المدراء التنفيذيون ومديري المشاريع .</w:t>
      </w:r>
    </w:p>
    <w:p w14:paraId="664B47DD"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xml:space="preserve"> الموظفين في مجموعة إدارة المخاطر في المؤسسة .</w:t>
      </w:r>
    </w:p>
    <w:p w14:paraId="7110E776"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xml:space="preserve">المدققين الداخلين والخارجيين. </w:t>
      </w:r>
    </w:p>
    <w:p w14:paraId="308C9593"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المحللون والمسؤولون عن إدارة المخاطر.</w:t>
      </w:r>
    </w:p>
    <w:p w14:paraId="1C52FE0C" w14:textId="77777777" w:rsidR="00B94EB0" w:rsidRPr="00A42379" w:rsidRDefault="00B94EB0">
      <w:pPr>
        <w:numPr>
          <w:ilvl w:val="0"/>
          <w:numId w:val="13"/>
        </w:num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 الممارسون المستقلون (عصماني عبد القادر، 2009، 13).</w:t>
      </w:r>
    </w:p>
    <w:p w14:paraId="6454329E" w14:textId="77777777" w:rsidR="007B6CBF" w:rsidRDefault="007B6CBF" w:rsidP="00B94EB0">
      <w:pPr>
        <w:bidi/>
        <w:spacing w:before="120" w:after="120" w:line="240" w:lineRule="auto"/>
        <w:rPr>
          <w:rFonts w:ascii="Simplified Arabic" w:hAnsi="Simplified Arabic" w:cs="Simplified Arabic"/>
          <w:b/>
          <w:bCs/>
          <w:spacing w:val="-6"/>
          <w:sz w:val="32"/>
          <w:szCs w:val="32"/>
          <w:rtl/>
        </w:rPr>
      </w:pPr>
    </w:p>
    <w:p w14:paraId="22C8C78C"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B937492"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1515FBE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CC6E4F6"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4F094E83"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655B4E4A"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3192A3EE"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867E60F"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0A0CA132"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481DE90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8A4F16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6858ECA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2E583AE3"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3CDCE9FD"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1E83EBAE" w14:textId="09D7F4F4" w:rsidR="00B94EB0" w:rsidRPr="009B05B8" w:rsidRDefault="00A44ABC" w:rsidP="007B6CBF">
      <w:pPr>
        <w:bidi/>
        <w:spacing w:before="120" w:after="120" w:line="240" w:lineRule="auto"/>
        <w:rPr>
          <w:rFonts w:ascii="Traditional Arabic" w:hAnsi="Traditional Arabic" w:cs="Traditional Arabic"/>
          <w:b/>
          <w:bCs/>
          <w:spacing w:val="-6"/>
          <w:sz w:val="28"/>
          <w:szCs w:val="28"/>
          <w:rtl/>
        </w:rPr>
      </w:pPr>
      <w:r w:rsidRPr="009B05B8">
        <w:rPr>
          <w:rFonts w:ascii="Traditional Arabic" w:hAnsi="Traditional Arabic" w:cs="Traditional Arabic" w:hint="cs"/>
          <w:b/>
          <w:bCs/>
          <w:spacing w:val="-6"/>
          <w:sz w:val="28"/>
          <w:szCs w:val="28"/>
          <w:rtl/>
        </w:rPr>
        <w:lastRenderedPageBreak/>
        <w:t xml:space="preserve">ثامناً : </w:t>
      </w:r>
      <w:r w:rsidR="00B94EB0" w:rsidRPr="009B05B8">
        <w:rPr>
          <w:rFonts w:ascii="Traditional Arabic" w:hAnsi="Traditional Arabic" w:cs="Traditional Arabic" w:hint="cs"/>
          <w:b/>
          <w:bCs/>
          <w:spacing w:val="-6"/>
          <w:sz w:val="28"/>
          <w:szCs w:val="28"/>
          <w:rtl/>
        </w:rPr>
        <w:t>النظريات المفسرة لإدارة المخاطر:</w:t>
      </w:r>
    </w:p>
    <w:p w14:paraId="080243E3" w14:textId="79127182" w:rsidR="00FF1E0A" w:rsidRPr="009B05B8" w:rsidRDefault="00FF1E0A" w:rsidP="00FF1E0A">
      <w:pPr>
        <w:bidi/>
        <w:spacing w:before="120" w:after="120" w:line="240" w:lineRule="auto"/>
        <w:jc w:val="center"/>
        <w:rPr>
          <w:rFonts w:ascii="Traditional Arabic" w:hAnsi="Traditional Arabic" w:cs="Traditional Arabic"/>
          <w:b/>
          <w:bCs/>
          <w:spacing w:val="-6"/>
          <w:sz w:val="24"/>
          <w:szCs w:val="24"/>
          <w:rtl/>
        </w:rPr>
      </w:pPr>
      <w:r w:rsidRPr="009B05B8">
        <w:rPr>
          <w:rFonts w:ascii="Traditional Arabic" w:hAnsi="Traditional Arabic" w:cs="Traditional Arabic" w:hint="cs"/>
          <w:b/>
          <w:bCs/>
          <w:spacing w:val="-6"/>
          <w:sz w:val="24"/>
          <w:szCs w:val="24"/>
          <w:rtl/>
        </w:rPr>
        <w:t xml:space="preserve">جدول ( </w:t>
      </w:r>
      <w:r w:rsidR="006441C4" w:rsidRPr="009B05B8">
        <w:rPr>
          <w:rFonts w:ascii="Traditional Arabic" w:hAnsi="Traditional Arabic" w:cs="Traditional Arabic" w:hint="cs"/>
          <w:b/>
          <w:bCs/>
          <w:spacing w:val="-6"/>
          <w:sz w:val="24"/>
          <w:szCs w:val="24"/>
          <w:rtl/>
        </w:rPr>
        <w:t xml:space="preserve">4 </w:t>
      </w:r>
      <w:r w:rsidRPr="009B05B8">
        <w:rPr>
          <w:rFonts w:ascii="Traditional Arabic" w:hAnsi="Traditional Arabic" w:cs="Traditional Arabic" w:hint="cs"/>
          <w:b/>
          <w:bCs/>
          <w:spacing w:val="-6"/>
          <w:sz w:val="24"/>
          <w:szCs w:val="24"/>
          <w:rtl/>
        </w:rPr>
        <w:t xml:space="preserve">) </w:t>
      </w:r>
      <w:r w:rsidR="005A5029" w:rsidRPr="009B05B8">
        <w:rPr>
          <w:rFonts w:ascii="Traditional Arabic" w:hAnsi="Traditional Arabic" w:cs="Traditional Arabic" w:hint="cs"/>
          <w:b/>
          <w:bCs/>
          <w:spacing w:val="-6"/>
          <w:sz w:val="24"/>
          <w:szCs w:val="24"/>
          <w:rtl/>
        </w:rPr>
        <w:t xml:space="preserve">يوضح </w:t>
      </w:r>
      <w:r w:rsidRPr="009B05B8">
        <w:rPr>
          <w:rFonts w:ascii="Traditional Arabic" w:hAnsi="Traditional Arabic" w:cs="Traditional Arabic" w:hint="cs"/>
          <w:b/>
          <w:bCs/>
          <w:spacing w:val="-6"/>
          <w:sz w:val="24"/>
          <w:szCs w:val="24"/>
          <w:rtl/>
        </w:rPr>
        <w:t>نظريات إدارة المخاطر</w:t>
      </w:r>
    </w:p>
    <w:tbl>
      <w:tblPr>
        <w:tblW w:w="5000" w:type="pct"/>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728"/>
        <w:gridCol w:w="1105"/>
        <w:gridCol w:w="1973"/>
        <w:gridCol w:w="1725"/>
        <w:gridCol w:w="1759"/>
      </w:tblGrid>
      <w:tr w:rsidR="00EF60E9" w:rsidRPr="009B05B8" w14:paraId="2AA01B68" w14:textId="77777777" w:rsidTr="009B05B8">
        <w:trPr>
          <w:tblHeader/>
          <w:tblCellSpacing w:w="15" w:type="dxa"/>
          <w:jc w:val="center"/>
        </w:trPr>
        <w:tc>
          <w:tcPr>
            <w:tcW w:w="1014" w:type="pct"/>
            <w:shd w:val="clear" w:color="auto" w:fill="E5DFEC" w:themeFill="accent4" w:themeFillTint="33"/>
            <w:vAlign w:val="center"/>
            <w:hideMark/>
          </w:tcPr>
          <w:p w14:paraId="470F2E23" w14:textId="7EB13DA9"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التوثيق</w:t>
            </w:r>
          </w:p>
        </w:tc>
        <w:tc>
          <w:tcPr>
            <w:tcW w:w="649" w:type="pct"/>
            <w:shd w:val="clear" w:color="auto" w:fill="E5DFEC" w:themeFill="accent4" w:themeFillTint="33"/>
            <w:vAlign w:val="center"/>
            <w:hideMark/>
          </w:tcPr>
          <w:p w14:paraId="2C69CC88" w14:textId="1A3BAEE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الأبعاد المقترحة</w:t>
            </w:r>
          </w:p>
        </w:tc>
        <w:tc>
          <w:tcPr>
            <w:tcW w:w="1172" w:type="pct"/>
            <w:shd w:val="clear" w:color="auto" w:fill="E5DFEC" w:themeFill="accent4" w:themeFillTint="33"/>
            <w:vAlign w:val="center"/>
            <w:hideMark/>
          </w:tcPr>
          <w:p w14:paraId="71D852BF" w14:textId="1494598A"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المبادئ الأساسية</w:t>
            </w:r>
          </w:p>
        </w:tc>
        <w:tc>
          <w:tcPr>
            <w:tcW w:w="1022" w:type="pct"/>
            <w:shd w:val="clear" w:color="auto" w:fill="E5DFEC" w:themeFill="accent4" w:themeFillTint="33"/>
            <w:vAlign w:val="center"/>
            <w:hideMark/>
          </w:tcPr>
          <w:p w14:paraId="12EB6552" w14:textId="0C5784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صاحب النظرية وتاريخها</w:t>
            </w:r>
          </w:p>
        </w:tc>
        <w:tc>
          <w:tcPr>
            <w:tcW w:w="1034" w:type="pct"/>
            <w:shd w:val="clear" w:color="auto" w:fill="E5DFEC" w:themeFill="accent4" w:themeFillTint="33"/>
            <w:vAlign w:val="center"/>
            <w:hideMark/>
          </w:tcPr>
          <w:p w14:paraId="6B9ABF0C" w14:textId="728C52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اسم النظرية</w:t>
            </w:r>
          </w:p>
        </w:tc>
      </w:tr>
      <w:tr w:rsidR="00EF60E9" w:rsidRPr="009B05B8" w14:paraId="1C31B377" w14:textId="77777777" w:rsidTr="009B05B8">
        <w:trPr>
          <w:tblCellSpacing w:w="15" w:type="dxa"/>
          <w:jc w:val="center"/>
        </w:trPr>
        <w:tc>
          <w:tcPr>
            <w:tcW w:w="1014" w:type="pct"/>
            <w:vAlign w:val="center"/>
            <w:hideMark/>
          </w:tcPr>
          <w:p w14:paraId="5B483BEC" w14:textId="2FFE723B"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Beck, U. (1986)..</w:t>
            </w:r>
          </w:p>
        </w:tc>
        <w:tc>
          <w:tcPr>
            <w:tcW w:w="649" w:type="pct"/>
            <w:vAlign w:val="center"/>
            <w:hideMark/>
          </w:tcPr>
          <w:p w14:paraId="7D2FB01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البيئي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الاجتماعي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السياسي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المعرفي</w:t>
            </w:r>
          </w:p>
        </w:tc>
        <w:tc>
          <w:tcPr>
            <w:tcW w:w="1172" w:type="pct"/>
            <w:vAlign w:val="center"/>
            <w:hideMark/>
          </w:tcPr>
          <w:p w14:paraId="298336A7" w14:textId="139C6D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w:t>
            </w:r>
            <w:r w:rsidR="00FF1E0A" w:rsidRPr="009B05B8">
              <w:rPr>
                <w:rFonts w:ascii="Traditional Arabic" w:hAnsi="Traditional Arabic" w:cs="Traditional Arabic" w:hint="cs"/>
                <w:b/>
                <w:bCs/>
                <w:sz w:val="24"/>
                <w:szCs w:val="24"/>
                <w:rtl/>
              </w:rPr>
              <w:t xml:space="preserve"> </w:t>
            </w:r>
            <w:r w:rsidRPr="009B05B8">
              <w:rPr>
                <w:rFonts w:ascii="Traditional Arabic" w:hAnsi="Traditional Arabic" w:cs="Traditional Arabic" w:hint="cs"/>
                <w:b/>
                <w:bCs/>
                <w:sz w:val="24"/>
                <w:szCs w:val="24"/>
                <w:rtl/>
              </w:rPr>
              <w:t>المجتمعات الحديثة تواجه مخاطر من صنع الإنسان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المخاطر غير مرئية وعابرة للحدود</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توزيع غير عادل للمخاطر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الحداثة مصدر للقلق</w:t>
            </w:r>
          </w:p>
        </w:tc>
        <w:tc>
          <w:tcPr>
            <w:tcW w:w="1022" w:type="pct"/>
            <w:vAlign w:val="center"/>
            <w:hideMark/>
          </w:tcPr>
          <w:p w14:paraId="29D4657C"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أولريش بيك – 1986</w:t>
            </w:r>
          </w:p>
        </w:tc>
        <w:tc>
          <w:tcPr>
            <w:tcW w:w="1034" w:type="pct"/>
            <w:vAlign w:val="center"/>
            <w:hideMark/>
          </w:tcPr>
          <w:p w14:paraId="5445FE1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أولريش بيك (مجتمع المخاطر)</w:t>
            </w:r>
          </w:p>
        </w:tc>
      </w:tr>
      <w:tr w:rsidR="00EF60E9" w:rsidRPr="009B05B8" w14:paraId="776A33B4" w14:textId="77777777" w:rsidTr="009B05B8">
        <w:trPr>
          <w:tblCellSpacing w:w="15" w:type="dxa"/>
          <w:jc w:val="center"/>
        </w:trPr>
        <w:tc>
          <w:tcPr>
            <w:tcW w:w="1014" w:type="pct"/>
            <w:vAlign w:val="center"/>
            <w:hideMark/>
          </w:tcPr>
          <w:p w14:paraId="39BEA06A" w14:textId="0CF61A02"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Giddens, A. (1984)..</w:t>
            </w:r>
          </w:p>
        </w:tc>
        <w:tc>
          <w:tcPr>
            <w:tcW w:w="649" w:type="pct"/>
            <w:vAlign w:val="center"/>
            <w:hideMark/>
          </w:tcPr>
          <w:p w14:paraId="611CE79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التنظيمي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المعرفي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الزمني والمكاني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التفاعلي</w:t>
            </w:r>
          </w:p>
        </w:tc>
        <w:tc>
          <w:tcPr>
            <w:tcW w:w="1172" w:type="pct"/>
            <w:vAlign w:val="center"/>
            <w:hideMark/>
          </w:tcPr>
          <w:p w14:paraId="2CED409B"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ازدواجية البنية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الفاعلية في تشكيل ثقافة السلامة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الحداثة الانعكاسية</w:t>
            </w:r>
          </w:p>
        </w:tc>
        <w:tc>
          <w:tcPr>
            <w:tcW w:w="1022" w:type="pct"/>
            <w:vAlign w:val="center"/>
            <w:hideMark/>
          </w:tcPr>
          <w:p w14:paraId="24D44F5B"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أنتوني جيدنز – 1984</w:t>
            </w:r>
          </w:p>
        </w:tc>
        <w:tc>
          <w:tcPr>
            <w:tcW w:w="1034" w:type="pct"/>
            <w:vAlign w:val="center"/>
            <w:hideMark/>
          </w:tcPr>
          <w:p w14:paraId="7FF50FC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أنتوني جيدنز (الحداثة الانعكاسية)</w:t>
            </w:r>
          </w:p>
        </w:tc>
      </w:tr>
      <w:tr w:rsidR="00EF60E9" w:rsidRPr="009B05B8" w14:paraId="519767B0" w14:textId="77777777" w:rsidTr="009B05B8">
        <w:trPr>
          <w:tblCellSpacing w:w="15" w:type="dxa"/>
          <w:jc w:val="center"/>
        </w:trPr>
        <w:tc>
          <w:tcPr>
            <w:tcW w:w="1014" w:type="pct"/>
            <w:vAlign w:val="center"/>
            <w:hideMark/>
          </w:tcPr>
          <w:p w14:paraId="404E8371" w14:textId="28FDAC7D"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عفيفي، م</w:t>
            </w:r>
            <w:r w:rsidRPr="009B05B8">
              <w:rPr>
                <w:rFonts w:ascii="Traditional Arabic" w:hAnsi="Traditional Arabic" w:cs="Traditional Arabic" w:hint="cs"/>
                <w:b/>
                <w:bCs/>
                <w:sz w:val="24"/>
                <w:szCs w:val="24"/>
              </w:rPr>
              <w:t xml:space="preserve">. (2024). </w:t>
            </w:r>
          </w:p>
        </w:tc>
        <w:tc>
          <w:tcPr>
            <w:tcW w:w="649" w:type="pct"/>
            <w:vAlign w:val="center"/>
            <w:hideMark/>
          </w:tcPr>
          <w:p w14:paraId="1F15540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التكنولوجي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التشغيلي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الوقائي</w:t>
            </w:r>
          </w:p>
        </w:tc>
        <w:tc>
          <w:tcPr>
            <w:tcW w:w="1172" w:type="pct"/>
            <w:vAlign w:val="center"/>
            <w:hideMark/>
          </w:tcPr>
          <w:p w14:paraId="104653F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تحليل البيانات لتقدير المخاطر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أدوات كمية مثل مونت كارلو</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قرارات مبنية على الأدلة</w:t>
            </w:r>
          </w:p>
        </w:tc>
        <w:tc>
          <w:tcPr>
            <w:tcW w:w="1022" w:type="pct"/>
            <w:vAlign w:val="center"/>
            <w:hideMark/>
          </w:tcPr>
          <w:p w14:paraId="750ED029"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مساهمات متعددة – منذ منتصف القرن 20</w:t>
            </w:r>
          </w:p>
        </w:tc>
        <w:tc>
          <w:tcPr>
            <w:tcW w:w="1034" w:type="pct"/>
            <w:vAlign w:val="center"/>
            <w:hideMark/>
          </w:tcPr>
          <w:p w14:paraId="5454BB04"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النظرية الكمية</w:t>
            </w:r>
          </w:p>
        </w:tc>
      </w:tr>
      <w:tr w:rsidR="00EF60E9" w:rsidRPr="009B05B8" w14:paraId="16459CD8" w14:textId="77777777" w:rsidTr="009B05B8">
        <w:trPr>
          <w:tblCellSpacing w:w="15" w:type="dxa"/>
          <w:jc w:val="center"/>
        </w:trPr>
        <w:tc>
          <w:tcPr>
            <w:tcW w:w="1014" w:type="pct"/>
            <w:vAlign w:val="center"/>
            <w:hideMark/>
          </w:tcPr>
          <w:p w14:paraId="38719F9B" w14:textId="6BE4CED3"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رقطي، س</w:t>
            </w:r>
            <w:r w:rsidRPr="009B05B8">
              <w:rPr>
                <w:rFonts w:ascii="Traditional Arabic" w:hAnsi="Traditional Arabic" w:cs="Traditional Arabic" w:hint="cs"/>
                <w:b/>
                <w:bCs/>
                <w:sz w:val="24"/>
                <w:szCs w:val="24"/>
              </w:rPr>
              <w:t xml:space="preserve">. &amp; </w:t>
            </w:r>
            <w:r w:rsidRPr="009B05B8">
              <w:rPr>
                <w:rFonts w:ascii="Traditional Arabic" w:hAnsi="Traditional Arabic" w:cs="Traditional Arabic" w:hint="cs"/>
                <w:b/>
                <w:bCs/>
                <w:sz w:val="24"/>
                <w:szCs w:val="24"/>
                <w:rtl/>
              </w:rPr>
              <w:t>كركار، م</w:t>
            </w:r>
            <w:r w:rsidRPr="009B05B8">
              <w:rPr>
                <w:rFonts w:ascii="Traditional Arabic" w:hAnsi="Traditional Arabic" w:cs="Traditional Arabic" w:hint="cs"/>
                <w:b/>
                <w:bCs/>
                <w:sz w:val="24"/>
                <w:szCs w:val="24"/>
              </w:rPr>
              <w:t>. (2023).</w:t>
            </w:r>
          </w:p>
        </w:tc>
        <w:tc>
          <w:tcPr>
            <w:tcW w:w="649" w:type="pct"/>
            <w:vAlign w:val="center"/>
            <w:hideMark/>
          </w:tcPr>
          <w:p w14:paraId="7A04E0E3"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التنظيمي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البشري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 xml:space="preserve">البعد </w:t>
            </w:r>
            <w:r w:rsidRPr="009B05B8">
              <w:rPr>
                <w:rFonts w:ascii="Traditional Arabic" w:hAnsi="Traditional Arabic" w:cs="Traditional Arabic" w:hint="cs"/>
                <w:b/>
                <w:bCs/>
                <w:sz w:val="24"/>
                <w:szCs w:val="24"/>
                <w:rtl/>
              </w:rPr>
              <w:lastRenderedPageBreak/>
              <w:t>التكنولوجي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البيئي</w:t>
            </w:r>
          </w:p>
        </w:tc>
        <w:tc>
          <w:tcPr>
            <w:tcW w:w="1172" w:type="pct"/>
            <w:vAlign w:val="center"/>
            <w:hideMark/>
          </w:tcPr>
          <w:p w14:paraId="28344DAA"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lastRenderedPageBreak/>
              <w:t xml:space="preserve">- </w:t>
            </w:r>
            <w:r w:rsidRPr="009B05B8">
              <w:rPr>
                <w:rFonts w:ascii="Traditional Arabic" w:hAnsi="Traditional Arabic" w:cs="Traditional Arabic" w:hint="cs"/>
                <w:b/>
                <w:bCs/>
                <w:sz w:val="24"/>
                <w:szCs w:val="24"/>
                <w:rtl/>
              </w:rPr>
              <w:t>المستشفى كنظام مفتوح</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التفاعل لتحقيق التوازن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تحسين التنسيق</w:t>
            </w:r>
          </w:p>
        </w:tc>
        <w:tc>
          <w:tcPr>
            <w:tcW w:w="1022" w:type="pct"/>
            <w:vAlign w:val="center"/>
            <w:hideMark/>
          </w:tcPr>
          <w:p w14:paraId="79944D7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لودفيغ فون بيرتالانفي – 1950</w:t>
            </w:r>
            <w:r w:rsidRPr="009B05B8">
              <w:rPr>
                <w:rFonts w:ascii="Traditional Arabic" w:hAnsi="Traditional Arabic" w:cs="Traditional Arabic" w:hint="cs"/>
                <w:b/>
                <w:bCs/>
                <w:sz w:val="24"/>
                <w:szCs w:val="24"/>
              </w:rPr>
              <w:t>s</w:t>
            </w:r>
          </w:p>
        </w:tc>
        <w:tc>
          <w:tcPr>
            <w:tcW w:w="1034" w:type="pct"/>
            <w:vAlign w:val="center"/>
            <w:hideMark/>
          </w:tcPr>
          <w:p w14:paraId="496DD9B4"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النظم</w:t>
            </w:r>
          </w:p>
        </w:tc>
      </w:tr>
      <w:tr w:rsidR="00EF60E9" w:rsidRPr="009B05B8" w14:paraId="47A54E88" w14:textId="77777777" w:rsidTr="009B05B8">
        <w:trPr>
          <w:tblCellSpacing w:w="15" w:type="dxa"/>
          <w:jc w:val="center"/>
        </w:trPr>
        <w:tc>
          <w:tcPr>
            <w:tcW w:w="1014" w:type="pct"/>
            <w:vAlign w:val="center"/>
            <w:hideMark/>
          </w:tcPr>
          <w:p w14:paraId="079EC4C4" w14:textId="75897A14"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الأكاديمية البريطانية</w:t>
            </w:r>
            <w:r w:rsidRPr="009B05B8">
              <w:rPr>
                <w:rFonts w:ascii="Traditional Arabic" w:hAnsi="Traditional Arabic" w:cs="Traditional Arabic" w:hint="cs"/>
                <w:b/>
                <w:bCs/>
                <w:sz w:val="24"/>
                <w:szCs w:val="24"/>
              </w:rPr>
              <w:t>. (2024).</w:t>
            </w:r>
          </w:p>
        </w:tc>
        <w:tc>
          <w:tcPr>
            <w:tcW w:w="649" w:type="pct"/>
            <w:vAlign w:val="center"/>
            <w:hideMark/>
          </w:tcPr>
          <w:p w14:paraId="70EF52D1"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التشخيصي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الوقائي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الإداري</w:t>
            </w:r>
          </w:p>
        </w:tc>
        <w:tc>
          <w:tcPr>
            <w:tcW w:w="1172" w:type="pct"/>
            <w:vAlign w:val="center"/>
            <w:hideMark/>
          </w:tcPr>
          <w:p w14:paraId="2848FDEF"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تحليل احتمالية الأحداث</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تحديد أولويات التدخل</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تصميم نماذج تنبؤية</w:t>
            </w:r>
          </w:p>
        </w:tc>
        <w:tc>
          <w:tcPr>
            <w:tcW w:w="1022" w:type="pct"/>
            <w:vAlign w:val="center"/>
            <w:hideMark/>
          </w:tcPr>
          <w:p w14:paraId="134283C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باسكال وفيرما – القرن 17</w:t>
            </w:r>
          </w:p>
        </w:tc>
        <w:tc>
          <w:tcPr>
            <w:tcW w:w="1034" w:type="pct"/>
            <w:vAlign w:val="center"/>
            <w:hideMark/>
          </w:tcPr>
          <w:p w14:paraId="79C64DD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الاحتمالات</w:t>
            </w:r>
          </w:p>
        </w:tc>
      </w:tr>
      <w:tr w:rsidR="00EF60E9" w:rsidRPr="009B05B8" w14:paraId="3F13081B" w14:textId="77777777" w:rsidTr="009B05B8">
        <w:trPr>
          <w:tblCellSpacing w:w="15" w:type="dxa"/>
          <w:jc w:val="center"/>
        </w:trPr>
        <w:tc>
          <w:tcPr>
            <w:tcW w:w="1014" w:type="pct"/>
            <w:vAlign w:val="center"/>
            <w:hideMark/>
          </w:tcPr>
          <w:p w14:paraId="2BC28303" w14:textId="361D5211"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مهنا، م</w:t>
            </w:r>
            <w:r w:rsidRPr="009B05B8">
              <w:rPr>
                <w:rFonts w:ascii="Traditional Arabic" w:hAnsi="Traditional Arabic" w:cs="Traditional Arabic" w:hint="cs"/>
                <w:b/>
                <w:bCs/>
                <w:sz w:val="24"/>
                <w:szCs w:val="24"/>
              </w:rPr>
              <w:t xml:space="preserve">. (2025). </w:t>
            </w:r>
          </w:p>
        </w:tc>
        <w:tc>
          <w:tcPr>
            <w:tcW w:w="649" w:type="pct"/>
            <w:vAlign w:val="center"/>
            <w:hideMark/>
          </w:tcPr>
          <w:p w14:paraId="6028C821"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المؤسسي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الثقافي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التحفيزي</w:t>
            </w:r>
          </w:p>
        </w:tc>
        <w:tc>
          <w:tcPr>
            <w:tcW w:w="1172" w:type="pct"/>
            <w:vAlign w:val="center"/>
            <w:hideMark/>
          </w:tcPr>
          <w:p w14:paraId="1792831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التحسين المستمر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مشاركة العاملين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قياس الأداء وتحليل الأخطاء</w:t>
            </w:r>
          </w:p>
        </w:tc>
        <w:tc>
          <w:tcPr>
            <w:tcW w:w="1022" w:type="pct"/>
            <w:vAlign w:val="center"/>
            <w:hideMark/>
          </w:tcPr>
          <w:p w14:paraId="6ABCC34D"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ديمنغ وجوران – 1940</w:t>
            </w:r>
            <w:r w:rsidRPr="009B05B8">
              <w:rPr>
                <w:rFonts w:ascii="Traditional Arabic" w:hAnsi="Traditional Arabic" w:cs="Traditional Arabic" w:hint="cs"/>
                <w:b/>
                <w:bCs/>
                <w:sz w:val="24"/>
                <w:szCs w:val="24"/>
              </w:rPr>
              <w:t>s</w:t>
            </w:r>
          </w:p>
        </w:tc>
        <w:tc>
          <w:tcPr>
            <w:tcW w:w="1034" w:type="pct"/>
            <w:vAlign w:val="center"/>
            <w:hideMark/>
          </w:tcPr>
          <w:p w14:paraId="669D6405"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إدارة الجودة الشاملة</w:t>
            </w:r>
            <w:r w:rsidRPr="009B05B8">
              <w:rPr>
                <w:rFonts w:ascii="Traditional Arabic" w:hAnsi="Traditional Arabic" w:cs="Traditional Arabic" w:hint="cs"/>
                <w:b/>
                <w:bCs/>
                <w:sz w:val="24"/>
                <w:szCs w:val="24"/>
              </w:rPr>
              <w:t xml:space="preserve"> (TQM)</w:t>
            </w:r>
          </w:p>
        </w:tc>
      </w:tr>
      <w:tr w:rsidR="00EF60E9" w:rsidRPr="009B05B8" w14:paraId="33F01E11" w14:textId="77777777" w:rsidTr="009B05B8">
        <w:trPr>
          <w:tblCellSpacing w:w="15" w:type="dxa"/>
          <w:jc w:val="center"/>
        </w:trPr>
        <w:tc>
          <w:tcPr>
            <w:tcW w:w="1014" w:type="pct"/>
            <w:vAlign w:val="center"/>
            <w:hideMark/>
          </w:tcPr>
          <w:p w14:paraId="582ACA0D" w14:textId="1DE2394F"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كركار، م</w:t>
            </w:r>
            <w:r w:rsidRPr="009B05B8">
              <w:rPr>
                <w:rFonts w:ascii="Traditional Arabic" w:hAnsi="Traditional Arabic" w:cs="Traditional Arabic" w:hint="cs"/>
                <w:b/>
                <w:bCs/>
                <w:sz w:val="24"/>
                <w:szCs w:val="24"/>
              </w:rPr>
              <w:t xml:space="preserve">. &amp; </w:t>
            </w:r>
            <w:r w:rsidRPr="009B05B8">
              <w:rPr>
                <w:rFonts w:ascii="Traditional Arabic" w:hAnsi="Traditional Arabic" w:cs="Traditional Arabic" w:hint="cs"/>
                <w:b/>
                <w:bCs/>
                <w:sz w:val="24"/>
                <w:szCs w:val="24"/>
                <w:rtl/>
              </w:rPr>
              <w:t>رقطي، س</w:t>
            </w:r>
            <w:r w:rsidRPr="009B05B8">
              <w:rPr>
                <w:rFonts w:ascii="Traditional Arabic" w:hAnsi="Traditional Arabic" w:cs="Traditional Arabic" w:hint="cs"/>
                <w:b/>
                <w:bCs/>
                <w:sz w:val="24"/>
                <w:szCs w:val="24"/>
              </w:rPr>
              <w:t>. (2020)..</w:t>
            </w:r>
          </w:p>
        </w:tc>
        <w:tc>
          <w:tcPr>
            <w:tcW w:w="649" w:type="pct"/>
            <w:vAlign w:val="center"/>
            <w:hideMark/>
          </w:tcPr>
          <w:p w14:paraId="7C96312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الثقافي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الإداري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البشري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التكنولوجي</w:t>
            </w:r>
          </w:p>
        </w:tc>
        <w:tc>
          <w:tcPr>
            <w:tcW w:w="1172" w:type="pct"/>
            <w:vAlign w:val="center"/>
            <w:hideMark/>
          </w:tcPr>
          <w:p w14:paraId="28E9B77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نموذج التغيير بثلاث مراحل</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تحليل الوضع وتطوير خطة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إشراك العاملين وتقييم النتائج</w:t>
            </w:r>
          </w:p>
        </w:tc>
        <w:tc>
          <w:tcPr>
            <w:tcW w:w="1022" w:type="pct"/>
            <w:vAlign w:val="center"/>
            <w:hideMark/>
          </w:tcPr>
          <w:p w14:paraId="292FE63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كيرت لوين – 1940</w:t>
            </w:r>
            <w:r w:rsidRPr="009B05B8">
              <w:rPr>
                <w:rFonts w:ascii="Traditional Arabic" w:hAnsi="Traditional Arabic" w:cs="Traditional Arabic" w:hint="cs"/>
                <w:b/>
                <w:bCs/>
                <w:sz w:val="24"/>
                <w:szCs w:val="24"/>
              </w:rPr>
              <w:t>s</w:t>
            </w:r>
          </w:p>
        </w:tc>
        <w:tc>
          <w:tcPr>
            <w:tcW w:w="1034" w:type="pct"/>
            <w:vAlign w:val="center"/>
            <w:hideMark/>
          </w:tcPr>
          <w:p w14:paraId="2D9E7B62"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التغيير التنظيمي</w:t>
            </w:r>
          </w:p>
        </w:tc>
      </w:tr>
    </w:tbl>
    <w:p w14:paraId="51AF99ED" w14:textId="6A570C51" w:rsidR="00D361C4" w:rsidRPr="009055BD" w:rsidRDefault="00FF1E0A" w:rsidP="00D361C4">
      <w:pPr>
        <w:bidi/>
        <w:spacing w:before="120" w:after="120" w:line="240" w:lineRule="auto"/>
        <w:jc w:val="center"/>
        <w:rPr>
          <w:rFonts w:ascii="Traditional Arabic" w:hAnsi="Traditional Arabic" w:cs="Traditional Arabic"/>
          <w:b/>
          <w:bCs/>
          <w:spacing w:val="-6"/>
          <w:sz w:val="24"/>
          <w:szCs w:val="24"/>
          <w:rtl/>
        </w:rPr>
      </w:pPr>
      <w:r w:rsidRPr="009055BD">
        <w:rPr>
          <w:rFonts w:ascii="Traditional Arabic" w:hAnsi="Traditional Arabic" w:cs="Traditional Arabic" w:hint="cs"/>
          <w:b/>
          <w:bCs/>
          <w:spacing w:val="-6"/>
          <w:sz w:val="24"/>
          <w:szCs w:val="24"/>
          <w:rtl/>
        </w:rPr>
        <w:t>إعداد / الباحثة</w:t>
      </w:r>
      <w:r w:rsidR="006441C4" w:rsidRPr="009055BD">
        <w:rPr>
          <w:rFonts w:ascii="Traditional Arabic" w:hAnsi="Traditional Arabic" w:cs="Traditional Arabic" w:hint="cs"/>
          <w:b/>
          <w:bCs/>
          <w:spacing w:val="-6"/>
          <w:sz w:val="24"/>
          <w:szCs w:val="24"/>
          <w:rtl/>
        </w:rPr>
        <w:t xml:space="preserve"> بناء على المراجع السابقة.</w:t>
      </w:r>
    </w:p>
    <w:p w14:paraId="31921FAC" w14:textId="77777777" w:rsidR="009055BD" w:rsidRDefault="009055BD" w:rsidP="00D361C4">
      <w:pPr>
        <w:bidi/>
        <w:spacing w:before="120" w:after="120" w:line="240" w:lineRule="auto"/>
        <w:rPr>
          <w:rFonts w:ascii="Simplified Arabic" w:hAnsi="Simplified Arabic" w:cs="Simplified Arabic"/>
          <w:b/>
          <w:bCs/>
          <w:spacing w:val="-6"/>
          <w:sz w:val="32"/>
          <w:szCs w:val="32"/>
          <w:rtl/>
        </w:rPr>
      </w:pPr>
    </w:p>
    <w:p w14:paraId="223F5029" w14:textId="77777777" w:rsidR="009055BD" w:rsidRDefault="009055BD" w:rsidP="009055BD">
      <w:pPr>
        <w:bidi/>
        <w:spacing w:before="120" w:after="120" w:line="240" w:lineRule="auto"/>
        <w:rPr>
          <w:rFonts w:ascii="Simplified Arabic" w:hAnsi="Simplified Arabic" w:cs="Simplified Arabic"/>
          <w:b/>
          <w:bCs/>
          <w:spacing w:val="-6"/>
          <w:sz w:val="32"/>
          <w:szCs w:val="32"/>
          <w:rtl/>
        </w:rPr>
      </w:pPr>
    </w:p>
    <w:p w14:paraId="6C3E64DF" w14:textId="77777777" w:rsidR="002F1E27" w:rsidRDefault="002F1E27" w:rsidP="009055BD">
      <w:pPr>
        <w:bidi/>
        <w:spacing w:before="120" w:after="120" w:line="240" w:lineRule="auto"/>
        <w:rPr>
          <w:rFonts w:ascii="Traditional Arabic" w:hAnsi="Traditional Arabic" w:cs="Traditional Arabic"/>
          <w:b/>
          <w:bCs/>
          <w:spacing w:val="-6"/>
          <w:sz w:val="32"/>
          <w:szCs w:val="32"/>
          <w:rtl/>
        </w:rPr>
      </w:pPr>
    </w:p>
    <w:p w14:paraId="1BAB93A5" w14:textId="0AF82209" w:rsidR="00B94EB0" w:rsidRPr="002F1E27" w:rsidRDefault="00A44ABC" w:rsidP="002F1E27">
      <w:pPr>
        <w:bidi/>
        <w:spacing w:before="120" w:after="120" w:line="360" w:lineRule="auto"/>
        <w:rPr>
          <w:rFonts w:ascii="Traditional Arabic" w:hAnsi="Traditional Arabic" w:cs="Traditional Arabic"/>
          <w:b/>
          <w:bCs/>
          <w:spacing w:val="-6"/>
          <w:sz w:val="32"/>
          <w:szCs w:val="32"/>
          <w:rtl/>
        </w:rPr>
      </w:pPr>
      <w:r w:rsidRPr="002F1E27">
        <w:rPr>
          <w:rFonts w:ascii="Traditional Arabic" w:hAnsi="Traditional Arabic" w:cs="Traditional Arabic" w:hint="cs"/>
          <w:b/>
          <w:bCs/>
          <w:spacing w:val="-6"/>
          <w:sz w:val="32"/>
          <w:szCs w:val="32"/>
          <w:rtl/>
        </w:rPr>
        <w:lastRenderedPageBreak/>
        <w:t xml:space="preserve">تاسعاً: </w:t>
      </w:r>
      <w:r w:rsidR="00B94EB0" w:rsidRPr="002F1E27">
        <w:rPr>
          <w:rFonts w:ascii="Traditional Arabic" w:hAnsi="Traditional Arabic" w:cs="Traditional Arabic" w:hint="cs"/>
          <w:b/>
          <w:bCs/>
          <w:spacing w:val="-6"/>
          <w:sz w:val="32"/>
          <w:szCs w:val="32"/>
          <w:rtl/>
        </w:rPr>
        <w:t>تحديات إدارة المخاطر في المستشفيات:</w:t>
      </w:r>
    </w:p>
    <w:p w14:paraId="204BF038"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تحديد المخاطر وتقييمها</w:t>
      </w:r>
      <w:r w:rsidRPr="002F1E27">
        <w:rPr>
          <w:rFonts w:ascii="Traditional Arabic" w:hAnsi="Traditional Arabic" w:cs="Traditional Arabic" w:hint="cs"/>
          <w:b/>
          <w:bCs/>
          <w:spacing w:val="-6"/>
          <w:sz w:val="28"/>
          <w:szCs w:val="28"/>
          <w:lang w:bidi="ar-EG"/>
        </w:rPr>
        <w:t>:</w:t>
      </w:r>
    </w:p>
    <w:p w14:paraId="1C4B4E91" w14:textId="77777777" w:rsidR="00B94EB0" w:rsidRPr="002F1E27" w:rsidRDefault="00B94EB0" w:rsidP="002F1E27">
      <w:pPr>
        <w:bidi/>
        <w:spacing w:before="120" w:after="120" w:line="360" w:lineRule="auto"/>
        <w:ind w:firstLine="720"/>
        <w:jc w:val="both"/>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يكون من الصعب تحديد جميع المخاطر المحتملة، خاصة في ظل التطورات التكنولوجية السريعة والأحداث غير المتوقعة</w:t>
      </w:r>
      <w:r w:rsidRPr="002F1E27">
        <w:rPr>
          <w:rFonts w:ascii="Traditional Arabic" w:hAnsi="Traditional Arabic" w:cs="Traditional Arabic" w:hint="cs"/>
          <w:spacing w:val="-6"/>
          <w:sz w:val="28"/>
          <w:szCs w:val="28"/>
          <w:rtl/>
          <w:lang w:bidi="ar-EG"/>
        </w:rPr>
        <w:t>،</w:t>
      </w:r>
      <w:r w:rsidRPr="002F1E27">
        <w:rPr>
          <w:rFonts w:ascii="Traditional Arabic" w:hAnsi="Traditional Arabic" w:cs="Traditional Arabic" w:hint="cs"/>
          <w:spacing w:val="-6"/>
          <w:sz w:val="28"/>
          <w:szCs w:val="28"/>
          <w:lang w:bidi="ar-EG"/>
        </w:rPr>
        <w:t> </w:t>
      </w:r>
      <w:r w:rsidRPr="002F1E27">
        <w:rPr>
          <w:rFonts w:ascii="Traditional Arabic" w:hAnsi="Traditional Arabic" w:cs="Traditional Arabic" w:hint="cs"/>
          <w:spacing w:val="-6"/>
          <w:sz w:val="28"/>
          <w:szCs w:val="28"/>
          <w:rtl/>
        </w:rPr>
        <w:t>كما أن تقييم المخاطر يتطلب بيانات دقيقة، وقد لا تتوفر بيانات كافية عن بعض المخاطر</w:t>
      </w:r>
      <w:r w:rsidRPr="002F1E27">
        <w:rPr>
          <w:rFonts w:ascii="Traditional Arabic" w:hAnsi="Traditional Arabic" w:cs="Traditional Arabic" w:hint="cs"/>
          <w:spacing w:val="-6"/>
          <w:sz w:val="28"/>
          <w:szCs w:val="28"/>
          <w:lang w:bidi="ar-EG"/>
        </w:rPr>
        <w:t>. </w:t>
      </w:r>
    </w:p>
    <w:p w14:paraId="1011C953"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نقص الموارد المالية والتدريب</w:t>
      </w:r>
      <w:r w:rsidRPr="002F1E27">
        <w:rPr>
          <w:rFonts w:ascii="Traditional Arabic" w:hAnsi="Traditional Arabic" w:cs="Traditional Arabic" w:hint="cs"/>
          <w:b/>
          <w:bCs/>
          <w:spacing w:val="-6"/>
          <w:sz w:val="28"/>
          <w:szCs w:val="28"/>
          <w:lang w:bidi="ar-EG"/>
        </w:rPr>
        <w:t>:</w:t>
      </w:r>
    </w:p>
    <w:p w14:paraId="156534EB" w14:textId="77777777" w:rsidR="00B94EB0" w:rsidRPr="002F1E27" w:rsidRDefault="00B94EB0" w:rsidP="002F1E27">
      <w:pPr>
        <w:bidi/>
        <w:spacing w:before="120" w:after="120" w:line="360" w:lineRule="auto"/>
        <w:ind w:firstLine="720"/>
        <w:jc w:val="both"/>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يتطلب تطبيق نظام فعال لإدارة المخاطر تخصيص موارد مالية كافية لتدريب الموظفين وتطوير البنية التحتية وتوفير الأدوات اللازمة</w:t>
      </w:r>
      <w:r w:rsidRPr="002F1E27">
        <w:rPr>
          <w:rFonts w:ascii="Traditional Arabic" w:hAnsi="Traditional Arabic" w:cs="Traditional Arabic" w:hint="cs"/>
          <w:spacing w:val="-6"/>
          <w:sz w:val="28"/>
          <w:szCs w:val="28"/>
          <w:lang w:bidi="ar-EG"/>
        </w:rPr>
        <w:t>. </w:t>
      </w:r>
    </w:p>
    <w:p w14:paraId="66ABE4F3"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مقاومة التغيير</w:t>
      </w:r>
      <w:r w:rsidRPr="002F1E27">
        <w:rPr>
          <w:rFonts w:ascii="Traditional Arabic" w:hAnsi="Traditional Arabic" w:cs="Traditional Arabic" w:hint="cs"/>
          <w:b/>
          <w:bCs/>
          <w:spacing w:val="-6"/>
          <w:sz w:val="28"/>
          <w:szCs w:val="28"/>
          <w:lang w:bidi="ar-EG"/>
        </w:rPr>
        <w:t>:</w:t>
      </w:r>
    </w:p>
    <w:p w14:paraId="6B7B265A"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يواجه تطبيق إدارة المخاطر مقاومة من قبل الموظفين والإداريين، خاصة إذا لم يتم توضيح أهمية هذا النظام</w:t>
      </w:r>
      <w:r w:rsidRPr="002F1E27">
        <w:rPr>
          <w:rFonts w:ascii="Traditional Arabic" w:hAnsi="Traditional Arabic" w:cs="Traditional Arabic" w:hint="cs"/>
          <w:spacing w:val="-6"/>
          <w:sz w:val="28"/>
          <w:szCs w:val="28"/>
          <w:lang w:bidi="ar-EG"/>
        </w:rPr>
        <w:t>. </w:t>
      </w:r>
    </w:p>
    <w:p w14:paraId="6E7B2FFF"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تحديات التواصل</w:t>
      </w:r>
      <w:r w:rsidRPr="002F1E27">
        <w:rPr>
          <w:rFonts w:ascii="Traditional Arabic" w:hAnsi="Traditional Arabic" w:cs="Traditional Arabic" w:hint="cs"/>
          <w:b/>
          <w:bCs/>
          <w:spacing w:val="-6"/>
          <w:sz w:val="28"/>
          <w:szCs w:val="28"/>
          <w:lang w:bidi="ar-EG"/>
        </w:rPr>
        <w:t>:</w:t>
      </w:r>
    </w:p>
    <w:p w14:paraId="06ED39A9"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يعتبر التواصل الفعال بين الإدارة والموظفين والمرضى وأصحاب المصلحة الآخرين أمرًا بالغ الأهمية في إدارة المخاطر، خاصة في حالات الطوارئ</w:t>
      </w:r>
      <w:r w:rsidRPr="002F1E27">
        <w:rPr>
          <w:rFonts w:ascii="Traditional Arabic" w:hAnsi="Traditional Arabic" w:cs="Traditional Arabic" w:hint="cs"/>
          <w:spacing w:val="-6"/>
          <w:sz w:val="28"/>
          <w:szCs w:val="28"/>
          <w:lang w:bidi="ar-EG"/>
        </w:rPr>
        <w:t>. </w:t>
      </w:r>
    </w:p>
    <w:p w14:paraId="55C9AAC9"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المخاطر الأمنية</w:t>
      </w:r>
      <w:r w:rsidRPr="002F1E27">
        <w:rPr>
          <w:rFonts w:ascii="Traditional Arabic" w:hAnsi="Traditional Arabic" w:cs="Traditional Arabic" w:hint="cs"/>
          <w:b/>
          <w:bCs/>
          <w:spacing w:val="-6"/>
          <w:sz w:val="28"/>
          <w:szCs w:val="28"/>
          <w:lang w:bidi="ar-EG"/>
        </w:rPr>
        <w:t>:</w:t>
      </w:r>
    </w:p>
    <w:p w14:paraId="34A9C92C"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تتزايد المخاطر السيبرانية مع الاعتماد المتزايد على التكنولوجيا، مما يستدعي حماية البيانات الحساسة من الاختراق</w:t>
      </w:r>
      <w:r w:rsidRPr="002F1E27">
        <w:rPr>
          <w:rFonts w:ascii="Traditional Arabic" w:hAnsi="Traditional Arabic" w:cs="Traditional Arabic" w:hint="cs"/>
          <w:spacing w:val="-6"/>
          <w:sz w:val="28"/>
          <w:szCs w:val="28"/>
          <w:lang w:bidi="ar-EG"/>
        </w:rPr>
        <w:t>. </w:t>
      </w:r>
    </w:p>
    <w:p w14:paraId="709762E4"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الأخطاء الطبية</w:t>
      </w:r>
      <w:r w:rsidRPr="002F1E27">
        <w:rPr>
          <w:rFonts w:ascii="Traditional Arabic" w:hAnsi="Traditional Arabic" w:cs="Traditional Arabic" w:hint="cs"/>
          <w:b/>
          <w:bCs/>
          <w:spacing w:val="-6"/>
          <w:sz w:val="28"/>
          <w:szCs w:val="28"/>
          <w:lang w:bidi="ar-EG"/>
        </w:rPr>
        <w:t>:</w:t>
      </w:r>
    </w:p>
    <w:p w14:paraId="7AB9B0B9"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تشمل الأخطاء الطبية أخطاء في التشخيص أو العلاج، أو مشاكل في المعدات الطبية</w:t>
      </w:r>
      <w:r w:rsidRPr="002F1E27">
        <w:rPr>
          <w:rFonts w:ascii="Traditional Arabic" w:hAnsi="Traditional Arabic" w:cs="Traditional Arabic" w:hint="cs"/>
          <w:spacing w:val="-6"/>
          <w:sz w:val="28"/>
          <w:szCs w:val="28"/>
          <w:lang w:bidi="ar-EG"/>
        </w:rPr>
        <w:t>. </w:t>
      </w:r>
    </w:p>
    <w:p w14:paraId="40BD98A0"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الحوادث المادية</w:t>
      </w:r>
      <w:r w:rsidRPr="002F1E27">
        <w:rPr>
          <w:rFonts w:ascii="Traditional Arabic" w:hAnsi="Traditional Arabic" w:cs="Traditional Arabic" w:hint="cs"/>
          <w:b/>
          <w:bCs/>
          <w:spacing w:val="-6"/>
          <w:sz w:val="28"/>
          <w:szCs w:val="28"/>
          <w:lang w:bidi="ar-EG"/>
        </w:rPr>
        <w:t>:</w:t>
      </w:r>
    </w:p>
    <w:p w14:paraId="44950FDC"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تحدث حوادث مثل السقوط والإصابات بالأجهزة الطبية، أوالحوادث الناجمة عن الأشعة أو المواد الكيميائية</w:t>
      </w:r>
      <w:r w:rsidRPr="002F1E27">
        <w:rPr>
          <w:rFonts w:ascii="Traditional Arabic" w:hAnsi="Traditional Arabic" w:cs="Traditional Arabic" w:hint="cs"/>
          <w:spacing w:val="-6"/>
          <w:sz w:val="28"/>
          <w:szCs w:val="28"/>
          <w:lang w:bidi="ar-EG"/>
        </w:rPr>
        <w:t>. </w:t>
      </w:r>
    </w:p>
    <w:p w14:paraId="258E4DAE"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الحرائق والأمان</w:t>
      </w:r>
      <w:r w:rsidRPr="002F1E27">
        <w:rPr>
          <w:rFonts w:ascii="Traditional Arabic" w:hAnsi="Traditional Arabic" w:cs="Traditional Arabic" w:hint="cs"/>
          <w:b/>
          <w:bCs/>
          <w:spacing w:val="-6"/>
          <w:sz w:val="28"/>
          <w:szCs w:val="28"/>
          <w:lang w:bidi="ar-EG"/>
        </w:rPr>
        <w:t>:</w:t>
      </w:r>
    </w:p>
    <w:p w14:paraId="5F46CF1F"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lastRenderedPageBreak/>
        <w:t>تشكل الحرائق والأمان خطرًا كبيرًا في المستشفيات</w:t>
      </w:r>
      <w:r w:rsidRPr="002F1E27">
        <w:rPr>
          <w:rFonts w:ascii="Traditional Arabic" w:hAnsi="Traditional Arabic" w:cs="Traditional Arabic" w:hint="cs"/>
          <w:spacing w:val="-6"/>
          <w:sz w:val="28"/>
          <w:szCs w:val="28"/>
          <w:lang w:bidi="ar-EG"/>
        </w:rPr>
        <w:t>. </w:t>
      </w:r>
    </w:p>
    <w:p w14:paraId="3A84B9F8" w14:textId="77777777" w:rsidR="00B94EB0" w:rsidRPr="002F1E27" w:rsidRDefault="00B94EB0">
      <w:pPr>
        <w:numPr>
          <w:ilvl w:val="0"/>
          <w:numId w:val="14"/>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العنف في مكان العمل</w:t>
      </w:r>
      <w:r w:rsidRPr="002F1E27">
        <w:rPr>
          <w:rFonts w:ascii="Traditional Arabic" w:hAnsi="Traditional Arabic" w:cs="Traditional Arabic" w:hint="cs"/>
          <w:b/>
          <w:bCs/>
          <w:spacing w:val="-6"/>
          <w:sz w:val="28"/>
          <w:szCs w:val="28"/>
          <w:lang w:bidi="ar-EG"/>
        </w:rPr>
        <w:t>:</w:t>
      </w:r>
    </w:p>
    <w:p w14:paraId="10DF338B" w14:textId="77777777" w:rsidR="00B94EB0" w:rsidRPr="002F1E27" w:rsidRDefault="00B94EB0" w:rsidP="002F1E27">
      <w:pPr>
        <w:bidi/>
        <w:spacing w:before="120" w:after="120" w:line="360" w:lineRule="auto"/>
        <w:rPr>
          <w:rFonts w:ascii="Traditional Arabic" w:hAnsi="Traditional Arabic" w:cs="Traditional Arabic"/>
          <w:spacing w:val="-6"/>
          <w:sz w:val="24"/>
          <w:szCs w:val="24"/>
          <w:rtl/>
          <w:lang w:bidi="ar-EG"/>
        </w:rPr>
      </w:pPr>
      <w:r w:rsidRPr="002F1E27">
        <w:rPr>
          <w:rFonts w:ascii="Traditional Arabic" w:hAnsi="Traditional Arabic" w:cs="Traditional Arabic" w:hint="cs"/>
          <w:spacing w:val="-6"/>
          <w:sz w:val="24"/>
          <w:szCs w:val="24"/>
          <w:rtl/>
        </w:rPr>
        <w:t>قد يتعرض الموظفون للعنف اللفظي والجسدي من قبل المرضى أو الزوار</w:t>
      </w:r>
      <w:r w:rsidRPr="002F1E27">
        <w:rPr>
          <w:rFonts w:ascii="Traditional Arabic" w:hAnsi="Traditional Arabic" w:cs="Traditional Arabic" w:hint="cs"/>
          <w:spacing w:val="-6"/>
          <w:sz w:val="24"/>
          <w:szCs w:val="24"/>
          <w:lang w:bidi="ar-EG"/>
        </w:rPr>
        <w:t>. </w:t>
      </w:r>
    </w:p>
    <w:p w14:paraId="5DC903CE" w14:textId="28806F5F" w:rsidR="00B94EB0" w:rsidRPr="00757BAA" w:rsidRDefault="00B94EB0" w:rsidP="00757BAA">
      <w:pPr>
        <w:bidi/>
        <w:spacing w:before="120" w:after="120" w:line="360" w:lineRule="auto"/>
        <w:rPr>
          <w:rFonts w:ascii="Traditional Arabic" w:hAnsi="Traditional Arabic" w:cs="Traditional Arabic"/>
          <w:spacing w:val="-6"/>
          <w:sz w:val="28"/>
          <w:szCs w:val="28"/>
          <w:lang w:bidi="ar-EG"/>
        </w:rPr>
      </w:pPr>
      <w:r w:rsidRPr="00757BAA">
        <w:rPr>
          <w:rFonts w:ascii="Traditional Arabic" w:hAnsi="Traditional Arabic" w:cs="Traditional Arabic" w:hint="cs"/>
          <w:b/>
          <w:bCs/>
          <w:spacing w:val="-6"/>
          <w:sz w:val="28"/>
          <w:szCs w:val="28"/>
          <w:rtl/>
        </w:rPr>
        <w:t>التغلب على التحديات</w:t>
      </w:r>
      <w:r w:rsidRPr="00757BAA">
        <w:rPr>
          <w:rFonts w:ascii="Traditional Arabic" w:hAnsi="Traditional Arabic" w:cs="Traditional Arabic" w:hint="cs"/>
          <w:b/>
          <w:bCs/>
          <w:spacing w:val="-6"/>
          <w:sz w:val="28"/>
          <w:szCs w:val="28"/>
          <w:lang w:bidi="ar-EG"/>
        </w:rPr>
        <w:t>:</w:t>
      </w:r>
    </w:p>
    <w:p w14:paraId="03A3EB67"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توفير التدريب</w:t>
      </w:r>
      <w:r w:rsidRPr="00757BAA">
        <w:rPr>
          <w:rFonts w:ascii="Traditional Arabic" w:hAnsi="Traditional Arabic" w:cs="Traditional Arabic" w:hint="cs"/>
          <w:b/>
          <w:bCs/>
          <w:spacing w:val="-6"/>
          <w:sz w:val="24"/>
          <w:szCs w:val="24"/>
          <w:lang w:bidi="ar-EG"/>
        </w:rPr>
        <w:t>:</w:t>
      </w:r>
    </w:p>
    <w:p w14:paraId="428A81AB"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توفير تدريب شامل للموظفين حول كيفية تحديد وتقييم المخاطر، وكيفية الاستجابة للأحداث الطارئة</w:t>
      </w:r>
      <w:r w:rsidRPr="00757BAA">
        <w:rPr>
          <w:rFonts w:ascii="Traditional Arabic" w:hAnsi="Traditional Arabic" w:cs="Traditional Arabic" w:hint="cs"/>
          <w:spacing w:val="-6"/>
          <w:sz w:val="24"/>
          <w:szCs w:val="24"/>
          <w:lang w:bidi="ar-EG"/>
        </w:rPr>
        <w:t>. </w:t>
      </w:r>
    </w:p>
    <w:p w14:paraId="569D6040"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التواصل</w:t>
      </w:r>
      <w:r w:rsidRPr="00757BAA">
        <w:rPr>
          <w:rFonts w:ascii="Traditional Arabic" w:hAnsi="Traditional Arabic" w:cs="Traditional Arabic" w:hint="cs"/>
          <w:b/>
          <w:bCs/>
          <w:spacing w:val="-6"/>
          <w:sz w:val="24"/>
          <w:szCs w:val="24"/>
          <w:lang w:bidi="ar-EG"/>
        </w:rPr>
        <w:t>:</w:t>
      </w:r>
    </w:p>
    <w:p w14:paraId="6E825D00"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إنشاء قنوات اتصال واضحة وفعالة لضمان وصول المعلومات إلى جميع المعنيين</w:t>
      </w:r>
      <w:r w:rsidRPr="00757BAA">
        <w:rPr>
          <w:rFonts w:ascii="Traditional Arabic" w:hAnsi="Traditional Arabic" w:cs="Traditional Arabic" w:hint="cs"/>
          <w:spacing w:val="-6"/>
          <w:sz w:val="24"/>
          <w:szCs w:val="24"/>
          <w:lang w:bidi="ar-EG"/>
        </w:rPr>
        <w:t>. </w:t>
      </w:r>
    </w:p>
    <w:p w14:paraId="1A36BC78"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تطوير خطط طوارئ</w:t>
      </w:r>
      <w:r w:rsidRPr="00757BAA">
        <w:rPr>
          <w:rFonts w:ascii="Traditional Arabic" w:hAnsi="Traditional Arabic" w:cs="Traditional Arabic" w:hint="cs"/>
          <w:b/>
          <w:bCs/>
          <w:spacing w:val="-6"/>
          <w:sz w:val="24"/>
          <w:szCs w:val="24"/>
          <w:lang w:bidi="ar-EG"/>
        </w:rPr>
        <w:t>:</w:t>
      </w:r>
    </w:p>
    <w:p w14:paraId="40E8F7A0"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وضع خطط طوارئ مفصلة للتعامل مع مختلف أنواع المخاطر، وتدريب الموظفين عليها</w:t>
      </w:r>
      <w:r w:rsidRPr="00757BAA">
        <w:rPr>
          <w:rFonts w:ascii="Traditional Arabic" w:hAnsi="Traditional Arabic" w:cs="Traditional Arabic" w:hint="cs"/>
          <w:spacing w:val="-6"/>
          <w:sz w:val="24"/>
          <w:szCs w:val="24"/>
          <w:lang w:bidi="ar-EG"/>
        </w:rPr>
        <w:t>. </w:t>
      </w:r>
    </w:p>
    <w:p w14:paraId="44707929"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تعزيز الأمن السيبراني</w:t>
      </w:r>
      <w:r w:rsidRPr="00757BAA">
        <w:rPr>
          <w:rFonts w:ascii="Traditional Arabic" w:hAnsi="Traditional Arabic" w:cs="Traditional Arabic" w:hint="cs"/>
          <w:b/>
          <w:bCs/>
          <w:spacing w:val="-6"/>
          <w:sz w:val="24"/>
          <w:szCs w:val="24"/>
          <w:lang w:bidi="ar-EG"/>
        </w:rPr>
        <w:t>:</w:t>
      </w:r>
    </w:p>
    <w:p w14:paraId="29E4F10A"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إتخاذ الإجراءات اللازمة لحماية البيانات الحساسة من الإختراق</w:t>
      </w:r>
      <w:r w:rsidRPr="00757BAA">
        <w:rPr>
          <w:rFonts w:ascii="Traditional Arabic" w:hAnsi="Traditional Arabic" w:cs="Traditional Arabic" w:hint="cs"/>
          <w:spacing w:val="-6"/>
          <w:sz w:val="24"/>
          <w:szCs w:val="24"/>
          <w:lang w:bidi="ar-EG"/>
        </w:rPr>
        <w:t>. </w:t>
      </w:r>
    </w:p>
    <w:p w14:paraId="4EFFC9A0"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سلامة المرضى</w:t>
      </w:r>
      <w:r w:rsidRPr="00757BAA">
        <w:rPr>
          <w:rFonts w:ascii="Traditional Arabic" w:hAnsi="Traditional Arabic" w:cs="Traditional Arabic" w:hint="cs"/>
          <w:b/>
          <w:bCs/>
          <w:spacing w:val="-6"/>
          <w:sz w:val="24"/>
          <w:szCs w:val="24"/>
          <w:lang w:bidi="ar-EG"/>
        </w:rPr>
        <w:t>:</w:t>
      </w:r>
    </w:p>
    <w:p w14:paraId="45E6D36B"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تطبيق بروتوكولات صارمة للسلامة لتقليل المخاطر المرتبطة بالأخطاء الطبية والمضاعفات الجراحية والعدوى</w:t>
      </w:r>
      <w:r w:rsidRPr="00757BAA">
        <w:rPr>
          <w:rFonts w:ascii="Traditional Arabic" w:hAnsi="Traditional Arabic" w:cs="Traditional Arabic" w:hint="cs"/>
          <w:spacing w:val="-6"/>
          <w:sz w:val="24"/>
          <w:szCs w:val="24"/>
          <w:lang w:bidi="ar-EG"/>
        </w:rPr>
        <w:t>. </w:t>
      </w:r>
    </w:p>
    <w:p w14:paraId="434996F9"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توفير بيئة عمل آمنة</w:t>
      </w:r>
      <w:r w:rsidRPr="00757BAA">
        <w:rPr>
          <w:rFonts w:ascii="Traditional Arabic" w:hAnsi="Traditional Arabic" w:cs="Traditional Arabic" w:hint="cs"/>
          <w:b/>
          <w:bCs/>
          <w:spacing w:val="-6"/>
          <w:sz w:val="24"/>
          <w:szCs w:val="24"/>
          <w:lang w:bidi="ar-EG"/>
        </w:rPr>
        <w:t>:</w:t>
      </w:r>
    </w:p>
    <w:p w14:paraId="7931A5E5"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إتخاذ الإجراءات اللازمة لحماية الموظفين من العنف في مكان العمل</w:t>
      </w:r>
      <w:r w:rsidRPr="00757BAA">
        <w:rPr>
          <w:rFonts w:ascii="Traditional Arabic" w:hAnsi="Traditional Arabic" w:cs="Traditional Arabic" w:hint="cs"/>
          <w:spacing w:val="-6"/>
          <w:sz w:val="24"/>
          <w:szCs w:val="24"/>
          <w:lang w:bidi="ar-EG"/>
        </w:rPr>
        <w:t>. </w:t>
      </w:r>
    </w:p>
    <w:p w14:paraId="00B6416D"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جودة البيانات</w:t>
      </w:r>
      <w:r w:rsidRPr="00757BAA">
        <w:rPr>
          <w:rFonts w:ascii="Traditional Arabic" w:hAnsi="Traditional Arabic" w:cs="Traditional Arabic" w:hint="cs"/>
          <w:b/>
          <w:bCs/>
          <w:spacing w:val="-6"/>
          <w:sz w:val="24"/>
          <w:szCs w:val="24"/>
          <w:lang w:bidi="ar-EG"/>
        </w:rPr>
        <w:t>:</w:t>
      </w:r>
    </w:p>
    <w:p w14:paraId="6AF89031"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التأكد من توفر بيانات دقيقة وحديثة لتقييم المخاطر بشكل فعال</w:t>
      </w:r>
      <w:r w:rsidRPr="00757BAA">
        <w:rPr>
          <w:rFonts w:ascii="Traditional Arabic" w:hAnsi="Traditional Arabic" w:cs="Traditional Arabic" w:hint="cs"/>
          <w:spacing w:val="-6"/>
          <w:sz w:val="24"/>
          <w:szCs w:val="24"/>
          <w:lang w:bidi="ar-EG"/>
        </w:rPr>
        <w:t>. </w:t>
      </w:r>
    </w:p>
    <w:p w14:paraId="5CC09E56"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تعزيز ثقافة الإبلاغ</w:t>
      </w:r>
      <w:r w:rsidRPr="00757BAA">
        <w:rPr>
          <w:rFonts w:ascii="Traditional Arabic" w:hAnsi="Traditional Arabic" w:cs="Traditional Arabic" w:hint="cs"/>
          <w:b/>
          <w:bCs/>
          <w:spacing w:val="-6"/>
          <w:sz w:val="24"/>
          <w:szCs w:val="24"/>
          <w:lang w:bidi="ar-EG"/>
        </w:rPr>
        <w:t>:</w:t>
      </w:r>
    </w:p>
    <w:p w14:paraId="64873C41"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تشجيع الموظفين على الإبلاغ عن المخاطر والأحداث السلبية</w:t>
      </w:r>
      <w:r w:rsidRPr="00757BAA">
        <w:rPr>
          <w:rFonts w:ascii="Traditional Arabic" w:hAnsi="Traditional Arabic" w:cs="Traditional Arabic" w:hint="cs"/>
          <w:spacing w:val="-6"/>
          <w:sz w:val="24"/>
          <w:szCs w:val="24"/>
          <w:lang w:bidi="ar-EG"/>
        </w:rPr>
        <w:t>. </w:t>
      </w:r>
    </w:p>
    <w:p w14:paraId="331F82D9" w14:textId="77777777" w:rsidR="00B94EB0" w:rsidRPr="00757BAA" w:rsidRDefault="00B94EB0">
      <w:pPr>
        <w:numPr>
          <w:ilvl w:val="0"/>
          <w:numId w:val="15"/>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التحقيق في الأحداث الحرجة</w:t>
      </w:r>
      <w:r w:rsidRPr="00757BAA">
        <w:rPr>
          <w:rFonts w:ascii="Traditional Arabic" w:hAnsi="Traditional Arabic" w:cs="Traditional Arabic" w:hint="cs"/>
          <w:b/>
          <w:bCs/>
          <w:spacing w:val="-6"/>
          <w:sz w:val="24"/>
          <w:szCs w:val="24"/>
          <w:lang w:bidi="ar-EG"/>
        </w:rPr>
        <w:t>:</w:t>
      </w:r>
    </w:p>
    <w:p w14:paraId="5AEB94A0" w14:textId="77777777" w:rsidR="00B94EB0" w:rsidRPr="00220E0D" w:rsidRDefault="00B94EB0" w:rsidP="00220E0D">
      <w:pPr>
        <w:bidi/>
        <w:spacing w:before="120" w:after="120" w:line="360" w:lineRule="auto"/>
        <w:rPr>
          <w:rFonts w:ascii="Traditional Arabic" w:hAnsi="Traditional Arabic" w:cs="Traditional Arabic"/>
          <w:spacing w:val="-6"/>
          <w:sz w:val="24"/>
          <w:szCs w:val="24"/>
          <w:rtl/>
        </w:rPr>
      </w:pPr>
      <w:r w:rsidRPr="00220E0D">
        <w:rPr>
          <w:rFonts w:ascii="Traditional Arabic" w:hAnsi="Traditional Arabic" w:cs="Traditional Arabic" w:hint="cs"/>
          <w:spacing w:val="-6"/>
          <w:sz w:val="24"/>
          <w:szCs w:val="24"/>
          <w:rtl/>
        </w:rPr>
        <w:lastRenderedPageBreak/>
        <w:t>يجب إجراء تحقيقات شاملة في الأحداث الحرجة لتحديد الأسباب الجذرية وتطبيق الإجراءات التصحيحية (عفيفي، 2024، 871).</w:t>
      </w:r>
    </w:p>
    <w:p w14:paraId="1AB19724" w14:textId="25BE9589" w:rsidR="00B94EB0" w:rsidRPr="00220E0D" w:rsidRDefault="00A44ABC" w:rsidP="00220E0D">
      <w:pPr>
        <w:bidi/>
        <w:spacing w:before="120" w:after="120" w:line="360" w:lineRule="auto"/>
        <w:rPr>
          <w:rFonts w:ascii="Traditional Arabic" w:hAnsi="Traditional Arabic" w:cs="Traditional Arabic"/>
          <w:b/>
          <w:bCs/>
          <w:spacing w:val="-6"/>
          <w:sz w:val="28"/>
          <w:szCs w:val="28"/>
          <w:rtl/>
        </w:rPr>
      </w:pPr>
      <w:r w:rsidRPr="00220E0D">
        <w:rPr>
          <w:rFonts w:ascii="Traditional Arabic" w:hAnsi="Traditional Arabic" w:cs="Traditional Arabic" w:hint="cs"/>
          <w:b/>
          <w:bCs/>
          <w:spacing w:val="-6"/>
          <w:sz w:val="28"/>
          <w:szCs w:val="28"/>
          <w:rtl/>
        </w:rPr>
        <w:t xml:space="preserve">عاشراً : </w:t>
      </w:r>
      <w:r w:rsidR="00B94EB0" w:rsidRPr="00220E0D">
        <w:rPr>
          <w:rFonts w:ascii="Traditional Arabic" w:hAnsi="Traditional Arabic" w:cs="Traditional Arabic" w:hint="cs"/>
          <w:b/>
          <w:bCs/>
          <w:spacing w:val="-6"/>
          <w:sz w:val="28"/>
          <w:szCs w:val="28"/>
          <w:rtl/>
        </w:rPr>
        <w:t>استراتيجيات تحسين إدارة المخاطر:</w:t>
      </w:r>
    </w:p>
    <w:p w14:paraId="2A0011D4" w14:textId="77777777" w:rsidR="00B94EB0" w:rsidRPr="00220E0D" w:rsidRDefault="00B94EB0">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تحديد المخاطر</w:t>
      </w:r>
      <w:r w:rsidRPr="00220E0D">
        <w:rPr>
          <w:rFonts w:ascii="Traditional Arabic" w:hAnsi="Traditional Arabic" w:cs="Traditional Arabic" w:hint="cs"/>
          <w:b/>
          <w:bCs/>
          <w:spacing w:val="-6"/>
          <w:sz w:val="24"/>
          <w:szCs w:val="24"/>
        </w:rPr>
        <w:t>:</w:t>
      </w:r>
    </w:p>
    <w:p w14:paraId="5FB8AC02"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تقييم شامل</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 xml:space="preserve"> يجب تحديد جميع المخاطر المحتملة التي قد تواجه المستشفى، سواء كانت تتعلق بسلامة المرضى، أو العمليات التشغيلية، أو الأمن السيبراني، أو الجوانب المالية والإدارية</w:t>
      </w:r>
      <w:r w:rsidRPr="00220E0D">
        <w:rPr>
          <w:rFonts w:ascii="Traditional Arabic" w:hAnsi="Traditional Arabic" w:cs="Traditional Arabic" w:hint="cs"/>
          <w:spacing w:val="-6"/>
          <w:sz w:val="24"/>
          <w:szCs w:val="24"/>
        </w:rPr>
        <w:t xml:space="preserve"> </w:t>
      </w:r>
      <w:r w:rsidRPr="00220E0D">
        <w:rPr>
          <w:rFonts w:ascii="Traditional Arabic" w:hAnsi="Traditional Arabic" w:cs="Traditional Arabic" w:hint="cs"/>
          <w:spacing w:val="-6"/>
          <w:sz w:val="24"/>
          <w:szCs w:val="24"/>
          <w:rtl/>
        </w:rPr>
        <w:t>.</w:t>
      </w:r>
    </w:p>
    <w:p w14:paraId="4AABB932" w14:textId="346E9266"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تحديد أولويات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بعد تحديد المخاطر، يجب تقييمها وتحديد أولوياتها بناءًا على إحتمالية حدوثها وتأثيرها المتوقع</w:t>
      </w:r>
      <w:r w:rsidRPr="00220E0D">
        <w:rPr>
          <w:rFonts w:ascii="Traditional Arabic" w:hAnsi="Traditional Arabic" w:cs="Traditional Arabic" w:hint="cs"/>
          <w:spacing w:val="-6"/>
          <w:sz w:val="24"/>
          <w:szCs w:val="24"/>
        </w:rPr>
        <w:t>. </w:t>
      </w:r>
    </w:p>
    <w:p w14:paraId="38EC7F4B" w14:textId="77777777" w:rsidR="00B94EB0" w:rsidRPr="00220E0D" w:rsidRDefault="00B94EB0">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تحليل المخاطر</w:t>
      </w:r>
      <w:r w:rsidRPr="00220E0D">
        <w:rPr>
          <w:rFonts w:ascii="Traditional Arabic" w:hAnsi="Traditional Arabic" w:cs="Traditional Arabic" w:hint="cs"/>
          <w:b/>
          <w:bCs/>
          <w:spacing w:val="-6"/>
          <w:sz w:val="24"/>
          <w:szCs w:val="24"/>
        </w:rPr>
        <w:t>:</w:t>
      </w:r>
    </w:p>
    <w:p w14:paraId="63DC28B3"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البيانات</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تحليل البيانات الصحية وبيانات الحوادث والشكاوى لتحديد الأنماط والاتجاهات التي قد تشير إلى وجود مخاطر متكررة أو متزايدة</w:t>
      </w:r>
      <w:r w:rsidRPr="00220E0D">
        <w:rPr>
          <w:rFonts w:ascii="Traditional Arabic" w:hAnsi="Traditional Arabic" w:cs="Traditional Arabic" w:hint="cs"/>
          <w:spacing w:val="-6"/>
          <w:sz w:val="24"/>
          <w:szCs w:val="24"/>
        </w:rPr>
        <w:t xml:space="preserve"> </w:t>
      </w:r>
      <w:r w:rsidRPr="00220E0D">
        <w:rPr>
          <w:rFonts w:ascii="Traditional Arabic" w:hAnsi="Traditional Arabic" w:cs="Traditional Arabic" w:hint="cs"/>
          <w:spacing w:val="-6"/>
          <w:sz w:val="24"/>
          <w:szCs w:val="24"/>
          <w:rtl/>
        </w:rPr>
        <w:t>.</w:t>
      </w:r>
    </w:p>
    <w:p w14:paraId="10124DAC"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تقييم المخاطر الكمي</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تحديد المخاطر كميًا وتصنيفها بناءً على احتمالية حدوثها وتأثيرها لترتيب أولوياتها وتخصيص الموارد</w:t>
      </w:r>
      <w:r w:rsidRPr="00220E0D">
        <w:rPr>
          <w:rFonts w:ascii="Traditional Arabic" w:hAnsi="Traditional Arabic" w:cs="Traditional Arabic" w:hint="cs"/>
          <w:spacing w:val="-6"/>
          <w:sz w:val="24"/>
          <w:szCs w:val="24"/>
        </w:rPr>
        <w:t>. </w:t>
      </w:r>
    </w:p>
    <w:p w14:paraId="293A6F84" w14:textId="77777777" w:rsidR="00B94EB0" w:rsidRPr="00220E0D" w:rsidRDefault="00B94EB0">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تطوير خطط التخفيف</w:t>
      </w:r>
      <w:r w:rsidRPr="00220E0D">
        <w:rPr>
          <w:rFonts w:ascii="Traditional Arabic" w:hAnsi="Traditional Arabic" w:cs="Traditional Arabic" w:hint="cs"/>
          <w:b/>
          <w:bCs/>
          <w:spacing w:val="-6"/>
          <w:sz w:val="24"/>
          <w:szCs w:val="24"/>
        </w:rPr>
        <w:t>:</w:t>
      </w:r>
    </w:p>
    <w:p w14:paraId="41D4DEFD"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تجنب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اتخاذ تدابير استباقية للقضاء على المخاطر أو تجنبها تمامًا، مثل تعديل الإجراءات أو العمليات</w:t>
      </w:r>
      <w:r w:rsidRPr="00220E0D">
        <w:rPr>
          <w:rFonts w:ascii="Traditional Arabic" w:hAnsi="Traditional Arabic" w:cs="Traditional Arabic" w:hint="cs"/>
          <w:spacing w:val="-6"/>
          <w:sz w:val="24"/>
          <w:szCs w:val="24"/>
        </w:rPr>
        <w:t>. </w:t>
      </w:r>
    </w:p>
    <w:p w14:paraId="1E7B670E"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تقليل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تنفيذ تدابير لتقليل احتمالية أو تأثير المخاطر، مثل: تحسين بروتوكولات السلامة أو تدريب الموظفين</w:t>
      </w:r>
      <w:r w:rsidRPr="00220E0D">
        <w:rPr>
          <w:rFonts w:ascii="Traditional Arabic" w:hAnsi="Traditional Arabic" w:cs="Traditional Arabic" w:hint="cs"/>
          <w:spacing w:val="-6"/>
          <w:sz w:val="24"/>
          <w:szCs w:val="24"/>
        </w:rPr>
        <w:t>. </w:t>
      </w:r>
    </w:p>
    <w:p w14:paraId="7F2D4113"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نقل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تحويل بعض المخاطر إلى جهات خارجية، مثل التأمين أو التعاقد مع شركات متخصصة</w:t>
      </w:r>
      <w:r w:rsidRPr="00220E0D">
        <w:rPr>
          <w:rFonts w:ascii="Traditional Arabic" w:hAnsi="Traditional Arabic" w:cs="Traditional Arabic" w:hint="cs"/>
          <w:spacing w:val="-6"/>
          <w:sz w:val="24"/>
          <w:szCs w:val="24"/>
        </w:rPr>
        <w:t>. </w:t>
      </w:r>
    </w:p>
    <w:p w14:paraId="06267090"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قبول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قبول بعض المخاطر التي لا يمكن تجنبها أو تخفيفها، مع اتخاذ تدابير للتعامل معها في حال حدوثها</w:t>
      </w:r>
      <w:r w:rsidRPr="00220E0D">
        <w:rPr>
          <w:rFonts w:ascii="Traditional Arabic" w:hAnsi="Traditional Arabic" w:cs="Traditional Arabic" w:hint="cs"/>
          <w:spacing w:val="-6"/>
          <w:sz w:val="24"/>
          <w:szCs w:val="24"/>
        </w:rPr>
        <w:t>. </w:t>
      </w:r>
    </w:p>
    <w:p w14:paraId="0BB90521" w14:textId="77777777" w:rsidR="00B94EB0" w:rsidRPr="00220E0D" w:rsidRDefault="00B94EB0">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تنفيذ الخطط ومراقبتها</w:t>
      </w:r>
      <w:r w:rsidRPr="00220E0D">
        <w:rPr>
          <w:rFonts w:ascii="Traditional Arabic" w:hAnsi="Traditional Arabic" w:cs="Traditional Arabic" w:hint="cs"/>
          <w:b/>
          <w:bCs/>
          <w:spacing w:val="-6"/>
          <w:sz w:val="24"/>
          <w:szCs w:val="24"/>
        </w:rPr>
        <w:t>:</w:t>
      </w:r>
    </w:p>
    <w:p w14:paraId="54067B09"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التدريب والتوعية</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تدريب الموظفين على كيفية التعامل مع المخاطر المختلفة، وتوعيتهم بأهمية الإبلاغ عن الحوادث والمخاطر</w:t>
      </w:r>
      <w:r w:rsidRPr="00220E0D">
        <w:rPr>
          <w:rFonts w:ascii="Traditional Arabic" w:hAnsi="Traditional Arabic" w:cs="Traditional Arabic" w:hint="cs"/>
          <w:spacing w:val="-6"/>
          <w:sz w:val="24"/>
          <w:szCs w:val="24"/>
        </w:rPr>
        <w:t>. </w:t>
      </w:r>
    </w:p>
    <w:p w14:paraId="17AADD04"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التكنولوجيا</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استخدام أنظمة إدارة معلومات المستشفى</w:t>
      </w:r>
      <w:r w:rsidRPr="00220E0D">
        <w:rPr>
          <w:rFonts w:ascii="Traditional Arabic" w:hAnsi="Traditional Arabic" w:cs="Traditional Arabic" w:hint="cs"/>
          <w:spacing w:val="-6"/>
          <w:sz w:val="24"/>
          <w:szCs w:val="24"/>
        </w:rPr>
        <w:t xml:space="preserve"> (HIS) </w:t>
      </w:r>
      <w:r w:rsidRPr="00220E0D">
        <w:rPr>
          <w:rFonts w:ascii="Traditional Arabic" w:hAnsi="Traditional Arabic" w:cs="Traditional Arabic" w:hint="cs"/>
          <w:spacing w:val="-6"/>
          <w:sz w:val="24"/>
          <w:szCs w:val="24"/>
          <w:rtl/>
        </w:rPr>
        <w:t>وأنظمة الإبلاغ عن الحوادث وأنظمة المراقبة لتعزيز الكفاءة والمراقبة والتحليل .</w:t>
      </w:r>
    </w:p>
    <w:p w14:paraId="10EDA6A4"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تطوير ثقافة السلامة</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تعزيز ثقافة سلامة المرضى والموظفين، حيث يشعر الجميع بالمسؤولية عن تحديد المخاطر والإبلاغ عنها والعمل على منعها</w:t>
      </w:r>
      <w:r w:rsidRPr="00220E0D">
        <w:rPr>
          <w:rFonts w:ascii="Traditional Arabic" w:hAnsi="Traditional Arabic" w:cs="Traditional Arabic" w:hint="cs"/>
          <w:spacing w:val="-6"/>
          <w:sz w:val="24"/>
          <w:szCs w:val="24"/>
        </w:rPr>
        <w:t>. </w:t>
      </w:r>
    </w:p>
    <w:p w14:paraId="081EA04C"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lastRenderedPageBreak/>
        <w:t>مراجعة وتقييم الأداء</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المراقبة المستمرة لفعالية خطط التخفيف وتقييم أداء إدارة المخاطر بشكل دوري، وتعديل الخطط والتدابير حسب الحاجة</w:t>
      </w:r>
      <w:r w:rsidRPr="00220E0D">
        <w:rPr>
          <w:rFonts w:ascii="Traditional Arabic" w:hAnsi="Traditional Arabic" w:cs="Traditional Arabic" w:hint="cs"/>
          <w:spacing w:val="-6"/>
          <w:sz w:val="24"/>
          <w:szCs w:val="24"/>
        </w:rPr>
        <w:t>. </w:t>
      </w:r>
    </w:p>
    <w:p w14:paraId="19F8385D"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تحسين الاتصال</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تحسين التواصل بين جميع أقسام المستشفى لضمان تنسيق الجهود وتبادل المعلومات بشكل فعال</w:t>
      </w:r>
      <w:r w:rsidRPr="00220E0D">
        <w:rPr>
          <w:rFonts w:ascii="Traditional Arabic" w:hAnsi="Traditional Arabic" w:cs="Traditional Arabic" w:hint="cs"/>
          <w:spacing w:val="-6"/>
          <w:sz w:val="24"/>
          <w:szCs w:val="24"/>
        </w:rPr>
        <w:t>. </w:t>
      </w:r>
    </w:p>
    <w:p w14:paraId="6296F677" w14:textId="77777777" w:rsidR="00B94EB0" w:rsidRPr="00220E0D" w:rsidRDefault="00B94EB0">
      <w:pPr>
        <w:numPr>
          <w:ilvl w:val="0"/>
          <w:numId w:val="16"/>
        </w:numPr>
        <w:bidi/>
        <w:spacing w:before="120" w:after="120" w:line="360" w:lineRule="auto"/>
        <w:rPr>
          <w:rFonts w:ascii="Traditional Arabic" w:hAnsi="Traditional Arabic" w:cs="Traditional Arabic"/>
          <w:b/>
          <w:bCs/>
          <w:spacing w:val="-6"/>
          <w:sz w:val="24"/>
          <w:szCs w:val="24"/>
        </w:rPr>
      </w:pPr>
      <w:r w:rsidRPr="00220E0D">
        <w:rPr>
          <w:rFonts w:ascii="Traditional Arabic" w:hAnsi="Traditional Arabic" w:cs="Traditional Arabic" w:hint="cs"/>
          <w:b/>
          <w:bCs/>
          <w:spacing w:val="-6"/>
          <w:sz w:val="24"/>
          <w:szCs w:val="24"/>
          <w:rtl/>
        </w:rPr>
        <w:t>إدارة الأزمات</w:t>
      </w:r>
      <w:r w:rsidRPr="00220E0D">
        <w:rPr>
          <w:rFonts w:ascii="Traditional Arabic" w:hAnsi="Traditional Arabic" w:cs="Traditional Arabic" w:hint="cs"/>
          <w:b/>
          <w:bCs/>
          <w:spacing w:val="-6"/>
          <w:sz w:val="24"/>
          <w:szCs w:val="24"/>
        </w:rPr>
        <w:t>:</w:t>
      </w:r>
    </w:p>
    <w:p w14:paraId="547A134A"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التخطيط المسبق</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وضع خطط طوارئ مفصلة للتعامل مع الأحداث غير المتوقعة والكوارث</w:t>
      </w:r>
      <w:r w:rsidRPr="00220E0D">
        <w:rPr>
          <w:rFonts w:ascii="Traditional Arabic" w:hAnsi="Traditional Arabic" w:cs="Traditional Arabic" w:hint="cs"/>
          <w:spacing w:val="-6"/>
          <w:sz w:val="24"/>
          <w:szCs w:val="24"/>
        </w:rPr>
        <w:t>. </w:t>
      </w:r>
    </w:p>
    <w:p w14:paraId="6A42D279"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التدريب المستمر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تدريب الموظفين على كيفية الاستجابة للأزمات والكوارث بشكل فعال</w:t>
      </w:r>
      <w:r w:rsidRPr="00220E0D">
        <w:rPr>
          <w:rFonts w:ascii="Traditional Arabic" w:hAnsi="Traditional Arabic" w:cs="Traditional Arabic" w:hint="cs"/>
          <w:spacing w:val="-6"/>
          <w:sz w:val="24"/>
          <w:szCs w:val="24"/>
        </w:rPr>
        <w:t>. </w:t>
      </w:r>
    </w:p>
    <w:p w14:paraId="20916EEF" w14:textId="77777777" w:rsidR="00B94EB0" w:rsidRPr="00220E0D" w:rsidRDefault="00B94EB0">
      <w:pPr>
        <w:numPr>
          <w:ilvl w:val="0"/>
          <w:numId w:val="13"/>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التكنولوجيا</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استخدام التكنولوجيا لتسهيل التواصل وإدارة الموارد أثناء الأزمات</w:t>
      </w:r>
      <w:r w:rsidRPr="00220E0D">
        <w:rPr>
          <w:rFonts w:ascii="Traditional Arabic" w:hAnsi="Traditional Arabic" w:cs="Traditional Arabic" w:hint="cs"/>
          <w:spacing w:val="-6"/>
          <w:sz w:val="24"/>
          <w:szCs w:val="24"/>
        </w:rPr>
        <w:t>. </w:t>
      </w:r>
    </w:p>
    <w:p w14:paraId="7EC6EB3E" w14:textId="31EF5F04" w:rsidR="00B94EB0" w:rsidRPr="00220E0D" w:rsidRDefault="00B94EB0" w:rsidP="00220E0D">
      <w:pPr>
        <w:bidi/>
        <w:spacing w:before="120" w:after="120" w:line="360" w:lineRule="auto"/>
        <w:jc w:val="both"/>
        <w:rPr>
          <w:rFonts w:ascii="Traditional Arabic" w:hAnsi="Traditional Arabic" w:cs="Traditional Arabic"/>
          <w:spacing w:val="-6"/>
          <w:sz w:val="24"/>
          <w:szCs w:val="24"/>
          <w:rtl/>
          <w:lang w:bidi="ar-EG"/>
        </w:rPr>
      </w:pPr>
      <w:r w:rsidRPr="00220E0D">
        <w:rPr>
          <w:rFonts w:ascii="Traditional Arabic" w:hAnsi="Traditional Arabic" w:cs="Traditional Arabic" w:hint="cs"/>
          <w:spacing w:val="-6"/>
          <w:sz w:val="24"/>
          <w:szCs w:val="24"/>
          <w:rtl/>
        </w:rPr>
        <w:t>من خلال تطبيق هذه الاستراتيجيات، يمكن للمستشفيات تحسين إدارة المخاطر، وتقليل الحوادث السلبية، وتحسين جودة الرعاية الصحية، وتعزيز سلامة المرضى والموظفين</w:t>
      </w:r>
      <w:r w:rsidR="00730055" w:rsidRPr="00220E0D">
        <w:rPr>
          <w:rFonts w:ascii="Traditional Arabic" w:hAnsi="Traditional Arabic" w:cs="Traditional Arabic" w:hint="cs"/>
          <w:spacing w:val="-6"/>
          <w:sz w:val="24"/>
          <w:szCs w:val="24"/>
          <w:rtl/>
        </w:rPr>
        <w:t>(</w:t>
      </w:r>
      <w:r w:rsidRPr="00220E0D">
        <w:rPr>
          <w:rFonts w:ascii="Traditional Arabic" w:hAnsi="Traditional Arabic" w:cs="Traditional Arabic" w:hint="cs"/>
          <w:spacing w:val="-6"/>
          <w:sz w:val="24"/>
          <w:szCs w:val="24"/>
          <w:rtl/>
          <w:lang w:bidi="ar-EG"/>
        </w:rPr>
        <w:t xml:space="preserve"> </w:t>
      </w:r>
      <w:r w:rsidRPr="00220E0D">
        <w:rPr>
          <w:rFonts w:ascii="Traditional Arabic" w:hAnsi="Traditional Arabic" w:cs="Traditional Arabic" w:hint="cs"/>
          <w:spacing w:val="-6"/>
          <w:sz w:val="24"/>
          <w:szCs w:val="24"/>
          <w:lang w:bidi="ar-EG"/>
        </w:rPr>
        <w:t>Ali Alam,2016,5</w:t>
      </w:r>
      <w:r w:rsidRPr="00220E0D">
        <w:rPr>
          <w:rFonts w:ascii="Traditional Arabic" w:hAnsi="Traditional Arabic" w:cs="Traditional Arabic" w:hint="cs"/>
          <w:spacing w:val="-6"/>
          <w:sz w:val="24"/>
          <w:szCs w:val="24"/>
          <w:rtl/>
          <w:lang w:bidi="ar-EG"/>
        </w:rPr>
        <w:t>).</w:t>
      </w:r>
    </w:p>
    <w:p w14:paraId="6F201506" w14:textId="77777777" w:rsidR="007E5AC3" w:rsidRPr="00CF7747" w:rsidRDefault="007E5AC3" w:rsidP="007E5AC3">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CF7747">
        <w:rPr>
          <w:rFonts w:ascii="Traditional Arabic" w:eastAsia="Calibri" w:hAnsi="Traditional Arabic" w:cs="Traditional Arabic" w:hint="cs"/>
          <w:b/>
          <w:bCs/>
          <w:color w:val="000000" w:themeColor="text1"/>
          <w:sz w:val="24"/>
          <w:szCs w:val="24"/>
          <w:rtl/>
          <w:lang w:bidi="ar-EG"/>
        </w:rPr>
        <w:t>أبعاد إدارة المخاطر:</w:t>
      </w:r>
    </w:p>
    <w:p w14:paraId="3CD3886E" w14:textId="2E5E4A24" w:rsidR="007E5AC3" w:rsidRPr="00CF7747" w:rsidRDefault="007E5AC3">
      <w:pPr>
        <w:numPr>
          <w:ilvl w:val="0"/>
          <w:numId w:val="33"/>
        </w:numPr>
        <w:bidi/>
        <w:spacing w:line="278" w:lineRule="auto"/>
        <w:jc w:val="both"/>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تحديد المخاطر</w:t>
      </w:r>
      <w:r w:rsidRPr="00CF7747">
        <w:rPr>
          <w:rFonts w:ascii="Traditional Arabic" w:hAnsi="Traditional Arabic" w:cs="Traditional Arabic" w:hint="cs"/>
          <w:b/>
          <w:bCs/>
          <w:sz w:val="24"/>
          <w:szCs w:val="24"/>
          <w:lang w:bidi="ar-EG"/>
        </w:rPr>
        <w:t xml:space="preserve"> Risk Identification):</w:t>
      </w:r>
      <w:r w:rsidR="00730055" w:rsidRPr="00CF7747">
        <w:rPr>
          <w:rFonts w:ascii="Traditional Arabic" w:hAnsi="Traditional Arabic" w:cs="Traditional Arabic" w:hint="cs"/>
          <w:b/>
          <w:bCs/>
          <w:sz w:val="24"/>
          <w:szCs w:val="24"/>
          <w:rtl/>
          <w:lang w:bidi="ar-EG"/>
        </w:rPr>
        <w:t>)</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يُقصد به عملية التعرف المنهجي على مصادر الخطر المحتملة داخل المؤسسة</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الصحية، سواء كانت سريرية أو تشغيلية أو تنظيمية، بهدف رصدها قبل أن تؤثر على سلامة المرضى أو جودة الخدمة (الشمري، 2023</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45)</w:t>
      </w:r>
      <w:r w:rsidRPr="00CF7747">
        <w:rPr>
          <w:rFonts w:ascii="Traditional Arabic" w:hAnsi="Traditional Arabic" w:cs="Traditional Arabic" w:hint="cs"/>
          <w:sz w:val="24"/>
          <w:szCs w:val="24"/>
          <w:lang w:bidi="ar-EG"/>
        </w:rPr>
        <w:t>.</w:t>
      </w:r>
    </w:p>
    <w:p w14:paraId="36D7DD29" w14:textId="7918B72D" w:rsidR="007E5AC3" w:rsidRPr="00CF7747" w:rsidRDefault="007E5AC3">
      <w:pPr>
        <w:numPr>
          <w:ilvl w:val="0"/>
          <w:numId w:val="33"/>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تحليل المخاطر</w:t>
      </w:r>
      <w:r w:rsidRPr="00CF7747">
        <w:rPr>
          <w:rFonts w:ascii="Traditional Arabic" w:hAnsi="Traditional Arabic" w:cs="Traditional Arabic" w:hint="cs"/>
          <w:b/>
          <w:bCs/>
          <w:sz w:val="24"/>
          <w:szCs w:val="24"/>
          <w:lang w:bidi="ar-EG"/>
        </w:rPr>
        <w:t xml:space="preserve"> (Risk Analysis):</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يتضمن دراسة احتمالية حدوث كل خطر وتأثيره المحتمل، باستخدام أدوات كمية أو نوعية لتقدير درجة الخطورة، مما يساعد في ترتيب الأولويات وتوجيه الموارد (عبدالحميد، 2024</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61)</w:t>
      </w:r>
      <w:r w:rsidRPr="00CF7747">
        <w:rPr>
          <w:rFonts w:ascii="Traditional Arabic" w:hAnsi="Traditional Arabic" w:cs="Traditional Arabic" w:hint="cs"/>
          <w:sz w:val="24"/>
          <w:szCs w:val="24"/>
          <w:lang w:bidi="ar-EG"/>
        </w:rPr>
        <w:t>.</w:t>
      </w:r>
    </w:p>
    <w:p w14:paraId="11D65B14" w14:textId="2F6F6E08" w:rsidR="007E5AC3" w:rsidRPr="00CF7747" w:rsidRDefault="007E5AC3">
      <w:pPr>
        <w:numPr>
          <w:ilvl w:val="0"/>
          <w:numId w:val="33"/>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تقييم المخاطر</w:t>
      </w:r>
      <w:r w:rsidRPr="00CF7747">
        <w:rPr>
          <w:rFonts w:ascii="Traditional Arabic" w:hAnsi="Traditional Arabic" w:cs="Traditional Arabic" w:hint="cs"/>
          <w:b/>
          <w:bCs/>
          <w:sz w:val="24"/>
          <w:szCs w:val="24"/>
          <w:lang w:bidi="ar-EG"/>
        </w:rPr>
        <w:t xml:space="preserve"> (Risk Evaluation):</w:t>
      </w:r>
      <w:r w:rsidR="0026403B"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يُعنى بتقدير مدى قبول أو رفض كل خطر بناءً على نتائجه المتوقعة، ويُستخدم لتحديد ما إذا كانت المخاطر تتطلب تدخلًا فوريًا أو يمكن تحملها ضمن حدود معينة (مدوّن حر، 2024</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1)</w:t>
      </w:r>
      <w:r w:rsidRPr="00CF7747">
        <w:rPr>
          <w:rFonts w:ascii="Traditional Arabic" w:hAnsi="Traditional Arabic" w:cs="Traditional Arabic" w:hint="cs"/>
          <w:sz w:val="24"/>
          <w:szCs w:val="24"/>
          <w:lang w:bidi="ar-EG"/>
        </w:rPr>
        <w:t>.</w:t>
      </w:r>
    </w:p>
    <w:p w14:paraId="6BEDA5E2" w14:textId="5B328E82" w:rsidR="007E5AC3" w:rsidRPr="00CF7747" w:rsidRDefault="007E5AC3">
      <w:pPr>
        <w:numPr>
          <w:ilvl w:val="0"/>
          <w:numId w:val="33"/>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الاستجابة للمخاطر</w:t>
      </w:r>
      <w:r w:rsidRPr="00CF7747">
        <w:rPr>
          <w:rFonts w:ascii="Traditional Arabic" w:hAnsi="Traditional Arabic" w:cs="Traditional Arabic" w:hint="cs"/>
          <w:b/>
          <w:bCs/>
          <w:sz w:val="24"/>
          <w:szCs w:val="24"/>
          <w:lang w:bidi="ar-EG"/>
        </w:rPr>
        <w:t xml:space="preserve"> (Risk Response):</w:t>
      </w:r>
      <w:r w:rsidR="0026403B"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88)</w:t>
      </w:r>
      <w:r w:rsidRPr="00CF7747">
        <w:rPr>
          <w:rFonts w:ascii="Traditional Arabic" w:hAnsi="Traditional Arabic" w:cs="Traditional Arabic" w:hint="cs"/>
          <w:sz w:val="24"/>
          <w:szCs w:val="24"/>
          <w:lang w:bidi="ar-EG"/>
        </w:rPr>
        <w:t>.</w:t>
      </w:r>
    </w:p>
    <w:p w14:paraId="15BD00C2" w14:textId="77777777" w:rsidR="00CF7747" w:rsidRDefault="00CF7747" w:rsidP="004D34CC">
      <w:pPr>
        <w:bidi/>
        <w:spacing w:line="278" w:lineRule="auto"/>
        <w:ind w:left="720"/>
        <w:jc w:val="center"/>
        <w:rPr>
          <w:rFonts w:ascii="Simplified Arabic" w:hAnsi="Simplified Arabic" w:cs="Simplified Arabic"/>
          <w:b/>
          <w:bCs/>
          <w:sz w:val="24"/>
          <w:szCs w:val="24"/>
          <w:rtl/>
        </w:rPr>
      </w:pPr>
    </w:p>
    <w:p w14:paraId="4A1D2F7D"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74A08187"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365ACCFB"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6246D21F"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4FE299DC" w14:textId="524CED86" w:rsidR="00F71AB1" w:rsidRPr="00CF7747" w:rsidRDefault="00F71AB1" w:rsidP="00CF7747">
      <w:pPr>
        <w:bidi/>
        <w:spacing w:line="278" w:lineRule="auto"/>
        <w:ind w:left="720"/>
        <w:jc w:val="center"/>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lastRenderedPageBreak/>
        <w:t>شكل (</w:t>
      </w:r>
      <w:r w:rsidR="004959E0">
        <w:rPr>
          <w:rFonts w:ascii="Traditional Arabic" w:hAnsi="Traditional Arabic" w:cs="Traditional Arabic" w:hint="cs"/>
          <w:b/>
          <w:bCs/>
          <w:sz w:val="24"/>
          <w:szCs w:val="24"/>
          <w:rtl/>
        </w:rPr>
        <w:t>2</w:t>
      </w:r>
      <w:r w:rsidRPr="00CF7747">
        <w:rPr>
          <w:rFonts w:ascii="Traditional Arabic" w:hAnsi="Traditional Arabic" w:cs="Traditional Arabic" w:hint="cs"/>
          <w:b/>
          <w:bCs/>
          <w:sz w:val="24"/>
          <w:szCs w:val="24"/>
          <w:rtl/>
        </w:rPr>
        <w:t>) يوضح أبعاد إدارة المخاطر</w:t>
      </w:r>
    </w:p>
    <w:p w14:paraId="0AD6D7C3" w14:textId="35759EB5" w:rsidR="007E5AC3" w:rsidRPr="00CF7747" w:rsidRDefault="00963659" w:rsidP="007E5AC3">
      <w:pPr>
        <w:bidi/>
        <w:spacing w:before="120" w:after="120" w:line="240" w:lineRule="auto"/>
        <w:rPr>
          <w:rFonts w:ascii="Traditional Arabic" w:hAnsi="Traditional Arabic" w:cs="Traditional Arabic"/>
          <w:spacing w:val="-6"/>
          <w:sz w:val="24"/>
          <w:szCs w:val="24"/>
          <w:rtl/>
          <w:lang w:bidi="ar-EG"/>
        </w:rPr>
      </w:pPr>
      <w:r w:rsidRPr="00CF7747">
        <w:rPr>
          <w:rFonts w:ascii="Traditional Arabic" w:hAnsi="Traditional Arabic" w:cs="Traditional Arabic" w:hint="cs"/>
          <w:noProof/>
          <w:spacing w:val="-6"/>
          <w:sz w:val="24"/>
          <w:szCs w:val="24"/>
          <w:rtl/>
          <w:lang w:val="ar-EG" w:bidi="ar-EG"/>
        </w:rPr>
        <w:drawing>
          <wp:inline distT="0" distB="0" distL="0" distR="0" wp14:anchorId="7C56643C" wp14:editId="1F671A40">
            <wp:extent cx="5274310" cy="3076575"/>
            <wp:effectExtent l="0" t="0" r="0" b="0"/>
            <wp:docPr id="1522241201"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428AA09" w14:textId="2583037C" w:rsidR="00202713" w:rsidRPr="00CF7747" w:rsidRDefault="00202713" w:rsidP="0026403B">
      <w:pPr>
        <w:bidi/>
        <w:spacing w:before="120" w:after="120" w:line="240" w:lineRule="auto"/>
        <w:jc w:val="center"/>
        <w:rPr>
          <w:rFonts w:ascii="Traditional Arabic" w:hAnsi="Traditional Arabic" w:cs="Traditional Arabic"/>
          <w:b/>
          <w:bCs/>
          <w:spacing w:val="-6"/>
          <w:sz w:val="24"/>
          <w:szCs w:val="24"/>
          <w:rtl/>
        </w:rPr>
      </w:pPr>
      <w:r w:rsidRPr="00CF7747">
        <w:rPr>
          <w:rFonts w:ascii="Traditional Arabic" w:hAnsi="Traditional Arabic" w:cs="Traditional Arabic" w:hint="cs"/>
          <w:b/>
          <w:bCs/>
          <w:spacing w:val="-6"/>
          <w:sz w:val="24"/>
          <w:szCs w:val="24"/>
          <w:rtl/>
        </w:rPr>
        <w:t>إعداد/ الباحثة</w:t>
      </w:r>
      <w:r w:rsidR="0026403B" w:rsidRPr="00CF7747">
        <w:rPr>
          <w:rFonts w:ascii="Traditional Arabic" w:hAnsi="Traditional Arabic" w:cs="Traditional Arabic" w:hint="cs"/>
          <w:b/>
          <w:bCs/>
          <w:spacing w:val="-6"/>
          <w:sz w:val="24"/>
          <w:szCs w:val="24"/>
          <w:rtl/>
        </w:rPr>
        <w:t>، مستندة إلى ما ورد في الأكاديمية البريطانية للتدريب والتطوير</w:t>
      </w:r>
    </w:p>
    <w:p w14:paraId="19D130A9" w14:textId="37975871" w:rsidR="00B94EB0" w:rsidRPr="00004955" w:rsidRDefault="00B94EB0" w:rsidP="00202713">
      <w:pPr>
        <w:bidi/>
        <w:spacing w:before="120" w:after="120" w:line="240" w:lineRule="auto"/>
        <w:rPr>
          <w:rFonts w:ascii="Traditional Arabic" w:hAnsi="Traditional Arabic" w:cs="Traditional Arabic"/>
          <w:b/>
          <w:bCs/>
          <w:spacing w:val="-6"/>
          <w:sz w:val="28"/>
          <w:szCs w:val="28"/>
          <w:rtl/>
        </w:rPr>
      </w:pPr>
      <w:r w:rsidRPr="00004955">
        <w:rPr>
          <w:rFonts w:ascii="Traditional Arabic" w:hAnsi="Traditional Arabic" w:cs="Traditional Arabic" w:hint="cs"/>
          <w:b/>
          <w:bCs/>
          <w:spacing w:val="-6"/>
          <w:sz w:val="28"/>
          <w:szCs w:val="28"/>
          <w:rtl/>
        </w:rPr>
        <w:t>الدراسات السابقة حول إدارة المخاطر في الرعاية الصحية:</w:t>
      </w:r>
    </w:p>
    <w:p w14:paraId="18564D30" w14:textId="52A2BB8F" w:rsidR="007F394A" w:rsidRPr="00004955" w:rsidRDefault="007F394A" w:rsidP="00004955">
      <w:pPr>
        <w:bidi/>
        <w:spacing w:before="120" w:after="120" w:line="360" w:lineRule="auto"/>
        <w:ind w:firstLine="720"/>
        <w:jc w:val="both"/>
        <w:rPr>
          <w:rFonts w:ascii="Traditional Arabic" w:hAnsi="Traditional Arabic" w:cs="Traditional Arabic"/>
          <w:b/>
          <w:bCs/>
          <w:spacing w:val="-6"/>
          <w:sz w:val="24"/>
          <w:szCs w:val="24"/>
        </w:rPr>
      </w:pPr>
      <w:bookmarkStart w:id="6" w:name="_Hlk205704372"/>
      <w:r w:rsidRPr="00004955">
        <w:rPr>
          <w:rFonts w:ascii="Traditional Arabic" w:hAnsi="Traditional Arabic" w:cs="Traditional Arabic" w:hint="cs"/>
          <w:b/>
          <w:bCs/>
          <w:spacing w:val="-6"/>
          <w:sz w:val="24"/>
          <w:szCs w:val="24"/>
          <w:rtl/>
        </w:rPr>
        <w:t>نجد دراسة</w:t>
      </w:r>
      <w:r w:rsidRPr="00004955">
        <w:rPr>
          <w:rFonts w:ascii="Traditional Arabic" w:hAnsi="Traditional Arabic" w:cs="Traditional Arabic" w:hint="cs"/>
          <w:b/>
          <w:bCs/>
          <w:spacing w:val="-6"/>
          <w:sz w:val="24"/>
          <w:szCs w:val="24"/>
        </w:rPr>
        <w:t xml:space="preserve"> Smith et al. (2017): The Impact of Risk Management on </w:t>
      </w:r>
      <w:r w:rsidR="00FF4BF0" w:rsidRPr="00004955">
        <w:rPr>
          <w:rFonts w:ascii="Traditional Arabic" w:hAnsi="Traditional Arabic" w:cs="Traditional Arabic" w:hint="cs"/>
          <w:b/>
          <w:bCs/>
          <w:spacing w:val="-6"/>
          <w:sz w:val="24"/>
          <w:szCs w:val="24"/>
          <w:rtl/>
        </w:rPr>
        <w:t xml:space="preserve"> </w:t>
      </w:r>
      <w:r w:rsidRPr="00004955">
        <w:rPr>
          <w:rFonts w:ascii="Traditional Arabic" w:hAnsi="Traditional Arabic" w:cs="Traditional Arabic" w:hint="cs"/>
          <w:b/>
          <w:bCs/>
          <w:spacing w:val="-6"/>
          <w:sz w:val="24"/>
          <w:szCs w:val="24"/>
        </w:rPr>
        <w:t>Patient Safety in Hospitals</w:t>
      </w:r>
      <w:r w:rsidR="00FF4BF0" w:rsidRPr="00004955">
        <w:rPr>
          <w:rFonts w:ascii="Traditional Arabic" w:hAnsi="Traditional Arabic" w:cs="Traditional Arabic" w:hint="cs"/>
          <w:b/>
          <w:bCs/>
          <w:spacing w:val="-6"/>
          <w:sz w:val="24"/>
          <w:szCs w:val="24"/>
        </w:rPr>
        <w:t xml:space="preserve">  </w:t>
      </w:r>
      <w:r w:rsidR="00FF4BF0" w:rsidRPr="00004955">
        <w:rPr>
          <w:rFonts w:ascii="Traditional Arabic" w:hAnsi="Traditional Arabic" w:cs="Traditional Arabic" w:hint="cs"/>
          <w:b/>
          <w:bCs/>
          <w:spacing w:val="-6"/>
          <w:sz w:val="24"/>
          <w:szCs w:val="24"/>
          <w:rtl/>
          <w:lang w:bidi="ar-EG"/>
        </w:rPr>
        <w:t xml:space="preserve"> </w:t>
      </w:r>
      <w:r w:rsidRPr="00004955">
        <w:rPr>
          <w:rFonts w:ascii="Traditional Arabic" w:hAnsi="Traditional Arabic" w:cs="Traditional Arabic" w:hint="cs"/>
          <w:spacing w:val="-6"/>
          <w:sz w:val="24"/>
          <w:szCs w:val="24"/>
          <w:rtl/>
        </w:rPr>
        <w:t>حيث هدفت إلى تحليل العلاقة بين استخدام أدوات تحليل البيانات الطبية وتدريب الكوادر الصحية، وبين فعالية الإجراءات الوقائية في تقليل الحوادث الطبية. ركزت الدراسة على أهمية تبني نهج استباقي في إدارة المخاطر، بما يضمن تعزيز سلامة المرضى وتحسين جودة الخدمات العلاجية</w:t>
      </w:r>
      <w:r w:rsidRPr="00004955">
        <w:rPr>
          <w:rFonts w:ascii="Traditional Arabic" w:hAnsi="Traditional Arabic" w:cs="Traditional Arabic" w:hint="cs"/>
          <w:spacing w:val="-6"/>
          <w:sz w:val="24"/>
          <w:szCs w:val="24"/>
        </w:rPr>
        <w:t>.</w:t>
      </w:r>
      <w:r w:rsidRPr="00004955">
        <w:rPr>
          <w:rFonts w:ascii="Traditional Arabic" w:hAnsi="Traditional Arabic" w:cs="Traditional Arabic" w:hint="cs"/>
          <w:spacing w:val="-6"/>
          <w:sz w:val="24"/>
          <w:szCs w:val="24"/>
          <w:rtl/>
        </w:rPr>
        <w:t xml:space="preserve"> اعتمد الباحثون على المنهج الكمي التحليلي، واستخدموا الاستبيان وتحليل السجلات الطبية كأدوات لجمع البيانات</w:t>
      </w:r>
      <w:r w:rsidR="0026403B" w:rsidRPr="00004955">
        <w:rPr>
          <w:rFonts w:ascii="Traditional Arabic" w:hAnsi="Traditional Arabic" w:cs="Traditional Arabic" w:hint="cs"/>
          <w:spacing w:val="-6"/>
          <w:sz w:val="24"/>
          <w:szCs w:val="24"/>
          <w:rtl/>
        </w:rPr>
        <w:t>،</w:t>
      </w:r>
      <w:r w:rsidRPr="00004955">
        <w:rPr>
          <w:rFonts w:ascii="Traditional Arabic" w:hAnsi="Traditional Arabic" w:cs="Traditional Arabic" w:hint="cs"/>
          <w:spacing w:val="-6"/>
          <w:sz w:val="24"/>
          <w:szCs w:val="24"/>
          <w:rtl/>
        </w:rPr>
        <w:t xml:space="preserve"> وقد تم تطبيق الدراسة على عينة مكونة من 150 موظفًا من الأطباء والممرضين ومديري الجودة في مستشفيات تعليمية في الولايات المتحدة، تم اختيارهم بطريقة قصدية لضمان تمثيل الفئات المعنية مباشرة بتطبيق نظم إدارة المخاطر</w:t>
      </w:r>
      <w:r w:rsidRPr="00004955">
        <w:rPr>
          <w:rFonts w:ascii="Traditional Arabic" w:hAnsi="Traditional Arabic" w:cs="Traditional Arabic" w:hint="cs"/>
          <w:spacing w:val="-6"/>
          <w:sz w:val="24"/>
          <w:szCs w:val="24"/>
        </w:rPr>
        <w:t>.</w:t>
      </w:r>
      <w:r w:rsidRPr="00004955">
        <w:rPr>
          <w:rFonts w:ascii="Traditional Arabic" w:hAnsi="Traditional Arabic" w:cs="Traditional Arabic" w:hint="cs"/>
          <w:spacing w:val="-6"/>
          <w:sz w:val="24"/>
          <w:szCs w:val="24"/>
          <w:rtl/>
        </w:rPr>
        <w:t xml:space="preserve"> أظهرت نتائج الدراسة أن تطبيق إدارة المخاطر ساهم في تحسين سلامة المرضى من خلال تقليل الحوادث الطبية، وتحسين نتائج العلاج، وتقليل الأخطاء المرتبطة بالتشخيص والعلاج واستخدام الأدوية</w:t>
      </w:r>
      <w:r w:rsidR="0026403B" w:rsidRPr="00004955">
        <w:rPr>
          <w:rFonts w:ascii="Traditional Arabic" w:hAnsi="Traditional Arabic" w:cs="Traditional Arabic" w:hint="cs"/>
          <w:spacing w:val="-6"/>
          <w:sz w:val="24"/>
          <w:szCs w:val="24"/>
          <w:rtl/>
        </w:rPr>
        <w:t>،</w:t>
      </w:r>
      <w:r w:rsidRPr="00004955">
        <w:rPr>
          <w:rFonts w:ascii="Traditional Arabic" w:hAnsi="Traditional Arabic" w:cs="Traditional Arabic" w:hint="cs"/>
          <w:spacing w:val="-6"/>
          <w:sz w:val="24"/>
          <w:szCs w:val="24"/>
          <w:rtl/>
        </w:rPr>
        <w:t xml:space="preserve"> كما ساهمت هذه النظم في تحسين الكفاءة التشغيلية عبر تقليل الفاقد الناتج عن الأخطاء الطبية، مما عزز قدرة المستشفيات على تقديم رعاية صحية آمنة وفعالة. أوصت الدراسة بضرورة الاستثمار في تدريب الكوادر الصحية بشكل مستمر، وتفعيل نظم تحليل البيانات الطبية لتحديد المخاطر واتخاذ الإجراءات الوقائية المناسبة</w:t>
      </w:r>
      <w:r w:rsidRPr="00004955">
        <w:rPr>
          <w:rFonts w:ascii="Traditional Arabic" w:hAnsi="Traditional Arabic" w:cs="Traditional Arabic" w:hint="cs"/>
          <w:spacing w:val="-6"/>
          <w:sz w:val="24"/>
          <w:szCs w:val="24"/>
        </w:rPr>
        <w:t>.</w:t>
      </w:r>
    </w:p>
    <w:p w14:paraId="008615EC" w14:textId="58CE494E" w:rsidR="0024537B" w:rsidRPr="00F321AF" w:rsidRDefault="00544C03" w:rsidP="00F321AF">
      <w:pPr>
        <w:bidi/>
        <w:spacing w:before="120" w:after="120" w:line="360" w:lineRule="auto"/>
        <w:ind w:firstLine="720"/>
        <w:jc w:val="both"/>
        <w:rPr>
          <w:rFonts w:ascii="Traditional Arabic" w:hAnsi="Traditional Arabic" w:cs="Traditional Arabic"/>
          <w:spacing w:val="-6"/>
          <w:sz w:val="24"/>
          <w:szCs w:val="24"/>
          <w:rtl/>
        </w:rPr>
      </w:pPr>
      <w:r w:rsidRPr="00F321AF">
        <w:rPr>
          <w:rFonts w:ascii="Traditional Arabic" w:hAnsi="Traditional Arabic" w:cs="Traditional Arabic" w:hint="cs"/>
          <w:b/>
          <w:bCs/>
          <w:spacing w:val="-6"/>
          <w:sz w:val="24"/>
          <w:szCs w:val="24"/>
          <w:rtl/>
        </w:rPr>
        <w:t>وتشير دراسة</w:t>
      </w:r>
      <w:r w:rsidRPr="00F321AF">
        <w:rPr>
          <w:rFonts w:ascii="Traditional Arabic" w:hAnsi="Traditional Arabic" w:cs="Traditional Arabic" w:hint="cs"/>
          <w:b/>
          <w:bCs/>
          <w:spacing w:val="-6"/>
          <w:sz w:val="24"/>
          <w:szCs w:val="24"/>
        </w:rPr>
        <w:t xml:space="preserve"> Jones and Brown (2018): The Role of Risk Management in Enhancing Healthcare Quality</w:t>
      </w:r>
      <w:r w:rsidR="00FF4BF0" w:rsidRPr="00F321AF">
        <w:rPr>
          <w:rFonts w:ascii="Traditional Arabic" w:hAnsi="Traditional Arabic" w:cs="Traditional Arabic" w:hint="cs"/>
          <w:b/>
          <w:bCs/>
          <w:spacing w:val="-6"/>
          <w:sz w:val="24"/>
          <w:szCs w:val="24"/>
          <w:rtl/>
        </w:rPr>
        <w:t xml:space="preserve"> </w:t>
      </w:r>
      <w:r w:rsidRPr="00F321AF">
        <w:rPr>
          <w:rFonts w:ascii="Traditional Arabic" w:hAnsi="Traditional Arabic" w:cs="Traditional Arabic" w:hint="cs"/>
          <w:spacing w:val="-6"/>
          <w:sz w:val="24"/>
          <w:szCs w:val="24"/>
          <w:rtl/>
        </w:rPr>
        <w:t>إلى أن إدارة المخاطر تلعب دورًا محوريًا في تحسين جودة الرعاية الصحية، من خلال تقليل التكاليف المرتبطة بالأخطاء الطبية، وتحسين الكفاءة التشغيلية للمستشفيات</w:t>
      </w:r>
      <w:r w:rsidR="00FF4BF0"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w:t>
      </w:r>
      <w:r w:rsidR="00FF4BF0" w:rsidRPr="00F321AF">
        <w:rPr>
          <w:rFonts w:ascii="Traditional Arabic" w:hAnsi="Traditional Arabic" w:cs="Traditional Arabic" w:hint="cs"/>
          <w:spacing w:val="-6"/>
          <w:sz w:val="24"/>
          <w:szCs w:val="24"/>
          <w:rtl/>
        </w:rPr>
        <w:t>و</w:t>
      </w:r>
      <w:r w:rsidRPr="00F321AF">
        <w:rPr>
          <w:rFonts w:ascii="Traditional Arabic" w:hAnsi="Traditional Arabic" w:cs="Traditional Arabic" w:hint="cs"/>
          <w:spacing w:val="-6"/>
          <w:sz w:val="24"/>
          <w:szCs w:val="24"/>
          <w:rtl/>
        </w:rPr>
        <w:t>هدفت إلى تحليل العلاقة بين تطبيق استراتيجيات إدارة المخاطر وبين جودة الخدمات الصحية، مع التركيز على أثر هذه الاستراتيجيات في تحسين نتائج العلاج وتقليل الفاقد في العمليات التشغيلية</w:t>
      </w:r>
      <w:r w:rsidRPr="00F321AF">
        <w:rPr>
          <w:rFonts w:ascii="Traditional Arabic" w:hAnsi="Traditional Arabic" w:cs="Traditional Arabic" w:hint="cs"/>
          <w:spacing w:val="-6"/>
          <w:sz w:val="24"/>
          <w:szCs w:val="24"/>
        </w:rPr>
        <w:t>.</w:t>
      </w:r>
      <w:r w:rsidRPr="00F321AF">
        <w:rPr>
          <w:rFonts w:ascii="Traditional Arabic" w:hAnsi="Traditional Arabic" w:cs="Traditional Arabic" w:hint="cs"/>
          <w:spacing w:val="-6"/>
          <w:sz w:val="24"/>
          <w:szCs w:val="24"/>
          <w:rtl/>
        </w:rPr>
        <w:t xml:space="preserve"> اعتمد الباحثان على المنهج الكمي </w:t>
      </w:r>
      <w:r w:rsidRPr="00F321AF">
        <w:rPr>
          <w:rFonts w:ascii="Traditional Arabic" w:hAnsi="Traditional Arabic" w:cs="Traditional Arabic" w:hint="cs"/>
          <w:spacing w:val="-6"/>
          <w:sz w:val="24"/>
          <w:szCs w:val="24"/>
          <w:rtl/>
        </w:rPr>
        <w:lastRenderedPageBreak/>
        <w:t>التحليلي، واستخدما الاستبيان وتحليل بيانات الأداء الطبي كأدوات لجمع البيانات</w:t>
      </w:r>
      <w:r w:rsidR="0026403B"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وقد تم تطبيق الدراسة على عينة مكونة من 12 مستشفى تعليمي في الولايات المتحدة، شملت مديري الجودة، ومشرفي الأقسام الطبية، وعددًا من العاملين في الإدارة التشغيلية</w:t>
      </w:r>
      <w:r w:rsidRPr="00F321AF">
        <w:rPr>
          <w:rFonts w:ascii="Traditional Arabic" w:hAnsi="Traditional Arabic" w:cs="Traditional Arabic" w:hint="cs"/>
          <w:spacing w:val="-6"/>
          <w:sz w:val="24"/>
          <w:szCs w:val="24"/>
        </w:rPr>
        <w:t>.</w:t>
      </w:r>
      <w:r w:rsidR="00357772" w:rsidRPr="00F321AF">
        <w:rPr>
          <w:rFonts w:ascii="Traditional Arabic" w:hAnsi="Traditional Arabic" w:cs="Traditional Arabic" w:hint="cs"/>
          <w:spacing w:val="-6"/>
          <w:sz w:val="24"/>
          <w:szCs w:val="24"/>
          <w:rtl/>
        </w:rPr>
        <w:t xml:space="preserve"> </w:t>
      </w:r>
      <w:r w:rsidRPr="00F321AF">
        <w:rPr>
          <w:rFonts w:ascii="Traditional Arabic" w:hAnsi="Traditional Arabic" w:cs="Traditional Arabic" w:hint="cs"/>
          <w:spacing w:val="-6"/>
          <w:sz w:val="24"/>
          <w:szCs w:val="24"/>
          <w:rtl/>
        </w:rPr>
        <w:t>أظهرت نتائج الدراسة أن تطبيق استراتيجيات إدارة المخاطر ساهم في تحسين جودة الخدمات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w:t>
      </w:r>
      <w:r w:rsidR="0026403B"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كما أوصت الدراسة بضرورة دمج إدارة المخاطر ضمن السياسات التشغيلية للمستشفيات، وتوفير التدريب المستمر للكوادر لضمان تحقيق نتائج مستدامة</w:t>
      </w:r>
      <w:r w:rsidRPr="00F321AF">
        <w:rPr>
          <w:rFonts w:ascii="Traditional Arabic" w:hAnsi="Traditional Arabic" w:cs="Traditional Arabic" w:hint="cs"/>
          <w:spacing w:val="-6"/>
          <w:sz w:val="24"/>
          <w:szCs w:val="24"/>
        </w:rPr>
        <w:t>.</w:t>
      </w:r>
    </w:p>
    <w:p w14:paraId="0C548110" w14:textId="0D1808F3" w:rsidR="00A93B7F" w:rsidRPr="00C52F83" w:rsidRDefault="00A93B7F" w:rsidP="00C52F83">
      <w:pPr>
        <w:bidi/>
        <w:spacing w:before="120" w:after="120" w:line="360" w:lineRule="auto"/>
        <w:ind w:firstLine="720"/>
        <w:jc w:val="both"/>
        <w:rPr>
          <w:rFonts w:ascii="Traditional Arabic" w:hAnsi="Traditional Arabic" w:cs="Traditional Arabic"/>
          <w:spacing w:val="-6"/>
          <w:sz w:val="24"/>
          <w:szCs w:val="24"/>
          <w:rtl/>
        </w:rPr>
      </w:pPr>
      <w:r w:rsidRPr="00C52F83">
        <w:rPr>
          <w:rFonts w:ascii="Traditional Arabic" w:hAnsi="Traditional Arabic" w:cs="Traditional Arabic" w:hint="cs"/>
          <w:b/>
          <w:bCs/>
          <w:spacing w:val="-6"/>
          <w:sz w:val="24"/>
          <w:szCs w:val="24"/>
          <w:rtl/>
        </w:rPr>
        <w:t>وسعت دراسة</w:t>
      </w:r>
      <w:r w:rsidRPr="00C52F83">
        <w:rPr>
          <w:rFonts w:ascii="Traditional Arabic" w:hAnsi="Traditional Arabic" w:cs="Traditional Arabic" w:hint="cs"/>
          <w:b/>
          <w:bCs/>
          <w:spacing w:val="-6"/>
          <w:sz w:val="24"/>
          <w:szCs w:val="24"/>
        </w:rPr>
        <w:t xml:space="preserve"> Al-Zahrani, S. (2018): Evaluation of Risk Management </w:t>
      </w:r>
      <w:r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b/>
          <w:bCs/>
          <w:spacing w:val="-6"/>
          <w:sz w:val="24"/>
          <w:szCs w:val="24"/>
        </w:rPr>
        <w:t xml:space="preserve"> Strategies in Healthcare</w:t>
      </w:r>
      <w:r w:rsidRPr="00C52F83">
        <w:rPr>
          <w:rFonts w:ascii="Traditional Arabic" w:hAnsi="Traditional Arabic" w:cs="Traditional Arabic" w:hint="cs"/>
          <w:spacing w:val="-6"/>
          <w:sz w:val="24"/>
          <w:szCs w:val="24"/>
          <w:rtl/>
        </w:rPr>
        <w:t xml:space="preserve"> إلى تحليل وتقييم استراتيجيات إدارة المخاطر المطبقة في المستشفيات السعودية، مع التركيز على أهمية التدريب المستمر ورفع مستوى الوعي بين العاملين في القطاع الصحي، باعتبارهما عنصرين أساسيين في تحسين جودة الرعاية الصحية وتقليل معدلات الأخطاء الطبية. اعتمد الباحث على المنهج الوصفي التحليلي، واستخدم الاستبيان المغلق كأداة رئيسية لجمع البيانات، حيث تم تصميمه لقياس مدى تطبيق استراتيجيات إدارة المخاطر ومدى إدراك العاملين لأهميتها</w:t>
      </w:r>
      <w:r w:rsidR="0026403B" w:rsidRPr="00C52F83">
        <w:rPr>
          <w:rFonts w:ascii="Traditional Arabic" w:hAnsi="Traditional Arabic" w:cs="Traditional Arabic" w:hint="cs"/>
          <w:spacing w:val="-6"/>
          <w:sz w:val="24"/>
          <w:szCs w:val="24"/>
          <w:rtl/>
        </w:rPr>
        <w:t xml:space="preserve">، </w:t>
      </w:r>
      <w:r w:rsidRPr="00C52F83">
        <w:rPr>
          <w:rFonts w:ascii="Traditional Arabic" w:hAnsi="Traditional Arabic" w:cs="Traditional Arabic" w:hint="cs"/>
          <w:spacing w:val="-6"/>
          <w:sz w:val="24"/>
          <w:szCs w:val="24"/>
          <w:rtl/>
        </w:rPr>
        <w:t>وقد تم تطبيق الدراسة على عينة مكونة من 150 مشاركًا من الكوادر الطبية والإدارية في عدد من المستشفيات الحكومية والخاصة في المملكة العربية السعودية، تم اختيارهم بطريقة قصدية لضمان تمثيل الفئات المعنية بإدارة المخاطر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أن تعزيز التدريب المستمر وزيادة الوعي لدى العاملين أدى إلى تحسين جودة الخدمات الصحية، تقليل التكاليف المالية الناتجة عن الأخطاء الطبية، وزيادة الكفاءة التشغيلية داخل المستشفيات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دمج برامج إدارة المخاطر ضمن الخطط التدريبية المستدامة، وتفعيل دور الإدارة العليا في دعم هذه المبادرات لضمان فاعليتها واستمراريتها</w:t>
      </w:r>
      <w:r w:rsidRPr="00C52F83">
        <w:rPr>
          <w:rFonts w:ascii="Traditional Arabic" w:hAnsi="Traditional Arabic" w:cs="Traditional Arabic" w:hint="cs"/>
          <w:spacing w:val="-6"/>
          <w:sz w:val="24"/>
          <w:szCs w:val="24"/>
        </w:rPr>
        <w:t>.</w:t>
      </w:r>
    </w:p>
    <w:p w14:paraId="109E3470" w14:textId="74EF3BFB" w:rsidR="00544C03" w:rsidRPr="00C52F83" w:rsidRDefault="00544C03" w:rsidP="00C52F83">
      <w:pPr>
        <w:bidi/>
        <w:spacing w:before="120" w:after="120" w:line="360" w:lineRule="auto"/>
        <w:ind w:firstLine="720"/>
        <w:jc w:val="both"/>
        <w:rPr>
          <w:rFonts w:ascii="Traditional Arabic" w:hAnsi="Traditional Arabic" w:cs="Traditional Arabic"/>
          <w:spacing w:val="-6"/>
          <w:sz w:val="24"/>
          <w:szCs w:val="24"/>
          <w:rtl/>
        </w:rPr>
      </w:pPr>
      <w:r w:rsidRPr="00C52F83">
        <w:rPr>
          <w:rFonts w:ascii="Traditional Arabic" w:hAnsi="Traditional Arabic" w:cs="Traditional Arabic" w:hint="cs"/>
          <w:b/>
          <w:bCs/>
          <w:spacing w:val="-6"/>
          <w:sz w:val="24"/>
          <w:szCs w:val="24"/>
          <w:rtl/>
        </w:rPr>
        <w:t>كما سلطت دراسة أحمد محمد السعيد</w:t>
      </w:r>
      <w:r w:rsidRPr="00C52F83">
        <w:rPr>
          <w:rFonts w:ascii="Traditional Arabic" w:hAnsi="Traditional Arabic" w:cs="Traditional Arabic" w:hint="cs"/>
          <w:b/>
          <w:bCs/>
          <w:spacing w:val="-6"/>
          <w:sz w:val="24"/>
          <w:szCs w:val="24"/>
        </w:rPr>
        <w:t xml:space="preserve"> (2019): </w:t>
      </w:r>
      <w:r w:rsidRPr="00C52F83">
        <w:rPr>
          <w:rFonts w:ascii="Traditional Arabic" w:hAnsi="Traditional Arabic" w:cs="Traditional Arabic" w:hint="cs"/>
          <w:b/>
          <w:bCs/>
          <w:spacing w:val="-6"/>
          <w:sz w:val="24"/>
          <w:szCs w:val="24"/>
          <w:rtl/>
        </w:rPr>
        <w:t>تقييم إدارة المخاطر في المستشفيات الحكومية السعودية</w:t>
      </w:r>
      <w:r w:rsidR="00FF4BF0"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spacing w:val="-6"/>
          <w:sz w:val="24"/>
          <w:szCs w:val="24"/>
          <w:rtl/>
        </w:rPr>
        <w:t>الضوء على التحديات التي تواجه المستشفيات الحكومية السعودية في مجال إدارة المخاطر، مع التركيز على نقص الوعي والتدريب بين العاملين كعقبة رئيسية تؤثر سلبًا على جودة الرعاية الصحية</w:t>
      </w:r>
      <w:r w:rsidR="00FF4BF0" w:rsidRPr="00C52F83">
        <w:rPr>
          <w:rFonts w:ascii="Traditional Arabic" w:hAnsi="Traditional Arabic" w:cs="Traditional Arabic" w:hint="cs"/>
          <w:spacing w:val="-6"/>
          <w:sz w:val="24"/>
          <w:szCs w:val="24"/>
          <w:rtl/>
        </w:rPr>
        <w:t xml:space="preserve">، </w:t>
      </w:r>
      <w:r w:rsidRPr="00C52F83">
        <w:rPr>
          <w:rFonts w:ascii="Traditional Arabic" w:hAnsi="Traditional Arabic" w:cs="Traditional Arabic" w:hint="cs"/>
          <w:spacing w:val="-6"/>
          <w:sz w:val="24"/>
          <w:szCs w:val="24"/>
          <w:rtl/>
        </w:rPr>
        <w:t>وتحليل أثر نقص التدريب والوعي على فعالية تطبيق هذه النظم</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واعتمد الباحث على المنهج الوصفي التحليلي، واستخدم الاستبيان والمقابلات الشخصية كأدوات لجمع البيانات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وقد تم تطبيق الدراسة على عينة مكونة من 100 موظف من الكوادر الطبية والإدارية في مستشفيات حكومية بمدينة الرياض، تم اختيارهم بطريقة قصدية لضمان تمثيل الفئات المعنية بإدارة المخاطر</w:t>
      </w:r>
      <w:r w:rsidRPr="00C52F83">
        <w:rPr>
          <w:rFonts w:ascii="Traditional Arabic" w:hAnsi="Traditional Arabic" w:cs="Traditional Arabic" w:hint="cs"/>
          <w:spacing w:val="-6"/>
          <w:sz w:val="24"/>
          <w:szCs w:val="24"/>
        </w:rPr>
        <w:t>.</w:t>
      </w:r>
      <w:r w:rsidRPr="00C52F83">
        <w:rPr>
          <w:rFonts w:ascii="Traditional Arabic" w:hAnsi="Traditional Arabic" w:cs="Traditional Arabic" w:hint="cs"/>
          <w:spacing w:val="-6"/>
          <w:sz w:val="24"/>
          <w:szCs w:val="24"/>
          <w:rtl/>
        </w:rPr>
        <w:t xml:space="preserve"> أظهرت نتائج الدراسة أن نقص التدريب والوعي يُعد من أبرز التحديات التي تعيق تحسين جودة الرعاية الصحية، وأن تعزيز الوعي والتدريب المستمر للكوادر الطبية والإدارية يسهم في تقليل الأخطاء الطبية، وتحسين نتائج العلاج، وتقليل التكاليف المرتبطة بالحوادث الصحية، مما يؤدي إلى تعزيز الكفاءة التشغيلية من خلال تحسين سير العمل وتقليل الفاقد. كما أوصت الدراسة بضرورة إدراج برامج تدريبية متخصصة في إدارة المخاطر، وتفعيل دور الإدارة العليا في دعم هذه المبادرات</w:t>
      </w:r>
      <w:r w:rsidRPr="00C52F83">
        <w:rPr>
          <w:rFonts w:ascii="Traditional Arabic" w:hAnsi="Traditional Arabic" w:cs="Traditional Arabic" w:hint="cs"/>
          <w:spacing w:val="-6"/>
          <w:sz w:val="24"/>
          <w:szCs w:val="24"/>
        </w:rPr>
        <w:t>.</w:t>
      </w:r>
    </w:p>
    <w:p w14:paraId="5072C7CF" w14:textId="4E941473" w:rsidR="00A93B7F" w:rsidRPr="00C52F83" w:rsidRDefault="00A93B7F" w:rsidP="00C52F83">
      <w:pPr>
        <w:bidi/>
        <w:spacing w:before="120" w:after="120" w:line="360" w:lineRule="auto"/>
        <w:ind w:firstLine="720"/>
        <w:jc w:val="both"/>
        <w:rPr>
          <w:rFonts w:ascii="Traditional Arabic" w:hAnsi="Traditional Arabic" w:cs="Traditional Arabic"/>
          <w:b/>
          <w:bCs/>
          <w:spacing w:val="-6"/>
          <w:sz w:val="24"/>
          <w:szCs w:val="24"/>
          <w:rtl/>
        </w:rPr>
      </w:pPr>
      <w:r w:rsidRPr="00C52F83">
        <w:rPr>
          <w:rFonts w:ascii="Traditional Arabic" w:hAnsi="Traditional Arabic" w:cs="Traditional Arabic" w:hint="cs"/>
          <w:b/>
          <w:bCs/>
          <w:spacing w:val="-6"/>
          <w:sz w:val="24"/>
          <w:szCs w:val="24"/>
          <w:rtl/>
        </w:rPr>
        <w:t>ودراسة</w:t>
      </w:r>
      <w:r w:rsidRPr="00C52F83">
        <w:rPr>
          <w:rFonts w:ascii="Traditional Arabic" w:hAnsi="Traditional Arabic" w:cs="Traditional Arabic" w:hint="cs"/>
          <w:b/>
          <w:bCs/>
          <w:spacing w:val="-6"/>
          <w:sz w:val="24"/>
          <w:szCs w:val="24"/>
        </w:rPr>
        <w:t xml:space="preserve"> Al-Omari et al. (2019): Implementation of Risk Management </w:t>
      </w:r>
      <w:r w:rsidR="00FF4BF0" w:rsidRPr="00C52F83">
        <w:rPr>
          <w:rFonts w:ascii="Traditional Arabic" w:hAnsi="Traditional Arabic" w:cs="Traditional Arabic" w:hint="cs"/>
          <w:b/>
          <w:bCs/>
          <w:spacing w:val="-6"/>
          <w:sz w:val="24"/>
          <w:szCs w:val="24"/>
          <w:rtl/>
        </w:rPr>
        <w:t xml:space="preserve"> </w:t>
      </w:r>
      <w:r w:rsidR="00FF4BF0" w:rsidRPr="00C52F83">
        <w:rPr>
          <w:rFonts w:ascii="Traditional Arabic" w:hAnsi="Traditional Arabic" w:cs="Traditional Arabic" w:hint="cs"/>
          <w:b/>
          <w:bCs/>
          <w:spacing w:val="-6"/>
          <w:sz w:val="24"/>
          <w:szCs w:val="24"/>
        </w:rPr>
        <w:t xml:space="preserve">  </w:t>
      </w:r>
      <w:r w:rsidRPr="00C52F83">
        <w:rPr>
          <w:rFonts w:ascii="Traditional Arabic" w:hAnsi="Traditional Arabic" w:cs="Traditional Arabic" w:hint="cs"/>
          <w:b/>
          <w:bCs/>
          <w:spacing w:val="-6"/>
          <w:sz w:val="24"/>
          <w:szCs w:val="24"/>
        </w:rPr>
        <w:t>Systems in Healthcare Facilities</w:t>
      </w:r>
      <w:r w:rsidRPr="00C52F83">
        <w:rPr>
          <w:rFonts w:ascii="Traditional Arabic" w:hAnsi="Traditional Arabic" w:cs="Traditional Arabic" w:hint="cs"/>
          <w:spacing w:val="-6"/>
          <w:sz w:val="24"/>
          <w:szCs w:val="24"/>
          <w:rtl/>
        </w:rPr>
        <w:t xml:space="preserve">تناولت هذه الدراسة أهمية دعم الإدارة العليا في تطبيق نظم إدارة المخاطر داخل المنشآت الصحية، حيث هدفت إلى تحليل العلاقة بين مستوى الدعم الإداري وفعالية تنفيذ استراتيجيات إدارة المخاطر، مع التركيز على أثر ذلك في تحسين جودة الرعاية الصحية وتقليل </w:t>
      </w:r>
      <w:r w:rsidRPr="00C52F83">
        <w:rPr>
          <w:rFonts w:ascii="Traditional Arabic" w:hAnsi="Traditional Arabic" w:cs="Traditional Arabic" w:hint="cs"/>
          <w:spacing w:val="-6"/>
          <w:sz w:val="24"/>
          <w:szCs w:val="24"/>
          <w:rtl/>
        </w:rPr>
        <w:lastRenderedPageBreak/>
        <w:t>الأخطاء الطبية</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واعتمد الباحثون على المنهج الكمي التحليلي، واستخدموا الاستبيان المغلق كأداة رئيسية لجمع البيانات، وتم تصميمه لقياس مستوى الدعم الإداري ومدى تطبيق نظم إدارة المخاطر. وقد تم تطبيق الدراسة على عينة مكونة من 120 مشاركًا من مديري المستشفيات والمشرفين الإداريين في عدد من المنشآت الصحية في المملكة العربية السعودية والأردن، تم اختيارهم بطريقة قصدية لضمان تمثيل الفئات القيادية المؤثرة في صنع القرار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أن دعم الإدارة العليا كان عاملًا حاسمًا في تحسين فعالية نظم إدارة المخاطر، مما انعكس إيجابًا على جودة الرعاية الصحية، الكفاءة التشغيلية، وتقليل الأخطاء الطبية</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إشراك القيادات الإدارية في تصميم وتنفيذ برامج إدارة المخاطر، وتوفير الموارد اللازمة لضمان نجاحها واستدامتها</w:t>
      </w:r>
      <w:r w:rsidRPr="00C52F83">
        <w:rPr>
          <w:rFonts w:ascii="Traditional Arabic" w:hAnsi="Traditional Arabic" w:cs="Traditional Arabic" w:hint="cs"/>
          <w:spacing w:val="-6"/>
          <w:sz w:val="24"/>
          <w:szCs w:val="24"/>
        </w:rPr>
        <w:t>.</w:t>
      </w:r>
    </w:p>
    <w:p w14:paraId="6CE7EF9C" w14:textId="07B5C90F" w:rsidR="00A93B7F" w:rsidRPr="00C52F83" w:rsidRDefault="00A93B7F" w:rsidP="00C52F83">
      <w:pPr>
        <w:bidi/>
        <w:spacing w:before="120" w:after="120" w:line="360" w:lineRule="auto"/>
        <w:ind w:firstLine="720"/>
        <w:jc w:val="both"/>
        <w:rPr>
          <w:rFonts w:ascii="Traditional Arabic" w:hAnsi="Traditional Arabic" w:cs="Traditional Arabic"/>
          <w:b/>
          <w:bCs/>
          <w:spacing w:val="-6"/>
          <w:sz w:val="24"/>
          <w:szCs w:val="24"/>
        </w:rPr>
      </w:pPr>
      <w:r w:rsidRPr="00C52F83">
        <w:rPr>
          <w:rFonts w:ascii="Traditional Arabic" w:hAnsi="Traditional Arabic" w:cs="Traditional Arabic" w:hint="cs"/>
          <w:b/>
          <w:bCs/>
          <w:spacing w:val="-6"/>
          <w:sz w:val="24"/>
          <w:szCs w:val="24"/>
          <w:rtl/>
        </w:rPr>
        <w:t>وهدفت</w:t>
      </w:r>
      <w:r w:rsidRPr="00C52F83">
        <w:rPr>
          <w:rFonts w:ascii="Traditional Arabic" w:hAnsi="Traditional Arabic" w:cs="Traditional Arabic" w:hint="cs"/>
          <w:b/>
          <w:bCs/>
          <w:spacing w:val="-6"/>
          <w:sz w:val="24"/>
          <w:szCs w:val="24"/>
        </w:rPr>
        <w:t xml:space="preserve"> </w:t>
      </w:r>
      <w:r w:rsidRPr="00C52F83">
        <w:rPr>
          <w:rFonts w:ascii="Traditional Arabic" w:hAnsi="Traditional Arabic" w:cs="Traditional Arabic" w:hint="cs"/>
          <w:b/>
          <w:bCs/>
          <w:spacing w:val="-6"/>
          <w:sz w:val="24"/>
          <w:szCs w:val="24"/>
          <w:rtl/>
        </w:rPr>
        <w:t>دراسة</w:t>
      </w:r>
      <w:r w:rsidRPr="00C52F83">
        <w:rPr>
          <w:rFonts w:ascii="Traditional Arabic" w:hAnsi="Traditional Arabic" w:cs="Traditional Arabic" w:hint="cs"/>
          <w:b/>
          <w:bCs/>
          <w:spacing w:val="-6"/>
          <w:sz w:val="24"/>
          <w:szCs w:val="24"/>
        </w:rPr>
        <w:t xml:space="preserve"> Khan et al. (2019): Impact of Risk Management on Patient Care in Middle Eastern Hospitals</w:t>
      </w:r>
      <w:r w:rsidR="00FF4BF0" w:rsidRPr="00C52F83">
        <w:rPr>
          <w:rFonts w:ascii="Traditional Arabic" w:hAnsi="Traditional Arabic" w:cs="Traditional Arabic" w:hint="cs"/>
          <w:b/>
          <w:bCs/>
          <w:spacing w:val="-6"/>
          <w:sz w:val="24"/>
          <w:szCs w:val="24"/>
        </w:rPr>
        <w:t xml:space="preserve"> </w:t>
      </w:r>
      <w:r w:rsidR="00882035"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spacing w:val="-6"/>
          <w:sz w:val="24"/>
          <w:szCs w:val="24"/>
          <w:rtl/>
        </w:rPr>
        <w:t>إلى تحليل أثر تطبيق نظم إدارة المخاطر على جودة الرعاية الصحية وسلامة المرضى في المستشفيات الشرق أوسطية، مع التركيز على أهمية هذه النظم كعنصر أساسي في تحسين رعاية المرضى وتقليل الأخطاء الطبية. تناول الباحثون العلاقة بين تطبيق إدارة المخاطر ورضا المرضى، إلى جانب أثرها في تعزيز سمعة المؤسسات الصحية</w:t>
      </w:r>
      <w:r w:rsidRPr="00C52F83">
        <w:rPr>
          <w:rFonts w:ascii="Traditional Arabic" w:hAnsi="Traditional Arabic" w:cs="Traditional Arabic" w:hint="cs"/>
          <w:spacing w:val="-6"/>
          <w:sz w:val="24"/>
          <w:szCs w:val="24"/>
        </w:rPr>
        <w:t>.</w:t>
      </w:r>
      <w:r w:rsidRPr="00C52F83">
        <w:rPr>
          <w:rFonts w:ascii="Traditional Arabic" w:hAnsi="Traditional Arabic" w:cs="Traditional Arabic" w:hint="cs"/>
          <w:spacing w:val="-6"/>
          <w:sz w:val="24"/>
          <w:szCs w:val="24"/>
          <w:rtl/>
        </w:rPr>
        <w:t>اعتمدت الدراسة على المنهج الوصفي التحليلي، واستخدمت الاستبيان والمقابلات الشخصية كأدوات لجمع البيانات. وقد تم تطبيق الدراسة على عينة مكونة من 100 مشارك من الكوادر الطبية والإدارية في مستشفيات في المملكة العربية السعودية، الإمارات، وقطر، تم اختيارهم بطريقة قصدية لضمان تمثيل الفئات المعنية بتطبيق إدارة المخاطر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تحسنًا ملحوظًا في سلامة المرضى وجودة الخدمات الصحية بعد تطبيق نظم إدارة المخاطر، مما أدى إلى زيادة رضا المرضى وتعزيز سمعة المستشفيات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تبني سياسات مؤسسية واضحة لإدارة المخاطر، وتوفير التدريب المستمر لضمان تحقيق نتائج مستدامة في جودة الرعاية الصحية</w:t>
      </w:r>
      <w:r w:rsidRPr="00C52F83">
        <w:rPr>
          <w:rFonts w:ascii="Traditional Arabic" w:hAnsi="Traditional Arabic" w:cs="Traditional Arabic" w:hint="cs"/>
          <w:spacing w:val="-6"/>
          <w:sz w:val="24"/>
          <w:szCs w:val="24"/>
        </w:rPr>
        <w:t>.</w:t>
      </w:r>
    </w:p>
    <w:p w14:paraId="02563CB2" w14:textId="238E577E"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وركزت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Hassan Al-Harbi (2019): Risk Management in Saudi Healthcare: Challenges and Solution</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التحديات التي تواجه إدارة المخاطر في القطاع الصحي السعودي، مع التركيز على أبرز العقبات مثل نقص التمويل وضعف البنية التحتية، باعتبارهما من العوامل التي تعيق تطبيق نظم إدارة المخاطر بشكل فعّال. هدفت الدراسة إلى تحليل هذه التحديات واقتراح حلول عملية لتحسين أداء المستشفيات في مجال إدارة المخاطر، من خلال تطوير البنية التحتية وزيادة الموارد المالية المخصصة لهذا المجال</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اعتمد الباحث على المنهج الوصفي التحليلي، واستخدم الاستبيان والمقابلات الشخصية كأدوات لجمع البيانات. وقد تم تطبيق الدراسة على عينة مكونة من 85 مشاركًا من مديري المستشفيات، ومهندسي البنية التحتية، ومشرفي الجودة في عدد من المستشفيات الحكومية والخاصة في مناطق مختلفة من المملكة، تم اختيارهم بطريقة قصدية لضمان تمثيل الفئات المعنية مباشرة بالتحديات التنظيمية والمالية</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أظهرت نتائج الدراسة أن نقص التمويل وضعف البنية التحتية يُعدان من أبرز التحديات التي تعيق تطبيق إدارة المخاطر، وأن زيادة التمويل وتطوير البنية التحتية يمثلان حلولًا فعالة لتعزيز قدرة المستشفيات على تطبيق نظم إدارة المخاطر بكفاءة</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إدراج إدارة المخاطر ضمن أولويات التخطيط الاستراتيجي، وتخصيص موارد مالية وتقنية كافية لدعم هذا التوجه</w:t>
      </w:r>
      <w:r w:rsidRPr="00787A81">
        <w:rPr>
          <w:rFonts w:ascii="Traditional Arabic" w:hAnsi="Traditional Arabic" w:cs="Traditional Arabic" w:hint="cs"/>
          <w:spacing w:val="-6"/>
          <w:sz w:val="24"/>
          <w:szCs w:val="24"/>
        </w:rPr>
        <w:t>.</w:t>
      </w:r>
    </w:p>
    <w:p w14:paraId="0F4AA060" w14:textId="183FC2DE" w:rsidR="001826A3" w:rsidRPr="00787A81" w:rsidRDefault="00A93B7F"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lastRenderedPageBreak/>
        <w:t>وهدف</w:t>
      </w:r>
      <w:r w:rsidR="001826A3" w:rsidRPr="00787A81">
        <w:rPr>
          <w:rFonts w:ascii="Traditional Arabic" w:hAnsi="Traditional Arabic" w:cs="Traditional Arabic" w:hint="cs"/>
          <w:b/>
          <w:bCs/>
          <w:spacing w:val="-6"/>
          <w:sz w:val="24"/>
          <w:szCs w:val="24"/>
        </w:rPr>
        <w:t xml:space="preserve"> </w:t>
      </w:r>
      <w:r w:rsidR="001826A3" w:rsidRPr="00787A81">
        <w:rPr>
          <w:rFonts w:ascii="Traditional Arabic" w:hAnsi="Traditional Arabic" w:cs="Traditional Arabic" w:hint="cs"/>
          <w:b/>
          <w:bCs/>
          <w:spacing w:val="-6"/>
          <w:sz w:val="24"/>
          <w:szCs w:val="24"/>
          <w:rtl/>
        </w:rPr>
        <w:t>دراسة</w:t>
      </w:r>
      <w:r w:rsidR="001826A3" w:rsidRPr="00787A81">
        <w:rPr>
          <w:rFonts w:ascii="Traditional Arabic" w:hAnsi="Traditional Arabic" w:cs="Traditional Arabic" w:hint="cs"/>
          <w:b/>
          <w:bCs/>
          <w:spacing w:val="-6"/>
          <w:sz w:val="24"/>
          <w:szCs w:val="24"/>
        </w:rPr>
        <w:t xml:space="preserve"> Johnson et al. (2019): Applications of Risk Management in American Hospitals</w:t>
      </w:r>
      <w:r w:rsidR="00137215" w:rsidRPr="00787A81">
        <w:rPr>
          <w:rFonts w:ascii="Traditional Arabic" w:hAnsi="Traditional Arabic" w:cs="Traditional Arabic" w:hint="cs"/>
          <w:b/>
          <w:bCs/>
          <w:spacing w:val="-6"/>
          <w:sz w:val="24"/>
          <w:szCs w:val="24"/>
          <w:rtl/>
        </w:rPr>
        <w:t xml:space="preserve"> </w:t>
      </w:r>
      <w:r w:rsidR="001826A3" w:rsidRPr="00787A81">
        <w:rPr>
          <w:rFonts w:ascii="Traditional Arabic" w:hAnsi="Traditional Arabic" w:cs="Traditional Arabic" w:hint="cs"/>
          <w:spacing w:val="-6"/>
          <w:sz w:val="24"/>
          <w:szCs w:val="24"/>
          <w:rtl/>
        </w:rPr>
        <w:t>على تحليل دور تكنولوجيا المعلومات الصحية في تحسين إدارة المخاطر داخل المستشفيات الأمريكية، من خلال استخدام أدوات تحليل البيانات لتحديد الأنماط الخطرة والتنبؤ بالمشكلات المحتملة قبل وقوعها. هدفت الدراسة إلى إبراز أهمية دمج الأنظمة الرقمية في إدارة المخاطر، لما لها من أثر في تعزيز جودة الرعاية الصحية وتقليل الأخطاء الطبية</w:t>
      </w:r>
      <w:r w:rsidR="001826A3" w:rsidRPr="00787A81">
        <w:rPr>
          <w:rFonts w:ascii="Traditional Arabic" w:hAnsi="Traditional Arabic" w:cs="Traditional Arabic" w:hint="cs"/>
          <w:spacing w:val="-6"/>
          <w:sz w:val="24"/>
          <w:szCs w:val="24"/>
        </w:rPr>
        <w:t>.</w:t>
      </w:r>
      <w:r w:rsidR="00140C83" w:rsidRPr="00787A81">
        <w:rPr>
          <w:rFonts w:ascii="Traditional Arabic" w:hAnsi="Traditional Arabic" w:cs="Traditional Arabic" w:hint="cs"/>
          <w:spacing w:val="-6"/>
          <w:sz w:val="24"/>
          <w:szCs w:val="24"/>
          <w:rtl/>
        </w:rPr>
        <w:t xml:space="preserve"> و</w:t>
      </w:r>
      <w:r w:rsidR="001826A3" w:rsidRPr="00787A81">
        <w:rPr>
          <w:rFonts w:ascii="Traditional Arabic" w:hAnsi="Traditional Arabic" w:cs="Traditional Arabic" w:hint="cs"/>
          <w:spacing w:val="-6"/>
          <w:sz w:val="24"/>
          <w:szCs w:val="24"/>
          <w:rtl/>
        </w:rPr>
        <w:t>اعتمد الباحثون على المنهج الكمي التحليلي، واستخدموا الاستبيان الإلكتروني وتحليل السجلات الطبية الرقمية كأدوات رئيسية لجمع البيانات. وقد تم تطبيق الدراسة على عينة مكونة من 10 مستشفيات تعليمية في الولايات المتحدة، شملت مديري نظم المعلومات الصحية، ومشرفي الجودة، وعددًا من الأطباء والممرضين العاملين في أقسام الطوارئ والعناية المركزة</w:t>
      </w:r>
      <w:r w:rsidR="001826A3" w:rsidRPr="00787A81">
        <w:rPr>
          <w:rFonts w:ascii="Traditional Arabic" w:hAnsi="Traditional Arabic" w:cs="Traditional Arabic" w:hint="cs"/>
          <w:spacing w:val="-6"/>
          <w:sz w:val="24"/>
          <w:szCs w:val="24"/>
        </w:rPr>
        <w:t>.</w:t>
      </w:r>
      <w:r w:rsidR="001826A3" w:rsidRPr="00787A81">
        <w:rPr>
          <w:rFonts w:ascii="Traditional Arabic" w:hAnsi="Traditional Arabic" w:cs="Traditional Arabic" w:hint="cs"/>
          <w:spacing w:val="-6"/>
          <w:sz w:val="24"/>
          <w:szCs w:val="24"/>
          <w:rtl/>
        </w:rPr>
        <w:t xml:space="preserve"> وأظهرت نتائج الدراسة أن استخدام التكنولوجيا في تحليل المخاطر ساهم بشكل فعّال في تحسين إدارة المخاطر، رفع جودة الخدمات الصحية، وزيادة الكفاءة التشغيلية</w:t>
      </w:r>
      <w:r w:rsidR="00137215" w:rsidRPr="00787A81">
        <w:rPr>
          <w:rFonts w:ascii="Traditional Arabic" w:hAnsi="Traditional Arabic" w:cs="Traditional Arabic" w:hint="cs"/>
          <w:spacing w:val="-6"/>
          <w:sz w:val="24"/>
          <w:szCs w:val="24"/>
          <w:rtl/>
        </w:rPr>
        <w:t>،</w:t>
      </w:r>
      <w:r w:rsidR="001826A3" w:rsidRPr="00787A81">
        <w:rPr>
          <w:rFonts w:ascii="Traditional Arabic" w:hAnsi="Traditional Arabic" w:cs="Traditional Arabic" w:hint="cs"/>
          <w:spacing w:val="-6"/>
          <w:sz w:val="24"/>
          <w:szCs w:val="24"/>
          <w:rtl/>
        </w:rPr>
        <w:t xml:space="preserve"> كما أوصت الدراسة بضرورة الاستثمار في تطوير البنية التحتية الرقمية وتدريب الكوادر على استخدام أدوات التحليل الحديثة لضمان استدامة التحسينات في الأداء الصحي</w:t>
      </w:r>
      <w:r w:rsidR="001826A3" w:rsidRPr="00787A81">
        <w:rPr>
          <w:rFonts w:ascii="Traditional Arabic" w:hAnsi="Traditional Arabic" w:cs="Traditional Arabic" w:hint="cs"/>
          <w:spacing w:val="-6"/>
          <w:sz w:val="24"/>
          <w:szCs w:val="24"/>
        </w:rPr>
        <w:t>.</w:t>
      </w:r>
    </w:p>
    <w:p w14:paraId="47012D3A" w14:textId="23CB80C3" w:rsidR="00A93B7F" w:rsidRPr="00787A81" w:rsidRDefault="00A93B7F" w:rsidP="00787A81">
      <w:pPr>
        <w:bidi/>
        <w:spacing w:before="120" w:after="120" w:line="360" w:lineRule="auto"/>
        <w:ind w:firstLine="720"/>
        <w:jc w:val="both"/>
        <w:rPr>
          <w:rFonts w:ascii="Traditional Arabic" w:hAnsi="Traditional Arabic" w:cs="Traditional Arabic"/>
          <w:spacing w:val="-6"/>
          <w:sz w:val="24"/>
          <w:szCs w:val="24"/>
        </w:rPr>
      </w:pPr>
      <w:r w:rsidRPr="00787A81">
        <w:rPr>
          <w:rFonts w:ascii="Traditional Arabic" w:hAnsi="Traditional Arabic" w:cs="Traditional Arabic" w:hint="cs"/>
          <w:b/>
          <w:bCs/>
          <w:spacing w:val="-6"/>
          <w:sz w:val="24"/>
          <w:szCs w:val="24"/>
          <w:rtl/>
        </w:rPr>
        <w:t>وركزت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Al-Mutairi et al. (2020): Risk Management Practices in Saudi Hospitals</w:t>
      </w:r>
      <w:r w:rsidRPr="00787A81">
        <w:rPr>
          <w:rFonts w:ascii="Traditional Arabic" w:hAnsi="Traditional Arabic" w:cs="Traditional Arabic" w:hint="cs"/>
          <w:spacing w:val="-6"/>
          <w:sz w:val="24"/>
          <w:szCs w:val="24"/>
          <w:rtl/>
        </w:rPr>
        <w:t>على تقييم الممارسات الحالية لإدارة المخاطر في المستشفيات السعودية، مع التأكيد على أهمية تطبيق برامج شاملة ومتكاملة لإدارة المخاطر كوسيلة لتحسين جودة الرعاية الصحية وضمان سلامة المرضى. هدفت الدراسة إلى تحليل مدى فعالية الممارسات القائمة، وتحديد الفجوات التي تعيق تحقيق نتائج ملموسة في تقليل الأخطاء الطبية وتحسين الأداء المؤسسي</w:t>
      </w:r>
      <w:r w:rsidRPr="00787A81">
        <w:rPr>
          <w:rFonts w:ascii="Traditional Arabic" w:hAnsi="Traditional Arabic" w:cs="Traditional Arabic" w:hint="cs"/>
          <w:spacing w:val="-6"/>
          <w:sz w:val="24"/>
          <w:szCs w:val="24"/>
        </w:rPr>
        <w:t>.</w:t>
      </w:r>
      <w:r w:rsidR="0073051C"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اعتمد الباحثون على المنهج الكمي التحليلي، واستخدموا الاستبيان وتحليل مؤشرات الأداء الطبي كأدوات لجمع البيانات</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 الدراسة على عينة مكونة من 120 موظفًا من الكوادر الطبية والإدارية في مستشفيات حكومية وخاصة في مناطق مختلفة من المملكة العربية السعودية، تم اختيارهم بطريقة قصدية لضمان تمثيل الفئات المعنية بإدارة المخاطر</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أظهرت نتائج الدراسة أن تطبيق برامج شاملة لإدارة المخاطر ساهم في تحسين جودة الرعاية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 كما أوصت الدراسة بضرورة دمج إدارة المخاطر ضمن الخطط الاستراتيجية للمستشفيات، وتوفير التدريب والدعم المؤسسي لضمان فاعلية التطبيق</w:t>
      </w:r>
      <w:r w:rsidRPr="00787A81">
        <w:rPr>
          <w:rFonts w:ascii="Traditional Arabic" w:hAnsi="Traditional Arabic" w:cs="Traditional Arabic" w:hint="cs"/>
          <w:spacing w:val="-6"/>
          <w:sz w:val="24"/>
          <w:szCs w:val="24"/>
        </w:rPr>
        <w:t>.</w:t>
      </w:r>
    </w:p>
    <w:p w14:paraId="2001A667" w14:textId="05414753" w:rsidR="005D4601" w:rsidRPr="00787A81" w:rsidRDefault="005D4601"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وأكدت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Miller and Davis (2020): Risk Management Practices in European Hospitals</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أهمية التدريب المستمر للكوادر الطبية والإدارية في تحسين إدارة المخاطر داخل المستشفيات الأوروبية، حيث هدفت إلى تحليل أثر تطوير المهارات والمعرفة المهنية على جودة الرعاية الصحية وتقليل الأخطاء الطبية. تناول الباحثان العلاقة بين التعليم المستمر وتطبيق استراتيجيات فعالة لإدارة المخاطر، مع التركيز على ضرورة تحديث المعارف بما يتماشى مع التطورات التقنية والتنظيمية في القطاع الصحي</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واعتمدت الدراسة على المنهج الوصفي التحليلي، واستخدمت الاستبيان والمقابلات شبه المهيكلة كأدوات لجمع البيانات</w:t>
      </w:r>
      <w:r w:rsidR="006B5F98"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تطبيقها على عينة مكونة من 200 موظف من الكوادر الطبية والإدارية في مستشفيات تقع في ألمانيا، فرنسا، وإيطاليا، وتم اختيار العينة بطريقة عشوائية طبقية لضمان تمثيل مختلف الأقسام والتخصصات</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وأظهرت نتائج الدراسة أن التدريب المستمر وتحديث المهارات ساهم في تحسين جودة الرعاية الصحية، رفع الكفاءة التشغيلية، وتقليل الأخطاء الطبية</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lastRenderedPageBreak/>
        <w:t>كما أوصت الدراسة بضرورة إدراج برامج التدريب المهني ضمن السياسات الصحية الوطنية، وتوفير الدعم المؤسسي لضمان استمرارية هذه البرامج وتأثيرها الإيجابي على الأداء العام للمستشفيات</w:t>
      </w:r>
      <w:r w:rsidRPr="00787A81">
        <w:rPr>
          <w:rFonts w:ascii="Traditional Arabic" w:hAnsi="Traditional Arabic" w:cs="Traditional Arabic" w:hint="cs"/>
          <w:spacing w:val="-6"/>
          <w:sz w:val="24"/>
          <w:szCs w:val="24"/>
        </w:rPr>
        <w:t>.</w:t>
      </w:r>
    </w:p>
    <w:p w14:paraId="7EF700A9" w14:textId="04140580"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وأشارت دراسة</w:t>
      </w:r>
      <w:r w:rsidRPr="00787A81">
        <w:rPr>
          <w:rFonts w:ascii="Traditional Arabic" w:hAnsi="Traditional Arabic" w:cs="Traditional Arabic" w:hint="cs"/>
          <w:b/>
          <w:bCs/>
          <w:spacing w:val="-6"/>
          <w:sz w:val="24"/>
          <w:szCs w:val="24"/>
        </w:rPr>
        <w:t xml:space="preserve"> Al-Qahtani et al. (2020): Obstacles to Effective Risk Management in Healthcare</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إلى العقبات التي تعترض إدارة المخاطر بفعالية في القطاع الصحي السعودي، مع التركيز على أهمية التدريب المستمر والتنسيق الداخلي بين الأقسام كعوامل رئيسية لتحسين تنفيذ استراتيجيات إدارة المخاطر. هدفت الدراسة إلى تحليل مدى تأثير نقص التدريب وضعف التنسيق على فعالية إدارة المخاطر، وتقديم توصيات عملية لتعزيز الأداء المؤسسي في هذا المجال</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اعتمد الباحثون على المنهج الكمي التحليلي، واستخدموا الاستبيان المغلق كأداة رئيسية لجمع البيانات، حيث تم تصميمه لقياس مستوى التدريب والتنسيق ومدى ارتباطهما بفعالية إدارة المخاطر</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 الدراسة على عينة مكونة من 110 موظفين من الكوادر الطبية والإدارية في مستشفيات حكومية وخاصة في المنطقة الوسطى والشرقية من المملكة، تم اختيارهم بطريقة قصدية</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تعزيز التدريب المستمر وزيادة الوعي بين العاملين، إلى جانب تحسين التنسيق الداخلي، يُعد من العوامل الأساسية التي تسهم في رفع فعالية إدارة المخاطر</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إدراج برامج تدريبية متخصصة في إدارة المخاطر، وتفعيل آليات التنسيق بين الأقسام لضمان تطبيق متكامل وفعّال لهذه النظم</w:t>
      </w:r>
      <w:r w:rsidRPr="00787A81">
        <w:rPr>
          <w:rFonts w:ascii="Traditional Arabic" w:hAnsi="Traditional Arabic" w:cs="Traditional Arabic" w:hint="cs"/>
          <w:spacing w:val="-6"/>
          <w:sz w:val="24"/>
          <w:szCs w:val="24"/>
        </w:rPr>
        <w:t>.</w:t>
      </w:r>
    </w:p>
    <w:p w14:paraId="01A75654" w14:textId="56CEADEA" w:rsidR="00C3076E" w:rsidRPr="00787A81" w:rsidRDefault="00C3076E"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كما تناولت دراسة عبد الله بن محمد الجهني</w:t>
      </w:r>
      <w:r w:rsidRPr="00787A81">
        <w:rPr>
          <w:rFonts w:ascii="Traditional Arabic" w:hAnsi="Traditional Arabic" w:cs="Traditional Arabic" w:hint="cs"/>
          <w:b/>
          <w:bCs/>
          <w:spacing w:val="-6"/>
          <w:sz w:val="24"/>
          <w:szCs w:val="24"/>
        </w:rPr>
        <w:t xml:space="preserve"> (2020): </w:t>
      </w:r>
      <w:r w:rsidRPr="00787A81">
        <w:rPr>
          <w:rFonts w:ascii="Traditional Arabic" w:hAnsi="Traditional Arabic" w:cs="Traditional Arabic" w:hint="cs"/>
          <w:b/>
          <w:bCs/>
          <w:spacing w:val="-6"/>
          <w:sz w:val="24"/>
          <w:szCs w:val="24"/>
          <w:rtl/>
        </w:rPr>
        <w:t xml:space="preserve">إدارة المخاطر في مستشفيات المملكة العربية السعودية </w:t>
      </w:r>
      <w:r w:rsidRPr="00787A81">
        <w:rPr>
          <w:rFonts w:ascii="Traditional Arabic" w:hAnsi="Traditional Arabic" w:cs="Traditional Arabic" w:hint="cs"/>
          <w:spacing w:val="-6"/>
          <w:sz w:val="24"/>
          <w:szCs w:val="24"/>
          <w:rtl/>
        </w:rPr>
        <w:t>كيفية تطبيق نظم إدارة المخاطر في المستشفيات السعودية، مع التركيز على أثر هذه النظم في تقليل الأخطاء الطبية وزيادة رضا المرضى. هدفت الدراسة إلى تحليل فعالية تطبيق إدارة المخاطر في بيئة المستشفى، وتحديد مدى تأثيرها على جودة الرعاية الصحية والكفاءة التشغيلية</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 على منهج دراسة الحالة، واستخدم أدوات متعددة لجمع البيانات شملت الاستبيان، والمقابلات الشخصية، وتحليل الوثائق الإدارية. وقد تم تطبيق الدراسة على عينة مكونة من 75 مشاركًا من الكوادر الطبية والإدارية في أحد المستشفيات الحكومية الكبرى بمدينة الرياض، تم اختيارهم بطريقة قصدية لضمان تمثيل الفئات المعنية بتطبيق إدارة المخاطر</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تطبيق نظم إدارة المخاطر ساهم بشكل واضح في تقليل الأخطاء الطبية، تحسين جودة الرعاية الصحية، وزيادة الكفاءة التشغيلية، إلى جانب رفع مستوى رضا المرضى عن الخدمات المقدمة</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تعزيز ثقافة السلامة داخل المستشفيات، وتوفير التدريب والدعم الإداري المستمر لضمان نجاح تطبيق هذه النظم</w:t>
      </w:r>
      <w:r w:rsidRPr="00787A81">
        <w:rPr>
          <w:rFonts w:ascii="Traditional Arabic" w:hAnsi="Traditional Arabic" w:cs="Traditional Arabic" w:hint="cs"/>
          <w:spacing w:val="-6"/>
          <w:sz w:val="24"/>
          <w:szCs w:val="24"/>
        </w:rPr>
        <w:t>.</w:t>
      </w:r>
    </w:p>
    <w:p w14:paraId="3DC3B899" w14:textId="2F7869DA" w:rsidR="00A938AE" w:rsidRPr="00787A81" w:rsidRDefault="00544C03"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 xml:space="preserve">كما ركزت </w:t>
      </w:r>
      <w:r w:rsidR="00A938AE" w:rsidRPr="00787A81">
        <w:rPr>
          <w:rFonts w:ascii="Traditional Arabic" w:hAnsi="Traditional Arabic" w:cs="Traditional Arabic" w:hint="cs"/>
          <w:b/>
          <w:bCs/>
          <w:spacing w:val="-6"/>
          <w:sz w:val="24"/>
          <w:szCs w:val="24"/>
          <w:rtl/>
        </w:rPr>
        <w:t>دراسة</w:t>
      </w:r>
      <w:r w:rsidR="00A938AE" w:rsidRPr="00787A81">
        <w:rPr>
          <w:rFonts w:ascii="Traditional Arabic" w:hAnsi="Traditional Arabic" w:cs="Traditional Arabic" w:hint="cs"/>
          <w:b/>
          <w:bCs/>
          <w:spacing w:val="-6"/>
          <w:sz w:val="24"/>
          <w:szCs w:val="24"/>
        </w:rPr>
        <w:t xml:space="preserve"> Hassan et al. (2020</w:t>
      </w:r>
      <w:r w:rsidR="00137215" w:rsidRPr="00787A81">
        <w:rPr>
          <w:rFonts w:ascii="Traditional Arabic" w:hAnsi="Traditional Arabic" w:cs="Traditional Arabic" w:hint="cs"/>
          <w:b/>
          <w:bCs/>
          <w:spacing w:val="-6"/>
          <w:sz w:val="24"/>
          <w:szCs w:val="24"/>
        </w:rPr>
        <w:t xml:space="preserve">) </w:t>
      </w:r>
      <w:r w:rsidR="00A938AE" w:rsidRPr="00787A81">
        <w:rPr>
          <w:rFonts w:ascii="Traditional Arabic" w:hAnsi="Traditional Arabic" w:cs="Traditional Arabic" w:hint="cs"/>
          <w:b/>
          <w:bCs/>
          <w:spacing w:val="-6"/>
          <w:sz w:val="24"/>
          <w:szCs w:val="24"/>
        </w:rPr>
        <w:t xml:space="preserve">Effectiveness of Risk </w:t>
      </w:r>
      <w:r w:rsidR="006B5F98" w:rsidRPr="00787A81">
        <w:rPr>
          <w:rFonts w:ascii="Traditional Arabic" w:hAnsi="Traditional Arabic" w:cs="Traditional Arabic" w:hint="cs"/>
          <w:b/>
          <w:bCs/>
          <w:spacing w:val="-6"/>
          <w:sz w:val="24"/>
          <w:szCs w:val="24"/>
          <w:rtl/>
        </w:rPr>
        <w:t xml:space="preserve"> </w:t>
      </w:r>
      <w:r w:rsidR="00A938AE" w:rsidRPr="00787A81">
        <w:rPr>
          <w:rFonts w:ascii="Traditional Arabic" w:hAnsi="Traditional Arabic" w:cs="Traditional Arabic" w:hint="cs"/>
          <w:b/>
          <w:bCs/>
          <w:spacing w:val="-6"/>
          <w:sz w:val="24"/>
          <w:szCs w:val="24"/>
        </w:rPr>
        <w:t>Management Programs in Hospitals</w:t>
      </w:r>
      <w:r w:rsidR="006B5F98" w:rsidRPr="00787A81">
        <w:rPr>
          <w:rFonts w:ascii="Traditional Arabic" w:hAnsi="Traditional Arabic" w:cs="Traditional Arabic" w:hint="cs"/>
          <w:b/>
          <w:bCs/>
          <w:spacing w:val="-6"/>
          <w:sz w:val="24"/>
          <w:szCs w:val="24"/>
          <w:rtl/>
        </w:rPr>
        <w:t xml:space="preserve"> </w:t>
      </w:r>
      <w:r w:rsidR="00A938AE" w:rsidRPr="00787A81">
        <w:rPr>
          <w:rFonts w:ascii="Traditional Arabic" w:hAnsi="Traditional Arabic" w:cs="Traditional Arabic" w:hint="cs"/>
          <w:spacing w:val="-6"/>
          <w:sz w:val="24"/>
          <w:szCs w:val="24"/>
          <w:rtl/>
        </w:rPr>
        <w:t>على تحليل دور برامج إدارة المخاطر في تحسين الكفاءة التشغيلية داخل المستشفيات، مع إبراز أهمية هذه البرامج في تحسين العمليات وتقليل الأخطاء الطبية</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كما هدفت الدراسة إلى تقييم مدى فعالية تطبيق برامج إدارة المخاطر في بيئات المستشفيات، وتأثيرها المباشر على جودة الرعاية الصحية وكفاءة الأداء المؤسسي</w:t>
      </w:r>
      <w:r w:rsidR="00A938AE" w:rsidRPr="00787A81">
        <w:rPr>
          <w:rFonts w:ascii="Traditional Arabic" w:hAnsi="Traditional Arabic" w:cs="Traditional Arabic" w:hint="cs"/>
          <w:spacing w:val="-6"/>
          <w:sz w:val="24"/>
          <w:szCs w:val="24"/>
        </w:rPr>
        <w:t>.</w:t>
      </w:r>
      <w:r w:rsidR="00A938AE" w:rsidRPr="00787A81">
        <w:rPr>
          <w:rFonts w:ascii="Traditional Arabic" w:hAnsi="Traditional Arabic" w:cs="Traditional Arabic" w:hint="cs"/>
          <w:spacing w:val="-6"/>
          <w:sz w:val="24"/>
          <w:szCs w:val="24"/>
          <w:rtl/>
        </w:rPr>
        <w:t xml:space="preserve"> واعتمد الباحثون على المنهج الكمي، واستخدموا الاستبيان كأداة رئيسية لجمع البيانات، حيث تم تصميمه لقياس مدى تطبيق برامج إدارة المخاطر وتأثيرها على مؤشرات الأداء</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وقد تم تطبيق الدراسة على عينة مكونة من 15 مستشفى في المملكة العربية السعودية ودولة الإمارات العربية المتحدة، شملت مديري الجودة، ومشرفي الأقسام الطبية، وعددًا من العاملين في الإدارة التشغيلية</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وأظهرت نتائج الدراسة أن تطبيق برامج </w:t>
      </w:r>
      <w:r w:rsidR="00A938AE" w:rsidRPr="00787A81">
        <w:rPr>
          <w:rFonts w:ascii="Traditional Arabic" w:hAnsi="Traditional Arabic" w:cs="Traditional Arabic" w:hint="cs"/>
          <w:spacing w:val="-6"/>
          <w:sz w:val="24"/>
          <w:szCs w:val="24"/>
          <w:rtl/>
        </w:rPr>
        <w:lastRenderedPageBreak/>
        <w:t>إدارة المخاطر ساهم بشكل فعّال في زيادة الكفاءة التشغيلية، تحسين جودة الرعاية الصحية، وتقليل الأخطاء الطبية. كما أوصت الدراسة بضرورة دمج هذه البرامج ضمن الخطط الاستراتيجية للمستشفيات، وتوفير التدريب المستمر للكوادر لضمان تحقيق نتائج مستدامة</w:t>
      </w:r>
      <w:r w:rsidR="00A938AE" w:rsidRPr="00787A81">
        <w:rPr>
          <w:rFonts w:ascii="Traditional Arabic" w:hAnsi="Traditional Arabic" w:cs="Traditional Arabic" w:hint="cs"/>
          <w:spacing w:val="-6"/>
          <w:sz w:val="24"/>
          <w:szCs w:val="24"/>
        </w:rPr>
        <w:t>.</w:t>
      </w:r>
    </w:p>
    <w:p w14:paraId="2D870E38" w14:textId="3E95CABE" w:rsidR="00A93B7F" w:rsidRPr="00787A81" w:rsidRDefault="00A938AE" w:rsidP="00787A81">
      <w:pPr>
        <w:bidi/>
        <w:spacing w:before="120" w:after="120" w:line="360" w:lineRule="auto"/>
        <w:jc w:val="both"/>
        <w:rPr>
          <w:rFonts w:ascii="Traditional Arabic" w:hAnsi="Traditional Arabic" w:cs="Traditional Arabic"/>
          <w:spacing w:val="-6"/>
          <w:sz w:val="24"/>
          <w:szCs w:val="24"/>
        </w:rPr>
      </w:pPr>
      <w:r w:rsidRPr="00787A81">
        <w:rPr>
          <w:rFonts w:ascii="Traditional Arabic" w:hAnsi="Traditional Arabic" w:cs="Traditional Arabic" w:hint="cs"/>
          <w:b/>
          <w:bCs/>
          <w:spacing w:val="-6"/>
          <w:sz w:val="24"/>
          <w:szCs w:val="24"/>
          <w:rtl/>
        </w:rPr>
        <w:t>وهدفت دراسة</w:t>
      </w:r>
      <w:r w:rsidRPr="00787A81">
        <w:rPr>
          <w:rFonts w:ascii="Traditional Arabic" w:hAnsi="Traditional Arabic" w:cs="Traditional Arabic" w:hint="cs"/>
          <w:b/>
          <w:bCs/>
          <w:spacing w:val="-6"/>
          <w:sz w:val="24"/>
          <w:szCs w:val="24"/>
        </w:rPr>
        <w:t xml:space="preserve"> Sami Al-Zahrani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Evaluation of Risk Management </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b/>
          <w:bCs/>
          <w:spacing w:val="-6"/>
          <w:sz w:val="24"/>
          <w:szCs w:val="24"/>
        </w:rPr>
        <w:t>Implementation in Saudi Hospitals</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إلى تحليل استراتيجيات إدارة المخاطر المطبقة في المستشفيات السعودية، مع التركيز على أهمية التدريب المستمر والدعم الإداري في تحسين فعالية هذه الاستراتيجيات. سعى الباحث إلى فهم العلاقة بين تطوير قدرات العاملين وتوفير الدعم المؤسسي، وبين جودة تطبيق إدارة المخاطر في بيئة المستشفى</w:t>
      </w:r>
      <w:r w:rsidRPr="00787A81">
        <w:rPr>
          <w:rFonts w:ascii="Traditional Arabic" w:hAnsi="Traditional Arabic" w:cs="Traditional Arabic" w:hint="cs"/>
          <w:spacing w:val="-6"/>
          <w:sz w:val="24"/>
          <w:szCs w:val="24"/>
        </w:rPr>
        <w:t>.</w:t>
      </w:r>
      <w:r w:rsidR="00544C03"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اعتمدت الدراسة على المنهج الوصفي التحليلي، واستخدمت الاستبيان والملاحظة الميدانية كأدوات لجمع البيانات، حيث تم تصميم الاستبيان لقياس مستوى التدريب والدعم الإداري ومدى تأثيرهما على تطبيق إدارة المخاطر</w:t>
      </w:r>
      <w:r w:rsidR="00137215"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 الدراسة على عينة مكونة من 100 موظف من الكوادر الطبية والإدارية في مستشفيات بمدينة الرياض وجدة، تم اختيارهم بطريقة قصدية لضمان تمثيل الفئات المعنية مباشرة بإدارة المخاطر</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التدريب المستمر والدعم الإداري كانا عاملين رئيسيين في تحسين جودة الرعاية الصحية، وزيادة الكفاءة التشغيلية داخل المستشفيات. كما أوصت الدراسة بضرورة تعزيز البرامج التدريبية وتفعيل دور الإدارة العليا في دعم مبادرات إدارة المخاطر لضمان فاعليتها واستدامتها</w:t>
      </w:r>
      <w:r w:rsidRPr="00787A81">
        <w:rPr>
          <w:rFonts w:ascii="Traditional Arabic" w:hAnsi="Traditional Arabic" w:cs="Traditional Arabic" w:hint="cs"/>
          <w:spacing w:val="-6"/>
          <w:sz w:val="24"/>
          <w:szCs w:val="24"/>
        </w:rPr>
        <w:t>.</w:t>
      </w:r>
    </w:p>
    <w:p w14:paraId="371CFF47" w14:textId="7D2D6CBE"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كما تضمنت دراسة سامي بن علي الزهراني</w:t>
      </w:r>
      <w:r w:rsidRPr="00787A81">
        <w:rPr>
          <w:rFonts w:ascii="Traditional Arabic" w:hAnsi="Traditional Arabic" w:cs="Traditional Arabic" w:hint="cs"/>
          <w:b/>
          <w:bCs/>
          <w:spacing w:val="-6"/>
          <w:sz w:val="24"/>
          <w:szCs w:val="24"/>
        </w:rPr>
        <w:t xml:space="preserve">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 xml:space="preserve">تحديات إدارة المخاطر في القطاع الصحي السعودي </w:t>
      </w:r>
      <w:r w:rsidRPr="00787A81">
        <w:rPr>
          <w:rFonts w:ascii="Traditional Arabic" w:hAnsi="Traditional Arabic" w:cs="Traditional Arabic" w:hint="cs"/>
          <w:spacing w:val="-6"/>
          <w:sz w:val="24"/>
          <w:szCs w:val="24"/>
          <w:rtl/>
        </w:rPr>
        <w:t>تحليلًا معمقًا للتحديات المالية والتنظيمية التي تواجه تطبيق إدارة المخاطر في المستشفيات السعودية، حيث هدفت إلى تحديد أبرز العوائق التي تحول دون تنفيذ فعال لهذه النظم، مع التركيز على أهمية توفير الدعم المالي والإداري لضمان نجاح تطبيقها. تناول الباحث العلاقة بين الموارد المتاحة والجاهزية التنظيمية، وبين فعالية إدارة المخاطر في بيئة المستشفى</w:t>
      </w:r>
      <w:r w:rsidR="00137215" w:rsidRPr="00787A81">
        <w:rPr>
          <w:rFonts w:ascii="Traditional Arabic" w:hAnsi="Traditional Arabic" w:cs="Traditional Arabic" w:hint="cs"/>
          <w:spacing w:val="-6"/>
          <w:sz w:val="24"/>
          <w:szCs w:val="24"/>
          <w:rtl/>
        </w:rPr>
        <w:t>، و</w:t>
      </w:r>
      <w:r w:rsidRPr="00787A81">
        <w:rPr>
          <w:rFonts w:ascii="Traditional Arabic" w:hAnsi="Traditional Arabic" w:cs="Traditional Arabic" w:hint="cs"/>
          <w:spacing w:val="-6"/>
          <w:sz w:val="24"/>
          <w:szCs w:val="24"/>
          <w:rtl/>
        </w:rPr>
        <w:t>اعتمدت الدراسة على المنهج الوصفي التحليلي، واستخدمت الاستبيان والمقابلات الشخصية كأدوات لجمع البيانات</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تطبيقها على عينة مكونة من 90 مشاركًا من مديري المستشفيات، ورؤساء الأقسام الطبية، والمشرفين الإداريين في عدد من المستشفيات الحكومية والخاصة في مناطق مختلفة من المملكة، تم اختيارهم بطريقة قصدية</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وأظهرت نتائج الدراسة أن نقص التمويل، إلى جانب المقاومة التنظيمية للتغيير، يُعدان من أبرز التحديات التي تعيق تطبيق إدارة المخاطر بشكل فعّال</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تخصيص ميزانيات مستقلة لإدارة المخاطر، وتطوير السياسات الداخلية بما يضمن مرونة تنظيمية واستعدادًا مؤسسيًا لتبني النظم الحديثة في هذا المجال</w:t>
      </w:r>
      <w:r w:rsidRPr="00787A81">
        <w:rPr>
          <w:rFonts w:ascii="Traditional Arabic" w:hAnsi="Traditional Arabic" w:cs="Traditional Arabic" w:hint="cs"/>
          <w:spacing w:val="-6"/>
          <w:sz w:val="24"/>
          <w:szCs w:val="24"/>
        </w:rPr>
        <w:t>.</w:t>
      </w:r>
    </w:p>
    <w:p w14:paraId="314880F2" w14:textId="069662FE" w:rsidR="00A938AE" w:rsidRPr="00787A81" w:rsidRDefault="00A938AE"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وتناولت دراسة</w:t>
      </w:r>
      <w:r w:rsidRPr="00787A81">
        <w:rPr>
          <w:rFonts w:ascii="Traditional Arabic" w:hAnsi="Traditional Arabic" w:cs="Traditional Arabic" w:hint="cs"/>
          <w:b/>
          <w:bCs/>
          <w:spacing w:val="-6"/>
          <w:sz w:val="24"/>
          <w:szCs w:val="24"/>
        </w:rPr>
        <w:t xml:space="preserve"> Anderson et al.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Challenges in Risk Management in Healthcare: A Comprehensive Review</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التحديات التي تعترض تطبيق نظم إدارة المخاطر في المستشفيات، مع التركيز على أبرز العوائق مثل نقص الوعي بين العاملين، والقيود المالية التي تحد من فعالية التنفيذ. هدفت الدراسة إلى تقديم مراجعة شاملة للعقبات التي تواجه المؤسسات الصحية في تطبيق نظم إدارة المخاطر، وتحليل سبل التغلب عليها من خلال تطوير استراتيجيات تنظيمية وتدريبية</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الباحثون على المنهج النوعي التحليلي، واستخدموا مراجعة الأدبيات والمقابلات شبه المهيكلة كأدوات رئيسية لجمع البيانات</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شملت العينة مجموعة من الخبراء في إدارة المستشفيات، ومديري الجودة، وممثلي الهيئات التنظيمية الصحية في الولايات المتحدة وكندا، بلغ عددهم 40 مشاركًا تم اختيارهم بطريقة قصدية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w:t>
      </w:r>
      <w:r w:rsidRPr="00787A81">
        <w:rPr>
          <w:rFonts w:ascii="Traditional Arabic" w:hAnsi="Traditional Arabic" w:cs="Traditional Arabic" w:hint="cs"/>
          <w:spacing w:val="-6"/>
          <w:sz w:val="24"/>
          <w:szCs w:val="24"/>
          <w:rtl/>
        </w:rPr>
        <w:lastRenderedPageBreak/>
        <w:t>أن نقص الوعي لدى العاملين، إلى جانب محدودية الموارد المالية، يُعدان من أبرز التحديات التي تعيق تطبيق نظم إدارة المخاطر بشكل فعّال</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الاستثمار في برامج التوعية والتدريب، وتوفير الدعم المالي والإداري لتجاوز هذه العقبات وتحقيق تحسين ملموس في جودة الرعاية الصحية</w:t>
      </w:r>
      <w:r w:rsidRPr="00787A81">
        <w:rPr>
          <w:rFonts w:ascii="Traditional Arabic" w:hAnsi="Traditional Arabic" w:cs="Traditional Arabic" w:hint="cs"/>
          <w:spacing w:val="-6"/>
          <w:sz w:val="24"/>
          <w:szCs w:val="24"/>
        </w:rPr>
        <w:t>.</w:t>
      </w:r>
    </w:p>
    <w:p w14:paraId="42E891C4" w14:textId="6C1E47E4" w:rsidR="0021562A" w:rsidRPr="00787A81" w:rsidRDefault="00A938AE" w:rsidP="00787A81">
      <w:pPr>
        <w:bidi/>
        <w:spacing w:before="120" w:after="120" w:line="360" w:lineRule="auto"/>
        <w:ind w:firstLine="720"/>
        <w:jc w:val="both"/>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أشارت دراسة</w:t>
      </w:r>
      <w:r w:rsidRPr="00787A81">
        <w:rPr>
          <w:rFonts w:ascii="Traditional Arabic" w:hAnsi="Traditional Arabic" w:cs="Traditional Arabic" w:hint="cs"/>
          <w:b/>
          <w:bCs/>
          <w:spacing w:val="-6"/>
          <w:sz w:val="24"/>
          <w:szCs w:val="24"/>
        </w:rPr>
        <w:t xml:space="preserve"> Garcia and Martinez (2022</w:t>
      </w:r>
      <w:r w:rsidR="0017199F"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Barriers to Implementing Risk Management Systems in Hospitals</w:t>
      </w:r>
      <w:r w:rsidR="0017199F" w:rsidRPr="00787A81">
        <w:rPr>
          <w:rFonts w:ascii="Traditional Arabic" w:hAnsi="Traditional Arabic" w:cs="Traditional Arabic" w:hint="cs"/>
          <w:b/>
          <w:bCs/>
          <w:spacing w:val="-6"/>
          <w:sz w:val="24"/>
          <w:szCs w:val="24"/>
          <w:rtl/>
          <w:lang w:bidi="ar-EG"/>
        </w:rPr>
        <w:t xml:space="preserve"> </w:t>
      </w:r>
      <w:r w:rsidRPr="00787A81">
        <w:rPr>
          <w:rFonts w:ascii="Traditional Arabic" w:hAnsi="Traditional Arabic" w:cs="Traditional Arabic" w:hint="cs"/>
          <w:spacing w:val="-6"/>
          <w:sz w:val="24"/>
          <w:szCs w:val="24"/>
          <w:rtl/>
        </w:rPr>
        <w:t>إلى أن مقاومة التغيير تُعد من أبرز العوائق التي تواجه تطبيق نظم إدارة المخاطر في المستشفيات، حيث هدفت إلى تحليل الأسباب التنظيمية والنفسية التي تدفع العاملين إلى مقاومة التغيير، وتحديد سبل إدارتها لضمان تطبيق فعّال ومستدام لإدارة المخاطر</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w:t>
      </w:r>
      <w:r w:rsidR="0017199F" w:rsidRPr="00787A81">
        <w:rPr>
          <w:rFonts w:ascii="Traditional Arabic" w:hAnsi="Traditional Arabic" w:cs="Traditional Arabic" w:hint="cs"/>
          <w:spacing w:val="-6"/>
          <w:sz w:val="24"/>
          <w:szCs w:val="24"/>
          <w:rtl/>
        </w:rPr>
        <w:t>و</w:t>
      </w:r>
      <w:r w:rsidRPr="00787A81">
        <w:rPr>
          <w:rFonts w:ascii="Traditional Arabic" w:hAnsi="Traditional Arabic" w:cs="Traditional Arabic" w:hint="cs"/>
          <w:spacing w:val="-6"/>
          <w:sz w:val="24"/>
          <w:szCs w:val="24"/>
          <w:rtl/>
        </w:rPr>
        <w:t>ركزت الدراسة على أهمية التغيير التنظيمي المدروس، وتعزيز ثقافة السلامة كمدخل أساسي لتجاوز هذه المقاومة</w:t>
      </w:r>
      <w:r w:rsidR="004D121C" w:rsidRPr="00787A81">
        <w:rPr>
          <w:rFonts w:ascii="Traditional Arabic" w:hAnsi="Traditional Arabic" w:cs="Traditional Arabic" w:hint="cs"/>
          <w:spacing w:val="-6"/>
          <w:sz w:val="24"/>
          <w:szCs w:val="24"/>
          <w:rtl/>
        </w:rPr>
        <w:t>،</w:t>
      </w:r>
      <w:r w:rsidR="00484574" w:rsidRPr="00787A81">
        <w:rPr>
          <w:rFonts w:ascii="Traditional Arabic" w:hAnsi="Traditional Arabic" w:cs="Traditional Arabic" w:hint="cs"/>
          <w:spacing w:val="-6"/>
          <w:sz w:val="24"/>
          <w:szCs w:val="24"/>
          <w:rtl/>
        </w:rPr>
        <w:t xml:space="preserve"> و</w:t>
      </w:r>
      <w:r w:rsidRPr="00787A81">
        <w:rPr>
          <w:rFonts w:ascii="Traditional Arabic" w:hAnsi="Traditional Arabic" w:cs="Traditional Arabic" w:hint="cs"/>
          <w:spacing w:val="-6"/>
          <w:sz w:val="24"/>
          <w:szCs w:val="24"/>
          <w:rtl/>
        </w:rPr>
        <w:t>اعتمد الباحثان على المنهج النوعي، واستخدما المقابلات المتعمقة وتحليل الوثائق التنظيمية كأدوات لجمع البيانات. وقد تم تطبيق الدراسة على عينة مكونة من 35 مشاركًا من مديري المستشفيات، ومشرفي الجودة، وعدد من العاملين في الأقسام الطبية والإدارية في مستشفيات إسبانية ومكسيكية، تم اختيارهم بطريقة قصدية لضمان تمثيل الفئات المعنية بإدارة التغيير</w:t>
      </w:r>
      <w:r w:rsidR="00B40BA2" w:rsidRPr="00787A81">
        <w:rPr>
          <w:rFonts w:ascii="Traditional Arabic" w:hAnsi="Traditional Arabic" w:cs="Traditional Arabic" w:hint="cs"/>
          <w:spacing w:val="-6"/>
          <w:sz w:val="24"/>
          <w:szCs w:val="24"/>
          <w:rtl/>
        </w:rPr>
        <w:t>،</w:t>
      </w:r>
      <w:r w:rsidR="00484574" w:rsidRPr="00787A81">
        <w:rPr>
          <w:rFonts w:ascii="Traditional Arabic" w:hAnsi="Traditional Arabic" w:cs="Traditional Arabic" w:hint="cs"/>
          <w:spacing w:val="-6"/>
          <w:sz w:val="24"/>
          <w:szCs w:val="24"/>
          <w:rtl/>
        </w:rPr>
        <w:t xml:space="preserve"> و</w:t>
      </w:r>
      <w:r w:rsidRPr="00787A81">
        <w:rPr>
          <w:rFonts w:ascii="Traditional Arabic" w:hAnsi="Traditional Arabic" w:cs="Traditional Arabic" w:hint="cs"/>
          <w:spacing w:val="-6"/>
          <w:sz w:val="24"/>
          <w:szCs w:val="24"/>
          <w:rtl/>
        </w:rPr>
        <w:t>أظهرت نتائج الدراسة أن مقاومة التغيير تشكل عائقًا رئيسيًا أمام تطبيق نظم إدارة المخاطر، مما يستدعي تطوير استراتيجيات فعالة لتعزيز ثقافة السلامة، وتفعيل التواصل الداخلي، وتقديم التدريب المستمر الذي يراعي الجوانب النفسية والتنظيمية للممارسين الصحيين. كما أوصت الدراسة بضرورة إشراك العاملين في مراحل التخطيط والتنفيذ لضمان قبولهم للتغيير وتحقيق نتائج إيجابية</w:t>
      </w:r>
      <w:r w:rsidRPr="00787A81">
        <w:rPr>
          <w:rFonts w:ascii="Traditional Arabic" w:hAnsi="Traditional Arabic" w:cs="Traditional Arabic" w:hint="cs"/>
          <w:spacing w:val="-6"/>
          <w:sz w:val="24"/>
          <w:szCs w:val="24"/>
        </w:rPr>
        <w:t>.</w:t>
      </w:r>
    </w:p>
    <w:p w14:paraId="63F52BA9" w14:textId="466499FE" w:rsidR="00126FB6" w:rsidRPr="00787A81" w:rsidRDefault="00126FB6"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وأكدت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 منصور بن عبد الرحمن العتيبي</w:t>
      </w:r>
      <w:r w:rsidRPr="00787A81">
        <w:rPr>
          <w:rFonts w:ascii="Traditional Arabic" w:hAnsi="Traditional Arabic" w:cs="Traditional Arabic" w:hint="cs"/>
          <w:b/>
          <w:bCs/>
          <w:spacing w:val="-6"/>
          <w:sz w:val="24"/>
          <w:szCs w:val="24"/>
        </w:rPr>
        <w:t xml:space="preserve"> (2022</w:t>
      </w:r>
      <w:r w:rsidR="0017199F"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دور إدارة المخاطر في تحسين جودة الرعاية الصحية: دراسة ميدانية في مستشفيات الرياض</w:t>
      </w:r>
      <w:r w:rsidR="00B40BA2"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أهمية التدريب والتطوير المهني في تحسين إدارة المخاطر داخل المستشفيات، مع التركيز على دوره في تقليل الأخطاء الطبية ورفع جودة الرعاية الصحية. هدفت الدراسة إلى تحليل أثر البرامج التدريبية والتأهيلية على فعالية تطبيق إدارة المخاطر، وتحديد مدى ارتباط التطوير المهني بتحسين الأداء المؤسسي في القطاع الصحي</w:t>
      </w:r>
      <w:r w:rsidR="00B40BA2"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 على المنهج الميداني الوصفي، واستخدم الاستبيان كأداة رئيسية لجمع البيانات، حيث تم تصميمه لقياس مستوى التدريب والتطوير المهني ومدى تأثيرهما على جودة إدارة المخاطر</w:t>
      </w:r>
      <w:r w:rsidR="0017199F"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 الدراسة على عينة مكونة من 130 موظفًا من الكوادر الطبية والإدارية في مستشفيات مدينة الرياض، تم اختيارهم بطريقة قصدية لضمان تمثيل الفئات المستهدفة بالتدريب والتطوير</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تعزيز التدريب المستمر والتطوير المهني ساهم بشكل فعّال في تحسين إدارة المخاطر، رفع جودة الرعاية الصحية، وتقليل الأخطاء الطبية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دمج برامج التدريب ضمن الخطط الاستراتيجية للمستشفيات، وتوفير بيئة تعليمية مستدامة تضمن تطوير المهارات والمعرفة لدى العاملين في القطاع الصحي</w:t>
      </w:r>
      <w:r w:rsidRPr="00787A81">
        <w:rPr>
          <w:rFonts w:ascii="Traditional Arabic" w:hAnsi="Traditional Arabic" w:cs="Traditional Arabic" w:hint="cs"/>
          <w:spacing w:val="-6"/>
          <w:sz w:val="24"/>
          <w:szCs w:val="24"/>
        </w:rPr>
        <w:t>.</w:t>
      </w:r>
    </w:p>
    <w:p w14:paraId="74F94224" w14:textId="53B92342" w:rsidR="0021562A" w:rsidRPr="00787A81" w:rsidRDefault="0021562A"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 xml:space="preserve">أجرت </w:t>
      </w:r>
      <w:r w:rsidRPr="00787A81">
        <w:rPr>
          <w:rFonts w:ascii="Traditional Arabic" w:hAnsi="Traditional Arabic" w:cs="Traditional Arabic" w:hint="cs"/>
          <w:b/>
          <w:bCs/>
          <w:spacing w:val="-6"/>
          <w:sz w:val="24"/>
          <w:szCs w:val="24"/>
        </w:rPr>
        <w:t xml:space="preserve">Willis Towers Watson </w:t>
      </w:r>
      <w:r w:rsidR="0017199F"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دراسة تحليلية عام 2025 شملت عينة من 120 مستشفى في الولايات المتحدة، تتنوع بين مستشفيات تعليمية، خاصة، وريفية. هدفت الدراسة إلى تقييم أبرز المخاطر التشغيلية والمالية التي تواجه المؤسسات الصحية، خاصة في ظل التحول الرقمي</w:t>
      </w:r>
      <w:r w:rsidRPr="00787A81">
        <w:rPr>
          <w:rFonts w:ascii="Traditional Arabic" w:hAnsi="Traditional Arabic" w:cs="Traditional Arabic" w:hint="cs"/>
          <w:spacing w:val="-6"/>
          <w:sz w:val="24"/>
          <w:szCs w:val="24"/>
        </w:rPr>
        <w:t>.</w:t>
      </w:r>
      <w:r w:rsidR="00B40BA2"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استخدم الباحثون استبيانًا إلكترونيًا مكونًا من 35 بندًا يغطي مجالات: الأمن السيبراني، سلامة المرضى، الامتثال التنظيمي، والموارد البشرية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تم دعم النتائج بتحليل بيانات ثانوية من تقارير الحوادث الداخلية وأنظمة إدارة الجودة</w:t>
      </w:r>
      <w:r w:rsidR="00B40BA2"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أظهرت النتائج أن نقص الكوادر الطبية والتهديدات السيبرانية هما أكثر المخاطر تأثيرًا على الأداء، مما يستدعي تعزيز أدوات الرصد المبكر والتدريب المستمر.</w:t>
      </w:r>
    </w:p>
    <w:p w14:paraId="2B33AB9B" w14:textId="0D97A0C1" w:rsidR="0021562A" w:rsidRDefault="0017199F"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lastRenderedPageBreak/>
        <w:t>و</w:t>
      </w:r>
      <w:r w:rsidR="0021562A" w:rsidRPr="00787A81">
        <w:rPr>
          <w:rFonts w:ascii="Traditional Arabic" w:hAnsi="Traditional Arabic" w:cs="Traditional Arabic" w:hint="cs"/>
          <w:b/>
          <w:bCs/>
          <w:spacing w:val="-6"/>
          <w:sz w:val="24"/>
          <w:szCs w:val="24"/>
          <w:rtl/>
        </w:rPr>
        <w:t xml:space="preserve">في دراسة تطبيقية نُشرت عام 2025، قام فريق من الباحثين بتحليل </w:t>
      </w:r>
      <w:r w:rsidR="0021562A" w:rsidRPr="00787A81">
        <w:rPr>
          <w:rFonts w:ascii="Traditional Arabic" w:hAnsi="Traditional Arabic" w:cs="Traditional Arabic" w:hint="cs"/>
          <w:spacing w:val="-6"/>
          <w:sz w:val="24"/>
          <w:szCs w:val="24"/>
          <w:rtl/>
        </w:rPr>
        <w:t>فعالية أدوات إدارة المخاطر في عينة من 85 مستشفى في أوروبا، باستخدام منهج وصفي تحليلي</w:t>
      </w:r>
      <w:r w:rsidR="0021562A" w:rsidRPr="00787A81">
        <w:rPr>
          <w:rFonts w:ascii="Traditional Arabic" w:hAnsi="Traditional Arabic" w:cs="Traditional Arabic" w:hint="cs"/>
          <w:spacing w:val="-6"/>
          <w:sz w:val="24"/>
          <w:szCs w:val="24"/>
        </w:rPr>
        <w:t>.</w:t>
      </w:r>
      <w:r w:rsidR="00983245" w:rsidRPr="00787A81">
        <w:rPr>
          <w:rFonts w:ascii="Traditional Arabic" w:hAnsi="Traditional Arabic" w:cs="Traditional Arabic" w:hint="cs"/>
          <w:spacing w:val="-6"/>
          <w:sz w:val="24"/>
          <w:szCs w:val="24"/>
          <w:rtl/>
        </w:rPr>
        <w:t xml:space="preserve"> </w:t>
      </w:r>
      <w:r w:rsidR="0021562A" w:rsidRPr="00787A81">
        <w:rPr>
          <w:rFonts w:ascii="Traditional Arabic" w:hAnsi="Traditional Arabic" w:cs="Traditional Arabic" w:hint="cs"/>
          <w:spacing w:val="-6"/>
          <w:sz w:val="24"/>
          <w:szCs w:val="24"/>
          <w:rtl/>
        </w:rPr>
        <w:t xml:space="preserve">اعتمدت الدراسة على مقابلات شبه منظمة مع مديري الجودة والمخاطر، بالإضافة إلى تحليل استخدام أدوات مثل </w:t>
      </w:r>
      <w:r w:rsidR="0021562A" w:rsidRPr="00787A81">
        <w:rPr>
          <w:rFonts w:ascii="Traditional Arabic" w:hAnsi="Traditional Arabic" w:cs="Traditional Arabic" w:hint="cs"/>
          <w:spacing w:val="-6"/>
          <w:sz w:val="24"/>
          <w:szCs w:val="24"/>
        </w:rPr>
        <w:t xml:space="preserve">RLDatix </w:t>
      </w:r>
      <w:r w:rsidR="0021562A" w:rsidRPr="00787A81">
        <w:rPr>
          <w:rFonts w:ascii="Traditional Arabic" w:hAnsi="Traditional Arabic" w:cs="Traditional Arabic" w:hint="cs"/>
          <w:spacing w:val="-6"/>
          <w:sz w:val="24"/>
          <w:szCs w:val="24"/>
          <w:rtl/>
        </w:rPr>
        <w:t>و</w:t>
      </w:r>
      <w:r w:rsidR="0021562A" w:rsidRPr="00787A81">
        <w:rPr>
          <w:rFonts w:ascii="Traditional Arabic" w:hAnsi="Traditional Arabic" w:cs="Traditional Arabic" w:hint="cs"/>
          <w:spacing w:val="-6"/>
          <w:sz w:val="24"/>
          <w:szCs w:val="24"/>
        </w:rPr>
        <w:t xml:space="preserve">MetricStream </w:t>
      </w:r>
      <w:r w:rsidR="0021562A" w:rsidRPr="00787A81">
        <w:rPr>
          <w:rFonts w:ascii="Traditional Arabic" w:hAnsi="Traditional Arabic" w:cs="Traditional Arabic" w:hint="cs"/>
          <w:spacing w:val="-6"/>
          <w:sz w:val="24"/>
          <w:szCs w:val="24"/>
          <w:rtl/>
        </w:rPr>
        <w:t>و</w:t>
      </w:r>
      <w:r w:rsidR="0021562A" w:rsidRPr="00787A81">
        <w:rPr>
          <w:rFonts w:ascii="Traditional Arabic" w:hAnsi="Traditional Arabic" w:cs="Traditional Arabic" w:hint="cs"/>
          <w:spacing w:val="-6"/>
          <w:sz w:val="24"/>
          <w:szCs w:val="24"/>
        </w:rPr>
        <w:t>Radar Healthcare</w:t>
      </w:r>
      <w:r w:rsidR="0021562A" w:rsidRPr="00787A81">
        <w:rPr>
          <w:rFonts w:ascii="Traditional Arabic" w:hAnsi="Traditional Arabic" w:cs="Traditional Arabic" w:hint="cs"/>
          <w:spacing w:val="-6"/>
          <w:sz w:val="24"/>
          <w:szCs w:val="24"/>
          <w:rtl/>
        </w:rPr>
        <w:t>، وهي أنظمة رقمية متخصصة في تتبع الحوادث وتحليل أسبابها</w:t>
      </w:r>
      <w:r w:rsidR="0021562A" w:rsidRPr="00787A81">
        <w:rPr>
          <w:rFonts w:ascii="Traditional Arabic" w:hAnsi="Traditional Arabic" w:cs="Traditional Arabic" w:hint="cs"/>
          <w:spacing w:val="-6"/>
          <w:sz w:val="24"/>
          <w:szCs w:val="24"/>
        </w:rPr>
        <w:t>.</w:t>
      </w:r>
      <w:r w:rsidR="00983245" w:rsidRPr="00787A81">
        <w:rPr>
          <w:rFonts w:ascii="Traditional Arabic" w:hAnsi="Traditional Arabic" w:cs="Traditional Arabic" w:hint="cs"/>
          <w:spacing w:val="-6"/>
          <w:sz w:val="24"/>
          <w:szCs w:val="24"/>
          <w:rtl/>
        </w:rPr>
        <w:t xml:space="preserve"> </w:t>
      </w:r>
      <w:r w:rsidR="0021562A" w:rsidRPr="00787A81">
        <w:rPr>
          <w:rFonts w:ascii="Traditional Arabic" w:hAnsi="Traditional Arabic" w:cs="Traditional Arabic" w:hint="cs"/>
          <w:spacing w:val="-6"/>
          <w:sz w:val="24"/>
          <w:szCs w:val="24"/>
          <w:rtl/>
        </w:rPr>
        <w:t xml:space="preserve">أظهرت النتائج أن المستشفيات التي تستخدم أدوات متكاملة لإدارة المخاطر تحقق استجابة أسرع للحوادث، وتقل فيها معدلات الأخطاء الطبية بنسبة تصل إلى 23% مقارنة بالمستشفيات التي تعتمد على أدوات </w:t>
      </w:r>
      <w:r w:rsidR="00983245" w:rsidRPr="00787A81">
        <w:rPr>
          <w:rFonts w:ascii="Traditional Arabic" w:hAnsi="Traditional Arabic" w:cs="Traditional Arabic" w:hint="cs"/>
          <w:spacing w:val="-6"/>
          <w:sz w:val="24"/>
          <w:szCs w:val="24"/>
          <w:rtl/>
        </w:rPr>
        <w:t>تقليدية.</w:t>
      </w:r>
    </w:p>
    <w:p w14:paraId="6548AD0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1DA4D0EB"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3EE0AAA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78B88AE"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240C6B4A"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B23417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866AA73"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B584002"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2AF08CBB"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8FBF345"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192E9D8"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34EA0E49"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42F4298"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CFD51A2"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69611AF"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212354D"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52530845" w14:textId="77777777" w:rsidR="00787A81" w:rsidRP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6B2B837" w14:textId="4222FD73" w:rsidR="00787A81" w:rsidRPr="00787A81" w:rsidRDefault="0017199F" w:rsidP="00787A81">
      <w:pPr>
        <w:bidi/>
        <w:spacing w:before="120" w:after="120" w:line="240" w:lineRule="auto"/>
        <w:ind w:firstLine="720"/>
        <w:jc w:val="center"/>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lang w:bidi="ar-EG"/>
        </w:rPr>
        <w:lastRenderedPageBreak/>
        <w:t xml:space="preserve">جدول ( </w:t>
      </w:r>
      <w:r w:rsidR="0073051C" w:rsidRPr="00787A81">
        <w:rPr>
          <w:rFonts w:ascii="Traditional Arabic" w:hAnsi="Traditional Arabic" w:cs="Traditional Arabic" w:hint="cs"/>
          <w:b/>
          <w:bCs/>
          <w:spacing w:val="-6"/>
          <w:sz w:val="24"/>
          <w:szCs w:val="24"/>
          <w:rtl/>
          <w:lang w:bidi="ar-EG"/>
        </w:rPr>
        <w:t>5</w:t>
      </w:r>
      <w:r w:rsidRPr="00787A81">
        <w:rPr>
          <w:rFonts w:ascii="Traditional Arabic" w:hAnsi="Traditional Arabic" w:cs="Traditional Arabic" w:hint="cs"/>
          <w:b/>
          <w:bCs/>
          <w:spacing w:val="-6"/>
          <w:sz w:val="24"/>
          <w:szCs w:val="24"/>
          <w:rtl/>
          <w:lang w:bidi="ar-EG"/>
        </w:rPr>
        <w:t xml:space="preserve"> ) ملخص الدراسات السابقة </w:t>
      </w:r>
      <w:r w:rsidRPr="00787A81">
        <w:rPr>
          <w:rFonts w:ascii="Traditional Arabic" w:hAnsi="Traditional Arabic" w:cs="Traditional Arabic" w:hint="cs"/>
          <w:b/>
          <w:bCs/>
          <w:spacing w:val="-6"/>
          <w:sz w:val="24"/>
          <w:szCs w:val="24"/>
          <w:rtl/>
        </w:rPr>
        <w:t>حول إدارة المخاطر</w:t>
      </w:r>
    </w:p>
    <w:tbl>
      <w:tblPr>
        <w:tblStyle w:val="GridTable1Light"/>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90"/>
        <w:gridCol w:w="2276"/>
        <w:gridCol w:w="2155"/>
        <w:gridCol w:w="2469"/>
      </w:tblGrid>
      <w:tr w:rsidR="008D1B3B" w:rsidRPr="00787A81" w14:paraId="1492F3AA" w14:textId="1AED59A0" w:rsidTr="000B23A5">
        <w:trPr>
          <w:cnfStyle w:val="100000000000" w:firstRow="1" w:lastRow="0" w:firstColumn="0" w:lastColumn="0" w:oddVBand="0" w:evenVBand="0" w:oddHBand="0" w:evenHBand="0" w:firstRowFirstColumn="0" w:firstRowLastColumn="0" w:lastRowFirstColumn="0" w:lastRowLastColumn="0"/>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Borders>
              <w:bottom w:val="none" w:sz="0" w:space="0" w:color="auto"/>
            </w:tcBorders>
            <w:shd w:val="clear" w:color="auto" w:fill="E5DFEC" w:themeFill="accent4" w:themeFillTint="33"/>
          </w:tcPr>
          <w:p w14:paraId="415012FE" w14:textId="6E764845" w:rsidR="008D1B3B" w:rsidRPr="00787A81" w:rsidRDefault="008D1B3B" w:rsidP="00787A81">
            <w:pPr>
              <w:bidi/>
              <w:spacing w:before="120" w:after="120" w:line="240" w:lineRule="auto"/>
              <w:jc w:val="center"/>
              <w:rPr>
                <w:rFonts w:ascii="Traditional Arabic" w:hAnsi="Traditional Arabic" w:cs="Traditional Arabic"/>
                <w:spacing w:val="-6"/>
                <w:sz w:val="24"/>
                <w:szCs w:val="24"/>
                <w:rtl/>
                <w:lang w:bidi="ar-EG"/>
              </w:rPr>
            </w:pPr>
            <w:bookmarkStart w:id="7" w:name="_Hlk208973796"/>
            <w:r w:rsidRPr="00787A81">
              <w:rPr>
                <w:rFonts w:ascii="Traditional Arabic" w:hAnsi="Traditional Arabic" w:cs="Traditional Arabic" w:hint="cs"/>
                <w:spacing w:val="-6"/>
                <w:sz w:val="24"/>
                <w:szCs w:val="24"/>
                <w:rtl/>
                <w:lang w:bidi="ar-EG"/>
              </w:rPr>
              <w:t>الدراسة</w:t>
            </w:r>
          </w:p>
        </w:tc>
        <w:tc>
          <w:tcPr>
            <w:tcW w:w="1349" w:type="pct"/>
            <w:tcBorders>
              <w:bottom w:val="none" w:sz="0" w:space="0" w:color="auto"/>
            </w:tcBorders>
            <w:shd w:val="clear" w:color="auto" w:fill="E5DFEC" w:themeFill="accent4" w:themeFillTint="33"/>
          </w:tcPr>
          <w:p w14:paraId="241A9296" w14:textId="0A12ADE1"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الهدف</w:t>
            </w:r>
          </w:p>
        </w:tc>
        <w:tc>
          <w:tcPr>
            <w:tcW w:w="1275" w:type="pct"/>
            <w:tcBorders>
              <w:bottom w:val="none" w:sz="0" w:space="0" w:color="auto"/>
            </w:tcBorders>
            <w:shd w:val="clear" w:color="auto" w:fill="E5DFEC" w:themeFill="accent4" w:themeFillTint="33"/>
          </w:tcPr>
          <w:p w14:paraId="2A7639C5" w14:textId="14DB522D"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النتيجة</w:t>
            </w:r>
          </w:p>
        </w:tc>
        <w:tc>
          <w:tcPr>
            <w:tcW w:w="1453" w:type="pct"/>
            <w:tcBorders>
              <w:bottom w:val="none" w:sz="0" w:space="0" w:color="auto"/>
            </w:tcBorders>
            <w:shd w:val="clear" w:color="auto" w:fill="E5DFEC" w:themeFill="accent4" w:themeFillTint="33"/>
          </w:tcPr>
          <w:p w14:paraId="1E941FD3" w14:textId="6890412B"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الفرق بينها وبين دراستي</w:t>
            </w:r>
          </w:p>
        </w:tc>
      </w:tr>
      <w:tr w:rsidR="008D1B3B" w:rsidRPr="00787A81" w14:paraId="3570F906" w14:textId="3395AD2E"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5FA7E05E" w14:textId="70D38386" w:rsidR="008D1B3B" w:rsidRPr="00787A81" w:rsidRDefault="00C63202"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lang w:bidi="ar-EG"/>
              </w:rPr>
              <w:t>Smith et al. (2017)</w:t>
            </w:r>
          </w:p>
        </w:tc>
        <w:tc>
          <w:tcPr>
            <w:tcW w:w="1349" w:type="pct"/>
          </w:tcPr>
          <w:p w14:paraId="649A83F7" w14:textId="4A1AE714" w:rsidR="008D1B3B" w:rsidRPr="00787A81" w:rsidRDefault="00280EFA" w:rsidP="00787A81">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تحليل العلاقة بين أدوات تحليل البيانات الطبية وتدريب الكوادر الصحية وبين فعالية الإجراءات الوقائية في تقليل الحوادث الطبية</w:t>
            </w:r>
            <w:r w:rsidRPr="00787A81">
              <w:rPr>
                <w:rFonts w:ascii="Traditional Arabic" w:hAnsi="Traditional Arabic" w:cs="Traditional Arabic" w:hint="cs"/>
                <w:b/>
                <w:bCs/>
                <w:sz w:val="24"/>
                <w:szCs w:val="24"/>
              </w:rPr>
              <w:t>.</w:t>
            </w:r>
          </w:p>
        </w:tc>
        <w:tc>
          <w:tcPr>
            <w:tcW w:w="1275" w:type="pct"/>
          </w:tcPr>
          <w:p w14:paraId="16C59850" w14:textId="05E0A3DF" w:rsidR="008D1B3B" w:rsidRPr="00787A81" w:rsidRDefault="005C313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أظهرت الدراسة أن تطبيق إدارة المخاطر ساهم في تحسين سلامة المرضى وتقليل الأخطاء الطبية وزيادة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10219B26" w14:textId="066AF60B" w:rsidR="008D1B3B" w:rsidRPr="00787A81" w:rsidRDefault="005C313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دراستي تضيف البُعد القيادي من خلال تحليل الدور الوسيط للقيادة التحويلية، بينما دراسة</w:t>
            </w:r>
            <w:r w:rsidRPr="00787A81">
              <w:rPr>
                <w:rFonts w:ascii="Traditional Arabic" w:hAnsi="Traditional Arabic" w:cs="Traditional Arabic" w:hint="cs"/>
                <w:b/>
                <w:bCs/>
                <w:spacing w:val="-6"/>
                <w:sz w:val="24"/>
                <w:szCs w:val="24"/>
                <w:lang w:bidi="ar-EG"/>
              </w:rPr>
              <w:t xml:space="preserve"> Smith </w:t>
            </w:r>
            <w:r w:rsidRPr="00787A81">
              <w:rPr>
                <w:rFonts w:ascii="Traditional Arabic" w:hAnsi="Traditional Arabic" w:cs="Traditional Arabic" w:hint="cs"/>
                <w:b/>
                <w:bCs/>
                <w:spacing w:val="-6"/>
                <w:sz w:val="24"/>
                <w:szCs w:val="24"/>
                <w:rtl/>
              </w:rPr>
              <w:t>ركزت فقط على الأثر المباشر لإدارة المخاطر دون تناول العوامل التنظيمية</w:t>
            </w:r>
            <w:r w:rsidRPr="00787A81">
              <w:rPr>
                <w:rFonts w:ascii="Traditional Arabic" w:hAnsi="Traditional Arabic" w:cs="Traditional Arabic" w:hint="cs"/>
                <w:b/>
                <w:bCs/>
                <w:spacing w:val="-6"/>
                <w:sz w:val="24"/>
                <w:szCs w:val="24"/>
                <w:lang w:bidi="ar-EG"/>
              </w:rPr>
              <w:t>.</w:t>
            </w:r>
          </w:p>
        </w:tc>
      </w:tr>
      <w:tr w:rsidR="008D1B3B" w:rsidRPr="00787A81" w14:paraId="0E6082E8" w14:textId="7449C7AF"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217BADDD" w14:textId="35BFACD8" w:rsidR="008D1B3B" w:rsidRPr="00787A81" w:rsidRDefault="007E4373"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lang w:bidi="ar-EG"/>
              </w:rPr>
              <w:t>Jones and Brown (2018)</w:t>
            </w:r>
          </w:p>
        </w:tc>
        <w:tc>
          <w:tcPr>
            <w:tcW w:w="1349" w:type="pct"/>
          </w:tcPr>
          <w:p w14:paraId="4A0E2B5A" w14:textId="700E2099" w:rsidR="008D1B3B" w:rsidRPr="00787A81" w:rsidRDefault="007E437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تحليل العلاقة بين تطبيق استراتيجيات إدارة المخاطر وجودة الخدمات الصحية، مع التركيز على أثر هذه الاستراتيجيات في تحسين نتائج العلاج وتقليل الفاقد التشغيلي</w:t>
            </w:r>
            <w:r w:rsidRPr="00787A81">
              <w:rPr>
                <w:rFonts w:ascii="Traditional Arabic" w:hAnsi="Traditional Arabic" w:cs="Traditional Arabic" w:hint="cs"/>
                <w:b/>
                <w:bCs/>
                <w:spacing w:val="-6"/>
                <w:sz w:val="24"/>
                <w:szCs w:val="24"/>
                <w:lang w:bidi="ar-EG"/>
              </w:rPr>
              <w:t>.</w:t>
            </w:r>
          </w:p>
        </w:tc>
        <w:tc>
          <w:tcPr>
            <w:tcW w:w="1275" w:type="pct"/>
          </w:tcPr>
          <w:p w14:paraId="1CA2032C" w14:textId="3B99E268" w:rsidR="008D1B3B" w:rsidRPr="00787A81" w:rsidRDefault="00535FA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أظهرت الدراسة أن إدارة المخاطر ساهمت في تحسين جودة الرعاية الصحية من خلال تقليل الأخطاء الطبية والتكاليف، وتعزيز الكفاءة التشغيلية للمستشفيات</w:t>
            </w:r>
            <w:r w:rsidRPr="00787A81">
              <w:rPr>
                <w:rFonts w:ascii="Traditional Arabic" w:hAnsi="Traditional Arabic" w:cs="Traditional Arabic" w:hint="cs"/>
                <w:b/>
                <w:bCs/>
                <w:spacing w:val="-6"/>
                <w:sz w:val="24"/>
                <w:szCs w:val="24"/>
                <w:lang w:bidi="ar-EG"/>
              </w:rPr>
              <w:t>.</w:t>
            </w:r>
          </w:p>
        </w:tc>
        <w:tc>
          <w:tcPr>
            <w:tcW w:w="1453" w:type="pct"/>
          </w:tcPr>
          <w:p w14:paraId="4D7E7E55" w14:textId="4BFA4523" w:rsidR="008D1B3B" w:rsidRPr="00787A81" w:rsidRDefault="00535FA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دراستي تتناول القيادة التحويلية كعامل وسيط في العلاقة بين إدارة المخاطر وسلامة المرضى، بينما دراسة</w:t>
            </w:r>
            <w:r w:rsidRPr="00787A81">
              <w:rPr>
                <w:rFonts w:ascii="Traditional Arabic" w:hAnsi="Traditional Arabic" w:cs="Traditional Arabic" w:hint="cs"/>
                <w:b/>
                <w:bCs/>
                <w:spacing w:val="-6"/>
                <w:sz w:val="24"/>
                <w:szCs w:val="24"/>
                <w:lang w:bidi="ar-EG"/>
              </w:rPr>
              <w:t xml:space="preserve"> Jones and Brown </w:t>
            </w:r>
            <w:r w:rsidRPr="00787A81">
              <w:rPr>
                <w:rFonts w:ascii="Traditional Arabic" w:hAnsi="Traditional Arabic" w:cs="Traditional Arabic" w:hint="cs"/>
                <w:b/>
                <w:bCs/>
                <w:spacing w:val="-6"/>
                <w:sz w:val="24"/>
                <w:szCs w:val="24"/>
                <w:rtl/>
              </w:rPr>
              <w:t>ركزت على العلاقة المباشرة بين إدارة المخاطر وجودة الخدمات دون تحليل الأبعاد القيادية</w:t>
            </w:r>
            <w:r w:rsidR="000C04F1" w:rsidRPr="00787A81">
              <w:rPr>
                <w:rFonts w:ascii="Traditional Arabic" w:hAnsi="Traditional Arabic" w:cs="Traditional Arabic" w:hint="cs"/>
                <w:b/>
                <w:bCs/>
                <w:spacing w:val="-6"/>
                <w:sz w:val="24"/>
                <w:szCs w:val="24"/>
                <w:rtl/>
              </w:rPr>
              <w:t>.</w:t>
            </w:r>
          </w:p>
        </w:tc>
      </w:tr>
      <w:tr w:rsidR="008D1B3B" w:rsidRPr="00787A81" w14:paraId="2E50FFB4" w14:textId="08C1632A"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851B6D7" w14:textId="63CA24E6" w:rsidR="008D1B3B" w:rsidRPr="00787A81" w:rsidRDefault="00D90807"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z w:val="24"/>
                <w:szCs w:val="24"/>
              </w:rPr>
              <w:t>Al-Zahrani, S. (2018)</w:t>
            </w:r>
          </w:p>
        </w:tc>
        <w:tc>
          <w:tcPr>
            <w:tcW w:w="1349" w:type="pct"/>
          </w:tcPr>
          <w:p w14:paraId="278AC28B" w14:textId="72DB8914" w:rsidR="008D1B3B" w:rsidRPr="00787A81" w:rsidRDefault="00D908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z w:val="24"/>
                <w:szCs w:val="24"/>
                <w:rtl/>
              </w:rPr>
              <w:t>تحليل وتقييم استراتيجيات إدارة المخاطر في المستشفيات السعودية، مع التركيز على التدريب المستمر ورفع الوعي</w:t>
            </w:r>
            <w:r w:rsidRPr="00787A81">
              <w:rPr>
                <w:rFonts w:ascii="Traditional Arabic" w:hAnsi="Traditional Arabic" w:cs="Traditional Arabic" w:hint="cs"/>
                <w:b/>
                <w:bCs/>
                <w:sz w:val="24"/>
                <w:szCs w:val="24"/>
              </w:rPr>
              <w:t>.</w:t>
            </w:r>
          </w:p>
        </w:tc>
        <w:tc>
          <w:tcPr>
            <w:tcW w:w="1275" w:type="pct"/>
          </w:tcPr>
          <w:p w14:paraId="1156142F" w14:textId="7841A01D" w:rsidR="008D1B3B" w:rsidRPr="00787A81" w:rsidRDefault="00D908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ساهم تعزيز التدريب والوعي في تحسين جودة الخدمات الصحية وتقليل التكاليف وزيادة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7E060564" w14:textId="36B740E0" w:rsidR="008D1B3B" w:rsidRPr="00787A81" w:rsidRDefault="000E1E9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w:t>
            </w:r>
            <w:r w:rsidR="005A1196" w:rsidRPr="00787A81">
              <w:rPr>
                <w:rFonts w:ascii="Traditional Arabic" w:hAnsi="Traditional Arabic" w:cs="Traditional Arabic" w:hint="cs"/>
                <w:b/>
                <w:bCs/>
                <w:spacing w:val="-6"/>
                <w:sz w:val="24"/>
                <w:szCs w:val="24"/>
                <w:rtl/>
              </w:rPr>
              <w:t>ي</w:t>
            </w:r>
            <w:r w:rsidRPr="00787A81">
              <w:rPr>
                <w:rFonts w:ascii="Traditional Arabic" w:hAnsi="Traditional Arabic" w:cs="Traditional Arabic" w:hint="cs"/>
                <w:b/>
                <w:bCs/>
                <w:spacing w:val="-6"/>
                <w:sz w:val="24"/>
                <w:szCs w:val="24"/>
                <w:rtl/>
              </w:rPr>
              <w:t xml:space="preserve"> تضيف القيادة التحويلية كعامل وسيط، بينما ركزت هذه الدراسة على التدريب والوعي كعوامل مباشرة</w:t>
            </w:r>
            <w:r w:rsidRPr="00787A81">
              <w:rPr>
                <w:rFonts w:ascii="Traditional Arabic" w:hAnsi="Traditional Arabic" w:cs="Traditional Arabic" w:hint="cs"/>
                <w:b/>
                <w:bCs/>
                <w:spacing w:val="-6"/>
                <w:sz w:val="24"/>
                <w:szCs w:val="24"/>
                <w:lang w:bidi="ar-EG"/>
              </w:rPr>
              <w:t>.</w:t>
            </w:r>
          </w:p>
        </w:tc>
      </w:tr>
      <w:tr w:rsidR="008D1B3B" w:rsidRPr="00787A81" w14:paraId="40A388B9" w14:textId="4809C3F0"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2F4ED8F" w14:textId="5B586BE9" w:rsidR="008D1B3B" w:rsidRPr="00787A81" w:rsidRDefault="005A1196"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z w:val="24"/>
                <w:szCs w:val="24"/>
                <w:rtl/>
              </w:rPr>
              <w:t>أحمد محمد السعيد</w:t>
            </w:r>
            <w:r w:rsidRPr="00787A81">
              <w:rPr>
                <w:rFonts w:ascii="Traditional Arabic" w:hAnsi="Traditional Arabic" w:cs="Traditional Arabic" w:hint="cs"/>
                <w:sz w:val="24"/>
                <w:szCs w:val="24"/>
              </w:rPr>
              <w:t xml:space="preserve"> (2019)</w:t>
            </w:r>
          </w:p>
        </w:tc>
        <w:tc>
          <w:tcPr>
            <w:tcW w:w="1349" w:type="pct"/>
          </w:tcPr>
          <w:p w14:paraId="746E71CE" w14:textId="7DB8DD63" w:rsidR="008D1B3B" w:rsidRPr="00787A81" w:rsidRDefault="005A119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تقييم واقع إدارة المخاطر في المستشفيات الحكومية السعودية وتحليل أثر نقص التدريب والوعي</w:t>
            </w:r>
            <w:r w:rsidRPr="00787A81">
              <w:rPr>
                <w:rFonts w:ascii="Traditional Arabic" w:hAnsi="Traditional Arabic" w:cs="Traditional Arabic" w:hint="cs"/>
                <w:b/>
                <w:bCs/>
                <w:spacing w:val="-6"/>
                <w:sz w:val="24"/>
                <w:szCs w:val="24"/>
                <w:lang w:bidi="ar-EG"/>
              </w:rPr>
              <w:t>.</w:t>
            </w:r>
          </w:p>
        </w:tc>
        <w:tc>
          <w:tcPr>
            <w:tcW w:w="1275" w:type="pct"/>
          </w:tcPr>
          <w:p w14:paraId="4C10EEBC" w14:textId="2060D6CA" w:rsidR="008D1B3B" w:rsidRPr="00787A81" w:rsidRDefault="005A119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نقص التدريب والوعي يعيق تحسين جودة الرعاية، بينما تعزيزها يقلل الأخطاء ويزيد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39AEBCB5" w14:textId="623B99B6" w:rsidR="008D1B3B" w:rsidRPr="00787A81" w:rsidRDefault="00AC16E1"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w:t>
            </w:r>
            <w:r w:rsidR="00E14A36" w:rsidRPr="00787A81">
              <w:rPr>
                <w:rFonts w:ascii="Traditional Arabic" w:hAnsi="Traditional Arabic" w:cs="Traditional Arabic" w:hint="cs"/>
                <w:b/>
                <w:bCs/>
                <w:spacing w:val="-6"/>
                <w:sz w:val="24"/>
                <w:szCs w:val="24"/>
                <w:rtl/>
              </w:rPr>
              <w:t>ي</w:t>
            </w:r>
            <w:r w:rsidRPr="00787A81">
              <w:rPr>
                <w:rFonts w:ascii="Traditional Arabic" w:hAnsi="Traditional Arabic" w:cs="Traditional Arabic" w:hint="cs"/>
                <w:b/>
                <w:bCs/>
                <w:spacing w:val="-6"/>
                <w:sz w:val="24"/>
                <w:szCs w:val="24"/>
                <w:rtl/>
              </w:rPr>
              <w:t xml:space="preserve"> تدرس القيادة التحويلية كوسيط تنظيمي، بينما هذه الدراسة ركزت على التحديات الداخلية دون تحليل تنظيمي وسيط</w:t>
            </w:r>
            <w:r w:rsidRPr="00787A81">
              <w:rPr>
                <w:rFonts w:ascii="Traditional Arabic" w:hAnsi="Traditional Arabic" w:cs="Traditional Arabic" w:hint="cs"/>
                <w:b/>
                <w:bCs/>
                <w:spacing w:val="-6"/>
                <w:sz w:val="24"/>
                <w:szCs w:val="24"/>
                <w:lang w:bidi="ar-EG"/>
              </w:rPr>
              <w:t>.</w:t>
            </w:r>
          </w:p>
        </w:tc>
      </w:tr>
      <w:tr w:rsidR="00E14A36" w:rsidRPr="00787A81" w14:paraId="5AD27AC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058B495C" w14:textId="1D6BE4AC" w:rsidR="00E14A36" w:rsidRPr="00787A81" w:rsidRDefault="008A1CF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Al-Omari et al. (2019)</w:t>
            </w:r>
          </w:p>
        </w:tc>
        <w:tc>
          <w:tcPr>
            <w:tcW w:w="1349" w:type="pct"/>
          </w:tcPr>
          <w:p w14:paraId="4B8A09EA" w14:textId="3CBE45FD" w:rsidR="00E14A36" w:rsidRPr="00787A81" w:rsidRDefault="008A1CF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العلاقة بين دعم الإدارة العليا وفعالية تنفيذ استراتيجيات إدارة المخاطر</w:t>
            </w:r>
            <w:r w:rsidRPr="00787A81">
              <w:rPr>
                <w:rFonts w:ascii="Traditional Arabic" w:hAnsi="Traditional Arabic" w:cs="Traditional Arabic" w:hint="cs"/>
                <w:b/>
                <w:bCs/>
                <w:spacing w:val="-6"/>
                <w:sz w:val="24"/>
                <w:szCs w:val="24"/>
              </w:rPr>
              <w:t>.</w:t>
            </w:r>
          </w:p>
        </w:tc>
        <w:tc>
          <w:tcPr>
            <w:tcW w:w="1275" w:type="pct"/>
          </w:tcPr>
          <w:p w14:paraId="09AB3864" w14:textId="15F0D746" w:rsidR="00E14A36" w:rsidRPr="00787A81" w:rsidRDefault="00941931"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دعم الإدارة العليا يحسن فعالية نظم إدارة المخاطر وجودة الرعاية الصحية ويقلل الأخطاء</w:t>
            </w:r>
            <w:r w:rsidRPr="00787A81">
              <w:rPr>
                <w:rFonts w:ascii="Traditional Arabic" w:hAnsi="Traditional Arabic" w:cs="Traditional Arabic" w:hint="cs"/>
                <w:b/>
                <w:bCs/>
                <w:spacing w:val="-6"/>
                <w:sz w:val="24"/>
                <w:szCs w:val="24"/>
              </w:rPr>
              <w:t>.</w:t>
            </w:r>
          </w:p>
        </w:tc>
        <w:tc>
          <w:tcPr>
            <w:tcW w:w="1453" w:type="pct"/>
          </w:tcPr>
          <w:p w14:paraId="089F1AC4" w14:textId="2BB21EF3" w:rsidR="00E14A36" w:rsidRPr="00787A81" w:rsidRDefault="008379A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ركزت على الدعم الإداري كعامل مباشر</w:t>
            </w:r>
            <w:r w:rsidRPr="00787A81">
              <w:rPr>
                <w:rFonts w:ascii="Traditional Arabic" w:hAnsi="Traditional Arabic" w:cs="Traditional Arabic" w:hint="cs"/>
                <w:b/>
                <w:bCs/>
                <w:spacing w:val="-6"/>
                <w:sz w:val="24"/>
                <w:szCs w:val="24"/>
              </w:rPr>
              <w:t>.</w:t>
            </w:r>
          </w:p>
        </w:tc>
      </w:tr>
      <w:tr w:rsidR="00E14A36" w:rsidRPr="00787A81" w14:paraId="7C54FEE1"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133A1272" w14:textId="0D1CC55B" w:rsidR="00E14A36" w:rsidRPr="00787A81" w:rsidRDefault="000C1499"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Khan et al. (2019)</w:t>
            </w:r>
          </w:p>
        </w:tc>
        <w:tc>
          <w:tcPr>
            <w:tcW w:w="1349" w:type="pct"/>
          </w:tcPr>
          <w:p w14:paraId="35E248DA" w14:textId="1732D5FA"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تطبيق نظم إدارة المخاطر على جودة الرعاية وسلامة المرضى في المستشفيات الشرق أوسطية</w:t>
            </w:r>
            <w:r w:rsidRPr="00787A81">
              <w:rPr>
                <w:rFonts w:ascii="Traditional Arabic" w:hAnsi="Traditional Arabic" w:cs="Traditional Arabic" w:hint="cs"/>
                <w:b/>
                <w:bCs/>
                <w:spacing w:val="-6"/>
                <w:sz w:val="24"/>
                <w:szCs w:val="24"/>
              </w:rPr>
              <w:t>.</w:t>
            </w:r>
          </w:p>
        </w:tc>
        <w:tc>
          <w:tcPr>
            <w:tcW w:w="1275" w:type="pct"/>
          </w:tcPr>
          <w:p w14:paraId="451197D4" w14:textId="234CE488"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تطبيق إدارة المخاطر أدى إلى تحسين السلامة وجودة الخدمات وزيادة رضا المرضى وتعزيز السمعة</w:t>
            </w:r>
            <w:r w:rsidRPr="00787A81">
              <w:rPr>
                <w:rFonts w:ascii="Traditional Arabic" w:hAnsi="Traditional Arabic" w:cs="Traditional Arabic" w:hint="cs"/>
                <w:b/>
                <w:bCs/>
                <w:spacing w:val="-6"/>
                <w:sz w:val="24"/>
                <w:szCs w:val="24"/>
              </w:rPr>
              <w:t>.</w:t>
            </w:r>
          </w:p>
        </w:tc>
        <w:tc>
          <w:tcPr>
            <w:tcW w:w="1453" w:type="pct"/>
          </w:tcPr>
          <w:p w14:paraId="4EFA888A" w14:textId="03ACE2C4"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العلاقة عبر القيادة التحويلية، بينما هذه الدراسة ركزت على الأثر المباشر دون تحليل تنظيمي أو قيادي</w:t>
            </w:r>
            <w:r w:rsidRPr="00787A81">
              <w:rPr>
                <w:rFonts w:ascii="Traditional Arabic" w:hAnsi="Traditional Arabic" w:cs="Traditional Arabic" w:hint="cs"/>
                <w:b/>
                <w:bCs/>
                <w:spacing w:val="-6"/>
                <w:sz w:val="24"/>
                <w:szCs w:val="24"/>
              </w:rPr>
              <w:t>.</w:t>
            </w:r>
          </w:p>
        </w:tc>
      </w:tr>
      <w:tr w:rsidR="00E14A36" w:rsidRPr="00787A81" w14:paraId="26B862AE"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7414D1B" w14:textId="6E0E686F" w:rsidR="00E14A36" w:rsidRPr="00787A81" w:rsidRDefault="00972407"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lastRenderedPageBreak/>
              <w:t>Hassan Al-Harbi (2019)</w:t>
            </w:r>
          </w:p>
        </w:tc>
        <w:tc>
          <w:tcPr>
            <w:tcW w:w="1349" w:type="pct"/>
          </w:tcPr>
          <w:p w14:paraId="1F37FDAC" w14:textId="29025C63"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التحديات التي تواجه إدارة المخاطر في القطاع الصحي السعودي واقتراح حلول عملية</w:t>
            </w:r>
            <w:r w:rsidRPr="00787A81">
              <w:rPr>
                <w:rFonts w:ascii="Traditional Arabic" w:hAnsi="Traditional Arabic" w:cs="Traditional Arabic" w:hint="cs"/>
                <w:b/>
                <w:bCs/>
                <w:spacing w:val="-6"/>
                <w:sz w:val="24"/>
                <w:szCs w:val="24"/>
              </w:rPr>
              <w:t>.</w:t>
            </w:r>
          </w:p>
        </w:tc>
        <w:tc>
          <w:tcPr>
            <w:tcW w:w="1275" w:type="pct"/>
          </w:tcPr>
          <w:p w14:paraId="420B6283" w14:textId="278C6562"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التمويل وضعف البنية التحتية يعوقان التطبيق الفعّال، وزيادتهما يعزز كفاءة إدارة المخاطر</w:t>
            </w:r>
            <w:r w:rsidRPr="00787A81">
              <w:rPr>
                <w:rFonts w:ascii="Traditional Arabic" w:hAnsi="Traditional Arabic" w:cs="Traditional Arabic" w:hint="cs"/>
                <w:b/>
                <w:bCs/>
                <w:spacing w:val="-6"/>
                <w:sz w:val="24"/>
                <w:szCs w:val="24"/>
              </w:rPr>
              <w:t>.</w:t>
            </w:r>
          </w:p>
        </w:tc>
        <w:tc>
          <w:tcPr>
            <w:tcW w:w="1453" w:type="pct"/>
          </w:tcPr>
          <w:p w14:paraId="49CF09D1" w14:textId="2F6CA554"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كعامل تنظيمي وسيط، بينما هذه الدراسة ركزت على التحديات المادية والبنيوية</w:t>
            </w:r>
            <w:r w:rsidRPr="00787A81">
              <w:rPr>
                <w:rFonts w:ascii="Traditional Arabic" w:hAnsi="Traditional Arabic" w:cs="Traditional Arabic" w:hint="cs"/>
                <w:b/>
                <w:bCs/>
                <w:spacing w:val="-6"/>
                <w:sz w:val="24"/>
                <w:szCs w:val="24"/>
              </w:rPr>
              <w:t>.</w:t>
            </w:r>
          </w:p>
        </w:tc>
      </w:tr>
      <w:tr w:rsidR="00E14A36" w:rsidRPr="00787A81" w14:paraId="59BC3B68"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670B280B" w14:textId="2E5AF1A3" w:rsidR="00E14A36" w:rsidRPr="00787A81" w:rsidRDefault="009B7BCA"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Johnson et al. (2019)</w:t>
            </w:r>
          </w:p>
        </w:tc>
        <w:tc>
          <w:tcPr>
            <w:tcW w:w="1349" w:type="pct"/>
          </w:tcPr>
          <w:p w14:paraId="320C2E80" w14:textId="6C506FB6"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دور تكنولوجيا المعلومات الصحية في تحسين إدارة المخاطر بالمستشفيات الأمريكية</w:t>
            </w:r>
            <w:r w:rsidRPr="00787A81">
              <w:rPr>
                <w:rFonts w:ascii="Traditional Arabic" w:hAnsi="Traditional Arabic" w:cs="Traditional Arabic" w:hint="cs"/>
                <w:b/>
                <w:bCs/>
                <w:spacing w:val="-6"/>
                <w:sz w:val="24"/>
                <w:szCs w:val="24"/>
              </w:rPr>
              <w:t>.</w:t>
            </w:r>
          </w:p>
        </w:tc>
        <w:tc>
          <w:tcPr>
            <w:tcW w:w="1275" w:type="pct"/>
          </w:tcPr>
          <w:p w14:paraId="1860ABAF" w14:textId="4F31302D"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استخدام أدوات تحليل البيانات الرقمية ساهم في تحسين الجودة وتقليل الأخطاء وزيادة الكفاءة</w:t>
            </w:r>
            <w:r w:rsidRPr="00787A81">
              <w:rPr>
                <w:rFonts w:ascii="Traditional Arabic" w:hAnsi="Traditional Arabic" w:cs="Traditional Arabic" w:hint="cs"/>
                <w:b/>
                <w:bCs/>
                <w:spacing w:val="-6"/>
                <w:sz w:val="24"/>
                <w:szCs w:val="24"/>
              </w:rPr>
              <w:t>.</w:t>
            </w:r>
          </w:p>
        </w:tc>
        <w:tc>
          <w:tcPr>
            <w:tcW w:w="1453" w:type="pct"/>
          </w:tcPr>
          <w:p w14:paraId="4FA7217B" w14:textId="0C2AE0F4"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ركزت على التكنولوجيا كأداة مباشرة</w:t>
            </w:r>
            <w:r w:rsidRPr="00787A81">
              <w:rPr>
                <w:rFonts w:ascii="Traditional Arabic" w:hAnsi="Traditional Arabic" w:cs="Traditional Arabic" w:hint="cs"/>
                <w:b/>
                <w:bCs/>
                <w:spacing w:val="-6"/>
                <w:sz w:val="24"/>
                <w:szCs w:val="24"/>
              </w:rPr>
              <w:t>.</w:t>
            </w:r>
          </w:p>
        </w:tc>
      </w:tr>
      <w:tr w:rsidR="00E14A36" w:rsidRPr="00787A81" w14:paraId="56AD02ED"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CDD71B0" w14:textId="3A78C224" w:rsidR="00E14A36" w:rsidRPr="00787A81" w:rsidRDefault="00076DA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Al-Mutairi et al. (2020)</w:t>
            </w:r>
          </w:p>
        </w:tc>
        <w:tc>
          <w:tcPr>
            <w:tcW w:w="1349" w:type="pct"/>
          </w:tcPr>
          <w:p w14:paraId="665F5D7A" w14:textId="40450883"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تقييم الممارسات الحالية لإدارة المخاطر في المستشفيات السعودية وتحديد الفجوات</w:t>
            </w:r>
            <w:r w:rsidRPr="00787A81">
              <w:rPr>
                <w:rFonts w:ascii="Traditional Arabic" w:hAnsi="Traditional Arabic" w:cs="Traditional Arabic" w:hint="cs"/>
                <w:b/>
                <w:bCs/>
                <w:spacing w:val="-6"/>
                <w:sz w:val="24"/>
                <w:szCs w:val="24"/>
              </w:rPr>
              <w:t>.</w:t>
            </w:r>
          </w:p>
        </w:tc>
        <w:tc>
          <w:tcPr>
            <w:tcW w:w="1275" w:type="pct"/>
          </w:tcPr>
          <w:p w14:paraId="73920AC7" w14:textId="5C39AC37"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تطبيق برامج شاملة ساهم في تحسين الجودة وتقليل الأخطاء وتعزيز الكفاءة التشغيلية</w:t>
            </w:r>
            <w:r w:rsidRPr="00787A81">
              <w:rPr>
                <w:rFonts w:ascii="Traditional Arabic" w:hAnsi="Traditional Arabic" w:cs="Traditional Arabic" w:hint="cs"/>
                <w:b/>
                <w:bCs/>
                <w:spacing w:val="-6"/>
                <w:sz w:val="24"/>
                <w:szCs w:val="24"/>
              </w:rPr>
              <w:t>.</w:t>
            </w:r>
          </w:p>
        </w:tc>
        <w:tc>
          <w:tcPr>
            <w:tcW w:w="1453" w:type="pct"/>
          </w:tcPr>
          <w:p w14:paraId="44B45EFE" w14:textId="79AC5548"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تدرس القيادة كوسيط تنظيمي، بينما هذه الدراسة ركزت على فعالية البرامج دون تحليل تنظيمي</w:t>
            </w:r>
            <w:r w:rsidRPr="00787A81">
              <w:rPr>
                <w:rFonts w:ascii="Traditional Arabic" w:hAnsi="Traditional Arabic" w:cs="Traditional Arabic" w:hint="cs"/>
                <w:b/>
                <w:bCs/>
                <w:spacing w:val="-6"/>
                <w:sz w:val="24"/>
                <w:szCs w:val="24"/>
              </w:rPr>
              <w:t>.</w:t>
            </w:r>
          </w:p>
        </w:tc>
      </w:tr>
      <w:tr w:rsidR="00E14A36" w:rsidRPr="00787A81" w14:paraId="5712D73D"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3DD12C52" w14:textId="6AD01A2A" w:rsidR="00E14A36" w:rsidRPr="00787A81" w:rsidRDefault="00076DA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Miller and Davis (2020)</w:t>
            </w:r>
          </w:p>
        </w:tc>
        <w:tc>
          <w:tcPr>
            <w:tcW w:w="1349" w:type="pct"/>
          </w:tcPr>
          <w:p w14:paraId="1C9E0FE5" w14:textId="5EB6A5A4"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التدريب المستمر على جودة الرعاية وتقليل الأخطاء في المستشفيات الأوروبية</w:t>
            </w:r>
            <w:r w:rsidRPr="00787A81">
              <w:rPr>
                <w:rFonts w:ascii="Traditional Arabic" w:hAnsi="Traditional Arabic" w:cs="Traditional Arabic" w:hint="cs"/>
                <w:b/>
                <w:bCs/>
                <w:spacing w:val="-6"/>
                <w:sz w:val="24"/>
                <w:szCs w:val="24"/>
              </w:rPr>
              <w:t>.</w:t>
            </w:r>
          </w:p>
        </w:tc>
        <w:tc>
          <w:tcPr>
            <w:tcW w:w="1275" w:type="pct"/>
          </w:tcPr>
          <w:p w14:paraId="76D49051" w14:textId="5105F00F" w:rsidR="00E14A36"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ساهم في تحسين الأداء العام وتقليل الأخطاء الطبية</w:t>
            </w:r>
            <w:r w:rsidRPr="00787A81">
              <w:rPr>
                <w:rFonts w:ascii="Traditional Arabic" w:hAnsi="Traditional Arabic" w:cs="Traditional Arabic" w:hint="cs"/>
                <w:b/>
                <w:bCs/>
                <w:spacing w:val="-6"/>
                <w:sz w:val="24"/>
                <w:szCs w:val="24"/>
              </w:rPr>
              <w:t>.</w:t>
            </w:r>
          </w:p>
        </w:tc>
        <w:tc>
          <w:tcPr>
            <w:tcW w:w="1453" w:type="pct"/>
          </w:tcPr>
          <w:p w14:paraId="53B1623E" w14:textId="429ADEAF" w:rsidR="00E14A36"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ركزت على التعليم المهني كعامل مباشر</w:t>
            </w:r>
            <w:r w:rsidRPr="00787A81">
              <w:rPr>
                <w:rFonts w:ascii="Traditional Arabic" w:hAnsi="Traditional Arabic" w:cs="Traditional Arabic" w:hint="cs"/>
                <w:b/>
                <w:bCs/>
                <w:spacing w:val="-6"/>
                <w:sz w:val="24"/>
                <w:szCs w:val="24"/>
              </w:rPr>
              <w:t>.</w:t>
            </w:r>
          </w:p>
        </w:tc>
      </w:tr>
      <w:tr w:rsidR="00076DA4" w:rsidRPr="00787A81" w14:paraId="761F0BDB"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26D0A37" w14:textId="08BCAEF7" w:rsidR="00076DA4" w:rsidRPr="00787A81" w:rsidRDefault="00526B0F"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Al-Qahtani et al. (2020)</w:t>
            </w:r>
          </w:p>
        </w:tc>
        <w:tc>
          <w:tcPr>
            <w:tcW w:w="1349" w:type="pct"/>
          </w:tcPr>
          <w:p w14:paraId="5C2DC3EF" w14:textId="514ED472" w:rsidR="00076DA4"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تأثير نقص التدريب وضعف التنسيق على فعالية إدارة المخاطر في القطاع الصحي السعودي</w:t>
            </w:r>
            <w:r w:rsidRPr="00787A81">
              <w:rPr>
                <w:rFonts w:ascii="Traditional Arabic" w:hAnsi="Traditional Arabic" w:cs="Traditional Arabic" w:hint="cs"/>
                <w:b/>
                <w:bCs/>
                <w:spacing w:val="-6"/>
                <w:sz w:val="24"/>
                <w:szCs w:val="24"/>
              </w:rPr>
              <w:t>.</w:t>
            </w:r>
          </w:p>
        </w:tc>
        <w:tc>
          <w:tcPr>
            <w:tcW w:w="1275" w:type="pct"/>
          </w:tcPr>
          <w:p w14:paraId="62C28DA6" w14:textId="1904C62F" w:rsidR="00076DA4" w:rsidRPr="00787A81" w:rsidRDefault="008309D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تعزيز التدريب والتنسيق الداخلي يرفع فعالية إدارة المخاطر ويُحسن الأداء المؤسسي</w:t>
            </w:r>
            <w:r w:rsidRPr="00787A81">
              <w:rPr>
                <w:rFonts w:ascii="Traditional Arabic" w:hAnsi="Traditional Arabic" w:cs="Traditional Arabic" w:hint="cs"/>
                <w:b/>
                <w:bCs/>
                <w:spacing w:val="-6"/>
                <w:sz w:val="24"/>
                <w:szCs w:val="24"/>
              </w:rPr>
              <w:t>.</w:t>
            </w:r>
          </w:p>
        </w:tc>
        <w:tc>
          <w:tcPr>
            <w:tcW w:w="1453" w:type="pct"/>
          </w:tcPr>
          <w:p w14:paraId="6A150C7B" w14:textId="7D7CCE74" w:rsidR="008309DF" w:rsidRPr="00787A81" w:rsidRDefault="008309D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التنسيق والتدريب كعوامل مباشرة</w:t>
            </w:r>
            <w:r w:rsidRPr="00787A81">
              <w:rPr>
                <w:rFonts w:ascii="Traditional Arabic" w:hAnsi="Traditional Arabic" w:cs="Traditional Arabic" w:hint="cs"/>
                <w:b/>
                <w:bCs/>
                <w:spacing w:val="-6"/>
                <w:sz w:val="24"/>
                <w:szCs w:val="24"/>
              </w:rPr>
              <w:t>.</w:t>
            </w:r>
          </w:p>
          <w:p w14:paraId="5CC113BC" w14:textId="77777777" w:rsidR="00076DA4"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p>
        </w:tc>
      </w:tr>
      <w:tr w:rsidR="00076DA4" w:rsidRPr="00787A81" w14:paraId="6A11CBB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2B45A0B" w14:textId="29A05749" w:rsidR="00076DA4" w:rsidRPr="00787A81" w:rsidRDefault="00451405"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عبد الله بن محمد الجهني</w:t>
            </w:r>
            <w:r w:rsidRPr="00787A81">
              <w:rPr>
                <w:rFonts w:ascii="Traditional Arabic" w:hAnsi="Traditional Arabic" w:cs="Traditional Arabic" w:hint="cs"/>
                <w:sz w:val="24"/>
                <w:szCs w:val="24"/>
              </w:rPr>
              <w:t xml:space="preserve"> (2020)</w:t>
            </w:r>
          </w:p>
        </w:tc>
        <w:tc>
          <w:tcPr>
            <w:tcW w:w="1349" w:type="pct"/>
          </w:tcPr>
          <w:p w14:paraId="0BEF5FFF" w14:textId="2324887E"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فعالية تطبيق نظم إدارة المخاطر في مستشفى سعودي وتأثيرها على الجودة والكفاءة</w:t>
            </w:r>
            <w:r w:rsidRPr="00787A81">
              <w:rPr>
                <w:rFonts w:ascii="Traditional Arabic" w:hAnsi="Traditional Arabic" w:cs="Traditional Arabic" w:hint="cs"/>
                <w:b/>
                <w:bCs/>
                <w:spacing w:val="-6"/>
                <w:sz w:val="24"/>
                <w:szCs w:val="24"/>
              </w:rPr>
              <w:t>.</w:t>
            </w:r>
          </w:p>
        </w:tc>
        <w:tc>
          <w:tcPr>
            <w:tcW w:w="1275" w:type="pct"/>
          </w:tcPr>
          <w:p w14:paraId="794260D2" w14:textId="74D0A660"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التطبيق ساهم في تقليل الأخطاء، تحسين الجودة، وزيادة رضا المرضى</w:t>
            </w:r>
            <w:r w:rsidRPr="00787A81">
              <w:rPr>
                <w:rFonts w:ascii="Traditional Arabic" w:hAnsi="Traditional Arabic" w:cs="Traditional Arabic" w:hint="cs"/>
                <w:b/>
                <w:bCs/>
                <w:spacing w:val="-6"/>
                <w:sz w:val="24"/>
                <w:szCs w:val="24"/>
              </w:rPr>
              <w:t>.</w:t>
            </w:r>
          </w:p>
        </w:tc>
        <w:tc>
          <w:tcPr>
            <w:tcW w:w="1453" w:type="pct"/>
          </w:tcPr>
          <w:p w14:paraId="0289586C" w14:textId="40CB26AC" w:rsidR="00076DA4" w:rsidRPr="00787A81" w:rsidRDefault="00451405" w:rsidP="00787A81">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دراستي تدرس العلاقة عبر القيادة التحويلية، بينما هذه الدراسة ركزت على نتائج التطبيق دون تحليل تنظيمي وسيط</w:t>
            </w:r>
            <w:r w:rsidRPr="00787A81">
              <w:rPr>
                <w:rFonts w:ascii="Traditional Arabic" w:hAnsi="Traditional Arabic" w:cs="Traditional Arabic" w:hint="cs"/>
                <w:b/>
                <w:bCs/>
                <w:sz w:val="24"/>
                <w:szCs w:val="24"/>
              </w:rPr>
              <w:t>.</w:t>
            </w:r>
          </w:p>
        </w:tc>
      </w:tr>
      <w:tr w:rsidR="00076DA4" w:rsidRPr="00787A81" w14:paraId="071BAFB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6ED50075" w14:textId="37AF76A5" w:rsidR="00076DA4" w:rsidRPr="00787A81" w:rsidRDefault="00451405"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Hassan et al. (2020)</w:t>
            </w:r>
          </w:p>
        </w:tc>
        <w:tc>
          <w:tcPr>
            <w:tcW w:w="1349" w:type="pct"/>
          </w:tcPr>
          <w:p w14:paraId="7C7F6B68" w14:textId="4CCC1AED"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تقييم فعالية برامج إدارة المخاطر في تحسين الكفاءة التشغيلية وجودة الرعاية الصحية</w:t>
            </w:r>
            <w:r w:rsidRPr="00787A81">
              <w:rPr>
                <w:rFonts w:ascii="Traditional Arabic" w:hAnsi="Traditional Arabic" w:cs="Traditional Arabic" w:hint="cs"/>
                <w:b/>
                <w:bCs/>
                <w:spacing w:val="-6"/>
                <w:sz w:val="24"/>
                <w:szCs w:val="24"/>
              </w:rPr>
              <w:t>.</w:t>
            </w:r>
          </w:p>
        </w:tc>
        <w:tc>
          <w:tcPr>
            <w:tcW w:w="1275" w:type="pct"/>
          </w:tcPr>
          <w:p w14:paraId="3F486BFE" w14:textId="54F13D0D"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البرامج ساهمت في تحسين العمليات وتقليل الأخطاء وزيادة الكفاءة</w:t>
            </w:r>
            <w:r w:rsidRPr="00787A81">
              <w:rPr>
                <w:rFonts w:ascii="Traditional Arabic" w:hAnsi="Traditional Arabic" w:cs="Traditional Arabic" w:hint="cs"/>
                <w:b/>
                <w:bCs/>
                <w:spacing w:val="-6"/>
                <w:sz w:val="24"/>
                <w:szCs w:val="24"/>
              </w:rPr>
              <w:t>.</w:t>
            </w:r>
          </w:p>
        </w:tc>
        <w:tc>
          <w:tcPr>
            <w:tcW w:w="1453" w:type="pct"/>
          </w:tcPr>
          <w:p w14:paraId="5863C8D0" w14:textId="4B2E4104"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 xml:space="preserve">دراستي </w:t>
            </w:r>
            <w:r w:rsidR="00451405" w:rsidRPr="00787A81">
              <w:rPr>
                <w:rFonts w:ascii="Traditional Arabic" w:hAnsi="Traditional Arabic" w:cs="Traditional Arabic" w:hint="cs"/>
                <w:b/>
                <w:bCs/>
                <w:spacing w:val="-6"/>
                <w:sz w:val="24"/>
                <w:szCs w:val="24"/>
                <w:rtl/>
              </w:rPr>
              <w:t>تضيف البُعد القيادي التحويلي، بينما هذه الدراسة ركزت على البرامج كأداة مباشرة دون تحليل تنظيمي</w:t>
            </w:r>
            <w:r w:rsidR="00451405" w:rsidRPr="00787A81">
              <w:rPr>
                <w:rFonts w:ascii="Traditional Arabic" w:hAnsi="Traditional Arabic" w:cs="Traditional Arabic" w:hint="cs"/>
                <w:b/>
                <w:bCs/>
                <w:spacing w:val="-6"/>
                <w:sz w:val="24"/>
                <w:szCs w:val="24"/>
              </w:rPr>
              <w:t>.</w:t>
            </w:r>
          </w:p>
        </w:tc>
      </w:tr>
      <w:tr w:rsidR="00076DA4" w:rsidRPr="00787A81" w14:paraId="5CE4CA93"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0CB73B77" w14:textId="453C9505" w:rsidR="00076DA4" w:rsidRPr="00787A81" w:rsidRDefault="00B91C7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Sami Al-Zahrani (2021)</w:t>
            </w:r>
          </w:p>
        </w:tc>
        <w:tc>
          <w:tcPr>
            <w:tcW w:w="1349" w:type="pct"/>
          </w:tcPr>
          <w:p w14:paraId="6C70EC17" w14:textId="52994919"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العلاقة بين التدريب والدعم الإداري وجودة تطبيق إدارة المخاطر في المستشفيات السعودية</w:t>
            </w:r>
            <w:r w:rsidRPr="00787A81">
              <w:rPr>
                <w:rFonts w:ascii="Traditional Arabic" w:hAnsi="Traditional Arabic" w:cs="Traditional Arabic" w:hint="cs"/>
                <w:b/>
                <w:bCs/>
                <w:spacing w:val="-6"/>
                <w:sz w:val="24"/>
                <w:szCs w:val="24"/>
              </w:rPr>
              <w:t>.</w:t>
            </w:r>
          </w:p>
        </w:tc>
        <w:tc>
          <w:tcPr>
            <w:tcW w:w="1275" w:type="pct"/>
          </w:tcPr>
          <w:p w14:paraId="431E2079" w14:textId="7CD44BB5"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والدعم الإداري حسّنا جودة الرعاية الصحية وزادا الكفاءة التشغيلية</w:t>
            </w:r>
            <w:r w:rsidRPr="00787A81">
              <w:rPr>
                <w:rFonts w:ascii="Traditional Arabic" w:hAnsi="Traditional Arabic" w:cs="Traditional Arabic" w:hint="cs"/>
                <w:b/>
                <w:bCs/>
                <w:spacing w:val="-6"/>
                <w:sz w:val="24"/>
                <w:szCs w:val="24"/>
              </w:rPr>
              <w:t>.</w:t>
            </w:r>
          </w:p>
        </w:tc>
        <w:tc>
          <w:tcPr>
            <w:tcW w:w="1453" w:type="pct"/>
          </w:tcPr>
          <w:p w14:paraId="75D08E02" w14:textId="76931EB4"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كعامل وسيط، بينما هذه الدراسة ركزت على التدريب والدعم الإداري كعوامل مباشرة</w:t>
            </w:r>
            <w:r w:rsidRPr="00787A81">
              <w:rPr>
                <w:rFonts w:ascii="Traditional Arabic" w:hAnsi="Traditional Arabic" w:cs="Traditional Arabic" w:hint="cs"/>
                <w:b/>
                <w:bCs/>
                <w:spacing w:val="-6"/>
                <w:sz w:val="24"/>
                <w:szCs w:val="24"/>
              </w:rPr>
              <w:t>.</w:t>
            </w:r>
          </w:p>
        </w:tc>
      </w:tr>
      <w:tr w:rsidR="00076DA4" w:rsidRPr="00787A81" w14:paraId="0C07A7F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31B917C" w14:textId="2882A373" w:rsidR="00076DA4" w:rsidRPr="00787A81" w:rsidRDefault="00B91C7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lastRenderedPageBreak/>
              <w:t>سامي بن علي الزهراني</w:t>
            </w:r>
            <w:r w:rsidRPr="00787A81">
              <w:rPr>
                <w:rFonts w:ascii="Traditional Arabic" w:hAnsi="Traditional Arabic" w:cs="Traditional Arabic" w:hint="cs"/>
                <w:sz w:val="24"/>
                <w:szCs w:val="24"/>
              </w:rPr>
              <w:t xml:space="preserve"> (2021)</w:t>
            </w:r>
          </w:p>
        </w:tc>
        <w:tc>
          <w:tcPr>
            <w:tcW w:w="1349" w:type="pct"/>
          </w:tcPr>
          <w:p w14:paraId="13A9251B" w14:textId="0ED84615"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تحديد أبرز التحديات المالية والتنظيمية التي تعيق تطبيق إدارة المخاطر في المستشفيات السعودية</w:t>
            </w:r>
            <w:r w:rsidRPr="00787A81">
              <w:rPr>
                <w:rFonts w:ascii="Traditional Arabic" w:hAnsi="Traditional Arabic" w:cs="Traditional Arabic" w:hint="cs"/>
                <w:b/>
                <w:bCs/>
                <w:spacing w:val="-6"/>
                <w:sz w:val="24"/>
                <w:szCs w:val="24"/>
              </w:rPr>
              <w:t>.</w:t>
            </w:r>
          </w:p>
        </w:tc>
        <w:tc>
          <w:tcPr>
            <w:tcW w:w="1275" w:type="pct"/>
          </w:tcPr>
          <w:p w14:paraId="5B01353A" w14:textId="63354D03" w:rsidR="00076DA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التمويل والمقاومة التنظيمية للتغيير من أبرز العوائق، والحل يكمن في تخصيص ميزانيات وتطوير السياسات</w:t>
            </w:r>
            <w:r w:rsidRPr="00787A81">
              <w:rPr>
                <w:rFonts w:ascii="Traditional Arabic" w:hAnsi="Traditional Arabic" w:cs="Traditional Arabic" w:hint="cs"/>
                <w:b/>
                <w:bCs/>
                <w:spacing w:val="-6"/>
                <w:sz w:val="24"/>
                <w:szCs w:val="24"/>
              </w:rPr>
              <w:t>.</w:t>
            </w:r>
          </w:p>
        </w:tc>
        <w:tc>
          <w:tcPr>
            <w:tcW w:w="1453" w:type="pct"/>
          </w:tcPr>
          <w:p w14:paraId="5863E9A8" w14:textId="52D85E2C" w:rsidR="00076DA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العوائق البنيوية دون تحليل قيادي</w:t>
            </w:r>
            <w:r w:rsidRPr="00787A81">
              <w:rPr>
                <w:rFonts w:ascii="Traditional Arabic" w:hAnsi="Traditional Arabic" w:cs="Traditional Arabic" w:hint="cs"/>
                <w:b/>
                <w:bCs/>
                <w:spacing w:val="-6"/>
                <w:sz w:val="24"/>
                <w:szCs w:val="24"/>
              </w:rPr>
              <w:t>.</w:t>
            </w:r>
          </w:p>
        </w:tc>
      </w:tr>
      <w:tr w:rsidR="00B91C74" w:rsidRPr="00787A81" w14:paraId="6715FEF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A3DAF08" w14:textId="0898C007" w:rsidR="00B91C74" w:rsidRPr="00787A81" w:rsidRDefault="00CF5D2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Anderson et al. (2021)</w:t>
            </w:r>
          </w:p>
        </w:tc>
        <w:tc>
          <w:tcPr>
            <w:tcW w:w="1349" w:type="pct"/>
          </w:tcPr>
          <w:p w14:paraId="3B70A464" w14:textId="16F9E607"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مراجعة شاملة للتحديات التي تعيق تطبيق إدارة المخاطر في المؤسسات الصحية وتحليل سبل التغلب عليها</w:t>
            </w:r>
            <w:r w:rsidRPr="00787A81">
              <w:rPr>
                <w:rFonts w:ascii="Traditional Arabic" w:hAnsi="Traditional Arabic" w:cs="Traditional Arabic" w:hint="cs"/>
                <w:b/>
                <w:bCs/>
                <w:spacing w:val="-6"/>
                <w:sz w:val="24"/>
                <w:szCs w:val="24"/>
              </w:rPr>
              <w:t>.</w:t>
            </w:r>
          </w:p>
        </w:tc>
        <w:tc>
          <w:tcPr>
            <w:tcW w:w="1275" w:type="pct"/>
          </w:tcPr>
          <w:p w14:paraId="6B5F6C0A" w14:textId="2850197F"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الوعي والموارد المالية يعيقان التطبيق، والحل في التوعية والتدريب والدعم المؤسسي</w:t>
            </w:r>
            <w:r w:rsidRPr="00787A81">
              <w:rPr>
                <w:rFonts w:ascii="Traditional Arabic" w:hAnsi="Traditional Arabic" w:cs="Traditional Arabic" w:hint="cs"/>
                <w:b/>
                <w:bCs/>
                <w:spacing w:val="-6"/>
                <w:sz w:val="24"/>
                <w:szCs w:val="24"/>
              </w:rPr>
              <w:t>.</w:t>
            </w:r>
          </w:p>
        </w:tc>
        <w:tc>
          <w:tcPr>
            <w:tcW w:w="1453" w:type="pct"/>
          </w:tcPr>
          <w:p w14:paraId="46C0A20F" w14:textId="2B655B74"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تناولت التحديات العامة دون تحليل للعوامل الوسيطة</w:t>
            </w:r>
            <w:r w:rsidRPr="00787A81">
              <w:rPr>
                <w:rFonts w:ascii="Traditional Arabic" w:hAnsi="Traditional Arabic" w:cs="Traditional Arabic" w:hint="cs"/>
                <w:b/>
                <w:bCs/>
                <w:spacing w:val="-6"/>
                <w:sz w:val="24"/>
                <w:szCs w:val="24"/>
              </w:rPr>
              <w:t>.</w:t>
            </w:r>
          </w:p>
        </w:tc>
      </w:tr>
      <w:tr w:rsidR="00B91C74" w:rsidRPr="00787A81" w14:paraId="4524D0E7"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2FF54DEC" w14:textId="2110DA44" w:rsidR="00B91C74" w:rsidRPr="00787A81" w:rsidRDefault="00CF5D2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Garcia and Martinez (2022)</w:t>
            </w:r>
          </w:p>
        </w:tc>
        <w:tc>
          <w:tcPr>
            <w:tcW w:w="1349" w:type="pct"/>
          </w:tcPr>
          <w:p w14:paraId="70BB10F3" w14:textId="4AD5A81E"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أسباب مقاومة التغيير في تطبيق إدارة المخاطر وتحديد سبل إدارتها لضمان استدامة التطبيق</w:t>
            </w:r>
            <w:r w:rsidRPr="00787A81">
              <w:rPr>
                <w:rFonts w:ascii="Traditional Arabic" w:hAnsi="Traditional Arabic" w:cs="Traditional Arabic" w:hint="cs"/>
                <w:b/>
                <w:bCs/>
                <w:spacing w:val="-6"/>
                <w:sz w:val="24"/>
                <w:szCs w:val="24"/>
              </w:rPr>
              <w:t>.</w:t>
            </w:r>
          </w:p>
        </w:tc>
        <w:tc>
          <w:tcPr>
            <w:tcW w:w="1275" w:type="pct"/>
          </w:tcPr>
          <w:p w14:paraId="53863FA6" w14:textId="5F75E6FB"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مقاومة التغيير تعيق التطبيق، ويجب تعزيز ثقافة السلامة والتواصل الداخلي والتدريب المستمر</w:t>
            </w:r>
            <w:r w:rsidRPr="00787A81">
              <w:rPr>
                <w:rFonts w:ascii="Traditional Arabic" w:hAnsi="Traditional Arabic" w:cs="Traditional Arabic" w:hint="cs"/>
                <w:b/>
                <w:bCs/>
                <w:spacing w:val="-6"/>
                <w:sz w:val="24"/>
                <w:szCs w:val="24"/>
              </w:rPr>
              <w:t>.</w:t>
            </w:r>
          </w:p>
        </w:tc>
        <w:tc>
          <w:tcPr>
            <w:tcW w:w="1453" w:type="pct"/>
          </w:tcPr>
          <w:p w14:paraId="6044A96E" w14:textId="72F8BCE9"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القيادة التحويلية كعامل تنظيمي محفز، بينما هذه الدراسة ركزت على الجوانب النفسية والتنظيمية للمقاومة</w:t>
            </w:r>
            <w:r w:rsidRPr="00787A81">
              <w:rPr>
                <w:rFonts w:ascii="Traditional Arabic" w:hAnsi="Traditional Arabic" w:cs="Traditional Arabic" w:hint="cs"/>
                <w:b/>
                <w:bCs/>
                <w:spacing w:val="-6"/>
                <w:sz w:val="24"/>
                <w:szCs w:val="24"/>
              </w:rPr>
              <w:t>.</w:t>
            </w:r>
          </w:p>
        </w:tc>
      </w:tr>
      <w:tr w:rsidR="00B91C74" w:rsidRPr="00787A81" w14:paraId="5B1B3EB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BB88A30" w14:textId="7CBF1678" w:rsidR="00B91C74" w:rsidRPr="00787A81" w:rsidRDefault="00E91146"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منصور بن عبد الرحمن العتيبي</w:t>
            </w:r>
            <w:r w:rsidRPr="00787A81">
              <w:rPr>
                <w:rFonts w:ascii="Traditional Arabic" w:hAnsi="Traditional Arabic" w:cs="Traditional Arabic" w:hint="cs"/>
                <w:sz w:val="24"/>
                <w:szCs w:val="24"/>
              </w:rPr>
              <w:t xml:space="preserve"> (2022)</w:t>
            </w:r>
          </w:p>
        </w:tc>
        <w:tc>
          <w:tcPr>
            <w:tcW w:w="1349" w:type="pct"/>
          </w:tcPr>
          <w:p w14:paraId="019A43E9" w14:textId="7E2E3A67" w:rsidR="00B91C74" w:rsidRPr="00787A81" w:rsidRDefault="00E9114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التدريب والتطوير المهني على فعالية إدارة المخاطر وجودة الرعاية الصحية</w:t>
            </w:r>
            <w:r w:rsidRPr="00787A81">
              <w:rPr>
                <w:rFonts w:ascii="Traditional Arabic" w:hAnsi="Traditional Arabic" w:cs="Traditional Arabic" w:hint="cs"/>
                <w:b/>
                <w:bCs/>
                <w:spacing w:val="-6"/>
                <w:sz w:val="24"/>
                <w:szCs w:val="24"/>
              </w:rPr>
              <w:t>.</w:t>
            </w:r>
          </w:p>
        </w:tc>
        <w:tc>
          <w:tcPr>
            <w:tcW w:w="1275" w:type="pct"/>
          </w:tcPr>
          <w:p w14:paraId="162BE769" w14:textId="5F38FB10" w:rsidR="00B91C74" w:rsidRPr="00787A81" w:rsidRDefault="00E9114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ساهم في تحسين إدارة المخاطر وتقليل الأخطاء الطبية ورفع جودة الرعاية</w:t>
            </w:r>
            <w:r w:rsidRPr="00787A81">
              <w:rPr>
                <w:rFonts w:ascii="Traditional Arabic" w:hAnsi="Traditional Arabic" w:cs="Traditional Arabic" w:hint="cs"/>
                <w:b/>
                <w:bCs/>
                <w:spacing w:val="-6"/>
                <w:sz w:val="24"/>
                <w:szCs w:val="24"/>
              </w:rPr>
              <w:t>.</w:t>
            </w:r>
          </w:p>
        </w:tc>
        <w:tc>
          <w:tcPr>
            <w:tcW w:w="1453" w:type="pct"/>
          </w:tcPr>
          <w:p w14:paraId="2D596F9A" w14:textId="6FCC7B8B" w:rsidR="00B91C74" w:rsidRPr="00787A81" w:rsidRDefault="00E0692D"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دراست</w:t>
            </w:r>
            <w:r w:rsidR="003101DA" w:rsidRPr="00787A81">
              <w:rPr>
                <w:rFonts w:ascii="Traditional Arabic" w:hAnsi="Traditional Arabic" w:cs="Traditional Arabic" w:hint="cs"/>
                <w:b/>
                <w:bCs/>
                <w:sz w:val="24"/>
                <w:szCs w:val="24"/>
                <w:rtl/>
              </w:rPr>
              <w:t>ي</w:t>
            </w:r>
            <w:r w:rsidRPr="00787A81">
              <w:rPr>
                <w:rFonts w:ascii="Traditional Arabic" w:hAnsi="Traditional Arabic" w:cs="Traditional Arabic" w:hint="cs"/>
                <w:b/>
                <w:bCs/>
                <w:sz w:val="24"/>
                <w:szCs w:val="24"/>
                <w:rtl/>
              </w:rPr>
              <w:t xml:space="preserve"> تدرس القيادة </w:t>
            </w:r>
            <w:r w:rsidRPr="00787A81">
              <w:rPr>
                <w:rFonts w:ascii="Traditional Arabic" w:hAnsi="Traditional Arabic" w:cs="Traditional Arabic" w:hint="cs"/>
                <w:b/>
                <w:bCs/>
                <w:spacing w:val="-6"/>
                <w:sz w:val="24"/>
                <w:szCs w:val="24"/>
                <w:rtl/>
              </w:rPr>
              <w:t>التحويلية</w:t>
            </w:r>
            <w:r w:rsidRPr="00787A81">
              <w:rPr>
                <w:rFonts w:ascii="Traditional Arabic" w:hAnsi="Traditional Arabic" w:cs="Traditional Arabic" w:hint="cs"/>
                <w:b/>
                <w:bCs/>
                <w:sz w:val="24"/>
                <w:szCs w:val="24"/>
                <w:rtl/>
              </w:rPr>
              <w:t xml:space="preserve"> كوسيط تنظيمي، بينما هذه الدراسة ركزت على التدريب كعامل مباشر</w:t>
            </w:r>
            <w:r w:rsidRPr="00787A81">
              <w:rPr>
                <w:rFonts w:ascii="Traditional Arabic" w:hAnsi="Traditional Arabic" w:cs="Traditional Arabic" w:hint="cs"/>
                <w:b/>
                <w:bCs/>
                <w:sz w:val="24"/>
                <w:szCs w:val="24"/>
              </w:rPr>
              <w:t>.</w:t>
            </w:r>
          </w:p>
        </w:tc>
      </w:tr>
      <w:tr w:rsidR="00B91C74" w:rsidRPr="00787A81" w14:paraId="44B2AE35"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5728343" w14:textId="04AB4B5C" w:rsidR="00B91C74" w:rsidRPr="00787A81" w:rsidRDefault="003101DA"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فريق باحثين (2025) – دراسة أوروبية</w:t>
            </w:r>
          </w:p>
        </w:tc>
        <w:tc>
          <w:tcPr>
            <w:tcW w:w="1349" w:type="pct"/>
          </w:tcPr>
          <w:p w14:paraId="5522734F" w14:textId="46D9329E"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فعالية أدوات إدارة المخاطر الرقمية في المستشفيات الأوروبية</w:t>
            </w:r>
            <w:r w:rsidRPr="00787A81">
              <w:rPr>
                <w:rFonts w:ascii="Traditional Arabic" w:hAnsi="Traditional Arabic" w:cs="Traditional Arabic" w:hint="cs"/>
                <w:b/>
                <w:bCs/>
                <w:spacing w:val="-6"/>
                <w:sz w:val="24"/>
                <w:szCs w:val="24"/>
              </w:rPr>
              <w:t>.</w:t>
            </w:r>
          </w:p>
        </w:tc>
        <w:tc>
          <w:tcPr>
            <w:tcW w:w="1275" w:type="pct"/>
          </w:tcPr>
          <w:p w14:paraId="25AE92F7" w14:textId="2BDF6B5D"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استخدام أدوات رقمية متكاملة خفّض الأخطاء الطبية بنسبة 23% وسرّع الاستجابة للحوادث</w:t>
            </w:r>
            <w:r w:rsidRPr="00787A81">
              <w:rPr>
                <w:rFonts w:ascii="Traditional Arabic" w:hAnsi="Traditional Arabic" w:cs="Traditional Arabic" w:hint="cs"/>
                <w:b/>
                <w:bCs/>
                <w:spacing w:val="-6"/>
                <w:sz w:val="24"/>
                <w:szCs w:val="24"/>
              </w:rPr>
              <w:t>.</w:t>
            </w:r>
          </w:p>
        </w:tc>
        <w:tc>
          <w:tcPr>
            <w:tcW w:w="1453" w:type="pct"/>
          </w:tcPr>
          <w:p w14:paraId="3548CB79" w14:textId="613C27A6"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كوسيط تنظيمي، بينما هذه الدراسة ركزت على التكنولوجيا كأداة تنفيذية مباشرة</w:t>
            </w:r>
            <w:r w:rsidRPr="00787A81">
              <w:rPr>
                <w:rFonts w:ascii="Traditional Arabic" w:hAnsi="Traditional Arabic" w:cs="Traditional Arabic" w:hint="cs"/>
                <w:b/>
                <w:bCs/>
                <w:spacing w:val="-6"/>
                <w:sz w:val="24"/>
                <w:szCs w:val="24"/>
              </w:rPr>
              <w:t>.</w:t>
            </w:r>
          </w:p>
        </w:tc>
      </w:tr>
    </w:tbl>
    <w:bookmarkEnd w:id="6"/>
    <w:bookmarkEnd w:id="7"/>
    <w:p w14:paraId="5F1E7792" w14:textId="092810E7" w:rsidR="00534A50" w:rsidRPr="000B23A5" w:rsidRDefault="0017199F" w:rsidP="00B40BA2">
      <w:pPr>
        <w:bidi/>
        <w:spacing w:before="120" w:after="120" w:line="240" w:lineRule="auto"/>
        <w:jc w:val="center"/>
        <w:rPr>
          <w:rFonts w:ascii="Traditional Arabic" w:hAnsi="Traditional Arabic" w:cs="Traditional Arabic"/>
          <w:b/>
          <w:bCs/>
          <w:spacing w:val="-6"/>
          <w:sz w:val="24"/>
          <w:szCs w:val="24"/>
          <w:rtl/>
          <w:lang w:bidi="ar-EG"/>
        </w:rPr>
      </w:pPr>
      <w:r w:rsidRPr="000B23A5">
        <w:rPr>
          <w:rFonts w:ascii="Traditional Arabic" w:hAnsi="Traditional Arabic" w:cs="Traditional Arabic" w:hint="cs"/>
          <w:b/>
          <w:bCs/>
          <w:spacing w:val="-6"/>
          <w:sz w:val="24"/>
          <w:szCs w:val="24"/>
          <w:rtl/>
          <w:lang w:bidi="ar-EG"/>
        </w:rPr>
        <w:t>إعداد / الباحثة</w:t>
      </w:r>
      <w:r w:rsidR="00B40BA2" w:rsidRPr="000B23A5">
        <w:rPr>
          <w:rFonts w:ascii="Traditional Arabic" w:hAnsi="Traditional Arabic" w:cs="Traditional Arabic" w:hint="cs"/>
          <w:b/>
          <w:bCs/>
          <w:spacing w:val="-6"/>
          <w:sz w:val="24"/>
          <w:szCs w:val="24"/>
          <w:rtl/>
          <w:lang w:bidi="ar-EG"/>
        </w:rPr>
        <w:t xml:space="preserve"> إعتمادا على الدراسات السابقة</w:t>
      </w:r>
    </w:p>
    <w:p w14:paraId="30660A48" w14:textId="77777777" w:rsidR="000B23A5" w:rsidRDefault="000B23A5" w:rsidP="00534A50">
      <w:pPr>
        <w:bidi/>
        <w:spacing w:before="120" w:after="120" w:line="240" w:lineRule="auto"/>
        <w:jc w:val="both"/>
        <w:rPr>
          <w:rFonts w:ascii="Simplified Arabic" w:hAnsi="Simplified Arabic" w:cs="Simplified Arabic"/>
          <w:b/>
          <w:bCs/>
          <w:spacing w:val="-6"/>
          <w:sz w:val="28"/>
          <w:szCs w:val="28"/>
          <w:u w:val="single"/>
          <w:rtl/>
          <w:lang w:bidi="ar-EG"/>
        </w:rPr>
      </w:pPr>
    </w:p>
    <w:p w14:paraId="3E89CFAF"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0BB19E81"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6BFBCF43"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7E00C0A0"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2E0CBC18"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30526DF9"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39086476" w14:textId="3998A72E" w:rsidR="00C84234" w:rsidRPr="00156B08" w:rsidRDefault="008854E1" w:rsidP="00156B08">
      <w:pPr>
        <w:bidi/>
        <w:spacing w:before="120" w:after="120" w:line="360" w:lineRule="auto"/>
        <w:jc w:val="both"/>
        <w:rPr>
          <w:rFonts w:ascii="Traditional Arabic" w:hAnsi="Traditional Arabic" w:cs="Traditional Arabic"/>
          <w:b/>
          <w:bCs/>
          <w:spacing w:val="-6"/>
          <w:sz w:val="24"/>
          <w:szCs w:val="24"/>
          <w:u w:val="single"/>
          <w:rtl/>
          <w:lang w:bidi="ar-EG"/>
        </w:rPr>
      </w:pPr>
      <w:r w:rsidRPr="00156B08">
        <w:rPr>
          <w:rFonts w:ascii="Traditional Arabic" w:hAnsi="Traditional Arabic" w:cs="Traditional Arabic" w:hint="cs"/>
          <w:b/>
          <w:bCs/>
          <w:spacing w:val="-6"/>
          <w:sz w:val="24"/>
          <w:szCs w:val="24"/>
          <w:u w:val="single"/>
          <w:rtl/>
          <w:lang w:bidi="ar-EG"/>
        </w:rPr>
        <w:lastRenderedPageBreak/>
        <w:t>تعقيب عن الدراسات السابقة للإدارة المخاطر:</w:t>
      </w:r>
    </w:p>
    <w:p w14:paraId="4D5D6889" w14:textId="33C26672"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من خلال استعراض هذا العدد المتنوع من الدراسات التي تناولت إدارة المخاطر في المجال الصحي بين عامي 2017 و2022، يتضح أن إدارة المخاطر لم تعد خيارًا إداريًا، بل أصبحت شرطًا أساسيًا في بناء أنظمة صحية أكثر أمانًا وكفاءة</w:t>
      </w:r>
      <w:r w:rsidR="00B40BA2" w:rsidRPr="00156B08">
        <w:rPr>
          <w:rFonts w:ascii="Traditional Arabic" w:hAnsi="Traditional Arabic" w:cs="Traditional Arabic" w:hint="cs"/>
          <w:spacing w:val="-6"/>
          <w:sz w:val="24"/>
          <w:szCs w:val="24"/>
          <w:rtl/>
        </w:rPr>
        <w:t>،</w:t>
      </w:r>
      <w:r w:rsidRPr="00156B08">
        <w:rPr>
          <w:rFonts w:ascii="Traditional Arabic" w:hAnsi="Traditional Arabic" w:cs="Traditional Arabic" w:hint="cs"/>
          <w:spacing w:val="-6"/>
          <w:sz w:val="24"/>
          <w:szCs w:val="24"/>
          <w:rtl/>
        </w:rPr>
        <w:t xml:space="preserve"> فقد أكدت معظم الدراسات مثل</w:t>
      </w:r>
      <w:r w:rsidRPr="00156B08">
        <w:rPr>
          <w:rFonts w:ascii="Traditional Arabic" w:hAnsi="Traditional Arabic" w:cs="Traditional Arabic" w:hint="cs"/>
          <w:spacing w:val="-6"/>
          <w:sz w:val="24"/>
          <w:szCs w:val="24"/>
          <w:lang w:bidi="ar-EG"/>
        </w:rPr>
        <w:t xml:space="preserve"> Smith et al. (2017) </w:t>
      </w:r>
      <w:r w:rsidR="0017199F" w:rsidRPr="00156B08">
        <w:rPr>
          <w:rFonts w:ascii="Traditional Arabic" w:hAnsi="Traditional Arabic" w:cs="Traditional Arabic" w:hint="cs"/>
          <w:spacing w:val="-6"/>
          <w:sz w:val="24"/>
          <w:szCs w:val="24"/>
          <w:rtl/>
          <w:lang w:bidi="ar-EG"/>
        </w:rPr>
        <w:t xml:space="preserve"> </w:t>
      </w:r>
      <w:r w:rsidRPr="00156B08">
        <w:rPr>
          <w:rFonts w:ascii="Traditional Arabic" w:hAnsi="Traditional Arabic" w:cs="Traditional Arabic" w:hint="cs"/>
          <w:spacing w:val="-6"/>
          <w:sz w:val="24"/>
          <w:szCs w:val="24"/>
          <w:rtl/>
        </w:rPr>
        <w:t>و</w:t>
      </w:r>
      <w:r w:rsidRPr="00156B08">
        <w:rPr>
          <w:rFonts w:ascii="Traditional Arabic" w:hAnsi="Traditional Arabic" w:cs="Traditional Arabic" w:hint="cs"/>
          <w:spacing w:val="-6"/>
          <w:sz w:val="24"/>
          <w:szCs w:val="24"/>
          <w:lang w:bidi="ar-EG"/>
        </w:rPr>
        <w:t xml:space="preserve">Jones and Brown (2018) </w:t>
      </w:r>
      <w:r w:rsidR="0017199F" w:rsidRPr="00156B08">
        <w:rPr>
          <w:rFonts w:ascii="Traditional Arabic" w:hAnsi="Traditional Arabic" w:cs="Traditional Arabic" w:hint="cs"/>
          <w:spacing w:val="-6"/>
          <w:sz w:val="24"/>
          <w:szCs w:val="24"/>
          <w:rtl/>
          <w:lang w:bidi="ar-EG"/>
        </w:rPr>
        <w:t xml:space="preserve"> </w:t>
      </w:r>
      <w:r w:rsidRPr="00156B08">
        <w:rPr>
          <w:rFonts w:ascii="Traditional Arabic" w:hAnsi="Traditional Arabic" w:cs="Traditional Arabic" w:hint="cs"/>
          <w:spacing w:val="-6"/>
          <w:sz w:val="24"/>
          <w:szCs w:val="24"/>
          <w:rtl/>
        </w:rPr>
        <w:t>على أن تطبيق نظم إدارة المخاطر يسهم في تقليل الأخطاء الطبية، وتحسين نتائج العلاج، وتعزيز الكفاءة التشغيلية، ما ينعكس مباشرة على سلامة المرضى وجودة الرعاية المقدمة</w:t>
      </w:r>
      <w:r w:rsidRPr="00156B08">
        <w:rPr>
          <w:rFonts w:ascii="Traditional Arabic" w:hAnsi="Traditional Arabic" w:cs="Traditional Arabic" w:hint="cs"/>
          <w:spacing w:val="-6"/>
          <w:sz w:val="24"/>
          <w:szCs w:val="24"/>
          <w:lang w:bidi="ar-EG"/>
        </w:rPr>
        <w:t>.</w:t>
      </w:r>
    </w:p>
    <w:p w14:paraId="5B340D09"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كما كشفت بعض الدراسات الميدانية المحلية، مثل دراسة أحمد محمد السعيد (2019) ودراسة الجهني (2020)، عن تحديات واقعية تواجه المستشفيات السعودية، أهمها ضعف الوعي الإداري وقلة التدريب، مما يؤثر على فعالية تطبيق نظم إدارة المخاطر. وهذه النتائج جاءت متسقة مع دراسات دولية مثل تلك التي أجراها</w:t>
      </w:r>
      <w:r w:rsidRPr="00156B08">
        <w:rPr>
          <w:rFonts w:ascii="Traditional Arabic" w:hAnsi="Traditional Arabic" w:cs="Traditional Arabic" w:hint="cs"/>
          <w:spacing w:val="-6"/>
          <w:sz w:val="24"/>
          <w:szCs w:val="24"/>
          <w:lang w:bidi="ar-EG"/>
        </w:rPr>
        <w:t xml:space="preserve"> Anderson et al. (2021) </w:t>
      </w:r>
      <w:r w:rsidRPr="00156B08">
        <w:rPr>
          <w:rFonts w:ascii="Traditional Arabic" w:hAnsi="Traditional Arabic" w:cs="Traditional Arabic" w:hint="cs"/>
          <w:spacing w:val="-6"/>
          <w:sz w:val="24"/>
          <w:szCs w:val="24"/>
          <w:rtl/>
        </w:rPr>
        <w:t>و</w:t>
      </w:r>
      <w:r w:rsidRPr="00156B08">
        <w:rPr>
          <w:rFonts w:ascii="Traditional Arabic" w:hAnsi="Traditional Arabic" w:cs="Traditional Arabic" w:hint="cs"/>
          <w:spacing w:val="-6"/>
          <w:sz w:val="24"/>
          <w:szCs w:val="24"/>
          <w:lang w:bidi="ar-EG"/>
        </w:rPr>
        <w:t>Garcia and Martinez (2022)</w:t>
      </w:r>
      <w:r w:rsidRPr="00156B08">
        <w:rPr>
          <w:rFonts w:ascii="Traditional Arabic" w:hAnsi="Traditional Arabic" w:cs="Traditional Arabic" w:hint="cs"/>
          <w:spacing w:val="-6"/>
          <w:sz w:val="24"/>
          <w:szCs w:val="24"/>
          <w:rtl/>
        </w:rPr>
        <w:t>، والتي ركزت على العوائق التنظيمية والمقاومة الداخلية للتغيير داخل المستشفيات</w:t>
      </w:r>
      <w:r w:rsidRPr="00156B08">
        <w:rPr>
          <w:rFonts w:ascii="Traditional Arabic" w:hAnsi="Traditional Arabic" w:cs="Traditional Arabic" w:hint="cs"/>
          <w:spacing w:val="-6"/>
          <w:sz w:val="24"/>
          <w:szCs w:val="24"/>
          <w:lang w:bidi="ar-EG"/>
        </w:rPr>
        <w:t>.</w:t>
      </w:r>
    </w:p>
    <w:p w14:paraId="137E0156"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من جهة أخرى، برزت أهمية البنية التحتية والتكنولوجيا في دعم أنظمة إدارة المخاطر، كما في دراسة</w:t>
      </w:r>
      <w:r w:rsidRPr="00156B08">
        <w:rPr>
          <w:rFonts w:ascii="Traditional Arabic" w:hAnsi="Traditional Arabic" w:cs="Traditional Arabic" w:hint="cs"/>
          <w:spacing w:val="-6"/>
          <w:sz w:val="24"/>
          <w:szCs w:val="24"/>
          <w:lang w:bidi="ar-EG"/>
        </w:rPr>
        <w:t xml:space="preserve"> Johnson et al. (2019) </w:t>
      </w:r>
      <w:r w:rsidRPr="00156B08">
        <w:rPr>
          <w:rFonts w:ascii="Traditional Arabic" w:hAnsi="Traditional Arabic" w:cs="Traditional Arabic" w:hint="cs"/>
          <w:spacing w:val="-6"/>
          <w:sz w:val="24"/>
          <w:szCs w:val="24"/>
          <w:rtl/>
        </w:rPr>
        <w:t>التي أشارت إلى دور تكنولوجيا المعلومات الصحية في تحليل البيانات وتحديد أنماط الخطر. كذلك أكدت دراسة</w:t>
      </w:r>
      <w:r w:rsidRPr="00156B08">
        <w:rPr>
          <w:rFonts w:ascii="Traditional Arabic" w:hAnsi="Traditional Arabic" w:cs="Traditional Arabic" w:hint="cs"/>
          <w:spacing w:val="-6"/>
          <w:sz w:val="24"/>
          <w:szCs w:val="24"/>
          <w:lang w:bidi="ar-EG"/>
        </w:rPr>
        <w:t xml:space="preserve"> Hassan et al. (2020) </w:t>
      </w:r>
      <w:r w:rsidRPr="00156B08">
        <w:rPr>
          <w:rFonts w:ascii="Traditional Arabic" w:hAnsi="Traditional Arabic" w:cs="Traditional Arabic" w:hint="cs"/>
          <w:spacing w:val="-6"/>
          <w:sz w:val="24"/>
          <w:szCs w:val="24"/>
          <w:rtl/>
        </w:rPr>
        <w:t>ودراسة</w:t>
      </w:r>
      <w:r w:rsidRPr="00156B08">
        <w:rPr>
          <w:rFonts w:ascii="Traditional Arabic" w:hAnsi="Traditional Arabic" w:cs="Traditional Arabic" w:hint="cs"/>
          <w:spacing w:val="-6"/>
          <w:sz w:val="24"/>
          <w:szCs w:val="24"/>
          <w:lang w:bidi="ar-EG"/>
        </w:rPr>
        <w:t xml:space="preserve"> Miller and Davis (2020) </w:t>
      </w:r>
      <w:r w:rsidRPr="00156B08">
        <w:rPr>
          <w:rFonts w:ascii="Traditional Arabic" w:hAnsi="Traditional Arabic" w:cs="Traditional Arabic" w:hint="cs"/>
          <w:spacing w:val="-6"/>
          <w:sz w:val="24"/>
          <w:szCs w:val="24"/>
          <w:rtl/>
        </w:rPr>
        <w:t>على أن التدريب المستمر للكوادر الطبية والإدارية هو عامل محوري في تحسين أداء المنشآت الصحية وتقليل الأخطاء السريرية</w:t>
      </w:r>
      <w:r w:rsidRPr="00156B08">
        <w:rPr>
          <w:rFonts w:ascii="Traditional Arabic" w:hAnsi="Traditional Arabic" w:cs="Traditional Arabic" w:hint="cs"/>
          <w:spacing w:val="-6"/>
          <w:sz w:val="24"/>
          <w:szCs w:val="24"/>
          <w:lang w:bidi="ar-EG"/>
        </w:rPr>
        <w:t>.</w:t>
      </w:r>
    </w:p>
    <w:p w14:paraId="45583A84"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ويُلاحظ أيضًا أن بعض الدراسات مثل دراسة العتيبي (2022) والزهراني (2021) قد قدمت رؤية تطبيقية تربط بين إدارة المخاطر والتطوير المهني وتعزيز جودة الأداء الصحي، مما يعكس تحولًا استراتيجيًا في كيفية التعامل مع هذه الممارسة الإدارية داخل المستشفيات</w:t>
      </w:r>
      <w:r w:rsidRPr="00156B08">
        <w:rPr>
          <w:rFonts w:ascii="Traditional Arabic" w:hAnsi="Traditional Arabic" w:cs="Traditional Arabic" w:hint="cs"/>
          <w:spacing w:val="-6"/>
          <w:sz w:val="24"/>
          <w:szCs w:val="24"/>
          <w:lang w:bidi="ar-EG"/>
        </w:rPr>
        <w:t>.</w:t>
      </w:r>
    </w:p>
    <w:p w14:paraId="3DAFDB1F" w14:textId="53C846FD"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في المجمل، تعكس هذه الدراسات نضجًا في تناول موضوع إدارة المخاطر، من كونه مجرد عملية داخلية إلى كونه جزءًا من منظومة الجودة والتحسين المستدام، وتفتح الباب أمام مزيد من البحث التطبيقي لفهم كيف يمكن دمج القيادة التحويلية والتدريب والدعم المؤسسي لتحقيق بيئة صحية أكثر أمانًا</w:t>
      </w:r>
      <w:r w:rsidRPr="00156B08">
        <w:rPr>
          <w:rFonts w:ascii="Traditional Arabic" w:hAnsi="Traditional Arabic" w:cs="Traditional Arabic" w:hint="cs"/>
          <w:spacing w:val="-6"/>
          <w:sz w:val="24"/>
          <w:szCs w:val="24"/>
          <w:lang w:bidi="ar-EG"/>
        </w:rPr>
        <w:t>.</w:t>
      </w:r>
    </w:p>
    <w:p w14:paraId="3BD9669B" w14:textId="53A4F343" w:rsidR="004B7147" w:rsidRPr="00AC33B8" w:rsidRDefault="004B7147" w:rsidP="00AC33B8">
      <w:pPr>
        <w:bidi/>
        <w:spacing w:before="120" w:after="120" w:line="360" w:lineRule="auto"/>
        <w:jc w:val="both"/>
        <w:rPr>
          <w:rFonts w:ascii="Traditional Arabic" w:hAnsi="Traditional Arabic" w:cs="Traditional Arabic"/>
          <w:b/>
          <w:bCs/>
          <w:spacing w:val="-6"/>
          <w:sz w:val="24"/>
          <w:szCs w:val="24"/>
          <w:u w:val="single"/>
          <w:rtl/>
          <w:lang w:bidi="ar-EG"/>
        </w:rPr>
      </w:pPr>
      <w:r w:rsidRPr="00AC33B8">
        <w:rPr>
          <w:rFonts w:ascii="Traditional Arabic" w:hAnsi="Traditional Arabic" w:cs="Traditional Arabic" w:hint="cs"/>
          <w:b/>
          <w:bCs/>
          <w:spacing w:val="-6"/>
          <w:sz w:val="24"/>
          <w:szCs w:val="24"/>
          <w:u w:val="single"/>
          <w:rtl/>
          <w:lang w:bidi="ar-EG"/>
        </w:rPr>
        <w:t>أوجه الإستفادة من الدراسات السابقة للإدارة المخاطر:</w:t>
      </w:r>
    </w:p>
    <w:p w14:paraId="6980ABE5" w14:textId="7C278F34" w:rsidR="00B40BA2" w:rsidRPr="00AC33B8" w:rsidRDefault="004B7147" w:rsidP="00AC33B8">
      <w:pPr>
        <w:bidi/>
        <w:spacing w:before="120" w:after="120" w:line="360" w:lineRule="auto"/>
        <w:ind w:firstLine="720"/>
        <w:jc w:val="both"/>
        <w:rPr>
          <w:rFonts w:ascii="Traditional Arabic" w:hAnsi="Traditional Arabic" w:cs="Traditional Arabic"/>
          <w:spacing w:val="-6"/>
          <w:sz w:val="24"/>
          <w:szCs w:val="24"/>
          <w:lang w:bidi="ar-EG"/>
        </w:rPr>
      </w:pPr>
      <w:r w:rsidRPr="00AC33B8">
        <w:rPr>
          <w:rFonts w:ascii="Traditional Arabic" w:hAnsi="Traditional Arabic" w:cs="Traditional Arabic" w:hint="cs"/>
          <w:spacing w:val="-6"/>
          <w:sz w:val="24"/>
          <w:szCs w:val="24"/>
          <w:rtl/>
        </w:rPr>
        <w:t xml:space="preserve">تُظهر الدراسات السابقة حول إدارة المخاطر، مثل </w:t>
      </w:r>
      <w:r w:rsidRPr="00AC33B8">
        <w:rPr>
          <w:rFonts w:ascii="Traditional Arabic" w:hAnsi="Traditional Arabic" w:cs="Traditional Arabic" w:hint="cs"/>
          <w:spacing w:val="-6"/>
          <w:sz w:val="24"/>
          <w:szCs w:val="24"/>
          <w:lang w:bidi="ar-EG"/>
        </w:rPr>
        <w:t>Smith et al. (2017)</w:t>
      </w:r>
      <w:r w:rsidRPr="00AC33B8">
        <w:rPr>
          <w:rFonts w:ascii="Traditional Arabic" w:hAnsi="Traditional Arabic" w:cs="Traditional Arabic" w:hint="cs"/>
          <w:spacing w:val="-6"/>
          <w:sz w:val="24"/>
          <w:szCs w:val="24"/>
          <w:rtl/>
        </w:rPr>
        <w:t xml:space="preserve">، </w:t>
      </w:r>
      <w:r w:rsidRPr="00AC33B8">
        <w:rPr>
          <w:rFonts w:ascii="Traditional Arabic" w:hAnsi="Traditional Arabic" w:cs="Traditional Arabic" w:hint="cs"/>
          <w:spacing w:val="-6"/>
          <w:sz w:val="24"/>
          <w:szCs w:val="24"/>
          <w:lang w:bidi="ar-EG"/>
        </w:rPr>
        <w:t>Al-Zahrani (2018)</w:t>
      </w:r>
      <w:r w:rsidRPr="00AC33B8">
        <w:rPr>
          <w:rFonts w:ascii="Traditional Arabic" w:hAnsi="Traditional Arabic" w:cs="Traditional Arabic" w:hint="cs"/>
          <w:spacing w:val="-6"/>
          <w:sz w:val="24"/>
          <w:szCs w:val="24"/>
          <w:rtl/>
        </w:rPr>
        <w:t>، وأحمد محمد السعيد (2019)، أهمية هذا المجال في تعزيز سلامة المرضى وتقليل الأخطاء الطبية داخل المرافق الصحية الحكومية، وقد ساهمت هذه الدراسات في بناء تصور نظري متكامل حول آليات التنبؤ بالمخاطر، وتطوير السياسات الوقائية، وتفعيل نظم الاستجابة السريعة. كما كشفت دراسات مثل</w:t>
      </w:r>
      <w:r w:rsidRPr="00AC33B8">
        <w:rPr>
          <w:rFonts w:ascii="Traditional Arabic" w:hAnsi="Traditional Arabic" w:cs="Traditional Arabic" w:hint="cs"/>
          <w:spacing w:val="-6"/>
          <w:sz w:val="24"/>
          <w:szCs w:val="24"/>
          <w:lang w:bidi="ar-EG"/>
        </w:rPr>
        <w:t xml:space="preserve"> Khan et al. (2019) </w:t>
      </w:r>
      <w:r w:rsidRPr="00AC33B8">
        <w:rPr>
          <w:rFonts w:ascii="Traditional Arabic" w:hAnsi="Traditional Arabic" w:cs="Traditional Arabic" w:hint="cs"/>
          <w:spacing w:val="-6"/>
          <w:sz w:val="24"/>
          <w:szCs w:val="24"/>
          <w:rtl/>
        </w:rPr>
        <w:t>و</w:t>
      </w:r>
      <w:r w:rsidRPr="00AC33B8">
        <w:rPr>
          <w:rFonts w:ascii="Traditional Arabic" w:hAnsi="Traditional Arabic" w:cs="Traditional Arabic" w:hint="cs"/>
          <w:spacing w:val="-6"/>
          <w:sz w:val="24"/>
          <w:szCs w:val="24"/>
          <w:lang w:bidi="ar-EG"/>
        </w:rPr>
        <w:t xml:space="preserve">Al-Mutairi et al. (2020) </w:t>
      </w:r>
      <w:r w:rsidRPr="00AC33B8">
        <w:rPr>
          <w:rFonts w:ascii="Traditional Arabic" w:hAnsi="Traditional Arabic" w:cs="Traditional Arabic" w:hint="cs"/>
          <w:spacing w:val="-6"/>
          <w:sz w:val="24"/>
          <w:szCs w:val="24"/>
          <w:rtl/>
        </w:rPr>
        <w:t>عن التحديات التطبيقية التي تواجه المؤسسات الصحية، مثل ضعف التدريب ونقص الموارد، مما يدعم توجيه الدراسة الحالية نحو تحليل الدور الوسيط للقيادة التحويلية في تجاوز هذه العقبات، كذلك وفّرت أبحاث مثل</w:t>
      </w:r>
      <w:r w:rsidRPr="00AC33B8">
        <w:rPr>
          <w:rFonts w:ascii="Traditional Arabic" w:hAnsi="Traditional Arabic" w:cs="Traditional Arabic" w:hint="cs"/>
          <w:spacing w:val="-6"/>
          <w:sz w:val="24"/>
          <w:szCs w:val="24"/>
          <w:lang w:bidi="ar-EG"/>
        </w:rPr>
        <w:t xml:space="preserve"> Garcia and Martinez </w:t>
      </w:r>
      <w:r w:rsidRPr="00AC33B8">
        <w:rPr>
          <w:rFonts w:ascii="Traditional Arabic" w:hAnsi="Traditional Arabic" w:cs="Traditional Arabic" w:hint="cs"/>
          <w:spacing w:val="-6"/>
          <w:sz w:val="24"/>
          <w:szCs w:val="24"/>
          <w:lang w:bidi="ar-EG"/>
        </w:rPr>
        <w:lastRenderedPageBreak/>
        <w:t xml:space="preserve">(2022) </w:t>
      </w:r>
      <w:r w:rsidRPr="00AC33B8">
        <w:rPr>
          <w:rFonts w:ascii="Traditional Arabic" w:hAnsi="Traditional Arabic" w:cs="Traditional Arabic" w:hint="cs"/>
          <w:spacing w:val="-6"/>
          <w:sz w:val="24"/>
          <w:szCs w:val="24"/>
          <w:rtl/>
        </w:rPr>
        <w:t>ومنصور بن عبد الرحمن العتيبي (2022) نماذج تقييم فعّالة يمكن الاستفادة منها في تصميم أدوات القياس، بينما أظهرت دراسة فريق باحثين (2025) الأوروبية كيف يمكن للقيادة التحويلية أن تعزز ثقافة السلامة وتدعم تطبيق إدارة المخاطر بشكل مؤسسي. ومن ثم، فإن هذه الدراسات تمثل مرجعية علمية ومنهجية غنية تُسهم في صياغة الفرضيات، وتفسير النتائج، وربط المتغيرات في الدراسة الحالية</w:t>
      </w:r>
      <w:r w:rsidRPr="00AC33B8">
        <w:rPr>
          <w:rFonts w:ascii="Traditional Arabic" w:hAnsi="Traditional Arabic" w:cs="Traditional Arabic" w:hint="cs"/>
          <w:spacing w:val="-6"/>
          <w:sz w:val="24"/>
          <w:szCs w:val="24"/>
          <w:lang w:bidi="ar-EG"/>
        </w:rPr>
        <w:t>.</w:t>
      </w:r>
    </w:p>
    <w:p w14:paraId="0AC2C38F" w14:textId="7BD8FCE4" w:rsidR="0072686E" w:rsidRPr="008D00FC" w:rsidRDefault="007C69F7" w:rsidP="0072686E">
      <w:pPr>
        <w:bidi/>
        <w:spacing w:after="200" w:line="276" w:lineRule="auto"/>
        <w:rPr>
          <w:rFonts w:ascii="Traditional Arabic" w:hAnsi="Traditional Arabic" w:cs="Traditional Arabic"/>
          <w:b/>
          <w:bCs/>
          <w:spacing w:val="-6"/>
          <w:sz w:val="28"/>
          <w:szCs w:val="28"/>
          <w:rtl/>
          <w:lang w:bidi="ar-EG"/>
        </w:rPr>
      </w:pPr>
      <w:r w:rsidRPr="008D00FC">
        <w:rPr>
          <w:rFonts w:ascii="Traditional Arabic" w:hAnsi="Traditional Arabic" w:cs="Traditional Arabic" w:hint="cs"/>
          <w:b/>
          <w:bCs/>
          <w:spacing w:val="-6"/>
          <w:sz w:val="28"/>
          <w:szCs w:val="28"/>
          <w:rtl/>
          <w:lang w:bidi="ar-EG"/>
        </w:rPr>
        <w:t xml:space="preserve">المبحث </w:t>
      </w:r>
      <w:r w:rsidR="00623BB8" w:rsidRPr="008D00FC">
        <w:rPr>
          <w:rFonts w:ascii="Traditional Arabic" w:hAnsi="Traditional Arabic" w:cs="Traditional Arabic" w:hint="cs"/>
          <w:b/>
          <w:bCs/>
          <w:spacing w:val="-6"/>
          <w:sz w:val="28"/>
          <w:szCs w:val="28"/>
          <w:rtl/>
          <w:lang w:bidi="ar-EG"/>
        </w:rPr>
        <w:t>الثاني</w:t>
      </w:r>
      <w:r w:rsidRPr="008D00FC">
        <w:rPr>
          <w:rFonts w:ascii="Traditional Arabic" w:hAnsi="Traditional Arabic" w:cs="Traditional Arabic" w:hint="cs"/>
          <w:b/>
          <w:bCs/>
          <w:spacing w:val="-6"/>
          <w:sz w:val="28"/>
          <w:szCs w:val="28"/>
          <w:rtl/>
          <w:lang w:bidi="ar-EG"/>
        </w:rPr>
        <w:t>: سلامة المرضي</w:t>
      </w:r>
      <w:r w:rsidR="00A706D2" w:rsidRPr="008D00FC">
        <w:rPr>
          <w:rFonts w:ascii="Traditional Arabic" w:hAnsi="Traditional Arabic" w:cs="Traditional Arabic" w:hint="cs"/>
          <w:b/>
          <w:bCs/>
          <w:spacing w:val="-6"/>
          <w:sz w:val="28"/>
          <w:szCs w:val="28"/>
          <w:rtl/>
          <w:lang w:bidi="ar-EG"/>
        </w:rPr>
        <w:t xml:space="preserve"> </w:t>
      </w:r>
      <w:r w:rsidR="00A706D2" w:rsidRPr="008D00FC">
        <w:rPr>
          <w:rFonts w:ascii="Traditional Arabic" w:hAnsi="Traditional Arabic" w:cs="Traditional Arabic" w:hint="cs"/>
          <w:b/>
          <w:bCs/>
          <w:spacing w:val="-6"/>
          <w:sz w:val="28"/>
          <w:szCs w:val="28"/>
          <w:lang w:bidi="ar-EG"/>
        </w:rPr>
        <w:t>Patient safety</w:t>
      </w:r>
      <w:r w:rsidR="00A706D2" w:rsidRPr="008D00FC">
        <w:rPr>
          <w:rFonts w:ascii="Traditional Arabic" w:hAnsi="Traditional Arabic" w:cs="Traditional Arabic" w:hint="cs"/>
          <w:b/>
          <w:bCs/>
          <w:spacing w:val="-6"/>
          <w:sz w:val="28"/>
          <w:szCs w:val="28"/>
          <w:rtl/>
          <w:lang w:bidi="ar-EG"/>
        </w:rPr>
        <w:t>:</w:t>
      </w:r>
    </w:p>
    <w:p w14:paraId="1C6B0B2C" w14:textId="060245DE" w:rsidR="00A706D2" w:rsidRPr="008D00FC" w:rsidRDefault="00A44ABC" w:rsidP="00A706D2">
      <w:pPr>
        <w:bidi/>
        <w:spacing w:after="200" w:line="276" w:lineRule="auto"/>
        <w:rPr>
          <w:rFonts w:ascii="Traditional Arabic" w:hAnsi="Traditional Arabic" w:cs="Traditional Arabic"/>
          <w:b/>
          <w:bCs/>
          <w:spacing w:val="-6"/>
          <w:sz w:val="28"/>
          <w:szCs w:val="28"/>
          <w:rtl/>
          <w:lang w:bidi="ar-EG"/>
        </w:rPr>
      </w:pPr>
      <w:r w:rsidRPr="008D00FC">
        <w:rPr>
          <w:rFonts w:ascii="Traditional Arabic" w:hAnsi="Traditional Arabic" w:cs="Traditional Arabic" w:hint="cs"/>
          <w:b/>
          <w:bCs/>
          <w:spacing w:val="-6"/>
          <w:sz w:val="28"/>
          <w:szCs w:val="28"/>
          <w:rtl/>
          <w:lang w:bidi="ar-EG"/>
        </w:rPr>
        <w:t xml:space="preserve">أولاً : </w:t>
      </w:r>
      <w:r w:rsidR="00A706D2" w:rsidRPr="008D00FC">
        <w:rPr>
          <w:rFonts w:ascii="Traditional Arabic" w:hAnsi="Traditional Arabic" w:cs="Traditional Arabic" w:hint="cs"/>
          <w:b/>
          <w:bCs/>
          <w:spacing w:val="-6"/>
          <w:sz w:val="28"/>
          <w:szCs w:val="28"/>
          <w:rtl/>
          <w:lang w:bidi="ar-EG"/>
        </w:rPr>
        <w:t>مفهوم سلامة المرضى:</w:t>
      </w:r>
    </w:p>
    <w:p w14:paraId="0611045A" w14:textId="3D7B8D64" w:rsidR="00B7655F" w:rsidRPr="00BA2622" w:rsidRDefault="00A706D2"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سلامة المرضى هي تقليل الأذى الذي يمكن الوقاية منه أثناء تقديم الرعاية الصحية، وضمان أن تكون الخدمات الطبية آمنة وفعالة لكل مريض في كل وقت</w:t>
      </w:r>
      <w:r w:rsidRPr="00BA2622">
        <w:rPr>
          <w:rFonts w:ascii="Traditional Arabic" w:hAnsi="Traditional Arabic" w:cs="Traditional Arabic" w:hint="cs"/>
          <w:spacing w:val="-6"/>
          <w:sz w:val="24"/>
          <w:szCs w:val="24"/>
          <w:lang w:bidi="ar-EG"/>
        </w:rPr>
        <w:t>.</w:t>
      </w:r>
      <w:r w:rsidRPr="00BA2622">
        <w:rPr>
          <w:rFonts w:ascii="Traditional Arabic" w:hAnsi="Traditional Arabic" w:cs="Traditional Arabic" w:hint="cs"/>
          <w:spacing w:val="-6"/>
          <w:sz w:val="24"/>
          <w:szCs w:val="24"/>
          <w:lang w:bidi="ar-EG"/>
        </w:rPr>
        <w:br/>
      </w:r>
      <w:hyperlink r:id="rId22" w:history="1">
        <w:r w:rsidRPr="00BA2622">
          <w:rPr>
            <w:rStyle w:val="Hyperlink"/>
            <w:rFonts w:ascii="Traditional Arabic" w:hAnsi="Traditional Arabic" w:cs="Traditional Arabic" w:hint="cs"/>
            <w:spacing w:val="-6"/>
            <w:sz w:val="24"/>
            <w:szCs w:val="24"/>
            <w:rtl/>
          </w:rPr>
          <w:t>منظمة الصحة العالمية</w:t>
        </w:r>
      </w:hyperlink>
    </w:p>
    <w:p w14:paraId="310E4706" w14:textId="260553EC" w:rsidR="00133362" w:rsidRPr="00BA2622" w:rsidRDefault="00B7655F" w:rsidP="00BA2622">
      <w:pPr>
        <w:bidi/>
        <w:spacing w:after="200" w:line="360" w:lineRule="auto"/>
        <w:ind w:firstLine="720"/>
        <w:jc w:val="both"/>
        <w:rPr>
          <w:rFonts w:ascii="Traditional Arabic" w:hAnsi="Traditional Arabic" w:cs="Traditional Arabic"/>
          <w:spacing w:val="-6"/>
          <w:sz w:val="24"/>
          <w:szCs w:val="24"/>
          <w:rtl/>
        </w:rPr>
      </w:pPr>
      <w:r w:rsidRPr="00BA2622">
        <w:rPr>
          <w:rFonts w:ascii="Traditional Arabic" w:hAnsi="Traditional Arabic" w:cs="Traditional Arabic" w:hint="cs"/>
          <w:b/>
          <w:bCs/>
          <w:spacing w:val="-6"/>
          <w:sz w:val="24"/>
          <w:szCs w:val="24"/>
          <w:rtl/>
        </w:rPr>
        <w:t>و</w:t>
      </w:r>
      <w:r w:rsidRPr="00BA2622">
        <w:rPr>
          <w:rFonts w:ascii="Traditional Arabic" w:hAnsi="Traditional Arabic" w:cs="Traditional Arabic" w:hint="cs"/>
          <w:spacing w:val="-6"/>
          <w:sz w:val="24"/>
          <w:szCs w:val="24"/>
          <w:rtl/>
        </w:rPr>
        <w:t xml:space="preserve">تُعرّف سلامة المرضى بأنها </w:t>
      </w:r>
      <w:r w:rsidRPr="00BA2622">
        <w:rPr>
          <w:rFonts w:ascii="Traditional Arabic" w:hAnsi="Traditional Arabic" w:cs="Traditional Arabic" w:hint="cs"/>
          <w:spacing w:val="-6"/>
          <w:sz w:val="24"/>
          <w:szCs w:val="24"/>
        </w:rPr>
        <w:t>"</w:t>
      </w:r>
      <w:r w:rsidRPr="00BA2622">
        <w:rPr>
          <w:rFonts w:ascii="Traditional Arabic" w:hAnsi="Traditional Arabic" w:cs="Traditional Arabic" w:hint="cs"/>
          <w:spacing w:val="-6"/>
          <w:sz w:val="24"/>
          <w:szCs w:val="24"/>
          <w:rtl/>
        </w:rPr>
        <w:t>علم تطبيقي يدمج بين نظريات العوامل البشرية، وإدارة المخاطر، والمرونة التنظيمية، بهدف تطوير عمليات رعاية صحية آمنة وفعّالة، تُمكّن العاملين من تقليل الضرر قبل حدوثه، والاستجابة له بفعالية عند وقوعه</w:t>
      </w:r>
      <w:r w:rsidRPr="00BA2622">
        <w:rPr>
          <w:rFonts w:ascii="Traditional Arabic" w:hAnsi="Traditional Arabic" w:cs="Traditional Arabic" w:hint="cs"/>
          <w:spacing w:val="-6"/>
          <w:sz w:val="24"/>
          <w:szCs w:val="24"/>
        </w:rPr>
        <w:t xml:space="preserve"> (Lachman et al., 2022, p. 12).</w:t>
      </w:r>
      <w:r w:rsidRPr="00BA2622">
        <w:rPr>
          <w:rFonts w:ascii="Traditional Arabic" w:hAnsi="Traditional Arabic" w:cs="Traditional Arabic" w:hint="cs"/>
          <w:spacing w:val="-6"/>
          <w:sz w:val="24"/>
          <w:szCs w:val="24"/>
          <w:rtl/>
        </w:rPr>
        <w:t>.</w:t>
      </w:r>
    </w:p>
    <w:p w14:paraId="23E1F65C" w14:textId="7CAA6C6B" w:rsidR="00B7655F" w:rsidRPr="00BA2622" w:rsidRDefault="00B7655F" w:rsidP="00BA2622">
      <w:pPr>
        <w:bidi/>
        <w:spacing w:after="200" w:line="360" w:lineRule="auto"/>
        <w:ind w:firstLine="720"/>
        <w:jc w:val="both"/>
        <w:rPr>
          <w:rFonts w:ascii="Traditional Arabic" w:hAnsi="Traditional Arabic" w:cs="Traditional Arabic"/>
          <w:spacing w:val="-6"/>
          <w:sz w:val="24"/>
          <w:szCs w:val="24"/>
          <w:rtl/>
        </w:rPr>
      </w:pPr>
      <w:r w:rsidRPr="00BA2622">
        <w:rPr>
          <w:rFonts w:ascii="Traditional Arabic" w:hAnsi="Traditional Arabic" w:cs="Traditional Arabic" w:hint="cs"/>
          <w:spacing w:val="-6"/>
          <w:sz w:val="24"/>
          <w:szCs w:val="24"/>
          <w:rtl/>
        </w:rPr>
        <w:t xml:space="preserve">وتعرف سلامة المرضى بأنها </w:t>
      </w:r>
      <w:r w:rsidRPr="00BA2622">
        <w:rPr>
          <w:rFonts w:ascii="Traditional Arabic" w:hAnsi="Traditional Arabic" w:cs="Traditional Arabic" w:hint="cs"/>
          <w:spacing w:val="-6"/>
          <w:sz w:val="24"/>
          <w:szCs w:val="24"/>
        </w:rPr>
        <w:t>"</w:t>
      </w:r>
      <w:r w:rsidRPr="00BA2622">
        <w:rPr>
          <w:rFonts w:ascii="Traditional Arabic" w:hAnsi="Traditional Arabic" w:cs="Traditional Arabic" w:hint="cs"/>
          <w:spacing w:val="-6"/>
          <w:sz w:val="24"/>
          <w:szCs w:val="24"/>
          <w:rtl/>
        </w:rPr>
        <w:t>مجموعة من الممارسات السريرية والتنظيمية التي تهدف إلى تقليل الأخطاء الطبية وتحسين جودة الرعاية، من خلال تطبيق أدوات مثل أنظمة الإبلاغ والتعلم، وتعزيز ثقافة السلامة، وتطوير المهارات غير التقنية لدى العاملين الصحيين</w:t>
      </w:r>
      <w:r w:rsidRPr="00BA2622">
        <w:rPr>
          <w:rFonts w:ascii="Traditional Arabic" w:hAnsi="Traditional Arabic" w:cs="Traditional Arabic" w:hint="cs"/>
          <w:spacing w:val="-6"/>
          <w:sz w:val="24"/>
          <w:szCs w:val="24"/>
        </w:rPr>
        <w:t xml:space="preserve">" (Ricciardi &amp; Cascini, 2021, p. 5). </w:t>
      </w:r>
    </w:p>
    <w:p w14:paraId="2B105B16" w14:textId="55E095DC" w:rsidR="00A706D2" w:rsidRPr="00BA2622" w:rsidRDefault="00A706D2"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وتعني سلامة المرضى توفير الرعاية الصحية دون أي إيذاء أو خطأ طبي أو حدث ضار يمكن الوقاية منه، مع حماية المريض من التعرض لأي منها</w:t>
      </w:r>
      <w:r w:rsidRPr="00BA2622">
        <w:rPr>
          <w:rFonts w:ascii="Traditional Arabic" w:hAnsi="Traditional Arabic" w:cs="Traditional Arabic" w:hint="cs"/>
          <w:spacing w:val="-6"/>
          <w:sz w:val="24"/>
          <w:szCs w:val="24"/>
          <w:lang w:bidi="ar-EG"/>
        </w:rPr>
        <w:t>.</w:t>
      </w:r>
      <w:r w:rsidRPr="00BA2622">
        <w:rPr>
          <w:rFonts w:ascii="Traditional Arabic" w:hAnsi="Traditional Arabic" w:cs="Traditional Arabic" w:hint="cs"/>
          <w:spacing w:val="-6"/>
          <w:sz w:val="24"/>
          <w:szCs w:val="24"/>
          <w:lang w:bidi="ar-EG"/>
        </w:rPr>
        <w:br/>
      </w:r>
      <w:hyperlink r:id="rId23" w:history="1">
        <w:r w:rsidRPr="00BA2622">
          <w:rPr>
            <w:rStyle w:val="Hyperlink"/>
            <w:rFonts w:ascii="Traditional Arabic" w:hAnsi="Traditional Arabic" w:cs="Traditional Arabic" w:hint="cs"/>
            <w:spacing w:val="-6"/>
            <w:sz w:val="24"/>
            <w:szCs w:val="24"/>
            <w:rtl/>
          </w:rPr>
          <w:t>هيئة الاعتماد الأردنية</w:t>
        </w:r>
        <w:r w:rsidRPr="00BA2622">
          <w:rPr>
            <w:rStyle w:val="Hyperlink"/>
            <w:rFonts w:ascii="Traditional Arabic" w:hAnsi="Traditional Arabic" w:cs="Traditional Arabic" w:hint="cs"/>
            <w:spacing w:val="-6"/>
            <w:sz w:val="24"/>
            <w:szCs w:val="24"/>
            <w:lang w:bidi="ar-EG"/>
          </w:rPr>
          <w:t xml:space="preserve"> – HCAC</w:t>
        </w:r>
      </w:hyperlink>
    </w:p>
    <w:p w14:paraId="6342C1C4" w14:textId="61CE9A4B" w:rsidR="00A706D2" w:rsidRPr="00BA2622" w:rsidRDefault="004F449D"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كما تعرف بأنها</w:t>
      </w:r>
      <w:r w:rsidR="00A706D2" w:rsidRPr="00BA2622">
        <w:rPr>
          <w:rFonts w:ascii="Traditional Arabic" w:hAnsi="Traditional Arabic" w:cs="Traditional Arabic" w:hint="cs"/>
          <w:spacing w:val="-6"/>
          <w:sz w:val="24"/>
          <w:szCs w:val="24"/>
          <w:rtl/>
        </w:rPr>
        <w:t xml:space="preserve"> إطار لأنشطة منظمة تولّد ثقافات وعمليات وسلوكيات وتكنولوجيات في مجال الرعاية الصحية تعمل على التقليل من المخاطر والحد من الأذى الممكن تجنبه</w:t>
      </w:r>
      <w:r w:rsidR="00A706D2" w:rsidRPr="00BA2622">
        <w:rPr>
          <w:rFonts w:ascii="Traditional Arabic" w:hAnsi="Traditional Arabic" w:cs="Traditional Arabic" w:hint="cs"/>
          <w:spacing w:val="-6"/>
          <w:sz w:val="24"/>
          <w:szCs w:val="24"/>
          <w:lang w:bidi="ar-EG"/>
        </w:rPr>
        <w:t>.</w:t>
      </w:r>
      <w:r w:rsidR="00A706D2" w:rsidRPr="00BA2622">
        <w:rPr>
          <w:rFonts w:ascii="Traditional Arabic" w:hAnsi="Traditional Arabic" w:cs="Traditional Arabic" w:hint="cs"/>
          <w:spacing w:val="-6"/>
          <w:sz w:val="24"/>
          <w:szCs w:val="24"/>
          <w:lang w:bidi="ar-EG"/>
        </w:rPr>
        <w:br/>
      </w:r>
      <w:hyperlink r:id="rId24" w:history="1">
        <w:r w:rsidR="00A706D2" w:rsidRPr="00BA2622">
          <w:rPr>
            <w:rStyle w:val="Hyperlink"/>
            <w:rFonts w:ascii="Traditional Arabic" w:hAnsi="Traditional Arabic" w:cs="Traditional Arabic" w:hint="cs"/>
            <w:spacing w:val="-6"/>
            <w:sz w:val="24"/>
            <w:szCs w:val="24"/>
            <w:rtl/>
          </w:rPr>
          <w:t>منظمة الصحة العالمية – ورقة الحقائق</w:t>
        </w:r>
      </w:hyperlink>
    </w:p>
    <w:p w14:paraId="693C5E66" w14:textId="4BFE67EA" w:rsidR="00133362" w:rsidRPr="00BA2622" w:rsidRDefault="006C157C" w:rsidP="00BA2622">
      <w:pPr>
        <w:bidi/>
        <w:spacing w:after="200" w:line="360" w:lineRule="auto"/>
        <w:ind w:firstLine="720"/>
        <w:rPr>
          <w:rFonts w:ascii="Traditional Arabic" w:hAnsi="Traditional Arabic" w:cs="Traditional Arabic"/>
          <w:sz w:val="24"/>
          <w:szCs w:val="24"/>
        </w:rPr>
      </w:pPr>
      <w:r w:rsidRPr="00BA2622">
        <w:rPr>
          <w:rFonts w:ascii="Traditional Arabic" w:hAnsi="Traditional Arabic" w:cs="Traditional Arabic" w:hint="cs"/>
          <w:spacing w:val="-6"/>
          <w:sz w:val="24"/>
          <w:szCs w:val="24"/>
          <w:rtl/>
        </w:rPr>
        <w:t>و</w:t>
      </w:r>
      <w:r w:rsidR="00A706D2" w:rsidRPr="00BA2622">
        <w:rPr>
          <w:rFonts w:ascii="Traditional Arabic" w:hAnsi="Traditional Arabic" w:cs="Traditional Arabic" w:hint="cs"/>
          <w:spacing w:val="-6"/>
          <w:sz w:val="24"/>
          <w:szCs w:val="24"/>
          <w:rtl/>
        </w:rPr>
        <w:t>سلامة المرضى تعني تقليل احتمال وقوع الخطأ الطبي والحد من تأثيره عند حدوثه، من خلال تحسين النظم الصحية والتدريب والتكنولوجيا</w:t>
      </w:r>
      <w:r w:rsidR="00A706D2" w:rsidRPr="00BA2622">
        <w:rPr>
          <w:rFonts w:ascii="Traditional Arabic" w:hAnsi="Traditional Arabic" w:cs="Traditional Arabic" w:hint="cs"/>
          <w:spacing w:val="-6"/>
          <w:sz w:val="24"/>
          <w:szCs w:val="24"/>
          <w:lang w:bidi="ar-EG"/>
        </w:rPr>
        <w:t>.</w:t>
      </w:r>
      <w:r w:rsidR="00A706D2" w:rsidRPr="00BA2622">
        <w:rPr>
          <w:rFonts w:ascii="Traditional Arabic" w:hAnsi="Traditional Arabic" w:cs="Traditional Arabic" w:hint="cs"/>
          <w:spacing w:val="-6"/>
          <w:sz w:val="24"/>
          <w:szCs w:val="24"/>
          <w:lang w:bidi="ar-EG"/>
        </w:rPr>
        <w:br/>
      </w:r>
      <w:hyperlink r:id="rId25" w:history="1">
        <w:r w:rsidR="00A706D2" w:rsidRPr="00BA2622">
          <w:rPr>
            <w:rStyle w:val="Hyperlink"/>
            <w:rFonts w:ascii="Traditional Arabic" w:hAnsi="Traditional Arabic" w:cs="Traditional Arabic" w:hint="cs"/>
            <w:spacing w:val="-6"/>
            <w:sz w:val="24"/>
            <w:szCs w:val="24"/>
            <w:rtl/>
          </w:rPr>
          <w:t>منظمة الصحة العالمية</w:t>
        </w:r>
      </w:hyperlink>
    </w:p>
    <w:p w14:paraId="089FEEEE" w14:textId="67EC95D7" w:rsidR="00C6360A" w:rsidRPr="00BA2622" w:rsidRDefault="00225F6E" w:rsidP="00BA2622">
      <w:pPr>
        <w:bidi/>
        <w:spacing w:after="200" w:line="360" w:lineRule="auto"/>
        <w:ind w:firstLine="720"/>
        <w:jc w:val="both"/>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lastRenderedPageBreak/>
        <w:t>و</w:t>
      </w:r>
      <w:r w:rsidR="00133362" w:rsidRPr="00BA2622">
        <w:rPr>
          <w:rFonts w:ascii="Traditional Arabic" w:hAnsi="Traditional Arabic" w:cs="Traditional Arabic" w:hint="cs"/>
          <w:spacing w:val="-6"/>
          <w:sz w:val="24"/>
          <w:szCs w:val="24"/>
          <w:rtl/>
        </w:rPr>
        <w:t xml:space="preserve">تُعرّف </w:t>
      </w:r>
      <w:r w:rsidRPr="00BA2622">
        <w:rPr>
          <w:rFonts w:ascii="Traditional Arabic" w:hAnsi="Traditional Arabic" w:cs="Traditional Arabic" w:hint="cs"/>
          <w:spacing w:val="-6"/>
          <w:sz w:val="24"/>
          <w:szCs w:val="24"/>
          <w:rtl/>
        </w:rPr>
        <w:t xml:space="preserve">أيضا </w:t>
      </w:r>
      <w:r w:rsidR="00133362" w:rsidRPr="00BA2622">
        <w:rPr>
          <w:rFonts w:ascii="Traditional Arabic" w:hAnsi="Traditional Arabic" w:cs="Traditional Arabic" w:hint="cs"/>
          <w:spacing w:val="-6"/>
          <w:sz w:val="24"/>
          <w:szCs w:val="24"/>
          <w:rtl/>
        </w:rPr>
        <w:t xml:space="preserve">سلامة المرضى بأنها </w:t>
      </w:r>
      <w:r w:rsidR="00133362" w:rsidRPr="00BA2622">
        <w:rPr>
          <w:rFonts w:ascii="Traditional Arabic" w:hAnsi="Traditional Arabic" w:cs="Traditional Arabic" w:hint="cs"/>
          <w:spacing w:val="-6"/>
          <w:sz w:val="24"/>
          <w:szCs w:val="24"/>
          <w:lang w:bidi="ar-EG"/>
        </w:rPr>
        <w:t>"</w:t>
      </w:r>
      <w:r w:rsidR="00133362" w:rsidRPr="00BA2622">
        <w:rPr>
          <w:rFonts w:ascii="Traditional Arabic" w:hAnsi="Traditional Arabic" w:cs="Traditional Arabic" w:hint="cs"/>
          <w:spacing w:val="-6"/>
          <w:sz w:val="24"/>
          <w:szCs w:val="24"/>
          <w:rtl/>
        </w:rPr>
        <w:t>القدرة على تقليل الحوادث الضارة من خلال فهم الأسباب الجذرية للأخطاء، وتطبيق أنظمة الإبلاغ، وبناء ثقافة تعلم مستمرة داخل بيئة الرعاية الصحية</w:t>
      </w:r>
      <w:r w:rsidR="00133362" w:rsidRPr="00BA2622">
        <w:rPr>
          <w:rFonts w:ascii="Traditional Arabic" w:hAnsi="Traditional Arabic" w:cs="Traditional Arabic" w:hint="cs"/>
          <w:spacing w:val="-6"/>
          <w:sz w:val="24"/>
          <w:szCs w:val="24"/>
          <w:lang w:bidi="ar-EG"/>
        </w:rPr>
        <w:t xml:space="preserve">" (Ensaldo Carrasco, 2018, p. 45). </w:t>
      </w:r>
      <w:r w:rsidR="004B7147" w:rsidRPr="00BA2622">
        <w:rPr>
          <w:rFonts w:ascii="Traditional Arabic" w:hAnsi="Traditional Arabic" w:cs="Traditional Arabic" w:hint="cs"/>
          <w:spacing w:val="-6"/>
          <w:sz w:val="24"/>
          <w:szCs w:val="24"/>
          <w:rtl/>
        </w:rPr>
        <w:t>.</w:t>
      </w:r>
    </w:p>
    <w:p w14:paraId="6E071868" w14:textId="7A3D4FF0" w:rsidR="00133362" w:rsidRPr="00BA2622" w:rsidRDefault="00C6360A" w:rsidP="00BA2622">
      <w:pPr>
        <w:bidi/>
        <w:spacing w:after="200" w:line="360" w:lineRule="auto"/>
        <w:ind w:firstLine="720"/>
        <w:jc w:val="both"/>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lang w:bidi="ar-EG"/>
        </w:rPr>
        <w:t xml:space="preserve">كما </w:t>
      </w:r>
      <w:r w:rsidR="00133362" w:rsidRPr="00BA2622">
        <w:rPr>
          <w:rFonts w:ascii="Traditional Arabic" w:hAnsi="Traditional Arabic" w:cs="Traditional Arabic" w:hint="cs"/>
          <w:spacing w:val="-6"/>
          <w:sz w:val="24"/>
          <w:szCs w:val="24"/>
          <w:rtl/>
        </w:rPr>
        <w:t xml:space="preserve">تُعرّف سلامة المرضى بأنها </w:t>
      </w:r>
      <w:r w:rsidR="00133362" w:rsidRPr="00BA2622">
        <w:rPr>
          <w:rFonts w:ascii="Traditional Arabic" w:hAnsi="Traditional Arabic" w:cs="Traditional Arabic" w:hint="cs"/>
          <w:spacing w:val="-6"/>
          <w:sz w:val="24"/>
          <w:szCs w:val="24"/>
          <w:lang w:bidi="ar-EG"/>
        </w:rPr>
        <w:t>"</w:t>
      </w:r>
      <w:r w:rsidR="00133362" w:rsidRPr="00BA2622">
        <w:rPr>
          <w:rFonts w:ascii="Traditional Arabic" w:hAnsi="Traditional Arabic" w:cs="Traditional Arabic" w:hint="cs"/>
          <w:spacing w:val="-6"/>
          <w:sz w:val="24"/>
          <w:szCs w:val="24"/>
          <w:rtl/>
        </w:rPr>
        <w:t>نهج متعدد المستويات يشمل السياسات الوطنية، والتنسيق بين الوكالات الصحية، وتفعيل دور العاملين الصحيين في تطبيق الممارسات الآمنة، بما يضمن تقليل المخاطر وتحسين جودة الرعاية في السياقات المعقدة مثل دول إقليم شرق المتوسط</w:t>
      </w:r>
      <w:r w:rsidR="00133362" w:rsidRPr="00BA2622">
        <w:rPr>
          <w:rFonts w:ascii="Traditional Arabic" w:hAnsi="Traditional Arabic" w:cs="Traditional Arabic" w:hint="cs"/>
          <w:spacing w:val="-6"/>
          <w:sz w:val="24"/>
          <w:szCs w:val="24"/>
          <w:lang w:bidi="ar-EG"/>
        </w:rPr>
        <w:t xml:space="preserve">" (Dardur, 2024, p. 88). </w:t>
      </w:r>
    </w:p>
    <w:p w14:paraId="37E2D41A" w14:textId="77777777" w:rsidR="00587EDA" w:rsidRDefault="00587EDA" w:rsidP="00133362">
      <w:pPr>
        <w:bidi/>
        <w:spacing w:after="200" w:line="276" w:lineRule="auto"/>
        <w:rPr>
          <w:rFonts w:ascii="Simplified Arabic" w:hAnsi="Simplified Arabic" w:cs="Simplified Arabic"/>
          <w:b/>
          <w:bCs/>
          <w:spacing w:val="-6"/>
          <w:sz w:val="32"/>
          <w:szCs w:val="32"/>
          <w:rtl/>
          <w:lang w:bidi="ar-EG"/>
        </w:rPr>
      </w:pPr>
    </w:p>
    <w:p w14:paraId="49235041"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7E7ADCCC"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16FA6624"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256BA1E2"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05E76F9"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06E766D"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193C5FD5"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1CA4D67"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41521C91"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23FD6FB"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B4F0026"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E3DCF0C" w14:textId="77777777" w:rsidR="00587EDA" w:rsidRDefault="00587EDA" w:rsidP="00587EDA">
      <w:pPr>
        <w:bidi/>
        <w:spacing w:after="200" w:line="276" w:lineRule="auto"/>
        <w:rPr>
          <w:rFonts w:ascii="Simplified Arabic" w:hAnsi="Simplified Arabic" w:cs="Simplified Arabic"/>
          <w:b/>
          <w:bCs/>
          <w:spacing w:val="-6"/>
          <w:sz w:val="32"/>
          <w:szCs w:val="32"/>
          <w:rtl/>
          <w:lang w:bidi="ar-EG"/>
        </w:rPr>
      </w:pPr>
    </w:p>
    <w:p w14:paraId="77BEADBD" w14:textId="543CDEAB" w:rsidR="006C157C" w:rsidRPr="007C2DBE" w:rsidRDefault="00A44ABC" w:rsidP="00587EDA">
      <w:pPr>
        <w:bidi/>
        <w:spacing w:after="200" w:line="276" w:lineRule="auto"/>
        <w:rPr>
          <w:rFonts w:ascii="Traditional Arabic" w:hAnsi="Traditional Arabic" w:cs="Traditional Arabic"/>
          <w:b/>
          <w:bCs/>
          <w:spacing w:val="-6"/>
          <w:sz w:val="32"/>
          <w:szCs w:val="32"/>
          <w:rtl/>
          <w:lang w:bidi="ar-EG"/>
        </w:rPr>
      </w:pPr>
      <w:r w:rsidRPr="007C2DBE">
        <w:rPr>
          <w:rFonts w:ascii="Traditional Arabic" w:hAnsi="Traditional Arabic" w:cs="Traditional Arabic" w:hint="cs"/>
          <w:b/>
          <w:bCs/>
          <w:spacing w:val="-6"/>
          <w:sz w:val="32"/>
          <w:szCs w:val="32"/>
          <w:rtl/>
          <w:lang w:bidi="ar-EG"/>
        </w:rPr>
        <w:lastRenderedPageBreak/>
        <w:t>ثانياً</w:t>
      </w:r>
      <w:r w:rsidR="00587EDA" w:rsidRPr="007C2DBE">
        <w:rPr>
          <w:rFonts w:ascii="Traditional Arabic" w:hAnsi="Traditional Arabic" w:cs="Traditional Arabic" w:hint="cs"/>
          <w:b/>
          <w:bCs/>
          <w:spacing w:val="-6"/>
          <w:sz w:val="32"/>
          <w:szCs w:val="32"/>
          <w:rtl/>
          <w:lang w:bidi="ar-EG"/>
        </w:rPr>
        <w:t>:</w:t>
      </w:r>
      <w:r w:rsidRPr="007C2DBE">
        <w:rPr>
          <w:rFonts w:ascii="Traditional Arabic" w:hAnsi="Traditional Arabic" w:cs="Traditional Arabic" w:hint="cs"/>
          <w:b/>
          <w:bCs/>
          <w:spacing w:val="-6"/>
          <w:sz w:val="32"/>
          <w:szCs w:val="32"/>
          <w:rtl/>
          <w:lang w:bidi="ar-EG"/>
        </w:rPr>
        <w:t xml:space="preserve">  </w:t>
      </w:r>
      <w:r w:rsidR="006C157C" w:rsidRPr="007C2DBE">
        <w:rPr>
          <w:rFonts w:ascii="Traditional Arabic" w:hAnsi="Traditional Arabic" w:cs="Traditional Arabic" w:hint="cs"/>
          <w:b/>
          <w:bCs/>
          <w:spacing w:val="-6"/>
          <w:sz w:val="32"/>
          <w:szCs w:val="32"/>
          <w:rtl/>
          <w:lang w:bidi="ar-EG"/>
        </w:rPr>
        <w:t>نظريات سلامة المرضى:</w:t>
      </w:r>
    </w:p>
    <w:p w14:paraId="54DF31C5" w14:textId="6F7E4AA4" w:rsidR="00D376F3" w:rsidRPr="00B64913" w:rsidRDefault="00D376F3" w:rsidP="00D376F3">
      <w:pPr>
        <w:bidi/>
        <w:spacing w:after="200" w:line="276" w:lineRule="auto"/>
        <w:jc w:val="center"/>
        <w:rPr>
          <w:rFonts w:ascii="Traditional Arabic" w:hAnsi="Traditional Arabic" w:cs="Traditional Arabic"/>
          <w:b/>
          <w:bCs/>
          <w:spacing w:val="-6"/>
          <w:sz w:val="24"/>
          <w:szCs w:val="24"/>
          <w:lang w:bidi="ar-EG"/>
        </w:rPr>
      </w:pPr>
      <w:r w:rsidRPr="00B64913">
        <w:rPr>
          <w:rFonts w:ascii="Traditional Arabic" w:hAnsi="Traditional Arabic" w:cs="Traditional Arabic" w:hint="cs"/>
          <w:b/>
          <w:bCs/>
          <w:spacing w:val="-6"/>
          <w:sz w:val="24"/>
          <w:szCs w:val="24"/>
          <w:rtl/>
          <w:lang w:bidi="ar-EG"/>
        </w:rPr>
        <w:t xml:space="preserve">جدول ( </w:t>
      </w:r>
      <w:r w:rsidR="004B7147" w:rsidRPr="00B64913">
        <w:rPr>
          <w:rFonts w:ascii="Traditional Arabic" w:hAnsi="Traditional Arabic" w:cs="Traditional Arabic" w:hint="cs"/>
          <w:b/>
          <w:bCs/>
          <w:spacing w:val="-6"/>
          <w:sz w:val="24"/>
          <w:szCs w:val="24"/>
          <w:rtl/>
          <w:lang w:bidi="ar-EG"/>
        </w:rPr>
        <w:t>6</w:t>
      </w:r>
      <w:r w:rsidRPr="00B64913">
        <w:rPr>
          <w:rFonts w:ascii="Traditional Arabic" w:hAnsi="Traditional Arabic" w:cs="Traditional Arabic" w:hint="cs"/>
          <w:b/>
          <w:bCs/>
          <w:spacing w:val="-6"/>
          <w:sz w:val="24"/>
          <w:szCs w:val="24"/>
          <w:rtl/>
          <w:lang w:bidi="ar-EG"/>
        </w:rPr>
        <w:t xml:space="preserve"> ) النظريات المفسرة لسلامة المرضى</w:t>
      </w:r>
    </w:p>
    <w:tbl>
      <w:tblPr>
        <w:tblW w:w="5000" w:type="pct"/>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868"/>
        <w:gridCol w:w="943"/>
        <w:gridCol w:w="1623"/>
        <w:gridCol w:w="1371"/>
        <w:gridCol w:w="1485"/>
      </w:tblGrid>
      <w:tr w:rsidR="006440BC" w:rsidRPr="00B64913" w14:paraId="2B717B9C" w14:textId="77777777" w:rsidTr="00B64913">
        <w:trPr>
          <w:tblHeader/>
          <w:tblCellSpacing w:w="15" w:type="dxa"/>
          <w:jc w:val="center"/>
        </w:trPr>
        <w:tc>
          <w:tcPr>
            <w:tcW w:w="1702" w:type="pct"/>
            <w:shd w:val="clear" w:color="auto" w:fill="E5DFEC" w:themeFill="accent4" w:themeFillTint="33"/>
            <w:vAlign w:val="center"/>
            <w:hideMark/>
          </w:tcPr>
          <w:p w14:paraId="2BF5B978" w14:textId="1E7570E3"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التوثيق</w:t>
            </w:r>
          </w:p>
        </w:tc>
        <w:tc>
          <w:tcPr>
            <w:tcW w:w="550" w:type="pct"/>
            <w:shd w:val="clear" w:color="auto" w:fill="E5DFEC" w:themeFill="accent4" w:themeFillTint="33"/>
            <w:vAlign w:val="center"/>
            <w:hideMark/>
          </w:tcPr>
          <w:p w14:paraId="0CD8F59B" w14:textId="61C6B0B1"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الأبعاد المقترحة</w:t>
            </w:r>
          </w:p>
        </w:tc>
        <w:tc>
          <w:tcPr>
            <w:tcW w:w="961" w:type="pct"/>
            <w:shd w:val="clear" w:color="auto" w:fill="E5DFEC" w:themeFill="accent4" w:themeFillTint="33"/>
            <w:vAlign w:val="center"/>
            <w:hideMark/>
          </w:tcPr>
          <w:p w14:paraId="7A52F9F2" w14:textId="2162AE55"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المبادئ الأساسية</w:t>
            </w:r>
          </w:p>
        </w:tc>
        <w:tc>
          <w:tcPr>
            <w:tcW w:w="809" w:type="pct"/>
            <w:shd w:val="clear" w:color="auto" w:fill="E5DFEC" w:themeFill="accent4" w:themeFillTint="33"/>
            <w:vAlign w:val="center"/>
            <w:hideMark/>
          </w:tcPr>
          <w:p w14:paraId="5C4BB36C" w14:textId="5EE8BB34"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صاحب النظرية وتاريخها</w:t>
            </w:r>
          </w:p>
        </w:tc>
        <w:tc>
          <w:tcPr>
            <w:tcW w:w="869" w:type="pct"/>
            <w:shd w:val="clear" w:color="auto" w:fill="E5DFEC" w:themeFill="accent4" w:themeFillTint="33"/>
            <w:vAlign w:val="center"/>
            <w:hideMark/>
          </w:tcPr>
          <w:p w14:paraId="5F2F0F79" w14:textId="38BDA82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اسم النظرية</w:t>
            </w:r>
          </w:p>
        </w:tc>
      </w:tr>
      <w:tr w:rsidR="006440BC" w:rsidRPr="00B64913" w14:paraId="590B5E78" w14:textId="77777777" w:rsidTr="00B64913">
        <w:trPr>
          <w:tblCellSpacing w:w="15" w:type="dxa"/>
          <w:jc w:val="center"/>
        </w:trPr>
        <w:tc>
          <w:tcPr>
            <w:tcW w:w="1702" w:type="pct"/>
            <w:vAlign w:val="center"/>
            <w:hideMark/>
          </w:tcPr>
          <w:p w14:paraId="3B9FE3AB" w14:textId="2DCDC1EE"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Reason,. (1990).</w:t>
            </w:r>
          </w:p>
        </w:tc>
        <w:tc>
          <w:tcPr>
            <w:tcW w:w="550" w:type="pct"/>
            <w:vAlign w:val="center"/>
            <w:hideMark/>
          </w:tcPr>
          <w:p w14:paraId="7FEDE25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بشري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تحليلي</w:t>
            </w:r>
          </w:p>
        </w:tc>
        <w:tc>
          <w:tcPr>
            <w:tcW w:w="961" w:type="pct"/>
            <w:vAlign w:val="center"/>
            <w:hideMark/>
          </w:tcPr>
          <w:p w14:paraId="64115841" w14:textId="3FC6B568"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 xml:space="preserve">كل نظام دفاعي يحتوي على </w:t>
            </w:r>
            <w:r w:rsidR="004B7147" w:rsidRPr="00B64913">
              <w:rPr>
                <w:rFonts w:ascii="Traditional Arabic" w:hAnsi="Traditional Arabic" w:cs="Traditional Arabic" w:hint="cs"/>
                <w:b/>
                <w:bCs/>
                <w:sz w:val="24"/>
                <w:szCs w:val="24"/>
              </w:rPr>
              <w:t>“</w:t>
            </w:r>
            <w:r w:rsidRPr="00B64913">
              <w:rPr>
                <w:rFonts w:ascii="Traditional Arabic" w:hAnsi="Traditional Arabic" w:cs="Traditional Arabic" w:hint="cs"/>
                <w:b/>
                <w:bCs/>
                <w:sz w:val="24"/>
                <w:szCs w:val="24"/>
                <w:rtl/>
              </w:rPr>
              <w:t>ثقوب</w:t>
            </w:r>
            <w:r w:rsidR="004B7147" w:rsidRPr="00B64913">
              <w:rPr>
                <w:rFonts w:ascii="Traditional Arabic" w:hAnsi="Traditional Arabic" w:cs="Traditional Arabic" w:hint="cs"/>
                <w:b/>
                <w:bCs/>
                <w:sz w:val="24"/>
                <w:szCs w:val="24"/>
              </w:rPr>
              <w:t>”</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الحوادث تقع عند تصفّ هذه الثقوب</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الأخطاء نشطة وكامنة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أهمية تعدد الطبقات الدفاعية</w:t>
            </w:r>
          </w:p>
        </w:tc>
        <w:tc>
          <w:tcPr>
            <w:tcW w:w="809" w:type="pct"/>
            <w:vAlign w:val="center"/>
            <w:hideMark/>
          </w:tcPr>
          <w:p w14:paraId="0873B36C"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جيمس ريزن – 1990</w:t>
            </w:r>
          </w:p>
        </w:tc>
        <w:tc>
          <w:tcPr>
            <w:tcW w:w="869" w:type="pct"/>
            <w:vAlign w:val="center"/>
            <w:hideMark/>
          </w:tcPr>
          <w:p w14:paraId="59B6E8BC"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الجبن السويسري</w:t>
            </w:r>
          </w:p>
        </w:tc>
      </w:tr>
      <w:tr w:rsidR="006440BC" w:rsidRPr="00B64913" w14:paraId="35D18F1E" w14:textId="77777777" w:rsidTr="00B64913">
        <w:trPr>
          <w:tblCellSpacing w:w="15" w:type="dxa"/>
          <w:jc w:val="center"/>
        </w:trPr>
        <w:tc>
          <w:tcPr>
            <w:tcW w:w="1702" w:type="pct"/>
            <w:vAlign w:val="center"/>
            <w:hideMark/>
          </w:tcPr>
          <w:p w14:paraId="24340A32" w14:textId="499597A2"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Milligan,. (2007).</w:t>
            </w:r>
          </w:p>
        </w:tc>
        <w:tc>
          <w:tcPr>
            <w:tcW w:w="550" w:type="pct"/>
            <w:vAlign w:val="center"/>
            <w:hideMark/>
          </w:tcPr>
          <w:p w14:paraId="7B77E98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إدراكي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بيئي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تكنولوجي</w:t>
            </w:r>
          </w:p>
        </w:tc>
        <w:tc>
          <w:tcPr>
            <w:tcW w:w="961" w:type="pct"/>
            <w:vAlign w:val="center"/>
            <w:hideMark/>
          </w:tcPr>
          <w:p w14:paraId="4246667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التفاعل بين الإنسان والنظام</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الأخطاء نتيجة عوامل متعددة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تحسين الأداء البشري يقلل المخاطر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البيئة الآمنة والتدريب المناسب</w:t>
            </w:r>
          </w:p>
        </w:tc>
        <w:tc>
          <w:tcPr>
            <w:tcW w:w="809" w:type="pct"/>
            <w:vAlign w:val="center"/>
            <w:hideMark/>
          </w:tcPr>
          <w:p w14:paraId="21D694D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مساهمات متعددة – 1980</w:t>
            </w:r>
            <w:r w:rsidRPr="00B64913">
              <w:rPr>
                <w:rFonts w:ascii="Traditional Arabic" w:hAnsi="Traditional Arabic" w:cs="Traditional Arabic" w:hint="cs"/>
                <w:b/>
                <w:bCs/>
                <w:sz w:val="24"/>
                <w:szCs w:val="24"/>
              </w:rPr>
              <w:t>s</w:t>
            </w:r>
          </w:p>
        </w:tc>
        <w:tc>
          <w:tcPr>
            <w:tcW w:w="869" w:type="pct"/>
            <w:vAlign w:val="center"/>
            <w:hideMark/>
          </w:tcPr>
          <w:p w14:paraId="4019B8C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العوامل البشرية</w:t>
            </w:r>
          </w:p>
        </w:tc>
      </w:tr>
      <w:tr w:rsidR="006440BC" w:rsidRPr="00B64913" w14:paraId="0B59167F" w14:textId="77777777" w:rsidTr="00B64913">
        <w:trPr>
          <w:tblCellSpacing w:w="15" w:type="dxa"/>
          <w:jc w:val="center"/>
        </w:trPr>
        <w:tc>
          <w:tcPr>
            <w:tcW w:w="1702" w:type="pct"/>
            <w:vAlign w:val="center"/>
            <w:hideMark/>
          </w:tcPr>
          <w:p w14:paraId="436C44EB" w14:textId="0AE70955"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Capra,. (1996)..</w:t>
            </w:r>
          </w:p>
        </w:tc>
        <w:tc>
          <w:tcPr>
            <w:tcW w:w="550" w:type="pct"/>
            <w:vAlign w:val="center"/>
            <w:hideMark/>
          </w:tcPr>
          <w:p w14:paraId="2B9CCF1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بنيوي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ديناميكي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تفاعلي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استراتيجي</w:t>
            </w:r>
          </w:p>
        </w:tc>
        <w:tc>
          <w:tcPr>
            <w:tcW w:w="961" w:type="pct"/>
            <w:vAlign w:val="center"/>
            <w:hideMark/>
          </w:tcPr>
          <w:p w14:paraId="39C1E93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الأنظمة مترابطة وغير خطية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التغير في جزء يؤثر على الكل</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التفكير النظمي ضروري لإدارة المخاطر</w:t>
            </w:r>
          </w:p>
        </w:tc>
        <w:tc>
          <w:tcPr>
            <w:tcW w:w="809" w:type="pct"/>
            <w:vAlign w:val="center"/>
            <w:hideMark/>
          </w:tcPr>
          <w:p w14:paraId="5F1CDBD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فريتجوف كابرا وآخرون – 1970</w:t>
            </w:r>
            <w:r w:rsidRPr="00B64913">
              <w:rPr>
                <w:rFonts w:ascii="Traditional Arabic" w:hAnsi="Traditional Arabic" w:cs="Traditional Arabic" w:hint="cs"/>
                <w:b/>
                <w:bCs/>
                <w:sz w:val="24"/>
                <w:szCs w:val="24"/>
              </w:rPr>
              <w:t>s</w:t>
            </w:r>
          </w:p>
        </w:tc>
        <w:tc>
          <w:tcPr>
            <w:tcW w:w="869" w:type="pct"/>
            <w:vAlign w:val="center"/>
            <w:hideMark/>
          </w:tcPr>
          <w:p w14:paraId="712AA06B"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النظم المعقدة</w:t>
            </w:r>
          </w:p>
        </w:tc>
      </w:tr>
      <w:tr w:rsidR="006440BC" w:rsidRPr="00B64913" w14:paraId="46AB381C" w14:textId="77777777" w:rsidTr="00B64913">
        <w:trPr>
          <w:tblCellSpacing w:w="15" w:type="dxa"/>
          <w:jc w:val="center"/>
        </w:trPr>
        <w:tc>
          <w:tcPr>
            <w:tcW w:w="1702" w:type="pct"/>
            <w:vAlign w:val="center"/>
            <w:hideMark/>
          </w:tcPr>
          <w:p w14:paraId="73C0AFB8" w14:textId="13251E5D"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Weick., &amp; Sutcliffe, (2007).</w:t>
            </w:r>
          </w:p>
        </w:tc>
        <w:tc>
          <w:tcPr>
            <w:tcW w:w="550" w:type="pct"/>
            <w:vAlign w:val="center"/>
            <w:hideMark/>
          </w:tcPr>
          <w:p w14:paraId="42221EC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ثقافي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قيادي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تشغيلي</w:t>
            </w:r>
          </w:p>
        </w:tc>
        <w:tc>
          <w:tcPr>
            <w:tcW w:w="961" w:type="pct"/>
            <w:vAlign w:val="center"/>
            <w:hideMark/>
          </w:tcPr>
          <w:p w14:paraId="320398B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التركيز على الاستباقية</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تعزيز ثقافة السلامة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التنظيم واليقظة المستمرة</w:t>
            </w:r>
          </w:p>
        </w:tc>
        <w:tc>
          <w:tcPr>
            <w:tcW w:w="809" w:type="pct"/>
            <w:vAlign w:val="center"/>
            <w:hideMark/>
          </w:tcPr>
          <w:p w14:paraId="4F06E8A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lastRenderedPageBreak/>
              <w:t>ويك وسوتكليف – 1980</w:t>
            </w:r>
            <w:r w:rsidRPr="00B64913">
              <w:rPr>
                <w:rFonts w:ascii="Traditional Arabic" w:hAnsi="Traditional Arabic" w:cs="Traditional Arabic" w:hint="cs"/>
                <w:b/>
                <w:bCs/>
                <w:sz w:val="24"/>
                <w:szCs w:val="24"/>
              </w:rPr>
              <w:t>s</w:t>
            </w:r>
          </w:p>
        </w:tc>
        <w:tc>
          <w:tcPr>
            <w:tcW w:w="869" w:type="pct"/>
            <w:vAlign w:val="center"/>
            <w:hideMark/>
          </w:tcPr>
          <w:p w14:paraId="5717C9F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الموثوقية العالية</w:t>
            </w:r>
          </w:p>
        </w:tc>
      </w:tr>
      <w:tr w:rsidR="006440BC" w:rsidRPr="00B64913" w14:paraId="7F25291C" w14:textId="77777777" w:rsidTr="00B64913">
        <w:trPr>
          <w:tblCellSpacing w:w="15" w:type="dxa"/>
          <w:jc w:val="center"/>
        </w:trPr>
        <w:tc>
          <w:tcPr>
            <w:tcW w:w="1702" w:type="pct"/>
            <w:vAlign w:val="center"/>
            <w:hideMark/>
          </w:tcPr>
          <w:p w14:paraId="319452EE" w14:textId="120A84D8"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Kunda,. (2006)..</w:t>
            </w:r>
          </w:p>
        </w:tc>
        <w:tc>
          <w:tcPr>
            <w:tcW w:w="550" w:type="pct"/>
            <w:vAlign w:val="center"/>
            <w:hideMark/>
          </w:tcPr>
          <w:p w14:paraId="223E3640"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رمزي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اتصالي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علائقي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سلوكي</w:t>
            </w:r>
          </w:p>
        </w:tc>
        <w:tc>
          <w:tcPr>
            <w:tcW w:w="961" w:type="pct"/>
            <w:vAlign w:val="center"/>
            <w:hideMark/>
          </w:tcPr>
          <w:p w14:paraId="47B3FB2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الثقافة تُبنى عبر التفاعل</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شبكات الزملاء تؤثر على الالتزام</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القيادة الثقافية قد تكون غير رسمية</w:t>
            </w:r>
          </w:p>
        </w:tc>
        <w:tc>
          <w:tcPr>
            <w:tcW w:w="809" w:type="pct"/>
            <w:vAlign w:val="center"/>
            <w:hideMark/>
          </w:tcPr>
          <w:p w14:paraId="5EB7196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كندا – 1990</w:t>
            </w:r>
            <w:r w:rsidRPr="00B64913">
              <w:rPr>
                <w:rFonts w:ascii="Traditional Arabic" w:hAnsi="Traditional Arabic" w:cs="Traditional Arabic" w:hint="cs"/>
                <w:b/>
                <w:bCs/>
                <w:sz w:val="24"/>
                <w:szCs w:val="24"/>
              </w:rPr>
              <w:t>s</w:t>
            </w:r>
          </w:p>
        </w:tc>
        <w:tc>
          <w:tcPr>
            <w:tcW w:w="869" w:type="pct"/>
            <w:vAlign w:val="center"/>
            <w:hideMark/>
          </w:tcPr>
          <w:p w14:paraId="31575A0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الشبكة الثقافية</w:t>
            </w:r>
          </w:p>
        </w:tc>
      </w:tr>
      <w:tr w:rsidR="006440BC" w:rsidRPr="00B64913" w14:paraId="747ABBF7" w14:textId="77777777" w:rsidTr="00B64913">
        <w:trPr>
          <w:tblCellSpacing w:w="15" w:type="dxa"/>
          <w:jc w:val="center"/>
        </w:trPr>
        <w:tc>
          <w:tcPr>
            <w:tcW w:w="1702" w:type="pct"/>
            <w:vAlign w:val="center"/>
            <w:hideMark/>
          </w:tcPr>
          <w:p w14:paraId="4FA71952" w14:textId="6F40C5F1"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Wu,., Lipshutz, &amp; Pronovost,. (2008)..</w:t>
            </w:r>
          </w:p>
        </w:tc>
        <w:tc>
          <w:tcPr>
            <w:tcW w:w="550" w:type="pct"/>
            <w:vAlign w:val="center"/>
            <w:hideMark/>
          </w:tcPr>
          <w:p w14:paraId="58834C4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تحليلي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توثيقي</w:t>
            </w:r>
          </w:p>
        </w:tc>
        <w:tc>
          <w:tcPr>
            <w:tcW w:w="961" w:type="pct"/>
            <w:vAlign w:val="center"/>
            <w:hideMark/>
          </w:tcPr>
          <w:p w14:paraId="4011684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التركيز على الأسباب النظامية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أدوات تحليل مثل السبب والأثر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التعلم والتحسين وليس اللوم</w:t>
            </w:r>
          </w:p>
        </w:tc>
        <w:tc>
          <w:tcPr>
            <w:tcW w:w="809" w:type="pct"/>
            <w:vAlign w:val="center"/>
            <w:hideMark/>
          </w:tcPr>
          <w:p w14:paraId="76DA3FA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مساهمات متعددة – 1970</w:t>
            </w:r>
            <w:r w:rsidRPr="00B64913">
              <w:rPr>
                <w:rFonts w:ascii="Traditional Arabic" w:hAnsi="Traditional Arabic" w:cs="Traditional Arabic" w:hint="cs"/>
                <w:b/>
                <w:bCs/>
                <w:sz w:val="24"/>
                <w:szCs w:val="24"/>
              </w:rPr>
              <w:t>s</w:t>
            </w:r>
          </w:p>
        </w:tc>
        <w:tc>
          <w:tcPr>
            <w:tcW w:w="869" w:type="pct"/>
            <w:vAlign w:val="center"/>
            <w:hideMark/>
          </w:tcPr>
          <w:p w14:paraId="2DC833D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تحليل السبب الجذري</w:t>
            </w:r>
          </w:p>
        </w:tc>
      </w:tr>
      <w:tr w:rsidR="006440BC" w:rsidRPr="00B64913" w14:paraId="6E53724E" w14:textId="77777777" w:rsidTr="00B64913">
        <w:trPr>
          <w:tblCellSpacing w:w="15" w:type="dxa"/>
          <w:jc w:val="center"/>
        </w:trPr>
        <w:tc>
          <w:tcPr>
            <w:tcW w:w="1702" w:type="pct"/>
            <w:vAlign w:val="center"/>
            <w:hideMark/>
          </w:tcPr>
          <w:p w14:paraId="2389D749" w14:textId="1AC8D620"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Flin,., Burns,., Mearns,., Yule,., &amp; Robertson,.. (2006)..</w:t>
            </w:r>
          </w:p>
        </w:tc>
        <w:tc>
          <w:tcPr>
            <w:tcW w:w="550" w:type="pct"/>
            <w:vAlign w:val="center"/>
            <w:hideMark/>
          </w:tcPr>
          <w:p w14:paraId="7A14DC5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قيادي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اتصالي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سلوكي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p>
        </w:tc>
        <w:tc>
          <w:tcPr>
            <w:tcW w:w="961" w:type="pct"/>
            <w:vAlign w:val="center"/>
            <w:hideMark/>
          </w:tcPr>
          <w:p w14:paraId="0D56DB9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السلامة مسؤولية جماعية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القيادة محورية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التواصل والتعلم من الأخطاء ضروري</w:t>
            </w:r>
          </w:p>
        </w:tc>
        <w:tc>
          <w:tcPr>
            <w:tcW w:w="809" w:type="pct"/>
            <w:vAlign w:val="center"/>
            <w:hideMark/>
          </w:tcPr>
          <w:p w14:paraId="5833EB6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فلين وآخرون – 1980</w:t>
            </w:r>
            <w:r w:rsidRPr="00B64913">
              <w:rPr>
                <w:rFonts w:ascii="Traditional Arabic" w:hAnsi="Traditional Arabic" w:cs="Traditional Arabic" w:hint="cs"/>
                <w:b/>
                <w:bCs/>
                <w:sz w:val="24"/>
                <w:szCs w:val="24"/>
              </w:rPr>
              <w:t>s</w:t>
            </w:r>
          </w:p>
        </w:tc>
        <w:tc>
          <w:tcPr>
            <w:tcW w:w="869" w:type="pct"/>
            <w:vAlign w:val="center"/>
            <w:hideMark/>
          </w:tcPr>
          <w:p w14:paraId="5AD9BDC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ثقافة السلامة</w:t>
            </w:r>
          </w:p>
        </w:tc>
      </w:tr>
      <w:tr w:rsidR="006440BC" w:rsidRPr="00B64913" w14:paraId="0833C46F" w14:textId="77777777" w:rsidTr="00B64913">
        <w:trPr>
          <w:tblCellSpacing w:w="15" w:type="dxa"/>
          <w:jc w:val="center"/>
        </w:trPr>
        <w:tc>
          <w:tcPr>
            <w:tcW w:w="1702" w:type="pct"/>
            <w:vAlign w:val="center"/>
            <w:hideMark/>
          </w:tcPr>
          <w:p w14:paraId="12551ED0" w14:textId="25CB4D5D"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Vincent,. (2010)..</w:t>
            </w:r>
          </w:p>
        </w:tc>
        <w:tc>
          <w:tcPr>
            <w:tcW w:w="550" w:type="pct"/>
            <w:vAlign w:val="center"/>
            <w:hideMark/>
          </w:tcPr>
          <w:p w14:paraId="668BCA6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سريري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تحليلي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p>
        </w:tc>
        <w:tc>
          <w:tcPr>
            <w:tcW w:w="961" w:type="pct"/>
            <w:vAlign w:val="center"/>
            <w:hideMark/>
          </w:tcPr>
          <w:p w14:paraId="1BE1D8F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تقييم دوري للمخاطر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تقارير الحوادث والتحليل السببي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إشراك الطاقم الطبي</w:t>
            </w:r>
          </w:p>
        </w:tc>
        <w:tc>
          <w:tcPr>
            <w:tcW w:w="809" w:type="pct"/>
            <w:vAlign w:val="center"/>
            <w:hideMark/>
          </w:tcPr>
          <w:p w14:paraId="424E6BD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فنسنت – 1990</w:t>
            </w:r>
            <w:r w:rsidRPr="00B64913">
              <w:rPr>
                <w:rFonts w:ascii="Traditional Arabic" w:hAnsi="Traditional Arabic" w:cs="Traditional Arabic" w:hint="cs"/>
                <w:b/>
                <w:bCs/>
                <w:sz w:val="24"/>
                <w:szCs w:val="24"/>
              </w:rPr>
              <w:t>s</w:t>
            </w:r>
          </w:p>
        </w:tc>
        <w:tc>
          <w:tcPr>
            <w:tcW w:w="869" w:type="pct"/>
            <w:vAlign w:val="center"/>
            <w:hideMark/>
          </w:tcPr>
          <w:p w14:paraId="558C7365"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إدارة المخاطر السريرية</w:t>
            </w:r>
          </w:p>
        </w:tc>
      </w:tr>
      <w:tr w:rsidR="006440BC" w:rsidRPr="00B64913" w14:paraId="4260A288" w14:textId="77777777" w:rsidTr="00B64913">
        <w:trPr>
          <w:tblCellSpacing w:w="15" w:type="dxa"/>
          <w:jc w:val="center"/>
        </w:trPr>
        <w:tc>
          <w:tcPr>
            <w:tcW w:w="1702" w:type="pct"/>
            <w:vAlign w:val="center"/>
            <w:hideMark/>
          </w:tcPr>
          <w:p w14:paraId="45038887" w14:textId="025C2037"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Basten., &amp; Haamann, (2018)..</w:t>
            </w:r>
          </w:p>
        </w:tc>
        <w:tc>
          <w:tcPr>
            <w:tcW w:w="550" w:type="pct"/>
            <w:vAlign w:val="center"/>
            <w:hideMark/>
          </w:tcPr>
          <w:p w14:paraId="3399715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بشري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عملي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تكنولوجي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ثقافي</w:t>
            </w:r>
          </w:p>
        </w:tc>
        <w:tc>
          <w:tcPr>
            <w:tcW w:w="961" w:type="pct"/>
            <w:vAlign w:val="center"/>
            <w:hideMark/>
          </w:tcPr>
          <w:p w14:paraId="209E0FB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التعلم الفردي والجماعي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تحويل المعرفة إلى ممارسات</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أهمية التغذية الراجعة</w:t>
            </w:r>
          </w:p>
        </w:tc>
        <w:tc>
          <w:tcPr>
            <w:tcW w:w="809" w:type="pct"/>
            <w:vAlign w:val="center"/>
            <w:hideMark/>
          </w:tcPr>
          <w:p w14:paraId="6ACCC12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lastRenderedPageBreak/>
              <w:t>باستن وهامان – 2018</w:t>
            </w:r>
          </w:p>
        </w:tc>
        <w:tc>
          <w:tcPr>
            <w:tcW w:w="869" w:type="pct"/>
            <w:vAlign w:val="center"/>
            <w:hideMark/>
          </w:tcPr>
          <w:p w14:paraId="4C1AFCC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التعلم التنظيمي</w:t>
            </w:r>
          </w:p>
        </w:tc>
      </w:tr>
      <w:tr w:rsidR="006440BC" w:rsidRPr="00B64913" w14:paraId="4D9ADEC4" w14:textId="77777777" w:rsidTr="00B64913">
        <w:trPr>
          <w:tblCellSpacing w:w="15" w:type="dxa"/>
          <w:jc w:val="center"/>
        </w:trPr>
        <w:tc>
          <w:tcPr>
            <w:tcW w:w="1702" w:type="pct"/>
            <w:vAlign w:val="center"/>
            <w:hideMark/>
          </w:tcPr>
          <w:p w14:paraId="10480A62" w14:textId="5927C61E"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IDEO.org. (2015)..</w:t>
            </w:r>
          </w:p>
        </w:tc>
        <w:tc>
          <w:tcPr>
            <w:tcW w:w="550" w:type="pct"/>
            <w:vAlign w:val="center"/>
            <w:hideMark/>
          </w:tcPr>
          <w:p w14:paraId="36C31650"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إنساني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تكنولوجي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تجريبي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تشاركي</w:t>
            </w:r>
          </w:p>
        </w:tc>
        <w:tc>
          <w:tcPr>
            <w:tcW w:w="961" w:type="pct"/>
            <w:vAlign w:val="center"/>
            <w:hideMark/>
          </w:tcPr>
          <w:p w14:paraId="753BC43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التعاطف مع المستخدمين</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تصميم تشاركي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اختبار وتحسين مستمر</w:t>
            </w:r>
          </w:p>
        </w:tc>
        <w:tc>
          <w:tcPr>
            <w:tcW w:w="809" w:type="pct"/>
            <w:vAlign w:val="center"/>
            <w:hideMark/>
          </w:tcPr>
          <w:p w14:paraId="10E2706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IDEO – 1960s</w:t>
            </w:r>
          </w:p>
        </w:tc>
        <w:tc>
          <w:tcPr>
            <w:tcW w:w="869" w:type="pct"/>
            <w:vAlign w:val="center"/>
            <w:hideMark/>
          </w:tcPr>
          <w:p w14:paraId="5A0003B3"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التصميم المتمركز حول الإنسان</w:t>
            </w:r>
          </w:p>
        </w:tc>
      </w:tr>
    </w:tbl>
    <w:p w14:paraId="1C86B7CF" w14:textId="4957A16C" w:rsidR="00BA7C6F" w:rsidRPr="00C40472" w:rsidRDefault="00D858AF" w:rsidP="004B7147">
      <w:pPr>
        <w:bidi/>
        <w:spacing w:after="200" w:line="276" w:lineRule="auto"/>
        <w:jc w:val="center"/>
        <w:rPr>
          <w:rFonts w:ascii="Traditional Arabic" w:hAnsi="Traditional Arabic" w:cs="Traditional Arabic"/>
          <w:b/>
          <w:bCs/>
          <w:spacing w:val="-6"/>
          <w:sz w:val="24"/>
          <w:szCs w:val="24"/>
          <w:rtl/>
        </w:rPr>
      </w:pPr>
      <w:r w:rsidRPr="00C40472">
        <w:rPr>
          <w:rFonts w:ascii="Traditional Arabic" w:hAnsi="Traditional Arabic" w:cs="Traditional Arabic" w:hint="cs"/>
          <w:b/>
          <w:bCs/>
          <w:spacing w:val="-6"/>
          <w:sz w:val="24"/>
          <w:szCs w:val="24"/>
          <w:rtl/>
        </w:rPr>
        <w:t>إعداد / الباحثة</w:t>
      </w:r>
      <w:r w:rsidR="004B7147" w:rsidRPr="00C40472">
        <w:rPr>
          <w:rFonts w:ascii="Traditional Arabic" w:hAnsi="Traditional Arabic" w:cs="Traditional Arabic" w:hint="cs"/>
          <w:b/>
          <w:bCs/>
          <w:spacing w:val="-6"/>
          <w:sz w:val="24"/>
          <w:szCs w:val="24"/>
          <w:rtl/>
        </w:rPr>
        <w:t xml:space="preserve"> إعتمادا على المصادر داخل الجدول.</w:t>
      </w:r>
    </w:p>
    <w:p w14:paraId="69F4CAB9" w14:textId="48F93C2F" w:rsidR="00B0165C" w:rsidRPr="00CE485C" w:rsidRDefault="00A44ABC" w:rsidP="00C40472">
      <w:pPr>
        <w:bidi/>
        <w:spacing w:after="200" w:line="360" w:lineRule="auto"/>
        <w:rPr>
          <w:rFonts w:ascii="Traditional Arabic" w:hAnsi="Traditional Arabic" w:cs="Traditional Arabic"/>
          <w:spacing w:val="-6"/>
          <w:sz w:val="28"/>
          <w:szCs w:val="28"/>
          <w:rtl/>
          <w:lang w:bidi="ar-EG"/>
        </w:rPr>
      </w:pPr>
      <w:r w:rsidRPr="00CE485C">
        <w:rPr>
          <w:rFonts w:ascii="Traditional Arabic" w:hAnsi="Traditional Arabic" w:cs="Traditional Arabic" w:hint="cs"/>
          <w:b/>
          <w:bCs/>
          <w:spacing w:val="-6"/>
          <w:sz w:val="28"/>
          <w:szCs w:val="28"/>
          <w:rtl/>
        </w:rPr>
        <w:t xml:space="preserve">ثالثاً: </w:t>
      </w:r>
      <w:r w:rsidR="00B0165C" w:rsidRPr="00CE485C">
        <w:rPr>
          <w:rFonts w:ascii="Traditional Arabic" w:hAnsi="Traditional Arabic" w:cs="Traditional Arabic" w:hint="cs"/>
          <w:b/>
          <w:bCs/>
          <w:spacing w:val="-6"/>
          <w:sz w:val="28"/>
          <w:szCs w:val="28"/>
          <w:rtl/>
        </w:rPr>
        <w:t>أسباب الأخطاء الطبية</w:t>
      </w:r>
      <w:r w:rsidR="00B0165C" w:rsidRPr="00CE485C">
        <w:rPr>
          <w:rFonts w:ascii="Traditional Arabic" w:hAnsi="Traditional Arabic" w:cs="Traditional Arabic" w:hint="cs"/>
          <w:spacing w:val="-6"/>
          <w:sz w:val="28"/>
          <w:szCs w:val="28"/>
          <w:rtl/>
        </w:rPr>
        <w:t xml:space="preserve"> :</w:t>
      </w:r>
    </w:p>
    <w:p w14:paraId="3481A4AB" w14:textId="3E3721C2"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ضعف الالتزام بالأسس العلمية</w:t>
      </w:r>
      <w:r w:rsidR="00587EDA" w:rsidRPr="00C40472">
        <w:rPr>
          <w:rFonts w:ascii="Traditional Arabic" w:hAnsi="Traditional Arabic" w:cs="Traditional Arabic" w:hint="cs"/>
          <w:b/>
          <w:bCs/>
          <w:spacing w:val="-6"/>
          <w:sz w:val="24"/>
          <w:szCs w:val="24"/>
          <w:rtl/>
        </w:rPr>
        <w:t>:</w:t>
      </w:r>
    </w:p>
    <w:p w14:paraId="46C2CE2F" w14:textId="2F779108" w:rsidR="00B0165C" w:rsidRPr="00C40472" w:rsidRDefault="00B0165C" w:rsidP="00C40472">
      <w:pPr>
        <w:bidi/>
        <w:spacing w:after="200" w:line="360" w:lineRule="auto"/>
        <w:ind w:firstLine="720"/>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يُعد تجاهل المبادئ الطبية المعتمدة أثناء ممارسة المهنة من الأسباب الجوهرية لوقوع الأخطاء، مثل إجراء عمليات دون مراجعة الأدلة السريرية أو استخدام طرق تجريبية غير مثبتة (محمود، 2009</w:t>
      </w:r>
      <w:r w:rsidR="00587EDA"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17)</w:t>
      </w:r>
      <w:r w:rsidRPr="00C40472">
        <w:rPr>
          <w:rFonts w:ascii="Traditional Arabic" w:hAnsi="Traditional Arabic" w:cs="Traditional Arabic" w:hint="cs"/>
          <w:spacing w:val="-6"/>
          <w:sz w:val="24"/>
          <w:szCs w:val="24"/>
          <w:rtl/>
          <w:lang w:bidi="ar-EG"/>
        </w:rPr>
        <w:t>.</w:t>
      </w:r>
    </w:p>
    <w:p w14:paraId="11C4213B" w14:textId="73C06FF5"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الإهمال وعدم الدقة</w:t>
      </w:r>
      <w:r w:rsidR="00597FC5" w:rsidRPr="00C40472">
        <w:rPr>
          <w:rFonts w:ascii="Traditional Arabic" w:hAnsi="Traditional Arabic" w:cs="Traditional Arabic" w:hint="cs"/>
          <w:b/>
          <w:bCs/>
          <w:spacing w:val="-6"/>
          <w:sz w:val="24"/>
          <w:szCs w:val="24"/>
          <w:rtl/>
        </w:rPr>
        <w:t>:</w:t>
      </w:r>
    </w:p>
    <w:p w14:paraId="7D1F9239" w14:textId="3059C93B" w:rsidR="00B0165C" w:rsidRPr="00C40472" w:rsidRDefault="00B0165C" w:rsidP="00C40472">
      <w:pPr>
        <w:bidi/>
        <w:spacing w:after="200" w:line="360" w:lineRule="auto"/>
        <w:ind w:firstLine="720"/>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الإهمال في أداء الواجبات الطبية، كعدم تعقيم الأدوات أو ترك أدوات داخل جسم المريض، يؤدي إلى مضاعفات خطيرة قد تصل إلى الوفاة (زقيبة، 2018</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3)</w:t>
      </w:r>
      <w:r w:rsidRPr="00C40472">
        <w:rPr>
          <w:rFonts w:ascii="Traditional Arabic" w:hAnsi="Traditional Arabic" w:cs="Traditional Arabic" w:hint="cs"/>
          <w:spacing w:val="-6"/>
          <w:sz w:val="24"/>
          <w:szCs w:val="24"/>
          <w:lang w:bidi="ar-EG"/>
        </w:rPr>
        <w:t>.</w:t>
      </w:r>
    </w:p>
    <w:p w14:paraId="03A614A1" w14:textId="2AF8EC58"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الإرهاق والتعب الجسدي والنفسي</w:t>
      </w:r>
      <w:r w:rsidR="00597FC5" w:rsidRPr="00C40472">
        <w:rPr>
          <w:rFonts w:ascii="Traditional Arabic" w:hAnsi="Traditional Arabic" w:cs="Traditional Arabic" w:hint="cs"/>
          <w:b/>
          <w:bCs/>
          <w:spacing w:val="-6"/>
          <w:sz w:val="24"/>
          <w:szCs w:val="24"/>
          <w:rtl/>
        </w:rPr>
        <w:t>:</w:t>
      </w:r>
    </w:p>
    <w:p w14:paraId="1572223C" w14:textId="77777777"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الإجهاد الناتج عن ضغط العمل أو المناوبات الطويلة يقلل من قدرة الطبيب على التركيز، مما يزيد من احتمالية الخطأ</w:t>
      </w:r>
      <w:r w:rsidRPr="00C40472">
        <w:rPr>
          <w:rFonts w:ascii="Traditional Arabic" w:hAnsi="Traditional Arabic" w:cs="Traditional Arabic" w:hint="cs"/>
          <w:spacing w:val="-6"/>
          <w:sz w:val="24"/>
          <w:szCs w:val="24"/>
          <w:lang w:bidi="ar-EG"/>
        </w:rPr>
        <w:t xml:space="preserve"> (Edmondson, 2004, p. ii5).</w:t>
      </w:r>
    </w:p>
    <w:p w14:paraId="23848027" w14:textId="2A8FA36B"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نقص الخبرة والتدريب</w:t>
      </w:r>
      <w:r w:rsidR="00597FC5" w:rsidRPr="00C40472">
        <w:rPr>
          <w:rFonts w:ascii="Traditional Arabic" w:hAnsi="Traditional Arabic" w:cs="Traditional Arabic" w:hint="cs"/>
          <w:b/>
          <w:bCs/>
          <w:spacing w:val="-6"/>
          <w:sz w:val="24"/>
          <w:szCs w:val="24"/>
          <w:rtl/>
        </w:rPr>
        <w:t>:</w:t>
      </w:r>
    </w:p>
    <w:p w14:paraId="2D352259" w14:textId="514F0393"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lastRenderedPageBreak/>
        <w:t>عدم حصول الطبيب أو الممارس الصحي على تدريب كافٍ قبل مزاولة المهنة يؤدي إلى ضعف التشخيص واتخاذ قرارات غير دقيقة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6)</w:t>
      </w:r>
      <w:r w:rsidRPr="00C40472">
        <w:rPr>
          <w:rFonts w:ascii="Traditional Arabic" w:hAnsi="Traditional Arabic" w:cs="Traditional Arabic" w:hint="cs"/>
          <w:spacing w:val="-6"/>
          <w:sz w:val="24"/>
          <w:szCs w:val="24"/>
          <w:lang w:bidi="ar-EG"/>
        </w:rPr>
        <w:t>.</w:t>
      </w:r>
      <w:r w:rsidR="00D858AF" w:rsidRPr="00C40472">
        <w:rPr>
          <w:rFonts w:ascii="Traditional Arabic" w:hAnsi="Traditional Arabic" w:cs="Traditional Arabic" w:hint="cs"/>
          <w:spacing w:val="-6"/>
          <w:sz w:val="24"/>
          <w:szCs w:val="24"/>
          <w:lang w:bidi="ar-EG"/>
        </w:rPr>
        <w:t xml:space="preserve"> </w:t>
      </w:r>
    </w:p>
    <w:p w14:paraId="6C85D74B" w14:textId="5F48EF53"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أخطاء في وصف أو صرف الأدوية</w:t>
      </w:r>
      <w:r w:rsidR="00597FC5" w:rsidRPr="00C40472">
        <w:rPr>
          <w:rFonts w:ascii="Traditional Arabic" w:hAnsi="Traditional Arabic" w:cs="Traditional Arabic" w:hint="cs"/>
          <w:b/>
          <w:bCs/>
          <w:spacing w:val="-6"/>
          <w:sz w:val="24"/>
          <w:szCs w:val="24"/>
          <w:rtl/>
        </w:rPr>
        <w:t>:</w:t>
      </w:r>
    </w:p>
    <w:p w14:paraId="24603BD8" w14:textId="77777777" w:rsidR="00D858AF" w:rsidRPr="00C40472" w:rsidRDefault="00B0165C" w:rsidP="00C40472">
      <w:pPr>
        <w:bidi/>
        <w:spacing w:after="200" w:line="360" w:lineRule="auto"/>
        <w:rPr>
          <w:rFonts w:ascii="Traditional Arabic" w:hAnsi="Traditional Arabic" w:cs="Traditional Arabic"/>
          <w:spacing w:val="-6"/>
          <w:sz w:val="24"/>
          <w:szCs w:val="24"/>
        </w:rPr>
      </w:pPr>
      <w:r w:rsidRPr="00C40472">
        <w:rPr>
          <w:rFonts w:ascii="Traditional Arabic" w:hAnsi="Traditional Arabic" w:cs="Traditional Arabic" w:hint="cs"/>
          <w:spacing w:val="-6"/>
          <w:sz w:val="24"/>
          <w:szCs w:val="24"/>
          <w:rtl/>
        </w:rPr>
        <w:t>تشمل وصف دواء خاطئ، أو جرعة غير مناسبة، أو تجاهل حساسية المريض، وهي من أكثر الأخطاء شيوعًا في الممارسة السريرية</w:t>
      </w:r>
      <w:r w:rsidR="00D858AF" w:rsidRPr="00C40472">
        <w:rPr>
          <w:rFonts w:ascii="Traditional Arabic" w:hAnsi="Traditional Arabic" w:cs="Traditional Arabic" w:hint="cs"/>
          <w:spacing w:val="-6"/>
          <w:sz w:val="24"/>
          <w:szCs w:val="24"/>
          <w:rtl/>
        </w:rPr>
        <w:t xml:space="preserve">  </w:t>
      </w:r>
      <w:r w:rsidR="00D858AF" w:rsidRPr="00C40472">
        <w:rPr>
          <w:rFonts w:ascii="Traditional Arabic" w:hAnsi="Traditional Arabic" w:cs="Traditional Arabic" w:hint="cs"/>
          <w:spacing w:val="-6"/>
          <w:sz w:val="24"/>
          <w:szCs w:val="24"/>
          <w:lang w:bidi="ar-EG"/>
        </w:rPr>
        <w:t>, 2020,2)</w:t>
      </w:r>
      <w:r w:rsidR="00D858AF" w:rsidRPr="00C40472">
        <w:rPr>
          <w:rFonts w:ascii="Traditional Arabic" w:hAnsi="Traditional Arabic" w:cs="Traditional Arabic" w:hint="cs"/>
          <w:spacing w:val="-6"/>
          <w:sz w:val="24"/>
          <w:szCs w:val="24"/>
          <w:rtl/>
        </w:rPr>
        <w:t xml:space="preserve"> </w:t>
      </w:r>
      <w:r w:rsidRPr="00C40472">
        <w:rPr>
          <w:rFonts w:ascii="Traditional Arabic" w:hAnsi="Traditional Arabic" w:cs="Traditional Arabic" w:hint="cs"/>
          <w:spacing w:val="-6"/>
          <w:sz w:val="24"/>
          <w:szCs w:val="24"/>
          <w:lang w:bidi="ar-EG"/>
        </w:rPr>
        <w:t xml:space="preserve"> (M7et.com</w:t>
      </w:r>
      <w:r w:rsidR="00D858AF" w:rsidRPr="00C40472">
        <w:rPr>
          <w:rFonts w:ascii="Traditional Arabic" w:hAnsi="Traditional Arabic" w:cs="Traditional Arabic" w:hint="cs"/>
          <w:spacing w:val="-6"/>
          <w:sz w:val="24"/>
          <w:szCs w:val="24"/>
          <w:rtl/>
        </w:rPr>
        <w:t xml:space="preserve"> </w:t>
      </w:r>
      <w:r w:rsidR="00D858AF" w:rsidRPr="00C40472">
        <w:rPr>
          <w:rFonts w:ascii="Traditional Arabic" w:hAnsi="Traditional Arabic" w:cs="Traditional Arabic" w:hint="cs"/>
          <w:spacing w:val="-6"/>
          <w:sz w:val="24"/>
          <w:szCs w:val="24"/>
        </w:rPr>
        <w:t>.</w:t>
      </w:r>
      <w:r w:rsidRPr="00C40472">
        <w:rPr>
          <w:rFonts w:ascii="Traditional Arabic" w:hAnsi="Traditional Arabic" w:cs="Traditional Arabic" w:hint="cs"/>
          <w:spacing w:val="-6"/>
          <w:sz w:val="24"/>
          <w:szCs w:val="24"/>
          <w:rtl/>
        </w:rPr>
        <w:t xml:space="preserve"> </w:t>
      </w:r>
    </w:p>
    <w:p w14:paraId="2C36F948" w14:textId="0C122397" w:rsidR="00B0165C" w:rsidRPr="00C40472" w:rsidRDefault="00B0165C">
      <w:pPr>
        <w:pStyle w:val="ListParagraph"/>
        <w:numPr>
          <w:ilvl w:val="0"/>
          <w:numId w:val="21"/>
        </w:numPr>
        <w:bidi/>
        <w:spacing w:after="200" w:line="360" w:lineRule="auto"/>
        <w:rPr>
          <w:rFonts w:ascii="Traditional Arabic" w:hAnsi="Traditional Arabic" w:cs="Traditional Arabic"/>
          <w:spacing w:val="-6"/>
          <w:sz w:val="24"/>
          <w:szCs w:val="24"/>
        </w:rPr>
      </w:pPr>
      <w:r w:rsidRPr="00C40472">
        <w:rPr>
          <w:rFonts w:ascii="Traditional Arabic" w:hAnsi="Traditional Arabic" w:cs="Traditional Arabic" w:hint="cs"/>
          <w:b/>
          <w:bCs/>
          <w:spacing w:val="-6"/>
          <w:sz w:val="24"/>
          <w:szCs w:val="24"/>
          <w:rtl/>
        </w:rPr>
        <w:t>ضعف التواصل بين الفريق الطبي</w:t>
      </w:r>
      <w:r w:rsidR="00597FC5" w:rsidRPr="00C40472">
        <w:rPr>
          <w:rFonts w:ascii="Traditional Arabic" w:hAnsi="Traditional Arabic" w:cs="Traditional Arabic" w:hint="cs"/>
          <w:b/>
          <w:bCs/>
          <w:spacing w:val="-6"/>
          <w:sz w:val="24"/>
          <w:szCs w:val="24"/>
          <w:rtl/>
        </w:rPr>
        <w:t>:</w:t>
      </w:r>
    </w:p>
    <w:p w14:paraId="54061433" w14:textId="28C3CE68"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سوء نقل المعلومات بين الأقسام أو بين الطبيب والمريض يؤدي إلى تشخيص خاطئ أو علاج غير مناسب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7)</w:t>
      </w:r>
      <w:r w:rsidRPr="00C40472">
        <w:rPr>
          <w:rFonts w:ascii="Traditional Arabic" w:hAnsi="Traditional Arabic" w:cs="Traditional Arabic" w:hint="cs"/>
          <w:spacing w:val="-6"/>
          <w:sz w:val="24"/>
          <w:szCs w:val="24"/>
          <w:lang w:bidi="ar-EG"/>
        </w:rPr>
        <w:t>.</w:t>
      </w:r>
    </w:p>
    <w:p w14:paraId="5EB8F716" w14:textId="7AD23489"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مشاكل في الأجهزة الطبية</w:t>
      </w:r>
      <w:r w:rsidR="00597FC5" w:rsidRPr="00C40472">
        <w:rPr>
          <w:rFonts w:ascii="Traditional Arabic" w:hAnsi="Traditional Arabic" w:cs="Traditional Arabic" w:hint="cs"/>
          <w:b/>
          <w:bCs/>
          <w:spacing w:val="-6"/>
          <w:sz w:val="24"/>
          <w:szCs w:val="24"/>
          <w:rtl/>
        </w:rPr>
        <w:t>:</w:t>
      </w:r>
    </w:p>
    <w:p w14:paraId="78EBE39A" w14:textId="68C8214A"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تعطل الأجهزة أو استخدامها بطريقة خاطئة قد يؤدي إلى نتائج تشخيصية غير دقيقة أو مضاعفات أثناء العلاج (فكرة، 2024</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4)</w:t>
      </w:r>
      <w:r w:rsidRPr="00C40472">
        <w:rPr>
          <w:rFonts w:ascii="Traditional Arabic" w:hAnsi="Traditional Arabic" w:cs="Traditional Arabic" w:hint="cs"/>
          <w:spacing w:val="-6"/>
          <w:sz w:val="24"/>
          <w:szCs w:val="24"/>
          <w:lang w:bidi="ar-EG"/>
        </w:rPr>
        <w:t>.</w:t>
      </w:r>
    </w:p>
    <w:p w14:paraId="441DA324" w14:textId="60B20207"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عدم التمييز بين المرضى</w:t>
      </w:r>
      <w:r w:rsidR="00597FC5" w:rsidRPr="00C40472">
        <w:rPr>
          <w:rFonts w:ascii="Traditional Arabic" w:hAnsi="Traditional Arabic" w:cs="Traditional Arabic" w:hint="cs"/>
          <w:b/>
          <w:bCs/>
          <w:spacing w:val="-6"/>
          <w:sz w:val="24"/>
          <w:szCs w:val="24"/>
          <w:rtl/>
        </w:rPr>
        <w:t>:</w:t>
      </w:r>
    </w:p>
    <w:p w14:paraId="40087F22" w14:textId="54A34F2A"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تشابه الأسماء أو اختلاط الملفات قد يؤدي إلى إعطاء علاج خاطئ أو إجراء عملية لمريض غير مقصود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8)</w:t>
      </w:r>
      <w:r w:rsidRPr="00C40472">
        <w:rPr>
          <w:rFonts w:ascii="Traditional Arabic" w:hAnsi="Traditional Arabic" w:cs="Traditional Arabic" w:hint="cs"/>
          <w:spacing w:val="-6"/>
          <w:sz w:val="24"/>
          <w:szCs w:val="24"/>
          <w:lang w:bidi="ar-EG"/>
        </w:rPr>
        <w:t>.</w:t>
      </w:r>
    </w:p>
    <w:p w14:paraId="68B181EF" w14:textId="1820CEBC" w:rsidR="00B0165C" w:rsidRPr="00C40472" w:rsidRDefault="00B0165C">
      <w:pPr>
        <w:pStyle w:val="ListParagraph"/>
        <w:numPr>
          <w:ilvl w:val="0"/>
          <w:numId w:val="21"/>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غياب نظام رقابي فعال</w:t>
      </w:r>
      <w:r w:rsidR="00597FC5" w:rsidRPr="00C40472">
        <w:rPr>
          <w:rFonts w:ascii="Traditional Arabic" w:hAnsi="Traditional Arabic" w:cs="Traditional Arabic" w:hint="cs"/>
          <w:b/>
          <w:bCs/>
          <w:spacing w:val="-6"/>
          <w:sz w:val="24"/>
          <w:szCs w:val="24"/>
          <w:rtl/>
        </w:rPr>
        <w:t>:</w:t>
      </w:r>
    </w:p>
    <w:p w14:paraId="7CD2AA20" w14:textId="72D0664F"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عدم وجود قوانين صارمة أو آليات واضحة للإبلاغ عن الأخطاء يجعل من الصعب اكتشافها أو منع تكرارها (زقيبة، 2018</w:t>
      </w:r>
      <w:r w:rsidR="00E33FD7"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4)</w:t>
      </w:r>
      <w:r w:rsidRPr="00C40472">
        <w:rPr>
          <w:rFonts w:ascii="Traditional Arabic" w:hAnsi="Traditional Arabic" w:cs="Traditional Arabic" w:hint="cs"/>
          <w:spacing w:val="-6"/>
          <w:sz w:val="24"/>
          <w:szCs w:val="24"/>
          <w:lang w:bidi="ar-EG"/>
        </w:rPr>
        <w:t>.</w:t>
      </w:r>
    </w:p>
    <w:p w14:paraId="75A5D934" w14:textId="3FF1E367" w:rsidR="00B0165C" w:rsidRPr="00C40472" w:rsidRDefault="00B0165C">
      <w:pPr>
        <w:pStyle w:val="ListParagraph"/>
        <w:numPr>
          <w:ilvl w:val="0"/>
          <w:numId w:val="21"/>
        </w:numPr>
        <w:bidi/>
        <w:spacing w:after="200" w:line="360" w:lineRule="auto"/>
        <w:ind w:left="-576" w:firstLine="0"/>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ضعف التوثيق الطبي</w:t>
      </w:r>
      <w:r w:rsidR="00E33FD7" w:rsidRPr="00C40472">
        <w:rPr>
          <w:rFonts w:ascii="Traditional Arabic" w:hAnsi="Traditional Arabic" w:cs="Traditional Arabic" w:hint="cs"/>
          <w:b/>
          <w:bCs/>
          <w:spacing w:val="-6"/>
          <w:sz w:val="24"/>
          <w:szCs w:val="24"/>
          <w:rtl/>
        </w:rPr>
        <w:t>:</w:t>
      </w:r>
    </w:p>
    <w:p w14:paraId="768A8EEE" w14:textId="3B7051F3" w:rsidR="00B0165C" w:rsidRPr="00C40472" w:rsidRDefault="00B0165C" w:rsidP="00C40472">
      <w:pPr>
        <w:bidi/>
        <w:spacing w:after="200" w:line="360" w:lineRule="auto"/>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عدم وجود ملف طبي شامل للمريض يؤدي إلى قرارات علاجية غير دقيقة، خاصة عند نقله بين المنشآت الصحية (فكرة، 2024</w:t>
      </w:r>
      <w:r w:rsidR="00E33FD7"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5)</w:t>
      </w:r>
      <w:r w:rsidRPr="00C40472">
        <w:rPr>
          <w:rFonts w:ascii="Traditional Arabic" w:hAnsi="Traditional Arabic" w:cs="Traditional Arabic" w:hint="cs"/>
          <w:spacing w:val="-6"/>
          <w:sz w:val="24"/>
          <w:szCs w:val="24"/>
          <w:lang w:bidi="ar-EG"/>
        </w:rPr>
        <w:t>.</w:t>
      </w:r>
    </w:p>
    <w:p w14:paraId="59FB45B6" w14:textId="77777777" w:rsidR="00C40472" w:rsidRDefault="00C40472" w:rsidP="00E829ED">
      <w:pPr>
        <w:bidi/>
        <w:spacing w:after="200" w:line="276" w:lineRule="auto"/>
        <w:rPr>
          <w:rFonts w:ascii="Simplified Arabic" w:hAnsi="Simplified Arabic" w:cs="Simplified Arabic"/>
          <w:b/>
          <w:bCs/>
          <w:spacing w:val="-6"/>
          <w:sz w:val="32"/>
          <w:szCs w:val="32"/>
          <w:rtl/>
          <w:lang w:bidi="ar-EG"/>
        </w:rPr>
      </w:pPr>
    </w:p>
    <w:p w14:paraId="12FA5D43"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73F5035E"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25C89C10"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70403554" w14:textId="198F33F2" w:rsidR="00E829ED" w:rsidRPr="004D0D80" w:rsidRDefault="00A44ABC" w:rsidP="004D0D80">
      <w:pPr>
        <w:bidi/>
        <w:spacing w:after="200" w:line="360" w:lineRule="auto"/>
        <w:rPr>
          <w:rFonts w:ascii="Traditional Arabic" w:hAnsi="Traditional Arabic" w:cs="Traditional Arabic"/>
          <w:b/>
          <w:bCs/>
          <w:spacing w:val="-6"/>
          <w:sz w:val="24"/>
          <w:szCs w:val="24"/>
          <w:lang w:bidi="ar-EG"/>
        </w:rPr>
      </w:pPr>
      <w:r w:rsidRPr="004D0D80">
        <w:rPr>
          <w:rFonts w:ascii="Traditional Arabic" w:hAnsi="Traditional Arabic" w:cs="Traditional Arabic" w:hint="cs"/>
          <w:b/>
          <w:bCs/>
          <w:spacing w:val="-6"/>
          <w:sz w:val="24"/>
          <w:szCs w:val="24"/>
          <w:rtl/>
          <w:lang w:bidi="ar-EG"/>
        </w:rPr>
        <w:lastRenderedPageBreak/>
        <w:t xml:space="preserve">رابعاً : </w:t>
      </w:r>
      <w:r w:rsidR="00E829ED" w:rsidRPr="004D0D80">
        <w:rPr>
          <w:rFonts w:ascii="Traditional Arabic" w:hAnsi="Traditional Arabic" w:cs="Traditional Arabic" w:hint="cs"/>
          <w:b/>
          <w:bCs/>
          <w:spacing w:val="-6"/>
          <w:sz w:val="24"/>
          <w:szCs w:val="24"/>
          <w:rtl/>
          <w:lang w:bidi="ar-EG"/>
        </w:rPr>
        <w:t>جودة الرعاية الصحية :</w:t>
      </w:r>
    </w:p>
    <w:p w14:paraId="7CC2685B" w14:textId="4F0C201A"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تُعرّف جودة الرعاية الصحية بأنها قدرة الخدمات الصحية المقدمة على تلبية احتياجات المرضى وتوقعاتهم بطريقة فعالة وآمنة وبتكلفة منطقية</w:t>
      </w:r>
      <w:r w:rsidR="00E33FD7"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وتشمل الجودة عدة أبعاد مثل السلامة، الفعالية، الكفاءة، الاستجابة، والعدالة. فالرعاية الصحية الجيدة لا تقتصر على تقديم العلاج، بل تمتد لتشمل تجربة المريض، ورضاه، وسهولة الوصول إلى الخدمة، إضافة إلى استخدام الموارد بشكل رشيد</w:t>
      </w:r>
      <w:r w:rsidRPr="004D0D80">
        <w:rPr>
          <w:rFonts w:ascii="Traditional Arabic" w:hAnsi="Traditional Arabic" w:cs="Traditional Arabic" w:hint="cs"/>
          <w:spacing w:val="-6"/>
          <w:sz w:val="24"/>
          <w:szCs w:val="24"/>
          <w:lang w:bidi="ar-EG"/>
        </w:rPr>
        <w:t xml:space="preserve"> (Alhurani, 2023, p. 2).</w:t>
      </w:r>
    </w:p>
    <w:p w14:paraId="46697D27" w14:textId="482646CC"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وتُعد السلامة أحد أهم مكونات الجودة، إذ تشير إلى حماية المرضى من الأخطاء الطبية والمضاعفات التي يمكن الوقاية منها</w:t>
      </w:r>
      <w:r w:rsidR="00D858AF"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وتشير الدراسات إلى أن الأخطاء الطبية تكبّد الأنظمة الصحية خسائر مادية تفوق 4 مليارات دولار سنويًا، فضلًا عن الأثر النفسي والجسدي على المرضى</w:t>
      </w:r>
      <w:r w:rsidRPr="004D0D80">
        <w:rPr>
          <w:rFonts w:ascii="Traditional Arabic" w:hAnsi="Traditional Arabic" w:cs="Traditional Arabic" w:hint="cs"/>
          <w:spacing w:val="-6"/>
          <w:sz w:val="24"/>
          <w:szCs w:val="24"/>
          <w:lang w:bidi="ar-EG"/>
        </w:rPr>
        <w:t xml:space="preserve"> (Alhurani, 2023, p. 3)</w:t>
      </w:r>
      <w:r w:rsidR="00D858AF" w:rsidRPr="004D0D80">
        <w:rPr>
          <w:rFonts w:ascii="Traditional Arabic" w:hAnsi="Traditional Arabic" w:cs="Traditional Arabic" w:hint="cs"/>
          <w:spacing w:val="-6"/>
          <w:sz w:val="24"/>
          <w:szCs w:val="24"/>
          <w:rtl/>
          <w:lang w:bidi="ar-EG"/>
        </w:rPr>
        <w:t>.</w:t>
      </w:r>
    </w:p>
    <w:p w14:paraId="4FD87343" w14:textId="72250934"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أما الفعالية، فهي تعني تقديم العلاجات والخدمات التي أثبتت فعاليتها علميًا، وتحقق أفضل النتائج الصحية بأقل تكلفة وجهد</w:t>
      </w:r>
      <w:r w:rsidR="00D858AF"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ويجب أن تستند القرارات السريرية إلى الأدلة الطبية الموثوقة، لضمان تحقيق نتائج علاجية إيجابية</w:t>
      </w:r>
      <w:r w:rsidRPr="004D0D80">
        <w:rPr>
          <w:rFonts w:ascii="Traditional Arabic" w:hAnsi="Traditional Arabic" w:cs="Traditional Arabic" w:hint="cs"/>
          <w:spacing w:val="-6"/>
          <w:sz w:val="24"/>
          <w:szCs w:val="24"/>
          <w:lang w:bidi="ar-EG"/>
        </w:rPr>
        <w:t xml:space="preserve"> (Alhurani, 2023, p. 4)</w:t>
      </w:r>
    </w:p>
    <w:p w14:paraId="2037C53F" w14:textId="4EC67B0C" w:rsidR="00B0165C"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وتُعد تجربة المريض أيضًا من المؤشرات المهمة للجودة، حيث تؤثر بشكل مباشر على التزامه بالعلاج ورضاه عن الخدمة</w:t>
      </w:r>
      <w:r w:rsidR="00E33FD7"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وتشمل هذه التجربة التواصل مع مقدمي الرعاية، الراحة النفسية، واحترام الخصوصية</w:t>
      </w:r>
      <w:r w:rsidRPr="004D0D80">
        <w:rPr>
          <w:rFonts w:ascii="Traditional Arabic" w:hAnsi="Traditional Arabic" w:cs="Traditional Arabic" w:hint="cs"/>
          <w:spacing w:val="-6"/>
          <w:sz w:val="24"/>
          <w:szCs w:val="24"/>
          <w:lang w:bidi="ar-EG"/>
        </w:rPr>
        <w:t xml:space="preserve"> (Alhurani, 2023, p. 5).</w:t>
      </w:r>
      <w:r w:rsidRPr="004D0D80">
        <w:rPr>
          <w:rFonts w:ascii="Traditional Arabic" w:hAnsi="Traditional Arabic" w:cs="Traditional Arabic" w:hint="cs"/>
          <w:spacing w:val="-6"/>
          <w:sz w:val="24"/>
          <w:szCs w:val="24"/>
          <w:rtl/>
          <w:lang w:bidi="ar-EG"/>
        </w:rPr>
        <w:t>.</w:t>
      </w:r>
    </w:p>
    <w:p w14:paraId="3C5A7622" w14:textId="68458453" w:rsidR="00C61A66" w:rsidRPr="009F7BA0" w:rsidRDefault="00A44ABC" w:rsidP="009F7BA0">
      <w:pPr>
        <w:bidi/>
        <w:spacing w:after="200" w:line="360" w:lineRule="auto"/>
        <w:jc w:val="both"/>
        <w:rPr>
          <w:rFonts w:ascii="Traditional Arabic" w:hAnsi="Traditional Arabic" w:cs="Traditional Arabic"/>
          <w:b/>
          <w:bCs/>
          <w:spacing w:val="-6"/>
          <w:sz w:val="24"/>
          <w:szCs w:val="24"/>
          <w:lang w:bidi="ar-EG"/>
        </w:rPr>
      </w:pPr>
      <w:r w:rsidRPr="009F7BA0">
        <w:rPr>
          <w:rFonts w:ascii="Traditional Arabic" w:hAnsi="Traditional Arabic" w:cs="Traditional Arabic" w:hint="cs"/>
          <w:b/>
          <w:bCs/>
          <w:spacing w:val="-6"/>
          <w:sz w:val="24"/>
          <w:szCs w:val="24"/>
          <w:rtl/>
          <w:lang w:bidi="ar-EG"/>
        </w:rPr>
        <w:t xml:space="preserve">خامساً: </w:t>
      </w:r>
      <w:r w:rsidR="00C61A66" w:rsidRPr="009F7BA0">
        <w:rPr>
          <w:rFonts w:ascii="Traditional Arabic" w:hAnsi="Traditional Arabic" w:cs="Traditional Arabic" w:hint="cs"/>
          <w:b/>
          <w:bCs/>
          <w:spacing w:val="-6"/>
          <w:sz w:val="24"/>
          <w:szCs w:val="24"/>
          <w:rtl/>
          <w:lang w:bidi="ar-EG"/>
        </w:rPr>
        <w:t>معايير سلامة المرضى:</w:t>
      </w:r>
    </w:p>
    <w:p w14:paraId="7B46F2AF" w14:textId="44822DC2" w:rsidR="00D858AF" w:rsidRPr="009F7BA0" w:rsidRDefault="00C61A66">
      <w:pPr>
        <w:numPr>
          <w:ilvl w:val="0"/>
          <w:numId w:val="22"/>
        </w:numPr>
        <w:tabs>
          <w:tab w:val="clear" w:pos="720"/>
          <w:tab w:val="num" w:pos="900"/>
        </w:tabs>
        <w:bidi/>
        <w:spacing w:after="200" w:line="360" w:lineRule="auto"/>
        <w:ind w:left="900"/>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تحديد هوية المريض بدقة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يجب استخدام وسيلتين على الأقل لتحديد هوية المريض قبل أي إجراء طبي، مثل الاسم الرباعي وتاريخ الميلاد، لتفادي الأخطاء الناتجة عن الخلط بين المرضى</w:t>
      </w:r>
      <w:r w:rsidR="00D858AF" w:rsidRPr="009F7BA0">
        <w:rPr>
          <w:rFonts w:ascii="Traditional Arabic" w:hAnsi="Traditional Arabic" w:cs="Traditional Arabic" w:hint="cs"/>
          <w:spacing w:val="-6"/>
          <w:sz w:val="24"/>
          <w:szCs w:val="24"/>
        </w:rPr>
        <w:t xml:space="preserve">   </w:t>
      </w:r>
      <w:r w:rsidR="00D858AF" w:rsidRPr="009F7BA0">
        <w:rPr>
          <w:rFonts w:ascii="Traditional Arabic" w:hAnsi="Traditional Arabic" w:cs="Traditional Arabic" w:hint="cs"/>
          <w:spacing w:val="-6"/>
          <w:sz w:val="24"/>
          <w:szCs w:val="24"/>
          <w:rtl/>
          <w:lang w:bidi="ar-EG"/>
        </w:rPr>
        <w:t xml:space="preserve"> </w:t>
      </w:r>
      <w:r w:rsidR="00D858AF" w:rsidRPr="009F7BA0">
        <w:rPr>
          <w:rFonts w:ascii="Traditional Arabic" w:hAnsi="Traditional Arabic" w:cs="Traditional Arabic" w:hint="cs"/>
          <w:spacing w:val="-6"/>
          <w:sz w:val="24"/>
          <w:szCs w:val="24"/>
          <w:lang w:bidi="ar-EG"/>
        </w:rPr>
        <w:t>Governance Health Unit, 2023, p. 4</w:t>
      </w:r>
    </w:p>
    <w:p w14:paraId="50A6D99A" w14:textId="7487FAEE"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الاستخدام الآمن للأدوية</w:t>
      </w:r>
      <w:r w:rsidR="00E33FD7" w:rsidRPr="009F7BA0">
        <w:rPr>
          <w:rFonts w:ascii="Traditional Arabic" w:hAnsi="Traditional Arabic" w:cs="Traditional Arabic" w:hint="cs"/>
          <w:b/>
          <w:bCs/>
          <w:spacing w:val="-6"/>
          <w:sz w:val="24"/>
          <w:szCs w:val="24"/>
          <w:rtl/>
        </w:rPr>
        <w:t xml:space="preserve"> :</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مراجعة وصفات الأدوية، التحقق من الجرعات، وتوثيق الحساسية الدوائية، حيث أن 50% من الأذى القابل للوقاية في المستشفيات مرتبط بالأدوية</w:t>
      </w:r>
      <w:r w:rsidRPr="009F7BA0">
        <w:rPr>
          <w:rFonts w:ascii="Traditional Arabic" w:hAnsi="Traditional Arabic" w:cs="Traditional Arabic" w:hint="cs"/>
          <w:spacing w:val="-6"/>
          <w:sz w:val="24"/>
          <w:szCs w:val="24"/>
          <w:lang w:bidi="ar-EG"/>
        </w:rPr>
        <w:t xml:space="preserve"> (WHO, 2023, p. 3).</w:t>
      </w:r>
    </w:p>
    <w:p w14:paraId="2BF6C688" w14:textId="1FB26AE8"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منع العدوى المرتبطة بالرعاية الصحية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تتطلب تطبيق بروتوكولات صارمة للتعقيم، غسل اليدين، واستخدام معدات الحماية الشخصية، إذ أن العدوى المكتسبة داخل المستشفيات تؤدي إلى مضاعفات خطيرة وتمثل عبئًا ماليًا كبيرًا</w:t>
      </w:r>
      <w:r w:rsidRPr="009F7BA0">
        <w:rPr>
          <w:rFonts w:ascii="Traditional Arabic" w:hAnsi="Traditional Arabic" w:cs="Traditional Arabic" w:hint="cs"/>
          <w:spacing w:val="-6"/>
          <w:sz w:val="24"/>
          <w:szCs w:val="24"/>
          <w:lang w:bidi="ar-EG"/>
        </w:rPr>
        <w:t xml:space="preserve"> (WHO, 2023, p. 4</w:t>
      </w:r>
      <w:r w:rsidR="00D858AF" w:rsidRPr="009F7BA0">
        <w:rPr>
          <w:rFonts w:ascii="Traditional Arabic" w:hAnsi="Traditional Arabic" w:cs="Traditional Arabic" w:hint="cs"/>
          <w:spacing w:val="-6"/>
          <w:sz w:val="24"/>
          <w:szCs w:val="24"/>
          <w:lang w:bidi="ar-EG"/>
        </w:rPr>
        <w:t>)</w:t>
      </w:r>
      <w:r w:rsidR="00D858AF" w:rsidRPr="009F7BA0">
        <w:rPr>
          <w:rFonts w:ascii="Traditional Arabic" w:hAnsi="Traditional Arabic" w:cs="Traditional Arabic" w:hint="cs"/>
          <w:spacing w:val="-6"/>
          <w:sz w:val="24"/>
          <w:szCs w:val="24"/>
          <w:rtl/>
          <w:lang w:bidi="ar-EG"/>
        </w:rPr>
        <w:t xml:space="preserve"> .</w:t>
      </w:r>
    </w:p>
    <w:p w14:paraId="352B243A" w14:textId="1ABC163B"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lastRenderedPageBreak/>
        <w:t>الإجراءات الجراحية الآمنة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التحقق من نوع العملية، موقعها، والمريض المعني، قبل البدء بالجراحة، وذلك باستخدام قوائم التحقق الجراحية المعتمدة من منظمة الصحة العالمية</w:t>
      </w:r>
      <w:r w:rsidRPr="009F7BA0">
        <w:rPr>
          <w:rFonts w:ascii="Traditional Arabic" w:hAnsi="Traditional Arabic" w:cs="Traditional Arabic" w:hint="cs"/>
          <w:spacing w:val="-6"/>
          <w:sz w:val="24"/>
          <w:szCs w:val="24"/>
          <w:lang w:bidi="ar-EG"/>
        </w:rPr>
        <w:t xml:space="preserve"> (WHO, 2023, p. 5).</w:t>
      </w:r>
      <w:r w:rsidR="00D858AF" w:rsidRPr="009F7BA0">
        <w:rPr>
          <w:rFonts w:ascii="Traditional Arabic" w:hAnsi="Traditional Arabic" w:cs="Traditional Arabic" w:hint="cs"/>
          <w:spacing w:val="-6"/>
          <w:sz w:val="24"/>
          <w:szCs w:val="24"/>
          <w:rtl/>
          <w:lang w:bidi="ar-EG"/>
        </w:rPr>
        <w:t>.</w:t>
      </w:r>
    </w:p>
    <w:p w14:paraId="53199039" w14:textId="3CADA801"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الإبلاغ عن الأحداث الضارة وتحليلها</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تشجع المعايير على إنشاء نظام داخلي للإبلاغ عن الأخطاء الطبية وتحليل الأسباب الجذرية لها، بهدف التعلم منها ومنع تكرارها</w:t>
      </w:r>
      <w:r w:rsidRPr="009F7BA0">
        <w:rPr>
          <w:rFonts w:ascii="Traditional Arabic" w:hAnsi="Traditional Arabic" w:cs="Traditional Arabic" w:hint="cs"/>
          <w:spacing w:val="-6"/>
          <w:sz w:val="24"/>
          <w:szCs w:val="24"/>
          <w:lang w:bidi="ar-EG"/>
        </w:rPr>
        <w:t xml:space="preserve"> (Institute for Healthcare Improvement, 2017, p. 4).</w:t>
      </w:r>
    </w:p>
    <w:p w14:paraId="16BEBBAB" w14:textId="6D130EA5"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تعزيز ثقافة السلامة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تدعو إلى بناء ثقافة مؤسسية تشجع على الإبلاغ دون لوم، وتدعم التعلم المستمر وتحسين الأداء</w:t>
      </w:r>
      <w:r w:rsidRPr="009F7BA0">
        <w:rPr>
          <w:rFonts w:ascii="Traditional Arabic" w:hAnsi="Traditional Arabic" w:cs="Traditional Arabic" w:hint="cs"/>
          <w:spacing w:val="-6"/>
          <w:sz w:val="24"/>
          <w:szCs w:val="24"/>
          <w:lang w:bidi="ar-EG"/>
        </w:rPr>
        <w:t xml:space="preserve"> (Singer &amp; Vogus, 2013, p. 375).</w:t>
      </w:r>
      <w:r w:rsidR="00A409E8" w:rsidRPr="009F7BA0">
        <w:rPr>
          <w:rFonts w:ascii="Traditional Arabic" w:hAnsi="Traditional Arabic" w:cs="Traditional Arabic" w:hint="cs"/>
          <w:spacing w:val="-6"/>
          <w:sz w:val="24"/>
          <w:szCs w:val="24"/>
          <w:rtl/>
          <w:lang w:bidi="ar-EG"/>
        </w:rPr>
        <w:t>.</w:t>
      </w:r>
    </w:p>
    <w:p w14:paraId="2E32443F" w14:textId="3547F44D"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إشراك المرضى وعائلاتهم</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يُعد تمكين المرضى من اتخاذ قراراتهم العلاجية، وتوعيتهم بحقوقهم، جزءًا أساسيًا من معايير السلامة، حيث أن إشراكهم يقلل من الأذى بنسبة</w:t>
      </w:r>
      <w:r w:rsidR="00A409E8" w:rsidRPr="009F7BA0">
        <w:rPr>
          <w:rFonts w:ascii="Traditional Arabic" w:hAnsi="Traditional Arabic" w:cs="Traditional Arabic" w:hint="cs"/>
          <w:spacing w:val="-6"/>
          <w:sz w:val="24"/>
          <w:szCs w:val="24"/>
          <w:rtl/>
        </w:rPr>
        <w:t>15%</w:t>
      </w:r>
      <w:r w:rsidRPr="009F7BA0">
        <w:rPr>
          <w:rFonts w:ascii="Traditional Arabic" w:hAnsi="Traditional Arabic" w:cs="Traditional Arabic" w:hint="cs"/>
          <w:spacing w:val="-6"/>
          <w:sz w:val="24"/>
          <w:szCs w:val="24"/>
          <w:rtl/>
        </w:rPr>
        <w:t xml:space="preserve"> </w:t>
      </w:r>
      <w:r w:rsidRPr="009F7BA0">
        <w:rPr>
          <w:rFonts w:ascii="Traditional Arabic" w:hAnsi="Traditional Arabic" w:cs="Traditional Arabic" w:hint="cs"/>
          <w:spacing w:val="-6"/>
          <w:sz w:val="24"/>
          <w:szCs w:val="24"/>
          <w:lang w:bidi="ar-EG"/>
        </w:rPr>
        <w:t>(WHO, 2023, p. 6).</w:t>
      </w:r>
      <w:r w:rsidR="00E33FD7" w:rsidRPr="009F7BA0">
        <w:rPr>
          <w:rFonts w:ascii="Traditional Arabic" w:hAnsi="Traditional Arabic" w:cs="Traditional Arabic" w:hint="cs"/>
          <w:spacing w:val="-6"/>
          <w:sz w:val="24"/>
          <w:szCs w:val="24"/>
          <w:rtl/>
          <w:lang w:bidi="ar-EG"/>
        </w:rPr>
        <w:t>.</w:t>
      </w:r>
    </w:p>
    <w:p w14:paraId="5970F668" w14:textId="658A055C"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التدريب المستمر للعاملين</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المعايير توفير برامج تدريبية دورية حول سلامة المرضى، مثل مكافحة العدوى، وإدارة الأخطاء، والتواصل الفعال</w:t>
      </w:r>
      <w:r w:rsidRPr="009F7BA0">
        <w:rPr>
          <w:rFonts w:ascii="Traditional Arabic" w:hAnsi="Traditional Arabic" w:cs="Traditional Arabic" w:hint="cs"/>
          <w:spacing w:val="-6"/>
          <w:sz w:val="24"/>
          <w:szCs w:val="24"/>
          <w:lang w:bidi="ar-EG"/>
        </w:rPr>
        <w:t xml:space="preserve"> (Health Governance Unit, 2023, p. 7</w:t>
      </w:r>
      <w:r w:rsidR="00A409E8" w:rsidRPr="009F7BA0">
        <w:rPr>
          <w:rFonts w:ascii="Traditional Arabic" w:hAnsi="Traditional Arabic" w:cs="Traditional Arabic" w:hint="cs"/>
          <w:spacing w:val="-6"/>
          <w:sz w:val="24"/>
          <w:szCs w:val="24"/>
          <w:lang w:bidi="ar-EG"/>
        </w:rPr>
        <w:t>)</w:t>
      </w:r>
      <w:r w:rsidR="00A409E8" w:rsidRPr="009F7BA0">
        <w:rPr>
          <w:rFonts w:ascii="Traditional Arabic" w:hAnsi="Traditional Arabic" w:cs="Traditional Arabic" w:hint="cs"/>
          <w:spacing w:val="-6"/>
          <w:sz w:val="24"/>
          <w:szCs w:val="24"/>
          <w:rtl/>
          <w:lang w:bidi="ar-EG"/>
        </w:rPr>
        <w:t>.</w:t>
      </w:r>
    </w:p>
    <w:p w14:paraId="5DA9E599" w14:textId="7AFC990C" w:rsidR="00C61A66" w:rsidRPr="009F7BA0" w:rsidRDefault="00C61A66">
      <w:pPr>
        <w:numPr>
          <w:ilvl w:val="0"/>
          <w:numId w:val="22"/>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استخدام التكنولوجيا الداعمة للسلامة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مثل أنظمة التحقق الإلكتروني من الأدوية، والسجلات الطبية الرقمية، التي تقلل من الأخطاء الناتجة عن الكتابة اليدوية أو فقدان المعلومات</w:t>
      </w:r>
      <w:r w:rsidRPr="009F7BA0">
        <w:rPr>
          <w:rFonts w:ascii="Traditional Arabic" w:hAnsi="Traditional Arabic" w:cs="Traditional Arabic" w:hint="cs"/>
          <w:spacing w:val="-6"/>
          <w:sz w:val="24"/>
          <w:szCs w:val="24"/>
          <w:lang w:bidi="ar-EG"/>
        </w:rPr>
        <w:t xml:space="preserve"> (WHO, 2023, p. 8).</w:t>
      </w:r>
      <w:r w:rsidR="00A409E8" w:rsidRPr="009F7BA0">
        <w:rPr>
          <w:rFonts w:ascii="Traditional Arabic" w:hAnsi="Traditional Arabic" w:cs="Traditional Arabic" w:hint="cs"/>
          <w:spacing w:val="-6"/>
          <w:sz w:val="24"/>
          <w:szCs w:val="24"/>
          <w:rtl/>
          <w:lang w:bidi="ar-EG"/>
        </w:rPr>
        <w:t>.</w:t>
      </w:r>
    </w:p>
    <w:p w14:paraId="59D9F50C" w14:textId="47886083" w:rsidR="00C61A66" w:rsidRPr="009F7BA0" w:rsidRDefault="00C61A66">
      <w:pPr>
        <w:numPr>
          <w:ilvl w:val="0"/>
          <w:numId w:val="22"/>
        </w:numPr>
        <w:bidi/>
        <w:spacing w:after="200" w:line="360" w:lineRule="auto"/>
        <w:ind w:left="0" w:firstLine="0"/>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مراقبة مؤشرات السلامة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جمع وتحليل بيانات مثل معدلات العدوى، الأخطاء الدوائية، وسقوط المرضى، بهدف تحسين الأداء واتخاذ قرارات مبنية على الأدلة</w:t>
      </w:r>
      <w:r w:rsidRPr="009F7BA0">
        <w:rPr>
          <w:rFonts w:ascii="Traditional Arabic" w:hAnsi="Traditional Arabic" w:cs="Traditional Arabic" w:hint="cs"/>
          <w:spacing w:val="-6"/>
          <w:sz w:val="24"/>
          <w:szCs w:val="24"/>
          <w:lang w:bidi="ar-EG"/>
        </w:rPr>
        <w:t xml:space="preserve"> (WHO, 2023, p. 9</w:t>
      </w:r>
      <w:r w:rsidR="00A409E8" w:rsidRPr="009F7BA0">
        <w:rPr>
          <w:rFonts w:ascii="Traditional Arabic" w:hAnsi="Traditional Arabic" w:cs="Traditional Arabic" w:hint="cs"/>
          <w:spacing w:val="-6"/>
          <w:sz w:val="24"/>
          <w:szCs w:val="24"/>
          <w:lang w:bidi="ar-EG"/>
        </w:rPr>
        <w:t>)</w:t>
      </w:r>
      <w:r w:rsidR="00A409E8" w:rsidRPr="009F7BA0">
        <w:rPr>
          <w:rFonts w:ascii="Traditional Arabic" w:hAnsi="Traditional Arabic" w:cs="Traditional Arabic" w:hint="cs"/>
          <w:spacing w:val="-6"/>
          <w:sz w:val="24"/>
          <w:szCs w:val="24"/>
          <w:rtl/>
          <w:lang w:bidi="ar-EG"/>
        </w:rPr>
        <w:t>.</w:t>
      </w:r>
    </w:p>
    <w:p w14:paraId="58E821FB" w14:textId="77777777" w:rsidR="009A7857" w:rsidRDefault="009A7857" w:rsidP="00226DEA">
      <w:pPr>
        <w:bidi/>
        <w:spacing w:after="200" w:line="276" w:lineRule="auto"/>
        <w:rPr>
          <w:rFonts w:ascii="Simplified Arabic" w:hAnsi="Simplified Arabic" w:cs="Simplified Arabic"/>
          <w:b/>
          <w:bCs/>
          <w:spacing w:val="-6"/>
          <w:sz w:val="32"/>
          <w:szCs w:val="32"/>
          <w:rtl/>
        </w:rPr>
      </w:pPr>
    </w:p>
    <w:p w14:paraId="7639DF55" w14:textId="6EE4C1B5" w:rsidR="00226DEA" w:rsidRPr="00657A3D" w:rsidRDefault="00A44ABC" w:rsidP="00657A3D">
      <w:pPr>
        <w:bidi/>
        <w:spacing w:after="200" w:line="360" w:lineRule="auto"/>
        <w:rPr>
          <w:rFonts w:ascii="Traditional Arabic" w:hAnsi="Traditional Arabic" w:cs="Traditional Arabic"/>
          <w:b/>
          <w:bCs/>
          <w:spacing w:val="-6"/>
          <w:sz w:val="24"/>
          <w:szCs w:val="24"/>
          <w:lang w:bidi="ar-EG"/>
        </w:rPr>
      </w:pPr>
      <w:r w:rsidRPr="00657A3D">
        <w:rPr>
          <w:rFonts w:ascii="Traditional Arabic" w:hAnsi="Traditional Arabic" w:cs="Traditional Arabic" w:hint="cs"/>
          <w:b/>
          <w:bCs/>
          <w:spacing w:val="-6"/>
          <w:sz w:val="24"/>
          <w:szCs w:val="24"/>
          <w:rtl/>
        </w:rPr>
        <w:lastRenderedPageBreak/>
        <w:t xml:space="preserve">سادساً: </w:t>
      </w:r>
      <w:r w:rsidR="00226DEA" w:rsidRPr="00657A3D">
        <w:rPr>
          <w:rFonts w:ascii="Traditional Arabic" w:hAnsi="Traditional Arabic" w:cs="Traditional Arabic" w:hint="cs"/>
          <w:b/>
          <w:bCs/>
          <w:spacing w:val="-6"/>
          <w:sz w:val="24"/>
          <w:szCs w:val="24"/>
          <w:rtl/>
        </w:rPr>
        <w:t>المبادئ الخمسة لسلامة المرضى:</w:t>
      </w:r>
    </w:p>
    <w:p w14:paraId="34A74AA6" w14:textId="55EB64DE" w:rsidR="00226DEA" w:rsidRPr="00657A3D" w:rsidRDefault="00226DEA">
      <w:pPr>
        <w:numPr>
          <w:ilvl w:val="0"/>
          <w:numId w:val="23"/>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تحسين دقة التعرف على المرضى</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يُعد التحقق من هوية المريض بدقة قبل أي إجراء طبي أو إعطاء دواء أمرًا جوهريًا لتفادي الأخطاء الناتجة عن الخلط بين المرضى، ويُوصى باستخدام معرفين على الأقل مثل الاسم وتاريخ الميلاد</w:t>
      </w:r>
      <w:r w:rsidRPr="00657A3D">
        <w:rPr>
          <w:rFonts w:ascii="Traditional Arabic" w:hAnsi="Traditional Arabic" w:cs="Traditional Arabic" w:hint="cs"/>
          <w:spacing w:val="-6"/>
          <w:sz w:val="24"/>
          <w:szCs w:val="24"/>
          <w:lang w:bidi="ar-EG"/>
        </w:rPr>
        <w:t xml:space="preserve"> (World Health Organization, 2023, p. 2</w:t>
      </w:r>
      <w:r w:rsidR="00A409E8" w:rsidRPr="00657A3D">
        <w:rPr>
          <w:rFonts w:ascii="Traditional Arabic" w:hAnsi="Traditional Arabic" w:cs="Traditional Arabic" w:hint="cs"/>
          <w:spacing w:val="-6"/>
          <w:sz w:val="24"/>
          <w:szCs w:val="24"/>
          <w:lang w:bidi="ar-EG"/>
        </w:rPr>
        <w:t>)</w:t>
      </w:r>
      <w:r w:rsidR="00A409E8" w:rsidRPr="00657A3D">
        <w:rPr>
          <w:rFonts w:ascii="Traditional Arabic" w:hAnsi="Traditional Arabic" w:cs="Traditional Arabic" w:hint="cs"/>
          <w:spacing w:val="-6"/>
          <w:sz w:val="24"/>
          <w:szCs w:val="24"/>
          <w:rtl/>
          <w:lang w:bidi="ar-EG"/>
        </w:rPr>
        <w:t>.</w:t>
      </w:r>
    </w:p>
    <w:p w14:paraId="10E79148" w14:textId="42898C56" w:rsidR="00226DEA" w:rsidRPr="00657A3D" w:rsidRDefault="00226DEA">
      <w:pPr>
        <w:numPr>
          <w:ilvl w:val="0"/>
          <w:numId w:val="23"/>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تعزيز فعالية التواصل بين مقدمي الرعاية الصحية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يُعد التواصل الواضح والدقيق بين أفراد الفريق الطبي ضروريًا لتقليل الأخطاء الناتجة عن سوء الفهم أو نقل المعلومات بشكل غير صحيح، خاصة في الحالات الحرجة</w:t>
      </w:r>
      <w:r w:rsidRPr="00657A3D">
        <w:rPr>
          <w:rFonts w:ascii="Traditional Arabic" w:hAnsi="Traditional Arabic" w:cs="Traditional Arabic" w:hint="cs"/>
          <w:spacing w:val="-6"/>
          <w:sz w:val="24"/>
          <w:szCs w:val="24"/>
          <w:lang w:bidi="ar-EG"/>
        </w:rPr>
        <w:t xml:space="preserve"> </w:t>
      </w:r>
      <w:r w:rsidR="00A409E8" w:rsidRPr="00657A3D">
        <w:rPr>
          <w:rFonts w:ascii="Traditional Arabic" w:hAnsi="Traditional Arabic" w:cs="Traditional Arabic" w:hint="cs"/>
          <w:spacing w:val="-6"/>
          <w:sz w:val="24"/>
          <w:szCs w:val="24"/>
          <w:rtl/>
          <w:lang w:bidi="ar-EG"/>
        </w:rPr>
        <w:t>.</w:t>
      </w:r>
    </w:p>
    <w:p w14:paraId="5F8478EC" w14:textId="613444D3" w:rsidR="00A409E8" w:rsidRPr="00657A3D" w:rsidRDefault="00A409E8" w:rsidP="00657A3D">
      <w:pPr>
        <w:bidi/>
        <w:spacing w:after="200" w:line="360" w:lineRule="auto"/>
        <w:ind w:left="720"/>
        <w:rPr>
          <w:rFonts w:ascii="Traditional Arabic" w:hAnsi="Traditional Arabic" w:cs="Traditional Arabic"/>
          <w:spacing w:val="-6"/>
          <w:sz w:val="24"/>
          <w:szCs w:val="24"/>
          <w:lang w:bidi="ar-EG"/>
        </w:rPr>
      </w:pPr>
      <w:r w:rsidRPr="00657A3D">
        <w:rPr>
          <w:rFonts w:ascii="Traditional Arabic" w:hAnsi="Traditional Arabic" w:cs="Traditional Arabic" w:hint="cs"/>
          <w:spacing w:val="-6"/>
          <w:sz w:val="24"/>
          <w:szCs w:val="24"/>
          <w:lang w:bidi="ar-EG"/>
        </w:rPr>
        <w:t>Joint Commission International, 2022, p. 3)</w:t>
      </w:r>
      <w:r w:rsidRPr="00657A3D">
        <w:rPr>
          <w:rFonts w:ascii="Traditional Arabic" w:hAnsi="Traditional Arabic" w:cs="Traditional Arabic" w:hint="cs"/>
          <w:spacing w:val="-6"/>
          <w:sz w:val="24"/>
          <w:szCs w:val="24"/>
          <w:rtl/>
          <w:lang w:bidi="ar-EG"/>
        </w:rPr>
        <w:t>).</w:t>
      </w:r>
    </w:p>
    <w:p w14:paraId="1EBD3BDE" w14:textId="31D9AA77" w:rsidR="00226DEA" w:rsidRPr="00657A3D" w:rsidRDefault="00226DEA">
      <w:pPr>
        <w:numPr>
          <w:ilvl w:val="0"/>
          <w:numId w:val="23"/>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الاستخدام الآمن للأدوية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تشمل هذه المبادئ مراجعة وصفات الأدوية، التحقق من الجرعات، وتوثيق الحساسية الدوائية، حيث أن الأدوية تُعد من أكثر مصادر الأذى القابل للوقاية في المستشفيات</w:t>
      </w:r>
      <w:r w:rsidRPr="00657A3D">
        <w:rPr>
          <w:rFonts w:ascii="Traditional Arabic" w:hAnsi="Traditional Arabic" w:cs="Traditional Arabic" w:hint="cs"/>
          <w:spacing w:val="-6"/>
          <w:sz w:val="24"/>
          <w:szCs w:val="24"/>
          <w:lang w:bidi="ar-EG"/>
        </w:rPr>
        <w:t xml:space="preserve"> (World Health Organization, 2023, p. 3).</w:t>
      </w:r>
    </w:p>
    <w:p w14:paraId="5CAE7CC7" w14:textId="066D6E4D" w:rsidR="00226DEA" w:rsidRPr="00657A3D" w:rsidRDefault="00226DEA">
      <w:pPr>
        <w:numPr>
          <w:ilvl w:val="0"/>
          <w:numId w:val="23"/>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ضمان الإجراء الصحيح للمريض الصحيح في الموقع الصحيح</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تتطلب العمليات الجراحية اتباع بروتوكولات تحقق دقيقة تشمل مراجعة اسم المريض، نوع العملية، والموقع الجراحي، وذلك لتفادي الأخطاء الجراحية الجسيمة</w:t>
      </w:r>
      <w:r w:rsidRPr="00657A3D">
        <w:rPr>
          <w:rFonts w:ascii="Traditional Arabic" w:hAnsi="Traditional Arabic" w:cs="Traditional Arabic" w:hint="cs"/>
          <w:spacing w:val="-6"/>
          <w:sz w:val="24"/>
          <w:szCs w:val="24"/>
          <w:lang w:bidi="ar-EG"/>
        </w:rPr>
        <w:t xml:space="preserve"> (Joint Commission International, 2022, p. 4).</w:t>
      </w:r>
    </w:p>
    <w:p w14:paraId="2CF5C2EC" w14:textId="2F2D35FF" w:rsidR="00226DEA" w:rsidRPr="00657A3D" w:rsidRDefault="00226DEA">
      <w:pPr>
        <w:numPr>
          <w:ilvl w:val="0"/>
          <w:numId w:val="23"/>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الحد من خطر العدوى المرتبطة بالرعاية الصحية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تُعد العدوى المكتسبة داخل المنشآت الصحية من أبرز أسباب المضاعفات، ويمكن الوقاية منها عبر الالتزام بإجراءات مكافحة العدوى مثل غسل اليدين واستخدام أدوات الوقاية الشخصية</w:t>
      </w:r>
      <w:r w:rsidRPr="00657A3D">
        <w:rPr>
          <w:rFonts w:ascii="Traditional Arabic" w:hAnsi="Traditional Arabic" w:cs="Traditional Arabic" w:hint="cs"/>
          <w:spacing w:val="-6"/>
          <w:sz w:val="24"/>
          <w:szCs w:val="24"/>
          <w:lang w:bidi="ar-EG"/>
        </w:rPr>
        <w:t xml:space="preserve"> (World Health Organization, 2023, p. 4).</w:t>
      </w:r>
    </w:p>
    <w:p w14:paraId="41EA8D89" w14:textId="77777777" w:rsidR="001A6D49" w:rsidRPr="00657A3D" w:rsidRDefault="001A6D49" w:rsidP="00657A3D">
      <w:pPr>
        <w:bidi/>
        <w:spacing w:after="200" w:line="360" w:lineRule="auto"/>
        <w:contextualSpacing/>
        <w:jc w:val="both"/>
        <w:rPr>
          <w:rFonts w:ascii="Traditional Arabic" w:eastAsia="Calibri" w:hAnsi="Traditional Arabic" w:cs="Traditional Arabic"/>
          <w:b/>
          <w:bCs/>
          <w:color w:val="000000" w:themeColor="text1"/>
          <w:sz w:val="24"/>
          <w:szCs w:val="24"/>
          <w:rtl/>
          <w:lang w:bidi="ar-EG"/>
        </w:rPr>
      </w:pPr>
      <w:r w:rsidRPr="00657A3D">
        <w:rPr>
          <w:rFonts w:ascii="Traditional Arabic" w:eastAsia="Calibri" w:hAnsi="Traditional Arabic" w:cs="Traditional Arabic" w:hint="cs"/>
          <w:b/>
          <w:bCs/>
          <w:color w:val="000000" w:themeColor="text1"/>
          <w:sz w:val="24"/>
          <w:szCs w:val="24"/>
          <w:rtl/>
          <w:lang w:bidi="ar-EG"/>
        </w:rPr>
        <w:t>أبعاد سلامة المرضى:</w:t>
      </w:r>
    </w:p>
    <w:p w14:paraId="5E448926" w14:textId="29DADEDF" w:rsidR="001A6D49" w:rsidRPr="00657A3D" w:rsidRDefault="001A6D49">
      <w:pPr>
        <w:numPr>
          <w:ilvl w:val="0"/>
          <w:numId w:val="34"/>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تقليل الأخطاء الطبية</w:t>
      </w:r>
      <w:r w:rsidRPr="00657A3D">
        <w:rPr>
          <w:rFonts w:ascii="Traditional Arabic" w:hAnsi="Traditional Arabic" w:cs="Traditional Arabic" w:hint="cs"/>
          <w:b/>
          <w:bCs/>
          <w:sz w:val="24"/>
          <w:szCs w:val="24"/>
          <w:lang w:bidi="ar-EG"/>
        </w:rPr>
        <w:t xml:space="preserve"> (Reducing Medical Errors)</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يُعد هذا البعد من أهم مؤشرات سلامة المرضى، ويشمل تقليل الأخطاء في التشخيص، وصف الأدوية، أو تنفيذ الإجراءات العلاجية، من خلال تطبيق بروتوكولات صارمة ومعايير مهنية واضحة (الأحمدي، 1438هـ</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57)</w:t>
      </w:r>
      <w:r w:rsidRPr="00657A3D">
        <w:rPr>
          <w:rFonts w:ascii="Traditional Arabic" w:hAnsi="Traditional Arabic" w:cs="Traditional Arabic" w:hint="cs"/>
          <w:sz w:val="24"/>
          <w:szCs w:val="24"/>
          <w:rtl/>
          <w:lang w:bidi="ar-EG"/>
        </w:rPr>
        <w:t>.</w:t>
      </w:r>
    </w:p>
    <w:p w14:paraId="0824BCD6" w14:textId="6672E6AA" w:rsidR="001A6D49" w:rsidRPr="00657A3D" w:rsidRDefault="001A6D49">
      <w:pPr>
        <w:numPr>
          <w:ilvl w:val="0"/>
          <w:numId w:val="34"/>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lastRenderedPageBreak/>
        <w:t>فعالية أنظمة الإبلاغ عن الحوادث</w:t>
      </w:r>
      <w:r w:rsidRPr="00657A3D">
        <w:rPr>
          <w:rFonts w:ascii="Traditional Arabic" w:hAnsi="Traditional Arabic" w:cs="Traditional Arabic" w:hint="cs"/>
          <w:b/>
          <w:bCs/>
          <w:sz w:val="24"/>
          <w:szCs w:val="24"/>
          <w:lang w:bidi="ar-EG"/>
        </w:rPr>
        <w:t xml:space="preserve"> (Incident Reporting Systems)</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يشير إلى وجود آليات مؤسسية تسمح بالإبلاغ عن الحوادث والأخطاء الطبية دون خوف من العقوبة، مما يعزز ثقافة التعلم والتحسين المستمر (مدوّن حر، 2024</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1)</w:t>
      </w:r>
      <w:r w:rsidRPr="00657A3D">
        <w:rPr>
          <w:rFonts w:ascii="Traditional Arabic" w:hAnsi="Traditional Arabic" w:cs="Traditional Arabic" w:hint="cs"/>
          <w:sz w:val="24"/>
          <w:szCs w:val="24"/>
          <w:lang w:bidi="ar-EG"/>
        </w:rPr>
        <w:t>.</w:t>
      </w:r>
    </w:p>
    <w:p w14:paraId="69A74714" w14:textId="24AA0206" w:rsidR="001A6D49" w:rsidRPr="00657A3D" w:rsidRDefault="001A6D49">
      <w:pPr>
        <w:numPr>
          <w:ilvl w:val="0"/>
          <w:numId w:val="34"/>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إشراك المرضى في الرعاية</w:t>
      </w:r>
      <w:r w:rsidRPr="00657A3D">
        <w:rPr>
          <w:rFonts w:ascii="Traditional Arabic" w:hAnsi="Traditional Arabic" w:cs="Traditional Arabic" w:hint="cs"/>
          <w:b/>
          <w:bCs/>
          <w:sz w:val="24"/>
          <w:szCs w:val="24"/>
          <w:lang w:bidi="ar-EG"/>
        </w:rPr>
        <w:t xml:space="preserve"> (Patient Engagement)</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103)</w:t>
      </w:r>
      <w:r w:rsidRPr="00657A3D">
        <w:rPr>
          <w:rFonts w:ascii="Traditional Arabic" w:hAnsi="Traditional Arabic" w:cs="Traditional Arabic" w:hint="cs"/>
          <w:sz w:val="24"/>
          <w:szCs w:val="24"/>
          <w:lang w:bidi="ar-EG"/>
        </w:rPr>
        <w:t>.</w:t>
      </w:r>
    </w:p>
    <w:p w14:paraId="3B4DFD7E" w14:textId="77777777" w:rsidR="001A6D49" w:rsidRPr="00657A3D" w:rsidRDefault="001A6D49">
      <w:pPr>
        <w:numPr>
          <w:ilvl w:val="0"/>
          <w:numId w:val="34"/>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بيئة العمل الآمنة</w:t>
      </w:r>
      <w:r w:rsidRPr="00657A3D">
        <w:rPr>
          <w:rFonts w:ascii="Traditional Arabic" w:hAnsi="Traditional Arabic" w:cs="Traditional Arabic" w:hint="cs"/>
          <w:b/>
          <w:bCs/>
          <w:sz w:val="24"/>
          <w:szCs w:val="24"/>
          <w:lang w:bidi="ar-EG"/>
        </w:rPr>
        <w:t xml:space="preserve"> (Safe Work Environment)</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تشمل توفير بيئة مهنية خالية من الضغوط النفسية والإجهاد، وتضمن سلامة مقدمي الرعاية الصحية، مما ينعكس إيجابًا على سلامة المرضى أنفسهم</w:t>
      </w:r>
    </w:p>
    <w:p w14:paraId="3A029D1F" w14:textId="77777777" w:rsidR="001A6D49" w:rsidRPr="00657A3D" w:rsidRDefault="001A6D49" w:rsidP="00657A3D">
      <w:pPr>
        <w:bidi/>
        <w:spacing w:line="360" w:lineRule="auto"/>
        <w:ind w:left="720"/>
        <w:rPr>
          <w:rFonts w:ascii="Traditional Arabic" w:hAnsi="Traditional Arabic" w:cs="Traditional Arabic"/>
          <w:sz w:val="24"/>
          <w:szCs w:val="24"/>
          <w:rtl/>
          <w:lang w:bidi="ar-EG"/>
        </w:rPr>
      </w:pPr>
      <w:r w:rsidRPr="00657A3D">
        <w:rPr>
          <w:rFonts w:ascii="Traditional Arabic" w:hAnsi="Traditional Arabic" w:cs="Traditional Arabic" w:hint="cs"/>
          <w:sz w:val="24"/>
          <w:szCs w:val="24"/>
          <w:lang w:bidi="ar-EG"/>
        </w:rPr>
        <w:t>GAHAR,2019.42</w:t>
      </w:r>
      <w:r w:rsidRPr="00657A3D">
        <w:rPr>
          <w:rFonts w:ascii="Traditional Arabic" w:hAnsi="Traditional Arabic" w:cs="Traditional Arabic" w:hint="cs"/>
          <w:sz w:val="24"/>
          <w:szCs w:val="24"/>
          <w:rtl/>
          <w:lang w:bidi="ar-EG"/>
        </w:rPr>
        <w:t>.</w:t>
      </w:r>
    </w:p>
    <w:p w14:paraId="24115814" w14:textId="77777777" w:rsidR="001A6D49" w:rsidRDefault="001A6D49">
      <w:pPr>
        <w:numPr>
          <w:ilvl w:val="0"/>
          <w:numId w:val="34"/>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جودة الرعاية السريرية</w:t>
      </w:r>
      <w:r w:rsidRPr="00657A3D">
        <w:rPr>
          <w:rFonts w:ascii="Traditional Arabic" w:hAnsi="Traditional Arabic" w:cs="Traditional Arabic" w:hint="cs"/>
          <w:b/>
          <w:bCs/>
          <w:sz w:val="24"/>
          <w:szCs w:val="24"/>
          <w:lang w:bidi="ar-EG"/>
        </w:rPr>
        <w:t xml:space="preserve"> (Clinical Care Quality)</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يرتبط هذا البعد بتطبيق الممارسات المبنية على الأدلة، وكفاءة الكوادر الصحية، وتكامل الخدمات، بما يحقق نتائج علاجية آمنة وفعالة (الأحمدي، 1438هـ، ص. 135)</w:t>
      </w:r>
      <w:r w:rsidRPr="00657A3D">
        <w:rPr>
          <w:rFonts w:ascii="Traditional Arabic" w:hAnsi="Traditional Arabic" w:cs="Traditional Arabic" w:hint="cs"/>
          <w:sz w:val="24"/>
          <w:szCs w:val="24"/>
          <w:lang w:bidi="ar-EG"/>
        </w:rPr>
        <w:t>.</w:t>
      </w:r>
    </w:p>
    <w:p w14:paraId="7078675E" w14:textId="77777777" w:rsidR="00657A3D" w:rsidRDefault="00657A3D" w:rsidP="00657A3D">
      <w:pPr>
        <w:bidi/>
        <w:spacing w:line="360" w:lineRule="auto"/>
        <w:ind w:left="720"/>
        <w:rPr>
          <w:rFonts w:ascii="Traditional Arabic" w:hAnsi="Traditional Arabic" w:cs="Traditional Arabic"/>
          <w:b/>
          <w:bCs/>
          <w:sz w:val="24"/>
          <w:szCs w:val="24"/>
          <w:rtl/>
        </w:rPr>
      </w:pPr>
    </w:p>
    <w:p w14:paraId="008A9C55" w14:textId="77777777" w:rsidR="00657A3D" w:rsidRDefault="00657A3D" w:rsidP="00657A3D">
      <w:pPr>
        <w:bidi/>
        <w:spacing w:line="360" w:lineRule="auto"/>
        <w:ind w:left="720"/>
        <w:rPr>
          <w:rFonts w:ascii="Traditional Arabic" w:hAnsi="Traditional Arabic" w:cs="Traditional Arabic"/>
          <w:b/>
          <w:bCs/>
          <w:sz w:val="24"/>
          <w:szCs w:val="24"/>
          <w:rtl/>
        </w:rPr>
      </w:pPr>
    </w:p>
    <w:p w14:paraId="5EAE0F9A" w14:textId="77777777" w:rsidR="00657A3D" w:rsidRDefault="00657A3D" w:rsidP="00657A3D">
      <w:pPr>
        <w:bidi/>
        <w:spacing w:line="360" w:lineRule="auto"/>
        <w:ind w:left="720"/>
        <w:rPr>
          <w:rFonts w:ascii="Traditional Arabic" w:hAnsi="Traditional Arabic" w:cs="Traditional Arabic"/>
          <w:b/>
          <w:bCs/>
          <w:sz w:val="24"/>
          <w:szCs w:val="24"/>
          <w:rtl/>
        </w:rPr>
      </w:pPr>
    </w:p>
    <w:p w14:paraId="58D1A645" w14:textId="77777777" w:rsidR="00657A3D" w:rsidRDefault="00657A3D" w:rsidP="00657A3D">
      <w:pPr>
        <w:bidi/>
        <w:spacing w:line="360" w:lineRule="auto"/>
        <w:ind w:left="720"/>
        <w:rPr>
          <w:rFonts w:ascii="Traditional Arabic" w:hAnsi="Traditional Arabic" w:cs="Traditional Arabic"/>
          <w:b/>
          <w:bCs/>
          <w:sz w:val="24"/>
          <w:szCs w:val="24"/>
          <w:rtl/>
        </w:rPr>
      </w:pPr>
    </w:p>
    <w:p w14:paraId="463AEA09" w14:textId="77777777" w:rsidR="00657A3D" w:rsidRDefault="00657A3D" w:rsidP="00657A3D">
      <w:pPr>
        <w:bidi/>
        <w:spacing w:line="360" w:lineRule="auto"/>
        <w:ind w:left="720"/>
        <w:rPr>
          <w:rFonts w:ascii="Traditional Arabic" w:hAnsi="Traditional Arabic" w:cs="Traditional Arabic"/>
          <w:b/>
          <w:bCs/>
          <w:sz w:val="24"/>
          <w:szCs w:val="24"/>
          <w:rtl/>
        </w:rPr>
      </w:pPr>
    </w:p>
    <w:p w14:paraId="4111E466" w14:textId="77777777" w:rsidR="00657A3D" w:rsidRDefault="00657A3D" w:rsidP="00657A3D">
      <w:pPr>
        <w:bidi/>
        <w:spacing w:line="360" w:lineRule="auto"/>
        <w:ind w:left="720"/>
        <w:rPr>
          <w:rFonts w:ascii="Traditional Arabic" w:hAnsi="Traditional Arabic" w:cs="Traditional Arabic"/>
          <w:b/>
          <w:bCs/>
          <w:sz w:val="24"/>
          <w:szCs w:val="24"/>
          <w:rtl/>
        </w:rPr>
      </w:pPr>
    </w:p>
    <w:p w14:paraId="0AF8B3AD" w14:textId="77777777" w:rsidR="00657A3D" w:rsidRDefault="00657A3D" w:rsidP="00657A3D">
      <w:pPr>
        <w:bidi/>
        <w:spacing w:line="360" w:lineRule="auto"/>
        <w:ind w:left="720"/>
        <w:rPr>
          <w:rFonts w:ascii="Traditional Arabic" w:hAnsi="Traditional Arabic" w:cs="Traditional Arabic"/>
          <w:b/>
          <w:bCs/>
          <w:sz w:val="24"/>
          <w:szCs w:val="24"/>
          <w:rtl/>
        </w:rPr>
      </w:pPr>
    </w:p>
    <w:p w14:paraId="7A7AEAC0" w14:textId="77777777" w:rsidR="00657A3D" w:rsidRDefault="00657A3D" w:rsidP="00657A3D">
      <w:pPr>
        <w:bidi/>
        <w:spacing w:line="360" w:lineRule="auto"/>
        <w:ind w:left="720"/>
        <w:rPr>
          <w:rFonts w:ascii="Traditional Arabic" w:hAnsi="Traditional Arabic" w:cs="Traditional Arabic"/>
          <w:b/>
          <w:bCs/>
          <w:sz w:val="24"/>
          <w:szCs w:val="24"/>
          <w:rtl/>
        </w:rPr>
      </w:pPr>
    </w:p>
    <w:p w14:paraId="2D6C7278" w14:textId="77777777" w:rsidR="00657A3D" w:rsidRPr="00657A3D" w:rsidRDefault="00657A3D" w:rsidP="00657A3D">
      <w:pPr>
        <w:bidi/>
        <w:spacing w:line="360" w:lineRule="auto"/>
        <w:ind w:left="720"/>
        <w:rPr>
          <w:rFonts w:ascii="Traditional Arabic" w:hAnsi="Traditional Arabic" w:cs="Traditional Arabic"/>
          <w:sz w:val="24"/>
          <w:szCs w:val="24"/>
          <w:lang w:bidi="ar-EG"/>
        </w:rPr>
      </w:pPr>
    </w:p>
    <w:p w14:paraId="3F292BAF" w14:textId="34D97497" w:rsidR="00F71AB1" w:rsidRPr="00F70920" w:rsidRDefault="00F71AB1" w:rsidP="00F71AB1">
      <w:pPr>
        <w:bidi/>
        <w:spacing w:line="278" w:lineRule="auto"/>
        <w:ind w:left="720"/>
        <w:jc w:val="center"/>
        <w:rPr>
          <w:rFonts w:ascii="Traditional Arabic" w:hAnsi="Traditional Arabic" w:cs="Traditional Arabic"/>
          <w:sz w:val="24"/>
          <w:szCs w:val="24"/>
          <w:lang w:bidi="ar-EG"/>
        </w:rPr>
      </w:pPr>
      <w:r w:rsidRPr="00F70920">
        <w:rPr>
          <w:rFonts w:ascii="Traditional Arabic" w:hAnsi="Traditional Arabic" w:cs="Traditional Arabic" w:hint="cs"/>
          <w:b/>
          <w:bCs/>
          <w:sz w:val="24"/>
          <w:szCs w:val="24"/>
          <w:rtl/>
        </w:rPr>
        <w:lastRenderedPageBreak/>
        <w:t>شكل (</w:t>
      </w:r>
      <w:r w:rsidR="004959E0">
        <w:rPr>
          <w:rFonts w:ascii="Traditional Arabic" w:hAnsi="Traditional Arabic" w:cs="Traditional Arabic" w:hint="cs"/>
          <w:b/>
          <w:bCs/>
          <w:sz w:val="24"/>
          <w:szCs w:val="24"/>
          <w:rtl/>
        </w:rPr>
        <w:t>3</w:t>
      </w:r>
      <w:r w:rsidRPr="00F70920">
        <w:rPr>
          <w:rFonts w:ascii="Traditional Arabic" w:hAnsi="Traditional Arabic" w:cs="Traditional Arabic" w:hint="cs"/>
          <w:b/>
          <w:bCs/>
          <w:sz w:val="24"/>
          <w:szCs w:val="24"/>
          <w:rtl/>
        </w:rPr>
        <w:t>) يوضح أبعاد سلامة المرضى</w:t>
      </w:r>
    </w:p>
    <w:p w14:paraId="336EEF99" w14:textId="5DC6C934" w:rsidR="001A6D49" w:rsidRDefault="001A6D49" w:rsidP="001A6D49">
      <w:pPr>
        <w:bidi/>
        <w:spacing w:after="200" w:line="276" w:lineRule="auto"/>
        <w:rPr>
          <w:rFonts w:ascii="Simplified Arabic" w:hAnsi="Simplified Arabic" w:cs="Simplified Arabic"/>
          <w:spacing w:val="-6"/>
          <w:sz w:val="28"/>
          <w:szCs w:val="28"/>
          <w:lang w:bidi="ar-EG"/>
        </w:rPr>
      </w:pPr>
      <w:r>
        <w:rPr>
          <w:rFonts w:ascii="Simplified Arabic" w:hAnsi="Simplified Arabic" w:cs="Simplified Arabic"/>
          <w:noProof/>
          <w:spacing w:val="-6"/>
          <w:sz w:val="28"/>
          <w:szCs w:val="28"/>
          <w:lang w:bidi="ar-EG"/>
        </w:rPr>
        <w:drawing>
          <wp:inline distT="0" distB="0" distL="0" distR="0" wp14:anchorId="2E21C47B" wp14:editId="35AAD874">
            <wp:extent cx="5274310" cy="3076575"/>
            <wp:effectExtent l="0" t="12700" r="0" b="9525"/>
            <wp:docPr id="90287019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05755C09" w14:textId="350E9A0F" w:rsidR="001A6D49" w:rsidRPr="00085B4F" w:rsidRDefault="001A6D49" w:rsidP="004323BE">
      <w:pPr>
        <w:bidi/>
        <w:spacing w:after="200" w:line="276" w:lineRule="auto"/>
        <w:jc w:val="center"/>
        <w:rPr>
          <w:rFonts w:ascii="Traditional Arabic" w:hAnsi="Traditional Arabic" w:cs="Traditional Arabic"/>
          <w:b/>
          <w:bCs/>
          <w:spacing w:val="-6"/>
          <w:sz w:val="24"/>
          <w:szCs w:val="24"/>
          <w:rtl/>
        </w:rPr>
      </w:pPr>
      <w:r w:rsidRPr="00085B4F">
        <w:rPr>
          <w:rFonts w:ascii="Traditional Arabic" w:hAnsi="Traditional Arabic" w:cs="Traditional Arabic" w:hint="cs"/>
          <w:b/>
          <w:bCs/>
          <w:spacing w:val="-6"/>
          <w:sz w:val="24"/>
          <w:szCs w:val="24"/>
          <w:rtl/>
        </w:rPr>
        <w:t>إعداد/ الباحثة</w:t>
      </w:r>
      <w:r w:rsidR="004323BE" w:rsidRPr="00085B4F">
        <w:rPr>
          <w:rFonts w:ascii="Traditional Arabic" w:hAnsi="Traditional Arabic" w:cs="Traditional Arabic" w:hint="cs"/>
          <w:b/>
          <w:bCs/>
          <w:spacing w:val="-6"/>
          <w:sz w:val="24"/>
          <w:szCs w:val="24"/>
          <w:rtl/>
        </w:rPr>
        <w:t xml:space="preserve"> مستندة ل (الأحمدي، 2017، 14).</w:t>
      </w:r>
    </w:p>
    <w:p w14:paraId="5392F895" w14:textId="345A40D1" w:rsidR="008D43D7" w:rsidRPr="00065189" w:rsidRDefault="008D43D7" w:rsidP="001A6D49">
      <w:pPr>
        <w:bidi/>
        <w:spacing w:after="200" w:line="276" w:lineRule="auto"/>
        <w:rPr>
          <w:rFonts w:ascii="Traditional Arabic" w:hAnsi="Traditional Arabic" w:cs="Traditional Arabic"/>
          <w:b/>
          <w:bCs/>
          <w:spacing w:val="-6"/>
          <w:sz w:val="28"/>
          <w:szCs w:val="28"/>
          <w:lang w:bidi="ar-EG"/>
        </w:rPr>
      </w:pPr>
      <w:r w:rsidRPr="00065189">
        <w:rPr>
          <w:rFonts w:ascii="Traditional Arabic" w:hAnsi="Traditional Arabic" w:cs="Traditional Arabic" w:hint="cs"/>
          <w:b/>
          <w:bCs/>
          <w:spacing w:val="-6"/>
          <w:sz w:val="28"/>
          <w:szCs w:val="28"/>
          <w:rtl/>
        </w:rPr>
        <w:t>دراسات سابقة حول سلامة المرضى :</w:t>
      </w:r>
    </w:p>
    <w:p w14:paraId="65C5E887" w14:textId="54626562" w:rsidR="00CC2691" w:rsidRPr="00065189" w:rsidRDefault="00CC2691"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هدفت دراسة ريم وحسن (2020)</w:t>
      </w:r>
      <w:r w:rsidRPr="00065189">
        <w:rPr>
          <w:rFonts w:ascii="Traditional Arabic" w:hAnsi="Traditional Arabic" w:cs="Traditional Arabic" w:hint="cs"/>
          <w:spacing w:val="-6"/>
          <w:sz w:val="24"/>
          <w:szCs w:val="24"/>
          <w:rtl/>
        </w:rPr>
        <w:t xml:space="preserve"> إلى تحليل التحديات التي تواجه سلامة المرضى في ظل جائحة كوفيد-19، وذلك من خلال دراسة ميدانية تطبيقية على مستشفى الطوارئ الجامعي بالقاهرة. سعت الدراسة إلى تقييم مدى جاهزية الطاقم الطبي للتعامل مع الحالات الحرجة في سياق وبائي غير مسبوق، مع التركيز على العوامل التنظيمية واللوجستية التي تؤثر على جودة الرعاية وسلامة المرضى</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اعتمد الباحثان على منهج وصفي تحليلي، واستخدما استبانة مغلقة كأداة رئيسية لجمع البيانات، تضمنت مجموعة من المحاور المتعلقة بجاهزية المستشفى، توفر الموارد الوقائية، التنسيق بين الفرق الطبية، ومستوى التدريب على التعامل مع الحالات الوبائية. تم تصميم الاستبانة وفق مقياس ليكرت الخماسي، وشملت بنودًا كمية ونوعية لقياس مدى تأثير الجائحة على الأداء السريري وسلامة المرضى</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وشملت العينة 80 مشاركًا من الكوادر الطبية، موزعين بين 45 طبيبًا و35 ممرضًا، تم اختيارهم بطريقة قصدية من العاملين في أقسام الطوارئ والعناية المركزة، نظرًا لطبيعة عملهم المباشر مع حالات كوفيد-19</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 الباحثان على ضمان التنوع في التخصصات الطبية والتمريضية ضمن العينة، لضمان تمثيل واقعي للتحديات الميدانية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أظهرت نتائج الدراسة أن نقص معدات الحماية الشخصية، مثل الكمامات والمعقمات والملابس الواقية، كان من أبرز العوامل التي ساهمت في ارتفاع معدل الأخطاء السريرية بنسبة 35% خلال فترة الذروة الوبائية</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بيّنت النتائج وجود ضعف في التنسيق بين الفرق الطبية، خاصة في حالات نقل المرضى بين الأقسام، مما أدى إلى تأخير التدخلات العلاجية وزيادة معدلات العدوى المكتسبة داخل المستشفى</w:t>
      </w:r>
      <w:r w:rsidR="009B3A99"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وقد خلصت الدراسة إلى مجموعة من التوصيات، أبرزها ضرورة تعزيز برامج تدريب العاملين على بروتوكولات الطوارئ الوبائية، وتوفير الموارد الوقائية بشكل دائم ومستدام، إلى جانب تطوير آليات التنسيق الداخلي بين الفرق الطبية، بما يضمن سرعة الاستجابة وتقليل فرص الخطأ البشري في الظروف الحرجة</w:t>
      </w:r>
      <w:r w:rsidRPr="00065189">
        <w:rPr>
          <w:rFonts w:ascii="Traditional Arabic" w:hAnsi="Traditional Arabic" w:cs="Traditional Arabic" w:hint="cs"/>
          <w:spacing w:val="-6"/>
          <w:sz w:val="24"/>
          <w:szCs w:val="24"/>
        </w:rPr>
        <w:t>.</w:t>
      </w:r>
    </w:p>
    <w:p w14:paraId="1869FA5E" w14:textId="32AAC072" w:rsidR="00CC2691" w:rsidRPr="00065189" w:rsidRDefault="00CC2691"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lang w:bidi="ar-EG"/>
        </w:rPr>
        <w:lastRenderedPageBreak/>
        <w:t>و</w:t>
      </w:r>
      <w:r w:rsidRPr="00065189">
        <w:rPr>
          <w:rFonts w:ascii="Traditional Arabic" w:hAnsi="Traditional Arabic" w:cs="Traditional Arabic" w:hint="cs"/>
          <w:b/>
          <w:bCs/>
          <w:spacing w:val="-6"/>
          <w:sz w:val="24"/>
          <w:szCs w:val="24"/>
          <w:rtl/>
        </w:rPr>
        <w:t>هدفت دراسة آلاء أحمد ومحمد عفيفي (2021)</w:t>
      </w:r>
      <w:r w:rsidRPr="00065189">
        <w:rPr>
          <w:rFonts w:ascii="Traditional Arabic" w:hAnsi="Traditional Arabic" w:cs="Traditional Arabic" w:hint="cs"/>
          <w:spacing w:val="-6"/>
          <w:sz w:val="24"/>
          <w:szCs w:val="24"/>
          <w:rtl/>
        </w:rPr>
        <w:t xml:space="preserve"> إلى تحليل أثر تطبيق نظم إدارة المخاطر على جودة الرعاية الصحية وسلامة المرضى، وذلك من خلال دراسة ميدانية أجريت على مجموعة من المستشفيات الحكومية في مدينة جدة بالمملكة العربية السعودية. ركزت الدراسة على تقييم فعالية الإدارة الوقائية كأداة تنظيمية للحد من الأذى السريري وتحسين الأداء العام للمؤسسات الصحية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اعتمد الباحثان على المنهج الكمي التحليلي، واستخدما استبانة معيارية كأداة رئيسية لجمع البيانات، تضمنت مجموعة من البنود التي تقيس مدى تطبيق نظم إدارة المخاطر، ومستوى جودة الرعاية، ومؤشرات السلامة السريرية. تم تصميم الاستبانة وفق مقياس ليكرت الخماسي، وشملت محاور تتعلق بالسياسات الوقائية، الإجراءات التشغيلية، التفاعل بين الفرق الطبية، ومدى توفر نظم المعلومات الداعمة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بلغ حجم العينة 200 موظفًا من الكوادر الطبية والإدارية، تم اختيارهم من مختلف الأقسام داخل المستشفيات الحكومية، بما في ذلك أقسام الطوارئ، الجراحة، الجودة، وإدارة المخاطر. وقد حرص الباحثان على تحقيق تمثيل شامل للعينة لضمان تنوع وجهات النظر بين العاملين في الخطوط الأمامية والإدارات الداعمة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نتائج الدراسة أن تطبيق نظم إدارة المخاطر ساهم بشكل ملموس في تحسين جودة الرعاية الصحية بنسبة 60%، كما انعكس إيجابيًا على مؤشرات السلامة السريرية بنسبة 50%، وذلك من خلال تقليل معدلات الأخطاء الطبية، وتحسين الاستجابة للحالات الحرجة، وتعزيز ثقافة السلامة داخل بيئة العمل</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rPr>
        <w:t>وقد خلصت الدراسة إلى مجموعة من التوصيات، أبرزها ضرورة تطوير نظام معلومات قوي يدعم عمليات إدارة المخاطر، ويتيح التتبع الفوري للحوادث السريرية، إلى جانب أهمية دعم القيادة الصحية للإجراءات الوقائية، من خلال توفير الموارد، وتدريب العاملين، وتعزيز ثقافة التحسين المستمر</w:t>
      </w:r>
      <w:r w:rsidRPr="00065189">
        <w:rPr>
          <w:rFonts w:ascii="Traditional Arabic" w:hAnsi="Traditional Arabic" w:cs="Traditional Arabic" w:hint="cs"/>
          <w:spacing w:val="-6"/>
          <w:sz w:val="24"/>
          <w:szCs w:val="24"/>
          <w:lang w:bidi="ar-EG"/>
        </w:rPr>
        <w:t>.</w:t>
      </w:r>
    </w:p>
    <w:p w14:paraId="5B918E01" w14:textId="15361CCB" w:rsidR="0021352C" w:rsidRPr="00065189" w:rsidRDefault="0021352C"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lang w:bidi="ar-EG"/>
        </w:rPr>
        <w:t>و</w:t>
      </w:r>
      <w:r w:rsidRPr="00065189">
        <w:rPr>
          <w:rFonts w:ascii="Traditional Arabic" w:hAnsi="Traditional Arabic" w:cs="Traditional Arabic" w:hint="cs"/>
          <w:b/>
          <w:bCs/>
          <w:spacing w:val="-6"/>
          <w:sz w:val="24"/>
          <w:szCs w:val="24"/>
          <w:rtl/>
        </w:rPr>
        <w:t>سعت دراسة نعيمة القصير (2022) إلى تسليط الضوء على أهمية تعزيز مشاركة المرضى في صياغة السياسات الصحية،</w:t>
      </w:r>
      <w:r w:rsidRPr="00065189">
        <w:rPr>
          <w:rFonts w:ascii="Traditional Arabic" w:hAnsi="Traditional Arabic" w:cs="Traditional Arabic" w:hint="cs"/>
          <w:spacing w:val="-6"/>
          <w:sz w:val="24"/>
          <w:szCs w:val="24"/>
          <w:rtl/>
        </w:rPr>
        <w:t xml:space="preserve"> باعتبارهم طرفًا فاعلًا في منظومة السلامة داخل المؤسسات الصحية. وقد تم تطبيق الدراسة على ثلاث مستشفيات تعليمية في محافظتي القاهرة والجيزة، بهدف تقييم أثر نماذج إشراك المرضى على جودة الرعاية وتقليل الأخطاء السريرية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اعتمدت الباحثة على منهج وصفي تحليلي، واستخدمت استبانة موجهة كأداة رئيسية لجمع البيانات، تضمنت مجموعة من البنود التي تقيس درجة مشاركة المرضى في اتخاذ القرار، مدى معرفتهم بحقوقهم، ومستوى رضاهم عن الخدمات المقدمة</w:t>
      </w:r>
      <w:r w:rsidR="00557B78"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وشملت محاور تتعلق بالتواصل مع الطاقم الطبي، المشاركة في الخطط العلاجية، والانخراط في تقييم الأداء الصحي</w:t>
      </w:r>
      <w:r w:rsidR="00557B78"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rPr>
        <w:t>وبلغ حجم العينة 150 مشاركًا، موزعين بين مرضى ومقدمي رعاية صحية، تم اختيارهم من أقسام الباطنة والجراحة والطوارئ، لضمان تمثيل متنوع للحالات السريرية والتجارب العلاجية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حرصت الباحثة على تضمين وجهات نظر المرضى ومقدمي الرعاية على حد سواء، لتقييم فعالية نماذج المشاركة من منظور شامل</w:t>
      </w:r>
      <w:r w:rsidR="00557B78"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نتائج الدراسة أن تطبيق نماذج إشراك المرضى في السياسات الصحية أدى إلى انخفاض الأخطاء السريرية بنسبة 17% في الأقسام التي تبنت هذه النماذج، كما ارتفع مستوى رضا المرضى بشكل ملحوظ، خاصة في ما يتعلق بالتواصل، والشفافية، واحترام الحقوق</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بيّنت الدراسة أن إشراك المرضى يعزز من ثقافة السلامة، ويزيد من التزام الطاقم الطبي بالإجراءات الوقائية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واختتمت الدراسة بتوصيات عملية، أبرزها ضرورة دمج المرضى في لجان الجودة داخل المنشآت الصحية، وتخصيص كتيبات تعريفية بحقوقهم ومسؤولياتهم، بما يسهم في تمكينهم وتعزيز دورهم في تحسين جودة الرعاية، وتقليل المخاطر السريرية</w:t>
      </w:r>
      <w:r w:rsidRPr="00065189">
        <w:rPr>
          <w:rFonts w:ascii="Traditional Arabic" w:hAnsi="Traditional Arabic" w:cs="Traditional Arabic" w:hint="cs"/>
          <w:spacing w:val="-6"/>
          <w:sz w:val="24"/>
          <w:szCs w:val="24"/>
          <w:lang w:bidi="ar-EG"/>
        </w:rPr>
        <w:t>.</w:t>
      </w:r>
    </w:p>
    <w:p w14:paraId="1402130E" w14:textId="107878C8" w:rsidR="0091048B" w:rsidRPr="00065189" w:rsidRDefault="0091048B"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هدفت دراسة المركز السعودي لسلامة المرضى (2022) إلى قياس ثقافة السلامة داخل المستشفيات الحكومية والخاصة في مدينتي الرياض وجدة</w:t>
      </w:r>
      <w:r w:rsidRPr="00065189">
        <w:rPr>
          <w:rFonts w:ascii="Traditional Arabic" w:hAnsi="Traditional Arabic" w:cs="Traditional Arabic" w:hint="cs"/>
          <w:spacing w:val="-6"/>
          <w:sz w:val="24"/>
          <w:szCs w:val="24"/>
          <w:rtl/>
        </w:rPr>
        <w:t xml:space="preserve">، وذلك في إطار سعي وطني لفهم مكونات ثقافة السلامة السريرية، وتحديد الفروقات التنظيمية بين أنواع المنشآت الصحية. ركزت الدراسة </w:t>
      </w:r>
      <w:r w:rsidRPr="00065189">
        <w:rPr>
          <w:rFonts w:ascii="Traditional Arabic" w:hAnsi="Traditional Arabic" w:cs="Traditional Arabic" w:hint="cs"/>
          <w:spacing w:val="-6"/>
          <w:sz w:val="24"/>
          <w:szCs w:val="24"/>
          <w:rtl/>
        </w:rPr>
        <w:lastRenderedPageBreak/>
        <w:t>على تحليل مدى إدراك العاملين لمفاهيم السلامة، وسلوكيات الإبلاغ، ومستوى التحفيز الداخلي المرتبط بالممارسات الآمنة</w:t>
      </w:r>
      <w:r w:rsidR="00557B78" w:rsidRPr="00065189">
        <w:rPr>
          <w:rFonts w:ascii="Traditional Arabic" w:hAnsi="Traditional Arabic" w:cs="Traditional Arabic" w:hint="cs"/>
          <w:spacing w:val="-6"/>
          <w:sz w:val="24"/>
          <w:szCs w:val="24"/>
          <w:rtl/>
        </w:rPr>
        <w:t xml:space="preserve">، </w:t>
      </w:r>
      <w:r w:rsidR="008B68BA"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اعتمدت الدراسة على منهج كمي وصفي، واستخدمت استبيانًا شاملًا كأداة رئيسية لجمع البيانات، تم تطويره وفقًا للمعايير الدولية لقياس ثقافة السلامة، مثل نموذج</w:t>
      </w:r>
      <w:r w:rsidRPr="00065189">
        <w:rPr>
          <w:rFonts w:ascii="Traditional Arabic" w:hAnsi="Traditional Arabic" w:cs="Traditional Arabic" w:hint="cs"/>
          <w:spacing w:val="-6"/>
          <w:sz w:val="24"/>
          <w:szCs w:val="24"/>
        </w:rPr>
        <w:t xml:space="preserve"> AHRQ </w:t>
      </w:r>
      <w:r w:rsidRPr="00065189">
        <w:rPr>
          <w:rFonts w:ascii="Traditional Arabic" w:hAnsi="Traditional Arabic" w:cs="Traditional Arabic" w:hint="cs"/>
          <w:spacing w:val="-6"/>
          <w:sz w:val="24"/>
          <w:szCs w:val="24"/>
          <w:rtl/>
        </w:rPr>
        <w:t>الأمريكي. شمل الاستبيان محاور متعددة، منها: الإبلاغ عن الحوادث، دعم الإدارة، العمل الجماعي، التواصل المفتوح، والتعلم من الأخطاء</w:t>
      </w:r>
      <w:r w:rsidR="00557B78"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 مع تحليل إحصائي مقارن بين المستشفيات الحكومية والخاصة</w:t>
      </w:r>
      <w:r w:rsidR="00557B78" w:rsidRPr="00065189">
        <w:rPr>
          <w:rFonts w:ascii="Traditional Arabic" w:hAnsi="Traditional Arabic" w:cs="Traditional Arabic" w:hint="cs"/>
          <w:spacing w:val="-6"/>
          <w:sz w:val="24"/>
          <w:szCs w:val="24"/>
          <w:rtl/>
        </w:rPr>
        <w:t>،</w:t>
      </w:r>
      <w:r w:rsidR="008B68BA"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بلغ حجم العينة 570 ممارسًا صحيًا من مختلف التخصصات، شملت أطباء، ممرضين، وفنيين صحيين، تم اختيارهم من أقسام الطوارئ، العناية المركزة، الجودة، والإدارة، لضمان تمثيل شامل للخبرات المهنية والوظائف التنظيمية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 المركز على تحقيق التوازن بين المشاركين من القطاعين العام والخاص، لتحديد الفروقات في ثقافة السلامة بينهما</w:t>
      </w:r>
      <w:r w:rsidRPr="00065189">
        <w:rPr>
          <w:rFonts w:ascii="Traditional Arabic" w:hAnsi="Traditional Arabic" w:cs="Traditional Arabic" w:hint="cs"/>
          <w:spacing w:val="-6"/>
          <w:sz w:val="24"/>
          <w:szCs w:val="24"/>
        </w:rPr>
        <w:t>.</w:t>
      </w:r>
      <w:r w:rsidR="00791707"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 xml:space="preserve">كشفت نتائج الدراسة عن وجود ضعف ملحوظ في مستوى الإبلاغ عن الحوادث، خاصة في المستشفيات الخاصة، حيث أشار عدد كبير من المشاركين إلى غياب ثقافة </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الإبلاغ دون لوم</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 مما أدى إلى انخفاض معدلات الإبلاغ الطوعي</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أظهرت النتائج غياب التحفيز الداخلي المرتبط بالممارسات الآمنة، وضعف دعم الإدارة في تعزيز ثقافة السلامة، مما أثر سلبًا على التفاعل المهني داخل الفرق الطبية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وقد خلصت الدراسة إلى مجموعة من التوصيات، أبرزها ضرورة تدريب العاملين على آليات </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الإبلاغ دون لوم</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 وتفعيل أنظمة المكافآت المرتبطة بالأداء الآمن، إلى جانب تعزيز دور القيادة الصحية في دعم ثقافة السلامة، وتوفير بيئة تنظيمية تشجع على التعلم من الأخطاء دون خوف أو تردد</w:t>
      </w:r>
      <w:r w:rsidRPr="00065189">
        <w:rPr>
          <w:rFonts w:ascii="Traditional Arabic" w:hAnsi="Traditional Arabic" w:cs="Traditional Arabic" w:hint="cs"/>
          <w:spacing w:val="-6"/>
          <w:sz w:val="24"/>
          <w:szCs w:val="24"/>
        </w:rPr>
        <w:t>.</w:t>
      </w:r>
    </w:p>
    <w:p w14:paraId="0F39F338" w14:textId="22359AAE" w:rsidR="002D2ED0" w:rsidRPr="00065189" w:rsidRDefault="00971397"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 xml:space="preserve">كما </w:t>
      </w:r>
      <w:r w:rsidR="002D2ED0" w:rsidRPr="00065189">
        <w:rPr>
          <w:rFonts w:ascii="Traditional Arabic" w:hAnsi="Traditional Arabic" w:cs="Traditional Arabic" w:hint="cs"/>
          <w:b/>
          <w:bCs/>
          <w:spacing w:val="-6"/>
          <w:sz w:val="24"/>
          <w:szCs w:val="24"/>
          <w:rtl/>
        </w:rPr>
        <w:t>هدفت دراسة منظمة الصحة العالمية (2023)</w:t>
      </w:r>
      <w:r w:rsidR="002D2ED0" w:rsidRPr="00065189">
        <w:rPr>
          <w:rFonts w:ascii="Traditional Arabic" w:hAnsi="Traditional Arabic" w:cs="Traditional Arabic" w:hint="cs"/>
          <w:spacing w:val="-6"/>
          <w:sz w:val="24"/>
          <w:szCs w:val="24"/>
          <w:rtl/>
        </w:rPr>
        <w:t xml:space="preserve"> إلى قياس أثر إشراك المرضى في تحسين سلامتهم ضمن إطار دولي متعدد السياقات، حيث تم تطبيق الدراسة في ثمان دول من منطقة شرق المتوسط، بهدف تقييم فعالية الشراكة بين المريض والمنشأة الصحية كإحدى الممارسات المعيارية المعتمدة عالميًا لتعزيز جودة الرعاية وتقليل الأذى السريري</w:t>
      </w:r>
      <w:r w:rsidR="002D2ED0" w:rsidRPr="00065189">
        <w:rPr>
          <w:rFonts w:ascii="Traditional Arabic" w:hAnsi="Traditional Arabic" w:cs="Traditional Arabic" w:hint="cs"/>
          <w:spacing w:val="-6"/>
          <w:sz w:val="24"/>
          <w:szCs w:val="24"/>
          <w:lang w:bidi="ar-EG"/>
        </w:rPr>
        <w:t>.</w:t>
      </w:r>
      <w:r w:rsidR="002D2ED0" w:rsidRPr="00065189">
        <w:rPr>
          <w:rFonts w:ascii="Traditional Arabic" w:hAnsi="Traditional Arabic" w:cs="Traditional Arabic" w:hint="cs"/>
          <w:spacing w:val="-6"/>
          <w:sz w:val="24"/>
          <w:szCs w:val="24"/>
          <w:rtl/>
        </w:rPr>
        <w:t>اعتمدت الدراسة على منهج وصفي تحليلي متعدد الجنسيات، واستخدمت استبانة موحدة صممتها المنظمة لقياس تجربة المريض، ومدى مشاركته في الخطة العلاجية، ودرجة إدماجه في القرارات المتعلقة بالرعاية الصحية. شملت الاستبانة محاور تتعلق بالتواصل، التثقيف الصحي، إشراك المريض في تقييم الأداء، ومدى معرفته بحقوقه ومسؤولياته، مع تحليل مقارن بين الدول المشاركة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2D2ED0" w:rsidRPr="00065189">
        <w:rPr>
          <w:rFonts w:ascii="Traditional Arabic" w:hAnsi="Traditional Arabic" w:cs="Traditional Arabic" w:hint="cs"/>
          <w:spacing w:val="-6"/>
          <w:sz w:val="24"/>
          <w:szCs w:val="24"/>
          <w:rtl/>
        </w:rPr>
        <w:t>بلغ حجم العينة 420 مريضًا من مختلف الفئات العمرية والحالات السريرية، تم اختيارهم من مستشفيات تعليمية وعامة في الدول الثمان، بما يضمن تمثيلًا متنوعًا للخبرات العلاجية والثقافية. وقد حرصت المنظمة على تضمين المرضى الذين تلقوا رعاية في أقسام الطوارئ، الجراحة، والعيادات الخارجية، لضمان شمولية التقييم</w:t>
      </w:r>
      <w:r w:rsidR="00557B78" w:rsidRPr="00065189">
        <w:rPr>
          <w:rFonts w:ascii="Traditional Arabic" w:hAnsi="Traditional Arabic" w:cs="Traditional Arabic" w:hint="cs"/>
          <w:spacing w:val="-6"/>
          <w:sz w:val="24"/>
          <w:szCs w:val="24"/>
          <w:rtl/>
          <w:lang w:bidi="ar-EG"/>
        </w:rPr>
        <w:t>،</w:t>
      </w:r>
      <w:r w:rsidR="00A65D4A" w:rsidRPr="00065189">
        <w:rPr>
          <w:rFonts w:ascii="Traditional Arabic" w:hAnsi="Traditional Arabic" w:cs="Traditional Arabic" w:hint="cs"/>
          <w:spacing w:val="-6"/>
          <w:sz w:val="24"/>
          <w:szCs w:val="24"/>
          <w:rtl/>
          <w:lang w:bidi="ar-EG"/>
        </w:rPr>
        <w:t>كم</w:t>
      </w:r>
      <w:r w:rsidR="009268EB" w:rsidRPr="00065189">
        <w:rPr>
          <w:rFonts w:ascii="Traditional Arabic" w:hAnsi="Traditional Arabic" w:cs="Traditional Arabic" w:hint="cs"/>
          <w:spacing w:val="-6"/>
          <w:sz w:val="24"/>
          <w:szCs w:val="24"/>
          <w:rtl/>
          <w:lang w:bidi="ar-EG"/>
        </w:rPr>
        <w:t xml:space="preserve">ا </w:t>
      </w:r>
      <w:r w:rsidR="002D2ED0" w:rsidRPr="00065189">
        <w:rPr>
          <w:rFonts w:ascii="Traditional Arabic" w:hAnsi="Traditional Arabic" w:cs="Traditional Arabic" w:hint="cs"/>
          <w:spacing w:val="-6"/>
          <w:sz w:val="24"/>
          <w:szCs w:val="24"/>
          <w:rtl/>
        </w:rPr>
        <w:t>أظهرت نتائج الدراسة أن إشراك المرضى في الرعاية الصحية أدى إلى انخفاض الأذى السريري بنسبة 15%، كما ساهم في رفع معدل الالتزام بالخطة العلاجية، خاصة في الحالات المزمنة والمعقدة. وقد بيّنت النتائج أن المرضى الذين تم إشراكهم في اتخاذ القرار أظهروا مستويات أعلى من الرضا والثقة في النظام الصحي، مما انعكس إيجابيًا على جودة الرعاية المقدمة</w:t>
      </w:r>
      <w:r w:rsidR="002D2ED0" w:rsidRPr="00065189">
        <w:rPr>
          <w:rFonts w:ascii="Traditional Arabic" w:hAnsi="Traditional Arabic" w:cs="Traditional Arabic" w:hint="cs"/>
          <w:spacing w:val="-6"/>
          <w:sz w:val="24"/>
          <w:szCs w:val="24"/>
          <w:lang w:bidi="ar-EG"/>
        </w:rPr>
        <w:t>.</w:t>
      </w:r>
      <w:r w:rsidR="002D2ED0" w:rsidRPr="00065189">
        <w:rPr>
          <w:rFonts w:ascii="Traditional Arabic" w:hAnsi="Traditional Arabic" w:cs="Traditional Arabic" w:hint="cs"/>
          <w:spacing w:val="-6"/>
          <w:sz w:val="24"/>
          <w:szCs w:val="24"/>
          <w:rtl/>
        </w:rPr>
        <w:t>واختتمت الدراسة بتوصيات استراتيجية، أبرزها ضرورة إدراج المرضى في لجان الرقابة والحوكمة داخل المنشآت الصحية، وتطوير أدوات تقييم تجربة المريض بما يتناسب مع السياقات المحلية، إلى جانب تعزيز ثقافة الشراكة بين المريض والفريق الطبي كجزء من السياسات الصحية الوطنية</w:t>
      </w:r>
      <w:r w:rsidR="002D2ED0" w:rsidRPr="00065189">
        <w:rPr>
          <w:rFonts w:ascii="Traditional Arabic" w:hAnsi="Traditional Arabic" w:cs="Traditional Arabic" w:hint="cs"/>
          <w:spacing w:val="-6"/>
          <w:sz w:val="24"/>
          <w:szCs w:val="24"/>
          <w:lang w:bidi="ar-EG"/>
        </w:rPr>
        <w:t>.</w:t>
      </w:r>
    </w:p>
    <w:p w14:paraId="7722ECF8" w14:textId="47A4B82C" w:rsidR="00FA6485" w:rsidRPr="00065189" w:rsidRDefault="00DE0266"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بينما أشارت</w:t>
      </w:r>
      <w:r w:rsidR="00FA6485" w:rsidRPr="00065189">
        <w:rPr>
          <w:rFonts w:ascii="Traditional Arabic" w:hAnsi="Traditional Arabic" w:cs="Traditional Arabic" w:hint="cs"/>
          <w:b/>
          <w:bCs/>
          <w:spacing w:val="-6"/>
          <w:sz w:val="24"/>
          <w:szCs w:val="24"/>
          <w:rtl/>
        </w:rPr>
        <w:t xml:space="preserve"> دراسة وزارة الصحة المصرية (2023)</w:t>
      </w:r>
      <w:r w:rsidR="00FA6485" w:rsidRPr="00065189">
        <w:rPr>
          <w:rFonts w:ascii="Traditional Arabic" w:hAnsi="Traditional Arabic" w:cs="Traditional Arabic" w:hint="cs"/>
          <w:spacing w:val="-6"/>
          <w:sz w:val="24"/>
          <w:szCs w:val="24"/>
          <w:rtl/>
        </w:rPr>
        <w:t xml:space="preserve"> إلى توثيق وتحليل تجربة مستشفى شبين الكوم التعليمي في إنشاء إدارة مستقلة لسلامة المرضى، باعتبارها نموذجًا إداريًا وطنيًا يحتذى به في تعزيز التنظيم المؤسسي لممارسات السلامة داخل المنشآت الصحية. سعت الدراسة إلى تقييم أثر هذا </w:t>
      </w:r>
      <w:r w:rsidR="00FA6485" w:rsidRPr="00065189">
        <w:rPr>
          <w:rFonts w:ascii="Traditional Arabic" w:hAnsi="Traditional Arabic" w:cs="Traditional Arabic" w:hint="cs"/>
          <w:spacing w:val="-6"/>
          <w:sz w:val="24"/>
          <w:szCs w:val="24"/>
          <w:rtl/>
        </w:rPr>
        <w:lastRenderedPageBreak/>
        <w:t>النموذج على تقليل الحوادث السريرية وتحسين مؤشرات الأداء، مع التركيز على آليات الحوكمة الداخلية وربط السلامة بجودة الخدمة</w:t>
      </w:r>
      <w:r w:rsidR="00FA6485"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اعتمدت الدراسة على منهج وصفي تحليلي، واستخدمت استبانتين منفصلتين كأدوات رئيسية لجمع البيانات: الأولى موجهة للموظفين، والثانية للمرضى. تضمنت الاستبانة الخاصة بالموظفين بنودًا تقيس مدى وضوح السياسات الجديدة، فعالية التنسيق بين الأقسام، وسهولة الإبلاغ عن الحوادث، بينما ركزت استبانة المرضى على مستوى الرضا، الإحساس بالأمان، ومدى التفاعل مع الإدارة الجديدة</w:t>
      </w:r>
      <w:r w:rsidR="00DF5CAE" w:rsidRPr="00065189">
        <w:rPr>
          <w:rFonts w:ascii="Traditional Arabic" w:hAnsi="Traditional Arabic" w:cs="Traditional Arabic" w:hint="cs"/>
          <w:spacing w:val="-6"/>
          <w:sz w:val="24"/>
          <w:szCs w:val="24"/>
          <w:rtl/>
        </w:rPr>
        <w:t xml:space="preserve">، </w:t>
      </w:r>
      <w:r w:rsidR="00FA6485" w:rsidRPr="00065189">
        <w:rPr>
          <w:rFonts w:ascii="Traditional Arabic" w:hAnsi="Traditional Arabic" w:cs="Traditional Arabic" w:hint="cs"/>
          <w:spacing w:val="-6"/>
          <w:sz w:val="24"/>
          <w:szCs w:val="24"/>
          <w:rtl/>
        </w:rPr>
        <w:t>مع تحليل إحصائي لقياس التغيرات قبل وبعد تأسيس الإدارة</w:t>
      </w:r>
      <w:r w:rsidR="00DF5CAE"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بلغ حجم العينة 130 مشاركًا، منهم 100 موظف من الكوادر الطبية والإدارية، و30 مريضًا من أقسام مختلفة داخل المستشفى، تم اختيارهم بطريقة قصدية لضمان تمثيل الفئات الأكثر تفاعلًا مع الإدارة الجديدة</w:t>
      </w:r>
      <w:r w:rsidR="00DF5CAE" w:rsidRPr="00065189">
        <w:rPr>
          <w:rFonts w:ascii="Traditional Arabic" w:hAnsi="Traditional Arabic" w:cs="Traditional Arabic" w:hint="cs"/>
          <w:spacing w:val="-6"/>
          <w:sz w:val="24"/>
          <w:szCs w:val="24"/>
          <w:rtl/>
        </w:rPr>
        <w:t>،</w:t>
      </w:r>
      <w:r w:rsidR="00FA6485" w:rsidRPr="00065189">
        <w:rPr>
          <w:rFonts w:ascii="Traditional Arabic" w:hAnsi="Traditional Arabic" w:cs="Traditional Arabic" w:hint="cs"/>
          <w:spacing w:val="-6"/>
          <w:sz w:val="24"/>
          <w:szCs w:val="24"/>
          <w:rtl/>
        </w:rPr>
        <w:t xml:space="preserve"> وقد شملت العينة موظفين من أقسام الجودة، الطوارئ، التمريض، والإدارة العليا، إلى جانب مرضى تلقوا خدمات في أقسام الجراحة والباطنة</w:t>
      </w:r>
      <w:r w:rsidR="00FA6485"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أظهرت نتائج الدراسة انخفاض عدد الحوادث السريرية بنسبة 40% بعد تأسيس إدارة مستقلة لسلامة المرضى، كما لوحظ تحسن في سرعة الاستجابة للحوادث، وزيادة في معدلات الإبلاغ الطوعي، إلى جانب ارتفاع مستوى رضا المرضى عن الإجراءات الوقائية</w:t>
      </w:r>
      <w:r w:rsidR="00DF5CAE" w:rsidRPr="00065189">
        <w:rPr>
          <w:rFonts w:ascii="Traditional Arabic" w:hAnsi="Traditional Arabic" w:cs="Traditional Arabic" w:hint="cs"/>
          <w:spacing w:val="-6"/>
          <w:sz w:val="24"/>
          <w:szCs w:val="24"/>
          <w:rtl/>
        </w:rPr>
        <w:t>،</w:t>
      </w:r>
      <w:r w:rsidR="00FA6485" w:rsidRPr="00065189">
        <w:rPr>
          <w:rFonts w:ascii="Traditional Arabic" w:hAnsi="Traditional Arabic" w:cs="Traditional Arabic" w:hint="cs"/>
          <w:spacing w:val="-6"/>
          <w:sz w:val="24"/>
          <w:szCs w:val="24"/>
          <w:rtl/>
        </w:rPr>
        <w:t xml:space="preserve"> وقد بيّنت الدراسة أن وجود هيكل تنظيمي مخصص للسلامة ساهم في ترسيخ ثقافة مؤسسية داعمة، وتحسين التنسيق بين الفرق الطبية</w:t>
      </w:r>
      <w:r w:rsidR="00FA6485" w:rsidRPr="00065189">
        <w:rPr>
          <w:rFonts w:ascii="Traditional Arabic" w:hAnsi="Traditional Arabic" w:cs="Traditional Arabic" w:hint="cs"/>
          <w:spacing w:val="-6"/>
          <w:sz w:val="24"/>
          <w:szCs w:val="24"/>
          <w:lang w:bidi="ar-EG"/>
        </w:rPr>
        <w:t>.</w:t>
      </w:r>
      <w:r w:rsidR="00FA6485" w:rsidRPr="00065189">
        <w:rPr>
          <w:rFonts w:ascii="Traditional Arabic" w:hAnsi="Traditional Arabic" w:cs="Traditional Arabic" w:hint="cs"/>
          <w:spacing w:val="-6"/>
          <w:sz w:val="24"/>
          <w:szCs w:val="24"/>
          <w:rtl/>
        </w:rPr>
        <w:t>واختتمت الدراسة بتوصيات عملية، أبرزها ضرورة تعميم تجربة إنشاء إدارة مستقلة لسلامة المرضى في جميع المحافظات، وربط مؤشرات الأداء المؤسسي بمعايير السلامة، إلى جانب تعزيز التدريب المستمر للعاملين، وتطوير نظم معلومات داعمة لعمليات الرصد والتحسين</w:t>
      </w:r>
      <w:r w:rsidR="00FA6485" w:rsidRPr="00065189">
        <w:rPr>
          <w:rFonts w:ascii="Traditional Arabic" w:hAnsi="Traditional Arabic" w:cs="Traditional Arabic" w:hint="cs"/>
          <w:spacing w:val="-6"/>
          <w:sz w:val="24"/>
          <w:szCs w:val="24"/>
          <w:lang w:bidi="ar-EG"/>
        </w:rPr>
        <w:t>.</w:t>
      </w:r>
    </w:p>
    <w:p w14:paraId="32483277" w14:textId="47328CFE" w:rsidR="00BE4763" w:rsidRPr="00065189" w:rsidRDefault="0086726F"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 xml:space="preserve">حيث </w:t>
      </w:r>
      <w:r w:rsidR="00BE4763" w:rsidRPr="00065189">
        <w:rPr>
          <w:rFonts w:ascii="Traditional Arabic" w:hAnsi="Traditional Arabic" w:cs="Traditional Arabic" w:hint="cs"/>
          <w:b/>
          <w:bCs/>
          <w:spacing w:val="-6"/>
          <w:sz w:val="24"/>
          <w:szCs w:val="24"/>
          <w:rtl/>
        </w:rPr>
        <w:t>أكدت دراسة القمة الوزارية العالمية لسلامة المرضى (2023)</w:t>
      </w:r>
      <w:r w:rsidR="00BE4763" w:rsidRPr="00065189">
        <w:rPr>
          <w:rFonts w:ascii="Traditional Arabic" w:hAnsi="Traditional Arabic" w:cs="Traditional Arabic" w:hint="cs"/>
          <w:spacing w:val="-6"/>
          <w:sz w:val="24"/>
          <w:szCs w:val="24"/>
          <w:rtl/>
        </w:rPr>
        <w:t xml:space="preserve"> أن السلامة السريرية يجب أن تُعامل كقضية صحية عامة ذات أولوية استراتيجية، وليست مجرد ممارسة داخلية محدودة النطاق. وقد هدفت الدراسة إلى صياغة إطار دولي موحد للممارسات الآمنة، من خلال جمع وتحليل بيانات من 27 دولة أوروبية وآسيوية، بهدف تقييم مدى جاهزية الأنظمة الصحية لاعتماد سياسات وطنية فعالة في مجال السلامة</w:t>
      </w:r>
      <w:r w:rsidR="00BE4763"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اعتمدت الدراسة على منهج مقارن دولي، واستخدمت استبانة معيارية صممتها فرق العمل التابعة للقمة الوزارية، وشملت محاور متعددة تتعلق بوجود استراتيجيات وطنية، آليات الإبلاغ، نظم الحوكمة، والتدريب على السلامة. تم توزيع الاستبانة على ممثلين من وزارات الصحة، هيئات الاعتماد، والمؤسسات الأكاديمية، وتم تحليل البيانات باستخدام أدوات إحصائية وصفية ومقارنة بين الدول المشاركة</w:t>
      </w:r>
      <w:r w:rsidR="00DF5CAE"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شملت العينة ممثلين رسميين من 27 دولة، موزعين بين أوروبا وآسيا، بما في ذلك دول ذات نظم صحية متقدمة وأخرى في مراحل تطوير السياسات الصحية</w:t>
      </w:r>
      <w:r w:rsidR="00DF5CAE" w:rsidRPr="00065189">
        <w:rPr>
          <w:rFonts w:ascii="Traditional Arabic" w:hAnsi="Traditional Arabic" w:cs="Traditional Arabic" w:hint="cs"/>
          <w:spacing w:val="-6"/>
          <w:sz w:val="24"/>
          <w:szCs w:val="24"/>
          <w:rtl/>
        </w:rPr>
        <w:t>،</w:t>
      </w:r>
      <w:r w:rsidR="00BE4763" w:rsidRPr="00065189">
        <w:rPr>
          <w:rFonts w:ascii="Traditional Arabic" w:hAnsi="Traditional Arabic" w:cs="Traditional Arabic" w:hint="cs"/>
          <w:spacing w:val="-6"/>
          <w:sz w:val="24"/>
          <w:szCs w:val="24"/>
          <w:rtl/>
        </w:rPr>
        <w:t xml:space="preserve"> وقد تم اختيار المشاركين من الجهات الحكومية والمؤسسات المعنية بوضع السياسات، لضمان دقة التقييم وارتباطه بالقرارات الاستراتيجية</w:t>
      </w:r>
      <w:r w:rsidR="00BE4763"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أظهرت نتائج الدراسة أن 73% من الدول المشاركة تفتقر إلى استراتيجيات وطنية واضحة ومتكاملة للسلامة، كما كشفت عن تفاوت كبير في تطبيق الممارسات الآمنة، وغياب التنسيق الدولي في تبادل المعرفة والخبرات</w:t>
      </w:r>
      <w:r w:rsidR="00DF5CAE" w:rsidRPr="00065189">
        <w:rPr>
          <w:rFonts w:ascii="Traditional Arabic" w:hAnsi="Traditional Arabic" w:cs="Traditional Arabic" w:hint="cs"/>
          <w:spacing w:val="-6"/>
          <w:sz w:val="24"/>
          <w:szCs w:val="24"/>
          <w:rtl/>
        </w:rPr>
        <w:t>،</w:t>
      </w:r>
      <w:r w:rsidR="00BE4763" w:rsidRPr="00065189">
        <w:rPr>
          <w:rFonts w:ascii="Traditional Arabic" w:hAnsi="Traditional Arabic" w:cs="Traditional Arabic" w:hint="cs"/>
          <w:spacing w:val="-6"/>
          <w:sz w:val="24"/>
          <w:szCs w:val="24"/>
          <w:rtl/>
        </w:rPr>
        <w:t xml:space="preserve"> وقد بيّنت الدراسة أن غياب الأطر الموحدة يعيق بناء ثقافة عالمية للسلامة، ويحد من قدرة الدول على مواجهة التحديات السريرية المشتركة</w:t>
      </w:r>
      <w:r w:rsidR="00DF5CAE" w:rsidRPr="00065189">
        <w:rPr>
          <w:rFonts w:ascii="Traditional Arabic" w:hAnsi="Traditional Arabic" w:cs="Traditional Arabic" w:hint="cs"/>
          <w:spacing w:val="-6"/>
          <w:sz w:val="24"/>
          <w:szCs w:val="24"/>
          <w:rtl/>
          <w:lang w:bidi="ar-EG"/>
        </w:rPr>
        <w:t>،</w:t>
      </w:r>
      <w:r w:rsidR="00BE4763" w:rsidRPr="00065189">
        <w:rPr>
          <w:rFonts w:ascii="Traditional Arabic" w:hAnsi="Traditional Arabic" w:cs="Traditional Arabic" w:hint="cs"/>
          <w:spacing w:val="-6"/>
          <w:sz w:val="24"/>
          <w:szCs w:val="24"/>
          <w:rtl/>
        </w:rPr>
        <w:t xml:space="preserve">واختتمت الدراسة بتوصيات محورية، أبرزها اعتماد </w:t>
      </w:r>
      <w:r w:rsidR="00BE4763" w:rsidRPr="00065189">
        <w:rPr>
          <w:rFonts w:ascii="Traditional Arabic" w:hAnsi="Traditional Arabic" w:cs="Traditional Arabic" w:hint="cs"/>
          <w:spacing w:val="-6"/>
          <w:sz w:val="24"/>
          <w:szCs w:val="24"/>
          <w:lang w:bidi="ar-EG"/>
        </w:rPr>
        <w:t>"</w:t>
      </w:r>
      <w:r w:rsidR="00BE4763" w:rsidRPr="00065189">
        <w:rPr>
          <w:rFonts w:ascii="Traditional Arabic" w:hAnsi="Traditional Arabic" w:cs="Traditional Arabic" w:hint="cs"/>
          <w:spacing w:val="-6"/>
          <w:sz w:val="24"/>
          <w:szCs w:val="24"/>
          <w:rtl/>
        </w:rPr>
        <w:t>ميثاق مونترو</w:t>
      </w:r>
      <w:r w:rsidR="00BE4763" w:rsidRPr="00065189">
        <w:rPr>
          <w:rFonts w:ascii="Traditional Arabic" w:hAnsi="Traditional Arabic" w:cs="Traditional Arabic" w:hint="cs"/>
          <w:spacing w:val="-6"/>
          <w:sz w:val="24"/>
          <w:szCs w:val="24"/>
          <w:lang w:bidi="ar-EG"/>
        </w:rPr>
        <w:t xml:space="preserve">" </w:t>
      </w:r>
      <w:r w:rsidR="00BE4763" w:rsidRPr="00065189">
        <w:rPr>
          <w:rFonts w:ascii="Traditional Arabic" w:hAnsi="Traditional Arabic" w:cs="Traditional Arabic" w:hint="cs"/>
          <w:spacing w:val="-6"/>
          <w:sz w:val="24"/>
          <w:szCs w:val="24"/>
          <w:rtl/>
        </w:rPr>
        <w:t>كوثيقة دولية مرجعية لتعزيز السلامة، وتأسيس شبكات دولية لتبادل المعرفة والخبرات، إلى جانب دعم الدول في بناء استراتيجيات وطنية متكاملة، وتوفير أدوات تقييم معيارية تساعد في قياس التقدم وتحديد الفجوات</w:t>
      </w:r>
      <w:r w:rsidR="00BE4763" w:rsidRPr="00065189">
        <w:rPr>
          <w:rFonts w:ascii="Traditional Arabic" w:hAnsi="Traditional Arabic" w:cs="Traditional Arabic" w:hint="cs"/>
          <w:spacing w:val="-6"/>
          <w:sz w:val="24"/>
          <w:szCs w:val="24"/>
          <w:lang w:bidi="ar-EG"/>
        </w:rPr>
        <w:t>.</w:t>
      </w:r>
    </w:p>
    <w:p w14:paraId="3CD90AA7" w14:textId="7780FDA9" w:rsidR="00247B2B" w:rsidRPr="00065189" w:rsidRDefault="00247B2B"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كما توصلت دراسة</w:t>
      </w:r>
      <w:r w:rsidRPr="00065189">
        <w:rPr>
          <w:rFonts w:ascii="Traditional Arabic" w:hAnsi="Traditional Arabic" w:cs="Traditional Arabic" w:hint="cs"/>
          <w:b/>
          <w:bCs/>
          <w:spacing w:val="-6"/>
          <w:sz w:val="24"/>
          <w:szCs w:val="24"/>
        </w:rPr>
        <w:t xml:space="preserve"> HealthySimulation (2024)</w:t>
      </w:r>
      <w:r w:rsidRPr="00065189">
        <w:rPr>
          <w:rFonts w:ascii="Traditional Arabic" w:hAnsi="Traditional Arabic" w:cs="Traditional Arabic" w:hint="cs"/>
          <w:spacing w:val="-6"/>
          <w:sz w:val="24"/>
          <w:szCs w:val="24"/>
        </w:rPr>
        <w:t xml:space="preserve"> </w:t>
      </w:r>
      <w:r w:rsidRPr="00065189">
        <w:rPr>
          <w:rFonts w:ascii="Traditional Arabic" w:hAnsi="Traditional Arabic" w:cs="Traditional Arabic" w:hint="cs"/>
          <w:spacing w:val="-6"/>
          <w:sz w:val="24"/>
          <w:szCs w:val="24"/>
          <w:rtl/>
        </w:rPr>
        <w:t xml:space="preserve">إلى الدور الحيوي الذي تلعبه تقنيات المحاكاة في تحسين جودة التدريب التمريضي، خصوصًا في البيئات التعليمية المستمرة. وقد أجريت الدراسة داخل مركز التعليم المستمر في مدينة الملك عبدالعزيز الطبية بالرياض، وهدفت إلى </w:t>
      </w:r>
      <w:r w:rsidRPr="00065189">
        <w:rPr>
          <w:rFonts w:ascii="Traditional Arabic" w:hAnsi="Traditional Arabic" w:cs="Traditional Arabic" w:hint="cs"/>
          <w:spacing w:val="-6"/>
          <w:sz w:val="24"/>
          <w:szCs w:val="24"/>
          <w:rtl/>
        </w:rPr>
        <w:lastRenderedPageBreak/>
        <w:t>تقييم أثر استخدام المحاكاة السريرية على أداء الممرضين في سياق السلامة المهنية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واعتمدت الدراسة على منهج شبه تجريبي، حيث تم تقسيم العينة إلى مجموعتين: مجموعة خضعت لجلسات محاكاة سريرية مكثفة، وأخرى تلقت تدريبًا تقليديًا. بلغ حجم العينة 60 متدربًا من الكوادر التمريضية، تم اختيارهم من برامج التطوير المهني المستمر، وتنوعت خلفياتهم بين حديثي التخرج والممارسين ذوي الخبرة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واستخدمت الدراسة أدوات تقييم معيارية لقياس الأداء في اختبارات السلامة السريرية، شملت سيناريوهات محاكاة واقعية تحاكي مواقف حرجة مثل التعامل مع الأخطاء الدوائية، منع العدوى، والتواصل الفعّال مع الفريق الطبي</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تم تحليل النتائج باستخدام مؤشرات الأداء الكمي، ومقارنة نسب التحسن بين المجموعتين</w:t>
      </w:r>
      <w:r w:rsidR="00AB0D32"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وأظهرت النتائج أن المتدربين الذين خضعوا لجلسات المحاكاة سجلوا نتائج أفضل بنسبة 46% في اختبارات السلامة مقارنة بالمجموعة الضابطة، مما يدل على فعالية المحاكاة في تعزيز المهارات السريرية دون تعريض المرضى للخطر. كما لاحظ الباحثون تحسنًا في سرعة الاستجابة، دقة اتخاذ القرار، وثقة المتدربين في التعامل مع الحالات المعقدة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وأوصت الدراسة بضرورة تضمين المحاكاة السريرية كعنصر أساسي في برامج الاعتماد التمريضي، والتوسع في استخدامها ضمن التدريب الدوري للممارسين الصحيين، لما لها من أثر مباشر في تقليل الأخطاء وتحسين جودة الرعاية</w:t>
      </w:r>
      <w:r w:rsidRPr="00065189">
        <w:rPr>
          <w:rFonts w:ascii="Traditional Arabic" w:hAnsi="Traditional Arabic" w:cs="Traditional Arabic" w:hint="cs"/>
          <w:spacing w:val="-6"/>
          <w:sz w:val="24"/>
          <w:szCs w:val="24"/>
        </w:rPr>
        <w:t>.</w:t>
      </w:r>
    </w:p>
    <w:p w14:paraId="33ADD4FA" w14:textId="7B4921B3" w:rsidR="00F44C52" w:rsidRPr="00065189" w:rsidRDefault="00B552F4" w:rsidP="00065189">
      <w:pPr>
        <w:bidi/>
        <w:spacing w:after="200" w:line="360" w:lineRule="auto"/>
        <w:ind w:firstLine="720"/>
        <w:jc w:val="both"/>
        <w:rPr>
          <w:rFonts w:ascii="Traditional Arabic" w:hAnsi="Traditional Arabic" w:cs="Traditional Arabic"/>
          <w:spacing w:val="-6"/>
          <w:sz w:val="24"/>
          <w:szCs w:val="24"/>
          <w:rtl/>
          <w:lang w:bidi="ar-EG"/>
        </w:rPr>
      </w:pPr>
      <w:r w:rsidRPr="00065189">
        <w:rPr>
          <w:rFonts w:ascii="Traditional Arabic" w:hAnsi="Traditional Arabic" w:cs="Traditional Arabic" w:hint="cs"/>
          <w:b/>
          <w:bCs/>
          <w:spacing w:val="-6"/>
          <w:sz w:val="24"/>
          <w:szCs w:val="24"/>
          <w:rtl/>
          <w:lang w:bidi="ar-EG"/>
        </w:rPr>
        <w:t>و</w:t>
      </w:r>
      <w:r w:rsidRPr="00065189">
        <w:rPr>
          <w:rFonts w:ascii="Traditional Arabic" w:hAnsi="Traditional Arabic" w:cs="Traditional Arabic" w:hint="cs"/>
          <w:b/>
          <w:bCs/>
          <w:spacing w:val="-6"/>
          <w:sz w:val="24"/>
          <w:szCs w:val="24"/>
          <w:rtl/>
        </w:rPr>
        <w:t>هدفت دراسة منظمة الصحة العالمية (2024)</w:t>
      </w:r>
      <w:r w:rsidRPr="00065189">
        <w:rPr>
          <w:rFonts w:ascii="Traditional Arabic" w:hAnsi="Traditional Arabic" w:cs="Traditional Arabic" w:hint="cs"/>
          <w:spacing w:val="-6"/>
          <w:sz w:val="24"/>
          <w:szCs w:val="24"/>
          <w:rtl/>
        </w:rPr>
        <w:t xml:space="preserve"> إلى إصدار تقرير عالمي شامل يرصد جهود الدول في تعزيز سلامة المرضى، وذلك ضمن إطار دعم السياسات الصحية المستندة إلى البيانات. وقد سعت الدراسة إلى إنشاء قاعدة بيانات دولية لرصد التقدم المحقق، وتحديد الفجوات المنهجية والتنفيذية في أنظمة السلامة، مع التركيز على دعم الدول منخفضة الموارد</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وا</w:t>
      </w:r>
      <w:r w:rsidRPr="00065189">
        <w:rPr>
          <w:rFonts w:ascii="Traditional Arabic" w:hAnsi="Traditional Arabic" w:cs="Traditional Arabic" w:hint="cs"/>
          <w:spacing w:val="-6"/>
          <w:sz w:val="24"/>
          <w:szCs w:val="24"/>
          <w:rtl/>
        </w:rPr>
        <w:t>عتمدت الدراسة على منهج وصفي تحليلي، وجمعت بياناتها من 102 دولة تمثل مختلف الأقاليم الجغرافية والدخل الاقتصادي، بما في ذلك دول ذات نظم صحية متقدمة وأخرى في مراحل بناء البنية التحتية للسلامة. وقد تم جمع البيانات من خلال استبيانات معيارية وتقارير وطنية رسمية، إضافة إلى مقابلات مع ممثلين من وزارات الصحة وهيئات الاعتماد</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استخدمت الدراسة أدوات تقييم متعددة، شملت مؤشرات وجود أنظمة الإبلاغ عن الحوادث، أهداف الحد من العدوى، برامج التدريب، ونظم التحليل الجذري للأسباب. كما تم تحليل البيانات باستخدام تقنيات المقارنة المعيارية، وتصنيف الدول حسب مستوى التقدم في تنفيذ استراتيجيات السلامة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النتائج أن 36% فقط من الدول تمتلك أنظمة فعالة للإبلاغ عن الحوادث السريرية، بينما وضعت 31% أهدافًا وطنية واضحة للحد من العدوى المرتبطة بالرعاية الصحية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كشفت الدراسة عن تفاوت كبير في قدرة الدول على تطبيق أدوات التحليل الجذري، خاصة في البيئات منخفضة الموارد، مما يعيق التعلم من الأخطاء وتحسين الممارسات</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وقد أوصى التقرير بضرورة دعم الدول منخفضة الموارد من خلال بناء القدرات، وتوفير أدوات تدريب معيارية لتحليل الأسباب الجذرية، إلى جانب تعزيز التعاون الدولي في تبادل البيانات والخبرات. كما شدد على أهمية إدماج مؤشرات السلامة في الخطط الوطنية، وتطوير آليات رقابية تضمن استدامة التقدم</w:t>
      </w:r>
      <w:r w:rsidRPr="00065189">
        <w:rPr>
          <w:rFonts w:ascii="Traditional Arabic" w:hAnsi="Traditional Arabic" w:cs="Traditional Arabic" w:hint="cs"/>
          <w:spacing w:val="-6"/>
          <w:sz w:val="24"/>
          <w:szCs w:val="24"/>
          <w:lang w:bidi="ar-EG"/>
        </w:rPr>
        <w:t>.</w:t>
      </w:r>
    </w:p>
    <w:p w14:paraId="441E039D" w14:textId="48362B25" w:rsidR="00F44C52" w:rsidRDefault="00F44C52"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سلطت دراسة الهيئة السعودية للتخصصات الصحية (2025) الضوء على أهمية دمج مفاهيم السلامة المهنية في مناهج التعليم الصحي</w:t>
      </w:r>
      <w:r w:rsidRPr="00065189">
        <w:rPr>
          <w:rFonts w:ascii="Traditional Arabic" w:hAnsi="Traditional Arabic" w:cs="Traditional Arabic" w:hint="cs"/>
          <w:spacing w:val="-6"/>
          <w:sz w:val="24"/>
          <w:szCs w:val="24"/>
          <w:rtl/>
        </w:rPr>
        <w:t>، باعتبارها خطوة استراتيجية نحو بناء ثقافة وقائية مستدامة تبدأ من المراحل الأكاديمية الأولى</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هدفت الدراسة إلى تقييم أثر إدخال محاور السلامة ضمن المناهج الدراسية في ثلاث كليات صحية موزعة بين الرياض، جدة، والدمام</w:t>
      </w:r>
      <w:r w:rsidR="00AB0D32"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 xml:space="preserve">اعتمدت الدراسة على منهج شبه تجريبي، حيث تم تطبيق البرنامج التدريبي على عينة مكونة من 220 طالبًا وطالبة من تخصصات طبية وتمريضية، وتم قياس مستوى المعرفة والسلوكيات الوقائية قبل وبعد إدخال </w:t>
      </w:r>
      <w:r w:rsidRPr="00065189">
        <w:rPr>
          <w:rFonts w:ascii="Traditional Arabic" w:hAnsi="Traditional Arabic" w:cs="Traditional Arabic" w:hint="cs"/>
          <w:spacing w:val="-6"/>
          <w:sz w:val="24"/>
          <w:szCs w:val="24"/>
          <w:rtl/>
        </w:rPr>
        <w:lastRenderedPageBreak/>
        <w:t>المحاور التدريبية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شملت أدوات الدراسة استبيانات معيارية، اختبارات أداء، وملاحظات ميدانية داخل المختبرات والمحاكاة السريرية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ركزت الدراسة على ترسيخ السلوكيات الوقائية، مثل الالتزام بإجراءات مكافحة العدوى، التعامل الآمن مع الأدوات الطبية، والتواصل الفعّال في بيئة الرعاية. كما تم تطوير دليل تدريبي وطني للتعليم الآمن، يتضمن وحدات تعليمية، سيناريوهات محاكاة، وأدوات تقييم معيارية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النتائج تحسنًا بنسبة 53% في تطبيق إجراءات السلامة بين الطلاب بعد إدخال المحاور التدريبية، كما لوحظ ارتفاع في مستوى الوعي بالمخاطر السريرية، وزيادة الالتزام بالإجراءات الوقائية داخل البيئات التعليمية. وقد بيّنت الدراسة أن دمج السلامة في التعليم لا يقتصر على المعرفة النظرية، بل يسهم في بناء ممارسات مهنية راسخة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وأوصت الدراسة بتأسيس مراكز بحثية متخصصة في التعليم الآمن، وتعميم الدليل الوطني على جميع المؤسسات التعليمية الصحية، إلى جانب تطوير سياسات اعتماد أكاديمي تضمن إدماج السلامة كعنصر أساسي في التقييم والتخرج</w:t>
      </w:r>
      <w:r w:rsidRPr="00065189">
        <w:rPr>
          <w:rFonts w:ascii="Traditional Arabic" w:hAnsi="Traditional Arabic" w:cs="Traditional Arabic" w:hint="cs"/>
          <w:spacing w:val="-6"/>
          <w:sz w:val="24"/>
          <w:szCs w:val="24"/>
          <w:lang w:bidi="ar-EG"/>
        </w:rPr>
        <w:t>.</w:t>
      </w:r>
    </w:p>
    <w:p w14:paraId="3E1606F4"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C37277C"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B3C862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E7E2F0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76859F3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A38F44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C84A7A0"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313E9774"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78A3E2F8"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3F6233FB"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90AB228"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8FBB1E2"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18E08040" w14:textId="77777777" w:rsidR="00396DF7" w:rsidRPr="00065189" w:rsidRDefault="00396DF7" w:rsidP="00396DF7">
      <w:pPr>
        <w:bidi/>
        <w:spacing w:after="200" w:line="360" w:lineRule="auto"/>
        <w:ind w:firstLine="720"/>
        <w:jc w:val="both"/>
        <w:rPr>
          <w:rFonts w:ascii="Traditional Arabic" w:hAnsi="Traditional Arabic" w:cs="Traditional Arabic"/>
          <w:spacing w:val="-6"/>
          <w:sz w:val="24"/>
          <w:szCs w:val="24"/>
          <w:rtl/>
          <w:lang w:bidi="ar-EG"/>
        </w:rPr>
      </w:pPr>
    </w:p>
    <w:p w14:paraId="360B5E53" w14:textId="77777777" w:rsidR="00396DF7" w:rsidRDefault="00396DF7" w:rsidP="004D510A">
      <w:pPr>
        <w:bidi/>
        <w:spacing w:after="200" w:line="276" w:lineRule="auto"/>
        <w:jc w:val="center"/>
        <w:rPr>
          <w:rFonts w:ascii="Traditional Arabic" w:hAnsi="Traditional Arabic" w:cs="Traditional Arabic"/>
          <w:b/>
          <w:bCs/>
          <w:spacing w:val="-6"/>
          <w:sz w:val="24"/>
          <w:szCs w:val="24"/>
          <w:rtl/>
          <w:lang w:bidi="ar-EG"/>
        </w:rPr>
      </w:pPr>
    </w:p>
    <w:p w14:paraId="7BD66473" w14:textId="2BFA2287" w:rsidR="004D510A" w:rsidRPr="00396DF7" w:rsidRDefault="004D510A" w:rsidP="00396DF7">
      <w:pPr>
        <w:bidi/>
        <w:spacing w:after="200" w:line="276" w:lineRule="auto"/>
        <w:jc w:val="center"/>
        <w:rPr>
          <w:rFonts w:ascii="Traditional Arabic" w:hAnsi="Traditional Arabic" w:cs="Traditional Arabic"/>
          <w:b/>
          <w:bCs/>
          <w:spacing w:val="-6"/>
          <w:sz w:val="24"/>
          <w:szCs w:val="24"/>
          <w:rtl/>
          <w:lang w:bidi="ar-EG"/>
        </w:rPr>
      </w:pPr>
      <w:r w:rsidRPr="00396DF7">
        <w:rPr>
          <w:rFonts w:ascii="Traditional Arabic" w:hAnsi="Traditional Arabic" w:cs="Traditional Arabic" w:hint="cs"/>
          <w:b/>
          <w:bCs/>
          <w:spacing w:val="-6"/>
          <w:sz w:val="24"/>
          <w:szCs w:val="24"/>
          <w:rtl/>
          <w:lang w:bidi="ar-EG"/>
        </w:rPr>
        <w:lastRenderedPageBreak/>
        <w:t xml:space="preserve">جدول ( </w:t>
      </w:r>
      <w:r w:rsidR="00AB0D32" w:rsidRPr="00396DF7">
        <w:rPr>
          <w:rFonts w:ascii="Traditional Arabic" w:hAnsi="Traditional Arabic" w:cs="Traditional Arabic" w:hint="cs"/>
          <w:b/>
          <w:bCs/>
          <w:spacing w:val="-6"/>
          <w:sz w:val="24"/>
          <w:szCs w:val="24"/>
          <w:rtl/>
          <w:lang w:bidi="ar-EG"/>
        </w:rPr>
        <w:t>7</w:t>
      </w:r>
      <w:r w:rsidRPr="00396DF7">
        <w:rPr>
          <w:rFonts w:ascii="Traditional Arabic" w:hAnsi="Traditional Arabic" w:cs="Traditional Arabic" w:hint="cs"/>
          <w:b/>
          <w:bCs/>
          <w:spacing w:val="-6"/>
          <w:sz w:val="24"/>
          <w:szCs w:val="24"/>
          <w:rtl/>
          <w:lang w:bidi="ar-EG"/>
        </w:rPr>
        <w:t xml:space="preserve"> ) دراسات سابقة حول سلامة المرضى</w:t>
      </w:r>
      <w:r w:rsidR="00AB0D32" w:rsidRPr="00396DF7">
        <w:rPr>
          <w:rFonts w:ascii="Traditional Arabic" w:hAnsi="Traditional Arabic" w:cs="Traditional Arabic" w:hint="cs"/>
          <w:b/>
          <w:bCs/>
          <w:spacing w:val="-6"/>
          <w:sz w:val="24"/>
          <w:szCs w:val="24"/>
          <w:rtl/>
          <w:lang w:bidi="ar-EG"/>
        </w:rPr>
        <w:t>.</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27"/>
        <w:gridCol w:w="2015"/>
        <w:gridCol w:w="2019"/>
        <w:gridCol w:w="2015"/>
      </w:tblGrid>
      <w:tr w:rsidR="009B7D3B" w:rsidRPr="00C237AD" w14:paraId="78493900" w14:textId="77777777" w:rsidTr="00396DF7">
        <w:tc>
          <w:tcPr>
            <w:tcW w:w="2074" w:type="dxa"/>
            <w:shd w:val="clear" w:color="auto" w:fill="E5DFEC" w:themeFill="accent4" w:themeFillTint="33"/>
          </w:tcPr>
          <w:p w14:paraId="0F80444D" w14:textId="455CB137"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bookmarkStart w:id="8" w:name="_Hlk208973844"/>
            <w:r w:rsidRPr="00C237AD">
              <w:rPr>
                <w:rFonts w:ascii="Traditional Arabic" w:hAnsi="Traditional Arabic" w:cs="Traditional Arabic" w:hint="cs"/>
                <w:b/>
                <w:bCs/>
                <w:spacing w:val="-6"/>
                <w:sz w:val="24"/>
                <w:szCs w:val="24"/>
                <w:rtl/>
                <w:lang w:bidi="ar-EG"/>
              </w:rPr>
              <w:t>الدراسة</w:t>
            </w:r>
          </w:p>
        </w:tc>
        <w:tc>
          <w:tcPr>
            <w:tcW w:w="2074" w:type="dxa"/>
            <w:shd w:val="clear" w:color="auto" w:fill="E5DFEC" w:themeFill="accent4" w:themeFillTint="33"/>
          </w:tcPr>
          <w:p w14:paraId="46C8EADB" w14:textId="63EBBDED"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الهدف</w:t>
            </w:r>
          </w:p>
        </w:tc>
        <w:tc>
          <w:tcPr>
            <w:tcW w:w="2074" w:type="dxa"/>
            <w:shd w:val="clear" w:color="auto" w:fill="E5DFEC" w:themeFill="accent4" w:themeFillTint="33"/>
          </w:tcPr>
          <w:p w14:paraId="24E6A5D5" w14:textId="29B44D79"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النتيجة</w:t>
            </w:r>
          </w:p>
        </w:tc>
        <w:tc>
          <w:tcPr>
            <w:tcW w:w="2074" w:type="dxa"/>
            <w:shd w:val="clear" w:color="auto" w:fill="E5DFEC" w:themeFill="accent4" w:themeFillTint="33"/>
          </w:tcPr>
          <w:p w14:paraId="3F74A0CA" w14:textId="31697495"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الفرق بينها وبين دراستي</w:t>
            </w:r>
          </w:p>
        </w:tc>
      </w:tr>
      <w:tr w:rsidR="009B7D3B" w:rsidRPr="00C237AD" w14:paraId="7F7BF7BD" w14:textId="77777777" w:rsidTr="000F5925">
        <w:tc>
          <w:tcPr>
            <w:tcW w:w="2074" w:type="dxa"/>
          </w:tcPr>
          <w:p w14:paraId="2C1CAA1D" w14:textId="27306AE3"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ريم وحسن</w:t>
            </w:r>
            <w:r w:rsidR="00C237AD">
              <w:rPr>
                <w:rFonts w:ascii="Traditional Arabic" w:hAnsi="Traditional Arabic" w:cs="Traditional Arabic" w:hint="cs"/>
                <w:b/>
                <w:bCs/>
                <w:spacing w:val="-6"/>
                <w:sz w:val="24"/>
                <w:szCs w:val="24"/>
                <w:rtl/>
              </w:rPr>
              <w:t xml:space="preserve"> </w:t>
            </w:r>
            <w:r w:rsidRPr="00C237AD">
              <w:rPr>
                <w:rFonts w:ascii="Traditional Arabic" w:hAnsi="Traditional Arabic" w:cs="Traditional Arabic" w:hint="cs"/>
                <w:b/>
                <w:bCs/>
                <w:spacing w:val="-6"/>
                <w:sz w:val="24"/>
                <w:szCs w:val="24"/>
                <w:lang w:bidi="ar-EG"/>
              </w:rPr>
              <w:t xml:space="preserve"> (2020)</w:t>
            </w:r>
          </w:p>
        </w:tc>
        <w:tc>
          <w:tcPr>
            <w:tcW w:w="2074" w:type="dxa"/>
          </w:tcPr>
          <w:p w14:paraId="62B6F0C7" w14:textId="7BB400C4"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تحليل التحديات التنظيمية واللوجستية التي تواجه سلامة المرضى خلال جائحة كوفيد-19</w:t>
            </w:r>
            <w:r w:rsidRPr="00C237AD">
              <w:rPr>
                <w:rFonts w:ascii="Traditional Arabic" w:hAnsi="Traditional Arabic" w:cs="Traditional Arabic" w:hint="cs"/>
                <w:b/>
                <w:bCs/>
                <w:spacing w:val="-6"/>
                <w:sz w:val="24"/>
                <w:szCs w:val="24"/>
                <w:lang w:bidi="ar-EG"/>
              </w:rPr>
              <w:t>.</w:t>
            </w:r>
          </w:p>
        </w:tc>
        <w:tc>
          <w:tcPr>
            <w:tcW w:w="2074" w:type="dxa"/>
          </w:tcPr>
          <w:p w14:paraId="1F3FDEC2" w14:textId="45EE8E53"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نقص معدات الحماية وضعف التنسيق بين الفرق الطبية رفع معدل الأخطاء السريرية بنسبة 35</w:t>
            </w:r>
            <w:r w:rsidRPr="00C237AD">
              <w:rPr>
                <w:rFonts w:ascii="Traditional Arabic" w:hAnsi="Traditional Arabic" w:cs="Traditional Arabic" w:hint="cs"/>
                <w:b/>
                <w:bCs/>
                <w:spacing w:val="-6"/>
                <w:sz w:val="24"/>
                <w:szCs w:val="24"/>
                <w:lang w:bidi="ar-EG"/>
              </w:rPr>
              <w:t>%.</w:t>
            </w:r>
          </w:p>
        </w:tc>
        <w:tc>
          <w:tcPr>
            <w:tcW w:w="2074" w:type="dxa"/>
          </w:tcPr>
          <w:p w14:paraId="7051717F" w14:textId="1C8C7159"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كعامل وسيط في إدارة المخاطر، بينما هذه الدراسة تناولت تحديات طارئة في سياق وبائي</w:t>
            </w:r>
            <w:r w:rsidRPr="00C237AD">
              <w:rPr>
                <w:rFonts w:ascii="Traditional Arabic" w:hAnsi="Traditional Arabic" w:cs="Traditional Arabic" w:hint="cs"/>
                <w:b/>
                <w:bCs/>
                <w:spacing w:val="-6"/>
                <w:sz w:val="24"/>
                <w:szCs w:val="24"/>
                <w:lang w:bidi="ar-EG"/>
              </w:rPr>
              <w:t>.</w:t>
            </w:r>
          </w:p>
        </w:tc>
      </w:tr>
      <w:tr w:rsidR="009B7D3B" w:rsidRPr="00C237AD" w14:paraId="688CC5B5" w14:textId="77777777" w:rsidTr="000F5925">
        <w:tc>
          <w:tcPr>
            <w:tcW w:w="2074" w:type="dxa"/>
          </w:tcPr>
          <w:p w14:paraId="51DC0F5C" w14:textId="6DDA74BD"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آلاء أحمد ومحمد عفيفي</w:t>
            </w:r>
            <w:r w:rsidRPr="00C237AD">
              <w:rPr>
                <w:rFonts w:ascii="Traditional Arabic" w:hAnsi="Traditional Arabic" w:cs="Traditional Arabic" w:hint="cs"/>
                <w:b/>
                <w:bCs/>
                <w:spacing w:val="-6"/>
                <w:sz w:val="24"/>
                <w:szCs w:val="24"/>
                <w:lang w:bidi="ar-EG"/>
              </w:rPr>
              <w:t xml:space="preserve"> (2021)</w:t>
            </w:r>
          </w:p>
        </w:tc>
        <w:tc>
          <w:tcPr>
            <w:tcW w:w="2074" w:type="dxa"/>
          </w:tcPr>
          <w:p w14:paraId="02462673" w14:textId="6E777353"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تطبيق نظم إدارة المخاطر على جودة الرعاية وسلامة المرضى في مستشفيات جدة</w:t>
            </w:r>
            <w:r w:rsidRPr="00C237AD">
              <w:rPr>
                <w:rFonts w:ascii="Traditional Arabic" w:hAnsi="Traditional Arabic" w:cs="Traditional Arabic" w:hint="cs"/>
                <w:b/>
                <w:bCs/>
                <w:spacing w:val="-6"/>
                <w:sz w:val="24"/>
                <w:szCs w:val="24"/>
                <w:lang w:bidi="ar-EG"/>
              </w:rPr>
              <w:t>.</w:t>
            </w:r>
          </w:p>
        </w:tc>
        <w:tc>
          <w:tcPr>
            <w:tcW w:w="2074" w:type="dxa"/>
          </w:tcPr>
          <w:p w14:paraId="583DBE13" w14:textId="46D5642D"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تطبيق النظم حسّن جودة الرعاية بنسبة 60% والسلامة السريرية بنسبة 50</w:t>
            </w:r>
            <w:r w:rsidRPr="00C237AD">
              <w:rPr>
                <w:rFonts w:ascii="Traditional Arabic" w:hAnsi="Traditional Arabic" w:cs="Traditional Arabic" w:hint="cs"/>
                <w:b/>
                <w:bCs/>
                <w:spacing w:val="-6"/>
                <w:sz w:val="24"/>
                <w:szCs w:val="24"/>
                <w:lang w:bidi="ar-EG"/>
              </w:rPr>
              <w:t>%.</w:t>
            </w:r>
          </w:p>
        </w:tc>
        <w:tc>
          <w:tcPr>
            <w:tcW w:w="2074" w:type="dxa"/>
          </w:tcPr>
          <w:p w14:paraId="53B1D6DD" w14:textId="7F062D61"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w:t>
            </w:r>
            <w:r w:rsidR="00ED053A" w:rsidRPr="00C237AD">
              <w:rPr>
                <w:rFonts w:ascii="Traditional Arabic" w:hAnsi="Traditional Arabic" w:cs="Traditional Arabic" w:hint="cs"/>
                <w:b/>
                <w:bCs/>
                <w:spacing w:val="-6"/>
                <w:sz w:val="24"/>
                <w:szCs w:val="24"/>
                <w:rtl/>
              </w:rPr>
              <w:t>ي</w:t>
            </w:r>
            <w:r w:rsidRPr="00C237AD">
              <w:rPr>
                <w:rFonts w:ascii="Traditional Arabic" w:hAnsi="Traditional Arabic" w:cs="Traditional Arabic" w:hint="cs"/>
                <w:b/>
                <w:bCs/>
                <w:spacing w:val="-6"/>
                <w:sz w:val="24"/>
                <w:szCs w:val="24"/>
                <w:rtl/>
              </w:rPr>
              <w:t xml:space="preserve"> تضيف البُعد القيادي التحويلي، بينما هذه الدراسة ركزت على الأثر المباشر للإدارة الوقائية</w:t>
            </w:r>
            <w:r w:rsidRPr="00C237AD">
              <w:rPr>
                <w:rFonts w:ascii="Traditional Arabic" w:hAnsi="Traditional Arabic" w:cs="Traditional Arabic" w:hint="cs"/>
                <w:b/>
                <w:bCs/>
                <w:spacing w:val="-6"/>
                <w:sz w:val="24"/>
                <w:szCs w:val="24"/>
                <w:lang w:bidi="ar-EG"/>
              </w:rPr>
              <w:t>.</w:t>
            </w:r>
          </w:p>
        </w:tc>
      </w:tr>
      <w:tr w:rsidR="009B7D3B" w:rsidRPr="00C237AD" w14:paraId="287CD710" w14:textId="77777777" w:rsidTr="000F5925">
        <w:tc>
          <w:tcPr>
            <w:tcW w:w="2074" w:type="dxa"/>
          </w:tcPr>
          <w:p w14:paraId="7B89A065" w14:textId="28EFCDA5"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نعيمة القصير</w:t>
            </w:r>
            <w:r w:rsidRPr="00C237AD">
              <w:rPr>
                <w:rFonts w:ascii="Traditional Arabic" w:hAnsi="Traditional Arabic" w:cs="Traditional Arabic" w:hint="cs"/>
                <w:b/>
                <w:bCs/>
                <w:spacing w:val="-6"/>
                <w:sz w:val="24"/>
                <w:szCs w:val="24"/>
                <w:lang w:bidi="ar-EG"/>
              </w:rPr>
              <w:t xml:space="preserve"> (2022)</w:t>
            </w:r>
          </w:p>
        </w:tc>
        <w:tc>
          <w:tcPr>
            <w:tcW w:w="2074" w:type="dxa"/>
          </w:tcPr>
          <w:p w14:paraId="69DB3541" w14:textId="4902F2C0"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إشراك المرضى في السياسات الصحية على جودة الرعاية وتقليل الأخطاء السريرية</w:t>
            </w:r>
            <w:r w:rsidRPr="00C237AD">
              <w:rPr>
                <w:rFonts w:ascii="Traditional Arabic" w:hAnsi="Traditional Arabic" w:cs="Traditional Arabic" w:hint="cs"/>
                <w:b/>
                <w:bCs/>
                <w:spacing w:val="-6"/>
                <w:sz w:val="24"/>
                <w:szCs w:val="24"/>
                <w:lang w:bidi="ar-EG"/>
              </w:rPr>
              <w:t>.</w:t>
            </w:r>
          </w:p>
        </w:tc>
        <w:tc>
          <w:tcPr>
            <w:tcW w:w="2074" w:type="dxa"/>
          </w:tcPr>
          <w:p w14:paraId="1996F47A" w14:textId="264B3B9E"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المشاركة خفّضت الأخطاء بنسبة 17% وزادت رضا المرضى والتزام الطاقم بالإجراءات الوقائية</w:t>
            </w:r>
            <w:r w:rsidRPr="00C237AD">
              <w:rPr>
                <w:rFonts w:ascii="Traditional Arabic" w:hAnsi="Traditional Arabic" w:cs="Traditional Arabic" w:hint="cs"/>
                <w:b/>
                <w:bCs/>
                <w:spacing w:val="-6"/>
                <w:sz w:val="24"/>
                <w:szCs w:val="24"/>
                <w:lang w:bidi="ar-EG"/>
              </w:rPr>
              <w:t>.</w:t>
            </w:r>
          </w:p>
        </w:tc>
        <w:tc>
          <w:tcPr>
            <w:tcW w:w="2074" w:type="dxa"/>
          </w:tcPr>
          <w:p w14:paraId="4F2DBB72" w14:textId="2B71E00E"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الفريق الطبي، بينما هذه الدراسة ركزت على دور المرضى كشركاء في السلامة</w:t>
            </w:r>
            <w:r w:rsidRPr="00C237AD">
              <w:rPr>
                <w:rFonts w:ascii="Traditional Arabic" w:hAnsi="Traditional Arabic" w:cs="Traditional Arabic" w:hint="cs"/>
                <w:b/>
                <w:bCs/>
                <w:spacing w:val="-6"/>
                <w:sz w:val="24"/>
                <w:szCs w:val="24"/>
                <w:lang w:bidi="ar-EG"/>
              </w:rPr>
              <w:t>.</w:t>
            </w:r>
          </w:p>
        </w:tc>
      </w:tr>
      <w:tr w:rsidR="009B7D3B" w:rsidRPr="00C237AD" w14:paraId="77025C29" w14:textId="77777777" w:rsidTr="000F5925">
        <w:tc>
          <w:tcPr>
            <w:tcW w:w="2074" w:type="dxa"/>
          </w:tcPr>
          <w:p w14:paraId="585341B3" w14:textId="66B0E5E0"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المركز السعودي لسلامة المرضى</w:t>
            </w:r>
            <w:r w:rsidRPr="00C237AD">
              <w:rPr>
                <w:rFonts w:ascii="Traditional Arabic" w:hAnsi="Traditional Arabic" w:cs="Traditional Arabic" w:hint="cs"/>
                <w:b/>
                <w:bCs/>
                <w:spacing w:val="-6"/>
                <w:sz w:val="24"/>
                <w:szCs w:val="24"/>
                <w:lang w:bidi="ar-EG"/>
              </w:rPr>
              <w:t xml:space="preserve"> (2022)</w:t>
            </w:r>
          </w:p>
        </w:tc>
        <w:tc>
          <w:tcPr>
            <w:tcW w:w="2074" w:type="dxa"/>
          </w:tcPr>
          <w:p w14:paraId="0D0C5569" w14:textId="20AF0292"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قياس ثقافة السلامة السريرية في المستشفيات الحكومية والخاصة بالرياض وجدة</w:t>
            </w:r>
            <w:r w:rsidRPr="00C237AD">
              <w:rPr>
                <w:rFonts w:ascii="Traditional Arabic" w:hAnsi="Traditional Arabic" w:cs="Traditional Arabic" w:hint="cs"/>
                <w:b/>
                <w:bCs/>
                <w:spacing w:val="-6"/>
                <w:sz w:val="24"/>
                <w:szCs w:val="24"/>
                <w:lang w:bidi="ar-EG"/>
              </w:rPr>
              <w:t>.</w:t>
            </w:r>
          </w:p>
        </w:tc>
        <w:tc>
          <w:tcPr>
            <w:tcW w:w="2074" w:type="dxa"/>
          </w:tcPr>
          <w:p w14:paraId="2D354768" w14:textId="012A079A"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ضعف الإبلاغ عن الحوادث وغياب التحفيز الداخلي أثّر سلبًا على ثقافة السلامة، خاصة في القطاع الخاص</w:t>
            </w:r>
            <w:r w:rsidRPr="00C237AD">
              <w:rPr>
                <w:rFonts w:ascii="Traditional Arabic" w:hAnsi="Traditional Arabic" w:cs="Traditional Arabic" w:hint="cs"/>
                <w:b/>
                <w:bCs/>
                <w:spacing w:val="-6"/>
                <w:sz w:val="24"/>
                <w:szCs w:val="24"/>
                <w:lang w:bidi="ar-EG"/>
              </w:rPr>
              <w:t>.</w:t>
            </w:r>
          </w:p>
        </w:tc>
        <w:tc>
          <w:tcPr>
            <w:tcW w:w="2074" w:type="dxa"/>
          </w:tcPr>
          <w:p w14:paraId="70012557" w14:textId="69D9C245"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الثقافة المؤسسية دون تحليل قيادي وسيط</w:t>
            </w:r>
            <w:r w:rsidRPr="00C237AD">
              <w:rPr>
                <w:rFonts w:ascii="Traditional Arabic" w:hAnsi="Traditional Arabic" w:cs="Traditional Arabic" w:hint="cs"/>
                <w:b/>
                <w:bCs/>
                <w:spacing w:val="-6"/>
                <w:sz w:val="24"/>
                <w:szCs w:val="24"/>
                <w:lang w:bidi="ar-EG"/>
              </w:rPr>
              <w:t>.</w:t>
            </w:r>
          </w:p>
        </w:tc>
      </w:tr>
      <w:tr w:rsidR="00ED053A" w:rsidRPr="00C237AD" w14:paraId="5689A30C" w14:textId="77777777" w:rsidTr="000F5925">
        <w:tc>
          <w:tcPr>
            <w:tcW w:w="2074" w:type="dxa"/>
          </w:tcPr>
          <w:p w14:paraId="37AE9A0A" w14:textId="2B624F14"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منظمة الصحة العالمية</w:t>
            </w:r>
            <w:r w:rsidRPr="00C237AD">
              <w:rPr>
                <w:rFonts w:ascii="Traditional Arabic" w:hAnsi="Traditional Arabic" w:cs="Traditional Arabic" w:hint="cs"/>
                <w:b/>
                <w:bCs/>
                <w:spacing w:val="-6"/>
                <w:sz w:val="24"/>
                <w:szCs w:val="24"/>
                <w:lang w:bidi="ar-EG"/>
              </w:rPr>
              <w:t xml:space="preserve"> (2023)</w:t>
            </w:r>
          </w:p>
        </w:tc>
        <w:tc>
          <w:tcPr>
            <w:tcW w:w="2074" w:type="dxa"/>
          </w:tcPr>
          <w:p w14:paraId="40584DB8" w14:textId="6AE6CE39"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قياس أثر إشراك المرضى في تحسين سلامتهم ضمن سياق دولي متعدد الجنسيات</w:t>
            </w:r>
            <w:r w:rsidRPr="00C237AD">
              <w:rPr>
                <w:rFonts w:ascii="Traditional Arabic" w:hAnsi="Traditional Arabic" w:cs="Traditional Arabic" w:hint="cs"/>
                <w:b/>
                <w:bCs/>
                <w:spacing w:val="-6"/>
                <w:sz w:val="24"/>
                <w:szCs w:val="24"/>
                <w:lang w:bidi="ar-EG"/>
              </w:rPr>
              <w:t>.</w:t>
            </w:r>
          </w:p>
        </w:tc>
        <w:tc>
          <w:tcPr>
            <w:tcW w:w="2074" w:type="dxa"/>
          </w:tcPr>
          <w:p w14:paraId="16AA6EC0" w14:textId="23820D8A"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المشاركة خفّضت الأذى السريري بنسبة 15% وزادت الالتزام بالخطة العلاجية والرضا العام</w:t>
            </w:r>
            <w:r w:rsidRPr="00C237AD">
              <w:rPr>
                <w:rFonts w:ascii="Traditional Arabic" w:hAnsi="Traditional Arabic" w:cs="Traditional Arabic" w:hint="cs"/>
                <w:b/>
                <w:bCs/>
                <w:spacing w:val="-6"/>
                <w:sz w:val="24"/>
                <w:szCs w:val="24"/>
                <w:lang w:bidi="ar-EG"/>
              </w:rPr>
              <w:t>.</w:t>
            </w:r>
          </w:p>
        </w:tc>
        <w:tc>
          <w:tcPr>
            <w:tcW w:w="2074" w:type="dxa"/>
          </w:tcPr>
          <w:p w14:paraId="23678C9A" w14:textId="1AE78A4E" w:rsidR="00ED053A" w:rsidRPr="00C237AD" w:rsidRDefault="009E3B8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المنشآت الصحية، بينما هذه الدراسة تناولت الشراكة مع المرضى كنهج عالمي</w:t>
            </w:r>
            <w:r w:rsidRPr="00C237AD">
              <w:rPr>
                <w:rFonts w:ascii="Traditional Arabic" w:hAnsi="Traditional Arabic" w:cs="Traditional Arabic" w:hint="cs"/>
                <w:b/>
                <w:bCs/>
                <w:spacing w:val="-6"/>
                <w:sz w:val="24"/>
                <w:szCs w:val="24"/>
                <w:lang w:bidi="ar-EG"/>
              </w:rPr>
              <w:t>.</w:t>
            </w:r>
          </w:p>
        </w:tc>
      </w:tr>
      <w:tr w:rsidR="00ED053A" w:rsidRPr="00C237AD" w14:paraId="17B44230" w14:textId="77777777" w:rsidTr="000F5925">
        <w:tc>
          <w:tcPr>
            <w:tcW w:w="2074" w:type="dxa"/>
          </w:tcPr>
          <w:p w14:paraId="24344175" w14:textId="4918C586"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lastRenderedPageBreak/>
              <w:t>وزارة الصحة المصرية</w:t>
            </w:r>
            <w:r w:rsidRPr="00C237AD">
              <w:rPr>
                <w:rFonts w:ascii="Traditional Arabic" w:hAnsi="Traditional Arabic" w:cs="Traditional Arabic" w:hint="cs"/>
                <w:b/>
                <w:bCs/>
                <w:spacing w:val="-6"/>
                <w:sz w:val="24"/>
                <w:szCs w:val="24"/>
                <w:lang w:bidi="ar-EG"/>
              </w:rPr>
              <w:t xml:space="preserve"> (2023)</w:t>
            </w:r>
          </w:p>
        </w:tc>
        <w:tc>
          <w:tcPr>
            <w:tcW w:w="2074" w:type="dxa"/>
          </w:tcPr>
          <w:p w14:paraId="03BFFD06" w14:textId="1374D94F"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إنشاء إدارة مستقلة لسلامة المرضى على تقليل الحوادث وتحسين الأداء في مستشفى شبين الكوم</w:t>
            </w:r>
            <w:r w:rsidRPr="00C237AD">
              <w:rPr>
                <w:rFonts w:ascii="Traditional Arabic" w:hAnsi="Traditional Arabic" w:cs="Traditional Arabic" w:hint="cs"/>
                <w:b/>
                <w:bCs/>
                <w:spacing w:val="-6"/>
                <w:sz w:val="24"/>
                <w:szCs w:val="24"/>
                <w:lang w:bidi="ar-EG"/>
              </w:rPr>
              <w:t>.</w:t>
            </w:r>
          </w:p>
        </w:tc>
        <w:tc>
          <w:tcPr>
            <w:tcW w:w="2074" w:type="dxa"/>
          </w:tcPr>
          <w:p w14:paraId="775A88A6" w14:textId="2E31258A"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انخفاض الحوادث السريرية بنسبة 40% وتحسن التنسيق والإبلاغ ورضا المرضى</w:t>
            </w:r>
            <w:r w:rsidRPr="00C237AD">
              <w:rPr>
                <w:rFonts w:ascii="Traditional Arabic" w:hAnsi="Traditional Arabic" w:cs="Traditional Arabic" w:hint="cs"/>
                <w:b/>
                <w:bCs/>
                <w:spacing w:val="-6"/>
                <w:sz w:val="24"/>
                <w:szCs w:val="24"/>
                <w:lang w:bidi="ar-EG"/>
              </w:rPr>
              <w:t>.</w:t>
            </w:r>
          </w:p>
        </w:tc>
        <w:tc>
          <w:tcPr>
            <w:tcW w:w="2074" w:type="dxa"/>
          </w:tcPr>
          <w:p w14:paraId="67392E5B" w14:textId="5A519841"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كعامل وسيط، بينما هذه الدراسة ركزت على الهيكل الإداري المستقل كمحفز مباشر للسلامة</w:t>
            </w:r>
            <w:r w:rsidRPr="00C237AD">
              <w:rPr>
                <w:rFonts w:ascii="Traditional Arabic" w:hAnsi="Traditional Arabic" w:cs="Traditional Arabic" w:hint="cs"/>
                <w:b/>
                <w:bCs/>
                <w:spacing w:val="-6"/>
                <w:sz w:val="24"/>
                <w:szCs w:val="24"/>
                <w:lang w:bidi="ar-EG"/>
              </w:rPr>
              <w:t>.</w:t>
            </w:r>
          </w:p>
        </w:tc>
      </w:tr>
      <w:tr w:rsidR="00ED053A" w:rsidRPr="00C237AD" w14:paraId="5FF1701E" w14:textId="77777777" w:rsidTr="000F5925">
        <w:tc>
          <w:tcPr>
            <w:tcW w:w="2074" w:type="dxa"/>
          </w:tcPr>
          <w:p w14:paraId="42A7B6BD" w14:textId="33AE2FB8"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القمة الوزارية العالمية لسلامة المرضى</w:t>
            </w:r>
            <w:r w:rsidRPr="00C237AD">
              <w:rPr>
                <w:rFonts w:ascii="Traditional Arabic" w:hAnsi="Traditional Arabic" w:cs="Traditional Arabic" w:hint="cs"/>
                <w:b/>
                <w:bCs/>
                <w:spacing w:val="-6"/>
                <w:sz w:val="24"/>
                <w:szCs w:val="24"/>
                <w:lang w:bidi="ar-EG"/>
              </w:rPr>
              <w:t xml:space="preserve"> (2023)</w:t>
            </w:r>
          </w:p>
        </w:tc>
        <w:tc>
          <w:tcPr>
            <w:tcW w:w="2074" w:type="dxa"/>
          </w:tcPr>
          <w:p w14:paraId="371A506B" w14:textId="5E3F3756"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صياغة إطار دولي موحد للممارسات الآمنة وتقييم جاهزية الأنظمة الصحية لاعتماد سياسات وطنية</w:t>
            </w:r>
            <w:r w:rsidRPr="00C237AD">
              <w:rPr>
                <w:rFonts w:ascii="Traditional Arabic" w:hAnsi="Traditional Arabic" w:cs="Traditional Arabic" w:hint="cs"/>
                <w:b/>
                <w:bCs/>
                <w:spacing w:val="-6"/>
                <w:sz w:val="24"/>
                <w:szCs w:val="24"/>
                <w:lang w:bidi="ar-EG"/>
              </w:rPr>
              <w:t>.</w:t>
            </w:r>
          </w:p>
        </w:tc>
        <w:tc>
          <w:tcPr>
            <w:tcW w:w="2074" w:type="dxa"/>
          </w:tcPr>
          <w:p w14:paraId="078BF7F5" w14:textId="0E5202AC"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 xml:space="preserve">73 % </w:t>
            </w:r>
            <w:r w:rsidRPr="00C237AD">
              <w:rPr>
                <w:rFonts w:ascii="Traditional Arabic" w:hAnsi="Traditional Arabic" w:cs="Traditional Arabic" w:hint="cs"/>
                <w:b/>
                <w:bCs/>
                <w:spacing w:val="-6"/>
                <w:sz w:val="24"/>
                <w:szCs w:val="24"/>
                <w:rtl/>
              </w:rPr>
              <w:t>من الدول تفتقر لاستراتيجيات وطنية واضحة، وغياب التنسيق الدولي يعيق بناء ثقافة عالمية للسلامة</w:t>
            </w:r>
            <w:r w:rsidRPr="00C237AD">
              <w:rPr>
                <w:rFonts w:ascii="Traditional Arabic" w:hAnsi="Traditional Arabic" w:cs="Traditional Arabic" w:hint="cs"/>
                <w:b/>
                <w:bCs/>
                <w:spacing w:val="-6"/>
                <w:sz w:val="24"/>
                <w:szCs w:val="24"/>
                <w:lang w:bidi="ar-EG"/>
              </w:rPr>
              <w:t>.</w:t>
            </w:r>
          </w:p>
        </w:tc>
        <w:tc>
          <w:tcPr>
            <w:tcW w:w="2074" w:type="dxa"/>
          </w:tcPr>
          <w:p w14:paraId="1FB438BD" w14:textId="180A3F99"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المنشآت، بينما هذه الدراسة تناولت السياسات الوطنية والتنسيق الدولي</w:t>
            </w:r>
            <w:r w:rsidRPr="00C237AD">
              <w:rPr>
                <w:rFonts w:ascii="Traditional Arabic" w:hAnsi="Traditional Arabic" w:cs="Traditional Arabic" w:hint="cs"/>
                <w:b/>
                <w:bCs/>
                <w:spacing w:val="-6"/>
                <w:sz w:val="24"/>
                <w:szCs w:val="24"/>
                <w:lang w:bidi="ar-EG"/>
              </w:rPr>
              <w:t>.</w:t>
            </w:r>
          </w:p>
        </w:tc>
      </w:tr>
      <w:tr w:rsidR="00ED053A" w:rsidRPr="00C237AD" w14:paraId="65AEC5DD" w14:textId="77777777" w:rsidTr="000F5925">
        <w:tc>
          <w:tcPr>
            <w:tcW w:w="2074" w:type="dxa"/>
          </w:tcPr>
          <w:p w14:paraId="2F9A88F4" w14:textId="7CA3596D"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z w:val="24"/>
                <w:szCs w:val="24"/>
              </w:rPr>
              <w:t>HealthySimulation (2024)</w:t>
            </w:r>
          </w:p>
        </w:tc>
        <w:tc>
          <w:tcPr>
            <w:tcW w:w="2074" w:type="dxa"/>
          </w:tcPr>
          <w:p w14:paraId="5684CEBB" w14:textId="040967CD"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المحاكاة السريرية على أداء الممرضين في سياق السلامة المهنية</w:t>
            </w:r>
            <w:r w:rsidRPr="00C237AD">
              <w:rPr>
                <w:rFonts w:ascii="Traditional Arabic" w:hAnsi="Traditional Arabic" w:cs="Traditional Arabic" w:hint="cs"/>
                <w:b/>
                <w:bCs/>
                <w:spacing w:val="-6"/>
                <w:sz w:val="24"/>
                <w:szCs w:val="24"/>
                <w:lang w:bidi="ar-EG"/>
              </w:rPr>
              <w:t>.</w:t>
            </w:r>
          </w:p>
        </w:tc>
        <w:tc>
          <w:tcPr>
            <w:tcW w:w="2074" w:type="dxa"/>
          </w:tcPr>
          <w:p w14:paraId="3FFBD0D2" w14:textId="0B1B6839"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تحسن بنسبة 46% في اختبارات السلامة لدى المتدربين الذين خضعوا لجلسات محاكاة</w:t>
            </w:r>
            <w:r w:rsidRPr="00C237AD">
              <w:rPr>
                <w:rFonts w:ascii="Traditional Arabic" w:hAnsi="Traditional Arabic" w:cs="Traditional Arabic" w:hint="cs"/>
                <w:b/>
                <w:bCs/>
                <w:spacing w:val="-6"/>
                <w:sz w:val="24"/>
                <w:szCs w:val="24"/>
                <w:lang w:bidi="ar-EG"/>
              </w:rPr>
              <w:t>.</w:t>
            </w:r>
          </w:p>
        </w:tc>
        <w:tc>
          <w:tcPr>
            <w:tcW w:w="2074" w:type="dxa"/>
          </w:tcPr>
          <w:p w14:paraId="3A86EFEA" w14:textId="5498F14F"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أدوات التدريب العملي كمحفز مباشر</w:t>
            </w:r>
            <w:r w:rsidRPr="00C237AD">
              <w:rPr>
                <w:rFonts w:ascii="Traditional Arabic" w:hAnsi="Traditional Arabic" w:cs="Traditional Arabic" w:hint="cs"/>
                <w:b/>
                <w:bCs/>
                <w:spacing w:val="-6"/>
                <w:sz w:val="24"/>
                <w:szCs w:val="24"/>
                <w:lang w:bidi="ar-EG"/>
              </w:rPr>
              <w:t>.</w:t>
            </w:r>
          </w:p>
        </w:tc>
      </w:tr>
      <w:tr w:rsidR="00ED053A" w:rsidRPr="00C237AD" w14:paraId="6E1B5680" w14:textId="77777777" w:rsidTr="000F5925">
        <w:tc>
          <w:tcPr>
            <w:tcW w:w="2074" w:type="dxa"/>
          </w:tcPr>
          <w:p w14:paraId="38C909E4" w14:textId="39F1607A"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منظمة الصحة العالمية</w:t>
            </w:r>
            <w:r w:rsidRPr="00C237AD">
              <w:rPr>
                <w:rFonts w:ascii="Traditional Arabic" w:hAnsi="Traditional Arabic" w:cs="Traditional Arabic" w:hint="cs"/>
                <w:b/>
                <w:bCs/>
                <w:spacing w:val="-6"/>
                <w:sz w:val="24"/>
                <w:szCs w:val="24"/>
                <w:lang w:bidi="ar-EG"/>
              </w:rPr>
              <w:t xml:space="preserve"> (2024)</w:t>
            </w:r>
            <w:r w:rsidRPr="00C237AD">
              <w:rPr>
                <w:rFonts w:ascii="Traditional Arabic" w:hAnsi="Traditional Arabic" w:cs="Traditional Arabic" w:hint="cs"/>
                <w:b/>
                <w:bCs/>
                <w:spacing w:val="-6"/>
                <w:sz w:val="24"/>
                <w:szCs w:val="24"/>
                <w:lang w:bidi="ar-EG"/>
              </w:rPr>
              <w:br/>
            </w:r>
          </w:p>
        </w:tc>
        <w:tc>
          <w:tcPr>
            <w:tcW w:w="2074" w:type="dxa"/>
          </w:tcPr>
          <w:p w14:paraId="138D32F8" w14:textId="11C5A34D"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إصدار تقرير عالمي يرصد جهود الدول في تعزيز سلامة المرضى وتحديد الفجوات المنهجية والتنفيذية</w:t>
            </w:r>
            <w:r w:rsidRPr="00C237AD">
              <w:rPr>
                <w:rFonts w:ascii="Traditional Arabic" w:hAnsi="Traditional Arabic" w:cs="Traditional Arabic" w:hint="cs"/>
                <w:b/>
                <w:bCs/>
                <w:spacing w:val="-6"/>
                <w:sz w:val="24"/>
                <w:szCs w:val="24"/>
                <w:lang w:bidi="ar-EG"/>
              </w:rPr>
              <w:t>.</w:t>
            </w:r>
          </w:p>
        </w:tc>
        <w:tc>
          <w:tcPr>
            <w:tcW w:w="2074" w:type="dxa"/>
          </w:tcPr>
          <w:p w14:paraId="2AE8FDFB" w14:textId="0A33AA7A"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lang w:bidi="ar-EG"/>
              </w:rPr>
              <w:t xml:space="preserve">36% </w:t>
            </w:r>
            <w:r w:rsidRPr="00C237AD">
              <w:rPr>
                <w:rFonts w:ascii="Traditional Arabic" w:hAnsi="Traditional Arabic" w:cs="Traditional Arabic" w:hint="cs"/>
                <w:b/>
                <w:bCs/>
                <w:spacing w:val="-6"/>
                <w:sz w:val="24"/>
                <w:szCs w:val="24"/>
                <w:rtl/>
              </w:rPr>
              <w:t>فقط من الدول تمتلك أنظمة فعالة للإبلاغ، و31% وضعت أهدافًا وطنية للحد من العدوى</w:t>
            </w:r>
            <w:r w:rsidRPr="00C237AD">
              <w:rPr>
                <w:rFonts w:ascii="Traditional Arabic" w:hAnsi="Traditional Arabic" w:cs="Traditional Arabic" w:hint="cs"/>
                <w:b/>
                <w:bCs/>
                <w:spacing w:val="-6"/>
                <w:sz w:val="24"/>
                <w:szCs w:val="24"/>
                <w:lang w:bidi="ar-EG"/>
              </w:rPr>
              <w:t>.</w:t>
            </w:r>
            <w:r w:rsidRPr="00C237AD">
              <w:rPr>
                <w:rFonts w:ascii="Traditional Arabic" w:hAnsi="Traditional Arabic" w:cs="Traditional Arabic" w:hint="cs"/>
                <w:b/>
                <w:bCs/>
                <w:spacing w:val="-6"/>
                <w:sz w:val="24"/>
                <w:szCs w:val="24"/>
                <w:lang w:bidi="ar-EG"/>
              </w:rPr>
              <w:br/>
            </w:r>
          </w:p>
        </w:tc>
        <w:tc>
          <w:tcPr>
            <w:tcW w:w="2074" w:type="dxa"/>
          </w:tcPr>
          <w:p w14:paraId="47644E44" w14:textId="299FE5B7"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في بيئة المستشفى، بينما هذه الدراسة تناولت التقييم الدولي للأنظمة والسياسات</w:t>
            </w:r>
            <w:r w:rsidRPr="00C237AD">
              <w:rPr>
                <w:rFonts w:ascii="Traditional Arabic" w:hAnsi="Traditional Arabic" w:cs="Traditional Arabic" w:hint="cs"/>
                <w:b/>
                <w:bCs/>
                <w:spacing w:val="-6"/>
                <w:sz w:val="24"/>
                <w:szCs w:val="24"/>
                <w:lang w:bidi="ar-EG"/>
              </w:rPr>
              <w:t>.</w:t>
            </w:r>
          </w:p>
        </w:tc>
      </w:tr>
      <w:tr w:rsidR="00D21F42" w:rsidRPr="00C237AD" w14:paraId="23515148" w14:textId="77777777" w:rsidTr="000F5925">
        <w:tc>
          <w:tcPr>
            <w:tcW w:w="2074" w:type="dxa"/>
          </w:tcPr>
          <w:p w14:paraId="5393DE88" w14:textId="6E4A6EF0"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z w:val="24"/>
                <w:szCs w:val="24"/>
                <w:rtl/>
              </w:rPr>
              <w:t>الهيئة السعودية للتخصصات الصحية</w:t>
            </w:r>
            <w:r w:rsidRPr="00C237AD">
              <w:rPr>
                <w:rFonts w:ascii="Traditional Arabic" w:hAnsi="Traditional Arabic" w:cs="Traditional Arabic" w:hint="cs"/>
                <w:b/>
                <w:bCs/>
                <w:sz w:val="24"/>
                <w:szCs w:val="24"/>
              </w:rPr>
              <w:t xml:space="preserve"> (2025)</w:t>
            </w:r>
          </w:p>
        </w:tc>
        <w:tc>
          <w:tcPr>
            <w:tcW w:w="2074" w:type="dxa"/>
          </w:tcPr>
          <w:p w14:paraId="6ACCFBB1" w14:textId="540B0FC9"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pacing w:val="-6"/>
                <w:sz w:val="24"/>
                <w:szCs w:val="24"/>
                <w:rtl/>
              </w:rPr>
              <w:t>تقييم أثر دمج مفاهيم السلامة المهنية في مناهج التعليم الصحي على سلوكيات الطلاب</w:t>
            </w:r>
            <w:r w:rsidRPr="00C237AD">
              <w:rPr>
                <w:rFonts w:ascii="Traditional Arabic" w:hAnsi="Traditional Arabic" w:cs="Traditional Arabic" w:hint="cs"/>
                <w:b/>
                <w:bCs/>
                <w:spacing w:val="-6"/>
                <w:sz w:val="24"/>
                <w:szCs w:val="24"/>
              </w:rPr>
              <w:t>.</w:t>
            </w:r>
          </w:p>
        </w:tc>
        <w:tc>
          <w:tcPr>
            <w:tcW w:w="2074" w:type="dxa"/>
          </w:tcPr>
          <w:p w14:paraId="54E0B1E8" w14:textId="14542C66" w:rsidR="00D21F42" w:rsidRPr="00C237AD" w:rsidRDefault="00D21F42" w:rsidP="00396DF7">
            <w:pPr>
              <w:bidi/>
              <w:spacing w:after="200" w:line="276" w:lineRule="auto"/>
              <w:jc w:val="center"/>
              <w:rPr>
                <w:rFonts w:ascii="Traditional Arabic" w:hAnsi="Traditional Arabic" w:cs="Traditional Arabic"/>
                <w:b/>
                <w:bCs/>
                <w:spacing w:val="-6"/>
                <w:sz w:val="24"/>
                <w:szCs w:val="24"/>
                <w:lang w:bidi="ar-EG"/>
              </w:rPr>
            </w:pPr>
            <w:r w:rsidRPr="00C237AD">
              <w:rPr>
                <w:rFonts w:ascii="Traditional Arabic" w:hAnsi="Traditional Arabic" w:cs="Traditional Arabic" w:hint="cs"/>
                <w:b/>
                <w:bCs/>
                <w:spacing w:val="-6"/>
                <w:sz w:val="24"/>
                <w:szCs w:val="24"/>
                <w:rtl/>
              </w:rPr>
              <w:t>تحسن بنسبة 53% في تطبيق إجراءات السلامة وارتفاع الوعي بالمخاطر السريرية</w:t>
            </w:r>
            <w:r w:rsidRPr="00C237AD">
              <w:rPr>
                <w:rFonts w:ascii="Traditional Arabic" w:hAnsi="Traditional Arabic" w:cs="Traditional Arabic" w:hint="cs"/>
                <w:b/>
                <w:bCs/>
                <w:spacing w:val="-6"/>
                <w:sz w:val="24"/>
                <w:szCs w:val="24"/>
                <w:lang w:bidi="ar-EG"/>
              </w:rPr>
              <w:t>.</w:t>
            </w:r>
          </w:p>
        </w:tc>
        <w:tc>
          <w:tcPr>
            <w:tcW w:w="2074" w:type="dxa"/>
          </w:tcPr>
          <w:p w14:paraId="4B15EDD1" w14:textId="1726881F"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pacing w:val="-6"/>
                <w:sz w:val="24"/>
                <w:szCs w:val="24"/>
                <w:rtl/>
              </w:rPr>
              <w:t>دراستي تركز على القيادة التحويلية في بيئة العمل، بينما هذه الدراسة تناولت التعليم الأكاديمي كمصدر تأسيسي للسلامة</w:t>
            </w:r>
            <w:r w:rsidRPr="00C237AD">
              <w:rPr>
                <w:rFonts w:ascii="Traditional Arabic" w:hAnsi="Traditional Arabic" w:cs="Traditional Arabic" w:hint="cs"/>
                <w:b/>
                <w:bCs/>
                <w:spacing w:val="-6"/>
                <w:sz w:val="24"/>
                <w:szCs w:val="24"/>
              </w:rPr>
              <w:t>.</w:t>
            </w:r>
          </w:p>
        </w:tc>
      </w:tr>
    </w:tbl>
    <w:bookmarkEnd w:id="8"/>
    <w:p w14:paraId="5B0E3573" w14:textId="0F750089" w:rsidR="004D510A" w:rsidRDefault="004D510A" w:rsidP="00AB0D32">
      <w:pPr>
        <w:bidi/>
        <w:spacing w:after="200" w:line="276" w:lineRule="auto"/>
        <w:jc w:val="center"/>
        <w:rPr>
          <w:rFonts w:ascii="Simplified Arabic" w:hAnsi="Simplified Arabic" w:cs="Simplified Arabic"/>
          <w:b/>
          <w:bCs/>
          <w:spacing w:val="-6"/>
          <w:sz w:val="28"/>
          <w:szCs w:val="28"/>
          <w:rtl/>
          <w:lang w:bidi="ar-EG"/>
        </w:rPr>
      </w:pPr>
      <w:r>
        <w:rPr>
          <w:rFonts w:ascii="Simplified Arabic" w:hAnsi="Simplified Arabic" w:cs="Simplified Arabic" w:hint="cs"/>
          <w:b/>
          <w:bCs/>
          <w:spacing w:val="-6"/>
          <w:sz w:val="24"/>
          <w:szCs w:val="24"/>
          <w:rtl/>
          <w:lang w:bidi="ar-EG"/>
        </w:rPr>
        <w:t>إعداد / الباحثة</w:t>
      </w:r>
      <w:r w:rsidR="00AB0D32">
        <w:rPr>
          <w:rFonts w:ascii="Simplified Arabic" w:hAnsi="Simplified Arabic" w:cs="Simplified Arabic" w:hint="cs"/>
          <w:b/>
          <w:bCs/>
          <w:spacing w:val="-6"/>
          <w:sz w:val="24"/>
          <w:szCs w:val="24"/>
          <w:rtl/>
          <w:lang w:bidi="ar-EG"/>
        </w:rPr>
        <w:t xml:space="preserve"> مستندة للدراسات السابقة </w:t>
      </w:r>
      <w:r>
        <w:rPr>
          <w:rFonts w:ascii="Simplified Arabic" w:hAnsi="Simplified Arabic" w:cs="Simplified Arabic" w:hint="cs"/>
          <w:b/>
          <w:bCs/>
          <w:spacing w:val="-6"/>
          <w:sz w:val="24"/>
          <w:szCs w:val="24"/>
          <w:rtl/>
          <w:lang w:bidi="ar-EG"/>
        </w:rPr>
        <w:t>.</w:t>
      </w:r>
    </w:p>
    <w:p w14:paraId="7B21174F" w14:textId="77777777" w:rsidR="00A967BA" w:rsidRDefault="00A967BA" w:rsidP="00BA7C6F">
      <w:pPr>
        <w:bidi/>
        <w:spacing w:after="200" w:line="276" w:lineRule="auto"/>
        <w:jc w:val="both"/>
        <w:rPr>
          <w:rFonts w:ascii="Simplified Arabic" w:hAnsi="Simplified Arabic" w:cs="Simplified Arabic"/>
          <w:b/>
          <w:bCs/>
          <w:spacing w:val="-6"/>
          <w:sz w:val="28"/>
          <w:szCs w:val="28"/>
          <w:u w:val="single"/>
          <w:rtl/>
          <w:lang w:bidi="ar-EG"/>
        </w:rPr>
      </w:pPr>
    </w:p>
    <w:p w14:paraId="1378FDFD" w14:textId="77777777" w:rsidR="00A967BA" w:rsidRDefault="00A967BA" w:rsidP="00A967BA">
      <w:pPr>
        <w:bidi/>
        <w:spacing w:after="200" w:line="276" w:lineRule="auto"/>
        <w:jc w:val="both"/>
        <w:rPr>
          <w:rFonts w:ascii="Simplified Arabic" w:hAnsi="Simplified Arabic" w:cs="Simplified Arabic"/>
          <w:b/>
          <w:bCs/>
          <w:spacing w:val="-6"/>
          <w:sz w:val="28"/>
          <w:szCs w:val="28"/>
          <w:u w:val="single"/>
          <w:rtl/>
          <w:lang w:bidi="ar-EG"/>
        </w:rPr>
      </w:pPr>
    </w:p>
    <w:p w14:paraId="38055F19" w14:textId="7FC06894" w:rsidR="00535E7D" w:rsidRPr="00AF380A" w:rsidRDefault="00535E7D" w:rsidP="00A967BA">
      <w:pPr>
        <w:bidi/>
        <w:spacing w:after="200" w:line="276" w:lineRule="auto"/>
        <w:jc w:val="both"/>
        <w:rPr>
          <w:rFonts w:ascii="Traditional Arabic" w:hAnsi="Traditional Arabic" w:cs="Traditional Arabic"/>
          <w:b/>
          <w:bCs/>
          <w:spacing w:val="-6"/>
          <w:sz w:val="28"/>
          <w:szCs w:val="28"/>
          <w:u w:val="single"/>
          <w:rtl/>
          <w:lang w:bidi="ar-EG"/>
        </w:rPr>
      </w:pPr>
      <w:r w:rsidRPr="00AF380A">
        <w:rPr>
          <w:rFonts w:ascii="Traditional Arabic" w:hAnsi="Traditional Arabic" w:cs="Traditional Arabic" w:hint="cs"/>
          <w:b/>
          <w:bCs/>
          <w:spacing w:val="-6"/>
          <w:sz w:val="28"/>
          <w:szCs w:val="28"/>
          <w:u w:val="single"/>
          <w:rtl/>
          <w:lang w:bidi="ar-EG"/>
        </w:rPr>
        <w:lastRenderedPageBreak/>
        <w:t>تعقيب عن الدراسات السابقة لسلامة المرضى:</w:t>
      </w:r>
    </w:p>
    <w:p w14:paraId="6528BE78" w14:textId="2C84B3E3"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من خلال تحليل الدراسات السابقة حول سلامة المرضى في القطاع الصحي ، يمكن ملاحظة أن الموضوع بات يحتل موقعًا محوريًا في أولويات المؤسسات الصحية المحلية والدولية، لا سيما في ظل التحديات المتزايدة التي فرضتها جائحة كوفيد-19. فقد أظهرت معظم الدراسات اتفاقًا واضحًا حول أهمية بناء ثقافة مؤسسية تُعزز السلامة، وتعتمد على القيادة الفعالة والتواصل، وإشراك المرضى كعنصر فاعل وليس مجرد متلقٍ للرعاية</w:t>
      </w:r>
      <w:r w:rsidRPr="00AF380A">
        <w:rPr>
          <w:rFonts w:ascii="Traditional Arabic" w:hAnsi="Traditional Arabic" w:cs="Traditional Arabic" w:hint="cs"/>
          <w:spacing w:val="-6"/>
          <w:sz w:val="28"/>
          <w:szCs w:val="28"/>
          <w:lang w:bidi="ar-EG"/>
        </w:rPr>
        <w:t>.</w:t>
      </w:r>
    </w:p>
    <w:p w14:paraId="671FFF79"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ركزت عدة دراسات على قياس مدى فاعلية الأنظمة الداخلية في الكشف المبكر عن المخاطر، مثل دراسة آلاء عفيفي في جدة، التي بينت أن تطبيق إدارة المخاطر أدى إلى تحسن ملموس في جودة الرعاية وسلامة المرضى بنسبة تفوق 50%. بينما سلطت دراسات أخرى الضوء على البعد التنظيمي، مثل تقرير وزارة الصحة المصرية الذي أوصى بإنشاء إدارات مستقلة داخل المستشفيات لضمان تطبيق معايير السلامة وربطها بمؤشرات الأداء</w:t>
      </w:r>
      <w:r w:rsidRPr="00AF380A">
        <w:rPr>
          <w:rFonts w:ascii="Traditional Arabic" w:hAnsi="Traditional Arabic" w:cs="Traditional Arabic" w:hint="cs"/>
          <w:spacing w:val="-6"/>
          <w:sz w:val="28"/>
          <w:szCs w:val="28"/>
          <w:lang w:bidi="ar-EG"/>
        </w:rPr>
        <w:t>.</w:t>
      </w:r>
    </w:p>
    <w:p w14:paraId="5198A4CA"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وعلى الصعيد العالمي، برزت مساهمات منظمة الصحة العالمية في إنشاء أطر معيارية مثل خطة العمل 2021–2030 التي دعت إلى اعتبار الأذى القابل للتجنب مشكلة صحية عامة. هذه الدراسات الدولية أكدت أن إشراك المرضى وأسرهم في اتخاذ القرارات العلاجية يقلل من معدل الأخطاء، ويعزز الثقة بالنظام الصحي</w:t>
      </w:r>
      <w:r w:rsidRPr="00AF380A">
        <w:rPr>
          <w:rFonts w:ascii="Traditional Arabic" w:hAnsi="Traditional Arabic" w:cs="Traditional Arabic" w:hint="cs"/>
          <w:spacing w:val="-6"/>
          <w:sz w:val="28"/>
          <w:szCs w:val="28"/>
          <w:lang w:bidi="ar-EG"/>
        </w:rPr>
        <w:t>.</w:t>
      </w:r>
    </w:p>
    <w:p w14:paraId="67F6BF6F"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وتجدر الإشارة إلى أن البحوث السابقة لم تكتفِ بالتحليل الوصفي، بل قدمت أدوات عملية كتوصيات، مثل تفعيل نظم الإبلاغ دون لوم، وتدريب العاملين على مهارات التواصل السريري، وتحسين استخدام التكنولوجيا الصحية. ومع ذلك، بقيت بعض الفجوات قائمة، أبرزها ضعف تكامل الأنظمة بين الأقسام، وعدم استدامة برامج التدريب</w:t>
      </w:r>
      <w:r w:rsidRPr="00AF380A">
        <w:rPr>
          <w:rFonts w:ascii="Traditional Arabic" w:hAnsi="Traditional Arabic" w:cs="Traditional Arabic" w:hint="cs"/>
          <w:spacing w:val="-6"/>
          <w:sz w:val="28"/>
          <w:szCs w:val="28"/>
          <w:lang w:bidi="ar-EG"/>
        </w:rPr>
        <w:t>.</w:t>
      </w:r>
    </w:p>
    <w:p w14:paraId="4DF9FE51" w14:textId="5B585560" w:rsidR="00187016" w:rsidRPr="00AF380A" w:rsidRDefault="00535E7D" w:rsidP="00AF380A">
      <w:pPr>
        <w:bidi/>
        <w:spacing w:after="200" w:line="360" w:lineRule="auto"/>
        <w:ind w:firstLine="720"/>
        <w:jc w:val="both"/>
        <w:rPr>
          <w:rFonts w:ascii="Traditional Arabic" w:hAnsi="Traditional Arabic" w:cs="Traditional Arabic"/>
          <w:spacing w:val="-6"/>
          <w:sz w:val="28"/>
          <w:szCs w:val="28"/>
          <w:rtl/>
          <w:lang w:bidi="ar-EG"/>
        </w:rPr>
      </w:pPr>
      <w:r w:rsidRPr="00AF380A">
        <w:rPr>
          <w:rFonts w:ascii="Traditional Arabic" w:hAnsi="Traditional Arabic" w:cs="Traditional Arabic" w:hint="cs"/>
          <w:spacing w:val="-6"/>
          <w:sz w:val="28"/>
          <w:szCs w:val="28"/>
          <w:rtl/>
        </w:rPr>
        <w:t>وبشكل عام، تعكس هذه الدراسات تحولًا حقيقيًا في طريقة تناول موضوع سلامة المرضى، من كونه قضية فنية مرتبطة بالإجراءات، إلى كونه مسألة ثقافية واستراتيجية ترتبط بالقيم والتوجهات الإدارية للمؤسسات الصحية</w:t>
      </w:r>
      <w:r w:rsidRPr="00AF380A">
        <w:rPr>
          <w:rFonts w:ascii="Traditional Arabic" w:hAnsi="Traditional Arabic" w:cs="Traditional Arabic" w:hint="cs"/>
          <w:spacing w:val="-6"/>
          <w:sz w:val="28"/>
          <w:szCs w:val="28"/>
          <w:lang w:bidi="ar-EG"/>
        </w:rPr>
        <w:t>.</w:t>
      </w:r>
    </w:p>
    <w:p w14:paraId="53469483" w14:textId="487201BC" w:rsidR="00AB0D32" w:rsidRPr="001771A4" w:rsidRDefault="00AB0D32" w:rsidP="00AB0D32">
      <w:pPr>
        <w:bidi/>
        <w:spacing w:after="200" w:line="276" w:lineRule="auto"/>
        <w:jc w:val="both"/>
        <w:rPr>
          <w:rFonts w:ascii="Traditional Arabic" w:hAnsi="Traditional Arabic" w:cs="Traditional Arabic"/>
          <w:b/>
          <w:bCs/>
          <w:spacing w:val="-6"/>
          <w:sz w:val="28"/>
          <w:szCs w:val="28"/>
          <w:u w:val="single"/>
          <w:rtl/>
          <w:lang w:bidi="ar-EG"/>
        </w:rPr>
      </w:pPr>
      <w:r w:rsidRPr="001771A4">
        <w:rPr>
          <w:rFonts w:ascii="Traditional Arabic" w:hAnsi="Traditional Arabic" w:cs="Traditional Arabic" w:hint="cs"/>
          <w:b/>
          <w:bCs/>
          <w:spacing w:val="-6"/>
          <w:sz w:val="28"/>
          <w:szCs w:val="28"/>
          <w:u w:val="single"/>
          <w:rtl/>
          <w:lang w:bidi="ar-EG"/>
        </w:rPr>
        <w:t>أوجه الإستفادة من الدراسات السابقة لسلامة المرضى:</w:t>
      </w:r>
    </w:p>
    <w:p w14:paraId="465202EA" w14:textId="0A6B01E5" w:rsidR="00AB0D32" w:rsidRDefault="000F5925" w:rsidP="001771A4">
      <w:pPr>
        <w:bidi/>
        <w:spacing w:after="200" w:line="360" w:lineRule="auto"/>
        <w:ind w:firstLine="720"/>
        <w:jc w:val="both"/>
        <w:rPr>
          <w:rFonts w:ascii="Traditional Arabic" w:hAnsi="Traditional Arabic" w:cs="Traditional Arabic"/>
          <w:spacing w:val="-6"/>
          <w:sz w:val="24"/>
          <w:szCs w:val="24"/>
          <w:rtl/>
          <w:lang w:bidi="ar-EG"/>
        </w:rPr>
      </w:pPr>
      <w:r w:rsidRPr="001771A4">
        <w:rPr>
          <w:rFonts w:ascii="Traditional Arabic" w:hAnsi="Traditional Arabic" w:cs="Traditional Arabic" w:hint="cs"/>
          <w:spacing w:val="-6"/>
          <w:sz w:val="24"/>
          <w:szCs w:val="24"/>
          <w:rtl/>
        </w:rPr>
        <w:t xml:space="preserve">أظهرت الدراسات السابقة حول سلامة المرضى، مثل ريم وحسن (2020) وآلاء أحمد ومحمد عفيفي (2021)، أهمية دمج مفاهيم السلامة في السياسات التشغيلية للمرافق الصحية، مع التركيز على تقليل الأخطاء الطبية وتعزيز ثقافة الإبلاغ، وقد ساهمت تقارير منظمة الصحة العالمية (2023، 2024) والمركز السعودي لسلامة المرضى (2022) في تحديد أبرز مصادر الأذى القابل للوقاية، مثل العدوى المرتبطة بالرعاية، وسوء استخدام </w:t>
      </w:r>
      <w:r w:rsidRPr="001771A4">
        <w:rPr>
          <w:rFonts w:ascii="Traditional Arabic" w:hAnsi="Traditional Arabic" w:cs="Traditional Arabic" w:hint="cs"/>
          <w:spacing w:val="-6"/>
          <w:sz w:val="24"/>
          <w:szCs w:val="24"/>
          <w:rtl/>
        </w:rPr>
        <w:lastRenderedPageBreak/>
        <w:t>الأدوية، مما يدعم بناء أدوات قياس دقيقة للدراسة الحالية. كما وفّرت وزارة الصحة المصرية (2023) والقمة الوزارية العالمية (2023) رؤى تطبيقية حول إشراك المرضى في قرارات العلاج، وهو ما يعزز البُعد التشاركي في سلامة الرعاية. أما</w:t>
      </w:r>
      <w:r w:rsidRPr="001771A4">
        <w:rPr>
          <w:rFonts w:ascii="Traditional Arabic" w:hAnsi="Traditional Arabic" w:cs="Traditional Arabic" w:hint="cs"/>
          <w:spacing w:val="-6"/>
          <w:sz w:val="24"/>
          <w:szCs w:val="24"/>
          <w:lang w:bidi="ar-EG"/>
        </w:rPr>
        <w:t xml:space="preserve"> HealthySimulation (2024) </w:t>
      </w:r>
      <w:r w:rsidRPr="001771A4">
        <w:rPr>
          <w:rFonts w:ascii="Traditional Arabic" w:hAnsi="Traditional Arabic" w:cs="Traditional Arabic" w:hint="cs"/>
          <w:spacing w:val="-6"/>
          <w:sz w:val="24"/>
          <w:szCs w:val="24"/>
          <w:rtl/>
        </w:rPr>
        <w:t>فقد أبرزت دور المحاكاة السريرية في تدريب الكوادر على الممارسات الآمنة، بينما قدّمت الهيئة السعودية للتخصصات الصحية (2025) إطارًا مهنيًا لتأهيل العاملين وفق معايير السلامة المعتمدة. ومن ثم، فإن هذه الدراسات تمثل مرجعية معرفية ومنهجية ثرية، تُسهم في صياغة الفرضيات للدراسة الحالية، وتحديد المتغيرات، وتفسير النتائج ضمن السياق المحلي والدولي</w:t>
      </w:r>
      <w:r w:rsidRPr="001771A4">
        <w:rPr>
          <w:rFonts w:ascii="Traditional Arabic" w:hAnsi="Traditional Arabic" w:cs="Traditional Arabic" w:hint="cs"/>
          <w:spacing w:val="-6"/>
          <w:sz w:val="24"/>
          <w:szCs w:val="24"/>
          <w:lang w:bidi="ar-EG"/>
        </w:rPr>
        <w:t>.</w:t>
      </w:r>
    </w:p>
    <w:p w14:paraId="4E31995F"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451DF67"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7A97BA4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C51E94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63B5F60"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68E98A55"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0380B3C8"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12B471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E914AC0"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D72337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4A4A32F"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4EFD29CE"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7DE39F2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615375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88E1720" w14:textId="77777777" w:rsidR="00A437AB" w:rsidRPr="001771A4"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4CBF19AE" w14:textId="05DE9F9F" w:rsidR="00623BB8" w:rsidRPr="00A73147" w:rsidRDefault="00623BB8" w:rsidP="00623BB8">
      <w:pPr>
        <w:bidi/>
        <w:spacing w:after="200" w:line="276" w:lineRule="auto"/>
        <w:contextualSpacing/>
        <w:jc w:val="both"/>
        <w:rPr>
          <w:rFonts w:ascii="Traditional Arabic" w:eastAsia="Calibri" w:hAnsi="Traditional Arabic" w:cs="Traditional Arabic"/>
          <w:b/>
          <w:bCs/>
          <w:sz w:val="28"/>
          <w:szCs w:val="28"/>
          <w:rtl/>
          <w:lang w:bidi="ar-EG"/>
        </w:rPr>
      </w:pPr>
      <w:r w:rsidRPr="00A73147">
        <w:rPr>
          <w:rFonts w:ascii="Traditional Arabic" w:eastAsia="Calibri" w:hAnsi="Traditional Arabic" w:cs="Traditional Arabic" w:hint="cs"/>
          <w:b/>
          <w:bCs/>
          <w:sz w:val="28"/>
          <w:szCs w:val="28"/>
          <w:rtl/>
          <w:lang w:bidi="ar-EG"/>
        </w:rPr>
        <w:lastRenderedPageBreak/>
        <w:t xml:space="preserve">المبحث الثالث: القيادة التحويلية </w:t>
      </w:r>
      <w:r w:rsidRPr="00A73147">
        <w:rPr>
          <w:rFonts w:ascii="Traditional Arabic" w:hAnsi="Traditional Arabic" w:cs="Traditional Arabic" w:hint="cs"/>
          <w:b/>
          <w:bCs/>
          <w:spacing w:val="-6"/>
          <w:sz w:val="28"/>
          <w:szCs w:val="28"/>
        </w:rPr>
        <w:t>Transformational leadership</w:t>
      </w:r>
      <w:r w:rsidRPr="00A73147">
        <w:rPr>
          <w:rFonts w:ascii="Traditional Arabic" w:hAnsi="Traditional Arabic" w:cs="Traditional Arabic" w:hint="cs"/>
          <w:b/>
          <w:bCs/>
          <w:spacing w:val="-6"/>
          <w:sz w:val="28"/>
          <w:szCs w:val="28"/>
          <w:rtl/>
        </w:rPr>
        <w:t>:</w:t>
      </w:r>
    </w:p>
    <w:p w14:paraId="5A491408" w14:textId="77777777" w:rsidR="00623BB8" w:rsidRPr="00A73147" w:rsidRDefault="00623BB8" w:rsidP="00623BB8">
      <w:pPr>
        <w:bidi/>
        <w:spacing w:after="200" w:line="276" w:lineRule="auto"/>
        <w:jc w:val="both"/>
        <w:rPr>
          <w:rFonts w:ascii="Traditional Arabic" w:eastAsia="Calibri" w:hAnsi="Traditional Arabic" w:cs="Traditional Arabic"/>
          <w:b/>
          <w:bCs/>
          <w:sz w:val="28"/>
          <w:szCs w:val="28"/>
          <w:rtl/>
          <w:lang w:bidi="ar-EG"/>
        </w:rPr>
      </w:pPr>
      <w:r w:rsidRPr="00A73147">
        <w:rPr>
          <w:rFonts w:ascii="Traditional Arabic" w:eastAsia="Calibri" w:hAnsi="Traditional Arabic" w:cs="Traditional Arabic" w:hint="cs"/>
          <w:b/>
          <w:bCs/>
          <w:sz w:val="28"/>
          <w:szCs w:val="28"/>
          <w:rtl/>
          <w:lang w:bidi="ar-EG"/>
        </w:rPr>
        <w:t>تمهيد:</w:t>
      </w:r>
    </w:p>
    <w:p w14:paraId="40925F5B" w14:textId="77777777" w:rsidR="00623BB8" w:rsidRPr="00A73147" w:rsidRDefault="00623BB8" w:rsidP="00A73147">
      <w:pPr>
        <w:bidi/>
        <w:spacing w:after="200" w:line="360" w:lineRule="auto"/>
        <w:ind w:firstLine="720"/>
        <w:jc w:val="both"/>
        <w:rPr>
          <w:rFonts w:ascii="Traditional Arabic" w:eastAsia="Calibri" w:hAnsi="Traditional Arabic" w:cs="Traditional Arabic"/>
          <w:sz w:val="24"/>
          <w:szCs w:val="24"/>
          <w:rtl/>
          <w:lang w:bidi="ar-EG"/>
        </w:rPr>
      </w:pPr>
      <w:r w:rsidRPr="00A73147">
        <w:rPr>
          <w:rFonts w:ascii="Traditional Arabic" w:eastAsia="Calibri" w:hAnsi="Traditional Arabic" w:cs="Traditional Arabic" w:hint="cs"/>
          <w:sz w:val="24"/>
          <w:szCs w:val="24"/>
          <w:rtl/>
          <w:lang w:bidi="ar-EG"/>
        </w:rPr>
        <w:t>تحتاج المنظمات المعاصرة لقيادة حقيقية لها قدرة فائقة للإيحاء للمرؤوسين القيام بأفضل طاقاتهم، وتطوير مهاراتهم وترقية قناعاتهم، وإيصالهم إلى مــستويات فكرية متقدمة، فالقائد التحويلي قادر على حث أتباعه على القيام بأكثر مما هو متوقع، وينظر للقيادة التحويلية على أنها القيادة التي تتجاوز تقديم الحوافز مقابل الأداء المرغوب، إلى تطوير وتشجيع العاملين فكرياً وابداعياً، وتحويل اهتماماتهم الذاتية لتكون جزءاً أساسياً من رسالة المنظمة، فهي التي تضع رؤية واضحة لمنظماتها، وتعمل على إيجاد أنظمة جديدة تتوافق كليا ومتطلبات المستقبل (نور2020).</w:t>
      </w:r>
    </w:p>
    <w:p w14:paraId="4A6107D7" w14:textId="1A9F440F" w:rsidR="00623BB8" w:rsidRPr="00F30DB3" w:rsidRDefault="00FE464C" w:rsidP="00623BB8">
      <w:pPr>
        <w:bidi/>
        <w:spacing w:after="200" w:line="360" w:lineRule="auto"/>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b/>
          <w:bCs/>
          <w:sz w:val="28"/>
          <w:szCs w:val="28"/>
          <w:rtl/>
          <w:lang w:bidi="ar-EG"/>
        </w:rPr>
        <w:t xml:space="preserve">أولا : </w:t>
      </w:r>
      <w:r w:rsidR="00623BB8" w:rsidRPr="00F30DB3">
        <w:rPr>
          <w:rFonts w:ascii="Traditional Arabic" w:eastAsia="Calibri" w:hAnsi="Traditional Arabic" w:cs="Traditional Arabic" w:hint="cs"/>
          <w:b/>
          <w:bCs/>
          <w:sz w:val="28"/>
          <w:szCs w:val="28"/>
          <w:rtl/>
          <w:lang w:bidi="ar-EG"/>
        </w:rPr>
        <w:t>مفهوم القيادة التحويلية</w:t>
      </w:r>
      <w:r w:rsidR="00623BB8" w:rsidRPr="00F30DB3">
        <w:rPr>
          <w:rFonts w:ascii="Traditional Arabic" w:eastAsia="Calibri" w:hAnsi="Traditional Arabic" w:cs="Traditional Arabic" w:hint="cs"/>
          <w:sz w:val="28"/>
          <w:szCs w:val="28"/>
          <w:rtl/>
          <w:lang w:bidi="ar-EG"/>
        </w:rPr>
        <w:t>:</w:t>
      </w:r>
    </w:p>
    <w:p w14:paraId="07769E86" w14:textId="2A321A3C" w:rsidR="00623BB8" w:rsidRPr="00F30DB3" w:rsidRDefault="007C3457"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ي</w:t>
      </w:r>
      <w:r w:rsidR="00623BB8" w:rsidRPr="00F30DB3">
        <w:rPr>
          <w:rFonts w:ascii="Traditional Arabic" w:eastAsia="Calibri" w:hAnsi="Traditional Arabic" w:cs="Traditional Arabic" w:hint="cs"/>
          <w:sz w:val="28"/>
          <w:szCs w:val="28"/>
          <w:rtl/>
          <w:lang w:bidi="ar-EG"/>
        </w:rPr>
        <w:t xml:space="preserve">عرفها </w:t>
      </w:r>
      <w:r w:rsidR="00623BB8" w:rsidRPr="00F30DB3">
        <w:rPr>
          <w:rFonts w:ascii="Traditional Arabic" w:eastAsia="Calibri" w:hAnsi="Traditional Arabic" w:cs="Traditional Arabic" w:hint="cs"/>
          <w:b/>
          <w:bCs/>
          <w:sz w:val="28"/>
          <w:szCs w:val="28"/>
          <w:rtl/>
          <w:lang w:bidi="ar-EG"/>
        </w:rPr>
        <w:t>(أبو رمان، 2020)</w:t>
      </w:r>
      <w:r w:rsidR="00623BB8" w:rsidRPr="00F30DB3">
        <w:rPr>
          <w:rFonts w:ascii="Traditional Arabic" w:eastAsia="Calibri" w:hAnsi="Traditional Arabic" w:cs="Traditional Arabic" w:hint="cs"/>
          <w:sz w:val="28"/>
          <w:szCs w:val="28"/>
          <w:rtl/>
          <w:lang w:bidi="ar-EG"/>
        </w:rPr>
        <w:t xml:space="preserve"> على أنّها: "نمط قيادي ذو رؤية واضحة للحاجة للتغيير والتطلع إلى المستقبل، وتتمثل فيما يمتلكه القائد من شخصية جذابة ومؤثرة يستطيع من خلالها أن يؤثر في سلوكيات العاملين وتوسيع مشاركتهم، والسرعة في الاستجابة للتعامل مع أي أمر طارئ.</w:t>
      </w:r>
    </w:p>
    <w:p w14:paraId="6CAC1EDE" w14:textId="77777777" w:rsidR="00623BB8" w:rsidRPr="00F30DB3" w:rsidRDefault="00623BB8"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 xml:space="preserve"> وهي "ذلــك الــنمط القيــادي الــذي يوضــح مــدى تــأثير القائــد فــي المرؤوسيــن مــن حيــث تحفيزهم والهامهم ودفعهم نحو إتقان العمل بما ينسجم مع أهداف المنظمة</w:t>
      </w:r>
      <w:r w:rsidRPr="00F30DB3">
        <w:rPr>
          <w:rFonts w:ascii="Traditional Arabic" w:eastAsia="Calibri" w:hAnsi="Traditional Arabic" w:cs="Traditional Arabic" w:hint="cs"/>
          <w:b/>
          <w:bCs/>
          <w:sz w:val="28"/>
          <w:szCs w:val="28"/>
          <w:rtl/>
          <w:lang w:bidi="ar-EG"/>
        </w:rPr>
        <w:t xml:space="preserve"> ("حمدان، 2020).</w:t>
      </w:r>
      <w:r w:rsidRPr="00F30DB3">
        <w:rPr>
          <w:rFonts w:ascii="Traditional Arabic" w:eastAsia="Calibri" w:hAnsi="Traditional Arabic" w:cs="Traditional Arabic" w:hint="cs"/>
          <w:sz w:val="28"/>
          <w:szCs w:val="28"/>
          <w:rtl/>
          <w:lang w:bidi="ar-EG"/>
        </w:rPr>
        <w:t xml:space="preserve"> </w:t>
      </w:r>
    </w:p>
    <w:p w14:paraId="22292096" w14:textId="65029A28" w:rsidR="00623BB8" w:rsidRPr="00F30DB3" w:rsidRDefault="00623BB8"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 xml:space="preserve">ووفقًا لـ </w:t>
      </w:r>
      <w:r w:rsidRPr="00F30DB3">
        <w:rPr>
          <w:rFonts w:ascii="Traditional Arabic" w:eastAsia="Calibri" w:hAnsi="Traditional Arabic" w:cs="Traditional Arabic" w:hint="cs"/>
          <w:b/>
          <w:bCs/>
          <w:sz w:val="28"/>
          <w:szCs w:val="28"/>
          <w:rtl/>
          <w:lang w:bidi="ar-EG"/>
        </w:rPr>
        <w:t>(</w:t>
      </w:r>
      <w:r w:rsidR="00F30DB3">
        <w:rPr>
          <w:rFonts w:ascii="Traditional Arabic" w:eastAsia="Calibri" w:hAnsi="Traditional Arabic" w:cs="Traditional Arabic"/>
          <w:b/>
          <w:bCs/>
          <w:sz w:val="28"/>
          <w:szCs w:val="28"/>
          <w:lang w:bidi="ar-EG"/>
        </w:rPr>
        <w:t>2010</w:t>
      </w:r>
      <w:r w:rsidRPr="00F30DB3">
        <w:rPr>
          <w:rFonts w:ascii="Traditional Arabic" w:eastAsia="Calibri" w:hAnsi="Traditional Arabic" w:cs="Traditional Arabic" w:hint="cs"/>
          <w:b/>
          <w:bCs/>
          <w:sz w:val="28"/>
          <w:szCs w:val="28"/>
          <w:rtl/>
          <w:lang w:bidi="ar-EG"/>
        </w:rPr>
        <w:t xml:space="preserve"> </w:t>
      </w:r>
      <w:r w:rsidRPr="00F30DB3">
        <w:rPr>
          <w:rFonts w:ascii="Traditional Arabic" w:eastAsia="Calibri" w:hAnsi="Traditional Arabic" w:cs="Traditional Arabic" w:hint="cs"/>
          <w:b/>
          <w:bCs/>
          <w:sz w:val="28"/>
          <w:szCs w:val="28"/>
          <w:lang w:bidi="ar-EG"/>
        </w:rPr>
        <w:t>Yukl</w:t>
      </w:r>
      <w:r w:rsidR="00F30DB3">
        <w:rPr>
          <w:rFonts w:ascii="Traditional Arabic" w:eastAsia="Calibri" w:hAnsi="Traditional Arabic" w:cs="Traditional Arabic"/>
          <w:b/>
          <w:bCs/>
          <w:sz w:val="28"/>
          <w:szCs w:val="28"/>
          <w:lang w:bidi="ar-EG"/>
        </w:rPr>
        <w:t>,</w:t>
      </w:r>
      <w:r w:rsidR="004D510A" w:rsidRPr="00F30DB3">
        <w:rPr>
          <w:rFonts w:ascii="Traditional Arabic" w:eastAsia="Calibri" w:hAnsi="Traditional Arabic" w:cs="Traditional Arabic" w:hint="cs"/>
          <w:b/>
          <w:bCs/>
          <w:sz w:val="28"/>
          <w:szCs w:val="28"/>
          <w:rtl/>
          <w:lang w:bidi="ar-EG"/>
        </w:rPr>
        <w:t>)</w:t>
      </w:r>
      <w:r w:rsidRPr="00F30DB3">
        <w:rPr>
          <w:rFonts w:ascii="Traditional Arabic" w:eastAsia="Calibri" w:hAnsi="Traditional Arabic" w:cs="Traditional Arabic" w:hint="cs"/>
          <w:sz w:val="28"/>
          <w:szCs w:val="28"/>
          <w:rtl/>
          <w:lang w:bidi="ar-EG"/>
        </w:rPr>
        <w:t xml:space="preserve"> فقد وجد أنّ أسلوب القيادة التحويلية يعبر عن القيم الأخلاقية للأتباع في جهودهم لزيادة وعيهم بالقضايا الأخلاقية وتعبئة طاقتهم ومواردهم لإصلاح المنظمات.</w:t>
      </w:r>
    </w:p>
    <w:p w14:paraId="1ED3F0BD" w14:textId="77777777"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4"/>
          <w:szCs w:val="24"/>
          <w:rtl/>
        </w:rPr>
      </w:pPr>
      <w:r w:rsidRPr="00742BC9">
        <w:rPr>
          <w:rFonts w:ascii="Traditional Arabic" w:hAnsi="Traditional Arabic" w:cs="Traditional Arabic" w:hint="cs"/>
          <w:spacing w:val="-6"/>
          <w:sz w:val="24"/>
          <w:szCs w:val="24"/>
          <w:rtl/>
        </w:rPr>
        <w:t xml:space="preserve">كما تعرف القيادة </w:t>
      </w:r>
      <w:r w:rsidRPr="00742BC9">
        <w:rPr>
          <w:rFonts w:ascii="Traditional Arabic" w:eastAsia="Calibri" w:hAnsi="Traditional Arabic" w:cs="Traditional Arabic" w:hint="cs"/>
          <w:sz w:val="24"/>
          <w:szCs w:val="24"/>
          <w:rtl/>
          <w:lang w:bidi="ar-EG"/>
        </w:rPr>
        <w:t>التحويلية</w:t>
      </w:r>
      <w:r w:rsidRPr="00742BC9">
        <w:rPr>
          <w:rFonts w:ascii="Traditional Arabic" w:hAnsi="Traditional Arabic" w:cs="Traditional Arabic" w:hint="cs"/>
          <w:spacing w:val="-6"/>
          <w:sz w:val="24"/>
          <w:szCs w:val="24"/>
          <w:rtl/>
        </w:rPr>
        <w:t xml:space="preserve"> بأنها نمط قيادي لديه رؤية واضحة عن المستقبل وأهداف محددة وواضحة يشجع المرؤوسين على المشاركة في بلورة رؤية طويلة الأجل وتحديد أهداف واضحة واقعية للمؤسسة، ويسعى إلى إحداث التغيير والتطوير والتنمية الإدارية باستمرار، ويتبنى أنظمة وأساليب قيادية مرنة تمكن من التكيف والتأقلم مع التطورات والتغييرات العالمية المعاصرة (خيري، </w:t>
      </w:r>
      <w:r w:rsidRPr="00742BC9">
        <w:rPr>
          <w:rFonts w:ascii="Traditional Arabic" w:hAnsi="Traditional Arabic" w:cs="Traditional Arabic" w:hint="cs"/>
          <w:spacing w:val="-6"/>
          <w:sz w:val="24"/>
          <w:szCs w:val="24"/>
          <w:rtl/>
          <w:lang w:bidi="fa-IR"/>
        </w:rPr>
        <w:t>۲۰۱۳</w:t>
      </w:r>
      <w:r w:rsidRPr="00742BC9">
        <w:rPr>
          <w:rFonts w:ascii="Traditional Arabic" w:hAnsi="Traditional Arabic" w:cs="Traditional Arabic" w:hint="cs"/>
          <w:spacing w:val="-6"/>
          <w:sz w:val="24"/>
          <w:szCs w:val="24"/>
          <w:rtl/>
        </w:rPr>
        <w:t>، ٩٥).</w:t>
      </w:r>
    </w:p>
    <w:p w14:paraId="43C738C2" w14:textId="77777777"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8"/>
          <w:szCs w:val="28"/>
          <w:rtl/>
        </w:rPr>
      </w:pPr>
      <w:r w:rsidRPr="00742BC9">
        <w:rPr>
          <w:rFonts w:ascii="Traditional Arabic" w:hAnsi="Traditional Arabic" w:cs="Traditional Arabic" w:hint="cs"/>
          <w:spacing w:val="-6"/>
          <w:sz w:val="28"/>
          <w:szCs w:val="28"/>
          <w:rtl/>
        </w:rPr>
        <w:t>وإن القيادة التحويلية تكون في تهيئة الظروف المناسبة لتنمية قدرات ومهارات الموظفين أو العاملين بشكل مستمر ضمن رؤية واضحة عن المستقبل وأهداف محددة وواضحة، حيث يشجع المرؤوسين على المشاركة في بلورة رؤية طويلة الأجل، وتحديد أهداف واضحة واقعية للمؤسسة، كما يسعى القائد التحويلي إلى إحداث التغيير والتطوير والتنمية الإدارية باستمرار تمكن التكيف والتأقلم مع التطورات والتغييرات العالمية المعاصرة، ويهتم بالعمل الجماعي المنظم وبناء فرق العمل، مع حرص القائد التحويلي على العمل ضمن فريق عمل.</w:t>
      </w:r>
    </w:p>
    <w:p w14:paraId="4CD949DC" w14:textId="23410FC9"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4"/>
          <w:szCs w:val="24"/>
          <w:rtl/>
        </w:rPr>
      </w:pPr>
      <w:r w:rsidRPr="00742BC9">
        <w:rPr>
          <w:rFonts w:ascii="Traditional Arabic" w:eastAsia="Calibri" w:hAnsi="Traditional Arabic" w:cs="Traditional Arabic" w:hint="cs"/>
          <w:sz w:val="24"/>
          <w:szCs w:val="24"/>
          <w:rtl/>
          <w:lang w:bidi="ar-EG"/>
        </w:rPr>
        <w:lastRenderedPageBreak/>
        <w:t xml:space="preserve">من خلال هذه التعريفات يمكن أن نستنتج بأن القيادة التحويلية هي: "القيادة التي تتجاوز التبادل أو التقدير فقط للأداء الذي يقدمه المرؤوسون، ولكنها تعتمد بشكل أكبر على الثقة والالتزام حيث يهتم القادة التحويليون باحتياجات التطوير لكل مرؤوس من خلال مساعدتهم على رؤية المشكلات القديمة بطرق جديدة، فالقادة التحويلين قادرون على تحفيز التابعين ورعايتهم وإلهامهم لبذل جهود إضافية لتحقيق </w:t>
      </w:r>
      <w:r w:rsidRPr="00742BC9">
        <w:rPr>
          <w:rFonts w:ascii="Traditional Arabic" w:hAnsi="Traditional Arabic" w:cs="Traditional Arabic" w:hint="cs"/>
          <w:spacing w:val="-6"/>
          <w:sz w:val="24"/>
          <w:szCs w:val="24"/>
          <w:rtl/>
        </w:rPr>
        <w:t>أهداف</w:t>
      </w:r>
      <w:r w:rsidRPr="00742BC9">
        <w:rPr>
          <w:rFonts w:ascii="Traditional Arabic" w:eastAsia="Calibri" w:hAnsi="Traditional Arabic" w:cs="Traditional Arabic" w:hint="cs"/>
          <w:sz w:val="24"/>
          <w:szCs w:val="24"/>
          <w:rtl/>
          <w:lang w:bidi="ar-EG"/>
        </w:rPr>
        <w:t xml:space="preserve"> المنظمة"، فالقيادة التحويلية تعمل على تحقيق الأهداف التي تسعى إليها بحيث يشعر المرؤوسون بالثقة والقيمة وسيقدر المرؤوسون قادتهم أكثر، لذلك ولتحقيق أهداف الدراسة الحالية يمكن تعريف القيادة التحويلية على أنّها: "قدرة قائد المنظمة الصحية على تحقيق أهداف المنظمة من خلال تبادل الأدوار مع المرؤوسين</w:t>
      </w:r>
      <w:r w:rsidR="004D510A"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نور، 2020). </w:t>
      </w:r>
    </w:p>
    <w:p w14:paraId="46F35F87" w14:textId="234776D8" w:rsidR="00623BB8" w:rsidRPr="00742BC9" w:rsidRDefault="00FE464C" w:rsidP="00623BB8">
      <w:pPr>
        <w:bidi/>
        <w:spacing w:after="200" w:line="360" w:lineRule="auto"/>
        <w:contextualSpacing/>
        <w:jc w:val="both"/>
        <w:rPr>
          <w:rFonts w:ascii="Traditional Arabic" w:eastAsia="Calibri" w:hAnsi="Traditional Arabic" w:cs="Traditional Arabic"/>
          <w:b/>
          <w:bCs/>
          <w:sz w:val="28"/>
          <w:szCs w:val="28"/>
          <w:rtl/>
          <w:lang w:bidi="ar-EG"/>
        </w:rPr>
      </w:pPr>
      <w:r w:rsidRPr="00742BC9">
        <w:rPr>
          <w:rFonts w:ascii="Traditional Arabic" w:eastAsia="Calibri" w:hAnsi="Traditional Arabic" w:cs="Traditional Arabic" w:hint="cs"/>
          <w:b/>
          <w:bCs/>
          <w:sz w:val="28"/>
          <w:szCs w:val="28"/>
          <w:rtl/>
          <w:lang w:bidi="ar-EG"/>
        </w:rPr>
        <w:t xml:space="preserve">ثانياً: </w:t>
      </w:r>
      <w:r w:rsidR="00623BB8" w:rsidRPr="00742BC9">
        <w:rPr>
          <w:rFonts w:ascii="Traditional Arabic" w:eastAsia="Calibri" w:hAnsi="Traditional Arabic" w:cs="Traditional Arabic" w:hint="cs"/>
          <w:b/>
          <w:bCs/>
          <w:sz w:val="28"/>
          <w:szCs w:val="28"/>
          <w:rtl/>
          <w:lang w:bidi="ar-EG"/>
        </w:rPr>
        <w:t>أهمية القيادة التحويلية:</w:t>
      </w:r>
    </w:p>
    <w:p w14:paraId="01A49962" w14:textId="77777777" w:rsidR="00623BB8" w:rsidRPr="00742BC9" w:rsidRDefault="00623BB8" w:rsidP="00742BC9">
      <w:p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 xml:space="preserve">تعود أهمية القيادة التحويلية كنمط قيادي حديث إلى العوامل التالية: (العمري، 2023) </w:t>
      </w:r>
    </w:p>
    <w:p w14:paraId="229D0830" w14:textId="4BD5EB04" w:rsidR="00623BB8" w:rsidRPr="00742BC9" w:rsidRDefault="00623BB8">
      <w:pPr>
        <w:numPr>
          <w:ilvl w:val="0"/>
          <w:numId w:val="5"/>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 xml:space="preserve">تسعى القيادة التحويلية ومن خلال تفويض السلطات إلى تمكين العاملين من والعمل على تطوير مهاراتهم </w:t>
      </w:r>
      <w:r w:rsidR="004D510A" w:rsidRPr="00742BC9">
        <w:rPr>
          <w:rFonts w:ascii="Traditional Arabic" w:eastAsia="Calibri" w:hAnsi="Traditional Arabic" w:cs="Traditional Arabic" w:hint="cs"/>
          <w:sz w:val="24"/>
          <w:szCs w:val="24"/>
          <w:rtl/>
          <w:lang w:bidi="ar-EG"/>
        </w:rPr>
        <w:t>و</w:t>
      </w:r>
      <w:r w:rsidRPr="00742BC9">
        <w:rPr>
          <w:rFonts w:ascii="Traditional Arabic" w:eastAsia="Calibri" w:hAnsi="Traditional Arabic" w:cs="Traditional Arabic" w:hint="cs"/>
          <w:sz w:val="24"/>
          <w:szCs w:val="24"/>
          <w:rtl/>
          <w:lang w:bidi="ar-EG"/>
        </w:rPr>
        <w:t>تعزيز الثقة بأنفسهم، أيضا والعمل على تشكيل فرق عمل معتمدة على نفسها ذاتياً.</w:t>
      </w:r>
    </w:p>
    <w:p w14:paraId="7D4FED21" w14:textId="7AE71AB8" w:rsidR="00623BB8" w:rsidRPr="00742BC9" w:rsidRDefault="004D510A">
      <w:pPr>
        <w:numPr>
          <w:ilvl w:val="0"/>
          <w:numId w:val="5"/>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يمكن أن ت</w:t>
      </w:r>
      <w:r w:rsidR="00623BB8" w:rsidRPr="00742BC9">
        <w:rPr>
          <w:rFonts w:ascii="Traditional Arabic" w:eastAsia="Calibri" w:hAnsi="Traditional Arabic" w:cs="Traditional Arabic" w:hint="cs"/>
          <w:sz w:val="24"/>
          <w:szCs w:val="24"/>
          <w:rtl/>
          <w:lang w:bidi="ar-EG"/>
        </w:rPr>
        <w:t>تطو</w:t>
      </w:r>
      <w:r w:rsidRPr="00742BC9">
        <w:rPr>
          <w:rFonts w:ascii="Traditional Arabic" w:eastAsia="Calibri" w:hAnsi="Traditional Arabic" w:cs="Traditional Arabic" w:hint="cs"/>
          <w:sz w:val="24"/>
          <w:szCs w:val="24"/>
          <w:rtl/>
          <w:lang w:bidi="ar-EG"/>
        </w:rPr>
        <w:t>ي</w:t>
      </w:r>
      <w:r w:rsidR="00623BB8" w:rsidRPr="00742BC9">
        <w:rPr>
          <w:rFonts w:ascii="Traditional Arabic" w:eastAsia="Calibri" w:hAnsi="Traditional Arabic" w:cs="Traditional Arabic" w:hint="cs"/>
          <w:sz w:val="24"/>
          <w:szCs w:val="24"/>
          <w:rtl/>
          <w:lang w:bidi="ar-EG"/>
        </w:rPr>
        <w:t>ر صفات القيادة التحويلية وتتحسن عن طريق التدريب، الذي يترك تأثيراً مهماً على تصورات والتزامات وأداء التابعين في مختلف مستويات المنظمة.</w:t>
      </w:r>
    </w:p>
    <w:p w14:paraId="7E491291" w14:textId="77777777" w:rsidR="00623BB8" w:rsidRPr="00742BC9" w:rsidRDefault="00623BB8">
      <w:pPr>
        <w:numPr>
          <w:ilvl w:val="0"/>
          <w:numId w:val="5"/>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 xml:space="preserve"> تتبنى القيادة التحويلية فكرة "المسؤولية الأخلاقية"التي تحفز العاملين أن يفضلوا المصلحة العامة على الميول الذاتية، الشيء الذي يؤدي إلى اكتساب السلوك التعاوني داخل المنظومة.</w:t>
      </w:r>
    </w:p>
    <w:p w14:paraId="1FBEAC59" w14:textId="16009D9B" w:rsidR="00623BB8" w:rsidRPr="00742BC9" w:rsidRDefault="00623BB8">
      <w:pPr>
        <w:numPr>
          <w:ilvl w:val="0"/>
          <w:numId w:val="5"/>
        </w:num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القيادة التحويلية نمط قيادي يصلح للتطبيق في جميع المنظمات وفي مختلف المستويات والتي بحاجة إلى التغيير الجذري وحتى في المنظمات الناجحة، وهي صالحة بشكل عام لمواجهة جميع الحالات</w:t>
      </w:r>
      <w:r w:rsidR="007C3457"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 كما تظهر أهمية القيادة التحويلية في أنّها تحدد مسارات المرؤوسين التي تسهم في تحقيق الأهداف، وتمنح الحوافز للمرؤوسين لدفعهم لتحقيق الأهداف، وتزيل العقبات التي تحول دون تحقيق الأهداف، وتزيد من رضا المرؤوسين، وتجنب المنظمة المخاطر، وتهتم بالمحددات الزمنية للأداء، وتعالج كل ما يعيق السيطرة والتحكم (العجمي، 2020). </w:t>
      </w:r>
    </w:p>
    <w:p w14:paraId="70E6988A" w14:textId="71DB1E63" w:rsidR="00623BB8" w:rsidRPr="00742BC9" w:rsidRDefault="00FE464C" w:rsidP="00623BB8">
      <w:pPr>
        <w:tabs>
          <w:tab w:val="left" w:pos="416"/>
        </w:tabs>
        <w:bidi/>
        <w:spacing w:after="200" w:line="276" w:lineRule="auto"/>
        <w:jc w:val="both"/>
        <w:rPr>
          <w:rFonts w:ascii="Traditional Arabic" w:eastAsia="Calibri" w:hAnsi="Traditional Arabic" w:cs="Traditional Arabic"/>
          <w:b/>
          <w:bCs/>
          <w:sz w:val="28"/>
          <w:szCs w:val="28"/>
          <w:rtl/>
          <w:lang w:bidi="ar-EG"/>
        </w:rPr>
      </w:pPr>
      <w:r w:rsidRPr="00742BC9">
        <w:rPr>
          <w:rFonts w:ascii="Traditional Arabic" w:eastAsia="Calibri" w:hAnsi="Traditional Arabic" w:cs="Traditional Arabic" w:hint="cs"/>
          <w:b/>
          <w:bCs/>
          <w:sz w:val="28"/>
          <w:szCs w:val="28"/>
          <w:rtl/>
          <w:lang w:bidi="ar-EG"/>
        </w:rPr>
        <w:t xml:space="preserve">ثالثاً : </w:t>
      </w:r>
      <w:r w:rsidR="00623BB8" w:rsidRPr="00742BC9">
        <w:rPr>
          <w:rFonts w:ascii="Traditional Arabic" w:eastAsia="Calibri" w:hAnsi="Traditional Arabic" w:cs="Traditional Arabic" w:hint="cs"/>
          <w:b/>
          <w:bCs/>
          <w:sz w:val="28"/>
          <w:szCs w:val="28"/>
          <w:rtl/>
          <w:lang w:bidi="ar-EG"/>
        </w:rPr>
        <w:t xml:space="preserve">أدوات القيادة التحويلية: </w:t>
      </w:r>
    </w:p>
    <w:p w14:paraId="7D1EDC47" w14:textId="77777777" w:rsidR="00174870" w:rsidRPr="00742BC9" w:rsidRDefault="00623BB8" w:rsidP="00623BB8">
      <w:pPr>
        <w:tabs>
          <w:tab w:val="left" w:pos="416"/>
        </w:tabs>
        <w:bidi/>
        <w:spacing w:after="200" w:line="276" w:lineRule="auto"/>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أشار (نور،2020) إلى أنّ القيادة التحويلية تتكون من الأدوات الموضحة بالشكل التالى</w:t>
      </w:r>
      <w:r w:rsidR="00174870"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 </w:t>
      </w:r>
    </w:p>
    <w:p w14:paraId="68DE1CFA" w14:textId="77777777" w:rsidR="00742BC9" w:rsidRDefault="00742BC9" w:rsidP="00174870">
      <w:pPr>
        <w:tabs>
          <w:tab w:val="left" w:pos="416"/>
        </w:tabs>
        <w:bidi/>
        <w:spacing w:after="200" w:line="276" w:lineRule="auto"/>
        <w:jc w:val="center"/>
        <w:rPr>
          <w:rFonts w:ascii="Simplified Arabic" w:eastAsia="Calibri" w:hAnsi="Simplified Arabic" w:cs="Simplified Arabic"/>
          <w:b/>
          <w:bCs/>
          <w:sz w:val="24"/>
          <w:szCs w:val="24"/>
          <w:lang w:bidi="ar-EG"/>
        </w:rPr>
      </w:pPr>
    </w:p>
    <w:p w14:paraId="2B59FA2D"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56D426CA"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092FBBE8"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2B634734" w14:textId="6958C7E4" w:rsidR="00174870" w:rsidRPr="00742BC9" w:rsidRDefault="00623BB8" w:rsidP="00742BC9">
      <w:pPr>
        <w:tabs>
          <w:tab w:val="left" w:pos="416"/>
        </w:tabs>
        <w:bidi/>
        <w:spacing w:after="200" w:line="276" w:lineRule="auto"/>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lastRenderedPageBreak/>
        <w:t>الشكل (</w:t>
      </w:r>
      <w:r w:rsidR="004959E0">
        <w:rPr>
          <w:rFonts w:ascii="Traditional Arabic" w:eastAsia="Calibri" w:hAnsi="Traditional Arabic" w:cs="Traditional Arabic" w:hint="cs"/>
          <w:b/>
          <w:bCs/>
          <w:sz w:val="24"/>
          <w:szCs w:val="24"/>
          <w:rtl/>
          <w:lang w:bidi="ar-EG"/>
        </w:rPr>
        <w:t>4</w:t>
      </w:r>
      <w:r w:rsidRPr="00742BC9">
        <w:rPr>
          <w:rFonts w:ascii="Traditional Arabic" w:eastAsia="Calibri" w:hAnsi="Traditional Arabic" w:cs="Traditional Arabic" w:hint="cs"/>
          <w:b/>
          <w:bCs/>
          <w:sz w:val="24"/>
          <w:szCs w:val="24"/>
          <w:rtl/>
          <w:lang w:bidi="ar-EG"/>
        </w:rPr>
        <w:t>) أدوات القيادة التحويلية</w:t>
      </w:r>
    </w:p>
    <w:p w14:paraId="54EB86CC" w14:textId="7709360C" w:rsidR="00174870" w:rsidRPr="00742BC9" w:rsidRDefault="00174870" w:rsidP="00174870">
      <w:pPr>
        <w:tabs>
          <w:tab w:val="left" w:pos="416"/>
        </w:tabs>
        <w:bidi/>
        <w:spacing w:after="200" w:line="276" w:lineRule="auto"/>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noProof/>
          <w:sz w:val="28"/>
          <w:szCs w:val="28"/>
          <w:rtl/>
          <w:lang w:val="ar-EG" w:bidi="ar-EG"/>
        </w:rPr>
        <w:drawing>
          <wp:inline distT="0" distB="0" distL="0" distR="0" wp14:anchorId="376B5CED" wp14:editId="47362E75">
            <wp:extent cx="5274310" cy="3076575"/>
            <wp:effectExtent l="0" t="12700" r="0" b="34925"/>
            <wp:docPr id="107023573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CD1D811" w14:textId="64170520" w:rsidR="00623BB8" w:rsidRPr="00742BC9" w:rsidRDefault="00174870" w:rsidP="007C3457">
      <w:pPr>
        <w:tabs>
          <w:tab w:val="left" w:pos="416"/>
        </w:tabs>
        <w:bidi/>
        <w:spacing w:after="200" w:line="276" w:lineRule="auto"/>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إعداد/ الياحثة</w:t>
      </w:r>
      <w:r w:rsidR="007C3457" w:rsidRPr="00742BC9">
        <w:rPr>
          <w:rFonts w:ascii="Traditional Arabic" w:eastAsia="Calibri" w:hAnsi="Traditional Arabic" w:cs="Traditional Arabic" w:hint="cs"/>
          <w:b/>
          <w:bCs/>
          <w:sz w:val="24"/>
          <w:szCs w:val="24"/>
          <w:rtl/>
          <w:lang w:bidi="ar-EG"/>
        </w:rPr>
        <w:t xml:space="preserve"> إستندادأً للمرجع السابق</w:t>
      </w:r>
      <w:r w:rsidRPr="00742BC9">
        <w:rPr>
          <w:rFonts w:ascii="Traditional Arabic" w:eastAsia="Calibri" w:hAnsi="Traditional Arabic" w:cs="Traditional Arabic" w:hint="cs"/>
          <w:b/>
          <w:bCs/>
          <w:sz w:val="24"/>
          <w:szCs w:val="24"/>
          <w:rtl/>
          <w:lang w:bidi="ar-EG"/>
        </w:rPr>
        <w:t>.</w:t>
      </w:r>
    </w:p>
    <w:p w14:paraId="0ED027F2" w14:textId="77777777" w:rsidR="00623BB8" w:rsidRPr="00742BC9" w:rsidRDefault="00623BB8" w:rsidP="00742BC9">
      <w:pPr>
        <w:bidi/>
        <w:spacing w:after="200" w:line="360" w:lineRule="auto"/>
        <w:ind w:firstLine="720"/>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لكن المتأمل لهذه الأدوات يستنتج بأنه يمكن استخدامها القائد منفردة أو مجتمعة، ولكنها تختلف عما اتفق عليه أغلب الباحثين من أنّ أبعاد القيادة التحويلية هي: (التجاني، 2020)؛( أبو رمان، 2020)</w:t>
      </w:r>
    </w:p>
    <w:p w14:paraId="62993040" w14:textId="622C861F" w:rsidR="00623BB8" w:rsidRPr="00742BC9" w:rsidRDefault="00623BB8">
      <w:pPr>
        <w:pStyle w:val="ListParagraph"/>
        <w:numPr>
          <w:ilvl w:val="0"/>
          <w:numId w:val="4"/>
        </w:numPr>
        <w:bidi/>
        <w:spacing w:after="200" w:line="360" w:lineRule="auto"/>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 xml:space="preserve">التأثير المثالي: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التأثير المثالي: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 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الولاء والالتزام للقائد، وتعرف المرؤوسين بالقائد </w:t>
      </w:r>
      <w:r w:rsidRPr="00742BC9">
        <w:rPr>
          <w:rFonts w:ascii="Traditional Arabic" w:eastAsia="Calibri" w:hAnsi="Traditional Arabic" w:cs="Traditional Arabic" w:hint="cs"/>
          <w:sz w:val="24"/>
          <w:szCs w:val="24"/>
          <w:rtl/>
          <w:lang w:bidi="ar-EG"/>
        </w:rPr>
        <w:lastRenderedPageBreak/>
        <w:t>ورسالته، وتبني قيمه وأهدافه وسلوكه وصدق معتقداته، ويرتبط التأثير الإلهامي بالمخاطر، وإيجاد الحلول الواقعية لها، إذ ينفتح المرؤوسون للقادة لقوة شخصيتهم وثقتهم بنفسهم، ولباقتهم، ولتعبيرهم العاطفي، وتقبلهم للمخاطرة .</w:t>
      </w:r>
    </w:p>
    <w:p w14:paraId="29DCF014"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الدافعية الالهامية:</w:t>
      </w:r>
      <w:r w:rsidRPr="00742BC9">
        <w:rPr>
          <w:rFonts w:ascii="Traditional Arabic" w:eastAsia="Calibri" w:hAnsi="Traditional Arabic" w:cs="Traditional Arabic" w:hint="cs"/>
          <w:sz w:val="28"/>
          <w:szCs w:val="28"/>
          <w:rtl/>
          <w:lang w:bidi="ar-EG"/>
        </w:rPr>
        <w:t xml:space="preserve"> وهي القدرة على بث الحركة والوعي والحافز لدى المرؤوسين، فالقائد الملهم يستطيع وضع الأهداف الصعبة في إطار قابل للتحقيق، ويمتلك عادةً حساسية وفهماً للمحيط الذي يعمل به، وفهماً لقدرات الآخرين وحاجاتهم وتطلعاتهم بحيث يستطيع أن يوظف هذا الفهم في بث روح العمل والنشاط والتحدي الإيجابي، فهو يعتمد على الحافز الإلهامي، ولديه القدرة على تحفيز المرؤوسين إلى مستوى الأداء الأعلى، فالقادة الممارسون للدافع الإلهامي يكونون قادرين على توصيل الرؤية المستقبلية، التي سيكون المرؤوسون قادرين على قبولها، ويناضلون من أجلها، إلى جانب قدرتهم على الارتقاء بتوقعات المرؤوسين، وبالتالي يستطيعون الحصول على أداء يفوق الأداء المخطط من المرؤوسين، ويعملون على إلهام المرؤوسين وتحفيزهم؛ من خلال توفير التحدي في العمل ،إلى جانب بناء العلاقات القوية؛ وذلك من خلال الاتصالات التي تخلق الروابط الثقافية بين المشاركين، وتؤدي إلى تحويل قيم الطرفين إلى قيم مشتركة ، وهناك مجموعة من الأدوات التي يستعين بها القائد المحفز الإلهامي وذلك لخلق رؤية مشتركة بينه وبين المرؤوسين.</w:t>
      </w:r>
    </w:p>
    <w:p w14:paraId="1BF2E72A"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b/>
          <w:bCs/>
          <w:sz w:val="28"/>
          <w:szCs w:val="28"/>
          <w:rtl/>
          <w:lang w:bidi="ar-EG"/>
        </w:rPr>
        <w:t>الاستثارة الفكرية:</w:t>
      </w:r>
      <w:r w:rsidRPr="00742BC9">
        <w:rPr>
          <w:rFonts w:ascii="Traditional Arabic" w:eastAsia="Calibri" w:hAnsi="Traditional Arabic" w:cs="Traditional Arabic" w:hint="cs"/>
          <w:sz w:val="28"/>
          <w:szCs w:val="28"/>
          <w:rtl/>
          <w:lang w:bidi="ar-EG"/>
        </w:rPr>
        <w:t xml:space="preserve"> وتشير إلى ابتكار القائد التحويلي لأفكار جديدة تثير المرؤوسين، للتعرف إلى المشكلات، وتقديم الحلول لها بطرق إبداعية، ودعم النماذج الجديدة والخلاقة لتأدية الأعمال، فالقائد يحدد الفرص والتهديدات، ونقاط القوة ونقاط الضعف للمنظمة ويدركها بشكل جيد، ومن ثم يحدد حلولًا عالية الجودة يتم تنفيذها بالالتزام الكامل من قبل المرؤوسين، فهؤلاء القادة يثيرون الأفكار الجديدة، ويشجعون المرؤوسين لحل المشكلات بطريقة خلاقة، ويدعمون المداخل الإبداعية في إنجاز العمل، ويروجون التشجيع الإبداعي بين المرؤوسين، وينشرون روح الابتكار والإبداع في بيئة العمل، ويشجعون المرؤوسين على إعادة النظر في أساليب العمل القديمة، وتعزيز الأفكار الإبداعية.</w:t>
      </w:r>
    </w:p>
    <w:p w14:paraId="64EB419A" w14:textId="7B9C748C"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b/>
          <w:bCs/>
          <w:sz w:val="24"/>
          <w:szCs w:val="24"/>
          <w:rtl/>
          <w:lang w:bidi="ar-EG"/>
        </w:rPr>
        <w:t>الاعتبارية الفردية:</w:t>
      </w:r>
      <w:r w:rsidRPr="00742BC9">
        <w:rPr>
          <w:rFonts w:ascii="Traditional Arabic" w:eastAsia="Calibri" w:hAnsi="Traditional Arabic" w:cs="Traditional Arabic" w:hint="cs"/>
          <w:sz w:val="24"/>
          <w:szCs w:val="24"/>
          <w:rtl/>
          <w:lang w:bidi="ar-EG"/>
        </w:rPr>
        <w:t xml:space="preserve"> وهي مجموعة السلوكيات التي يستطيع القائد من خلالها أن يعطي اهتماماً شخصياً لكل مرؤوس؛ وذلك من خلال التعرف إلى المطالب والميول الخاصة بهؤلاء، ومراعاة الفوارق بين المرؤوسين عند إشباع هذه الحاجات، فالاهتمام بالأفراد يُعد خدمة وتضحية وإيثاراً من القيادة المذكورة، حتى لا يكون فقط ممثلا لدور السلطة الرقابية على هؤلاء الأفراد، فالقيادة تعمل على إثارتهم، والاتصال معهم على نحو دائم، فهي مسؤولة عن تقديم التدريب والتعليم للمرؤوسين،</w:t>
      </w:r>
      <w:r w:rsidRPr="00742BC9">
        <w:rPr>
          <w:rFonts w:ascii="Traditional Arabic" w:eastAsia="Calibri" w:hAnsi="Traditional Arabic" w:cs="Traditional Arabic" w:hint="cs"/>
          <w:sz w:val="24"/>
          <w:szCs w:val="24"/>
          <w:rtl/>
        </w:rPr>
        <w:t xml:space="preserve"> </w:t>
      </w:r>
      <w:r w:rsidRPr="00742BC9">
        <w:rPr>
          <w:rFonts w:ascii="Traditional Arabic" w:eastAsia="Calibri" w:hAnsi="Traditional Arabic" w:cs="Traditional Arabic" w:hint="cs"/>
          <w:sz w:val="24"/>
          <w:szCs w:val="24"/>
          <w:rtl/>
          <w:lang w:bidi="ar-EG"/>
        </w:rPr>
        <w:t>ومنحهم الفرص المختلفة، فالقائد التحويلي يركز الانتباه حول تطوير مرؤوسيه باتجاهه، ليكونوا تحويليين أيضاً، ويمكن مما سبق تلخيص أبعاد القيادة التحويلية كما في الشكل التالى :</w:t>
      </w:r>
    </w:p>
    <w:p w14:paraId="30409547" w14:textId="22205FE1" w:rsidR="00623BB8" w:rsidRPr="00742BC9" w:rsidRDefault="00623BB8" w:rsidP="00623BB8">
      <w:pPr>
        <w:bidi/>
        <w:spacing w:after="200" w:line="360" w:lineRule="auto"/>
        <w:ind w:left="360"/>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lastRenderedPageBreak/>
        <w:t>الشكل (</w:t>
      </w:r>
      <w:r w:rsidR="004959E0">
        <w:rPr>
          <w:rFonts w:ascii="Traditional Arabic" w:eastAsia="Calibri" w:hAnsi="Traditional Arabic" w:cs="Traditional Arabic" w:hint="cs"/>
          <w:b/>
          <w:bCs/>
          <w:sz w:val="24"/>
          <w:szCs w:val="24"/>
          <w:rtl/>
          <w:lang w:bidi="ar-EG"/>
        </w:rPr>
        <w:t>5</w:t>
      </w:r>
      <w:r w:rsidRPr="00742BC9">
        <w:rPr>
          <w:rFonts w:ascii="Traditional Arabic" w:eastAsia="Calibri" w:hAnsi="Traditional Arabic" w:cs="Traditional Arabic" w:hint="cs"/>
          <w:b/>
          <w:bCs/>
          <w:sz w:val="24"/>
          <w:szCs w:val="24"/>
          <w:rtl/>
          <w:lang w:bidi="ar-EG"/>
        </w:rPr>
        <w:t>) أبعاد القيادة التحويلية</w:t>
      </w:r>
    </w:p>
    <w:p w14:paraId="275FC721" w14:textId="2C821B99" w:rsidR="002B6E46" w:rsidRPr="00742BC9" w:rsidRDefault="002B6E46" w:rsidP="002B6E46">
      <w:pPr>
        <w:bidi/>
        <w:spacing w:after="200" w:line="360" w:lineRule="auto"/>
        <w:ind w:left="360"/>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noProof/>
          <w:sz w:val="24"/>
          <w:szCs w:val="24"/>
          <w:rtl/>
          <w:lang w:val="ar-EG" w:bidi="ar-EG"/>
        </w:rPr>
        <w:drawing>
          <wp:inline distT="0" distB="0" distL="0" distR="0" wp14:anchorId="16699513" wp14:editId="38C9A38D">
            <wp:extent cx="5274310" cy="3076575"/>
            <wp:effectExtent l="0" t="0" r="0" b="9525"/>
            <wp:docPr id="919496594"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DCAC21D" w14:textId="4DCAA0C4" w:rsidR="00A50C6C" w:rsidRPr="00742BC9" w:rsidRDefault="00A50C6C" w:rsidP="007C3457">
      <w:pPr>
        <w:bidi/>
        <w:spacing w:after="200" w:line="360" w:lineRule="auto"/>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إعداد/ الباحثة</w:t>
      </w:r>
      <w:r w:rsidR="007C3457" w:rsidRPr="00742BC9">
        <w:rPr>
          <w:rFonts w:ascii="Traditional Arabic" w:eastAsia="Calibri" w:hAnsi="Traditional Arabic" w:cs="Traditional Arabic" w:hint="cs"/>
          <w:b/>
          <w:bCs/>
          <w:sz w:val="24"/>
          <w:szCs w:val="24"/>
          <w:rtl/>
          <w:lang w:bidi="ar-EG"/>
        </w:rPr>
        <w:t xml:space="preserve"> مستندة إلى الدراسات السابقة</w:t>
      </w:r>
      <w:r w:rsidRPr="00742BC9">
        <w:rPr>
          <w:rFonts w:ascii="Traditional Arabic" w:eastAsia="Calibri" w:hAnsi="Traditional Arabic" w:cs="Traditional Arabic" w:hint="cs"/>
          <w:b/>
          <w:bCs/>
          <w:sz w:val="24"/>
          <w:szCs w:val="24"/>
          <w:rtl/>
          <w:lang w:bidi="ar-EG"/>
        </w:rPr>
        <w:t>.</w:t>
      </w:r>
    </w:p>
    <w:p w14:paraId="38AB8096" w14:textId="5C95116F" w:rsidR="00623BB8" w:rsidRPr="00742BC9" w:rsidRDefault="00FE464C" w:rsidP="00742BC9">
      <w:pPr>
        <w:bidi/>
        <w:spacing w:after="200" w:line="360" w:lineRule="auto"/>
        <w:contextualSpacing/>
        <w:rPr>
          <w:rFonts w:ascii="Traditional Arabic" w:eastAsia="Calibri" w:hAnsi="Traditional Arabic" w:cs="Traditional Arabic"/>
          <w:sz w:val="32"/>
          <w:szCs w:val="32"/>
          <w:rtl/>
          <w:lang w:bidi="ar-EG"/>
        </w:rPr>
      </w:pPr>
      <w:r w:rsidRPr="00742BC9">
        <w:rPr>
          <w:rFonts w:ascii="Traditional Arabic" w:eastAsia="Calibri" w:hAnsi="Traditional Arabic" w:cs="Traditional Arabic" w:hint="cs"/>
          <w:b/>
          <w:bCs/>
          <w:sz w:val="32"/>
          <w:szCs w:val="32"/>
          <w:rtl/>
          <w:lang w:bidi="ar-EG"/>
        </w:rPr>
        <w:t xml:space="preserve">رابعاً : </w:t>
      </w:r>
      <w:r w:rsidR="00623BB8" w:rsidRPr="00742BC9">
        <w:rPr>
          <w:rFonts w:ascii="Traditional Arabic" w:eastAsia="Calibri" w:hAnsi="Traditional Arabic" w:cs="Traditional Arabic" w:hint="cs"/>
          <w:b/>
          <w:bCs/>
          <w:sz w:val="32"/>
          <w:szCs w:val="32"/>
          <w:rtl/>
          <w:lang w:bidi="ar-EG"/>
        </w:rPr>
        <w:t>أنماط القيـادية التحويـلية:</w:t>
      </w:r>
    </w:p>
    <w:p w14:paraId="2670D263" w14:textId="7598CC18" w:rsidR="00623BB8" w:rsidRPr="00742BC9" w:rsidRDefault="00623BB8" w:rsidP="00742BC9">
      <w:p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sz w:val="28"/>
          <w:szCs w:val="28"/>
          <w:rtl/>
          <w:lang w:bidi="ar-EG"/>
        </w:rPr>
        <w:t xml:space="preserve">تتخذ القيادة التحويلية عدة أنماط وهي: </w:t>
      </w:r>
      <w:r w:rsidRPr="00742BC9">
        <w:rPr>
          <w:rFonts w:ascii="Traditional Arabic" w:eastAsia="Calibri" w:hAnsi="Traditional Arabic" w:cs="Traditional Arabic" w:hint="cs"/>
          <w:b/>
          <w:bCs/>
          <w:sz w:val="28"/>
          <w:szCs w:val="28"/>
          <w:rtl/>
          <w:lang w:bidi="ar-EG"/>
        </w:rPr>
        <w:t>(بابكر،2020؛ التجاني، 2020)</w:t>
      </w:r>
    </w:p>
    <w:p w14:paraId="5143D5EA"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القيادة العقلانية:</w:t>
      </w:r>
      <w:r w:rsidRPr="00742BC9">
        <w:rPr>
          <w:rFonts w:ascii="Traditional Arabic" w:eastAsia="Calibri" w:hAnsi="Traditional Arabic" w:cs="Traditional Arabic" w:hint="cs"/>
          <w:sz w:val="28"/>
          <w:szCs w:val="28"/>
          <w:rtl/>
          <w:lang w:bidi="ar-EG"/>
        </w:rPr>
        <w:t xml:space="preserve"> وتستخدم للإشارة إلى تبني أفكار ومعارف وقيم معينة، فالشخص الذي يتعامل مع نوعية الأفكار، ويعمل على التوحيد بينها من خلال تصور منظم، يعد عقلانياً، والقائد العقلاني هو الذي تتوافر لديه القدرة على تغيير المجتمع من خلال تقديمه لأفكار ونظريات جديدة، وتعد القيادة العقلانية قيادة تحويلية؛ لأنها تؤدي إلى تغيير الأفكار والفلسفة.</w:t>
      </w:r>
    </w:p>
    <w:p w14:paraId="32724375" w14:textId="718663C1"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القيادة الإصلاحية:</w:t>
      </w:r>
      <w:r w:rsidRPr="00742BC9">
        <w:rPr>
          <w:rFonts w:ascii="Traditional Arabic" w:eastAsia="Calibri" w:hAnsi="Traditional Arabic" w:cs="Traditional Arabic" w:hint="cs"/>
          <w:sz w:val="28"/>
          <w:szCs w:val="28"/>
          <w:rtl/>
          <w:lang w:bidi="ar-EG"/>
        </w:rPr>
        <w:t xml:space="preserve"> هذه القيادة تحتاج إلى إمكانيات استثنائية وذلك للحاجة إلى دعم و إسناد قوي من الموظفين تحت الرئيس، حتى نصل إلى تغيير هادف في الوضع المتوفر حينها، ولكي يصل الشخص إلى مرحلة أن يكون قائداً حقيقياً فإنه يحتاج فقط إلى التدرج في سيره، وأن تتوفر لديه الرغبة في الإصلاح، وبالرغم من أن القيادة الإصلاحية تمثل جزءا ً من القيادة التحويلية، فقد لا يستطيع القائد الإصلاحي تحقيق تغيير ملحوظ؛ بسبب تقبله في الغالب للبناء الاجتماعي أوالسياسي الكائن و المحيط به، إضافة إلى أن الإصلاح عملية متداخلة ، فهي تحويلية في جوهرها، وإجرائية من خلال تعقيداتها ونتائجها، كما أنها لا تسعى إلى تغيير الأنظمة الموجودة كلياً.</w:t>
      </w:r>
    </w:p>
    <w:p w14:paraId="6492A3FD"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lastRenderedPageBreak/>
        <w:t xml:space="preserve"> </w:t>
      </w:r>
      <w:r w:rsidRPr="00742BC9">
        <w:rPr>
          <w:rFonts w:ascii="Traditional Arabic" w:eastAsia="Calibri" w:hAnsi="Traditional Arabic" w:cs="Traditional Arabic" w:hint="cs"/>
          <w:b/>
          <w:bCs/>
          <w:sz w:val="28"/>
          <w:szCs w:val="28"/>
          <w:rtl/>
          <w:lang w:bidi="ar-EG"/>
        </w:rPr>
        <w:t>القيادة الثورية:</w:t>
      </w:r>
      <w:r w:rsidRPr="00742BC9">
        <w:rPr>
          <w:rFonts w:ascii="Traditional Arabic" w:eastAsia="Calibri" w:hAnsi="Traditional Arabic" w:cs="Traditional Arabic" w:hint="cs"/>
          <w:sz w:val="28"/>
          <w:szCs w:val="28"/>
          <w:rtl/>
          <w:lang w:bidi="ar-EG"/>
        </w:rPr>
        <w:t xml:space="preserve"> الثورة تختلف جملة عن الإصلاح، لأن الثورة تعني إحداث تغيير مفاجئ وشامل في النظم الاجتماعية بأكملها، وعلى الرغم من ذلك فإنّ هذا التحول الكامل غالباً ما يكون قليل الحدوث، كما أن القيادة الناجحة ثوريا غالباً ما تكون نادرة، ولذلك أهم خطوة يجب أن تتحقق قبل تحول هي إيجاد رؤية مشتركة، وأن القيادة الثورية لكي تكون ناجحة لا بد أن تتوفر فيها خصائص منها: </w:t>
      </w:r>
      <w:r w:rsidRPr="00742BC9">
        <w:rPr>
          <w:rFonts w:ascii="Traditional Arabic" w:eastAsia="Calibri" w:hAnsi="Traditional Arabic" w:cs="Traditional Arabic" w:hint="cs"/>
          <w:b/>
          <w:bCs/>
          <w:sz w:val="28"/>
          <w:szCs w:val="28"/>
          <w:rtl/>
          <w:lang w:bidi="ar-EG"/>
        </w:rPr>
        <w:t>(الشريف، 2020).</w:t>
      </w:r>
    </w:p>
    <w:p w14:paraId="68A9FB7F" w14:textId="6ADE663A" w:rsidR="00623BB8" w:rsidRPr="00742BC9" w:rsidRDefault="00623BB8">
      <w:pPr>
        <w:pStyle w:val="ListParagraph"/>
        <w:numPr>
          <w:ilvl w:val="0"/>
          <w:numId w:val="25"/>
        </w:numPr>
        <w:bidi/>
        <w:spacing w:after="200" w:line="360" w:lineRule="auto"/>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أن تكون ذات تركيز عالى لتحقيق الهدف، ومستعدة لنشر الالتزام من خلال المغامرة وبذل الجهد والوقت.</w:t>
      </w:r>
    </w:p>
    <w:p w14:paraId="5C222821" w14:textId="4B0219C5" w:rsidR="00623BB8" w:rsidRPr="00742BC9" w:rsidRDefault="00623BB8">
      <w:pPr>
        <w:pStyle w:val="ListParagraph"/>
        <w:numPr>
          <w:ilvl w:val="0"/>
          <w:numId w:val="25"/>
        </w:numPr>
        <w:bidi/>
        <w:spacing w:after="200" w:line="360" w:lineRule="auto"/>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القيادة الثورية كقيادة ذكية، يجب أن تخاطب تطلعات الجماهير وحاجاتهم وطموحاتهم، وكذلك الشغف والميول التي قد تكون كامنة فيهم، ولكن يمكن تحريكها من خلال طرق الدعاية وأحداث السياسة.</w:t>
      </w:r>
    </w:p>
    <w:p w14:paraId="256A5088" w14:textId="77777777" w:rsidR="00623BB8" w:rsidRPr="00742BC9" w:rsidRDefault="00623BB8">
      <w:pPr>
        <w:numPr>
          <w:ilvl w:val="0"/>
          <w:numId w:val="25"/>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القيادة الثورية تتطلب التدافع والجهد كأي قيادة، لكن مستوى الصراع في القيادة الثورية يكون أعلى منه في أي نمط آخر من القيادة.</w:t>
      </w:r>
    </w:p>
    <w:p w14:paraId="7C22BA77" w14:textId="3A16468F" w:rsidR="00EE0CBF" w:rsidRPr="00742BC9" w:rsidRDefault="00623BB8">
      <w:pPr>
        <w:numPr>
          <w:ilvl w:val="0"/>
          <w:numId w:val="25"/>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sz w:val="28"/>
          <w:szCs w:val="28"/>
          <w:rtl/>
          <w:lang w:bidi="ar-EG"/>
        </w:rPr>
        <w:t>يجب أن تستوفي عمليات القيادة الثورية إعلاء شأن مستوى الوعي السياسي والاجتماعي لدى القادة والمرؤوسين.</w:t>
      </w:r>
    </w:p>
    <w:p w14:paraId="7145AF23" w14:textId="4BBBBBDC" w:rsidR="00623BB8" w:rsidRPr="00793975" w:rsidRDefault="00FE464C" w:rsidP="00EE0CBF">
      <w:pPr>
        <w:bidi/>
        <w:spacing w:before="120" w:after="120" w:line="240" w:lineRule="auto"/>
        <w:rPr>
          <w:rFonts w:ascii="Traditional Arabic" w:hAnsi="Traditional Arabic" w:cs="Traditional Arabic"/>
          <w:b/>
          <w:bCs/>
          <w:spacing w:val="-6"/>
          <w:sz w:val="28"/>
          <w:szCs w:val="28"/>
          <w:rtl/>
        </w:rPr>
      </w:pPr>
      <w:r w:rsidRPr="00793975">
        <w:rPr>
          <w:rFonts w:ascii="Traditional Arabic" w:hAnsi="Traditional Arabic" w:cs="Traditional Arabic" w:hint="cs"/>
          <w:b/>
          <w:bCs/>
          <w:spacing w:val="-6"/>
          <w:sz w:val="28"/>
          <w:szCs w:val="28"/>
          <w:rtl/>
        </w:rPr>
        <w:t xml:space="preserve">خامساً : </w:t>
      </w:r>
      <w:r w:rsidR="00623BB8" w:rsidRPr="00793975">
        <w:rPr>
          <w:rFonts w:ascii="Traditional Arabic" w:hAnsi="Traditional Arabic" w:cs="Traditional Arabic" w:hint="cs"/>
          <w:b/>
          <w:bCs/>
          <w:spacing w:val="-6"/>
          <w:sz w:val="28"/>
          <w:szCs w:val="28"/>
          <w:rtl/>
        </w:rPr>
        <w:t>صفات القيادية التحويلية:</w:t>
      </w:r>
    </w:p>
    <w:p w14:paraId="195CB5E6" w14:textId="3843556E" w:rsidR="00623BB8" w:rsidRPr="00793975" w:rsidRDefault="00623BB8" w:rsidP="00793975">
      <w:pPr>
        <w:bidi/>
        <w:spacing w:before="120" w:after="120" w:line="360" w:lineRule="auto"/>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هناك العديد من الصفات القيادية التي تكون عند القيادة التحويلية، نذكر منها (مددين، ١٤٣٤ه</w:t>
      </w:r>
      <w:r w:rsidR="00A50C6C" w:rsidRPr="00793975">
        <w:rPr>
          <w:rFonts w:ascii="Traditional Arabic" w:hAnsi="Traditional Arabic" w:cs="Traditional Arabic" w:hint="cs"/>
          <w:spacing w:val="-6"/>
          <w:sz w:val="24"/>
          <w:szCs w:val="24"/>
          <w:rtl/>
        </w:rPr>
        <w:t>، 27</w:t>
      </w:r>
      <w:r w:rsidRPr="00793975">
        <w:rPr>
          <w:rFonts w:ascii="Traditional Arabic" w:hAnsi="Traditional Arabic" w:cs="Traditional Arabic" w:hint="cs"/>
          <w:spacing w:val="-6"/>
          <w:sz w:val="24"/>
          <w:szCs w:val="24"/>
          <w:rtl/>
        </w:rPr>
        <w:t>ـ):</w:t>
      </w:r>
    </w:p>
    <w:p w14:paraId="61290A26" w14:textId="1D71E3C0" w:rsidR="00623BB8" w:rsidRPr="00793975" w:rsidRDefault="00623BB8">
      <w:pPr>
        <w:numPr>
          <w:ilvl w:val="0"/>
          <w:numId w:val="18"/>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b/>
          <w:bCs/>
          <w:spacing w:val="-6"/>
          <w:sz w:val="24"/>
          <w:szCs w:val="24"/>
          <w:rtl/>
        </w:rPr>
        <w:t>الجانب التنظيمي</w:t>
      </w:r>
      <w:r w:rsidRPr="00793975">
        <w:rPr>
          <w:rFonts w:ascii="Traditional Arabic" w:hAnsi="Traditional Arabic" w:cs="Traditional Arabic" w:hint="cs"/>
          <w:spacing w:val="-6"/>
          <w:sz w:val="24"/>
          <w:szCs w:val="24"/>
          <w:rtl/>
        </w:rPr>
        <w:t>: تشمل الجهود التي يقوم بها القائد التحويلي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w:t>
      </w:r>
      <w:r w:rsidR="00A50C6C" w:rsidRPr="00793975">
        <w:rPr>
          <w:rFonts w:ascii="Traditional Arabic" w:hAnsi="Traditional Arabic" w:cs="Traditional Arabic" w:hint="cs"/>
          <w:spacing w:val="-6"/>
          <w:sz w:val="24"/>
          <w:szCs w:val="24"/>
          <w:rtl/>
        </w:rPr>
        <w:t>،</w:t>
      </w:r>
      <w:r w:rsidRPr="00793975">
        <w:rPr>
          <w:rFonts w:ascii="Traditional Arabic" w:hAnsi="Traditional Arabic" w:cs="Traditional Arabic" w:hint="cs"/>
          <w:spacing w:val="-6"/>
          <w:sz w:val="24"/>
          <w:szCs w:val="24"/>
          <w:rtl/>
        </w:rPr>
        <w:t xml:space="preserve"> وتشمل الجهود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w:t>
      </w:r>
    </w:p>
    <w:p w14:paraId="7E772B3E" w14:textId="77777777" w:rsidR="00623BB8" w:rsidRPr="00793975" w:rsidRDefault="00623BB8">
      <w:pPr>
        <w:numPr>
          <w:ilvl w:val="0"/>
          <w:numId w:val="18"/>
        </w:numPr>
        <w:bidi/>
        <w:spacing w:before="120" w:after="120" w:line="360" w:lineRule="auto"/>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 xml:space="preserve"> </w:t>
      </w:r>
      <w:r w:rsidRPr="00793975">
        <w:rPr>
          <w:rFonts w:ascii="Traditional Arabic" w:hAnsi="Traditional Arabic" w:cs="Traditional Arabic" w:hint="cs"/>
          <w:b/>
          <w:bCs/>
          <w:spacing w:val="-6"/>
          <w:sz w:val="24"/>
          <w:szCs w:val="24"/>
          <w:rtl/>
        </w:rPr>
        <w:t>الجانب الثقافي والانفعالي</w:t>
      </w:r>
      <w:r w:rsidRPr="00793975">
        <w:rPr>
          <w:rFonts w:ascii="Traditional Arabic" w:hAnsi="Traditional Arabic" w:cs="Traditional Arabic" w:hint="cs"/>
          <w:spacing w:val="-6"/>
          <w:sz w:val="24"/>
          <w:szCs w:val="24"/>
          <w:rtl/>
        </w:rPr>
        <w:t xml:space="preserve">: ويشمل الجهود التي تهدف إلى إعادة النسق الثقافي في المنظمات أو المؤسسات وتتضمن إحداث التغييرات في الأنظمة المتصلة بالنماذج والقيم والدوافع والمهارات والعلاقات التنظيمية. </w:t>
      </w:r>
    </w:p>
    <w:p w14:paraId="3CC2E8C1" w14:textId="77777777" w:rsidR="00623BB8" w:rsidRPr="00793975" w:rsidRDefault="00623BB8" w:rsidP="00793975">
      <w:pPr>
        <w:bidi/>
        <w:spacing w:before="120" w:after="120" w:line="360" w:lineRule="auto"/>
        <w:ind w:firstLine="720"/>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ويتضح بأن القيادة التحويلية يمكن أن توجد في أية منظمة وفي مختلف المستويات وهي صالحة بشكل عام لمواجهة جميع الحالات، فتتعدد وظائف القائد التحويلي نتيجة لما يواجهه من تحديات في ممارسة عمله، ففي الجانب التنظيمي يستطيع أن يعمل على تشكيل فريق عمل في المنظمة واحد يتقاسم المسؤوليات والصلاحيات.</w:t>
      </w:r>
    </w:p>
    <w:p w14:paraId="1C67F813" w14:textId="303DC549" w:rsidR="00623BB8" w:rsidRPr="00793975" w:rsidRDefault="00FE464C" w:rsidP="00623BB8">
      <w:pPr>
        <w:bidi/>
        <w:spacing w:before="120" w:after="120" w:line="240" w:lineRule="auto"/>
        <w:rPr>
          <w:rFonts w:ascii="Traditional Arabic" w:hAnsi="Traditional Arabic" w:cs="Traditional Arabic"/>
          <w:b/>
          <w:bCs/>
          <w:spacing w:val="-6"/>
          <w:sz w:val="28"/>
          <w:szCs w:val="28"/>
          <w:rtl/>
        </w:rPr>
      </w:pPr>
      <w:r w:rsidRPr="00793975">
        <w:rPr>
          <w:rFonts w:ascii="Traditional Arabic" w:hAnsi="Traditional Arabic" w:cs="Traditional Arabic" w:hint="cs"/>
          <w:b/>
          <w:bCs/>
          <w:spacing w:val="-6"/>
          <w:sz w:val="28"/>
          <w:szCs w:val="28"/>
          <w:rtl/>
        </w:rPr>
        <w:lastRenderedPageBreak/>
        <w:t xml:space="preserve">سادساً : </w:t>
      </w:r>
      <w:r w:rsidR="00623BB8" w:rsidRPr="00793975">
        <w:rPr>
          <w:rFonts w:ascii="Traditional Arabic" w:hAnsi="Traditional Arabic" w:cs="Traditional Arabic" w:hint="cs"/>
          <w:b/>
          <w:bCs/>
          <w:spacing w:val="-6"/>
          <w:sz w:val="28"/>
          <w:szCs w:val="28"/>
          <w:rtl/>
        </w:rPr>
        <w:t>أهمية القيادة التحويلية:</w:t>
      </w:r>
    </w:p>
    <w:p w14:paraId="5BA4C113" w14:textId="57FE3649" w:rsidR="00623BB8" w:rsidRPr="00793975" w:rsidRDefault="00623BB8" w:rsidP="00793975">
      <w:pPr>
        <w:bidi/>
        <w:spacing w:before="120" w:after="120" w:line="360" w:lineRule="auto"/>
        <w:rPr>
          <w:rFonts w:ascii="Traditional Arabic" w:hAnsi="Traditional Arabic" w:cs="Traditional Arabic"/>
          <w:spacing w:val="-6"/>
          <w:sz w:val="24"/>
          <w:szCs w:val="24"/>
          <w:rtl/>
          <w:lang w:bidi="fa-IR"/>
        </w:rPr>
      </w:pPr>
      <w:r w:rsidRPr="00793975">
        <w:rPr>
          <w:rFonts w:ascii="Traditional Arabic" w:hAnsi="Traditional Arabic" w:cs="Traditional Arabic" w:hint="cs"/>
          <w:spacing w:val="-6"/>
          <w:sz w:val="24"/>
          <w:szCs w:val="24"/>
          <w:rtl/>
        </w:rPr>
        <w:t xml:space="preserve">للقيادة التحويلية أهمية كبيرة في حال تطبيقها داخل المنظمات ، ويمكن توضيح تلك الأهمية في النقاط التالية </w:t>
      </w:r>
      <w:r w:rsidRPr="00793975">
        <w:rPr>
          <w:rFonts w:ascii="Traditional Arabic" w:hAnsi="Traditional Arabic" w:cs="Traditional Arabic" w:hint="cs"/>
          <w:b/>
          <w:bCs/>
          <w:spacing w:val="-6"/>
          <w:sz w:val="24"/>
          <w:szCs w:val="24"/>
          <w:rtl/>
        </w:rPr>
        <w:t xml:space="preserve">( الغامدي ، </w:t>
      </w:r>
      <w:r w:rsidRPr="00793975">
        <w:rPr>
          <w:rFonts w:ascii="Traditional Arabic" w:hAnsi="Traditional Arabic" w:cs="Traditional Arabic" w:hint="cs"/>
          <w:b/>
          <w:bCs/>
          <w:spacing w:val="-6"/>
          <w:sz w:val="24"/>
          <w:szCs w:val="24"/>
          <w:rtl/>
          <w:lang w:bidi="fa-IR"/>
        </w:rPr>
        <w:t xml:space="preserve">۲۰۱۱ </w:t>
      </w:r>
      <w:r w:rsidR="00381414" w:rsidRPr="00793975">
        <w:rPr>
          <w:rFonts w:ascii="Traditional Arabic" w:hAnsi="Traditional Arabic" w:cs="Traditional Arabic" w:hint="cs"/>
          <w:b/>
          <w:bCs/>
          <w:spacing w:val="-6"/>
          <w:sz w:val="24"/>
          <w:szCs w:val="24"/>
          <w:rtl/>
          <w:lang w:bidi="fa-IR"/>
        </w:rPr>
        <w:t>،</w:t>
      </w:r>
      <w:r w:rsidRPr="00793975">
        <w:rPr>
          <w:rFonts w:ascii="Traditional Arabic" w:hAnsi="Traditional Arabic" w:cs="Traditional Arabic" w:hint="cs"/>
          <w:b/>
          <w:bCs/>
          <w:spacing w:val="-6"/>
          <w:sz w:val="24"/>
          <w:szCs w:val="24"/>
          <w:rtl/>
          <w:lang w:bidi="fa-IR"/>
        </w:rPr>
        <w:t xml:space="preserve"> ۲۱ ):</w:t>
      </w:r>
    </w:p>
    <w:p w14:paraId="5A8FDD61" w14:textId="190B219C" w:rsidR="00623BB8" w:rsidRPr="00793975" w:rsidRDefault="00623BB8">
      <w:pPr>
        <w:numPr>
          <w:ilvl w:val="0"/>
          <w:numId w:val="19"/>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القيادة التحويلية لا تتأثر بالقوة في مركز معين أو في يد مستوى إداري معين ، إنما تساعد تلك القيادة على تفويض السلطات وتمكين الأفراد ، والعمل على تعزيز ثقة العاملين في أنفسهم،</w:t>
      </w:r>
      <w:r w:rsidR="00A50C6C" w:rsidRPr="00793975">
        <w:rPr>
          <w:rFonts w:ascii="Traditional Arabic" w:hAnsi="Traditional Arabic" w:cs="Traditional Arabic" w:hint="cs"/>
          <w:spacing w:val="-6"/>
          <w:sz w:val="24"/>
          <w:szCs w:val="24"/>
          <w:rtl/>
        </w:rPr>
        <w:t xml:space="preserve"> </w:t>
      </w:r>
      <w:r w:rsidRPr="00793975">
        <w:rPr>
          <w:rFonts w:ascii="Traditional Arabic" w:hAnsi="Traditional Arabic" w:cs="Traditional Arabic" w:hint="cs"/>
          <w:spacing w:val="-6"/>
          <w:sz w:val="24"/>
          <w:szCs w:val="24"/>
          <w:rtl/>
        </w:rPr>
        <w:t>وذلك من خلال تشكيل جماعات وفرق العمل المعتمدة على نفسها ذاتياً.</w:t>
      </w:r>
    </w:p>
    <w:p w14:paraId="5C2CA628" w14:textId="77777777" w:rsidR="00623BB8" w:rsidRPr="00793975" w:rsidRDefault="00623BB8">
      <w:pPr>
        <w:numPr>
          <w:ilvl w:val="0"/>
          <w:numId w:val="19"/>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خصائص وسمات القيادة التحويلية يمكن أن تكتسب وتتطور عن طريق التدريب ، فبرامج التدريب المطبقة بشكل سليم يمكن أن تحسن من فعالية المديرين والعاملين داخل المنظمة.</w:t>
      </w:r>
    </w:p>
    <w:p w14:paraId="37EF3728" w14:textId="77777777" w:rsidR="00623BB8" w:rsidRPr="00793975" w:rsidRDefault="00623BB8">
      <w:pPr>
        <w:numPr>
          <w:ilvl w:val="0"/>
          <w:numId w:val="19"/>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 xml:space="preserve"> تعمل القيادة التحويلية على تحفيز العاملين من خلال إتباع فكرة " المسئولية الأخلاقية " حيث يتحول هدف العاملين من تحقيق المصالح الشخصية إلى العمل على تحقيق المصالح العامة للمنظمة.</w:t>
      </w:r>
    </w:p>
    <w:p w14:paraId="6F23BF36" w14:textId="77777777" w:rsidR="00623BB8" w:rsidRPr="00793975" w:rsidRDefault="00623BB8">
      <w:pPr>
        <w:numPr>
          <w:ilvl w:val="0"/>
          <w:numId w:val="19"/>
        </w:numPr>
        <w:bidi/>
        <w:spacing w:before="120" w:after="120" w:line="360" w:lineRule="auto"/>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 xml:space="preserve"> يمكن تطبيق فكرة القيادة التحويلية في أي منظمة وفي مختلف المستويات الإدارية داخل المنظمات ، وبالتالي فإن احتمالية نجاح تطبيق هذه الفكرة تكون كبيرة وخاصة في المنظمات التي تسعى إلى التطوير والتغيير الجذري.</w:t>
      </w:r>
    </w:p>
    <w:p w14:paraId="496B77F9" w14:textId="59C39D9F" w:rsidR="00623BB8" w:rsidRPr="008245FA" w:rsidRDefault="00FE464C" w:rsidP="00623BB8">
      <w:pPr>
        <w:bidi/>
        <w:spacing w:before="120" w:after="120" w:line="240" w:lineRule="auto"/>
        <w:rPr>
          <w:rFonts w:ascii="Traditional Arabic" w:hAnsi="Traditional Arabic" w:cs="Traditional Arabic"/>
          <w:b/>
          <w:bCs/>
          <w:spacing w:val="-6"/>
          <w:sz w:val="28"/>
          <w:szCs w:val="28"/>
          <w:rtl/>
        </w:rPr>
      </w:pPr>
      <w:r w:rsidRPr="008245FA">
        <w:rPr>
          <w:rFonts w:ascii="Traditional Arabic" w:hAnsi="Traditional Arabic" w:cs="Traditional Arabic" w:hint="cs"/>
          <w:b/>
          <w:bCs/>
          <w:spacing w:val="-6"/>
          <w:sz w:val="28"/>
          <w:szCs w:val="28"/>
          <w:rtl/>
        </w:rPr>
        <w:t xml:space="preserve">سابعاً: </w:t>
      </w:r>
      <w:r w:rsidR="00623BB8" w:rsidRPr="008245FA">
        <w:rPr>
          <w:rFonts w:ascii="Traditional Arabic" w:hAnsi="Traditional Arabic" w:cs="Traditional Arabic" w:hint="cs"/>
          <w:b/>
          <w:bCs/>
          <w:spacing w:val="-6"/>
          <w:sz w:val="28"/>
          <w:szCs w:val="28"/>
          <w:rtl/>
        </w:rPr>
        <w:t>مبادئ القيادة التحويلية:</w:t>
      </w:r>
    </w:p>
    <w:p w14:paraId="3AE660F3" w14:textId="77777777" w:rsidR="00623BB8" w:rsidRPr="008245FA" w:rsidRDefault="00623BB8" w:rsidP="008245FA">
      <w:pPr>
        <w:bidi/>
        <w:spacing w:before="120" w:after="120" w:line="360" w:lineRule="auto"/>
        <w:rPr>
          <w:rFonts w:ascii="Traditional Arabic" w:hAnsi="Traditional Arabic" w:cs="Traditional Arabic"/>
          <w:spacing w:val="-6"/>
          <w:sz w:val="24"/>
          <w:szCs w:val="24"/>
          <w:rtl/>
        </w:rPr>
      </w:pPr>
      <w:r w:rsidRPr="008245FA">
        <w:rPr>
          <w:rFonts w:ascii="Traditional Arabic" w:hAnsi="Traditional Arabic" w:cs="Traditional Arabic" w:hint="cs"/>
          <w:spacing w:val="-6"/>
          <w:sz w:val="24"/>
          <w:szCs w:val="24"/>
          <w:rtl/>
        </w:rPr>
        <w:t xml:space="preserve">للقيادة التحويلية مبادئ أوردها( </w:t>
      </w:r>
      <w:r w:rsidRPr="008245FA">
        <w:rPr>
          <w:rFonts w:ascii="Traditional Arabic" w:hAnsi="Traditional Arabic" w:cs="Traditional Arabic" w:hint="cs"/>
          <w:spacing w:val="-6"/>
          <w:sz w:val="24"/>
          <w:szCs w:val="24"/>
        </w:rPr>
        <w:t>Koehler &amp; Pankow skin</w:t>
      </w:r>
      <w:r w:rsidRPr="008245FA">
        <w:rPr>
          <w:rFonts w:ascii="Traditional Arabic" w:hAnsi="Traditional Arabic" w:cs="Traditional Arabic" w:hint="cs"/>
          <w:spacing w:val="-6"/>
          <w:sz w:val="24"/>
          <w:szCs w:val="24"/>
          <w:rtl/>
        </w:rPr>
        <w:t xml:space="preserve"> ) كما يلي: </w:t>
      </w:r>
    </w:p>
    <w:p w14:paraId="33222DC9" w14:textId="77777777" w:rsidR="00623BB8" w:rsidRPr="008245FA" w:rsidRDefault="00623BB8">
      <w:pPr>
        <w:numPr>
          <w:ilvl w:val="0"/>
          <w:numId w:val="20"/>
        </w:numPr>
        <w:bidi/>
        <w:spacing w:before="120" w:after="120" w:line="360" w:lineRule="auto"/>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النظر للمنظمة كنظام</w:t>
      </w:r>
      <w:r w:rsidRPr="008245FA">
        <w:rPr>
          <w:rFonts w:ascii="Traditional Arabic" w:hAnsi="Traditional Arabic" w:cs="Traditional Arabic" w:hint="cs"/>
          <w:spacing w:val="-6"/>
          <w:sz w:val="24"/>
          <w:szCs w:val="24"/>
          <w:rtl/>
        </w:rPr>
        <w:t xml:space="preserve"> : وذلك على اعتبار أن المنظمة كنظام فهي تحتوي على مجموعة من العناصر المترابطة ، والمتفاعلة بين الأفراد ، فالقائد التحويلي داخل المنظمة يتركز دوره على تحسين العمليات الإدارية وذلك من خلال تبني وتطوير نظم إدارية فعالة.</w:t>
      </w:r>
    </w:p>
    <w:p w14:paraId="414333E3" w14:textId="77777777" w:rsidR="00623BB8" w:rsidRPr="008245FA" w:rsidRDefault="00623BB8">
      <w:pPr>
        <w:numPr>
          <w:ilvl w:val="0"/>
          <w:numId w:val="20"/>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وضع إستراتيجية للمنظمة وإبلاغها للآخرين</w:t>
      </w:r>
      <w:r w:rsidRPr="008245FA">
        <w:rPr>
          <w:rFonts w:ascii="Traditional Arabic" w:hAnsi="Traditional Arabic" w:cs="Traditional Arabic" w:hint="cs"/>
          <w:spacing w:val="-6"/>
          <w:sz w:val="24"/>
          <w:szCs w:val="24"/>
          <w:rtl/>
        </w:rPr>
        <w:t xml:space="preserve"> : فالإستراتيجية هنا تعني الطريق الذي ترسمه المنظمة لتحقيق الأهداف المنشودة ، وطبقاً لذلك فيعمل القائد التحويلي بالمشاركة مع الآخرين على إيجاد الرؤية والرسالة والقيم والبناء التنظيمي والأهداف وحسن الاستفادة من الموارد البشرية المتاحة للمنظمة بهدف تحقيق الأهداف المنشودة.</w:t>
      </w:r>
    </w:p>
    <w:p w14:paraId="4A2A6A53" w14:textId="77777777" w:rsidR="00623BB8" w:rsidRPr="008245FA" w:rsidRDefault="00623BB8">
      <w:pPr>
        <w:numPr>
          <w:ilvl w:val="0"/>
          <w:numId w:val="20"/>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تأسيس نظام إداري</w:t>
      </w:r>
      <w:r w:rsidRPr="008245FA">
        <w:rPr>
          <w:rFonts w:ascii="Traditional Arabic" w:hAnsi="Traditional Arabic" w:cs="Traditional Arabic" w:hint="cs"/>
          <w:spacing w:val="-6"/>
          <w:sz w:val="24"/>
          <w:szCs w:val="24"/>
          <w:rtl/>
        </w:rPr>
        <w:t xml:space="preserve"> : وذلك يعني تصميم الأسلوب الإداري الملائم لطبيعة عمل المنظمة بإعتبارها نظاماً واحداً ، وهذا يتطلب استبعاد القيم والأساليب والمبادئ والمعتقدات الإدارية السائدة والمتناقضة.</w:t>
      </w:r>
    </w:p>
    <w:p w14:paraId="583DCA57" w14:textId="77777777" w:rsidR="00623BB8" w:rsidRPr="008245FA" w:rsidRDefault="00623BB8">
      <w:pPr>
        <w:numPr>
          <w:ilvl w:val="0"/>
          <w:numId w:val="20"/>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spacing w:val="-6"/>
          <w:sz w:val="24"/>
          <w:szCs w:val="24"/>
          <w:rtl/>
        </w:rPr>
        <w:t xml:space="preserve"> </w:t>
      </w:r>
      <w:r w:rsidRPr="008245FA">
        <w:rPr>
          <w:rFonts w:ascii="Traditional Arabic" w:hAnsi="Traditional Arabic" w:cs="Traditional Arabic" w:hint="cs"/>
          <w:b/>
          <w:bCs/>
          <w:spacing w:val="-6"/>
          <w:sz w:val="24"/>
          <w:szCs w:val="24"/>
          <w:rtl/>
        </w:rPr>
        <w:t>تطوير كل العاملين في العملية الإدارية وتدريبهم</w:t>
      </w:r>
      <w:r w:rsidRPr="008245FA">
        <w:rPr>
          <w:rFonts w:ascii="Traditional Arabic" w:hAnsi="Traditional Arabic" w:cs="Traditional Arabic" w:hint="cs"/>
          <w:spacing w:val="-6"/>
          <w:sz w:val="24"/>
          <w:szCs w:val="24"/>
          <w:rtl/>
        </w:rPr>
        <w:t xml:space="preserve"> : تعمل القيادة التحويلية بالتركيز على تدريب كل العاملين داخل المنظمة بهدف إشراك الجميع في عملية التطوير والاستفادة من تحسين أدائهم في تطوير العمل داخل القطاعات المختلفة.</w:t>
      </w:r>
    </w:p>
    <w:p w14:paraId="558863CA" w14:textId="77777777" w:rsidR="00623BB8" w:rsidRPr="0038653A" w:rsidRDefault="00623BB8">
      <w:pPr>
        <w:numPr>
          <w:ilvl w:val="0"/>
          <w:numId w:val="20"/>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تمكين الأفراد وفرق العمل</w:t>
      </w:r>
      <w:r w:rsidRPr="0038653A">
        <w:rPr>
          <w:rFonts w:ascii="Traditional Arabic" w:hAnsi="Traditional Arabic" w:cs="Traditional Arabic" w:hint="cs"/>
          <w:spacing w:val="-6"/>
          <w:sz w:val="28"/>
          <w:szCs w:val="28"/>
          <w:rtl/>
        </w:rPr>
        <w:t xml:space="preserve"> : تمنح القيادة التحويلية الحرية للعاملين داخل المنظمة لاختيار الإجراء الذي يعتقدونه مناسباً في تطوير العملية الإدارية سواء كان هذا الاختيار يتم بشكل فردي أو من خلال الفريق الواحد.</w:t>
      </w:r>
    </w:p>
    <w:p w14:paraId="6C6923B5" w14:textId="77777777" w:rsidR="00623BB8" w:rsidRPr="0038653A" w:rsidRDefault="00623BB8">
      <w:pPr>
        <w:numPr>
          <w:ilvl w:val="0"/>
          <w:numId w:val="20"/>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lastRenderedPageBreak/>
        <w:t>تقييم العمليات الإدارية</w:t>
      </w:r>
      <w:r w:rsidRPr="0038653A">
        <w:rPr>
          <w:rFonts w:ascii="Traditional Arabic" w:hAnsi="Traditional Arabic" w:cs="Traditional Arabic" w:hint="cs"/>
          <w:spacing w:val="-6"/>
          <w:sz w:val="28"/>
          <w:szCs w:val="28"/>
          <w:rtl/>
        </w:rPr>
        <w:t xml:space="preserve"> : تهتم القيادة التحويلية بتقييم المدخلات والأنشطة والنتائج للأعمال داخل المنظمة مع التركيز على مؤشرات الجودة في كل مرحلة من مراحل العملية الإدارية.</w:t>
      </w:r>
    </w:p>
    <w:p w14:paraId="188BC31A" w14:textId="77777777" w:rsidR="00623BB8" w:rsidRPr="0038653A" w:rsidRDefault="00623BB8">
      <w:pPr>
        <w:numPr>
          <w:ilvl w:val="0"/>
          <w:numId w:val="20"/>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التقدير والمكافآة على التحسين المستمر</w:t>
      </w:r>
      <w:r w:rsidRPr="0038653A">
        <w:rPr>
          <w:rFonts w:ascii="Traditional Arabic" w:hAnsi="Traditional Arabic" w:cs="Traditional Arabic" w:hint="cs"/>
          <w:spacing w:val="-6"/>
          <w:sz w:val="28"/>
          <w:szCs w:val="28"/>
          <w:rtl/>
        </w:rPr>
        <w:t xml:space="preserve"> : تعمل القيادة التحويلية على إيجاد نظام مناسب لتحفيز العاملين داخل المنظمة مقابل ما يبذلونه هؤلاء العاملين من الجهد والوقت من أجل تحقيق المصلحة العامة للمنظمة.</w:t>
      </w:r>
    </w:p>
    <w:p w14:paraId="44C88919" w14:textId="77777777" w:rsidR="00623BB8" w:rsidRPr="0038653A" w:rsidRDefault="00623BB8">
      <w:pPr>
        <w:numPr>
          <w:ilvl w:val="0"/>
          <w:numId w:val="20"/>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بث روح التغيير المستمر</w:t>
      </w:r>
      <w:r w:rsidRPr="0038653A">
        <w:rPr>
          <w:rFonts w:ascii="Traditional Arabic" w:hAnsi="Traditional Arabic" w:cs="Traditional Arabic" w:hint="cs"/>
          <w:spacing w:val="-6"/>
          <w:sz w:val="28"/>
          <w:szCs w:val="28"/>
          <w:rtl/>
        </w:rPr>
        <w:t>: تدرك القيادة التحويلية أهمية التحسين المستمر للحفاظ على إنجازات المنظمة، على أن يتضمن هذا التغيير تطوير العاملين والعمليات داخل المنظمة على نحو مستمر( الغامدي، 2011، 22).</w:t>
      </w:r>
    </w:p>
    <w:p w14:paraId="5C4056F4" w14:textId="7FF6A470" w:rsidR="00623BB8" w:rsidRPr="0038653A" w:rsidRDefault="00FE464C" w:rsidP="00623BB8">
      <w:pPr>
        <w:bidi/>
        <w:spacing w:after="200" w:line="360" w:lineRule="auto"/>
        <w:ind w:left="360"/>
        <w:contextualSpacing/>
        <w:jc w:val="both"/>
        <w:rPr>
          <w:rFonts w:ascii="Traditional Arabic" w:eastAsia="Calibri" w:hAnsi="Traditional Arabic" w:cs="Traditional Arabic"/>
          <w:b/>
          <w:bCs/>
          <w:sz w:val="32"/>
          <w:szCs w:val="32"/>
          <w:rtl/>
          <w:lang w:bidi="ar-EG"/>
        </w:rPr>
      </w:pPr>
      <w:r w:rsidRPr="0038653A">
        <w:rPr>
          <w:rFonts w:ascii="Traditional Arabic" w:eastAsia="Calibri" w:hAnsi="Traditional Arabic" w:cs="Traditional Arabic" w:hint="cs"/>
          <w:b/>
          <w:bCs/>
          <w:sz w:val="32"/>
          <w:szCs w:val="32"/>
          <w:rtl/>
          <w:lang w:bidi="ar-EG"/>
        </w:rPr>
        <w:t xml:space="preserve">ثامناً : </w:t>
      </w:r>
      <w:r w:rsidR="00623BB8" w:rsidRPr="0038653A">
        <w:rPr>
          <w:rFonts w:ascii="Traditional Arabic" w:eastAsia="Calibri" w:hAnsi="Traditional Arabic" w:cs="Traditional Arabic" w:hint="cs"/>
          <w:b/>
          <w:bCs/>
          <w:sz w:val="32"/>
          <w:szCs w:val="32"/>
          <w:rtl/>
          <w:lang w:bidi="ar-EG"/>
        </w:rPr>
        <w:t>خصائص القائـد التحويـلي:</w:t>
      </w:r>
    </w:p>
    <w:p w14:paraId="2B54A46F" w14:textId="77777777" w:rsidR="00623BB8" w:rsidRPr="0038653A" w:rsidRDefault="00623BB8" w:rsidP="0038653A">
      <w:pPr>
        <w:bidi/>
        <w:spacing w:after="200" w:line="360" w:lineRule="auto"/>
        <w:ind w:left="360" w:firstLine="720"/>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يُعدّ القائد التحويلي هو القائد الذي يعزم على التغيير والتأثير، ويتحدى كل الصعوبات، كما أنه يقتنص الفرص، وله المقدرة على المخاطرة، وإشراك كل الأفراد في عملية القيادة من خلال إعطائهم فرصاً لإحداث تغييرات قد تسير في مسارات الإبداع، وبالتالي يجب أن تتوفر خصائص معينة في هذا القائد ليكون مصدر إلهام لمن حوله، ليتميز ويختلف عن القادة الآخرين، وهذه الخصائص هي:</w:t>
      </w:r>
      <w:r w:rsidRPr="0038653A">
        <w:rPr>
          <w:rFonts w:ascii="Traditional Arabic" w:eastAsia="Calibri" w:hAnsi="Traditional Arabic" w:cs="Traditional Arabic" w:hint="cs"/>
          <w:b/>
          <w:bCs/>
          <w:sz w:val="24"/>
          <w:szCs w:val="24"/>
          <w:rtl/>
          <w:lang w:bidi="ar-EG"/>
        </w:rPr>
        <w:t xml:space="preserve"> (الرقب،2020)</w:t>
      </w:r>
    </w:p>
    <w:p w14:paraId="69350F56" w14:textId="77777777" w:rsidR="00623BB8" w:rsidRPr="0038653A" w:rsidRDefault="00623BB8">
      <w:pPr>
        <w:pStyle w:val="ListParagraph"/>
        <w:numPr>
          <w:ilvl w:val="0"/>
          <w:numId w:val="26"/>
        </w:numPr>
        <w:bidi/>
        <w:spacing w:after="200" w:line="360" w:lineRule="auto"/>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القائد التحويلي هو شخص قادر على خلق رؤية المنظمة ورسالتها وإيصال هذه الرؤية بطريقة تستثير المرؤوسين وتدفعهم لاعتناقها.</w:t>
      </w:r>
    </w:p>
    <w:p w14:paraId="339A4E5A" w14:textId="7D48F0E3" w:rsidR="00623BB8" w:rsidRPr="0038653A" w:rsidRDefault="00623BB8">
      <w:pPr>
        <w:numPr>
          <w:ilvl w:val="0"/>
          <w:numId w:val="26"/>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يرى القائد التحويلي أن المبرر من وجوده هو نقلة حضارية، فهو يتمتع بثقة ذاتية عالية، كما يتمتع بوعي خالٍ من</w:t>
      </w:r>
      <w:r w:rsidRPr="0038653A">
        <w:rPr>
          <w:rFonts w:ascii="Traditional Arabic" w:eastAsia="Calibri" w:hAnsi="Traditional Arabic" w:cs="Traditional Arabic" w:hint="cs"/>
          <w:sz w:val="24"/>
          <w:szCs w:val="24"/>
          <w:rtl/>
          <w:lang w:bidi="ar-EG"/>
        </w:rPr>
        <w:tab/>
        <w:t>الصراعات الداخلية</w:t>
      </w:r>
      <w:r w:rsidR="00FC5814" w:rsidRPr="0038653A">
        <w:rPr>
          <w:rFonts w:ascii="Traditional Arabic" w:eastAsia="Calibri" w:hAnsi="Traditional Arabic" w:cs="Traditional Arabic" w:hint="cs"/>
          <w:sz w:val="24"/>
          <w:szCs w:val="24"/>
          <w:rtl/>
          <w:lang w:bidi="ar-EG"/>
        </w:rPr>
        <w:t>.</w:t>
      </w:r>
    </w:p>
    <w:p w14:paraId="41BCB30E" w14:textId="77777777" w:rsidR="00623BB8" w:rsidRPr="0038653A" w:rsidRDefault="00623BB8">
      <w:pPr>
        <w:numPr>
          <w:ilvl w:val="0"/>
          <w:numId w:val="26"/>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للقائد التحويلي حضورٌ واضحٌ، ونشاطٌ بدنيٌ متفاعل، حيث يشارك الناس مشاكلهم، ويقدم لهم الحلول.</w:t>
      </w:r>
    </w:p>
    <w:p w14:paraId="7F2DEA30" w14:textId="77777777" w:rsidR="00623BB8" w:rsidRPr="0038653A" w:rsidRDefault="00623BB8">
      <w:pPr>
        <w:numPr>
          <w:ilvl w:val="0"/>
          <w:numId w:val="26"/>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يستطيع التعامل مع المسائل الغامضة، ويهتدي إلى الحلول المعقّدة.</w:t>
      </w:r>
      <w:r w:rsidRPr="0038653A">
        <w:rPr>
          <w:rFonts w:ascii="Traditional Arabic" w:eastAsia="Calibri" w:hAnsi="Traditional Arabic" w:cs="Traditional Arabic" w:hint="cs"/>
          <w:sz w:val="24"/>
          <w:szCs w:val="24"/>
          <w:rtl/>
          <w:lang w:bidi="ar-EG"/>
        </w:rPr>
        <w:tab/>
      </w:r>
    </w:p>
    <w:p w14:paraId="1F7E25EE" w14:textId="77777777" w:rsidR="00623BB8" w:rsidRPr="0038653A" w:rsidRDefault="00623BB8">
      <w:pPr>
        <w:numPr>
          <w:ilvl w:val="0"/>
          <w:numId w:val="26"/>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يعدّ القائد التحويلي عنصر تغيير بمرؤوسيه ويسعى إلى تحقيق إنتاجية عالية تفوق الأهداف.</w:t>
      </w:r>
    </w:p>
    <w:p w14:paraId="4581E3EB" w14:textId="77777777" w:rsidR="00623BB8" w:rsidRPr="0038653A" w:rsidRDefault="00623BB8">
      <w:pPr>
        <w:numPr>
          <w:ilvl w:val="0"/>
          <w:numId w:val="26"/>
        </w:numPr>
        <w:bidi/>
        <w:spacing w:after="200" w:line="360"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 xml:space="preserve">مقدام ومجازف مع التحسب لأي مخاطر، محب للحركة ويتجنب الركود الذي لا يؤدي إلى التطور. </w:t>
      </w:r>
    </w:p>
    <w:p w14:paraId="23117AA6" w14:textId="7770B8B3" w:rsidR="00623BB8" w:rsidRPr="0038653A" w:rsidRDefault="00FE464C" w:rsidP="00FE464C">
      <w:pPr>
        <w:bidi/>
        <w:spacing w:after="200" w:line="276" w:lineRule="auto"/>
        <w:contextualSpacing/>
        <w:jc w:val="both"/>
        <w:rPr>
          <w:rFonts w:ascii="Traditional Arabic" w:eastAsia="Calibri" w:hAnsi="Traditional Arabic" w:cs="Traditional Arabic"/>
          <w:b/>
          <w:bCs/>
          <w:sz w:val="28"/>
          <w:szCs w:val="28"/>
          <w:rtl/>
          <w:lang w:bidi="ar-EG"/>
        </w:rPr>
      </w:pPr>
      <w:r w:rsidRPr="0038653A">
        <w:rPr>
          <w:rFonts w:ascii="Traditional Arabic" w:eastAsia="Calibri" w:hAnsi="Traditional Arabic" w:cs="Traditional Arabic" w:hint="cs"/>
          <w:b/>
          <w:bCs/>
          <w:sz w:val="28"/>
          <w:szCs w:val="28"/>
          <w:rtl/>
          <w:lang w:bidi="ar-EG"/>
        </w:rPr>
        <w:t>تاسعا</w:t>
      </w:r>
      <w:r w:rsidR="003917DF" w:rsidRPr="0038653A">
        <w:rPr>
          <w:rFonts w:ascii="Traditional Arabic" w:eastAsia="Calibri" w:hAnsi="Traditional Arabic" w:cs="Traditional Arabic" w:hint="cs"/>
          <w:b/>
          <w:bCs/>
          <w:sz w:val="28"/>
          <w:szCs w:val="28"/>
          <w:rtl/>
          <w:lang w:bidi="ar-EG"/>
        </w:rPr>
        <w:t>ً</w:t>
      </w:r>
      <w:r w:rsidRPr="0038653A">
        <w:rPr>
          <w:rFonts w:ascii="Traditional Arabic" w:eastAsia="Calibri" w:hAnsi="Traditional Arabic" w:cs="Traditional Arabic" w:hint="cs"/>
          <w:b/>
          <w:bCs/>
          <w:sz w:val="28"/>
          <w:szCs w:val="28"/>
          <w:rtl/>
          <w:lang w:bidi="ar-EG"/>
        </w:rPr>
        <w:t xml:space="preserve">: </w:t>
      </w:r>
      <w:r w:rsidR="00623BB8" w:rsidRPr="0038653A">
        <w:rPr>
          <w:rFonts w:ascii="Traditional Arabic" w:eastAsia="Calibri" w:hAnsi="Traditional Arabic" w:cs="Traditional Arabic" w:hint="cs"/>
          <w:b/>
          <w:bCs/>
          <w:sz w:val="28"/>
          <w:szCs w:val="28"/>
          <w:rtl/>
          <w:lang w:bidi="ar-EG"/>
        </w:rPr>
        <w:t>عوامل نجاح القيـادة التحويـلية:</w:t>
      </w:r>
    </w:p>
    <w:p w14:paraId="709B08B2" w14:textId="665F5D70" w:rsidR="00623BB8" w:rsidRPr="0038653A" w:rsidRDefault="00623BB8" w:rsidP="00FC5814">
      <w:pPr>
        <w:bidi/>
        <w:spacing w:after="200" w:line="276"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 xml:space="preserve">تقوم التطورات النظرية للقيـاادة التحويـلية بتوليد عدد من الأفكار لنجاح القيـادة التحويـلية، ومنها الآتي: (الغامدي، 2020؛ الخرابشة والمعاني، 2020؛ </w:t>
      </w:r>
      <w:r w:rsidRPr="0038653A">
        <w:rPr>
          <w:rFonts w:ascii="Traditional Arabic" w:eastAsia="Calibri" w:hAnsi="Traditional Arabic" w:cs="Traditional Arabic" w:hint="cs"/>
          <w:sz w:val="24"/>
          <w:szCs w:val="24"/>
          <w:lang w:bidi="ar-EG"/>
        </w:rPr>
        <w:t>Abou-Moghli</w:t>
      </w:r>
      <w:r w:rsidRPr="0038653A">
        <w:rPr>
          <w:rFonts w:ascii="Traditional Arabic" w:eastAsia="Calibri" w:hAnsi="Traditional Arabic" w:cs="Traditional Arabic" w:hint="cs"/>
          <w:sz w:val="24"/>
          <w:szCs w:val="24"/>
          <w:rtl/>
          <w:lang w:bidi="ar-EG"/>
        </w:rPr>
        <w:t>, 2018)</w:t>
      </w:r>
    </w:p>
    <w:p w14:paraId="44B89C26" w14:textId="77777777" w:rsidR="0017327A" w:rsidRPr="0038653A" w:rsidRDefault="00623BB8">
      <w:pPr>
        <w:numPr>
          <w:ilvl w:val="0"/>
          <w:numId w:val="6"/>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التنمية والتطوير:</w:t>
      </w:r>
      <w:r w:rsidRPr="0038653A">
        <w:rPr>
          <w:rFonts w:ascii="Traditional Arabic" w:eastAsia="Calibri" w:hAnsi="Traditional Arabic" w:cs="Traditional Arabic" w:hint="cs"/>
          <w:sz w:val="24"/>
          <w:szCs w:val="24"/>
          <w:rtl/>
          <w:lang w:bidi="ar-EG"/>
        </w:rPr>
        <w:t xml:space="preserve"> ترجع فاعلية التنمية والتطوير إلى دعمها فكرة تفويض بعض الزملاء بممارسة القيـادة، وإمدادهم بكل فرص وإمكانات التطوير المهني في المهارات القيـادية والعمل الجماعي، ولكي تنجح هذه الفكرة فإن الموظفين يحتاجون إلى الحصول على الفرص الحقيقية </w:t>
      </w:r>
      <w:r w:rsidRPr="0038653A">
        <w:rPr>
          <w:rFonts w:ascii="Traditional Arabic" w:eastAsia="Calibri" w:hAnsi="Traditional Arabic" w:cs="Traditional Arabic" w:hint="cs"/>
          <w:sz w:val="24"/>
          <w:szCs w:val="24"/>
          <w:rtl/>
          <w:lang w:bidi="ar-EG"/>
        </w:rPr>
        <w:lastRenderedPageBreak/>
        <w:t>والفعلية لممارسة القيـادة، وعندما يتحقق ذلك سيكون المطلب التالي لهم في الحصول على فرصة لتنمية مهاراتهم القيـادية من خلال الدورات والبرامج التدريبية في مجال القيـادة</w:t>
      </w:r>
      <w:r w:rsidRPr="0038653A">
        <w:rPr>
          <w:rFonts w:ascii="Traditional Arabic" w:eastAsia="Calibri" w:hAnsi="Traditional Arabic" w:cs="Traditional Arabic" w:hint="cs"/>
          <w:b/>
          <w:bCs/>
          <w:sz w:val="24"/>
          <w:szCs w:val="24"/>
          <w:rtl/>
          <w:lang w:bidi="ar-EG"/>
        </w:rPr>
        <w:t xml:space="preserve">. </w:t>
      </w:r>
    </w:p>
    <w:p w14:paraId="06A97F11" w14:textId="3F15DC7E" w:rsidR="00623BB8" w:rsidRPr="0038653A" w:rsidRDefault="00623BB8">
      <w:pPr>
        <w:numPr>
          <w:ilvl w:val="0"/>
          <w:numId w:val="6"/>
        </w:numPr>
        <w:bidi/>
        <w:spacing w:after="200" w:line="360"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b/>
          <w:bCs/>
          <w:sz w:val="24"/>
          <w:szCs w:val="24"/>
          <w:rtl/>
          <w:lang w:bidi="ar-EG"/>
        </w:rPr>
        <w:t>التفويض باستخدام السلطة:</w:t>
      </w:r>
      <w:r w:rsidRPr="0038653A">
        <w:rPr>
          <w:rFonts w:ascii="Traditional Arabic" w:eastAsia="Calibri" w:hAnsi="Traditional Arabic" w:cs="Traditional Arabic" w:hint="cs"/>
          <w:sz w:val="24"/>
          <w:szCs w:val="24"/>
          <w:rtl/>
          <w:lang w:bidi="ar-EG"/>
        </w:rPr>
        <w:t xml:space="preserve"> إن القيـادة التحويـلية وتفويض السلطة عبارة عن خليط من الحقوق والمسؤوليات، فإذا كان من حق القائـد أن يمارس القيـادة، فإن مسؤولية زملائه من الموظفين هي اتباعه، ليس كمجرد تابعين ثانويين فقط، بل كشركاء سيقومون بدورهم في ممارسة القيـادة أيضاً، ويجب على كل شخص أن يكون قائـداً ومرؤوساً وموظفاً في الوقت نفسه، والتفكير المعاصر للتفويض باستخدام السلطة، يعني أن المشاركة في تولي السلطة والقيـادة تضاعف في قوة الجميع ويزيد نشاطهم، مما يضاعف بالتبعية قوة المنظمة وفاعليتها كجماعة عمل مكونة من أعضاء وشركاء، كما تضم المنظمات أفراداً من تخصصات ومهارات وكفاءات مختلفة وخبرات متنوعة من مجالات متعددة، وبالتالي فإننا بحاجة كقيـادة إلى معرفة كيفية إدارة هذه الخبرات والكفاءات المهنية في المنظمة، والاستفادة منها على الوجه الأمثل، فتعد فكرة التفويض باستخدام السلطة القيـادية إحدى الأفكار التي تساعد على إنجاز المهام بشكل أسرع وأكثر كفاءة، وذلك من خلال مشاركة جميع الأفراد في عملية القيـادة، وضمن فريق عمل جماعي .</w:t>
      </w:r>
    </w:p>
    <w:p w14:paraId="2F7C5FF5" w14:textId="77777777" w:rsidR="00623BB8" w:rsidRPr="0038653A" w:rsidRDefault="00623BB8">
      <w:pPr>
        <w:numPr>
          <w:ilvl w:val="0"/>
          <w:numId w:val="7"/>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الرؤية:</w:t>
      </w:r>
      <w:r w:rsidRPr="0038653A">
        <w:rPr>
          <w:rFonts w:ascii="Traditional Arabic" w:eastAsia="Calibri" w:hAnsi="Traditional Arabic" w:cs="Traditional Arabic" w:hint="cs"/>
          <w:sz w:val="24"/>
          <w:szCs w:val="24"/>
          <w:rtl/>
          <w:lang w:bidi="ar-EG"/>
        </w:rPr>
        <w:t xml:space="preserve"> يجب أن تكون الرؤية شاملة لكل من الأهداف الإجرائية والإنجازية والاجتماعية والأخلاقية التي يشترك جميع القادة في السعي لتحقيقها وترسيخها في المنظمة، وقد يبدأ القادة التحويليين رحلتهم القيـادية برؤيتهم الفردية الشخصية، ولكن نجاحهم وتميزهم سيتحقق عندما يحولون طبيعة هذه الرؤية، وبأسرع ما يمكن إلى نشاط يشترك فيه فريق العمل كله، وذلك إنه عندما يتحقق هذا ستتحول رؤية القادة ورؤية زملائهم في فريق العمل إلى كيان واحد متصل يستمد قوته واستمراره من رعاية القادة أنفسهم ودعمهم.</w:t>
      </w:r>
    </w:p>
    <w:p w14:paraId="4F0568EE" w14:textId="23766D16" w:rsidR="00623BB8" w:rsidRPr="0038653A" w:rsidRDefault="00623BB8">
      <w:pPr>
        <w:numPr>
          <w:ilvl w:val="0"/>
          <w:numId w:val="7"/>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التعلم:</w:t>
      </w:r>
      <w:r w:rsidRPr="0038653A">
        <w:rPr>
          <w:rFonts w:ascii="Traditional Arabic" w:eastAsia="Calibri" w:hAnsi="Traditional Arabic" w:cs="Traditional Arabic" w:hint="cs"/>
          <w:sz w:val="24"/>
          <w:szCs w:val="24"/>
          <w:rtl/>
          <w:lang w:bidi="ar-EG"/>
        </w:rPr>
        <w:t xml:space="preserve"> يجب على الأفراد العاملين أن يعملوا على تعلم كيفية ممارسة القيـادة والمشاركة فيها، وإلى أي مدى سوف يعتمدون على خبراتهم الشخصية، ويجب تنمية المهارات القيـادية في مساندة انتشار القادة عبر المنظمة ودعمهم، وتعزيز ممارسة الأفراد للقيـادة. ويمكن القول أ ن: "القادة التحويـليين يشتركون في مجموعة خصائص تميزهم عن غيرهم من القادة الإداريين؛ فهم المحرك لعملية التغيير والتطوير، بحسن تعاملهم مع المواقف، والتكيُّف مع الظروف، والقدرة على حل المشكلات التي تواجه المنظمة، والتعامل معها بكل دقة وتخطيط مسبق، ويشاركون فيها فريق العمل، فلهم من التأثير في الآخرين الشيء الكبير."</w:t>
      </w:r>
    </w:p>
    <w:p w14:paraId="6D0CE19D"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02671F1"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724D3DEA"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5D8DA20"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5E6DB27"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330AD39" w14:textId="77777777" w:rsidR="0038653A" w:rsidRDefault="0038653A" w:rsidP="0017327A">
      <w:pPr>
        <w:bidi/>
        <w:spacing w:after="200" w:line="276" w:lineRule="auto"/>
        <w:ind w:left="360"/>
        <w:contextualSpacing/>
        <w:jc w:val="center"/>
        <w:rPr>
          <w:rFonts w:ascii="Simplified Arabic" w:eastAsia="Calibri" w:hAnsi="Simplified Arabic" w:cs="Simplified Arabic"/>
          <w:b/>
          <w:bCs/>
          <w:sz w:val="24"/>
          <w:szCs w:val="24"/>
          <w:lang w:bidi="ar-EG"/>
        </w:rPr>
      </w:pPr>
    </w:p>
    <w:p w14:paraId="061F8DF6" w14:textId="77777777" w:rsidR="0038653A" w:rsidRDefault="0038653A" w:rsidP="0038653A">
      <w:pPr>
        <w:bidi/>
        <w:spacing w:after="200" w:line="276" w:lineRule="auto"/>
        <w:ind w:left="360"/>
        <w:contextualSpacing/>
        <w:jc w:val="center"/>
        <w:rPr>
          <w:rFonts w:ascii="Simplified Arabic" w:eastAsia="Calibri" w:hAnsi="Simplified Arabic" w:cs="Simplified Arabic"/>
          <w:b/>
          <w:bCs/>
          <w:sz w:val="24"/>
          <w:szCs w:val="24"/>
          <w:lang w:bidi="ar-EG"/>
        </w:rPr>
      </w:pPr>
    </w:p>
    <w:p w14:paraId="60127931" w14:textId="0F2BC2C5" w:rsidR="0017327A" w:rsidRPr="0038653A" w:rsidRDefault="0017327A" w:rsidP="0038653A">
      <w:pPr>
        <w:bidi/>
        <w:spacing w:after="200" w:line="276" w:lineRule="auto"/>
        <w:ind w:left="360"/>
        <w:contextualSpacing/>
        <w:jc w:val="center"/>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lastRenderedPageBreak/>
        <w:t>الشكل (</w:t>
      </w:r>
      <w:r w:rsidR="00156EA9">
        <w:rPr>
          <w:rFonts w:ascii="Traditional Arabic" w:eastAsia="Calibri" w:hAnsi="Traditional Arabic" w:cs="Traditional Arabic" w:hint="cs"/>
          <w:b/>
          <w:bCs/>
          <w:sz w:val="24"/>
          <w:szCs w:val="24"/>
          <w:rtl/>
          <w:lang w:bidi="ar-EG"/>
        </w:rPr>
        <w:t>6</w:t>
      </w:r>
      <w:r w:rsidRPr="0038653A">
        <w:rPr>
          <w:rFonts w:ascii="Traditional Arabic" w:eastAsia="Calibri" w:hAnsi="Traditional Arabic" w:cs="Traditional Arabic" w:hint="cs"/>
          <w:b/>
          <w:bCs/>
          <w:sz w:val="24"/>
          <w:szCs w:val="24"/>
          <w:rtl/>
          <w:lang w:bidi="ar-EG"/>
        </w:rPr>
        <w:t>) عوامل نجاح القيادة التحويلية</w:t>
      </w:r>
    </w:p>
    <w:p w14:paraId="1D975991" w14:textId="6702E363" w:rsidR="00623BB8" w:rsidRPr="0017327A" w:rsidRDefault="0017327A" w:rsidP="0017327A">
      <w:pPr>
        <w:bidi/>
        <w:spacing w:after="200" w:line="276" w:lineRule="auto"/>
        <w:ind w:left="36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noProof/>
          <w:sz w:val="28"/>
          <w:szCs w:val="28"/>
          <w:rtl/>
          <w:lang w:val="ar-EG" w:bidi="ar-EG"/>
        </w:rPr>
        <w:drawing>
          <wp:inline distT="0" distB="0" distL="0" distR="0" wp14:anchorId="02705F75" wp14:editId="31880291">
            <wp:extent cx="5274310" cy="3076575"/>
            <wp:effectExtent l="0" t="12700" r="0" b="9525"/>
            <wp:docPr id="22814114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5253C0C1" w14:textId="1FCD8310" w:rsidR="00623BB8" w:rsidRPr="0038653A" w:rsidRDefault="0017327A" w:rsidP="00264684">
      <w:pPr>
        <w:widowControl w:val="0"/>
        <w:autoSpaceDE w:val="0"/>
        <w:autoSpaceDN w:val="0"/>
        <w:bidi/>
        <w:spacing w:before="11" w:after="0" w:line="360" w:lineRule="auto"/>
        <w:ind w:right="301"/>
        <w:jc w:val="center"/>
        <w:outlineLvl w:val="2"/>
        <w:rPr>
          <w:rFonts w:ascii="Traditional Arabic" w:eastAsia="Times New Roman" w:hAnsi="Traditional Arabic" w:cs="Traditional Arabic"/>
          <w:b/>
          <w:bCs/>
          <w:w w:val="76"/>
          <w:sz w:val="24"/>
          <w:szCs w:val="24"/>
          <w:rtl/>
        </w:rPr>
      </w:pPr>
      <w:r w:rsidRPr="0038653A">
        <w:rPr>
          <w:rFonts w:ascii="Traditional Arabic" w:eastAsia="Times New Roman" w:hAnsi="Traditional Arabic" w:cs="Traditional Arabic" w:hint="cs"/>
          <w:b/>
          <w:bCs/>
          <w:w w:val="76"/>
          <w:sz w:val="24"/>
          <w:szCs w:val="24"/>
          <w:rtl/>
        </w:rPr>
        <w:t>إعداد/ الباحثة</w:t>
      </w:r>
      <w:r w:rsidR="00264684" w:rsidRPr="0038653A">
        <w:rPr>
          <w:rFonts w:ascii="Traditional Arabic" w:eastAsia="Times New Roman" w:hAnsi="Traditional Arabic" w:cs="Traditional Arabic" w:hint="cs"/>
          <w:b/>
          <w:bCs/>
          <w:w w:val="76"/>
          <w:sz w:val="24"/>
          <w:szCs w:val="24"/>
          <w:rtl/>
        </w:rPr>
        <w:t xml:space="preserve"> مستندة لدراسة الحربي، 2022، 36</w:t>
      </w:r>
      <w:r w:rsidRPr="0038653A">
        <w:rPr>
          <w:rFonts w:ascii="Traditional Arabic" w:eastAsia="Times New Roman" w:hAnsi="Traditional Arabic" w:cs="Traditional Arabic" w:hint="cs"/>
          <w:b/>
          <w:bCs/>
          <w:w w:val="76"/>
          <w:sz w:val="24"/>
          <w:szCs w:val="24"/>
          <w:rtl/>
        </w:rPr>
        <w:t>.</w:t>
      </w:r>
    </w:p>
    <w:p w14:paraId="721684FA" w14:textId="77777777" w:rsidR="00623BB8" w:rsidRPr="0038653A" w:rsidRDefault="00623BB8" w:rsidP="00623BB8">
      <w:pPr>
        <w:bidi/>
        <w:spacing w:before="120" w:after="120" w:line="240" w:lineRule="auto"/>
        <w:rPr>
          <w:rFonts w:ascii="Traditional Arabic" w:hAnsi="Traditional Arabic" w:cs="Traditional Arabic"/>
          <w:b/>
          <w:bCs/>
          <w:spacing w:val="-6"/>
          <w:sz w:val="28"/>
          <w:szCs w:val="28"/>
          <w:rtl/>
        </w:rPr>
      </w:pPr>
      <w:r w:rsidRPr="0038653A">
        <w:rPr>
          <w:rFonts w:ascii="Traditional Arabic" w:hAnsi="Traditional Arabic" w:cs="Traditional Arabic" w:hint="cs"/>
          <w:b/>
          <w:bCs/>
          <w:spacing w:val="-6"/>
          <w:sz w:val="28"/>
          <w:szCs w:val="28"/>
          <w:rtl/>
        </w:rPr>
        <w:t>الدراسات السابقة حول القيادة التحويلة :</w:t>
      </w:r>
    </w:p>
    <w:p w14:paraId="4E4E5F6C" w14:textId="23D1B69D" w:rsidR="00402440" w:rsidRPr="0038653A" w:rsidRDefault="00402440" w:rsidP="0038653A">
      <w:pPr>
        <w:bidi/>
        <w:spacing w:before="120" w:after="120" w:line="360" w:lineRule="auto"/>
        <w:ind w:firstLine="720"/>
        <w:jc w:val="both"/>
        <w:rPr>
          <w:rFonts w:ascii="Traditional Arabic" w:hAnsi="Traditional Arabic" w:cs="Traditional Arabic"/>
          <w:spacing w:val="-6"/>
          <w:sz w:val="24"/>
          <w:szCs w:val="24"/>
          <w:lang w:bidi="ar-EG"/>
        </w:rPr>
      </w:pPr>
      <w:r w:rsidRPr="0038653A">
        <w:rPr>
          <w:rFonts w:ascii="Traditional Arabic" w:hAnsi="Traditional Arabic" w:cs="Traditional Arabic" w:hint="cs"/>
          <w:spacing w:val="-6"/>
          <w:sz w:val="24"/>
          <w:szCs w:val="24"/>
          <w:rtl/>
        </w:rPr>
        <w:t xml:space="preserve">هدفت </w:t>
      </w:r>
      <w:r w:rsidRPr="0038653A">
        <w:rPr>
          <w:rFonts w:ascii="Traditional Arabic" w:hAnsi="Traditional Arabic" w:cs="Traditional Arabic" w:hint="cs"/>
          <w:b/>
          <w:bCs/>
          <w:spacing w:val="-6"/>
          <w:sz w:val="24"/>
          <w:szCs w:val="24"/>
          <w:rtl/>
        </w:rPr>
        <w:t>دراسة التجاني</w:t>
      </w:r>
      <w:r w:rsidRPr="0038653A">
        <w:rPr>
          <w:rFonts w:ascii="Traditional Arabic" w:hAnsi="Traditional Arabic" w:cs="Traditional Arabic" w:hint="cs"/>
          <w:b/>
          <w:bCs/>
          <w:spacing w:val="-6"/>
          <w:sz w:val="24"/>
          <w:szCs w:val="24"/>
          <w:lang w:bidi="ar-EG"/>
        </w:rPr>
        <w:t xml:space="preserve"> (2020</w:t>
      </w:r>
      <w:r w:rsidR="00202FBE" w:rsidRPr="0038653A">
        <w:rPr>
          <w:rFonts w:ascii="Traditional Arabic" w:hAnsi="Traditional Arabic" w:cs="Traditional Arabic" w:hint="cs"/>
          <w:b/>
          <w:bCs/>
          <w:spacing w:val="-6"/>
          <w:sz w:val="24"/>
          <w:szCs w:val="24"/>
          <w:lang w:bidi="ar-EG"/>
        </w:rPr>
        <w:t>)</w:t>
      </w:r>
      <w:r w:rsidRPr="0038653A">
        <w:rPr>
          <w:rFonts w:ascii="Traditional Arabic" w:hAnsi="Traditional Arabic" w:cs="Traditional Arabic" w:hint="cs"/>
          <w:b/>
          <w:bCs/>
          <w:spacing w:val="-6"/>
          <w:sz w:val="24"/>
          <w:szCs w:val="24"/>
          <w:lang w:bidi="ar-EG"/>
        </w:rPr>
        <w:t xml:space="preserve"> </w:t>
      </w:r>
      <w:r w:rsidRPr="0038653A">
        <w:rPr>
          <w:rFonts w:ascii="Traditional Arabic" w:hAnsi="Traditional Arabic" w:cs="Traditional Arabic" w:hint="cs"/>
          <w:b/>
          <w:bCs/>
          <w:spacing w:val="-6"/>
          <w:sz w:val="24"/>
          <w:szCs w:val="24"/>
          <w:rtl/>
        </w:rPr>
        <w:t>سلوكيات القيادة التحويلية وأثرها على الإبداع التنظيمي</w:t>
      </w:r>
      <w:r w:rsidRPr="0038653A">
        <w:rPr>
          <w:rFonts w:ascii="Traditional Arabic" w:hAnsi="Traditional Arabic" w:cs="Traditional Arabic" w:hint="cs"/>
          <w:b/>
          <w:bCs/>
          <w:spacing w:val="-6"/>
          <w:sz w:val="24"/>
          <w:szCs w:val="24"/>
          <w:rtl/>
          <w:lang w:bidi="ar-EG"/>
        </w:rPr>
        <w:t xml:space="preserve"> </w:t>
      </w:r>
      <w:r w:rsidRPr="0038653A">
        <w:rPr>
          <w:rFonts w:ascii="Traditional Arabic" w:hAnsi="Traditional Arabic" w:cs="Traditional Arabic" w:hint="cs"/>
          <w:spacing w:val="-6"/>
          <w:sz w:val="24"/>
          <w:szCs w:val="24"/>
          <w:rtl/>
        </w:rPr>
        <w:t>إلى معرفة مدى تأثير سلوكيات القيادة التحويلية على الإبداع التنظيمي، وتم اختيار جامعة غرداية في الجزائر كحالة دراسية، بالاعتماد على المنهج الوصفي التحليلي</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شملت الدراسة العاملين في الجامعة، وركّزت على قياس درجة ممارسة القيادات الإدارية لسلوكيات القيادة التحويلية، بالإضافة إلى تقييم مستوى الإبداع التنظيمي داخل المؤسسة</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أظهرت النتائج أن درجة ممارسة القيادات الإدارية لسلوكيات القيادة التحويلية كانت مرتفعة، وكذلك درجة ممارسة الإبداع التنظيمي</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كما كشفت الدراسة عن وجود فروق ذات دلالة إحصائية في درجة ممارسة سلوكيات القيادة التحويلية تبعًا لمتغيرات النوع، السن، والخبرة المهنية، وكذلك فروق في درجة ممارسة الإبداع التنظيمي تبعًا لنفس المتغيرات</w:t>
      </w:r>
      <w:r w:rsidR="00264684" w:rsidRPr="0038653A">
        <w:rPr>
          <w:rFonts w:ascii="Traditional Arabic" w:hAnsi="Traditional Arabic" w:cs="Traditional Arabic" w:hint="cs"/>
          <w:spacing w:val="-6"/>
          <w:sz w:val="24"/>
          <w:szCs w:val="24"/>
          <w:rtl/>
          <w:lang w:bidi="ar-EG"/>
        </w:rPr>
        <w:t>،</w:t>
      </w:r>
      <w:r w:rsidRPr="0038653A">
        <w:rPr>
          <w:rFonts w:ascii="Traditional Arabic" w:hAnsi="Traditional Arabic" w:cs="Traditional Arabic" w:hint="cs"/>
          <w:spacing w:val="-6"/>
          <w:sz w:val="24"/>
          <w:szCs w:val="24"/>
          <w:rtl/>
        </w:rPr>
        <w:t xml:space="preserve"> وأوصت الدراسة بضرورة توجيه القيادات الإدارية نحو تبني الأساليب الإدارية الحديثة، وتدريبهم على قيادة المؤسسات الجامعية وفق مدخل القيادة التحويلية، خاصة في ظل بيئة تتصف بالتغيير المستمر</w:t>
      </w:r>
      <w:r w:rsidRPr="0038653A">
        <w:rPr>
          <w:rFonts w:ascii="Traditional Arabic" w:hAnsi="Traditional Arabic" w:cs="Traditional Arabic" w:hint="cs"/>
          <w:spacing w:val="-6"/>
          <w:sz w:val="24"/>
          <w:szCs w:val="24"/>
          <w:lang w:bidi="ar-EG"/>
        </w:rPr>
        <w:t>.</w:t>
      </w:r>
    </w:p>
    <w:p w14:paraId="747682DA" w14:textId="5561ACC2" w:rsidR="00460553" w:rsidRPr="0038653A" w:rsidRDefault="00E55C3F" w:rsidP="0038653A">
      <w:pPr>
        <w:bidi/>
        <w:spacing w:before="120" w:after="120" w:line="360" w:lineRule="auto"/>
        <w:ind w:firstLine="720"/>
        <w:jc w:val="both"/>
        <w:rPr>
          <w:rFonts w:ascii="Traditional Arabic" w:hAnsi="Traditional Arabic" w:cs="Traditional Arabic"/>
          <w:spacing w:val="-6"/>
          <w:sz w:val="24"/>
          <w:szCs w:val="24"/>
          <w:lang w:bidi="ar-EG"/>
        </w:rPr>
      </w:pPr>
      <w:r w:rsidRPr="0038653A">
        <w:rPr>
          <w:rFonts w:ascii="Traditional Arabic" w:hAnsi="Traditional Arabic" w:cs="Traditional Arabic" w:hint="cs"/>
          <w:b/>
          <w:bCs/>
          <w:spacing w:val="-6"/>
          <w:sz w:val="24"/>
          <w:szCs w:val="24"/>
          <w:rtl/>
          <w:lang w:bidi="ar-EG"/>
        </w:rPr>
        <w:t>و</w:t>
      </w:r>
      <w:r w:rsidR="00460553" w:rsidRPr="0038653A">
        <w:rPr>
          <w:rFonts w:ascii="Traditional Arabic" w:hAnsi="Traditional Arabic" w:cs="Traditional Arabic" w:hint="cs"/>
          <w:b/>
          <w:bCs/>
          <w:spacing w:val="-6"/>
          <w:sz w:val="24"/>
          <w:szCs w:val="24"/>
          <w:rtl/>
        </w:rPr>
        <w:t>أشارت دراسة حسين (2020) إلى أهمية تطبيق القيادة التحويلية كمدخل استراتيجي لتحسين الأداء المؤسسي في المنظمات الصحية</w:t>
      </w:r>
      <w:r w:rsidR="00460553" w:rsidRPr="0038653A">
        <w:rPr>
          <w:rFonts w:ascii="Traditional Arabic" w:hAnsi="Traditional Arabic" w:cs="Traditional Arabic" w:hint="cs"/>
          <w:spacing w:val="-6"/>
          <w:sz w:val="24"/>
          <w:szCs w:val="24"/>
          <w:rtl/>
        </w:rPr>
        <w:t>، وذلك ضمن إطار تحقيق أهداف رؤية مصر 2030 للتنمية المستدامة</w:t>
      </w:r>
      <w:r w:rsidR="00575FAD" w:rsidRPr="0038653A">
        <w:rPr>
          <w:rFonts w:ascii="Traditional Arabic" w:hAnsi="Traditional Arabic" w:cs="Traditional Arabic" w:hint="cs"/>
          <w:spacing w:val="-6"/>
          <w:sz w:val="24"/>
          <w:szCs w:val="24"/>
          <w:rtl/>
          <w:lang w:bidi="ar-EG"/>
        </w:rPr>
        <w:t>،</w:t>
      </w:r>
      <w:r w:rsidR="00460553" w:rsidRPr="0038653A">
        <w:rPr>
          <w:rFonts w:ascii="Traditional Arabic" w:hAnsi="Traditional Arabic" w:cs="Traditional Arabic" w:hint="cs"/>
          <w:spacing w:val="-6"/>
          <w:sz w:val="24"/>
          <w:szCs w:val="24"/>
          <w:rtl/>
        </w:rPr>
        <w:t xml:space="preserve"> وقد هدفت الدراسة إلى قياس أثر أبعاد القيادة التحويلية على جودة الخدمات الصحية، ومدى ارتباطها بمؤشرات الأداء المؤسسي في المستشفيات الحكومية</w:t>
      </w:r>
      <w:r w:rsidR="00575FAD" w:rsidRPr="0038653A">
        <w:rPr>
          <w:rFonts w:ascii="Traditional Arabic" w:hAnsi="Traditional Arabic" w:cs="Traditional Arabic" w:hint="cs"/>
          <w:spacing w:val="-6"/>
          <w:sz w:val="24"/>
          <w:szCs w:val="24"/>
          <w:rtl/>
          <w:lang w:bidi="ar-EG"/>
        </w:rPr>
        <w:t xml:space="preserve">، </w:t>
      </w:r>
      <w:r w:rsidR="00460553" w:rsidRPr="0038653A">
        <w:rPr>
          <w:rFonts w:ascii="Traditional Arabic" w:hAnsi="Traditional Arabic" w:cs="Traditional Arabic" w:hint="cs"/>
          <w:spacing w:val="-6"/>
          <w:sz w:val="24"/>
          <w:szCs w:val="24"/>
          <w:rtl/>
          <w:lang w:bidi="ar-EG"/>
        </w:rPr>
        <w:t>و</w:t>
      </w:r>
      <w:r w:rsidR="00460553" w:rsidRPr="0038653A">
        <w:rPr>
          <w:rFonts w:ascii="Traditional Arabic" w:hAnsi="Traditional Arabic" w:cs="Traditional Arabic" w:hint="cs"/>
          <w:spacing w:val="-6"/>
          <w:sz w:val="24"/>
          <w:szCs w:val="24"/>
          <w:rtl/>
        </w:rPr>
        <w:t>اعتمدت الدراسة على المنهج الوصفي التحليلي، حيث تم توزيع استمارات استقصاء على عينة من العاملين في الوظائف الإشرافية والقيادية داخل المستشفيات الحكومية، بهدف قياس مدى تطبيق القيادة التحويلية، وتأثيرها على الأداء المؤسسي. وشملت الأداة أربعة أبعاد رئيسية: التأثير المثالي، التحفيز الإلهامي، الاستثارة الفكرية، والتمكين الإداري، إلى جانب مؤشرات جودة الخدمة مثل رضا المرضى، كفاءة العمليات، وسرعة الاستجابة</w:t>
      </w:r>
      <w:r w:rsidR="00460553" w:rsidRPr="0038653A">
        <w:rPr>
          <w:rFonts w:ascii="Traditional Arabic" w:hAnsi="Traditional Arabic" w:cs="Traditional Arabic" w:hint="cs"/>
          <w:spacing w:val="-6"/>
          <w:sz w:val="24"/>
          <w:szCs w:val="24"/>
          <w:lang w:bidi="ar-EG"/>
        </w:rPr>
        <w:t>.</w:t>
      </w:r>
      <w:r w:rsidR="00460553" w:rsidRPr="0038653A">
        <w:rPr>
          <w:rFonts w:ascii="Traditional Arabic" w:hAnsi="Traditional Arabic" w:cs="Traditional Arabic" w:hint="cs"/>
          <w:spacing w:val="-6"/>
          <w:sz w:val="24"/>
          <w:szCs w:val="24"/>
          <w:rtl/>
          <w:lang w:bidi="ar-EG"/>
        </w:rPr>
        <w:t>و</w:t>
      </w:r>
      <w:r w:rsidR="00460553" w:rsidRPr="0038653A">
        <w:rPr>
          <w:rFonts w:ascii="Traditional Arabic" w:hAnsi="Traditional Arabic" w:cs="Traditional Arabic" w:hint="cs"/>
          <w:spacing w:val="-6"/>
          <w:sz w:val="24"/>
          <w:szCs w:val="24"/>
          <w:rtl/>
        </w:rPr>
        <w:t xml:space="preserve">تم تطبيق الدراسة على عينة متنوعة من القيادات الصحية، شملت مديري الأقسام، </w:t>
      </w:r>
      <w:r w:rsidR="00460553" w:rsidRPr="0038653A">
        <w:rPr>
          <w:rFonts w:ascii="Traditional Arabic" w:hAnsi="Traditional Arabic" w:cs="Traditional Arabic" w:hint="cs"/>
          <w:spacing w:val="-6"/>
          <w:sz w:val="24"/>
          <w:szCs w:val="24"/>
          <w:rtl/>
        </w:rPr>
        <w:lastRenderedPageBreak/>
        <w:t>رؤساء الوحدات، والمشرفين الإداريين، لضمان تمثيل مختلف المستويات القيادية في تقييم الأثر التنظيمي</w:t>
      </w:r>
      <w:r w:rsidR="00575FAD" w:rsidRPr="0038653A">
        <w:rPr>
          <w:rFonts w:ascii="Traditional Arabic" w:hAnsi="Traditional Arabic" w:cs="Traditional Arabic" w:hint="cs"/>
          <w:spacing w:val="-6"/>
          <w:sz w:val="24"/>
          <w:szCs w:val="24"/>
          <w:rtl/>
          <w:lang w:bidi="ar-EG"/>
        </w:rPr>
        <w:t xml:space="preserve">، </w:t>
      </w:r>
      <w:r w:rsidR="00460553" w:rsidRPr="0038653A">
        <w:rPr>
          <w:rFonts w:ascii="Traditional Arabic" w:hAnsi="Traditional Arabic" w:cs="Traditional Arabic" w:hint="cs"/>
          <w:spacing w:val="-6"/>
          <w:sz w:val="24"/>
          <w:szCs w:val="24"/>
          <w:rtl/>
          <w:lang w:bidi="ar-EG"/>
        </w:rPr>
        <w:t xml:space="preserve">كما </w:t>
      </w:r>
      <w:r w:rsidR="00460553" w:rsidRPr="0038653A">
        <w:rPr>
          <w:rFonts w:ascii="Traditional Arabic" w:hAnsi="Traditional Arabic" w:cs="Traditional Arabic" w:hint="cs"/>
          <w:spacing w:val="-6"/>
          <w:sz w:val="24"/>
          <w:szCs w:val="24"/>
          <w:rtl/>
        </w:rPr>
        <w:t>أظهرت النتائج أن تطبيق أبعاد القيادة التحويلية ساهم بشكل واضح في تحسين الأداء المؤسسي، ورفع مستوى جودة الخدمات الصحية المقدمة</w:t>
      </w:r>
      <w:r w:rsidR="00575FAD" w:rsidRPr="0038653A">
        <w:rPr>
          <w:rFonts w:ascii="Traditional Arabic" w:hAnsi="Traditional Arabic" w:cs="Traditional Arabic" w:hint="cs"/>
          <w:spacing w:val="-6"/>
          <w:sz w:val="24"/>
          <w:szCs w:val="24"/>
          <w:rtl/>
        </w:rPr>
        <w:t>،</w:t>
      </w:r>
      <w:r w:rsidR="00460553" w:rsidRPr="0038653A">
        <w:rPr>
          <w:rFonts w:ascii="Traditional Arabic" w:hAnsi="Traditional Arabic" w:cs="Traditional Arabic" w:hint="cs"/>
          <w:spacing w:val="-6"/>
          <w:sz w:val="24"/>
          <w:szCs w:val="24"/>
          <w:rtl/>
        </w:rPr>
        <w:t xml:space="preserve"> كما تبين وجود علاقة إيجابية بين القيادة التحويلية ومؤشرات الأداء، مما يعكس أهميتها في تحقيق التميز المؤسسي، وتعزيز الكفاءة التشغيلية في القطاع الصحي</w:t>
      </w:r>
      <w:r w:rsidR="00460553" w:rsidRPr="0038653A">
        <w:rPr>
          <w:rFonts w:ascii="Traditional Arabic" w:hAnsi="Traditional Arabic" w:cs="Traditional Arabic" w:hint="cs"/>
          <w:spacing w:val="-6"/>
          <w:sz w:val="24"/>
          <w:szCs w:val="24"/>
          <w:lang w:bidi="ar-EG"/>
        </w:rPr>
        <w:t>.</w:t>
      </w:r>
      <w:r w:rsidR="00460553" w:rsidRPr="0038653A">
        <w:rPr>
          <w:rFonts w:ascii="Traditional Arabic" w:hAnsi="Traditional Arabic" w:cs="Traditional Arabic" w:hint="cs"/>
          <w:spacing w:val="-6"/>
          <w:sz w:val="24"/>
          <w:szCs w:val="24"/>
          <w:rtl/>
        </w:rPr>
        <w:t>وأوصت الدراسة بضرورة تبني القيادة التحويلية كنمط قيادي أساسي داخل المؤسسات الصحية، مع تكثيف برامج التدريب والتأهيل للقادة والمشرفين، بما يضمن تعزيز الكفاءة، وتحقيق التميز في تقديم الخدمات الصحية، بما يتماشى مع أهداف التنمية المستدامة</w:t>
      </w:r>
      <w:r w:rsidR="00460553" w:rsidRPr="0038653A">
        <w:rPr>
          <w:rFonts w:ascii="Traditional Arabic" w:hAnsi="Traditional Arabic" w:cs="Traditional Arabic" w:hint="cs"/>
          <w:spacing w:val="-6"/>
          <w:sz w:val="24"/>
          <w:szCs w:val="24"/>
          <w:lang w:bidi="ar-EG"/>
        </w:rPr>
        <w:t>.</w:t>
      </w:r>
    </w:p>
    <w:p w14:paraId="2F916535" w14:textId="4A9C42EA" w:rsidR="007E1AEB" w:rsidRPr="0038653A" w:rsidRDefault="007E1AEB" w:rsidP="0038653A">
      <w:pPr>
        <w:bidi/>
        <w:spacing w:before="120" w:after="120" w:line="360" w:lineRule="auto"/>
        <w:ind w:firstLine="720"/>
        <w:jc w:val="both"/>
        <w:rPr>
          <w:rFonts w:ascii="Traditional Arabic" w:hAnsi="Traditional Arabic" w:cs="Traditional Arabic"/>
          <w:spacing w:val="-6"/>
          <w:sz w:val="24"/>
          <w:szCs w:val="24"/>
        </w:rPr>
      </w:pPr>
      <w:r w:rsidRPr="0038653A">
        <w:rPr>
          <w:rFonts w:ascii="Traditional Arabic" w:hAnsi="Traditional Arabic" w:cs="Traditional Arabic" w:hint="cs"/>
          <w:b/>
          <w:bCs/>
          <w:spacing w:val="-6"/>
          <w:sz w:val="24"/>
          <w:szCs w:val="24"/>
          <w:rtl/>
          <w:lang w:bidi="ar-EG"/>
        </w:rPr>
        <w:t>كما توصلت</w:t>
      </w:r>
      <w:r w:rsidRPr="0038653A">
        <w:rPr>
          <w:rFonts w:ascii="Traditional Arabic" w:hAnsi="Traditional Arabic" w:cs="Traditional Arabic" w:hint="cs"/>
          <w:b/>
          <w:bCs/>
          <w:spacing w:val="-6"/>
          <w:sz w:val="24"/>
          <w:szCs w:val="24"/>
          <w:lang w:bidi="ar-EG"/>
        </w:rPr>
        <w:t xml:space="preserve"> </w:t>
      </w:r>
      <w:r w:rsidRPr="0038653A">
        <w:rPr>
          <w:rFonts w:ascii="Traditional Arabic" w:hAnsi="Traditional Arabic" w:cs="Traditional Arabic" w:hint="cs"/>
          <w:b/>
          <w:bCs/>
          <w:spacing w:val="-6"/>
          <w:sz w:val="24"/>
          <w:szCs w:val="24"/>
          <w:rtl/>
        </w:rPr>
        <w:t>دراسة رزق الله وطيبي</w:t>
      </w:r>
      <w:r w:rsidRPr="0038653A">
        <w:rPr>
          <w:rFonts w:ascii="Traditional Arabic" w:hAnsi="Traditional Arabic" w:cs="Traditional Arabic" w:hint="cs"/>
          <w:b/>
          <w:bCs/>
          <w:spacing w:val="-6"/>
          <w:sz w:val="24"/>
          <w:szCs w:val="24"/>
          <w:lang w:bidi="ar-EG"/>
        </w:rPr>
        <w:t xml:space="preserve"> (2021): </w:t>
      </w:r>
      <w:r w:rsidRPr="0038653A">
        <w:rPr>
          <w:rFonts w:ascii="Traditional Arabic" w:hAnsi="Traditional Arabic" w:cs="Traditional Arabic" w:hint="cs"/>
          <w:spacing w:val="-6"/>
          <w:sz w:val="24"/>
          <w:szCs w:val="24"/>
          <w:rtl/>
        </w:rPr>
        <w:t>إلى قياس واقع القيادة التحويلية في مؤسسة صحية جزائرية، من خلال دراسة حالة مستشفى أحمد بن عجيلة بالأغواط</w:t>
      </w:r>
      <w:r w:rsidRPr="0038653A">
        <w:rPr>
          <w:rFonts w:ascii="Traditional Arabic" w:hAnsi="Traditional Arabic" w:cs="Traditional Arabic" w:hint="cs"/>
          <w:spacing w:val="-6"/>
          <w:sz w:val="24"/>
          <w:szCs w:val="24"/>
          <w:lang w:bidi="ar-EG"/>
        </w:rPr>
        <w:t xml:space="preserve">. </w:t>
      </w:r>
      <w:r w:rsidRPr="0038653A">
        <w:rPr>
          <w:rFonts w:ascii="Traditional Arabic" w:hAnsi="Traditional Arabic" w:cs="Traditional Arabic" w:hint="cs"/>
          <w:spacing w:val="-6"/>
          <w:sz w:val="24"/>
          <w:szCs w:val="24"/>
          <w:rtl/>
        </w:rPr>
        <w:t>اعتمد الباحثان على المنهج الوصفي التحليلي، وتم تطوير استبيان لقياس القيادة التحويلية بأبعادها الأربعة</w:t>
      </w:r>
      <w:r w:rsidRPr="0038653A">
        <w:rPr>
          <w:rFonts w:ascii="Traditional Arabic" w:hAnsi="Traditional Arabic" w:cs="Traditional Arabic" w:hint="cs"/>
          <w:spacing w:val="-6"/>
          <w:sz w:val="24"/>
          <w:szCs w:val="24"/>
          <w:lang w:bidi="ar-EG"/>
        </w:rPr>
        <w:t xml:space="preserve">: </w:t>
      </w:r>
      <w:r w:rsidRPr="0038653A">
        <w:rPr>
          <w:rFonts w:ascii="Traditional Arabic" w:hAnsi="Traditional Arabic" w:cs="Traditional Arabic" w:hint="cs"/>
          <w:spacing w:val="-6"/>
          <w:sz w:val="24"/>
          <w:szCs w:val="24"/>
          <w:rtl/>
        </w:rPr>
        <w:t>التأثير المثالي، الإلهام، الاستثارة الفكرية، والاعتبار الفردي</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تم توزيع الاستبيان على عينة مكونة من 48 موظفًا من أصل مجتمع مكون من 440 موظفًا، باستخدام أسلوب العينة العشوائية</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أظهرت النتائج أن المستشفى يطبق القيادة التحويلية بدرجة جيدة، مع تعزيز واضح لبعدي الاستثارة الفكرية والاعتبار الفردي لدى القادة</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كما كشفت الدراسة عن عدم وجود فروق ذات دلالة إحصائية في درجة ممارسة القيادة التحويلية تعزى إلى متغيري الوظيفة أو الخبرة، مما يدل على انتشار النمط القيادي بشكل متوازن بين العاملين</w:t>
      </w:r>
      <w:r w:rsidR="00264684" w:rsidRPr="0038653A">
        <w:rPr>
          <w:rFonts w:ascii="Traditional Arabic" w:hAnsi="Traditional Arabic" w:cs="Traditional Arabic" w:hint="cs"/>
          <w:spacing w:val="-6"/>
          <w:sz w:val="24"/>
          <w:szCs w:val="24"/>
          <w:rtl/>
          <w:lang w:bidi="ar-EG"/>
        </w:rPr>
        <w:t>،</w:t>
      </w:r>
      <w:r w:rsidRPr="0038653A">
        <w:rPr>
          <w:rFonts w:ascii="Traditional Arabic" w:hAnsi="Traditional Arabic" w:cs="Traditional Arabic" w:hint="cs"/>
          <w:spacing w:val="-6"/>
          <w:sz w:val="24"/>
          <w:szCs w:val="24"/>
          <w:rtl/>
        </w:rPr>
        <w:t xml:space="preserve"> وأوصت الدراسة بضرورة مواصلة دعم هذا النمط القيادي، وتطوير برامج تدريبية تركز على تعزيز الأبعاد التحويلية لدى القيادات الصحية، بما يسهم في تحسين الأداء المؤسسي في بيئة تتسم بالتغير المستمر</w:t>
      </w:r>
      <w:r w:rsidRPr="0038653A">
        <w:rPr>
          <w:rFonts w:ascii="Traditional Arabic" w:hAnsi="Traditional Arabic" w:cs="Traditional Arabic" w:hint="cs"/>
          <w:spacing w:val="-6"/>
          <w:sz w:val="24"/>
          <w:szCs w:val="24"/>
          <w:lang w:bidi="ar-EG"/>
        </w:rPr>
        <w:t>.</w:t>
      </w:r>
    </w:p>
    <w:p w14:paraId="5AAE6395" w14:textId="493C592D" w:rsidR="00D53999" w:rsidRPr="0038653A" w:rsidRDefault="007C06AF" w:rsidP="0038653A">
      <w:pPr>
        <w:bidi/>
        <w:spacing w:before="120" w:after="120" w:line="360" w:lineRule="auto"/>
        <w:ind w:firstLine="720"/>
        <w:jc w:val="both"/>
        <w:rPr>
          <w:rFonts w:ascii="Traditional Arabic" w:hAnsi="Traditional Arabic" w:cs="Traditional Arabic"/>
          <w:spacing w:val="-6"/>
          <w:sz w:val="24"/>
          <w:szCs w:val="24"/>
          <w:rtl/>
          <w:lang w:bidi="ar-EG"/>
        </w:rPr>
      </w:pPr>
      <w:r w:rsidRPr="0038653A">
        <w:rPr>
          <w:rFonts w:ascii="Traditional Arabic" w:hAnsi="Traditional Arabic" w:cs="Traditional Arabic" w:hint="cs"/>
          <w:b/>
          <w:bCs/>
          <w:spacing w:val="-6"/>
          <w:sz w:val="24"/>
          <w:szCs w:val="24"/>
          <w:rtl/>
          <w:lang w:bidi="ar-EG"/>
        </w:rPr>
        <w:t xml:space="preserve">كما </w:t>
      </w:r>
      <w:r w:rsidR="00D53999" w:rsidRPr="0038653A">
        <w:rPr>
          <w:rFonts w:ascii="Traditional Arabic" w:hAnsi="Traditional Arabic" w:cs="Traditional Arabic" w:hint="cs"/>
          <w:b/>
          <w:bCs/>
          <w:spacing w:val="-6"/>
          <w:sz w:val="24"/>
          <w:szCs w:val="24"/>
          <w:rtl/>
          <w:lang w:bidi="ar-EG"/>
        </w:rPr>
        <w:t xml:space="preserve">ركزت </w:t>
      </w:r>
      <w:r w:rsidR="00D53999" w:rsidRPr="0038653A">
        <w:rPr>
          <w:rFonts w:ascii="Traditional Arabic" w:hAnsi="Traditional Arabic" w:cs="Traditional Arabic" w:hint="cs"/>
          <w:b/>
          <w:bCs/>
          <w:spacing w:val="-6"/>
          <w:sz w:val="24"/>
          <w:szCs w:val="24"/>
          <w:rtl/>
        </w:rPr>
        <w:t>دراسة الغامدي وعثمان</w:t>
      </w:r>
      <w:r w:rsidR="00D53999" w:rsidRPr="0038653A">
        <w:rPr>
          <w:rFonts w:ascii="Traditional Arabic" w:hAnsi="Traditional Arabic" w:cs="Traditional Arabic" w:hint="cs"/>
          <w:b/>
          <w:bCs/>
          <w:spacing w:val="-6"/>
          <w:sz w:val="24"/>
          <w:szCs w:val="24"/>
          <w:lang w:bidi="ar-EG"/>
        </w:rPr>
        <w:t xml:space="preserve"> (2022</w:t>
      </w:r>
      <w:r w:rsidR="00575FAD" w:rsidRPr="0038653A">
        <w:rPr>
          <w:rFonts w:ascii="Traditional Arabic" w:hAnsi="Traditional Arabic" w:cs="Traditional Arabic" w:hint="cs"/>
          <w:b/>
          <w:bCs/>
          <w:spacing w:val="-6"/>
          <w:sz w:val="24"/>
          <w:szCs w:val="24"/>
          <w:lang w:bidi="ar-EG"/>
        </w:rPr>
        <w:t>)</w:t>
      </w:r>
      <w:r w:rsidR="00D53999" w:rsidRPr="0038653A">
        <w:rPr>
          <w:rFonts w:ascii="Traditional Arabic" w:hAnsi="Traditional Arabic" w:cs="Traditional Arabic" w:hint="cs"/>
          <w:b/>
          <w:bCs/>
          <w:spacing w:val="-6"/>
          <w:sz w:val="24"/>
          <w:szCs w:val="24"/>
          <w:lang w:bidi="ar-EG"/>
        </w:rPr>
        <w:t xml:space="preserve"> </w:t>
      </w:r>
      <w:r w:rsidR="00D53999" w:rsidRPr="0038653A">
        <w:rPr>
          <w:rFonts w:ascii="Traditional Arabic" w:hAnsi="Traditional Arabic" w:cs="Traditional Arabic" w:hint="cs"/>
          <w:spacing w:val="-6"/>
          <w:sz w:val="24"/>
          <w:szCs w:val="24"/>
          <w:rtl/>
        </w:rPr>
        <w:t>على قياس أثر القيادة التحويلية في إدارة الأزمات الصحية، من خلال تطبيقها على مستشفى الملك عبدالله ببيشة في المملكة العربية السعودية. اعتمد الباحثان على المنهج الوصفي التحليلي، وتم جمع البيانات من خلال عينة مكونة من (270) موظفًا من العاملين في المستشفى</w:t>
      </w:r>
      <w:r w:rsidR="00D53999" w:rsidRPr="0038653A">
        <w:rPr>
          <w:rFonts w:ascii="Traditional Arabic" w:hAnsi="Traditional Arabic" w:cs="Traditional Arabic" w:hint="cs"/>
          <w:spacing w:val="-6"/>
          <w:sz w:val="24"/>
          <w:szCs w:val="24"/>
          <w:lang w:bidi="ar-EG"/>
        </w:rPr>
        <w:t>.</w:t>
      </w:r>
      <w:r w:rsidR="00D53999" w:rsidRPr="0038653A">
        <w:rPr>
          <w:rFonts w:ascii="Traditional Arabic" w:hAnsi="Traditional Arabic" w:cs="Traditional Arabic" w:hint="cs"/>
          <w:spacing w:val="-6"/>
          <w:sz w:val="24"/>
          <w:szCs w:val="24"/>
          <w:rtl/>
        </w:rPr>
        <w:t xml:space="preserve"> جاءت أهمية الدراسة من الحاجة إلى قيادة فعالة خلال الأزمات، خاصة في ظل جائحة كوفيد-19، حيث تم التركيز على أبعاد القيادة التحويلية مثل</w:t>
      </w:r>
      <w:r w:rsidR="00D53999" w:rsidRPr="0038653A">
        <w:rPr>
          <w:rFonts w:ascii="Traditional Arabic" w:hAnsi="Traditional Arabic" w:cs="Traditional Arabic" w:hint="cs"/>
          <w:spacing w:val="-6"/>
          <w:sz w:val="24"/>
          <w:szCs w:val="24"/>
          <w:lang w:bidi="ar-EG"/>
        </w:rPr>
        <w:t xml:space="preserve">: </w:t>
      </w:r>
      <w:r w:rsidR="00D53999" w:rsidRPr="0038653A">
        <w:rPr>
          <w:rFonts w:ascii="Traditional Arabic" w:hAnsi="Traditional Arabic" w:cs="Traditional Arabic" w:hint="cs"/>
          <w:spacing w:val="-6"/>
          <w:sz w:val="24"/>
          <w:szCs w:val="24"/>
          <w:rtl/>
        </w:rPr>
        <w:t>الدافعية الإلهامية، الاستثارة الفكرية، والتأثير المثالي</w:t>
      </w:r>
      <w:r w:rsidR="00D53999" w:rsidRPr="0038653A">
        <w:rPr>
          <w:rFonts w:ascii="Traditional Arabic" w:hAnsi="Traditional Arabic" w:cs="Traditional Arabic" w:hint="cs"/>
          <w:spacing w:val="-6"/>
          <w:sz w:val="24"/>
          <w:szCs w:val="24"/>
          <w:lang w:bidi="ar-EG"/>
        </w:rPr>
        <w:t>.</w:t>
      </w:r>
      <w:r w:rsidR="00D53999" w:rsidRPr="0038653A">
        <w:rPr>
          <w:rFonts w:ascii="Traditional Arabic" w:hAnsi="Traditional Arabic" w:cs="Traditional Arabic" w:hint="cs"/>
          <w:spacing w:val="-6"/>
          <w:sz w:val="24"/>
          <w:szCs w:val="24"/>
          <w:rtl/>
        </w:rPr>
        <w:t xml:space="preserve"> أظهرت النتائج وجود علاقة إيجابية ذات دلالة إحصائية بين القيادة التحويلية وإدارة الأزمات الصحية، حيث ساهمت الأبعاد القيادية في تحسين قدرة القادة على الاستجابة السريعة والمرنة للأزمات</w:t>
      </w:r>
      <w:r w:rsidR="00264684" w:rsidRPr="0038653A">
        <w:rPr>
          <w:rFonts w:ascii="Traditional Arabic" w:hAnsi="Traditional Arabic" w:cs="Traditional Arabic" w:hint="cs"/>
          <w:spacing w:val="-6"/>
          <w:sz w:val="24"/>
          <w:szCs w:val="24"/>
          <w:rtl/>
          <w:lang w:bidi="ar-EG"/>
        </w:rPr>
        <w:t>،</w:t>
      </w:r>
      <w:r w:rsidR="00D53999" w:rsidRPr="0038653A">
        <w:rPr>
          <w:rFonts w:ascii="Traditional Arabic" w:hAnsi="Traditional Arabic" w:cs="Traditional Arabic" w:hint="cs"/>
          <w:spacing w:val="-6"/>
          <w:sz w:val="24"/>
          <w:szCs w:val="24"/>
          <w:rtl/>
        </w:rPr>
        <w:t xml:space="preserve"> وأوصت الدراسة بتدريب القادة على مواجهة الأزمات، وتطوير خطط استجابة استراتيجية مرنة، مع التركيز على تعزيز المهارات القيادية التحويلية في بيئة الرعاية الصحية</w:t>
      </w:r>
      <w:r w:rsidR="00D53999" w:rsidRPr="0038653A">
        <w:rPr>
          <w:rFonts w:ascii="Traditional Arabic" w:hAnsi="Traditional Arabic" w:cs="Traditional Arabic" w:hint="cs"/>
          <w:spacing w:val="-6"/>
          <w:sz w:val="24"/>
          <w:szCs w:val="24"/>
          <w:lang w:bidi="ar-EG"/>
        </w:rPr>
        <w:t>.</w:t>
      </w:r>
    </w:p>
    <w:p w14:paraId="33632A8E" w14:textId="4C833702" w:rsidR="00E55C3F" w:rsidRPr="0038653A" w:rsidRDefault="00E55C3F" w:rsidP="0038653A">
      <w:pPr>
        <w:bidi/>
        <w:spacing w:before="120" w:after="120" w:line="360" w:lineRule="auto"/>
        <w:ind w:firstLine="720"/>
        <w:jc w:val="both"/>
        <w:rPr>
          <w:rFonts w:ascii="Traditional Arabic" w:hAnsi="Traditional Arabic" w:cs="Traditional Arabic"/>
          <w:spacing w:val="-6"/>
          <w:sz w:val="24"/>
          <w:szCs w:val="24"/>
          <w:rtl/>
        </w:rPr>
      </w:pPr>
      <w:r w:rsidRPr="0038653A">
        <w:rPr>
          <w:rFonts w:ascii="Traditional Arabic" w:hAnsi="Traditional Arabic" w:cs="Traditional Arabic" w:hint="cs"/>
          <w:b/>
          <w:bCs/>
          <w:spacing w:val="-6"/>
          <w:sz w:val="24"/>
          <w:szCs w:val="24"/>
          <w:rtl/>
        </w:rPr>
        <w:t>وفي نفس السياق دراسة</w:t>
      </w:r>
      <w:r w:rsidRPr="0038653A">
        <w:rPr>
          <w:rFonts w:ascii="Traditional Arabic" w:hAnsi="Traditional Arabic" w:cs="Traditional Arabic" w:hint="cs"/>
          <w:b/>
          <w:bCs/>
          <w:spacing w:val="-6"/>
          <w:sz w:val="24"/>
          <w:szCs w:val="24"/>
        </w:rPr>
        <w:t xml:space="preserve"> Bagga, Gera &amp; Haque (2023</w:t>
      </w:r>
      <w:r w:rsidR="00575FAD" w:rsidRPr="0038653A">
        <w:rPr>
          <w:rFonts w:ascii="Traditional Arabic" w:hAnsi="Traditional Arabic" w:cs="Traditional Arabic" w:hint="cs"/>
          <w:b/>
          <w:bCs/>
          <w:spacing w:val="-6"/>
          <w:sz w:val="24"/>
          <w:szCs w:val="24"/>
        </w:rPr>
        <w:t>)</w:t>
      </w:r>
      <w:r w:rsidRPr="0038653A">
        <w:rPr>
          <w:rFonts w:ascii="Traditional Arabic" w:hAnsi="Traditional Arabic" w:cs="Traditional Arabic" w:hint="cs"/>
          <w:b/>
          <w:bCs/>
          <w:spacing w:val="-6"/>
          <w:sz w:val="24"/>
          <w:szCs w:val="24"/>
        </w:rPr>
        <w:t xml:space="preserve"> </w:t>
      </w:r>
      <w:r w:rsidRPr="0038653A">
        <w:rPr>
          <w:rFonts w:ascii="Traditional Arabic" w:hAnsi="Traditional Arabic" w:cs="Traditional Arabic" w:hint="cs"/>
          <w:b/>
          <w:bCs/>
          <w:spacing w:val="-6"/>
          <w:sz w:val="24"/>
          <w:szCs w:val="24"/>
          <w:rtl/>
        </w:rPr>
        <w:t>الثقافة التنظيمية كمتغير وسيط بين القيادة التحويلية وإدارة التغيير</w:t>
      </w:r>
      <w:r w:rsidRPr="0038653A">
        <w:rPr>
          <w:rFonts w:ascii="Traditional Arabic" w:hAnsi="Traditional Arabic" w:cs="Traditional Arabic" w:hint="cs"/>
          <w:spacing w:val="-6"/>
          <w:sz w:val="24"/>
          <w:szCs w:val="24"/>
          <w:rtl/>
        </w:rPr>
        <w:t>هدفت هذه الدراسة إلى قياس الدور الوسيط لـ الثقافة التنظيمية في العلاقة بين القيادة التحويلية وإدارة التغيير لدى موظفي قطاع تكنولوجيا المعلومات في مدينة دلهي. اعتمد الباحثون على المنهج الكمي التحليلي، وتم جمع البيانات من خلال عينة مكونة من (118) موظفًا يعملون ضمن فرق افتراضية في مؤسسات تكنولوجية</w:t>
      </w:r>
      <w:r w:rsidRPr="0038653A">
        <w:rPr>
          <w:rFonts w:ascii="Traditional Arabic" w:hAnsi="Traditional Arabic" w:cs="Traditional Arabic" w:hint="cs"/>
          <w:spacing w:val="-6"/>
          <w:sz w:val="24"/>
          <w:szCs w:val="24"/>
        </w:rPr>
        <w:t>.</w:t>
      </w:r>
      <w:r w:rsidRPr="0038653A">
        <w:rPr>
          <w:rFonts w:ascii="Traditional Arabic" w:hAnsi="Traditional Arabic" w:cs="Traditional Arabic" w:hint="cs"/>
          <w:spacing w:val="-6"/>
          <w:sz w:val="24"/>
          <w:szCs w:val="24"/>
          <w:rtl/>
        </w:rPr>
        <w:t xml:space="preserve"> استخدمت الدراسة أدوات قياس معيارية لتقييم أنماط القيادة التحويلية، ومستوى الثقافة التنظيمية، ومؤشرات إدارة التغيير</w:t>
      </w:r>
      <w:r w:rsidRPr="0038653A">
        <w:rPr>
          <w:rFonts w:ascii="Traditional Arabic" w:hAnsi="Traditional Arabic" w:cs="Traditional Arabic" w:hint="cs"/>
          <w:spacing w:val="-6"/>
          <w:sz w:val="24"/>
          <w:szCs w:val="24"/>
        </w:rPr>
        <w:t>.</w:t>
      </w:r>
      <w:r w:rsidRPr="0038653A">
        <w:rPr>
          <w:rFonts w:ascii="Traditional Arabic" w:hAnsi="Traditional Arabic" w:cs="Traditional Arabic" w:hint="cs"/>
          <w:spacing w:val="-6"/>
          <w:sz w:val="24"/>
          <w:szCs w:val="24"/>
          <w:rtl/>
        </w:rPr>
        <w:t xml:space="preserve"> أظهرت النتائج أن الثقافة التنظيمية تتوسط العلاقة بين القيادة التحويلية وإدارة التغيير، حيث ترتبط القيادة التحويلية إيجابيًا بالثقافة التنظيمية، والتي بدورها ترتبط إيجابيًا بإدارة التغيير التنظيمية</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وأوصت الدراسة بضرورة تعزيز الثقافة التنظيمية الداعمة للتغيير، وتطوير مهارات القيادة التحويلية لدى مديري الفرق الافتراضية، لما لها من أثر مباشر في تحسين قدرة المؤسسات على التكيف مع التحولات التقنية والإدارية</w:t>
      </w:r>
      <w:r w:rsidRPr="0038653A">
        <w:rPr>
          <w:rFonts w:ascii="Traditional Arabic" w:hAnsi="Traditional Arabic" w:cs="Traditional Arabic" w:hint="cs"/>
          <w:spacing w:val="-6"/>
          <w:sz w:val="24"/>
          <w:szCs w:val="24"/>
        </w:rPr>
        <w:t>.</w:t>
      </w:r>
    </w:p>
    <w:p w14:paraId="1BEC18C0" w14:textId="282702D5" w:rsidR="004048E0" w:rsidRPr="00C04B1F" w:rsidRDefault="004048E0" w:rsidP="00C04B1F">
      <w:pPr>
        <w:bidi/>
        <w:spacing w:before="120" w:after="120" w:line="360" w:lineRule="auto"/>
        <w:ind w:firstLine="720"/>
        <w:jc w:val="both"/>
        <w:rPr>
          <w:rFonts w:ascii="Traditional Arabic" w:hAnsi="Traditional Arabic" w:cs="Traditional Arabic"/>
          <w:spacing w:val="-6"/>
          <w:sz w:val="24"/>
          <w:szCs w:val="24"/>
          <w:rtl/>
          <w:lang w:bidi="ar-EG"/>
        </w:rPr>
      </w:pPr>
      <w:r w:rsidRPr="00C04B1F">
        <w:rPr>
          <w:rFonts w:ascii="Traditional Arabic" w:hAnsi="Traditional Arabic" w:cs="Traditional Arabic" w:hint="cs"/>
          <w:b/>
          <w:bCs/>
          <w:spacing w:val="-6"/>
          <w:sz w:val="24"/>
          <w:szCs w:val="24"/>
          <w:rtl/>
          <w:lang w:bidi="ar-EG"/>
        </w:rPr>
        <w:lastRenderedPageBreak/>
        <w:t xml:space="preserve">كما </w:t>
      </w:r>
      <w:r w:rsidRPr="00C04B1F">
        <w:rPr>
          <w:rFonts w:ascii="Traditional Arabic" w:hAnsi="Traditional Arabic" w:cs="Traditional Arabic" w:hint="cs"/>
          <w:b/>
          <w:bCs/>
          <w:spacing w:val="-6"/>
          <w:sz w:val="24"/>
          <w:szCs w:val="24"/>
          <w:rtl/>
        </w:rPr>
        <w:t>توصلت دراسة آل مرزوق (2023) إلى وجود علاقة دالة بين القيادة التحويلية وتحقيق الاستدامة الاستراتيجية في وزارة الصحة بمنطقة عسير</w:t>
      </w:r>
      <w:r w:rsidRPr="00C04B1F">
        <w:rPr>
          <w:rFonts w:ascii="Traditional Arabic" w:hAnsi="Traditional Arabic" w:cs="Traditional Arabic" w:hint="cs"/>
          <w:spacing w:val="-6"/>
          <w:sz w:val="24"/>
          <w:szCs w:val="24"/>
          <w:rtl/>
        </w:rPr>
        <w:t>، وذلك في سياق التحولات التنظيمية المرتبطة برؤية السعودية 2030، التي تركز على بناء قطاع صحي مستدام ومتكامل. وقد هدفت الدراسة إلى تحليل أثر أبعاد القيادة التحويلية على الاستدامة الاقتصادية، الاجتماعية، والبيئية داخل المؤسسات الصحية</w:t>
      </w:r>
      <w:r w:rsidRPr="00C04B1F">
        <w:rPr>
          <w:rFonts w:ascii="Traditional Arabic" w:hAnsi="Traditional Arabic" w:cs="Traditional Arabic" w:hint="cs"/>
          <w:spacing w:val="-6"/>
          <w:sz w:val="24"/>
          <w:szCs w:val="24"/>
          <w:lang w:bidi="ar-EG"/>
        </w:rPr>
        <w:t>.</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اعتمد الباحث على المنهج الوصفي التحليلي، حيث تم تصميم استبانة معيارية لقياس العلاقة بين القيادة التحويلية والاستدامة الاستراتيجية، وشملت الأداة أربعة أبعاد رئيسية للقيادة التحويلية (التأثير المثالي، التحفيز الإلهامي، الاعتبار الفردي، الاستثارة الفكرية)، إلى جانب مؤشرات الاستدامة مثل التخطيط طويل الأمد، كفاءة استخدام الموارد، والممارسات البيئية والاجتماعية</w:t>
      </w:r>
      <w:r w:rsidRPr="00C04B1F">
        <w:rPr>
          <w:rFonts w:ascii="Traditional Arabic" w:hAnsi="Traditional Arabic" w:cs="Traditional Arabic" w:hint="cs"/>
          <w:spacing w:val="-6"/>
          <w:sz w:val="24"/>
          <w:szCs w:val="24"/>
          <w:lang w:bidi="ar-EG"/>
        </w:rPr>
        <w:t>.</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تم تطبيق الدراسة على عينة مكونة من 340 موظفًا من مختلف الإدارات والمستويات الوظيفية داخل وزارة الصحة بمنطقة عسير، بهدف رصد مدى تأثير القيادة التحويلية على تبني ممارسات مستدامة، وتحقيق الأهداف الاستراتيجية للقطاع الصحي</w:t>
      </w:r>
      <w:r w:rsidR="00575FAD" w:rsidRPr="00C04B1F">
        <w:rPr>
          <w:rFonts w:ascii="Traditional Arabic" w:hAnsi="Traditional Arabic" w:cs="Traditional Arabic" w:hint="cs"/>
          <w:spacing w:val="-6"/>
          <w:sz w:val="24"/>
          <w:szCs w:val="24"/>
          <w:rtl/>
          <w:lang w:bidi="ar-EG"/>
        </w:rPr>
        <w:t xml:space="preserve">، </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أظهرت النتائج أن جميع أبعاد القيادة التحويلية تسهم بشكل إيجابي في تحقيق الاستدامة الاستراتيجية، من خلال تعزيز ثقافة التخطيط طويل الأمد، وتحفيز العاملين نحو تبني ممارسات مسؤولة اقتصاديًا واجتماعيًا وبيئيًا. كما تبين أن القادة الذين يمارسون الاستثارة الفكرية والتحفيز الإلهامي كانوا أكثر قدرة على توجيه فرقهم نحو الابتكار والاستدامة</w:t>
      </w:r>
      <w:r w:rsidR="00575FAD" w:rsidRPr="00C04B1F">
        <w:rPr>
          <w:rFonts w:ascii="Traditional Arabic" w:hAnsi="Traditional Arabic" w:cs="Traditional Arabic" w:hint="cs"/>
          <w:spacing w:val="-6"/>
          <w:sz w:val="24"/>
          <w:szCs w:val="24"/>
          <w:rtl/>
          <w:lang w:bidi="ar-EG"/>
        </w:rPr>
        <w:t xml:space="preserve">، </w:t>
      </w:r>
      <w:r w:rsidRPr="00C04B1F">
        <w:rPr>
          <w:rFonts w:ascii="Traditional Arabic" w:hAnsi="Traditional Arabic" w:cs="Traditional Arabic" w:hint="cs"/>
          <w:spacing w:val="-6"/>
          <w:sz w:val="24"/>
          <w:szCs w:val="24"/>
          <w:rtl/>
        </w:rPr>
        <w:t>وأوصت الدراسة بتنظيم برامج تدريبية متخصصة للقادة في مجال الاستدامة، وتطوير آليات تقييم مستدامة تضمن استمرارية الأداء، وتحقيق الأهداف الاستراتيجية للقطاع الصحي، بما يتماشى مع تطلعات رؤية السعودية 2030</w:t>
      </w:r>
      <w:r w:rsidRPr="00C04B1F">
        <w:rPr>
          <w:rFonts w:ascii="Traditional Arabic" w:hAnsi="Traditional Arabic" w:cs="Traditional Arabic" w:hint="cs"/>
          <w:spacing w:val="-6"/>
          <w:sz w:val="24"/>
          <w:szCs w:val="24"/>
          <w:lang w:bidi="ar-EG"/>
        </w:rPr>
        <w:t>.</w:t>
      </w:r>
    </w:p>
    <w:p w14:paraId="0067969A" w14:textId="0FC69AF7" w:rsidR="004048E0" w:rsidRPr="00C04B1F" w:rsidRDefault="00E55C3F" w:rsidP="00C04B1F">
      <w:pPr>
        <w:bidi/>
        <w:spacing w:before="120" w:after="120" w:line="360" w:lineRule="auto"/>
        <w:ind w:firstLine="720"/>
        <w:jc w:val="both"/>
        <w:rPr>
          <w:rFonts w:ascii="Traditional Arabic" w:hAnsi="Traditional Arabic" w:cs="Traditional Arabic"/>
          <w:spacing w:val="-6"/>
          <w:sz w:val="24"/>
          <w:szCs w:val="24"/>
          <w:lang w:bidi="ar-EG"/>
        </w:rPr>
      </w:pPr>
      <w:r w:rsidRPr="00C04B1F">
        <w:rPr>
          <w:rFonts w:ascii="Traditional Arabic" w:hAnsi="Traditional Arabic" w:cs="Traditional Arabic" w:hint="cs"/>
          <w:b/>
          <w:bCs/>
          <w:spacing w:val="-6"/>
          <w:sz w:val="24"/>
          <w:szCs w:val="24"/>
          <w:rtl/>
        </w:rPr>
        <w:t>و</w:t>
      </w:r>
      <w:r w:rsidR="004048E0" w:rsidRPr="00C04B1F">
        <w:rPr>
          <w:rFonts w:ascii="Traditional Arabic" w:hAnsi="Traditional Arabic" w:cs="Traditional Arabic" w:hint="cs"/>
          <w:b/>
          <w:bCs/>
          <w:spacing w:val="-6"/>
          <w:sz w:val="24"/>
          <w:szCs w:val="24"/>
          <w:rtl/>
        </w:rPr>
        <w:t>ركزت دراسة الخضران (2023) على استكشاف دور القيادة التحويلية في تعزيز المسؤولية المجتمعية داخل المؤسسات الصحية</w:t>
      </w:r>
      <w:r w:rsidR="004048E0" w:rsidRPr="00C04B1F">
        <w:rPr>
          <w:rFonts w:ascii="Traditional Arabic" w:hAnsi="Traditional Arabic" w:cs="Traditional Arabic" w:hint="cs"/>
          <w:spacing w:val="-6"/>
          <w:sz w:val="24"/>
          <w:szCs w:val="24"/>
          <w:rtl/>
        </w:rPr>
        <w:t>، من خلال تطبيقها في مديرية الشؤون الصحية بمنطقة عسير. وقد هدفت الدراسة إلى قياس مدى تأثير أبعاد القيادة التحويلية على مستوى التفاعل المجتمعي، والمشاركة في المبادرات الصحية ذات الطابع الاجتماعي</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اعتمد الباحث على المنهج الوصفي التحليلي، حيث تم تصميم استبانة معيارية لقياس العلاقة بين القيادة التحويلية والمسؤولية المجتمعية، وشملت الأداة محاور مثل التأثير المثالي، التحفيز الإلهامي، الاعتبار الفردي، والاستثارة الفكرية، إلى جانب مؤشرات التفاعل المجتمعي مثل المشاركة في الحملات الصحية، المبادرات التطوعية، والالتزام بالقضايا المجتمعية</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تم تطبيق الدراسة على عينة من العاملين في مديرية الشؤون الصحية بمنطقة عسير، شملت موظفين إداريين وممارسين صحيين من مختلف الأقسام، بهدف رصد مدى انخراطهم في الأنشطة المجتمعية، ومدى تأثرهم بالأنماط القيادية السائدة</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أظهرت النتائج وجود علاقة إيجابية ذات دلالة إحصائية بين القيادة التحويلية والمسؤولية المجتمعية، حيث ساهمت أبعاد القيادة في تحفيز العاملين نحو الانخراط في المبادرات المجتمعية، وتعزيز ثقافة المشاركة والالتزام الاجتماعي داخل المؤسسة</w:t>
      </w:r>
      <w:r w:rsidR="00575FAD" w:rsidRPr="00C04B1F">
        <w:rPr>
          <w:rFonts w:ascii="Traditional Arabic" w:hAnsi="Traditional Arabic" w:cs="Traditional Arabic" w:hint="cs"/>
          <w:spacing w:val="-6"/>
          <w:sz w:val="24"/>
          <w:szCs w:val="24"/>
          <w:rtl/>
        </w:rPr>
        <w:t xml:space="preserve">، </w:t>
      </w:r>
      <w:r w:rsidR="004048E0" w:rsidRPr="00C04B1F">
        <w:rPr>
          <w:rFonts w:ascii="Traditional Arabic" w:hAnsi="Traditional Arabic" w:cs="Traditional Arabic" w:hint="cs"/>
          <w:spacing w:val="-6"/>
          <w:sz w:val="24"/>
          <w:szCs w:val="24"/>
          <w:rtl/>
        </w:rPr>
        <w:t xml:space="preserve"> كما تبين أن القادة الذين يمارسون التحفيز الإلهامي والاستثارة الفكرية كانوا أكثر قدرة على توجيه فرقهم نحو أهداف مجتمعية تتجاوز المهام الوظيفية التقليدية</w:t>
      </w:r>
      <w:r w:rsidR="00575FAD" w:rsidRPr="00C04B1F">
        <w:rPr>
          <w:rFonts w:ascii="Traditional Arabic" w:hAnsi="Traditional Arabic" w:cs="Traditional Arabic" w:hint="cs"/>
          <w:spacing w:val="-6"/>
          <w:sz w:val="24"/>
          <w:szCs w:val="24"/>
          <w:rtl/>
          <w:lang w:bidi="ar-EG"/>
        </w:rPr>
        <w:t xml:space="preserve">، </w:t>
      </w:r>
      <w:r w:rsidR="004048E0" w:rsidRPr="00C04B1F">
        <w:rPr>
          <w:rFonts w:ascii="Traditional Arabic" w:hAnsi="Traditional Arabic" w:cs="Traditional Arabic" w:hint="cs"/>
          <w:spacing w:val="-6"/>
          <w:sz w:val="24"/>
          <w:szCs w:val="24"/>
          <w:rtl/>
        </w:rPr>
        <w:t>وأوصت الدراسة بضرورة إجراء دراسات إضافية تربط القيادة التحويلية بالإبداع التنظيمي والولاء المؤسسي، إلى جانب تكثيف برامج التوعية المجتمعية التي يقودها قادة تحويليون، بما يسهم في ترسيخ دور المؤسسات الصحية كجهات فاعلة في التنمية المجتمعية</w:t>
      </w:r>
      <w:r w:rsidR="004048E0" w:rsidRPr="00C04B1F">
        <w:rPr>
          <w:rFonts w:ascii="Traditional Arabic" w:hAnsi="Traditional Arabic" w:cs="Traditional Arabic" w:hint="cs"/>
          <w:spacing w:val="-6"/>
          <w:sz w:val="24"/>
          <w:szCs w:val="24"/>
          <w:lang w:bidi="ar-EG"/>
        </w:rPr>
        <w:t>.</w:t>
      </w:r>
    </w:p>
    <w:p w14:paraId="107189EF" w14:textId="65F00445" w:rsidR="00D53999" w:rsidRPr="00C04B1F" w:rsidRDefault="007C06AF" w:rsidP="00C04B1F">
      <w:pPr>
        <w:bidi/>
        <w:spacing w:before="120" w:after="120" w:line="360" w:lineRule="auto"/>
        <w:ind w:firstLine="720"/>
        <w:jc w:val="both"/>
        <w:rPr>
          <w:rFonts w:ascii="Traditional Arabic" w:hAnsi="Traditional Arabic" w:cs="Traditional Arabic"/>
          <w:spacing w:val="-6"/>
          <w:sz w:val="24"/>
          <w:szCs w:val="24"/>
        </w:rPr>
      </w:pPr>
      <w:r w:rsidRPr="00C04B1F">
        <w:rPr>
          <w:rFonts w:ascii="Traditional Arabic" w:hAnsi="Traditional Arabic" w:cs="Traditional Arabic" w:hint="cs"/>
          <w:b/>
          <w:bCs/>
          <w:spacing w:val="-6"/>
          <w:sz w:val="24"/>
          <w:szCs w:val="24"/>
          <w:rtl/>
          <w:lang w:bidi="ar-EG"/>
        </w:rPr>
        <w:t xml:space="preserve">وأيضا </w:t>
      </w:r>
      <w:r w:rsidR="00D53999" w:rsidRPr="00C04B1F">
        <w:rPr>
          <w:rFonts w:ascii="Traditional Arabic" w:hAnsi="Traditional Arabic" w:cs="Traditional Arabic" w:hint="cs"/>
          <w:b/>
          <w:bCs/>
          <w:spacing w:val="-6"/>
          <w:sz w:val="24"/>
          <w:szCs w:val="24"/>
          <w:rtl/>
          <w:lang w:bidi="ar-EG"/>
        </w:rPr>
        <w:t xml:space="preserve">أكدت </w:t>
      </w:r>
      <w:r w:rsidR="00D53999" w:rsidRPr="00C04B1F">
        <w:rPr>
          <w:rFonts w:ascii="Traditional Arabic" w:hAnsi="Traditional Arabic" w:cs="Traditional Arabic" w:hint="cs"/>
          <w:b/>
          <w:bCs/>
          <w:spacing w:val="-6"/>
          <w:sz w:val="24"/>
          <w:szCs w:val="24"/>
          <w:rtl/>
        </w:rPr>
        <w:t>دراسة طلبه النجار</w:t>
      </w:r>
      <w:r w:rsidR="00D53999" w:rsidRPr="00C04B1F">
        <w:rPr>
          <w:rFonts w:ascii="Traditional Arabic" w:hAnsi="Traditional Arabic" w:cs="Traditional Arabic" w:hint="cs"/>
          <w:b/>
          <w:bCs/>
          <w:spacing w:val="-6"/>
          <w:sz w:val="24"/>
          <w:szCs w:val="24"/>
          <w:lang w:bidi="ar-EG"/>
        </w:rPr>
        <w:t xml:space="preserve"> (2023</w:t>
      </w:r>
      <w:r w:rsidR="00575FAD" w:rsidRPr="00C04B1F">
        <w:rPr>
          <w:rFonts w:ascii="Traditional Arabic" w:hAnsi="Traditional Arabic" w:cs="Traditional Arabic" w:hint="cs"/>
          <w:b/>
          <w:bCs/>
          <w:spacing w:val="-6"/>
          <w:sz w:val="24"/>
          <w:szCs w:val="24"/>
          <w:lang w:bidi="ar-EG"/>
        </w:rPr>
        <w:t>)</w:t>
      </w:r>
      <w:r w:rsidR="00D53999" w:rsidRPr="00C04B1F">
        <w:rPr>
          <w:rFonts w:ascii="Traditional Arabic" w:hAnsi="Traditional Arabic" w:cs="Traditional Arabic" w:hint="cs"/>
          <w:b/>
          <w:bCs/>
          <w:spacing w:val="-6"/>
          <w:sz w:val="24"/>
          <w:szCs w:val="24"/>
          <w:lang w:bidi="ar-EG"/>
        </w:rPr>
        <w:t xml:space="preserve"> </w:t>
      </w:r>
      <w:r w:rsidR="00D53999" w:rsidRPr="00C04B1F">
        <w:rPr>
          <w:rFonts w:ascii="Traditional Arabic" w:hAnsi="Traditional Arabic" w:cs="Traditional Arabic" w:hint="cs"/>
          <w:spacing w:val="-6"/>
          <w:sz w:val="24"/>
          <w:szCs w:val="24"/>
          <w:rtl/>
        </w:rPr>
        <w:t>أن القيادة التحويلية الخضراء تلعب دورًا وسيطًا في تعزيز الاستدامة التنظيمية، وذلك من خلال تطبيقها في مستشفيات وزارة الصحة بمنطقة الحدود الشمالية في المملكة العربية السعودية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تم جمع البيانات من خلال عينة مكونة من (274) موظفًا، باستخدام أدوات قياس معيارية لممارسات القيادة التحويلية الخضراء، وإدارة الموارد البشرية الخضراء، ومؤشرات الاستدامة التنظيمية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أظهرت النتائج أن </w:t>
      </w:r>
      <w:r w:rsidR="00D53999" w:rsidRPr="00C04B1F">
        <w:rPr>
          <w:rFonts w:ascii="Traditional Arabic" w:hAnsi="Traditional Arabic" w:cs="Traditional Arabic" w:hint="cs"/>
          <w:spacing w:val="-6"/>
          <w:sz w:val="24"/>
          <w:szCs w:val="24"/>
          <w:rtl/>
        </w:rPr>
        <w:lastRenderedPageBreak/>
        <w:t>القيادة التحويلية الخضراء عززت تأثير إدارة الموارد البشرية الخضراء على الاستدامة، من خلال التوسع في التخطيط الاستراتيجي الأخضر، وتطوير الثقافة المؤسسية البيئية، وتحفيز العاملين نحو تبني ممارسات صديقة للبيئة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وأوصت الدراسة بدمج القيادة التحويلية مع ممارسات الإدارة الخضراء، وتكثيف برامج التوعية والتدريب البيئي داخل المؤسسات الصحية، بما يحقق أهداف التنمية المستدامة في القطاع الصحي</w:t>
      </w:r>
      <w:r w:rsidR="00D53999" w:rsidRPr="00C04B1F">
        <w:rPr>
          <w:rFonts w:ascii="Traditional Arabic" w:hAnsi="Traditional Arabic" w:cs="Traditional Arabic" w:hint="cs"/>
          <w:spacing w:val="-6"/>
          <w:sz w:val="24"/>
          <w:szCs w:val="24"/>
          <w:lang w:bidi="ar-EG"/>
        </w:rPr>
        <w:t>.</w:t>
      </w:r>
    </w:p>
    <w:p w14:paraId="17C99638" w14:textId="0E404A46" w:rsidR="007C06AF" w:rsidRPr="00C04B1F" w:rsidRDefault="00E55C3F" w:rsidP="00C04B1F">
      <w:pPr>
        <w:bidi/>
        <w:spacing w:before="120" w:after="120" w:line="360" w:lineRule="auto"/>
        <w:ind w:firstLine="720"/>
        <w:jc w:val="both"/>
        <w:rPr>
          <w:rFonts w:ascii="Traditional Arabic" w:hAnsi="Traditional Arabic" w:cs="Traditional Arabic"/>
          <w:spacing w:val="-6"/>
          <w:sz w:val="24"/>
          <w:szCs w:val="24"/>
          <w:rtl/>
          <w:lang w:bidi="ar-EG"/>
        </w:rPr>
      </w:pPr>
      <w:r w:rsidRPr="00C04B1F">
        <w:rPr>
          <w:rFonts w:ascii="Traditional Arabic" w:hAnsi="Traditional Arabic" w:cs="Traditional Arabic" w:hint="cs"/>
          <w:b/>
          <w:bCs/>
          <w:spacing w:val="-6"/>
          <w:sz w:val="24"/>
          <w:szCs w:val="24"/>
          <w:rtl/>
        </w:rPr>
        <w:t xml:space="preserve">كما </w:t>
      </w:r>
      <w:r w:rsidR="007C06AF" w:rsidRPr="00C04B1F">
        <w:rPr>
          <w:rFonts w:ascii="Traditional Arabic" w:hAnsi="Traditional Arabic" w:cs="Traditional Arabic" w:hint="cs"/>
          <w:b/>
          <w:bCs/>
          <w:spacing w:val="-6"/>
          <w:sz w:val="24"/>
          <w:szCs w:val="24"/>
          <w:rtl/>
        </w:rPr>
        <w:t>هدفت دراسة عامر وأبوزيد والدمياطي (2023) إلى تحليل العلاقة بين القيادة التحويلية وعدالة التعاملات والسلوك الابتكاري داخل القطاع الصحي الحكومي بمحافظة الشرقية</w:t>
      </w:r>
      <w:r w:rsidR="007C06AF" w:rsidRPr="00C04B1F">
        <w:rPr>
          <w:rFonts w:ascii="Traditional Arabic" w:hAnsi="Traditional Arabic" w:cs="Traditional Arabic" w:hint="cs"/>
          <w:spacing w:val="-6"/>
          <w:sz w:val="24"/>
          <w:szCs w:val="24"/>
          <w:rtl/>
        </w:rPr>
        <w:t>، وذلك من خلال بناء نموذج نظري يربط بين أبعاد القيادة التحويلية والإبداع التنظيمي في بيئة العمل الصحية</w:t>
      </w:r>
      <w:r w:rsidR="00575FAD" w:rsidRPr="00C04B1F">
        <w:rPr>
          <w:rFonts w:ascii="Traditional Arabic" w:hAnsi="Traditional Arabic" w:cs="Traditional Arabic" w:hint="cs"/>
          <w:spacing w:val="-6"/>
          <w:sz w:val="24"/>
          <w:szCs w:val="24"/>
          <w:rtl/>
          <w:lang w:bidi="ar-EG"/>
        </w:rPr>
        <w:t>،</w:t>
      </w:r>
      <w:r w:rsidR="007C06AF" w:rsidRPr="00C04B1F">
        <w:rPr>
          <w:rFonts w:ascii="Traditional Arabic" w:hAnsi="Traditional Arabic" w:cs="Traditional Arabic" w:hint="cs"/>
          <w:spacing w:val="-6"/>
          <w:sz w:val="24"/>
          <w:szCs w:val="24"/>
          <w:rtl/>
        </w:rPr>
        <w:t xml:space="preserve"> وقد جاءت أهمية الدراسة من الحاجة إلى أنماط قيادية تدعم الابتكار وتحقق العدالة التنظيمية في ظل التحديات التشغيلية التي تواجه المؤسسات الصحي</w:t>
      </w:r>
      <w:r w:rsidR="00575FAD" w:rsidRPr="00C04B1F">
        <w:rPr>
          <w:rFonts w:ascii="Traditional Arabic" w:hAnsi="Traditional Arabic" w:cs="Traditional Arabic" w:hint="cs"/>
          <w:spacing w:val="-6"/>
          <w:sz w:val="24"/>
          <w:szCs w:val="24"/>
          <w:rtl/>
        </w:rPr>
        <w:t>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اعتمد الباحثون على المنهج الكمي، حيث تم تصميم استبانة معيارية موجهة للعاملين في المؤسسات الصحية، شملت قياس أربعة أبعاد للقيادة التحويلية (الاعتبار الفردي، التحفيز الإلهامي، الاستثارة الفكرية، التأثير المثالي)، إلى جانب مؤشرات السلوك الابتكاري مثل المبادرة، التفكير الإبداعي، وتقديم الحلول الجديدة، بالإضافة إلى مؤشرات العدالة التنظيمية في التعاملات الإدارية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تم تطبيق الدراسة على عينة من العاملين في المستشفيات الحكومية بمحافظة الشرقية، شملت فئات طبية وإدارية وتمريضية، بهدف قياس مدى تأثير القيادة التحويلية على البيئة الإبداعية والعدالة في التعاملات داخل المؤسسة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أظهرت النتائج وجود علاقة إيجابية ذات دلالة إحصائية بين جميع أبعاد القيادة التحويلية ومستوى السلوك الابتكاري لدى العاملين، مما يعكس دور القيادة في تعزيز بيئة داعمة للإبداع، وتحقيق العدالة التنظيمية</w:t>
      </w:r>
      <w:r w:rsidR="00575FAD" w:rsidRPr="00C04B1F">
        <w:rPr>
          <w:rFonts w:ascii="Traditional Arabic" w:hAnsi="Traditional Arabic" w:cs="Traditional Arabic" w:hint="cs"/>
          <w:spacing w:val="-6"/>
          <w:sz w:val="24"/>
          <w:szCs w:val="24"/>
          <w:rtl/>
        </w:rPr>
        <w:t>،</w:t>
      </w:r>
      <w:r w:rsidR="007C06AF" w:rsidRPr="00C04B1F">
        <w:rPr>
          <w:rFonts w:ascii="Traditional Arabic" w:hAnsi="Traditional Arabic" w:cs="Traditional Arabic" w:hint="cs"/>
          <w:spacing w:val="-6"/>
          <w:sz w:val="24"/>
          <w:szCs w:val="24"/>
          <w:rtl/>
        </w:rPr>
        <w:t xml:space="preserve"> وقد تبين أن </w:t>
      </w:r>
      <w:r w:rsidR="007C06AF" w:rsidRPr="00C04B1F">
        <w:rPr>
          <w:rFonts w:ascii="Traditional Arabic" w:hAnsi="Traditional Arabic" w:cs="Traditional Arabic" w:hint="cs"/>
          <w:spacing w:val="-6"/>
          <w:sz w:val="24"/>
          <w:szCs w:val="24"/>
          <w:lang w:bidi="ar-EG"/>
        </w:rPr>
        <w:t>"</w:t>
      </w:r>
      <w:r w:rsidR="007C06AF" w:rsidRPr="00C04B1F">
        <w:rPr>
          <w:rFonts w:ascii="Traditional Arabic" w:hAnsi="Traditional Arabic" w:cs="Traditional Arabic" w:hint="cs"/>
          <w:spacing w:val="-6"/>
          <w:sz w:val="24"/>
          <w:szCs w:val="24"/>
          <w:rtl/>
        </w:rPr>
        <w:t>الاعتبار الفردي</w:t>
      </w:r>
      <w:r w:rsidR="007C06AF" w:rsidRPr="00C04B1F">
        <w:rPr>
          <w:rFonts w:ascii="Traditional Arabic" w:hAnsi="Traditional Arabic" w:cs="Traditional Arabic" w:hint="cs"/>
          <w:spacing w:val="-6"/>
          <w:sz w:val="24"/>
          <w:szCs w:val="24"/>
          <w:lang w:bidi="ar-EG"/>
        </w:rPr>
        <w:t xml:space="preserve">" </w:t>
      </w:r>
      <w:r w:rsidR="007C06AF" w:rsidRPr="00C04B1F">
        <w:rPr>
          <w:rFonts w:ascii="Traditional Arabic" w:hAnsi="Traditional Arabic" w:cs="Traditional Arabic" w:hint="cs"/>
          <w:spacing w:val="-6"/>
          <w:sz w:val="24"/>
          <w:szCs w:val="24"/>
          <w:rtl/>
        </w:rPr>
        <w:t>و</w:t>
      </w:r>
      <w:r w:rsidR="007C06AF" w:rsidRPr="00C04B1F">
        <w:rPr>
          <w:rFonts w:ascii="Traditional Arabic" w:hAnsi="Traditional Arabic" w:cs="Traditional Arabic" w:hint="cs"/>
          <w:spacing w:val="-6"/>
          <w:sz w:val="24"/>
          <w:szCs w:val="24"/>
          <w:lang w:bidi="ar-EG"/>
        </w:rPr>
        <w:t>"</w:t>
      </w:r>
      <w:r w:rsidR="007C06AF" w:rsidRPr="00C04B1F">
        <w:rPr>
          <w:rFonts w:ascii="Traditional Arabic" w:hAnsi="Traditional Arabic" w:cs="Traditional Arabic" w:hint="cs"/>
          <w:spacing w:val="-6"/>
          <w:sz w:val="24"/>
          <w:szCs w:val="24"/>
          <w:rtl/>
        </w:rPr>
        <w:t>التحفيز الإلهامي</w:t>
      </w:r>
      <w:r w:rsidR="007C06AF" w:rsidRPr="00C04B1F">
        <w:rPr>
          <w:rFonts w:ascii="Traditional Arabic" w:hAnsi="Traditional Arabic" w:cs="Traditional Arabic" w:hint="cs"/>
          <w:spacing w:val="-6"/>
          <w:sz w:val="24"/>
          <w:szCs w:val="24"/>
          <w:lang w:bidi="ar-EG"/>
        </w:rPr>
        <w:t xml:space="preserve">" </w:t>
      </w:r>
      <w:r w:rsidR="007C06AF" w:rsidRPr="00C04B1F">
        <w:rPr>
          <w:rFonts w:ascii="Traditional Arabic" w:hAnsi="Traditional Arabic" w:cs="Traditional Arabic" w:hint="cs"/>
          <w:spacing w:val="-6"/>
          <w:sz w:val="24"/>
          <w:szCs w:val="24"/>
          <w:rtl/>
        </w:rPr>
        <w:t>كانا الأكثر تأثيرًا في تحفيز العاملين نحو تقديم أفكار جديدة والانخراط في المبادرات التطويرية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rPr>
        <w:t>وأوصت الدراسة بضرورة تعزيز الاعتبار الفردي والتحفيز الإلهامي داخل المؤسسات الصحية، وتطوير برامج قيادية تركز على دعم الابتكار، وتحقيق العدالة التنظيمية، بما يسهم في بناء بيئة عمل محفزة ومستدامة</w:t>
      </w:r>
      <w:r w:rsidR="007C06AF" w:rsidRPr="00C04B1F">
        <w:rPr>
          <w:rFonts w:ascii="Traditional Arabic" w:hAnsi="Traditional Arabic" w:cs="Traditional Arabic" w:hint="cs"/>
          <w:spacing w:val="-6"/>
          <w:sz w:val="24"/>
          <w:szCs w:val="24"/>
          <w:lang w:bidi="ar-EG"/>
        </w:rPr>
        <w:t>.</w:t>
      </w:r>
    </w:p>
    <w:p w14:paraId="30CC3B31" w14:textId="63215895" w:rsidR="00E55C3F" w:rsidRPr="00BB230D" w:rsidRDefault="00E55C3F" w:rsidP="00BB230D">
      <w:pPr>
        <w:bidi/>
        <w:spacing w:before="120" w:after="120" w:line="360" w:lineRule="auto"/>
        <w:ind w:firstLine="720"/>
        <w:jc w:val="both"/>
        <w:rPr>
          <w:rFonts w:ascii="Traditional Arabic" w:hAnsi="Traditional Arabic" w:cs="Traditional Arabic"/>
          <w:spacing w:val="-6"/>
          <w:sz w:val="24"/>
          <w:szCs w:val="24"/>
        </w:rPr>
      </w:pPr>
      <w:r w:rsidRPr="00BB230D">
        <w:rPr>
          <w:rFonts w:ascii="Traditional Arabic" w:hAnsi="Traditional Arabic" w:cs="Traditional Arabic" w:hint="cs"/>
          <w:b/>
          <w:bCs/>
          <w:spacing w:val="-6"/>
          <w:sz w:val="24"/>
          <w:szCs w:val="24"/>
          <w:rtl/>
        </w:rPr>
        <w:t>وهدفت دراسة أحمد محمود أحمد</w:t>
      </w:r>
      <w:r w:rsidRPr="00BB230D">
        <w:rPr>
          <w:rFonts w:ascii="Traditional Arabic" w:hAnsi="Traditional Arabic" w:cs="Traditional Arabic" w:hint="cs"/>
          <w:b/>
          <w:bCs/>
          <w:spacing w:val="-6"/>
          <w:sz w:val="24"/>
          <w:szCs w:val="24"/>
        </w:rPr>
        <w:t xml:space="preserve"> (2024):</w:t>
      </w:r>
      <w:r w:rsidRPr="00BB230D">
        <w:rPr>
          <w:rFonts w:ascii="Traditional Arabic" w:hAnsi="Traditional Arabic" w:cs="Traditional Arabic" w:hint="cs"/>
          <w:spacing w:val="-6"/>
          <w:sz w:val="24"/>
          <w:szCs w:val="24"/>
        </w:rPr>
        <w:t xml:space="preserve"> </w:t>
      </w:r>
      <w:r w:rsidRPr="00BB230D">
        <w:rPr>
          <w:rFonts w:ascii="Traditional Arabic" w:hAnsi="Traditional Arabic" w:cs="Traditional Arabic" w:hint="cs"/>
          <w:spacing w:val="-6"/>
          <w:sz w:val="24"/>
          <w:szCs w:val="24"/>
          <w:rtl/>
        </w:rPr>
        <w:t>إلى تحديد تأثير المرونة الشخصية كمتغير وسيط في العلاقة بين القيادة التحويلية والارتباك الوظيفي لدى العاملين في قطاع الرعاية الصحية. اعتمد الباحث على المنهج الكمي الوصفي، وتم جمع البيانات من خلال عينة مكونة من (297) موظفًا يعملون في مؤسسات صحية متنوعة</w:t>
      </w:r>
      <w:r w:rsidRPr="00BB230D">
        <w:rPr>
          <w:rFonts w:ascii="Traditional Arabic" w:hAnsi="Traditional Arabic" w:cs="Traditional Arabic" w:hint="cs"/>
          <w:spacing w:val="-6"/>
          <w:sz w:val="24"/>
          <w:szCs w:val="24"/>
        </w:rPr>
        <w:t>.</w:t>
      </w:r>
      <w:r w:rsidRPr="00BB230D">
        <w:rPr>
          <w:rFonts w:ascii="Traditional Arabic" w:hAnsi="Traditional Arabic" w:cs="Traditional Arabic" w:hint="cs"/>
          <w:spacing w:val="-6"/>
          <w:sz w:val="24"/>
          <w:szCs w:val="24"/>
          <w:rtl/>
        </w:rPr>
        <w:t>استخدمت الدراسة ثلاث أدوات قياس معيارية</w:t>
      </w:r>
      <w:r w:rsidRPr="00BB230D">
        <w:rPr>
          <w:rFonts w:ascii="Traditional Arabic" w:hAnsi="Traditional Arabic" w:cs="Traditional Arabic" w:hint="cs"/>
          <w:spacing w:val="-6"/>
          <w:sz w:val="24"/>
          <w:szCs w:val="24"/>
        </w:rPr>
        <w:t xml:space="preserve">: </w:t>
      </w:r>
      <w:r w:rsidRPr="00BB230D">
        <w:rPr>
          <w:rFonts w:ascii="Traditional Arabic" w:hAnsi="Traditional Arabic" w:cs="Traditional Arabic" w:hint="cs"/>
          <w:spacing w:val="-6"/>
          <w:sz w:val="24"/>
          <w:szCs w:val="24"/>
          <w:rtl/>
        </w:rPr>
        <w:t>استبيان القيادة متعددة العوامل</w:t>
      </w:r>
      <w:r w:rsidRPr="00BB230D">
        <w:rPr>
          <w:rFonts w:ascii="Traditional Arabic" w:hAnsi="Traditional Arabic" w:cs="Traditional Arabic" w:hint="cs"/>
          <w:spacing w:val="-6"/>
          <w:sz w:val="24"/>
          <w:szCs w:val="24"/>
        </w:rPr>
        <w:t xml:space="preserve"> (MLQ) </w:t>
      </w:r>
      <w:r w:rsidRPr="00BB230D">
        <w:rPr>
          <w:rFonts w:ascii="Traditional Arabic" w:hAnsi="Traditional Arabic" w:cs="Traditional Arabic" w:hint="cs"/>
          <w:spacing w:val="-6"/>
          <w:sz w:val="24"/>
          <w:szCs w:val="24"/>
          <w:rtl/>
        </w:rPr>
        <w:t>لقياس القيادة التحويلية، ومقياس المرونة الشخصية، بالإضافة إلى مقياس الارتباك الوظيفي</w:t>
      </w:r>
      <w:r w:rsidRPr="00BB230D">
        <w:rPr>
          <w:rFonts w:ascii="Traditional Arabic" w:hAnsi="Traditional Arabic" w:cs="Traditional Arabic" w:hint="cs"/>
          <w:spacing w:val="-6"/>
          <w:sz w:val="24"/>
          <w:szCs w:val="24"/>
        </w:rPr>
        <w:t>.</w:t>
      </w:r>
      <w:r w:rsidRPr="00BB230D">
        <w:rPr>
          <w:rFonts w:ascii="Traditional Arabic" w:hAnsi="Traditional Arabic" w:cs="Traditional Arabic" w:hint="cs"/>
          <w:spacing w:val="-6"/>
          <w:sz w:val="24"/>
          <w:szCs w:val="24"/>
          <w:rtl/>
        </w:rPr>
        <w:t xml:space="preserve"> أظهرت النتائج وجود علاقة إيجابية ذات دلالة إحصائية بين القيادة التحويلية والمرونة الشخصية، مما يشير إلى أن القادة الذين يتبعون أسلوب القيادة التحويلية يعززون قدرة الموظفين على التكيف والتعامل مع الضغوط</w:t>
      </w:r>
      <w:r w:rsidR="00575FAD"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كما كشفت النتائج عن وجود علاقة ذات تأثير معنوي بين المرونة الشخصية والارتباك الوظيفي، حيث تساهم المرونة في تقليل مستويات الارتباك لدى الموظفين</w:t>
      </w:r>
      <w:r w:rsidR="00575FAD"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وأوصت الدراسة بضرورة تدريب القيادات الصحية على تبني أساليب القيادة التحويلية، وتعزيز برامج بناء المرونة النفسية للحد من الارتباك وتحسين جودة الأداء الوظيفي</w:t>
      </w:r>
      <w:r w:rsidRPr="00BB230D">
        <w:rPr>
          <w:rFonts w:ascii="Traditional Arabic" w:hAnsi="Traditional Arabic" w:cs="Traditional Arabic" w:hint="cs"/>
          <w:spacing w:val="-6"/>
          <w:sz w:val="24"/>
          <w:szCs w:val="24"/>
        </w:rPr>
        <w:t>.</w:t>
      </w:r>
    </w:p>
    <w:p w14:paraId="6DDC2A48" w14:textId="396B758E" w:rsidR="00244FC7" w:rsidRPr="00BB230D" w:rsidRDefault="00E55C3F" w:rsidP="00BB230D">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b/>
          <w:bCs/>
          <w:spacing w:val="-6"/>
          <w:sz w:val="24"/>
          <w:szCs w:val="24"/>
          <w:rtl/>
        </w:rPr>
        <w:t xml:space="preserve">كما </w:t>
      </w:r>
      <w:r w:rsidR="00244FC7" w:rsidRPr="00BB230D">
        <w:rPr>
          <w:rFonts w:ascii="Traditional Arabic" w:hAnsi="Traditional Arabic" w:cs="Traditional Arabic" w:hint="cs"/>
          <w:b/>
          <w:bCs/>
          <w:spacing w:val="-6"/>
          <w:sz w:val="24"/>
          <w:szCs w:val="24"/>
          <w:rtl/>
        </w:rPr>
        <w:t>هدفت دراسة البركاني (2025) إلى تحليل أثر القيادة التحويلية على فاعلية اتخاذ القرارات الإدارية داخل المستشفى العام</w:t>
      </w:r>
      <w:r w:rsidR="00244FC7" w:rsidRPr="00BB230D">
        <w:rPr>
          <w:rFonts w:ascii="Traditional Arabic" w:hAnsi="Traditional Arabic" w:cs="Traditional Arabic" w:hint="cs"/>
          <w:spacing w:val="-6"/>
          <w:sz w:val="24"/>
          <w:szCs w:val="24"/>
          <w:rtl/>
        </w:rPr>
        <w:t>، باعتبارها من العوامل الحاسمة في تحسين الأداء المؤسسي وتعزيز جودة الخدمات الصحية</w:t>
      </w:r>
      <w:r w:rsidR="00DE29E5" w:rsidRPr="00BB230D">
        <w:rPr>
          <w:rFonts w:ascii="Traditional Arabic" w:hAnsi="Traditional Arabic" w:cs="Traditional Arabic" w:hint="cs"/>
          <w:spacing w:val="-6"/>
          <w:sz w:val="24"/>
          <w:szCs w:val="24"/>
          <w:rtl/>
        </w:rPr>
        <w:t>،</w:t>
      </w:r>
      <w:r w:rsidR="00244FC7" w:rsidRPr="00BB230D">
        <w:rPr>
          <w:rFonts w:ascii="Traditional Arabic" w:hAnsi="Traditional Arabic" w:cs="Traditional Arabic" w:hint="cs"/>
          <w:spacing w:val="-6"/>
          <w:sz w:val="24"/>
          <w:szCs w:val="24"/>
          <w:rtl/>
        </w:rPr>
        <w:t xml:space="preserve"> وقد ركزت الدراسة على قياس العلاقة بين أبعاد القيادة التحويلية ومستوى فاعلية القرار الإداري، في سياق بيئة العمل الصحية</w:t>
      </w:r>
      <w:r w:rsidR="00DE29E5" w:rsidRPr="00BB230D">
        <w:rPr>
          <w:rFonts w:ascii="Traditional Arabic" w:hAnsi="Traditional Arabic" w:cs="Traditional Arabic" w:hint="cs"/>
          <w:spacing w:val="-6"/>
          <w:sz w:val="24"/>
          <w:szCs w:val="24"/>
          <w:rtl/>
          <w:lang w:bidi="ar-EG"/>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 xml:space="preserve">اعتمد الباحث على المنهج الوصفي التحليلي، حيث تم تصميم استبانة معيارية لقياس أربعة </w:t>
      </w:r>
      <w:r w:rsidR="00244FC7" w:rsidRPr="00BB230D">
        <w:rPr>
          <w:rFonts w:ascii="Traditional Arabic" w:hAnsi="Traditional Arabic" w:cs="Traditional Arabic" w:hint="cs"/>
          <w:spacing w:val="-6"/>
          <w:sz w:val="24"/>
          <w:szCs w:val="24"/>
          <w:rtl/>
        </w:rPr>
        <w:lastRenderedPageBreak/>
        <w:t>أبعاد رئيسية للقيادة التحويلية: التأثير المثالي، التحفيز الإلهامي، الاعتبار الفردي، والاستثارة الفكرية، إلى جانب مؤشرات فاعلية اتخاذ القرار مثل السرعة، الدقة، والمشاركة الجماعية. وقد تم تطبيق الأداة على عينة مكونة من 152 موظفًا من مختلف الأقسام الإدارية والطبية داخل المستشفى العام</w:t>
      </w:r>
      <w:r w:rsidR="00DE29E5" w:rsidRPr="00BB230D">
        <w:rPr>
          <w:rFonts w:ascii="Traditional Arabic" w:hAnsi="Traditional Arabic" w:cs="Traditional Arabic" w:hint="cs"/>
          <w:spacing w:val="-6"/>
          <w:sz w:val="24"/>
          <w:szCs w:val="24"/>
          <w:rtl/>
          <w:lang w:bidi="ar-EG"/>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استخدمت الدراسة أدوات تحليل إحصائي مثل معامل الارتباط وتحليل التباين، لتحديد مدى تأثير كل بعد من أبعاد القيادة التحويلية على فاعلية القرار، مع اختبار الفروق حسب النوع والمستوى التعليمي</w:t>
      </w:r>
      <w:r w:rsidR="00DE29E5" w:rsidRPr="00BB230D">
        <w:rPr>
          <w:rFonts w:ascii="Traditional Arabic" w:hAnsi="Traditional Arabic" w:cs="Traditional Arabic" w:hint="cs"/>
          <w:spacing w:val="-6"/>
          <w:sz w:val="24"/>
          <w:szCs w:val="24"/>
          <w:rtl/>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أظهرت النتائج أن جميع أبعاد القيادة التحويلية تؤثر بشكل إيجابي على فاعلية اتخاذ القرار، دون وجود فروق دالة إحصائيًا تعزى إلى النوع أو المؤهل العلمي، مما يدل على أن أثر القيادة التحويلية يتجاوز الخصائص الفردية، ويعتمد على الممارسات القيادية الفعلية داخل المؤسسة</w:t>
      </w:r>
      <w:r w:rsidR="00273E39" w:rsidRPr="00BB230D">
        <w:rPr>
          <w:rFonts w:ascii="Traditional Arabic" w:hAnsi="Traditional Arabic" w:cs="Traditional Arabic" w:hint="cs"/>
          <w:spacing w:val="-6"/>
          <w:sz w:val="24"/>
          <w:szCs w:val="24"/>
          <w:rtl/>
        </w:rPr>
        <w:t>،</w:t>
      </w:r>
      <w:r w:rsidR="00244FC7" w:rsidRPr="00BB230D">
        <w:rPr>
          <w:rFonts w:ascii="Traditional Arabic" w:hAnsi="Traditional Arabic" w:cs="Traditional Arabic" w:hint="cs"/>
          <w:spacing w:val="-6"/>
          <w:sz w:val="24"/>
          <w:szCs w:val="24"/>
          <w:rtl/>
        </w:rPr>
        <w:t xml:space="preserve"> كما تبين أن </w:t>
      </w:r>
      <w:r w:rsidR="00244FC7" w:rsidRPr="00BB230D">
        <w:rPr>
          <w:rFonts w:ascii="Traditional Arabic" w:hAnsi="Traditional Arabic" w:cs="Traditional Arabic" w:hint="cs"/>
          <w:spacing w:val="-6"/>
          <w:sz w:val="24"/>
          <w:szCs w:val="24"/>
          <w:lang w:bidi="ar-EG"/>
        </w:rPr>
        <w:t>"</w:t>
      </w:r>
      <w:r w:rsidR="00244FC7" w:rsidRPr="00BB230D">
        <w:rPr>
          <w:rFonts w:ascii="Traditional Arabic" w:hAnsi="Traditional Arabic" w:cs="Traditional Arabic" w:hint="cs"/>
          <w:spacing w:val="-6"/>
          <w:sz w:val="24"/>
          <w:szCs w:val="24"/>
          <w:rtl/>
        </w:rPr>
        <w:t>الاستثارة الفكرية</w:t>
      </w:r>
      <w:r w:rsidR="00244FC7" w:rsidRPr="00BB230D">
        <w:rPr>
          <w:rFonts w:ascii="Traditional Arabic" w:hAnsi="Traditional Arabic" w:cs="Traditional Arabic" w:hint="cs"/>
          <w:spacing w:val="-6"/>
          <w:sz w:val="24"/>
          <w:szCs w:val="24"/>
          <w:lang w:bidi="ar-EG"/>
        </w:rPr>
        <w:t xml:space="preserve">" </w:t>
      </w:r>
      <w:r w:rsidR="00244FC7" w:rsidRPr="00BB230D">
        <w:rPr>
          <w:rFonts w:ascii="Traditional Arabic" w:hAnsi="Traditional Arabic" w:cs="Traditional Arabic" w:hint="cs"/>
          <w:spacing w:val="-6"/>
          <w:sz w:val="24"/>
          <w:szCs w:val="24"/>
          <w:rtl/>
        </w:rPr>
        <w:t>كانت من أكثر الأبعاد تأثيرًا في تعزيز التفكير النقدي والمشاركة الجماعية في صنع القرار</w:t>
      </w:r>
      <w:r w:rsidR="00244FC7" w:rsidRPr="00BB230D">
        <w:rPr>
          <w:rFonts w:ascii="Traditional Arabic" w:hAnsi="Traditional Arabic" w:cs="Traditional Arabic" w:hint="cs"/>
          <w:spacing w:val="-6"/>
          <w:sz w:val="24"/>
          <w:szCs w:val="24"/>
          <w:lang w:bidi="ar-EG"/>
        </w:rPr>
        <w:t>.</w:t>
      </w:r>
      <w:r w:rsidR="00244FC7" w:rsidRPr="00BB230D">
        <w:rPr>
          <w:rFonts w:ascii="Traditional Arabic" w:hAnsi="Traditional Arabic" w:cs="Traditional Arabic" w:hint="cs"/>
          <w:spacing w:val="-6"/>
          <w:sz w:val="24"/>
          <w:szCs w:val="24"/>
          <w:rtl/>
        </w:rPr>
        <w:t>وأوصت الدراسة بضرورة تعزيز الاستثارة الفكرية داخل بيئة المستشفى، وتشجيع فرق العمل على المشاركة الفعالة في عمليات اتخاذ القرار، إلى جانب تنظيم برامج تدريبية مستمرة لتطوير مهارات القادة في مجالات التحليل، التمكين، والتواصل الإداري</w:t>
      </w:r>
      <w:r w:rsidR="00244FC7" w:rsidRPr="00BB230D">
        <w:rPr>
          <w:rFonts w:ascii="Traditional Arabic" w:hAnsi="Traditional Arabic" w:cs="Traditional Arabic" w:hint="cs"/>
          <w:spacing w:val="-6"/>
          <w:sz w:val="24"/>
          <w:szCs w:val="24"/>
          <w:lang w:bidi="ar-EG"/>
        </w:rPr>
        <w:t>.</w:t>
      </w:r>
    </w:p>
    <w:p w14:paraId="75862E0A" w14:textId="65EBB82B" w:rsidR="00A37A4B" w:rsidRPr="00BB230D" w:rsidRDefault="00E55C3F" w:rsidP="00BB230D">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b/>
          <w:bCs/>
          <w:spacing w:val="-6"/>
          <w:sz w:val="24"/>
          <w:szCs w:val="24"/>
          <w:rtl/>
        </w:rPr>
        <w:t>و</w:t>
      </w:r>
      <w:r w:rsidR="00A37A4B" w:rsidRPr="00BB230D">
        <w:rPr>
          <w:rFonts w:ascii="Traditional Arabic" w:hAnsi="Traditional Arabic" w:cs="Traditional Arabic" w:hint="cs"/>
          <w:b/>
          <w:bCs/>
          <w:spacing w:val="-6"/>
          <w:sz w:val="24"/>
          <w:szCs w:val="24"/>
          <w:rtl/>
        </w:rPr>
        <w:t>أكدت دراسة بلاك بيرد (2025) أن القيادة التحويلية لم تعد خيارًا تنظيميًا</w:t>
      </w:r>
      <w:r w:rsidR="00A37A4B" w:rsidRPr="00BB230D">
        <w:rPr>
          <w:rFonts w:ascii="Traditional Arabic" w:hAnsi="Traditional Arabic" w:cs="Traditional Arabic" w:hint="cs"/>
          <w:spacing w:val="-6"/>
          <w:sz w:val="24"/>
          <w:szCs w:val="24"/>
          <w:rtl/>
        </w:rPr>
        <w:t>، بل أصبحت ضرورة استراتيجية في مؤسسات الرعاية الصحية في منطقة الشرق الأوسط، نظرًا لدورها المحوري في تحسين الأداء المؤسسي وتعزيز فعالية فرق العمل متعددة التخصصات</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وقد هدفت الدراسة إلى تقييم أثر برنامج تدريبي شامل على تطوير المهارات القيادية للعاملين في القطاع الصحي</w:t>
      </w:r>
      <w:r w:rsidR="00DE29E5" w:rsidRPr="00BB230D">
        <w:rPr>
          <w:rFonts w:ascii="Traditional Arabic" w:hAnsi="Traditional Arabic" w:cs="Traditional Arabic" w:hint="cs"/>
          <w:spacing w:val="-6"/>
          <w:sz w:val="24"/>
          <w:szCs w:val="24"/>
          <w:rtl/>
        </w:rPr>
        <w:t xml:space="preserve"> </w:t>
      </w:r>
      <w:r w:rsidR="00DE29E5" w:rsidRPr="00BB230D">
        <w:rPr>
          <w:rFonts w:ascii="Traditional Arabic" w:hAnsi="Traditional Arabic" w:cs="Traditional Arabic" w:hint="cs"/>
          <w:spacing w:val="-6"/>
          <w:sz w:val="24"/>
          <w:szCs w:val="24"/>
          <w:rtl/>
          <w:lang w:bidi="ar-EG"/>
        </w:rPr>
        <w:t xml:space="preserve">، </w:t>
      </w:r>
      <w:r w:rsidR="00A37A4B" w:rsidRPr="00BB230D">
        <w:rPr>
          <w:rFonts w:ascii="Traditional Arabic" w:hAnsi="Traditional Arabic" w:cs="Traditional Arabic" w:hint="cs"/>
          <w:spacing w:val="-6"/>
          <w:sz w:val="24"/>
          <w:szCs w:val="24"/>
          <w:rtl/>
          <w:lang w:bidi="ar-EG"/>
        </w:rPr>
        <w:t>و</w:t>
      </w:r>
      <w:r w:rsidR="00A37A4B" w:rsidRPr="00BB230D">
        <w:rPr>
          <w:rFonts w:ascii="Traditional Arabic" w:hAnsi="Traditional Arabic" w:cs="Traditional Arabic" w:hint="cs"/>
          <w:spacing w:val="-6"/>
          <w:sz w:val="24"/>
          <w:szCs w:val="24"/>
          <w:rtl/>
        </w:rPr>
        <w:t>اعتمدت الدراسة على منهج تطبيقي تجريبي، حيث تم تنفيذ البرنامج التدريبي عبر عدة محاور تخصصية، شملت الجودة الصحية، التمريض، والتخطيط الاستراتيجي، وتم تصميم المحتوى التدريبي وفقًا لنموذج القيادة التحويلية، مع التركيز على بناء القدرات في مجالات اتخاذ القرار، إدارة الأزمات، والتحفيز الجماعي</w:t>
      </w:r>
      <w:r w:rsidR="00DE29E5" w:rsidRPr="00BB230D">
        <w:rPr>
          <w:rFonts w:ascii="Traditional Arabic" w:hAnsi="Traditional Arabic" w:cs="Traditional Arabic" w:hint="cs"/>
          <w:spacing w:val="-6"/>
          <w:sz w:val="24"/>
          <w:szCs w:val="24"/>
          <w:rtl/>
          <w:lang w:bidi="ar-EG"/>
        </w:rPr>
        <w:t xml:space="preserve">، </w:t>
      </w:r>
      <w:r w:rsidR="00A37A4B" w:rsidRPr="00BB230D">
        <w:rPr>
          <w:rFonts w:ascii="Traditional Arabic" w:hAnsi="Traditional Arabic" w:cs="Traditional Arabic" w:hint="cs"/>
          <w:spacing w:val="-6"/>
          <w:sz w:val="24"/>
          <w:szCs w:val="24"/>
          <w:rtl/>
        </w:rPr>
        <w:t>شملت العينة مجموعة من العاملين في المؤسسات الصحية، من مستويات قيادية مختلفة، بما في ذلك مدراء إدارات، مشرفين تمريض، ومنسقي الجودة</w:t>
      </w:r>
      <w:r w:rsidR="00273E39"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وقد استخدمت الدراسة أدوات تقييم متعددة، مثل استبيانات قبل وبعد التدريب، ومقاييس الأداء الوظيفي، وتحليل ملاحظات المشرفين</w:t>
      </w:r>
      <w:r w:rsidR="00273E39" w:rsidRPr="00BB230D">
        <w:rPr>
          <w:rFonts w:ascii="Traditional Arabic" w:hAnsi="Traditional Arabic" w:cs="Traditional Arabic" w:hint="cs"/>
          <w:spacing w:val="-6"/>
          <w:sz w:val="24"/>
          <w:szCs w:val="24"/>
          <w:rtl/>
          <w:lang w:bidi="ar-EG"/>
        </w:rPr>
        <w:t>،</w:t>
      </w:r>
      <w:r w:rsidR="00A37A4B" w:rsidRPr="00BB230D">
        <w:rPr>
          <w:rFonts w:ascii="Traditional Arabic" w:hAnsi="Traditional Arabic" w:cs="Traditional Arabic" w:hint="cs"/>
          <w:spacing w:val="-6"/>
          <w:sz w:val="24"/>
          <w:szCs w:val="24"/>
          <w:rtl/>
          <w:lang w:bidi="ar-EG"/>
        </w:rPr>
        <w:t>و</w:t>
      </w:r>
      <w:r w:rsidR="00A37A4B" w:rsidRPr="00BB230D">
        <w:rPr>
          <w:rFonts w:ascii="Traditional Arabic" w:hAnsi="Traditional Arabic" w:cs="Traditional Arabic" w:hint="cs"/>
          <w:spacing w:val="-6"/>
          <w:sz w:val="24"/>
          <w:szCs w:val="24"/>
          <w:rtl/>
        </w:rPr>
        <w:t>أظهرت نتائج التدريب تحسنًا ملموسًا في أداء الفرق الصحية بعد تطبيق مفاهيم القيادة التحويلية، خاصة في مجالات اتخاذ القرار السريع، إدارة المواقف الحرجة، وتحفيز الفرق نحو تحقيق الأهداف المؤسسية</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كما لوحظ ارتفاع في مستوى التنسيق بين التخصصات، وزيادة في معدلات الرضا الوظيفي والانتماء المؤسسي</w:t>
      </w:r>
      <w:r w:rsidR="00A37A4B" w:rsidRPr="00BB230D">
        <w:rPr>
          <w:rFonts w:ascii="Traditional Arabic" w:hAnsi="Traditional Arabic" w:cs="Traditional Arabic" w:hint="cs"/>
          <w:spacing w:val="-6"/>
          <w:sz w:val="24"/>
          <w:szCs w:val="24"/>
          <w:lang w:bidi="ar-EG"/>
        </w:rPr>
        <w:t>.</w:t>
      </w:r>
      <w:r w:rsidR="00A37A4B" w:rsidRPr="00BB230D">
        <w:rPr>
          <w:rFonts w:ascii="Traditional Arabic" w:hAnsi="Traditional Arabic" w:cs="Traditional Arabic" w:hint="cs"/>
          <w:spacing w:val="-6"/>
          <w:sz w:val="24"/>
          <w:szCs w:val="24"/>
          <w:rtl/>
        </w:rPr>
        <w:t>وأوصت الدراسة بضرورة دمج القيادة التحويلية في برامج التطوير المؤسسي، وتوسيع نطاق التدريب ليشمل جميع مستويات القيادة، من الصفوف الأمامية إلى الإدارة العليا</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كما دعت إلى اعتماد نماذج تقييم مستدامة لقياس أثر التدريب على الأداء المؤسسي، وتطوير محتوى تدريبي يتماشى مع السياقات المحلية والإقليمية</w:t>
      </w:r>
      <w:r w:rsidR="00A37A4B" w:rsidRPr="00BB230D">
        <w:rPr>
          <w:rFonts w:ascii="Traditional Arabic" w:hAnsi="Traditional Arabic" w:cs="Traditional Arabic" w:hint="cs"/>
          <w:spacing w:val="-6"/>
          <w:sz w:val="24"/>
          <w:szCs w:val="24"/>
          <w:lang w:bidi="ar-EG"/>
        </w:rPr>
        <w:t>.</w:t>
      </w:r>
    </w:p>
    <w:p w14:paraId="27DE697F" w14:textId="7D2487B9" w:rsidR="00E523E4" w:rsidRPr="00BB230D" w:rsidRDefault="00A37A4B" w:rsidP="00BB230D">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b/>
          <w:bCs/>
          <w:spacing w:val="-6"/>
          <w:sz w:val="24"/>
          <w:szCs w:val="24"/>
          <w:rtl/>
        </w:rPr>
        <w:t>و</w:t>
      </w:r>
      <w:r w:rsidR="00E523E4" w:rsidRPr="00BB230D">
        <w:rPr>
          <w:rFonts w:ascii="Traditional Arabic" w:hAnsi="Traditional Arabic" w:cs="Traditional Arabic" w:hint="cs"/>
          <w:b/>
          <w:bCs/>
          <w:spacing w:val="-6"/>
          <w:sz w:val="24"/>
          <w:szCs w:val="24"/>
          <w:rtl/>
        </w:rPr>
        <w:t>توصلت دراسة أماني محمد وآخرين (2025)</w:t>
      </w:r>
      <w:r w:rsidR="00E523E4" w:rsidRPr="00BB230D">
        <w:rPr>
          <w:rFonts w:ascii="Traditional Arabic" w:hAnsi="Traditional Arabic" w:cs="Traditional Arabic" w:hint="cs"/>
          <w:spacing w:val="-6"/>
          <w:sz w:val="24"/>
          <w:szCs w:val="24"/>
          <w:rtl/>
        </w:rPr>
        <w:t xml:space="preserve"> إلى أن القيادة التحويلية تُعد من أبرز الأنماط القيادية التي تسهم في تحسين بيئة العمل داخل المؤسسات الصحية، لا سيما في مستشفيات محافظة الشرقية. وقد هدفت الدراسة إلى تحليل العلاقة بين أبعاد القيادة التحويلية والعدالة التنظيمية، ومدى انعكاسها على السلوكيات الإيجابية للعاملين في القطاع الصحي</w:t>
      </w:r>
      <w:r w:rsidR="00DE29E5" w:rsidRPr="00BB230D">
        <w:rPr>
          <w:rFonts w:ascii="Traditional Arabic" w:hAnsi="Traditional Arabic" w:cs="Traditional Arabic" w:hint="cs"/>
          <w:spacing w:val="-6"/>
          <w:sz w:val="24"/>
          <w:szCs w:val="24"/>
          <w:rtl/>
          <w:lang w:bidi="ar-EG"/>
        </w:rPr>
        <w:t xml:space="preserve">، </w:t>
      </w:r>
      <w:r w:rsidR="00E523E4" w:rsidRPr="00BB230D">
        <w:rPr>
          <w:rFonts w:ascii="Traditional Arabic" w:hAnsi="Traditional Arabic" w:cs="Traditional Arabic" w:hint="cs"/>
          <w:spacing w:val="-6"/>
          <w:sz w:val="24"/>
          <w:szCs w:val="24"/>
          <w:rtl/>
          <w:lang w:bidi="ar-EG"/>
        </w:rPr>
        <w:t>و</w:t>
      </w:r>
      <w:r w:rsidR="00E523E4" w:rsidRPr="00BB230D">
        <w:rPr>
          <w:rFonts w:ascii="Traditional Arabic" w:hAnsi="Traditional Arabic" w:cs="Traditional Arabic" w:hint="cs"/>
          <w:spacing w:val="-6"/>
          <w:sz w:val="24"/>
          <w:szCs w:val="24"/>
          <w:rtl/>
        </w:rPr>
        <w:t>اعتمد الباحثون على منهج وصفي تحليلي، حيث تم تصميم استبانة معيارية لقياس أثر القيادة التحويلية على بيئة العمل، وشملت محاور متعددة مثل التأثير المثالي، التحفيز الإلهامي، الاستثارة الفكرية، والاعتبارات الفردية. وقد تم توزيع الاستبانة على عينة من العاملين في المستشفيات العامة والخاصة بمحافظة الشرقية، شملت فئات إدارية وطبية وتمريضية</w:t>
      </w:r>
      <w:r w:rsidR="00DE29E5" w:rsidRPr="00BB230D">
        <w:rPr>
          <w:rFonts w:ascii="Traditional Arabic" w:hAnsi="Traditional Arabic" w:cs="Traditional Arabic" w:hint="cs"/>
          <w:spacing w:val="-6"/>
          <w:sz w:val="24"/>
          <w:szCs w:val="24"/>
          <w:rtl/>
          <w:lang w:bidi="ar-EG"/>
        </w:rPr>
        <w:t xml:space="preserve">، </w:t>
      </w:r>
      <w:r w:rsidRPr="00BB230D">
        <w:rPr>
          <w:rFonts w:ascii="Traditional Arabic" w:hAnsi="Traditional Arabic" w:cs="Traditional Arabic" w:hint="cs"/>
          <w:spacing w:val="-6"/>
          <w:sz w:val="24"/>
          <w:szCs w:val="24"/>
          <w:rtl/>
          <w:lang w:bidi="ar-EG"/>
        </w:rPr>
        <w:t>و</w:t>
      </w:r>
      <w:r w:rsidR="00E523E4" w:rsidRPr="00BB230D">
        <w:rPr>
          <w:rFonts w:ascii="Traditional Arabic" w:hAnsi="Traditional Arabic" w:cs="Traditional Arabic" w:hint="cs"/>
          <w:spacing w:val="-6"/>
          <w:sz w:val="24"/>
          <w:szCs w:val="24"/>
          <w:rtl/>
        </w:rPr>
        <w:t xml:space="preserve">أظهرت النتائج أن بعدي </w:t>
      </w:r>
      <w:r w:rsidR="00E523E4" w:rsidRPr="00BB230D">
        <w:rPr>
          <w:rFonts w:ascii="Traditional Arabic" w:hAnsi="Traditional Arabic" w:cs="Traditional Arabic" w:hint="cs"/>
          <w:spacing w:val="-6"/>
          <w:sz w:val="24"/>
          <w:szCs w:val="24"/>
          <w:lang w:bidi="ar-EG"/>
        </w:rPr>
        <w:t>"</w:t>
      </w:r>
      <w:r w:rsidR="00E523E4" w:rsidRPr="00BB230D">
        <w:rPr>
          <w:rFonts w:ascii="Traditional Arabic" w:hAnsi="Traditional Arabic" w:cs="Traditional Arabic" w:hint="cs"/>
          <w:spacing w:val="-6"/>
          <w:sz w:val="24"/>
          <w:szCs w:val="24"/>
          <w:rtl/>
        </w:rPr>
        <w:t>التأثير المثالي</w:t>
      </w:r>
      <w:r w:rsidR="00E523E4" w:rsidRPr="00BB230D">
        <w:rPr>
          <w:rFonts w:ascii="Traditional Arabic" w:hAnsi="Traditional Arabic" w:cs="Traditional Arabic" w:hint="cs"/>
          <w:spacing w:val="-6"/>
          <w:sz w:val="24"/>
          <w:szCs w:val="24"/>
          <w:lang w:bidi="ar-EG"/>
        </w:rPr>
        <w:t xml:space="preserve">" </w:t>
      </w:r>
      <w:r w:rsidR="00E523E4" w:rsidRPr="00BB230D">
        <w:rPr>
          <w:rFonts w:ascii="Traditional Arabic" w:hAnsi="Traditional Arabic" w:cs="Traditional Arabic" w:hint="cs"/>
          <w:spacing w:val="-6"/>
          <w:sz w:val="24"/>
          <w:szCs w:val="24"/>
          <w:rtl/>
        </w:rPr>
        <w:t>و</w:t>
      </w:r>
      <w:r w:rsidR="00E523E4" w:rsidRPr="00BB230D">
        <w:rPr>
          <w:rFonts w:ascii="Traditional Arabic" w:hAnsi="Traditional Arabic" w:cs="Traditional Arabic" w:hint="cs"/>
          <w:spacing w:val="-6"/>
          <w:sz w:val="24"/>
          <w:szCs w:val="24"/>
          <w:lang w:bidi="ar-EG"/>
        </w:rPr>
        <w:t>"</w:t>
      </w:r>
      <w:r w:rsidR="00E523E4" w:rsidRPr="00BB230D">
        <w:rPr>
          <w:rFonts w:ascii="Traditional Arabic" w:hAnsi="Traditional Arabic" w:cs="Traditional Arabic" w:hint="cs"/>
          <w:spacing w:val="-6"/>
          <w:sz w:val="24"/>
          <w:szCs w:val="24"/>
          <w:rtl/>
        </w:rPr>
        <w:t>الاستثارة الفكرية</w:t>
      </w:r>
      <w:r w:rsidR="00E523E4" w:rsidRPr="00BB230D">
        <w:rPr>
          <w:rFonts w:ascii="Traditional Arabic" w:hAnsi="Traditional Arabic" w:cs="Traditional Arabic" w:hint="cs"/>
          <w:spacing w:val="-6"/>
          <w:sz w:val="24"/>
          <w:szCs w:val="24"/>
          <w:lang w:bidi="ar-EG"/>
        </w:rPr>
        <w:t xml:space="preserve">" </w:t>
      </w:r>
      <w:r w:rsidR="00E523E4" w:rsidRPr="00BB230D">
        <w:rPr>
          <w:rFonts w:ascii="Traditional Arabic" w:hAnsi="Traditional Arabic" w:cs="Traditional Arabic" w:hint="cs"/>
          <w:spacing w:val="-6"/>
          <w:sz w:val="24"/>
          <w:szCs w:val="24"/>
          <w:rtl/>
        </w:rPr>
        <w:t xml:space="preserve">كانا الأكثر تأثيرًا في تحسين العدالة التنظيمية، وتحفيز العاملين نحو التفاعل الإيجابي، والمشاركة الفعالة في صنع القرار. كما </w:t>
      </w:r>
      <w:r w:rsidR="00E523E4" w:rsidRPr="00BB230D">
        <w:rPr>
          <w:rFonts w:ascii="Traditional Arabic" w:hAnsi="Traditional Arabic" w:cs="Traditional Arabic" w:hint="cs"/>
          <w:spacing w:val="-6"/>
          <w:sz w:val="24"/>
          <w:szCs w:val="24"/>
          <w:rtl/>
        </w:rPr>
        <w:lastRenderedPageBreak/>
        <w:t>كشفت الدراسة عن وجود علاقة إيجابية بين القيادة التحويلية وبيئة العمل الداعمة، مما يعزز الاستقرار الوظيفي ويقلل من معدلات الاحتراق المهني</w:t>
      </w:r>
      <w:r w:rsidR="00DE29E5" w:rsidRPr="00BB230D">
        <w:rPr>
          <w:rFonts w:ascii="Traditional Arabic" w:hAnsi="Traditional Arabic" w:cs="Traditional Arabic" w:hint="cs"/>
          <w:spacing w:val="-6"/>
          <w:sz w:val="24"/>
          <w:szCs w:val="24"/>
          <w:rtl/>
          <w:lang w:bidi="ar-EG"/>
        </w:rPr>
        <w:t xml:space="preserve">، </w:t>
      </w:r>
      <w:r w:rsidR="00E523E4" w:rsidRPr="00BB230D">
        <w:rPr>
          <w:rFonts w:ascii="Traditional Arabic" w:hAnsi="Traditional Arabic" w:cs="Traditional Arabic" w:hint="cs"/>
          <w:spacing w:val="-6"/>
          <w:sz w:val="24"/>
          <w:szCs w:val="24"/>
          <w:rtl/>
        </w:rPr>
        <w:t>وأوصت الدراسة بضرورة تطوير برامج قيادية تستند إلى مبادئ العدالة التنظيمية، والتمكين الإداري، والتحفيز المستدام، بما يسهم في بناء بيئة عمل صحية ومستقرة داخل المستشفيات</w:t>
      </w:r>
      <w:r w:rsidR="00DE29E5" w:rsidRPr="00BB230D">
        <w:rPr>
          <w:rFonts w:ascii="Traditional Arabic" w:hAnsi="Traditional Arabic" w:cs="Traditional Arabic" w:hint="cs"/>
          <w:spacing w:val="-6"/>
          <w:sz w:val="24"/>
          <w:szCs w:val="24"/>
          <w:rtl/>
        </w:rPr>
        <w:t>،</w:t>
      </w:r>
      <w:r w:rsidR="00E523E4" w:rsidRPr="00BB230D">
        <w:rPr>
          <w:rFonts w:ascii="Traditional Arabic" w:hAnsi="Traditional Arabic" w:cs="Traditional Arabic" w:hint="cs"/>
          <w:spacing w:val="-6"/>
          <w:sz w:val="24"/>
          <w:szCs w:val="24"/>
          <w:rtl/>
        </w:rPr>
        <w:t xml:space="preserve"> كما دعت إلى إدماج مفاهيم القيادة التحويلية في برامج التدريب الإداري، وتفعيل دور القادة في تعزيز ثقافة الإنصاف والتقدير المهني</w:t>
      </w:r>
      <w:r w:rsidR="00E523E4" w:rsidRPr="00BB230D">
        <w:rPr>
          <w:rFonts w:ascii="Traditional Arabic" w:hAnsi="Traditional Arabic" w:cs="Traditional Arabic" w:hint="cs"/>
          <w:spacing w:val="-6"/>
          <w:sz w:val="24"/>
          <w:szCs w:val="24"/>
          <w:lang w:bidi="ar-EG"/>
        </w:rPr>
        <w:t>.</w:t>
      </w:r>
    </w:p>
    <w:p w14:paraId="6FF8BF8A" w14:textId="27B1C38D" w:rsidR="00DE29E5" w:rsidRPr="00BB230D" w:rsidRDefault="00DE29E5" w:rsidP="00DE29E5">
      <w:pPr>
        <w:bidi/>
        <w:spacing w:before="120" w:after="120" w:line="240" w:lineRule="auto"/>
        <w:ind w:firstLine="720"/>
        <w:jc w:val="center"/>
        <w:rPr>
          <w:rFonts w:ascii="Traditional Arabic" w:hAnsi="Traditional Arabic" w:cs="Traditional Arabic"/>
          <w:b/>
          <w:bCs/>
          <w:spacing w:val="-6"/>
          <w:sz w:val="24"/>
          <w:szCs w:val="24"/>
          <w:rtl/>
          <w:lang w:bidi="ar-EG"/>
        </w:rPr>
      </w:pPr>
      <w:r w:rsidRPr="00BB230D">
        <w:rPr>
          <w:rFonts w:ascii="Traditional Arabic" w:hAnsi="Traditional Arabic" w:cs="Traditional Arabic" w:hint="cs"/>
          <w:b/>
          <w:bCs/>
          <w:spacing w:val="-6"/>
          <w:sz w:val="24"/>
          <w:szCs w:val="24"/>
          <w:rtl/>
          <w:lang w:bidi="ar-EG"/>
        </w:rPr>
        <w:t xml:space="preserve">جدول ( </w:t>
      </w:r>
      <w:r w:rsidR="00273E39" w:rsidRPr="00BB230D">
        <w:rPr>
          <w:rFonts w:ascii="Traditional Arabic" w:hAnsi="Traditional Arabic" w:cs="Traditional Arabic" w:hint="cs"/>
          <w:b/>
          <w:bCs/>
          <w:spacing w:val="-6"/>
          <w:sz w:val="24"/>
          <w:szCs w:val="24"/>
          <w:rtl/>
          <w:lang w:bidi="ar-EG"/>
        </w:rPr>
        <w:t>8</w:t>
      </w:r>
      <w:r w:rsidRPr="00BB230D">
        <w:rPr>
          <w:rFonts w:ascii="Traditional Arabic" w:hAnsi="Traditional Arabic" w:cs="Traditional Arabic" w:hint="cs"/>
          <w:b/>
          <w:bCs/>
          <w:spacing w:val="-6"/>
          <w:sz w:val="24"/>
          <w:szCs w:val="24"/>
          <w:rtl/>
          <w:lang w:bidi="ar-EG"/>
        </w:rPr>
        <w:t xml:space="preserve"> ) </w:t>
      </w:r>
      <w:r w:rsidRPr="00BB230D">
        <w:rPr>
          <w:rFonts w:ascii="Traditional Arabic" w:hAnsi="Traditional Arabic" w:cs="Traditional Arabic" w:hint="cs"/>
          <w:b/>
          <w:bCs/>
          <w:spacing w:val="-6"/>
          <w:sz w:val="24"/>
          <w:szCs w:val="24"/>
          <w:rtl/>
        </w:rPr>
        <w:t>الدراسات السابقة حول القيادة التحويلة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82"/>
        <w:gridCol w:w="2063"/>
        <w:gridCol w:w="2062"/>
        <w:gridCol w:w="2083"/>
      </w:tblGrid>
      <w:tr w:rsidR="005C0D19" w:rsidRPr="00BB230D" w14:paraId="7C99A652" w14:textId="77777777" w:rsidTr="004C51B2">
        <w:trPr>
          <w:tblCellSpacing w:w="20" w:type="dxa"/>
        </w:trPr>
        <w:tc>
          <w:tcPr>
            <w:tcW w:w="2074" w:type="dxa"/>
            <w:shd w:val="clear" w:color="auto" w:fill="E5DFEC" w:themeFill="accent4" w:themeFillTint="33"/>
          </w:tcPr>
          <w:p w14:paraId="6D4F4E19" w14:textId="1AD9E2DE"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bookmarkStart w:id="9" w:name="_Hlk208973890"/>
            <w:r w:rsidRPr="00BB230D">
              <w:rPr>
                <w:rFonts w:ascii="Traditional Arabic" w:hAnsi="Traditional Arabic" w:cs="Traditional Arabic" w:hint="cs"/>
                <w:b/>
                <w:bCs/>
                <w:spacing w:val="-6"/>
                <w:sz w:val="24"/>
                <w:szCs w:val="24"/>
                <w:rtl/>
              </w:rPr>
              <w:t>الدراسة</w:t>
            </w:r>
          </w:p>
        </w:tc>
        <w:tc>
          <w:tcPr>
            <w:tcW w:w="2074" w:type="dxa"/>
            <w:shd w:val="clear" w:color="auto" w:fill="E5DFEC" w:themeFill="accent4" w:themeFillTint="33"/>
          </w:tcPr>
          <w:p w14:paraId="1673F957" w14:textId="2C2B7178"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الهدف</w:t>
            </w:r>
          </w:p>
        </w:tc>
        <w:tc>
          <w:tcPr>
            <w:tcW w:w="2074" w:type="dxa"/>
            <w:shd w:val="clear" w:color="auto" w:fill="E5DFEC" w:themeFill="accent4" w:themeFillTint="33"/>
          </w:tcPr>
          <w:p w14:paraId="7A313394" w14:textId="59E63004"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النتيجة</w:t>
            </w:r>
          </w:p>
        </w:tc>
        <w:tc>
          <w:tcPr>
            <w:tcW w:w="2074" w:type="dxa"/>
            <w:shd w:val="clear" w:color="auto" w:fill="E5DFEC" w:themeFill="accent4" w:themeFillTint="33"/>
          </w:tcPr>
          <w:p w14:paraId="4C949EB7" w14:textId="0C1EA2A5" w:rsidR="005C0D19" w:rsidRPr="00BB230D" w:rsidRDefault="005C0D19" w:rsidP="005C0D19">
            <w:pPr>
              <w:bidi/>
              <w:spacing w:before="120" w:after="120" w:line="240" w:lineRule="auto"/>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الفرق بين دراستي وبينها</w:t>
            </w:r>
          </w:p>
        </w:tc>
      </w:tr>
      <w:tr w:rsidR="00EC2722" w:rsidRPr="00BB230D" w14:paraId="25C4D8CC" w14:textId="77777777" w:rsidTr="004C51B2">
        <w:trPr>
          <w:tblCellSpacing w:w="20" w:type="dxa"/>
        </w:trPr>
        <w:tc>
          <w:tcPr>
            <w:tcW w:w="2074" w:type="dxa"/>
          </w:tcPr>
          <w:p w14:paraId="0D76C61F" w14:textId="679765B8"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التجاني</w:t>
            </w:r>
            <w:r w:rsidRPr="00BB230D">
              <w:rPr>
                <w:rFonts w:ascii="Traditional Arabic" w:hAnsi="Traditional Arabic" w:cs="Traditional Arabic" w:hint="cs"/>
                <w:b/>
                <w:bCs/>
                <w:spacing w:val="-6"/>
                <w:sz w:val="24"/>
                <w:szCs w:val="24"/>
              </w:rPr>
              <w:t xml:space="preserve"> (2020)</w:t>
            </w:r>
          </w:p>
        </w:tc>
        <w:tc>
          <w:tcPr>
            <w:tcW w:w="2074" w:type="dxa"/>
          </w:tcPr>
          <w:p w14:paraId="209B4218" w14:textId="13D4D082"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معرفة تأثير سلوكيات القيادة التحويلية على الإبداع التنظيمي في جامعة جزائرية</w:t>
            </w:r>
            <w:r w:rsidRPr="00BB230D">
              <w:rPr>
                <w:rFonts w:ascii="Traditional Arabic" w:hAnsi="Traditional Arabic" w:cs="Traditional Arabic" w:hint="cs"/>
                <w:b/>
                <w:bCs/>
                <w:spacing w:val="-6"/>
                <w:sz w:val="24"/>
                <w:szCs w:val="24"/>
              </w:rPr>
              <w:t>.</w:t>
            </w:r>
          </w:p>
        </w:tc>
        <w:tc>
          <w:tcPr>
            <w:tcW w:w="2074" w:type="dxa"/>
          </w:tcPr>
          <w:p w14:paraId="7F435A59" w14:textId="2B8CA3F3"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ممارسة القيادة التحويلية كانت مرتفعة وترتبط إيجابيًا بالإبداع التنظيمي</w:t>
            </w:r>
            <w:r w:rsidRPr="00BB230D">
              <w:rPr>
                <w:rFonts w:ascii="Traditional Arabic" w:hAnsi="Traditional Arabic" w:cs="Traditional Arabic" w:hint="cs"/>
                <w:b/>
                <w:bCs/>
                <w:spacing w:val="-6"/>
                <w:sz w:val="24"/>
                <w:szCs w:val="24"/>
              </w:rPr>
              <w:t>.</w:t>
            </w:r>
          </w:p>
        </w:tc>
        <w:tc>
          <w:tcPr>
            <w:tcW w:w="2074" w:type="dxa"/>
          </w:tcPr>
          <w:p w14:paraId="55EDFB0C" w14:textId="20864A58" w:rsidR="00EC2722" w:rsidRPr="00BB230D" w:rsidRDefault="00EC2722" w:rsidP="00EC2722">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دراستك تطبيقية في القطاع الصحي، بينما هذه الدراسة أكاديمية وتركز على الإبداع داخل مؤسسة تعليمية</w:t>
            </w:r>
            <w:r w:rsidRPr="00BB230D">
              <w:rPr>
                <w:rFonts w:ascii="Traditional Arabic" w:hAnsi="Traditional Arabic" w:cs="Traditional Arabic" w:hint="cs"/>
                <w:b/>
                <w:bCs/>
                <w:spacing w:val="-6"/>
                <w:sz w:val="24"/>
                <w:szCs w:val="24"/>
              </w:rPr>
              <w:t>.</w:t>
            </w:r>
          </w:p>
        </w:tc>
      </w:tr>
      <w:tr w:rsidR="00EC2722" w:rsidRPr="00BB230D" w14:paraId="50307148" w14:textId="77777777" w:rsidTr="004C51B2">
        <w:trPr>
          <w:tblCellSpacing w:w="20" w:type="dxa"/>
        </w:trPr>
        <w:tc>
          <w:tcPr>
            <w:tcW w:w="2074" w:type="dxa"/>
          </w:tcPr>
          <w:p w14:paraId="21C9ECE8" w14:textId="3D53B052"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حسين</w:t>
            </w:r>
            <w:r w:rsidRPr="00BB230D">
              <w:rPr>
                <w:rFonts w:ascii="Traditional Arabic" w:hAnsi="Traditional Arabic" w:cs="Traditional Arabic" w:hint="cs"/>
                <w:b/>
                <w:bCs/>
                <w:spacing w:val="-6"/>
                <w:sz w:val="24"/>
                <w:szCs w:val="24"/>
              </w:rPr>
              <w:t xml:space="preserve"> (2020)</w:t>
            </w:r>
          </w:p>
        </w:tc>
        <w:tc>
          <w:tcPr>
            <w:tcW w:w="2074" w:type="dxa"/>
          </w:tcPr>
          <w:p w14:paraId="5A924690" w14:textId="7C149228"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على جودة الخدمات الصحية والأداء المؤسسي في المستشفيات الحكومية المصرية</w:t>
            </w:r>
            <w:r w:rsidRPr="00BB230D">
              <w:rPr>
                <w:rFonts w:ascii="Traditional Arabic" w:hAnsi="Traditional Arabic" w:cs="Traditional Arabic" w:hint="cs"/>
                <w:b/>
                <w:bCs/>
                <w:spacing w:val="-6"/>
                <w:sz w:val="24"/>
                <w:szCs w:val="24"/>
              </w:rPr>
              <w:t>.</w:t>
            </w:r>
          </w:p>
        </w:tc>
        <w:tc>
          <w:tcPr>
            <w:tcW w:w="2074" w:type="dxa"/>
          </w:tcPr>
          <w:p w14:paraId="38A9EAB0" w14:textId="464C594F"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ساهمت في تحسين الأداء المؤسسي وجودة الخدمات الصحية</w:t>
            </w:r>
            <w:r w:rsidRPr="00BB230D">
              <w:rPr>
                <w:rFonts w:ascii="Traditional Arabic" w:hAnsi="Traditional Arabic" w:cs="Traditional Arabic" w:hint="cs"/>
                <w:b/>
                <w:bCs/>
                <w:spacing w:val="-6"/>
                <w:sz w:val="24"/>
                <w:szCs w:val="24"/>
              </w:rPr>
              <w:t>.</w:t>
            </w:r>
          </w:p>
        </w:tc>
        <w:tc>
          <w:tcPr>
            <w:tcW w:w="2074" w:type="dxa"/>
          </w:tcPr>
          <w:p w14:paraId="699D3CC0" w14:textId="680121C2" w:rsidR="00EC2722" w:rsidRPr="00BB230D" w:rsidRDefault="009B590A" w:rsidP="009B590A">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تدرس القيادة التحويلية كوسيط بين إدارة المخاطر وسلامة المرضى، بينما هذه الدراسة تناولت القيادة كعامل مباشر لتحسين الأداء المؤسسي</w:t>
            </w:r>
            <w:r w:rsidRPr="00BB230D">
              <w:rPr>
                <w:rFonts w:ascii="Traditional Arabic" w:hAnsi="Traditional Arabic" w:cs="Traditional Arabic" w:hint="cs"/>
                <w:b/>
                <w:bCs/>
                <w:spacing w:val="-6"/>
                <w:sz w:val="24"/>
                <w:szCs w:val="24"/>
              </w:rPr>
              <w:t>.</w:t>
            </w:r>
          </w:p>
        </w:tc>
      </w:tr>
      <w:tr w:rsidR="009B590A" w:rsidRPr="00BB230D" w14:paraId="3D6F2ACC" w14:textId="77777777" w:rsidTr="004C51B2">
        <w:trPr>
          <w:tblCellSpacing w:w="20" w:type="dxa"/>
        </w:trPr>
        <w:tc>
          <w:tcPr>
            <w:tcW w:w="2074" w:type="dxa"/>
          </w:tcPr>
          <w:p w14:paraId="78A78879" w14:textId="02892EE4"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رزق الله وطيبي</w:t>
            </w:r>
            <w:r w:rsidRPr="00BB230D">
              <w:rPr>
                <w:rFonts w:ascii="Traditional Arabic" w:hAnsi="Traditional Arabic" w:cs="Traditional Arabic" w:hint="cs"/>
                <w:b/>
                <w:bCs/>
                <w:spacing w:val="-6"/>
                <w:sz w:val="24"/>
                <w:szCs w:val="24"/>
              </w:rPr>
              <w:t xml:space="preserve"> (2021)</w:t>
            </w:r>
          </w:p>
        </w:tc>
        <w:tc>
          <w:tcPr>
            <w:tcW w:w="2074" w:type="dxa"/>
          </w:tcPr>
          <w:p w14:paraId="4E2B8237" w14:textId="700D26FC" w:rsidR="009B590A"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واقع القيادة التحويلية في مستشفى أحمد بن عجيلة بالأغواط</w:t>
            </w:r>
            <w:r w:rsidRPr="00BB230D">
              <w:rPr>
                <w:rFonts w:ascii="Traditional Arabic" w:hAnsi="Traditional Arabic" w:cs="Traditional Arabic" w:hint="cs"/>
                <w:b/>
                <w:bCs/>
                <w:spacing w:val="-6"/>
                <w:sz w:val="24"/>
                <w:szCs w:val="24"/>
              </w:rPr>
              <w:t>.</w:t>
            </w:r>
          </w:p>
        </w:tc>
        <w:tc>
          <w:tcPr>
            <w:tcW w:w="2074" w:type="dxa"/>
          </w:tcPr>
          <w:p w14:paraId="762F6659" w14:textId="22FF8195" w:rsidR="009B590A"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مطبقة بدرجة جيدة، مع تعزيز واضح لبعدي الاستثارة الفكرية والاعتبار الفردي</w:t>
            </w:r>
            <w:r w:rsidRPr="00BB230D">
              <w:rPr>
                <w:rFonts w:ascii="Traditional Arabic" w:hAnsi="Traditional Arabic" w:cs="Traditional Arabic" w:hint="cs"/>
                <w:b/>
                <w:bCs/>
                <w:spacing w:val="-6"/>
                <w:sz w:val="24"/>
                <w:szCs w:val="24"/>
              </w:rPr>
              <w:t>.</w:t>
            </w:r>
          </w:p>
        </w:tc>
        <w:tc>
          <w:tcPr>
            <w:tcW w:w="2074" w:type="dxa"/>
          </w:tcPr>
          <w:p w14:paraId="13765387" w14:textId="6857A477" w:rsidR="009B590A" w:rsidRPr="00BB230D" w:rsidRDefault="000C106B" w:rsidP="000C106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ركزت على قياس درجة التطبيق دون ربطها بنتائج تنظيمية محددة</w:t>
            </w:r>
            <w:r w:rsidRPr="00BB230D">
              <w:rPr>
                <w:rFonts w:ascii="Traditional Arabic" w:hAnsi="Traditional Arabic" w:cs="Traditional Arabic" w:hint="cs"/>
                <w:b/>
                <w:bCs/>
                <w:spacing w:val="-6"/>
                <w:sz w:val="24"/>
                <w:szCs w:val="24"/>
              </w:rPr>
              <w:t>.</w:t>
            </w:r>
          </w:p>
        </w:tc>
      </w:tr>
      <w:tr w:rsidR="000C106B" w:rsidRPr="00BB230D" w14:paraId="347EE61E" w14:textId="77777777" w:rsidTr="004C51B2">
        <w:trPr>
          <w:tblCellSpacing w:w="20" w:type="dxa"/>
        </w:trPr>
        <w:tc>
          <w:tcPr>
            <w:tcW w:w="2074" w:type="dxa"/>
          </w:tcPr>
          <w:p w14:paraId="500E1F2B" w14:textId="3C53727A"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الغامدي وعثمان</w:t>
            </w:r>
            <w:r w:rsidRPr="00BB230D">
              <w:rPr>
                <w:rFonts w:ascii="Traditional Arabic" w:hAnsi="Traditional Arabic" w:cs="Traditional Arabic" w:hint="cs"/>
                <w:b/>
                <w:bCs/>
                <w:spacing w:val="-6"/>
                <w:sz w:val="24"/>
                <w:szCs w:val="24"/>
              </w:rPr>
              <w:t xml:space="preserve"> (2022)</w:t>
            </w:r>
          </w:p>
        </w:tc>
        <w:tc>
          <w:tcPr>
            <w:tcW w:w="2074" w:type="dxa"/>
          </w:tcPr>
          <w:p w14:paraId="48CE895D" w14:textId="406D55A8"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في إدارة الأزمات الصحية بمستشفى الملك عبدالله ببيشة</w:t>
            </w:r>
            <w:r w:rsidRPr="00BB230D">
              <w:rPr>
                <w:rFonts w:ascii="Traditional Arabic" w:hAnsi="Traditional Arabic" w:cs="Traditional Arabic" w:hint="cs"/>
                <w:b/>
                <w:bCs/>
                <w:spacing w:val="-6"/>
                <w:sz w:val="24"/>
                <w:szCs w:val="24"/>
              </w:rPr>
              <w:t>.</w:t>
            </w:r>
          </w:p>
        </w:tc>
        <w:tc>
          <w:tcPr>
            <w:tcW w:w="2074" w:type="dxa"/>
          </w:tcPr>
          <w:p w14:paraId="36789F56" w14:textId="5B84647C"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ساهمت في تحسين الاستجابة السريعة والمرنة للأزمات الصحية</w:t>
            </w:r>
            <w:r w:rsidRPr="00BB230D">
              <w:rPr>
                <w:rFonts w:ascii="Traditional Arabic" w:hAnsi="Traditional Arabic" w:cs="Traditional Arabic" w:hint="cs"/>
                <w:b/>
                <w:bCs/>
                <w:spacing w:val="-6"/>
                <w:sz w:val="24"/>
                <w:szCs w:val="24"/>
              </w:rPr>
              <w:t>.</w:t>
            </w:r>
          </w:p>
        </w:tc>
        <w:tc>
          <w:tcPr>
            <w:tcW w:w="2074" w:type="dxa"/>
          </w:tcPr>
          <w:p w14:paraId="4C8564F5" w14:textId="6889A33D" w:rsidR="000C106B" w:rsidRPr="00BB230D" w:rsidRDefault="000C106B" w:rsidP="000C106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دراستك تربط القيادة التحويلية بإدارة المخاطر وسلامة المرضى، بينما هذه الدراسة ركزت على دور القيادة في مواجهة الأزمات</w:t>
            </w:r>
            <w:r w:rsidRPr="00BB230D">
              <w:rPr>
                <w:rFonts w:ascii="Traditional Arabic" w:hAnsi="Traditional Arabic" w:cs="Traditional Arabic" w:hint="cs"/>
                <w:b/>
                <w:bCs/>
                <w:spacing w:val="-6"/>
                <w:sz w:val="24"/>
                <w:szCs w:val="24"/>
              </w:rPr>
              <w:t>.</w:t>
            </w:r>
          </w:p>
        </w:tc>
      </w:tr>
      <w:tr w:rsidR="00A31F26" w:rsidRPr="00BB230D" w14:paraId="4864D320" w14:textId="77777777" w:rsidTr="004C51B2">
        <w:trPr>
          <w:tblCellSpacing w:w="20" w:type="dxa"/>
        </w:trPr>
        <w:tc>
          <w:tcPr>
            <w:tcW w:w="2074" w:type="dxa"/>
          </w:tcPr>
          <w:p w14:paraId="5C693531" w14:textId="5808A339"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طلبه النجار</w:t>
            </w:r>
            <w:r w:rsidRPr="00BB230D">
              <w:rPr>
                <w:rFonts w:ascii="Traditional Arabic" w:hAnsi="Traditional Arabic" w:cs="Traditional Arabic" w:hint="cs"/>
                <w:b/>
                <w:bCs/>
                <w:spacing w:val="-6"/>
                <w:sz w:val="24"/>
                <w:szCs w:val="24"/>
              </w:rPr>
              <w:t xml:space="preserve"> (2023)</w:t>
            </w:r>
          </w:p>
        </w:tc>
        <w:tc>
          <w:tcPr>
            <w:tcW w:w="2074" w:type="dxa"/>
          </w:tcPr>
          <w:p w14:paraId="4B2A708B" w14:textId="63D83BA9"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 xml:space="preserve">قياس الدور الوسيط للقيادة التحويلية الخضراء في تعزيز </w:t>
            </w:r>
            <w:r w:rsidRPr="00BB230D">
              <w:rPr>
                <w:rFonts w:ascii="Traditional Arabic" w:hAnsi="Traditional Arabic" w:cs="Traditional Arabic" w:hint="cs"/>
                <w:b/>
                <w:bCs/>
                <w:spacing w:val="-6"/>
                <w:sz w:val="24"/>
                <w:szCs w:val="24"/>
                <w:rtl/>
              </w:rPr>
              <w:lastRenderedPageBreak/>
              <w:t>الاستدامة التنظيمية في مستشفيات وزارة الصحة</w:t>
            </w:r>
            <w:r w:rsidRPr="00BB230D">
              <w:rPr>
                <w:rFonts w:ascii="Traditional Arabic" w:hAnsi="Traditional Arabic" w:cs="Traditional Arabic" w:hint="cs"/>
                <w:b/>
                <w:bCs/>
                <w:spacing w:val="-6"/>
                <w:sz w:val="24"/>
                <w:szCs w:val="24"/>
              </w:rPr>
              <w:t>.</w:t>
            </w:r>
          </w:p>
        </w:tc>
        <w:tc>
          <w:tcPr>
            <w:tcW w:w="2074" w:type="dxa"/>
          </w:tcPr>
          <w:p w14:paraId="362C52DF" w14:textId="1A36E8A8"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القيادة التحويلية الخضراء عززت تأثير إدارة الموارد </w:t>
            </w:r>
            <w:r w:rsidRPr="00BB230D">
              <w:rPr>
                <w:rFonts w:ascii="Traditional Arabic" w:hAnsi="Traditional Arabic" w:cs="Traditional Arabic" w:hint="cs"/>
                <w:b/>
                <w:bCs/>
                <w:spacing w:val="-6"/>
                <w:sz w:val="24"/>
                <w:szCs w:val="24"/>
                <w:rtl/>
              </w:rPr>
              <w:lastRenderedPageBreak/>
              <w:t>البشرية الخضراء على الاستدامة</w:t>
            </w:r>
            <w:r w:rsidRPr="00BB230D">
              <w:rPr>
                <w:rFonts w:ascii="Traditional Arabic" w:hAnsi="Traditional Arabic" w:cs="Traditional Arabic" w:hint="cs"/>
                <w:b/>
                <w:bCs/>
                <w:spacing w:val="-6"/>
                <w:sz w:val="24"/>
                <w:szCs w:val="24"/>
              </w:rPr>
              <w:t>.</w:t>
            </w:r>
          </w:p>
        </w:tc>
        <w:tc>
          <w:tcPr>
            <w:tcW w:w="2074" w:type="dxa"/>
          </w:tcPr>
          <w:p w14:paraId="5D740EB3" w14:textId="797A0DC8" w:rsidR="00A31F26" w:rsidRPr="00BB230D" w:rsidRDefault="00A31F26" w:rsidP="00A31F26">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دراستي تركز على القيادة التحويلية في سياق السلامة وإدارة المخاطر، بينما هذه </w:t>
            </w:r>
            <w:r w:rsidRPr="00BB230D">
              <w:rPr>
                <w:rFonts w:ascii="Traditional Arabic" w:hAnsi="Traditional Arabic" w:cs="Traditional Arabic" w:hint="cs"/>
                <w:b/>
                <w:bCs/>
                <w:spacing w:val="-6"/>
                <w:sz w:val="24"/>
                <w:szCs w:val="24"/>
                <w:rtl/>
              </w:rPr>
              <w:lastRenderedPageBreak/>
              <w:t>الدراسة تناولت القيادة البيئية في سياق الاستدامة</w:t>
            </w:r>
            <w:r w:rsidRPr="00BB230D">
              <w:rPr>
                <w:rFonts w:ascii="Traditional Arabic" w:hAnsi="Traditional Arabic" w:cs="Traditional Arabic" w:hint="cs"/>
                <w:b/>
                <w:bCs/>
                <w:spacing w:val="-6"/>
                <w:sz w:val="24"/>
                <w:szCs w:val="24"/>
              </w:rPr>
              <w:t>.</w:t>
            </w:r>
          </w:p>
        </w:tc>
      </w:tr>
      <w:tr w:rsidR="00B822F1" w:rsidRPr="00BB230D" w14:paraId="51AE30B6" w14:textId="77777777" w:rsidTr="004C51B2">
        <w:trPr>
          <w:tblCellSpacing w:w="20" w:type="dxa"/>
        </w:trPr>
        <w:tc>
          <w:tcPr>
            <w:tcW w:w="2074" w:type="dxa"/>
          </w:tcPr>
          <w:p w14:paraId="20AA1038" w14:textId="3952BE85"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عامر وأبوزيد والدمياطي</w:t>
            </w:r>
            <w:r w:rsidRPr="00BB230D">
              <w:rPr>
                <w:rFonts w:ascii="Traditional Arabic" w:hAnsi="Traditional Arabic" w:cs="Traditional Arabic" w:hint="cs"/>
                <w:b/>
                <w:bCs/>
                <w:spacing w:val="-6"/>
                <w:sz w:val="24"/>
                <w:szCs w:val="24"/>
              </w:rPr>
              <w:t xml:space="preserve"> (2023)</w:t>
            </w:r>
          </w:p>
        </w:tc>
        <w:tc>
          <w:tcPr>
            <w:tcW w:w="2074" w:type="dxa"/>
          </w:tcPr>
          <w:p w14:paraId="373CF2E9" w14:textId="66F2AD3A"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العلاقة بين القيادة التحويلية وعدالة التعاملات والسلوك الابتكاري في القطاع الصحي الحكومي</w:t>
            </w:r>
            <w:r w:rsidRPr="00BB230D">
              <w:rPr>
                <w:rFonts w:ascii="Traditional Arabic" w:hAnsi="Traditional Arabic" w:cs="Traditional Arabic" w:hint="cs"/>
                <w:b/>
                <w:bCs/>
                <w:spacing w:val="-6"/>
                <w:sz w:val="24"/>
                <w:szCs w:val="24"/>
              </w:rPr>
              <w:t>.</w:t>
            </w:r>
          </w:p>
        </w:tc>
        <w:tc>
          <w:tcPr>
            <w:tcW w:w="2074" w:type="dxa"/>
          </w:tcPr>
          <w:p w14:paraId="383FA1D2" w14:textId="1F8F8388"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ترتبط إيجابيًا بالإبداع التنظيمي والعدالة في التعاملات الإدارية</w:t>
            </w:r>
            <w:r w:rsidRPr="00BB230D">
              <w:rPr>
                <w:rFonts w:ascii="Traditional Arabic" w:hAnsi="Traditional Arabic" w:cs="Traditional Arabic" w:hint="cs"/>
                <w:b/>
                <w:bCs/>
                <w:spacing w:val="-6"/>
                <w:sz w:val="24"/>
                <w:szCs w:val="24"/>
              </w:rPr>
              <w:t>.</w:t>
            </w:r>
          </w:p>
        </w:tc>
        <w:tc>
          <w:tcPr>
            <w:tcW w:w="2074" w:type="dxa"/>
          </w:tcPr>
          <w:p w14:paraId="7C2FD292" w14:textId="1634E3F0" w:rsidR="00B822F1" w:rsidRPr="00BB230D" w:rsidRDefault="00B822F1" w:rsidP="00B822F1">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تناولت القيادة كعامل مباشر في دعم الابتكار والعدالة</w:t>
            </w:r>
            <w:r w:rsidRPr="00BB230D">
              <w:rPr>
                <w:rFonts w:ascii="Traditional Arabic" w:hAnsi="Traditional Arabic" w:cs="Traditional Arabic" w:hint="cs"/>
                <w:b/>
                <w:bCs/>
                <w:spacing w:val="-6"/>
                <w:sz w:val="24"/>
                <w:szCs w:val="24"/>
              </w:rPr>
              <w:t>.</w:t>
            </w:r>
          </w:p>
        </w:tc>
      </w:tr>
      <w:tr w:rsidR="009B590A" w:rsidRPr="00BB230D" w14:paraId="0863EB36" w14:textId="77777777" w:rsidTr="004C51B2">
        <w:trPr>
          <w:tblCellSpacing w:w="20" w:type="dxa"/>
        </w:trPr>
        <w:tc>
          <w:tcPr>
            <w:tcW w:w="2074" w:type="dxa"/>
          </w:tcPr>
          <w:p w14:paraId="69E3C315"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Pr>
              <w:t>Bagga, Gera &amp; Haque (2023)</w:t>
            </w:r>
          </w:p>
        </w:tc>
        <w:tc>
          <w:tcPr>
            <w:tcW w:w="2074" w:type="dxa"/>
          </w:tcPr>
          <w:p w14:paraId="61BFEDD8"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الدور الوسيط للثقافة التنظيمية بين القيادة التحويلية وإدارة التغيير في قطاع التكنولوجيا</w:t>
            </w:r>
            <w:r w:rsidRPr="00BB230D">
              <w:rPr>
                <w:rFonts w:ascii="Traditional Arabic" w:hAnsi="Traditional Arabic" w:cs="Traditional Arabic" w:hint="cs"/>
                <w:b/>
                <w:bCs/>
                <w:spacing w:val="-6"/>
                <w:sz w:val="24"/>
                <w:szCs w:val="24"/>
              </w:rPr>
              <w:t>.</w:t>
            </w:r>
          </w:p>
        </w:tc>
        <w:tc>
          <w:tcPr>
            <w:tcW w:w="2074" w:type="dxa"/>
          </w:tcPr>
          <w:p w14:paraId="1B1462EB"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الثقافة التنظيمية تتوسط العلاقة بين القيادة التحويلية وإدارة التغيير بشكل إيجابي</w:t>
            </w:r>
            <w:r w:rsidRPr="00BB230D">
              <w:rPr>
                <w:rFonts w:ascii="Traditional Arabic" w:hAnsi="Traditional Arabic" w:cs="Traditional Arabic" w:hint="cs"/>
                <w:b/>
                <w:bCs/>
                <w:spacing w:val="-6"/>
                <w:sz w:val="24"/>
                <w:szCs w:val="24"/>
              </w:rPr>
              <w:t>.</w:t>
            </w:r>
          </w:p>
        </w:tc>
        <w:tc>
          <w:tcPr>
            <w:tcW w:w="2074" w:type="dxa"/>
          </w:tcPr>
          <w:p w14:paraId="782396FA" w14:textId="77777777" w:rsidR="009B590A" w:rsidRPr="00BB230D" w:rsidRDefault="009B590A" w:rsidP="00AF0AE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تربطها بإدارة التغيير عبر الثقافة التنظيمية</w:t>
            </w:r>
            <w:r w:rsidRPr="00BB230D">
              <w:rPr>
                <w:rFonts w:ascii="Traditional Arabic" w:hAnsi="Traditional Arabic" w:cs="Traditional Arabic" w:hint="cs"/>
                <w:b/>
                <w:bCs/>
                <w:spacing w:val="-6"/>
                <w:sz w:val="24"/>
                <w:szCs w:val="24"/>
              </w:rPr>
              <w:t>.</w:t>
            </w:r>
          </w:p>
        </w:tc>
      </w:tr>
      <w:tr w:rsidR="00E66563" w:rsidRPr="00BB230D" w14:paraId="4C46C71C" w14:textId="77777777" w:rsidTr="004C51B2">
        <w:trPr>
          <w:tblCellSpacing w:w="20" w:type="dxa"/>
        </w:trPr>
        <w:tc>
          <w:tcPr>
            <w:tcW w:w="2074" w:type="dxa"/>
          </w:tcPr>
          <w:p w14:paraId="6886B597" w14:textId="51781E76"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آل مرزوق</w:t>
            </w:r>
            <w:r w:rsidRPr="00BB230D">
              <w:rPr>
                <w:rFonts w:ascii="Traditional Arabic" w:hAnsi="Traditional Arabic" w:cs="Traditional Arabic" w:hint="cs"/>
                <w:b/>
                <w:bCs/>
                <w:spacing w:val="-6"/>
                <w:sz w:val="24"/>
                <w:szCs w:val="24"/>
              </w:rPr>
              <w:t xml:space="preserve"> (2023)</w:t>
            </w:r>
          </w:p>
        </w:tc>
        <w:tc>
          <w:tcPr>
            <w:tcW w:w="2074" w:type="dxa"/>
          </w:tcPr>
          <w:p w14:paraId="12F141FE" w14:textId="0FEB39D6"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أثر القيادة التحويلية على الاستدامة الاستراتيجية في وزارة الصحة بمنطقة عسير</w:t>
            </w:r>
            <w:r w:rsidRPr="00BB230D">
              <w:rPr>
                <w:rFonts w:ascii="Traditional Arabic" w:hAnsi="Traditional Arabic" w:cs="Traditional Arabic" w:hint="cs"/>
                <w:b/>
                <w:bCs/>
                <w:spacing w:val="-6"/>
                <w:sz w:val="24"/>
                <w:szCs w:val="24"/>
              </w:rPr>
              <w:t>.</w:t>
            </w:r>
          </w:p>
        </w:tc>
        <w:tc>
          <w:tcPr>
            <w:tcW w:w="2074" w:type="dxa"/>
          </w:tcPr>
          <w:p w14:paraId="4C7D6279" w14:textId="0C120421"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عززت التخطيط طويل الأمد والممارسات الاقتصادية والاجتماعية والبيئية</w:t>
            </w:r>
            <w:r w:rsidRPr="00BB230D">
              <w:rPr>
                <w:rFonts w:ascii="Traditional Arabic" w:hAnsi="Traditional Arabic" w:cs="Traditional Arabic" w:hint="cs"/>
                <w:b/>
                <w:bCs/>
                <w:spacing w:val="-6"/>
                <w:sz w:val="24"/>
                <w:szCs w:val="24"/>
              </w:rPr>
              <w:t>.</w:t>
            </w:r>
          </w:p>
        </w:tc>
        <w:tc>
          <w:tcPr>
            <w:tcW w:w="2074" w:type="dxa"/>
          </w:tcPr>
          <w:p w14:paraId="01379474" w14:textId="29B09A8F" w:rsidR="00E66563" w:rsidRPr="00BB230D" w:rsidRDefault="00E66563" w:rsidP="00E66563">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ركزت على الاستدامة الاستراتيجية في سياق رؤية 2030</w:t>
            </w:r>
            <w:r w:rsidRPr="00BB230D">
              <w:rPr>
                <w:rFonts w:ascii="Traditional Arabic" w:hAnsi="Traditional Arabic" w:cs="Traditional Arabic" w:hint="cs"/>
                <w:b/>
                <w:bCs/>
                <w:spacing w:val="-6"/>
                <w:sz w:val="24"/>
                <w:szCs w:val="24"/>
              </w:rPr>
              <w:t>.</w:t>
            </w:r>
          </w:p>
        </w:tc>
      </w:tr>
      <w:tr w:rsidR="00E66563" w:rsidRPr="00BB230D" w14:paraId="7F8276B4" w14:textId="77777777" w:rsidTr="004C51B2">
        <w:trPr>
          <w:tblCellSpacing w:w="20" w:type="dxa"/>
        </w:trPr>
        <w:tc>
          <w:tcPr>
            <w:tcW w:w="2074" w:type="dxa"/>
          </w:tcPr>
          <w:p w14:paraId="2818D56A" w14:textId="6CCEF5F9"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الخضران (2023)</w:t>
            </w:r>
          </w:p>
        </w:tc>
        <w:tc>
          <w:tcPr>
            <w:tcW w:w="2074" w:type="dxa"/>
          </w:tcPr>
          <w:p w14:paraId="5BBFF9FB" w14:textId="7A6101BF"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على المسؤولية المجتمعية في المؤسسات الصحية بمنطقة عسير</w:t>
            </w:r>
            <w:r w:rsidRPr="00BB230D">
              <w:rPr>
                <w:rFonts w:ascii="Traditional Arabic" w:hAnsi="Traditional Arabic" w:cs="Traditional Arabic" w:hint="cs"/>
                <w:b/>
                <w:bCs/>
                <w:spacing w:val="-6"/>
                <w:sz w:val="24"/>
                <w:szCs w:val="24"/>
              </w:rPr>
              <w:t>.</w:t>
            </w:r>
          </w:p>
        </w:tc>
        <w:tc>
          <w:tcPr>
            <w:tcW w:w="2074" w:type="dxa"/>
          </w:tcPr>
          <w:p w14:paraId="6EE5EE0B" w14:textId="37DA6EF2"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حفزت العاملين على المشاركة المجتمعية والانخراط في المبادرات الصحية</w:t>
            </w:r>
            <w:r w:rsidRPr="00BB230D">
              <w:rPr>
                <w:rFonts w:ascii="Traditional Arabic" w:hAnsi="Traditional Arabic" w:cs="Traditional Arabic" w:hint="cs"/>
                <w:b/>
                <w:bCs/>
                <w:spacing w:val="-6"/>
                <w:sz w:val="24"/>
                <w:szCs w:val="24"/>
              </w:rPr>
              <w:t>.</w:t>
            </w:r>
          </w:p>
        </w:tc>
        <w:tc>
          <w:tcPr>
            <w:tcW w:w="2074" w:type="dxa"/>
          </w:tcPr>
          <w:p w14:paraId="05EA105D" w14:textId="17666AAA" w:rsidR="00E66563" w:rsidRPr="00BB230D" w:rsidRDefault="00E66563" w:rsidP="00E66563">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تنظيمي في إدارة المخاطر، بينما هذه الدراسة تناولت دورها في تعزيز التفاعل المجتمعي</w:t>
            </w:r>
            <w:r w:rsidRPr="00BB230D">
              <w:rPr>
                <w:rFonts w:ascii="Traditional Arabic" w:hAnsi="Traditional Arabic" w:cs="Traditional Arabic" w:hint="cs"/>
                <w:b/>
                <w:bCs/>
                <w:spacing w:val="-6"/>
                <w:sz w:val="24"/>
                <w:szCs w:val="24"/>
              </w:rPr>
              <w:t>.</w:t>
            </w:r>
          </w:p>
        </w:tc>
      </w:tr>
      <w:tr w:rsidR="005C0D19" w:rsidRPr="00BB230D" w14:paraId="6A8C6CCF" w14:textId="77777777" w:rsidTr="004C51B2">
        <w:trPr>
          <w:tblCellSpacing w:w="20" w:type="dxa"/>
        </w:trPr>
        <w:tc>
          <w:tcPr>
            <w:tcW w:w="2074" w:type="dxa"/>
          </w:tcPr>
          <w:p w14:paraId="2D8EA1CF" w14:textId="157BAB08"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أحمد محمود أحمد</w:t>
            </w:r>
            <w:r w:rsidRPr="00BB230D">
              <w:rPr>
                <w:rFonts w:ascii="Traditional Arabic" w:hAnsi="Traditional Arabic" w:cs="Traditional Arabic" w:hint="cs"/>
                <w:b/>
                <w:bCs/>
                <w:spacing w:val="-6"/>
                <w:sz w:val="24"/>
                <w:szCs w:val="24"/>
              </w:rPr>
              <w:t xml:space="preserve"> (2024)</w:t>
            </w:r>
          </w:p>
        </w:tc>
        <w:tc>
          <w:tcPr>
            <w:tcW w:w="2074" w:type="dxa"/>
          </w:tcPr>
          <w:p w14:paraId="53E24C27" w14:textId="73FF0D6E"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تحديد تأثير المرونة الشخصية كمتغير وسيط بين القيادة التحويلية والارتباك الوظيفي في قطاع الرعاية الصحية</w:t>
            </w:r>
            <w:r w:rsidRPr="00BB230D">
              <w:rPr>
                <w:rFonts w:ascii="Traditional Arabic" w:hAnsi="Traditional Arabic" w:cs="Traditional Arabic" w:hint="cs"/>
                <w:b/>
                <w:bCs/>
                <w:spacing w:val="-6"/>
                <w:sz w:val="24"/>
                <w:szCs w:val="24"/>
              </w:rPr>
              <w:t>.</w:t>
            </w:r>
          </w:p>
        </w:tc>
        <w:tc>
          <w:tcPr>
            <w:tcW w:w="2074" w:type="dxa"/>
          </w:tcPr>
          <w:p w14:paraId="2B9058B9" w14:textId="42C0FC75"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تعزز المرونة الشخصية، مما يقلل من الارتباك الوظيفي ويحسن الأداء</w:t>
            </w:r>
            <w:r w:rsidRPr="00BB230D">
              <w:rPr>
                <w:rFonts w:ascii="Traditional Arabic" w:hAnsi="Traditional Arabic" w:cs="Traditional Arabic" w:hint="cs"/>
                <w:b/>
                <w:bCs/>
                <w:spacing w:val="-6"/>
                <w:sz w:val="24"/>
                <w:szCs w:val="24"/>
              </w:rPr>
              <w:t>.</w:t>
            </w:r>
          </w:p>
        </w:tc>
        <w:tc>
          <w:tcPr>
            <w:tcW w:w="2074" w:type="dxa"/>
          </w:tcPr>
          <w:p w14:paraId="5BA881E7" w14:textId="1370AA54" w:rsidR="005C0D19" w:rsidRPr="00BB230D" w:rsidRDefault="005C0D19" w:rsidP="005C0D19">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تناولت المرونة النفسية كوسيط في بيئة الضغط الوظيفي</w:t>
            </w:r>
            <w:r w:rsidRPr="00BB230D">
              <w:rPr>
                <w:rFonts w:ascii="Traditional Arabic" w:hAnsi="Traditional Arabic" w:cs="Traditional Arabic" w:hint="cs"/>
                <w:b/>
                <w:bCs/>
                <w:spacing w:val="-6"/>
                <w:sz w:val="24"/>
                <w:szCs w:val="24"/>
              </w:rPr>
              <w:t>.</w:t>
            </w:r>
          </w:p>
        </w:tc>
      </w:tr>
      <w:tr w:rsidR="005C0D19" w:rsidRPr="00BB230D" w14:paraId="18F39273" w14:textId="77777777" w:rsidTr="004C51B2">
        <w:trPr>
          <w:tblCellSpacing w:w="20" w:type="dxa"/>
        </w:trPr>
        <w:tc>
          <w:tcPr>
            <w:tcW w:w="2074" w:type="dxa"/>
          </w:tcPr>
          <w:p w14:paraId="3778903C" w14:textId="257F6916"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البركاني</w:t>
            </w:r>
            <w:r w:rsidRPr="00BB230D">
              <w:rPr>
                <w:rFonts w:ascii="Traditional Arabic" w:hAnsi="Traditional Arabic" w:cs="Traditional Arabic" w:hint="cs"/>
                <w:b/>
                <w:bCs/>
                <w:spacing w:val="-6"/>
                <w:sz w:val="24"/>
                <w:szCs w:val="24"/>
              </w:rPr>
              <w:t xml:space="preserve"> (2025)</w:t>
            </w:r>
          </w:p>
        </w:tc>
        <w:tc>
          <w:tcPr>
            <w:tcW w:w="2074" w:type="dxa"/>
          </w:tcPr>
          <w:p w14:paraId="2742191A" w14:textId="70B6ECEE"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أثر القيادة التحويلية على فاعلية اتخاذ القرارات الإدارية داخل المستشفى العام</w:t>
            </w:r>
            <w:r w:rsidRPr="00BB230D">
              <w:rPr>
                <w:rFonts w:ascii="Traditional Arabic" w:hAnsi="Traditional Arabic" w:cs="Traditional Arabic" w:hint="cs"/>
                <w:b/>
                <w:bCs/>
                <w:spacing w:val="-6"/>
                <w:sz w:val="24"/>
                <w:szCs w:val="24"/>
              </w:rPr>
              <w:t>.</w:t>
            </w:r>
          </w:p>
        </w:tc>
        <w:tc>
          <w:tcPr>
            <w:tcW w:w="2074" w:type="dxa"/>
          </w:tcPr>
          <w:p w14:paraId="2DC9C2FA" w14:textId="2FC07524"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حسّنت سرعة ودقة القرار، و</w:t>
            </w: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الاستثارة الفكرية</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كانت الأكثر تأثيرًا</w:t>
            </w:r>
            <w:r w:rsidRPr="00BB230D">
              <w:rPr>
                <w:rFonts w:ascii="Traditional Arabic" w:hAnsi="Traditional Arabic" w:cs="Traditional Arabic" w:hint="cs"/>
                <w:b/>
                <w:bCs/>
                <w:spacing w:val="-6"/>
                <w:sz w:val="24"/>
                <w:szCs w:val="24"/>
              </w:rPr>
              <w:t>.</w:t>
            </w:r>
          </w:p>
        </w:tc>
        <w:tc>
          <w:tcPr>
            <w:tcW w:w="2074" w:type="dxa"/>
          </w:tcPr>
          <w:p w14:paraId="53C05ECD" w14:textId="0BE8A730" w:rsidR="00A10C11" w:rsidRPr="00BB230D" w:rsidRDefault="00A10C11" w:rsidP="00A10C11">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دراستي تربط القيادة التحويلية بسلامة المرضى، بينما هذه الدراسة ركزت على تحسين القرارات الإدارية</w:t>
            </w:r>
            <w:r w:rsidRPr="00BB230D">
              <w:rPr>
                <w:rFonts w:ascii="Traditional Arabic" w:hAnsi="Traditional Arabic" w:cs="Traditional Arabic" w:hint="cs"/>
                <w:b/>
                <w:bCs/>
                <w:spacing w:val="-6"/>
                <w:sz w:val="24"/>
                <w:szCs w:val="24"/>
              </w:rPr>
              <w:t>.</w:t>
            </w:r>
          </w:p>
          <w:p w14:paraId="3049C411" w14:textId="77777777" w:rsidR="005C0D19" w:rsidRPr="00BB230D" w:rsidRDefault="005C0D19" w:rsidP="005C0D19">
            <w:pPr>
              <w:bidi/>
              <w:spacing w:before="120" w:after="120" w:line="240" w:lineRule="auto"/>
              <w:jc w:val="both"/>
              <w:rPr>
                <w:rFonts w:ascii="Traditional Arabic" w:hAnsi="Traditional Arabic" w:cs="Traditional Arabic"/>
                <w:b/>
                <w:bCs/>
                <w:spacing w:val="-6"/>
                <w:sz w:val="24"/>
                <w:szCs w:val="24"/>
                <w:rtl/>
              </w:rPr>
            </w:pPr>
          </w:p>
        </w:tc>
      </w:tr>
      <w:tr w:rsidR="00D17B05" w:rsidRPr="00BB230D" w14:paraId="4514F312" w14:textId="77777777" w:rsidTr="004C51B2">
        <w:trPr>
          <w:tblCellSpacing w:w="20" w:type="dxa"/>
        </w:trPr>
        <w:tc>
          <w:tcPr>
            <w:tcW w:w="2074" w:type="dxa"/>
          </w:tcPr>
          <w:p w14:paraId="7D85D8BF" w14:textId="13B3F916"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بلاك بيرد</w:t>
            </w:r>
            <w:r w:rsidRPr="00BB230D">
              <w:rPr>
                <w:rFonts w:ascii="Traditional Arabic" w:hAnsi="Traditional Arabic" w:cs="Traditional Arabic" w:hint="cs"/>
                <w:b/>
                <w:bCs/>
                <w:spacing w:val="-6"/>
                <w:sz w:val="24"/>
                <w:szCs w:val="24"/>
              </w:rPr>
              <w:t xml:space="preserve"> (2025)</w:t>
            </w:r>
          </w:p>
        </w:tc>
        <w:tc>
          <w:tcPr>
            <w:tcW w:w="2074" w:type="dxa"/>
          </w:tcPr>
          <w:p w14:paraId="12D92348" w14:textId="39A6595A"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تقييم أثر برنامج تدريبي على تطوير المهارات القيادية في مؤسسات الرعاية الصحية</w:t>
            </w:r>
            <w:r w:rsidRPr="00BB230D">
              <w:rPr>
                <w:rFonts w:ascii="Traditional Arabic" w:hAnsi="Traditional Arabic" w:cs="Traditional Arabic" w:hint="cs"/>
                <w:b/>
                <w:bCs/>
                <w:spacing w:val="-6"/>
                <w:sz w:val="24"/>
                <w:szCs w:val="24"/>
              </w:rPr>
              <w:t>.</w:t>
            </w:r>
          </w:p>
        </w:tc>
        <w:tc>
          <w:tcPr>
            <w:tcW w:w="2074" w:type="dxa"/>
          </w:tcPr>
          <w:p w14:paraId="2F2B396E" w14:textId="377AA28E"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التدريب على القيادة التحويلية حسّن الأداء، التنسيق، والرضا الوظيفي</w:t>
            </w:r>
            <w:r w:rsidRPr="00BB230D">
              <w:rPr>
                <w:rFonts w:ascii="Traditional Arabic" w:hAnsi="Traditional Arabic" w:cs="Traditional Arabic" w:hint="cs"/>
                <w:b/>
                <w:bCs/>
                <w:spacing w:val="-6"/>
                <w:sz w:val="24"/>
                <w:szCs w:val="24"/>
              </w:rPr>
              <w:t>.</w:t>
            </w:r>
          </w:p>
        </w:tc>
        <w:tc>
          <w:tcPr>
            <w:tcW w:w="2074" w:type="dxa"/>
          </w:tcPr>
          <w:p w14:paraId="2846F440" w14:textId="1F93FF37" w:rsidR="00D17B05" w:rsidRPr="00BB230D" w:rsidRDefault="00D17B05" w:rsidP="00D17B05">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تحليلية تربط القيادة التحويلية بإدارة المخاطر، بينما هذه دراسة تجريبية ركزت على التدريب القيادي</w:t>
            </w:r>
            <w:r w:rsidRPr="00BB230D">
              <w:rPr>
                <w:rFonts w:ascii="Traditional Arabic" w:hAnsi="Traditional Arabic" w:cs="Traditional Arabic" w:hint="cs"/>
                <w:b/>
                <w:bCs/>
                <w:spacing w:val="-6"/>
                <w:sz w:val="24"/>
                <w:szCs w:val="24"/>
              </w:rPr>
              <w:t>.</w:t>
            </w:r>
          </w:p>
        </w:tc>
      </w:tr>
      <w:tr w:rsidR="00D17B05" w:rsidRPr="00BB230D" w14:paraId="2E5FA912" w14:textId="77777777" w:rsidTr="004C51B2">
        <w:trPr>
          <w:tblCellSpacing w:w="20" w:type="dxa"/>
        </w:trPr>
        <w:tc>
          <w:tcPr>
            <w:tcW w:w="2074" w:type="dxa"/>
          </w:tcPr>
          <w:p w14:paraId="14A4B7C7" w14:textId="1A5062A8"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أماني محمد وآخرين</w:t>
            </w:r>
            <w:r w:rsidRPr="00BB230D">
              <w:rPr>
                <w:rFonts w:ascii="Traditional Arabic" w:hAnsi="Traditional Arabic" w:cs="Traditional Arabic" w:hint="cs"/>
                <w:b/>
                <w:bCs/>
                <w:spacing w:val="-6"/>
                <w:sz w:val="24"/>
                <w:szCs w:val="24"/>
              </w:rPr>
              <w:t xml:space="preserve"> (2025)</w:t>
            </w:r>
          </w:p>
        </w:tc>
        <w:tc>
          <w:tcPr>
            <w:tcW w:w="2074" w:type="dxa"/>
          </w:tcPr>
          <w:p w14:paraId="0E2B015F" w14:textId="392F8A4E"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العلاقة بين القيادة التحويلية والعدالة التنظيمية في مستشفيات محافظة الشرقية</w:t>
            </w:r>
            <w:r w:rsidRPr="00BB230D">
              <w:rPr>
                <w:rFonts w:ascii="Traditional Arabic" w:hAnsi="Traditional Arabic" w:cs="Traditional Arabic" w:hint="cs"/>
                <w:b/>
                <w:bCs/>
                <w:spacing w:val="-6"/>
                <w:sz w:val="24"/>
                <w:szCs w:val="24"/>
              </w:rPr>
              <w:t>.</w:t>
            </w:r>
          </w:p>
        </w:tc>
        <w:tc>
          <w:tcPr>
            <w:tcW w:w="2074" w:type="dxa"/>
          </w:tcPr>
          <w:p w14:paraId="22E05635" w14:textId="4E7D992E"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التأثير المثالي</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و</w:t>
            </w: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الاستثارة الفكرية</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حسّنا العدالة التنظيمية وبيئة العمل</w:t>
            </w:r>
            <w:r w:rsidRPr="00BB230D">
              <w:rPr>
                <w:rFonts w:ascii="Traditional Arabic" w:hAnsi="Traditional Arabic" w:cs="Traditional Arabic" w:hint="cs"/>
                <w:b/>
                <w:bCs/>
                <w:spacing w:val="-6"/>
                <w:sz w:val="24"/>
                <w:szCs w:val="24"/>
              </w:rPr>
              <w:t>.</w:t>
            </w:r>
          </w:p>
        </w:tc>
        <w:tc>
          <w:tcPr>
            <w:tcW w:w="2074" w:type="dxa"/>
          </w:tcPr>
          <w:p w14:paraId="1357E7AE" w14:textId="394BEDBD" w:rsidR="00D17B05" w:rsidRPr="00BB230D" w:rsidRDefault="002B7450" w:rsidP="002B7450">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بسلامة المرضى، بينما هذه الدراسة ركزت على العدالة التنظيمية والسلوكيات الإيجابية</w:t>
            </w:r>
            <w:r w:rsidRPr="00BB230D">
              <w:rPr>
                <w:rFonts w:ascii="Traditional Arabic" w:hAnsi="Traditional Arabic" w:cs="Traditional Arabic" w:hint="cs"/>
                <w:b/>
                <w:bCs/>
                <w:spacing w:val="-6"/>
                <w:sz w:val="24"/>
                <w:szCs w:val="24"/>
              </w:rPr>
              <w:t>.</w:t>
            </w:r>
          </w:p>
        </w:tc>
      </w:tr>
    </w:tbl>
    <w:bookmarkEnd w:id="9"/>
    <w:p w14:paraId="53AD1F8E" w14:textId="4B6DFD81" w:rsidR="00BA7C6F" w:rsidRPr="00BB230D" w:rsidRDefault="00DE29E5" w:rsidP="00273E39">
      <w:pPr>
        <w:bidi/>
        <w:spacing w:before="120" w:after="120" w:line="240" w:lineRule="auto"/>
        <w:jc w:val="center"/>
        <w:rPr>
          <w:rFonts w:ascii="Traditional Arabic" w:hAnsi="Traditional Arabic" w:cs="Traditional Arabic"/>
          <w:b/>
          <w:bCs/>
          <w:spacing w:val="-6"/>
          <w:sz w:val="24"/>
          <w:szCs w:val="24"/>
          <w:rtl/>
          <w:lang w:bidi="ar-EG"/>
        </w:rPr>
      </w:pPr>
      <w:r w:rsidRPr="00BB230D">
        <w:rPr>
          <w:rFonts w:ascii="Traditional Arabic" w:hAnsi="Traditional Arabic" w:cs="Traditional Arabic" w:hint="cs"/>
          <w:b/>
          <w:bCs/>
          <w:spacing w:val="-6"/>
          <w:sz w:val="24"/>
          <w:szCs w:val="24"/>
          <w:rtl/>
          <w:lang w:bidi="ar-EG"/>
        </w:rPr>
        <w:t>إعداد/ الباحثة</w:t>
      </w:r>
      <w:r w:rsidR="00273E39" w:rsidRPr="00BB230D">
        <w:rPr>
          <w:rFonts w:ascii="Traditional Arabic" w:hAnsi="Traditional Arabic" w:cs="Traditional Arabic" w:hint="cs"/>
          <w:b/>
          <w:bCs/>
          <w:spacing w:val="-6"/>
          <w:sz w:val="24"/>
          <w:szCs w:val="24"/>
          <w:rtl/>
          <w:lang w:bidi="ar-EG"/>
        </w:rPr>
        <w:t xml:space="preserve"> مستندة للدراسات السابقة </w:t>
      </w:r>
      <w:r w:rsidRPr="00BB230D">
        <w:rPr>
          <w:rFonts w:ascii="Traditional Arabic" w:hAnsi="Traditional Arabic" w:cs="Traditional Arabic" w:hint="cs"/>
          <w:b/>
          <w:bCs/>
          <w:spacing w:val="-6"/>
          <w:sz w:val="24"/>
          <w:szCs w:val="24"/>
          <w:rtl/>
          <w:lang w:bidi="ar-EG"/>
        </w:rPr>
        <w:t>.</w:t>
      </w:r>
    </w:p>
    <w:p w14:paraId="14D3B4B8" w14:textId="039DB172" w:rsidR="00623BB8" w:rsidRPr="00BB230D" w:rsidRDefault="00623BB8" w:rsidP="00BA7C6F">
      <w:pPr>
        <w:bidi/>
        <w:spacing w:before="120" w:after="120" w:line="240" w:lineRule="auto"/>
        <w:jc w:val="both"/>
        <w:rPr>
          <w:rFonts w:ascii="Traditional Arabic" w:hAnsi="Traditional Arabic" w:cs="Traditional Arabic"/>
          <w:b/>
          <w:bCs/>
          <w:spacing w:val="-6"/>
          <w:sz w:val="28"/>
          <w:szCs w:val="28"/>
          <w:u w:val="single"/>
          <w:rtl/>
          <w:lang w:bidi="ar-EG"/>
        </w:rPr>
      </w:pPr>
      <w:r w:rsidRPr="00BB230D">
        <w:rPr>
          <w:rFonts w:ascii="Traditional Arabic" w:hAnsi="Traditional Arabic" w:cs="Traditional Arabic" w:hint="cs"/>
          <w:b/>
          <w:bCs/>
          <w:spacing w:val="-6"/>
          <w:sz w:val="28"/>
          <w:szCs w:val="28"/>
          <w:u w:val="single"/>
          <w:rtl/>
          <w:lang w:bidi="ar-EG"/>
        </w:rPr>
        <w:t>تعقيب على الدراسات السابقة للقيادة التحويلية:</w:t>
      </w:r>
    </w:p>
    <w:p w14:paraId="674A1540" w14:textId="77777777" w:rsidR="004C51B2" w:rsidRDefault="00623BB8" w:rsidP="004C51B2">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t>بالنظر إلى الدراسات السابقة التي تناولت القيادة التحويلية، يمكن القول إنها كشفت عن حضور متنامٍ لهذا النمط القيادي داخل المؤسسات الصحية، خاصة في ظل التحديات المتزايدة مثل الأزمات الصحية والضغوط التشغيلية، فمن خلال استعراض الأبحاث بين عامي 2020 و2025، يظهر أن القيادة التحويلية لم تعد مجرد توجه تنظيري، بل أصبحت ممارسة واقعية لها أثر مباشر على الأداء، إدارة الأزمات، وسلامة المرضى</w:t>
      </w:r>
      <w:r w:rsidRPr="00BB230D">
        <w:rPr>
          <w:rFonts w:ascii="Traditional Arabic" w:hAnsi="Traditional Arabic" w:cs="Traditional Arabic" w:hint="cs"/>
          <w:spacing w:val="-6"/>
          <w:sz w:val="24"/>
          <w:szCs w:val="24"/>
          <w:lang w:bidi="ar-EG"/>
        </w:rPr>
        <w:t>.</w:t>
      </w:r>
    </w:p>
    <w:p w14:paraId="5F8D0526" w14:textId="77777777" w:rsidR="004C51B2" w:rsidRDefault="005A5029" w:rsidP="004C51B2">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z w:val="24"/>
          <w:szCs w:val="24"/>
          <w:rtl/>
        </w:rPr>
        <w:t>ركزت دراسة التجاني</w:t>
      </w:r>
      <w:r w:rsidRPr="00BB230D">
        <w:rPr>
          <w:rFonts w:ascii="Traditional Arabic" w:hAnsi="Traditional Arabic" w:cs="Traditional Arabic" w:hint="cs"/>
          <w:sz w:val="24"/>
          <w:szCs w:val="24"/>
          <w:lang w:bidi="ar-EG"/>
        </w:rPr>
        <w:t xml:space="preserve"> (2020) </w:t>
      </w:r>
      <w:r w:rsidRPr="00BB230D">
        <w:rPr>
          <w:rFonts w:ascii="Traditional Arabic" w:hAnsi="Traditional Arabic" w:cs="Traditional Arabic" w:hint="cs"/>
          <w:sz w:val="24"/>
          <w:szCs w:val="24"/>
          <w:rtl/>
        </w:rPr>
        <w:t>على الإبداع في بيئة أكاديمية، ودراسة حسين</w:t>
      </w:r>
      <w:r w:rsidRPr="00BB230D">
        <w:rPr>
          <w:rFonts w:ascii="Traditional Arabic" w:hAnsi="Traditional Arabic" w:cs="Traditional Arabic" w:hint="cs"/>
          <w:sz w:val="24"/>
          <w:szCs w:val="24"/>
          <w:lang w:bidi="ar-EG"/>
        </w:rPr>
        <w:t xml:space="preserve"> (2020) </w:t>
      </w:r>
      <w:r w:rsidRPr="00BB230D">
        <w:rPr>
          <w:rFonts w:ascii="Traditional Arabic" w:hAnsi="Traditional Arabic" w:cs="Traditional Arabic" w:hint="cs"/>
          <w:sz w:val="24"/>
          <w:szCs w:val="24"/>
          <w:rtl/>
        </w:rPr>
        <w:t>على العلاقة المباشرة بين القيادة وجودة الخدمات، ودراسة رزق الله وطيبي</w:t>
      </w:r>
      <w:r w:rsidRPr="00BB230D">
        <w:rPr>
          <w:rFonts w:ascii="Traditional Arabic" w:hAnsi="Traditional Arabic" w:cs="Traditional Arabic" w:hint="cs"/>
          <w:sz w:val="24"/>
          <w:szCs w:val="24"/>
          <w:lang w:bidi="ar-EG"/>
        </w:rPr>
        <w:t xml:space="preserve"> (2021) </w:t>
      </w:r>
      <w:r w:rsidRPr="00BB230D">
        <w:rPr>
          <w:rFonts w:ascii="Traditional Arabic" w:hAnsi="Traditional Arabic" w:cs="Traditional Arabic" w:hint="cs"/>
          <w:sz w:val="24"/>
          <w:szCs w:val="24"/>
          <w:rtl/>
        </w:rPr>
        <w:t>على قياس درجة التطبيق دون ربطها بنتائج تنظيمية، لكن الدراسة الحالية تضيف بعدًا تحليليًا جديدًا من خلال الربط بين ثلاثة متغيرات مركزية في القطاع الصحي، مما يبرز أهميتها التطبيقية والمنهجية</w:t>
      </w:r>
      <w:r w:rsidRPr="00BB230D">
        <w:rPr>
          <w:rFonts w:ascii="Traditional Arabic" w:hAnsi="Traditional Arabic" w:cs="Traditional Arabic" w:hint="cs"/>
          <w:sz w:val="24"/>
          <w:szCs w:val="24"/>
          <w:lang w:bidi="ar-EG"/>
        </w:rPr>
        <w:t>.</w:t>
      </w:r>
    </w:p>
    <w:p w14:paraId="6F80DDE8" w14:textId="40D8FDCA" w:rsidR="005A5029" w:rsidRPr="004C51B2" w:rsidRDefault="005A5029" w:rsidP="004C51B2">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sz w:val="24"/>
          <w:szCs w:val="24"/>
          <w:rtl/>
        </w:rPr>
        <w:t>فبينما ركزت بعض الدراسات على القيادة التحويلية الخضراء في سياق الاستدامة</w:t>
      </w:r>
      <w:r w:rsidRPr="00BB230D">
        <w:rPr>
          <w:rFonts w:ascii="Traditional Arabic" w:hAnsi="Traditional Arabic" w:cs="Traditional Arabic" w:hint="cs"/>
          <w:sz w:val="24"/>
          <w:szCs w:val="24"/>
          <w:lang w:bidi="ar-EG"/>
        </w:rPr>
        <w:t xml:space="preserve"> </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طلبه النجار،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أو على علاقتها المباشرة بالإبداع والعدالة</w:t>
      </w:r>
      <w:r w:rsidRPr="00BB230D">
        <w:rPr>
          <w:rFonts w:ascii="Traditional Arabic" w:hAnsi="Traditional Arabic" w:cs="Traditional Arabic" w:hint="cs"/>
          <w:sz w:val="24"/>
          <w:szCs w:val="24"/>
          <w:lang w:bidi="ar-EG"/>
        </w:rPr>
        <w:t xml:space="preserve"> </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عامر وأبوزيد والدمياطي،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أو على الثقافة التنظيمية كوسيط في إدارة التغيير</w:t>
      </w:r>
      <w:r w:rsidR="006F00E7" w:rsidRPr="00BB230D">
        <w:rPr>
          <w:rFonts w:ascii="Traditional Arabic" w:hAnsi="Traditional Arabic" w:cs="Traditional Arabic" w:hint="cs"/>
          <w:sz w:val="24"/>
          <w:szCs w:val="24"/>
          <w:rtl/>
        </w:rPr>
        <w:t>(</w:t>
      </w:r>
      <w:r w:rsidRPr="00BB230D">
        <w:rPr>
          <w:rFonts w:ascii="Traditional Arabic" w:hAnsi="Traditional Arabic" w:cs="Traditional Arabic" w:hint="cs"/>
          <w:sz w:val="24"/>
          <w:szCs w:val="24"/>
          <w:lang w:bidi="ar-EG"/>
        </w:rPr>
        <w:t xml:space="preserve"> Bagga </w:t>
      </w:r>
      <w:r w:rsidRPr="00BB230D">
        <w:rPr>
          <w:rFonts w:ascii="Traditional Arabic" w:hAnsi="Traditional Arabic" w:cs="Traditional Arabic" w:hint="cs"/>
          <w:sz w:val="24"/>
          <w:szCs w:val="24"/>
          <w:rtl/>
        </w:rPr>
        <w:t>وآخرون،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فإن </w:t>
      </w:r>
      <w:r w:rsidR="006F00E7" w:rsidRPr="00BB230D">
        <w:rPr>
          <w:rFonts w:ascii="Traditional Arabic" w:hAnsi="Traditional Arabic" w:cs="Traditional Arabic" w:hint="cs"/>
          <w:sz w:val="24"/>
          <w:szCs w:val="24"/>
          <w:rtl/>
        </w:rPr>
        <w:t>الدراسة الحالية</w:t>
      </w:r>
      <w:r w:rsidRPr="00BB230D">
        <w:rPr>
          <w:rFonts w:ascii="Traditional Arabic" w:hAnsi="Traditional Arabic" w:cs="Traditional Arabic" w:hint="cs"/>
          <w:sz w:val="24"/>
          <w:szCs w:val="24"/>
          <w:rtl/>
        </w:rPr>
        <w:t xml:space="preserve"> تضيف بعدًا تطبيقيًا جديدًا في بيئة الرعاية الصحية، من خلال تحليل العلاقة الثلاثية بين القيادة، المخاطر، والسلامة، مما يبرز الفجوة البحثية التي تسعى الدراسة إلى سدّها</w:t>
      </w:r>
      <w:r w:rsidRPr="00BB230D">
        <w:rPr>
          <w:rFonts w:ascii="Traditional Arabic" w:hAnsi="Traditional Arabic" w:cs="Traditional Arabic" w:hint="cs"/>
          <w:sz w:val="24"/>
          <w:szCs w:val="24"/>
          <w:lang w:bidi="ar-EG"/>
        </w:rPr>
        <w:t>.</w:t>
      </w:r>
    </w:p>
    <w:p w14:paraId="1D7D7A8A" w14:textId="6A2C65F6" w:rsidR="00DF78B3" w:rsidRPr="00BB230D" w:rsidRDefault="008854E1" w:rsidP="00BB230D">
      <w:pPr>
        <w:bidi/>
        <w:spacing w:after="20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lastRenderedPageBreak/>
        <w:t>ختاماً تمثل إدارة المخاطر، وسلامة المرضى، والقيادة التحويلية ثلاثية مترابطة تُشكّل جوهر الأداء الصحي الحديث، حيث لا يمكن لأي مؤسسة صحية أن تحقق جودة مستدامة دون تكامل هذه العناصر</w:t>
      </w:r>
      <w:r w:rsidR="006F00E7"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فقد أصبحت سلامة المرضى الهدف الأسمى لكل الأنشطة العلاجية، وإدارة المخاطر الأداة الفاعلة للوقاية والتدخل الاستباقي، بينما تُعد القيادة التحويلية المحرك الحيوي الذي يوجه الفرق الطبية نحو التغيير الإيجابي والتفوق التنظيمي. إن تعزيز ثقافة السلامة، وتطبيق استراتيجيات إدارة المخاطر، يتطلبان قيادة قادرة على الإلهام، والتحفيز الفكري، وهي خصائص تتجسد بوضوح في نمط القيادة التحويلية. ومن خلال الدمج الفعّال بين هذه المفاهيم، يمكن للمؤسسات الصحية أن تتجاوز التحديات التشغيلية، وتحقق بيئة علاجية آمنة، مُوجهة نحو الابتكار، المساءلة، والتحسين المستمر في تجربة المريض وجودة الخدمة على حد سواء</w:t>
      </w:r>
      <w:r w:rsidRPr="00BB230D">
        <w:rPr>
          <w:rFonts w:ascii="Traditional Arabic" w:hAnsi="Traditional Arabic" w:cs="Traditional Arabic" w:hint="cs"/>
          <w:spacing w:val="-6"/>
          <w:sz w:val="24"/>
          <w:szCs w:val="24"/>
          <w:lang w:bidi="ar-EG"/>
        </w:rPr>
        <w:t>.</w:t>
      </w:r>
    </w:p>
    <w:p w14:paraId="39D4CA27" w14:textId="7A63B699" w:rsidR="00273E39" w:rsidRPr="00BB230D" w:rsidRDefault="00273E39" w:rsidP="00273E39">
      <w:pPr>
        <w:bidi/>
        <w:spacing w:after="200" w:line="276" w:lineRule="auto"/>
        <w:jc w:val="both"/>
        <w:rPr>
          <w:rFonts w:ascii="Traditional Arabic" w:hAnsi="Traditional Arabic" w:cs="Traditional Arabic"/>
          <w:b/>
          <w:bCs/>
          <w:spacing w:val="-6"/>
          <w:sz w:val="28"/>
          <w:szCs w:val="28"/>
          <w:u w:val="single"/>
          <w:lang w:bidi="ar-EG"/>
        </w:rPr>
      </w:pPr>
      <w:r w:rsidRPr="00BB230D">
        <w:rPr>
          <w:rFonts w:ascii="Traditional Arabic" w:hAnsi="Traditional Arabic" w:cs="Traditional Arabic" w:hint="cs"/>
          <w:b/>
          <w:bCs/>
          <w:spacing w:val="-6"/>
          <w:sz w:val="28"/>
          <w:szCs w:val="28"/>
          <w:u w:val="single"/>
          <w:rtl/>
          <w:lang w:bidi="ar-EG"/>
        </w:rPr>
        <w:t>أوجه الإستفادة من الدراسات السابقة للقيادة التحويلية:</w:t>
      </w:r>
    </w:p>
    <w:p w14:paraId="4C2AAE79" w14:textId="47BE9775" w:rsidR="00273E39" w:rsidRPr="00BB230D" w:rsidRDefault="00273E39" w:rsidP="00BB230D">
      <w:pPr>
        <w:bidi/>
        <w:spacing w:after="20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t>أظهرت الدراسات السابقة حول القيادة التحويلية، مثل دراسة التجاني (2020) وحسين (2020) ورزق الله وطيبي (2021)، دور هذا النمط القيادي في تعزيز الأداء المؤسسي من خلال التحفيز الإبداعي والاهتمام الفردي بالموظفين، وقد ساهمت دراسة الغامدي وعثمان (2022) وطلبه النجار (2023) في توضيح العلاقة بين القيادة التحويلية ورفع مستويات الرضا الوظيفي والانتماء التنظيمي، مما يدعم فرضيات الدراسة الحالية</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كما قدمت أبحاث عامر وأبوزيد والدمياطي (2023) و</w:t>
      </w:r>
      <w:r w:rsidRPr="00BB230D">
        <w:rPr>
          <w:rFonts w:ascii="Traditional Arabic" w:hAnsi="Traditional Arabic" w:cs="Traditional Arabic" w:hint="cs"/>
          <w:spacing w:val="-6"/>
          <w:sz w:val="24"/>
          <w:szCs w:val="24"/>
          <w:lang w:bidi="ar-EG"/>
        </w:rPr>
        <w:t xml:space="preserve">Bagga, Gera &amp; Haque (2023) </w:t>
      </w:r>
      <w:r w:rsidRPr="00BB230D">
        <w:rPr>
          <w:rFonts w:ascii="Traditional Arabic" w:hAnsi="Traditional Arabic" w:cs="Traditional Arabic" w:hint="cs"/>
          <w:spacing w:val="-6"/>
          <w:sz w:val="24"/>
          <w:szCs w:val="24"/>
          <w:rtl/>
        </w:rPr>
        <w:t>نماذج تطبيقية تربط القيادة التحويلية بالتحسين المستدام في بيئات العمل الحكومية، بينما ركزت دراسات آل مرزوق (2023) والخضران (2023) على أثر القيادة في إدارة التغيير وتجاوز مقاومة التطوير</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أما أحمد محمود أحمد (2024) والبركاني (2025) فقد أبرزا أهمية القيادة التحويلية في بناء ثقافة تنظيمية مرنة، في حين تناولت دراسة بلاك بيرد (2025) وأماني محمد وآخرين (2025) البُعد العالمي لهذا النمط القيادي، مؤكدين على فعاليته في بيئات متعددة الثقافات</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ومن ثم، فإن هذه الدراسات تمثل أساسًا معرفيًا ومنهجيًا غنيًا يُسهم في صياغة الإطار النظري، وتحديد المتغيرات، وتفسير النتائج ضمن السياق المحلي والدولي</w:t>
      </w:r>
      <w:r w:rsidRPr="00BB230D">
        <w:rPr>
          <w:rFonts w:ascii="Traditional Arabic" w:hAnsi="Traditional Arabic" w:cs="Traditional Arabic" w:hint="cs"/>
          <w:spacing w:val="-6"/>
          <w:sz w:val="24"/>
          <w:szCs w:val="24"/>
          <w:lang w:bidi="ar-EG"/>
        </w:rPr>
        <w:t>.</w:t>
      </w:r>
    </w:p>
    <w:p w14:paraId="2D672CC5" w14:textId="406B5670" w:rsidR="002B6EE6" w:rsidRDefault="002B6EE6" w:rsidP="00BB230D">
      <w:pPr>
        <w:bidi/>
        <w:spacing w:after="200" w:line="360" w:lineRule="auto"/>
        <w:ind w:firstLine="720"/>
        <w:jc w:val="both"/>
        <w:rPr>
          <w:rFonts w:ascii="Traditional Arabic" w:hAnsi="Traditional Arabic" w:cs="Traditional Arabic"/>
          <w:spacing w:val="-6"/>
          <w:sz w:val="24"/>
          <w:szCs w:val="24"/>
        </w:rPr>
      </w:pPr>
      <w:r w:rsidRPr="00BB230D">
        <w:rPr>
          <w:rFonts w:ascii="Traditional Arabic" w:hAnsi="Traditional Arabic" w:cs="Traditional Arabic" w:hint="cs"/>
          <w:spacing w:val="-6"/>
          <w:sz w:val="24"/>
          <w:szCs w:val="24"/>
          <w:rtl/>
        </w:rPr>
        <w:t>وتُسهم هذه الدراسات في دعم الدراسة الحالية التي تتناول تحليل الدور الوسيط للقيادة التحويلية في العلاقة بين إدارة المخاطر وسلامة المرضى في المرافق الصحية الحكومية، من خلال توفير نماذج تفسيرية تربط القيادة التحويلية بتحسين بيئة العمل الصحية، وتعزيز ثقافة السلامة، وتفعيل الاستجابة التنظيمية للمخاطر، كما تقدم دراسات البركاني (2025)، بلاك بيرد (2025)، وأماني محمد وآخرين (2025) رؤى حديثة حول فعالية القيادة التحويلية في البيئات متعددة التخصصات، مما يُثري الإطار التحليلي للدراسة ويُعزز من قدرتها على تفسير النتائج.</w:t>
      </w:r>
    </w:p>
    <w:p w14:paraId="68F7DB7C"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70E397B8"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51CD4877"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7E12226D" w14:textId="77777777" w:rsidR="00BB230D" w:rsidRPr="00BB230D" w:rsidRDefault="00BB230D" w:rsidP="004C51B2">
      <w:pPr>
        <w:bidi/>
        <w:spacing w:after="200" w:line="360" w:lineRule="auto"/>
        <w:jc w:val="both"/>
        <w:rPr>
          <w:rFonts w:ascii="Traditional Arabic" w:hAnsi="Traditional Arabic" w:cs="Traditional Arabic"/>
          <w:spacing w:val="-6"/>
          <w:sz w:val="24"/>
          <w:szCs w:val="24"/>
          <w:rtl/>
        </w:rPr>
      </w:pPr>
    </w:p>
    <w:p w14:paraId="3E87D259" w14:textId="27F1C7B7" w:rsidR="00B14C33" w:rsidRPr="00BB230D" w:rsidRDefault="00CE27B9" w:rsidP="00CE27B9">
      <w:pPr>
        <w:bidi/>
        <w:spacing w:after="200" w:line="276"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جدول (9) </w:t>
      </w:r>
      <w:r w:rsidR="00742DEA" w:rsidRPr="00BB230D">
        <w:rPr>
          <w:rFonts w:ascii="Traditional Arabic" w:hAnsi="Traditional Arabic" w:cs="Traditional Arabic" w:hint="cs"/>
          <w:b/>
          <w:bCs/>
          <w:spacing w:val="-6"/>
          <w:sz w:val="24"/>
          <w:szCs w:val="24"/>
          <w:rtl/>
        </w:rPr>
        <w:t>ملخص الدراسات السابقة</w:t>
      </w:r>
      <w:r w:rsidRPr="00BB230D">
        <w:rPr>
          <w:rFonts w:ascii="Traditional Arabic" w:hAnsi="Traditional Arabic" w:cs="Traditional Arabic" w:hint="cs"/>
          <w:b/>
          <w:bCs/>
          <w:spacing w:val="-6"/>
          <w:sz w:val="24"/>
          <w:szCs w:val="24"/>
          <w:rtl/>
        </w:rPr>
        <w:t xml:space="preserve"> الواردة في الدراسة الحالية:</w:t>
      </w:r>
    </w:p>
    <w:tbl>
      <w:tblPr>
        <w:tblStyle w:val="TableGrid"/>
        <w:bidiVisual/>
        <w:tblW w:w="827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794"/>
        <w:gridCol w:w="2722"/>
        <w:gridCol w:w="2760"/>
      </w:tblGrid>
      <w:tr w:rsidR="00C006C9" w:rsidRPr="004C51B2" w14:paraId="646ED9F8" w14:textId="77777777" w:rsidTr="004C51B2">
        <w:trPr>
          <w:tblCellSpacing w:w="20" w:type="dxa"/>
        </w:trPr>
        <w:tc>
          <w:tcPr>
            <w:tcW w:w="2758" w:type="dxa"/>
            <w:shd w:val="clear" w:color="auto" w:fill="E5DFEC" w:themeFill="accent4" w:themeFillTint="33"/>
          </w:tcPr>
          <w:p w14:paraId="2F590A2E" w14:textId="4FF0C979"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الدراسة</w:t>
            </w:r>
          </w:p>
        </w:tc>
        <w:tc>
          <w:tcPr>
            <w:tcW w:w="2759" w:type="dxa"/>
            <w:shd w:val="clear" w:color="auto" w:fill="E5DFEC" w:themeFill="accent4" w:themeFillTint="33"/>
          </w:tcPr>
          <w:p w14:paraId="5BEF9324" w14:textId="4EE23C1A"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ماتناولتة الدراسة السابقة</w:t>
            </w:r>
          </w:p>
        </w:tc>
        <w:tc>
          <w:tcPr>
            <w:tcW w:w="2759" w:type="dxa"/>
            <w:shd w:val="clear" w:color="auto" w:fill="E5DFEC" w:themeFill="accent4" w:themeFillTint="33"/>
          </w:tcPr>
          <w:p w14:paraId="10ECB881" w14:textId="0EB988CC" w:rsidR="00C006C9" w:rsidRPr="004C51B2" w:rsidRDefault="00C006C9"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الفرق بينها وبين الدراسة الحالية</w:t>
            </w:r>
          </w:p>
        </w:tc>
      </w:tr>
      <w:tr w:rsidR="00C006C9" w:rsidRPr="004C51B2" w14:paraId="6614F45C" w14:textId="77777777" w:rsidTr="004C51B2">
        <w:trPr>
          <w:tblCellSpacing w:w="20" w:type="dxa"/>
        </w:trPr>
        <w:tc>
          <w:tcPr>
            <w:tcW w:w="2758" w:type="dxa"/>
          </w:tcPr>
          <w:p w14:paraId="3C48EFDD" w14:textId="05C40728"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eastAsia="Calibri" w:hAnsi="Traditional Arabic" w:cs="Traditional Arabic" w:hint="cs"/>
                <w:b/>
                <w:bCs/>
                <w:sz w:val="24"/>
                <w:szCs w:val="24"/>
                <w:rtl/>
                <w:lang w:bidi="ar-EG"/>
              </w:rPr>
              <w:t>دراسة فاتن خليل 2018</w:t>
            </w:r>
          </w:p>
        </w:tc>
        <w:tc>
          <w:tcPr>
            <w:tcW w:w="2759" w:type="dxa"/>
          </w:tcPr>
          <w:p w14:paraId="030AC37B" w14:textId="554908E5"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أثر القيادة التحويلية على تحسين جودة الأداء التمريضي في المستشفيات الحكومية المصرية.</w:t>
            </w:r>
          </w:p>
        </w:tc>
        <w:tc>
          <w:tcPr>
            <w:tcW w:w="2759" w:type="dxa"/>
          </w:tcPr>
          <w:p w14:paraId="4EF9F410" w14:textId="46029728" w:rsidR="00C006C9" w:rsidRPr="004C51B2" w:rsidRDefault="00D4794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 دراسة فاتن ركزت على القيادة التحويلية في تحسسين الأداء التمريضي.</w:t>
            </w:r>
          </w:p>
        </w:tc>
      </w:tr>
      <w:tr w:rsidR="00C006C9" w:rsidRPr="004C51B2" w14:paraId="09FA2494" w14:textId="77777777" w:rsidTr="004C51B2">
        <w:trPr>
          <w:tblCellSpacing w:w="20" w:type="dxa"/>
        </w:trPr>
        <w:tc>
          <w:tcPr>
            <w:tcW w:w="2758" w:type="dxa"/>
          </w:tcPr>
          <w:p w14:paraId="0DC567EC" w14:textId="4E9A0524" w:rsidR="00C006C9" w:rsidRPr="004C51B2" w:rsidRDefault="00C006C9" w:rsidP="00C006C9">
            <w:pPr>
              <w:bidi/>
              <w:spacing w:after="200" w:line="240" w:lineRule="auto"/>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rtl/>
                <w:lang w:bidi="ar-EG"/>
              </w:rPr>
              <w:t>دراسة حسين 2019</w:t>
            </w:r>
          </w:p>
          <w:p w14:paraId="4C9618EF"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17AF4BEA" w14:textId="4FCF0366"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العلاقة بين أنماط القيادة التحويلية ومستوى الالتزام التنظيمي لدى العاملين في القطاع الصحي</w:t>
            </w:r>
            <w:r w:rsidRPr="004C51B2">
              <w:rPr>
                <w:rFonts w:ascii="Traditional Arabic" w:hAnsi="Traditional Arabic" w:cs="Traditional Arabic" w:hint="cs"/>
                <w:b/>
                <w:bCs/>
                <w:sz w:val="24"/>
                <w:szCs w:val="24"/>
              </w:rPr>
              <w:t>.</w:t>
            </w:r>
          </w:p>
        </w:tc>
        <w:tc>
          <w:tcPr>
            <w:tcW w:w="2759" w:type="dxa"/>
          </w:tcPr>
          <w:p w14:paraId="3AFFFF83" w14:textId="19AED181"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 دراسة حسين تناولت العلاقة بين القيادة التحويلية والالتزام التنظيمي</w:t>
            </w:r>
          </w:p>
        </w:tc>
      </w:tr>
      <w:tr w:rsidR="00C006C9" w:rsidRPr="004C51B2" w14:paraId="5C0A64C3" w14:textId="77777777" w:rsidTr="004C51B2">
        <w:trPr>
          <w:tblCellSpacing w:w="20" w:type="dxa"/>
        </w:trPr>
        <w:tc>
          <w:tcPr>
            <w:tcW w:w="2758" w:type="dxa"/>
          </w:tcPr>
          <w:p w14:paraId="69308C8B" w14:textId="2DAC262E" w:rsidR="00C006C9" w:rsidRPr="004C51B2" w:rsidRDefault="00C006C9" w:rsidP="00C006C9">
            <w:pPr>
              <w:bidi/>
              <w:spacing w:after="200" w:line="240" w:lineRule="auto"/>
              <w:contextualSpacing/>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rtl/>
                <w:lang w:bidi="ar-EG"/>
              </w:rPr>
              <w:t>دراسة الغامدي وعثمان 2023</w:t>
            </w:r>
          </w:p>
          <w:p w14:paraId="0FC05880"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609234F6" w14:textId="77777777" w:rsidR="00C006C9" w:rsidRPr="004C51B2" w:rsidRDefault="00C006C9" w:rsidP="0091303D">
            <w:pPr>
              <w:bidi/>
              <w:jc w:val="center"/>
              <w:rPr>
                <w:rFonts w:ascii="Traditional Arabic" w:hAnsi="Traditional Arabic" w:cs="Traditional Arabic"/>
                <w:b/>
                <w:bCs/>
                <w:sz w:val="24"/>
                <w:szCs w:val="24"/>
              </w:rPr>
            </w:pPr>
            <w:r w:rsidRPr="004C51B2">
              <w:rPr>
                <w:rFonts w:ascii="Traditional Arabic" w:hAnsi="Traditional Arabic" w:cs="Traditional Arabic" w:hint="cs"/>
                <w:b/>
                <w:bCs/>
                <w:sz w:val="24"/>
                <w:szCs w:val="24"/>
                <w:rtl/>
              </w:rPr>
              <w:t>دور القيادة التحويلية في تعزيز ثقافة سلامة المرضى داخل المستشفيات السعودية</w:t>
            </w:r>
            <w:r w:rsidRPr="004C51B2">
              <w:rPr>
                <w:rFonts w:ascii="Traditional Arabic" w:hAnsi="Traditional Arabic" w:cs="Traditional Arabic" w:hint="cs"/>
                <w:b/>
                <w:bCs/>
                <w:sz w:val="24"/>
                <w:szCs w:val="24"/>
              </w:rPr>
              <w:t>.</w:t>
            </w:r>
          </w:p>
          <w:p w14:paraId="004D9248"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3AF17460" w14:textId="65EA0999"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اهتمت بتأثير القيادة التحويلية على ثقافة السلامة، لكنها لم تحلل الدور الوسيط بين إدارة المخاطر وسلامة المرضى.</w:t>
            </w:r>
          </w:p>
        </w:tc>
      </w:tr>
      <w:tr w:rsidR="00C006C9" w:rsidRPr="004C51B2" w14:paraId="6B4079F4" w14:textId="77777777" w:rsidTr="004C51B2">
        <w:trPr>
          <w:tblCellSpacing w:w="20" w:type="dxa"/>
        </w:trPr>
        <w:tc>
          <w:tcPr>
            <w:tcW w:w="2758" w:type="dxa"/>
          </w:tcPr>
          <w:p w14:paraId="068C991A" w14:textId="40417B77" w:rsidR="00C006C9" w:rsidRPr="004C51B2" w:rsidRDefault="00C006C9" w:rsidP="00C006C9">
            <w:pPr>
              <w:bidi/>
              <w:spacing w:after="200" w:line="360" w:lineRule="auto"/>
              <w:contextualSpacing/>
              <w:jc w:val="center"/>
              <w:rPr>
                <w:rFonts w:ascii="Traditional Arabic" w:eastAsia="Calibri" w:hAnsi="Traditional Arabic" w:cs="Traditional Arabic"/>
                <w:b/>
                <w:bCs/>
                <w:sz w:val="24"/>
                <w:szCs w:val="24"/>
                <w:rtl/>
              </w:rPr>
            </w:pPr>
            <w:r w:rsidRPr="004C51B2">
              <w:rPr>
                <w:rFonts w:ascii="Traditional Arabic" w:eastAsia="Calibri" w:hAnsi="Traditional Arabic" w:cs="Traditional Arabic" w:hint="cs"/>
                <w:b/>
                <w:bCs/>
                <w:sz w:val="24"/>
                <w:szCs w:val="24"/>
                <w:rtl/>
                <w:lang w:bidi="ar-EG"/>
              </w:rPr>
              <w:t>دراسة عفيفي وآلاء 2024</w:t>
            </w:r>
          </w:p>
          <w:p w14:paraId="39944D33"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43ECD4D3" w14:textId="1959F43C"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تأثير القيادة التحويلية على إدارة المخاطر الطبية وتحسين بيئة العمل الصحية.</w:t>
            </w:r>
          </w:p>
        </w:tc>
        <w:tc>
          <w:tcPr>
            <w:tcW w:w="2759" w:type="dxa"/>
          </w:tcPr>
          <w:p w14:paraId="6FAD6D21" w14:textId="1BC0FA21" w:rsidR="00C006C9" w:rsidRPr="004C51B2" w:rsidRDefault="002D7581"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اقتربت من موضوعك من حيث الربط بين القيادة وإدارة المخاطر، لكنها لم تتناول سلامة المرضى كمتغير تابع رئيسي</w:t>
            </w:r>
            <w:r w:rsidRPr="004C51B2">
              <w:rPr>
                <w:rFonts w:ascii="Traditional Arabic" w:hAnsi="Traditional Arabic" w:cs="Traditional Arabic" w:hint="cs"/>
                <w:b/>
                <w:bCs/>
                <w:sz w:val="24"/>
                <w:szCs w:val="24"/>
              </w:rPr>
              <w:t>.</w:t>
            </w:r>
          </w:p>
        </w:tc>
      </w:tr>
      <w:tr w:rsidR="00C006C9" w:rsidRPr="004C51B2" w14:paraId="3BB7E3ED" w14:textId="77777777" w:rsidTr="004C51B2">
        <w:trPr>
          <w:tblCellSpacing w:w="20" w:type="dxa"/>
        </w:trPr>
        <w:tc>
          <w:tcPr>
            <w:tcW w:w="2758" w:type="dxa"/>
          </w:tcPr>
          <w:p w14:paraId="7CA824DB" w14:textId="77777777" w:rsidR="00C006C9" w:rsidRPr="004C51B2" w:rsidRDefault="00C006C9" w:rsidP="00C006C9">
            <w:pPr>
              <w:spacing w:after="200" w:line="240" w:lineRule="auto"/>
              <w:jc w:val="center"/>
              <w:rPr>
                <w:rFonts w:ascii="Traditional Arabic" w:eastAsia="Calibri" w:hAnsi="Traditional Arabic" w:cs="Traditional Arabic"/>
                <w:b/>
                <w:bCs/>
                <w:sz w:val="24"/>
                <w:szCs w:val="24"/>
                <w:lang w:bidi="ar-EG"/>
              </w:rPr>
            </w:pPr>
            <w:r w:rsidRPr="004C51B2">
              <w:rPr>
                <w:rFonts w:ascii="Traditional Arabic" w:eastAsia="Calibri" w:hAnsi="Traditional Arabic" w:cs="Traditional Arabic" w:hint="cs"/>
                <w:b/>
                <w:bCs/>
                <w:sz w:val="24"/>
                <w:szCs w:val="24"/>
                <w:lang w:bidi="ar-EG"/>
              </w:rPr>
              <w:t>Purwanto et al., 2020</w:t>
            </w:r>
          </w:p>
          <w:p w14:paraId="1E654709"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6D93C070" w14:textId="694BC6D3"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تأثير القيادة التحويلية والمعاملاتية على أداء مراكز الصحة العامة في إندونيسيا، وأظهرت نتائج إيجابية للقيادة التحويلية.</w:t>
            </w:r>
          </w:p>
        </w:tc>
        <w:tc>
          <w:tcPr>
            <w:tcW w:w="2759" w:type="dxa"/>
          </w:tcPr>
          <w:p w14:paraId="584A76AE" w14:textId="6AD0633B" w:rsidR="00C006C9" w:rsidRPr="004C51B2" w:rsidRDefault="002D7581"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مراكز صحية بإندونيسيا، دون تحليل العلاقة الوسيطة أو التركيز على سلامة المرضى</w:t>
            </w:r>
            <w:r w:rsidRPr="004C51B2">
              <w:rPr>
                <w:rFonts w:ascii="Traditional Arabic" w:hAnsi="Traditional Arabic" w:cs="Traditional Arabic" w:hint="cs"/>
                <w:b/>
                <w:bCs/>
                <w:sz w:val="24"/>
                <w:szCs w:val="24"/>
              </w:rPr>
              <w:t>.</w:t>
            </w:r>
          </w:p>
        </w:tc>
      </w:tr>
      <w:tr w:rsidR="00C006C9" w:rsidRPr="004C51B2" w14:paraId="3C8C76ED" w14:textId="77777777" w:rsidTr="004C51B2">
        <w:trPr>
          <w:tblCellSpacing w:w="20" w:type="dxa"/>
        </w:trPr>
        <w:tc>
          <w:tcPr>
            <w:tcW w:w="2758" w:type="dxa"/>
          </w:tcPr>
          <w:p w14:paraId="243F94AE" w14:textId="77777777" w:rsidR="00C006C9" w:rsidRPr="004C51B2" w:rsidRDefault="00C006C9" w:rsidP="00C006C9">
            <w:pPr>
              <w:bidi/>
              <w:spacing w:after="200" w:line="240" w:lineRule="auto"/>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lang w:bidi="ar-EG"/>
              </w:rPr>
              <w:t>Badriyah Putri Jannah (2024)</w:t>
            </w:r>
          </w:p>
          <w:p w14:paraId="215D47AA"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2B1F8CA9" w14:textId="6D02D316"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دور القيادة التحويلية في تحسين جهود سلامة المرضى بالمستشفيات، مؤكدة فعاليتها في تقليل الحوادث وتحسين جودة الخدمة</w:t>
            </w:r>
            <w:r w:rsidRPr="004C51B2">
              <w:rPr>
                <w:rFonts w:ascii="Traditional Arabic" w:hAnsi="Traditional Arabic" w:cs="Traditional Arabic" w:hint="cs"/>
                <w:b/>
                <w:bCs/>
                <w:sz w:val="24"/>
                <w:szCs w:val="24"/>
              </w:rPr>
              <w:t>.</w:t>
            </w:r>
          </w:p>
        </w:tc>
        <w:tc>
          <w:tcPr>
            <w:tcW w:w="2759" w:type="dxa"/>
          </w:tcPr>
          <w:p w14:paraId="746407CF" w14:textId="7FC18E34" w:rsidR="00C006C9" w:rsidRPr="004C51B2" w:rsidRDefault="00565903"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تناولت القيادة التحويلية وسلامة المرضى، لكنها لم تدمج إدارة المخاطر كمتغير مستقل</w:t>
            </w:r>
          </w:p>
        </w:tc>
      </w:tr>
      <w:tr w:rsidR="00C006C9" w:rsidRPr="004C51B2" w14:paraId="3B43AA59" w14:textId="77777777" w:rsidTr="004C51B2">
        <w:trPr>
          <w:tblCellSpacing w:w="20" w:type="dxa"/>
        </w:trPr>
        <w:tc>
          <w:tcPr>
            <w:tcW w:w="2758" w:type="dxa"/>
          </w:tcPr>
          <w:p w14:paraId="36378B10" w14:textId="158CB183" w:rsidR="00C006C9" w:rsidRPr="004C51B2" w:rsidRDefault="00C006C9" w:rsidP="00C006C9">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4C51B2">
              <w:rPr>
                <w:rFonts w:ascii="Traditional Arabic" w:eastAsia="Calibri" w:hAnsi="Traditional Arabic" w:cs="Traditional Arabic" w:hint="cs"/>
                <w:b/>
                <w:bCs/>
                <w:color w:val="000000" w:themeColor="text1"/>
                <w:sz w:val="24"/>
                <w:szCs w:val="24"/>
                <w:lang w:bidi="ar-EG"/>
              </w:rPr>
              <w:lastRenderedPageBreak/>
              <w:t>Stöcker</w:t>
            </w:r>
          </w:p>
          <w:p w14:paraId="0BDEB2F7" w14:textId="77777777" w:rsidR="00C006C9" w:rsidRPr="004C51B2" w:rsidRDefault="00C006C9" w:rsidP="00C006C9">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4C51B2">
              <w:rPr>
                <w:rFonts w:ascii="Traditional Arabic" w:eastAsia="Calibri" w:hAnsi="Traditional Arabic" w:cs="Traditional Arabic" w:hint="cs"/>
                <w:b/>
                <w:bCs/>
                <w:color w:val="000000" w:themeColor="text1"/>
                <w:sz w:val="24"/>
                <w:szCs w:val="24"/>
                <w:rtl/>
                <w:lang w:bidi="ar-EG"/>
              </w:rPr>
              <w:t>وآخرون 2023</w:t>
            </w:r>
          </w:p>
          <w:p w14:paraId="2D38513A"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712535CA" w14:textId="5EC7EB13"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القيادة التحويلية ورأس المال الاجتماعي كعوامل طويلة الأمد مؤثرة في سلامة المرضى، ضمن إطار بارسوني تنظيمي</w:t>
            </w:r>
          </w:p>
        </w:tc>
        <w:tc>
          <w:tcPr>
            <w:tcW w:w="2759" w:type="dxa"/>
          </w:tcPr>
          <w:p w14:paraId="3B8D6AB6" w14:textId="51E3E9D4"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w:t>
            </w:r>
            <w:r w:rsidR="00565903" w:rsidRPr="004C51B2">
              <w:rPr>
                <w:rFonts w:ascii="Traditional Arabic" w:hAnsi="Traditional Arabic" w:cs="Traditional Arabic" w:hint="cs"/>
                <w:b/>
                <w:bCs/>
                <w:sz w:val="24"/>
                <w:szCs w:val="24"/>
                <w:rtl/>
              </w:rPr>
              <w:t xml:space="preserve"> أستوكر بحثوا في القيادة ورأس المال الاجتماعي ضمن إطار تنظيمي عام.</w:t>
            </w:r>
          </w:p>
        </w:tc>
      </w:tr>
      <w:tr w:rsidR="00C006C9" w:rsidRPr="004C51B2" w14:paraId="5033540B" w14:textId="77777777" w:rsidTr="004C51B2">
        <w:trPr>
          <w:tblCellSpacing w:w="20" w:type="dxa"/>
        </w:trPr>
        <w:tc>
          <w:tcPr>
            <w:tcW w:w="2758" w:type="dxa"/>
          </w:tcPr>
          <w:p w14:paraId="25B4D7A6" w14:textId="6B706F7B"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eastAsia="Calibri" w:hAnsi="Traditional Arabic" w:cs="Traditional Arabic" w:hint="cs"/>
                <w:b/>
                <w:bCs/>
                <w:color w:val="000000" w:themeColor="text1"/>
                <w:sz w:val="24"/>
                <w:szCs w:val="24"/>
                <w:lang w:bidi="ar-EG"/>
              </w:rPr>
              <w:t xml:space="preserve">Hassan Alabdullah </w:t>
            </w:r>
            <w:r w:rsidRPr="004C51B2">
              <w:rPr>
                <w:rFonts w:ascii="Traditional Arabic" w:eastAsia="Calibri" w:hAnsi="Traditional Arabic" w:cs="Traditional Arabic" w:hint="cs"/>
                <w:b/>
                <w:bCs/>
                <w:color w:val="000000" w:themeColor="text1"/>
                <w:sz w:val="24"/>
                <w:szCs w:val="24"/>
                <w:rtl/>
                <w:lang w:bidi="ar-EG"/>
              </w:rPr>
              <w:t>&amp;</w:t>
            </w:r>
            <w:r w:rsidRPr="004C51B2">
              <w:rPr>
                <w:rFonts w:ascii="Traditional Arabic" w:eastAsia="Calibri" w:hAnsi="Traditional Arabic" w:cs="Traditional Arabic" w:hint="cs"/>
                <w:b/>
                <w:bCs/>
                <w:color w:val="000000" w:themeColor="text1"/>
                <w:sz w:val="24"/>
                <w:szCs w:val="24"/>
                <w:lang w:bidi="ar-EG"/>
              </w:rPr>
              <w:t xml:space="preserve">Waldemar Karwowski (2024)  </w:t>
            </w:r>
            <w:r w:rsidRPr="004C51B2">
              <w:rPr>
                <w:rFonts w:ascii="Traditional Arabic" w:eastAsia="Calibri" w:hAnsi="Traditional Arabic" w:cs="Traditional Arabic" w:hint="cs"/>
                <w:b/>
                <w:bCs/>
                <w:color w:val="000000" w:themeColor="text1"/>
                <w:sz w:val="24"/>
                <w:szCs w:val="24"/>
                <w:rtl/>
              </w:rPr>
              <w:t xml:space="preserve"> </w:t>
            </w:r>
            <w:r w:rsidRPr="004C51B2">
              <w:rPr>
                <w:rFonts w:ascii="Traditional Arabic" w:eastAsia="Calibri" w:hAnsi="Traditional Arabic" w:cs="Traditional Arabic" w:hint="cs"/>
                <w:b/>
                <w:bCs/>
                <w:color w:val="000000" w:themeColor="text1"/>
                <w:sz w:val="24"/>
                <w:szCs w:val="24"/>
                <w:lang w:bidi="ar-EG"/>
              </w:rPr>
              <w:t>“</w:t>
            </w:r>
          </w:p>
        </w:tc>
        <w:tc>
          <w:tcPr>
            <w:tcW w:w="2759" w:type="dxa"/>
          </w:tcPr>
          <w:p w14:paraId="2A19EAFE" w14:textId="460BCB64" w:rsidR="00C006C9" w:rsidRPr="004C51B2" w:rsidRDefault="00845ECF"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مراجعة منهجية لثقافة سلامة المرضى عالميًا، مع إبراز أهمية القيادة التحويلية في بناء بيئة صحية آمنة ومتواصلة.</w:t>
            </w:r>
          </w:p>
        </w:tc>
        <w:tc>
          <w:tcPr>
            <w:tcW w:w="2759" w:type="dxa"/>
          </w:tcPr>
          <w:p w14:paraId="3F58E418" w14:textId="062104C1" w:rsidR="00C006C9" w:rsidRPr="004C51B2" w:rsidRDefault="00565903"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قدّما مراجعة عالمية لثقافة السلامة، دون اختبار الدور الوسيط للقيادة التحويلية.</w:t>
            </w:r>
          </w:p>
        </w:tc>
      </w:tr>
      <w:tr w:rsidR="00C43DEA" w:rsidRPr="004C51B2" w14:paraId="1BDE3FD7" w14:textId="77777777" w:rsidTr="004C51B2">
        <w:trPr>
          <w:tblCellSpacing w:w="20" w:type="dxa"/>
        </w:trPr>
        <w:tc>
          <w:tcPr>
            <w:tcW w:w="2758" w:type="dxa"/>
          </w:tcPr>
          <w:p w14:paraId="63213D1A" w14:textId="000BEEC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lang w:bidi="ar-EG"/>
              </w:rPr>
              <w:t>Smith et al. (2017)</w:t>
            </w:r>
          </w:p>
        </w:tc>
        <w:tc>
          <w:tcPr>
            <w:tcW w:w="2759" w:type="dxa"/>
          </w:tcPr>
          <w:p w14:paraId="510B3803" w14:textId="3BA5D529" w:rsidR="00C43DEA" w:rsidRPr="004C51B2" w:rsidRDefault="00B05323"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تناولت القيادة التحويلية في تعزيز التفاعل التنظيمي.</w:t>
            </w:r>
          </w:p>
        </w:tc>
        <w:tc>
          <w:tcPr>
            <w:tcW w:w="2759" w:type="dxa"/>
          </w:tcPr>
          <w:p w14:paraId="3670AE5F" w14:textId="2B5C610B" w:rsidR="00C43DEA" w:rsidRPr="004C51B2" w:rsidRDefault="00B05323"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تربط القيادة التحويلية بإدارة المخاطر وسلامة المرضى في السياق الصحي.</w:t>
            </w:r>
          </w:p>
        </w:tc>
      </w:tr>
      <w:tr w:rsidR="00C43DEA" w:rsidRPr="004C51B2" w14:paraId="26DC5B8E" w14:textId="77777777" w:rsidTr="004C51B2">
        <w:trPr>
          <w:tblCellSpacing w:w="20" w:type="dxa"/>
        </w:trPr>
        <w:tc>
          <w:tcPr>
            <w:tcW w:w="2758" w:type="dxa"/>
          </w:tcPr>
          <w:p w14:paraId="4E868BBE" w14:textId="64D368C2"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lang w:bidi="ar-EG"/>
              </w:rPr>
              <w:t>Jones and Brown (2018)</w:t>
            </w:r>
          </w:p>
        </w:tc>
        <w:tc>
          <w:tcPr>
            <w:tcW w:w="2759" w:type="dxa"/>
          </w:tcPr>
          <w:p w14:paraId="1EF3DDCD" w14:textId="2D6C8114"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تحسين الأداء الإداري العام.</w:t>
            </w:r>
          </w:p>
        </w:tc>
        <w:tc>
          <w:tcPr>
            <w:tcW w:w="2759" w:type="dxa"/>
          </w:tcPr>
          <w:p w14:paraId="0C90B780" w14:textId="07FDBD1E"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لم تتناول المتغيرات الثلاث في المجال الصحي.</w:t>
            </w:r>
          </w:p>
        </w:tc>
      </w:tr>
      <w:tr w:rsidR="00C43DEA" w:rsidRPr="004C51B2" w14:paraId="0CCCCD1E" w14:textId="77777777" w:rsidTr="004C51B2">
        <w:trPr>
          <w:tblCellSpacing w:w="20" w:type="dxa"/>
        </w:trPr>
        <w:tc>
          <w:tcPr>
            <w:tcW w:w="2758" w:type="dxa"/>
          </w:tcPr>
          <w:p w14:paraId="4E370A98" w14:textId="1D66C3FB"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Al-Zahrani, S. (2018)</w:t>
            </w:r>
          </w:p>
        </w:tc>
        <w:tc>
          <w:tcPr>
            <w:tcW w:w="2759" w:type="dxa"/>
          </w:tcPr>
          <w:p w14:paraId="54877D02" w14:textId="3564B27B"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بحث في أثر القيادة التحويلية على جودة الخدمة في القطاع الصحي.</w:t>
            </w:r>
          </w:p>
        </w:tc>
        <w:tc>
          <w:tcPr>
            <w:tcW w:w="2759" w:type="dxa"/>
          </w:tcPr>
          <w:p w14:paraId="6CD39A21" w14:textId="48A1C10A"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دون تحليل العلاقة الوسيطة مع إدارة المخاطر</w:t>
            </w:r>
            <w:r w:rsidRPr="004C51B2">
              <w:rPr>
                <w:rFonts w:ascii="Traditional Arabic" w:hAnsi="Traditional Arabic" w:cs="Traditional Arabic" w:hint="cs"/>
                <w:b/>
                <w:bCs/>
                <w:sz w:val="24"/>
                <w:szCs w:val="24"/>
              </w:rPr>
              <w:t>.</w:t>
            </w:r>
          </w:p>
        </w:tc>
      </w:tr>
      <w:tr w:rsidR="00C43DEA" w:rsidRPr="004C51B2" w14:paraId="43D38441" w14:textId="77777777" w:rsidTr="004C51B2">
        <w:trPr>
          <w:tblCellSpacing w:w="20" w:type="dxa"/>
        </w:trPr>
        <w:tc>
          <w:tcPr>
            <w:tcW w:w="2758" w:type="dxa"/>
          </w:tcPr>
          <w:p w14:paraId="40F879B6" w14:textId="0A792BB6"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أحمد محمد السعيد</w:t>
            </w:r>
            <w:r w:rsidRPr="004C51B2">
              <w:rPr>
                <w:rFonts w:ascii="Traditional Arabic" w:hAnsi="Traditional Arabic" w:cs="Traditional Arabic" w:hint="cs"/>
                <w:b/>
                <w:bCs/>
                <w:sz w:val="24"/>
                <w:szCs w:val="24"/>
              </w:rPr>
              <w:t xml:space="preserve"> (2019)</w:t>
            </w:r>
          </w:p>
        </w:tc>
        <w:tc>
          <w:tcPr>
            <w:tcW w:w="2759" w:type="dxa"/>
          </w:tcPr>
          <w:p w14:paraId="30065DE5" w14:textId="4F46C76B" w:rsidR="00C43DEA" w:rsidRPr="004C51B2" w:rsidRDefault="00D971ED"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 القيادة التحويلية في تطوير بيئة العمل.</w:t>
            </w:r>
          </w:p>
        </w:tc>
        <w:tc>
          <w:tcPr>
            <w:tcW w:w="2759" w:type="dxa"/>
          </w:tcPr>
          <w:p w14:paraId="7F4CE3FE" w14:textId="5903602C" w:rsidR="00C43DEA" w:rsidRPr="004C51B2" w:rsidRDefault="00D971ED"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لم </w:t>
            </w:r>
            <w:r w:rsidRPr="004C51B2">
              <w:rPr>
                <w:rFonts w:ascii="Traditional Arabic" w:hAnsi="Traditional Arabic" w:cs="Traditional Arabic" w:hint="cs"/>
                <w:b/>
                <w:bCs/>
                <w:sz w:val="24"/>
                <w:szCs w:val="24"/>
                <w:rtl/>
              </w:rPr>
              <w:t>تربطها بتحسين سلامة المرضى من خلال إدارة المخاطر.</w:t>
            </w:r>
          </w:p>
        </w:tc>
      </w:tr>
      <w:tr w:rsidR="00C43DEA" w:rsidRPr="004C51B2" w14:paraId="1AC3D26F" w14:textId="77777777" w:rsidTr="004C51B2">
        <w:trPr>
          <w:tblCellSpacing w:w="20" w:type="dxa"/>
        </w:trPr>
        <w:tc>
          <w:tcPr>
            <w:tcW w:w="2758" w:type="dxa"/>
          </w:tcPr>
          <w:p w14:paraId="267AA752" w14:textId="658E8915"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Al-Omari et al. (2019)</w:t>
            </w:r>
          </w:p>
        </w:tc>
        <w:tc>
          <w:tcPr>
            <w:tcW w:w="2759" w:type="dxa"/>
          </w:tcPr>
          <w:p w14:paraId="3221345E" w14:textId="10F18AB3" w:rsidR="00C43DEA" w:rsidRPr="004C51B2" w:rsidRDefault="00CC745E"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المؤسسات التعليمية.</w:t>
            </w:r>
          </w:p>
        </w:tc>
        <w:tc>
          <w:tcPr>
            <w:tcW w:w="2759" w:type="dxa"/>
          </w:tcPr>
          <w:p w14:paraId="3EE2B844" w14:textId="1848FA4C" w:rsidR="00C43DEA" w:rsidRPr="004C51B2" w:rsidRDefault="00CC745E" w:rsidP="00CC745E">
            <w:pPr>
              <w:bidi/>
              <w:spacing w:after="200" w:line="276" w:lineRule="auto"/>
              <w:ind w:left="720"/>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ولم تنتمي للسياق الصحي الحكومي</w:t>
            </w:r>
            <w:r w:rsidRPr="004C51B2">
              <w:rPr>
                <w:rFonts w:ascii="Traditional Arabic" w:hAnsi="Traditional Arabic" w:cs="Traditional Arabic" w:hint="cs"/>
                <w:b/>
                <w:bCs/>
                <w:spacing w:val="-6"/>
                <w:sz w:val="24"/>
                <w:szCs w:val="24"/>
                <w:lang w:bidi="ar-EG"/>
              </w:rPr>
              <w:t>.</w:t>
            </w:r>
          </w:p>
        </w:tc>
      </w:tr>
      <w:tr w:rsidR="00C43DEA" w:rsidRPr="004C51B2" w14:paraId="58314ED8" w14:textId="77777777" w:rsidTr="004C51B2">
        <w:trPr>
          <w:tblCellSpacing w:w="20" w:type="dxa"/>
        </w:trPr>
        <w:tc>
          <w:tcPr>
            <w:tcW w:w="2758" w:type="dxa"/>
          </w:tcPr>
          <w:p w14:paraId="05FD829F" w14:textId="282DCBAA"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Khan et al. (2019)</w:t>
            </w:r>
          </w:p>
        </w:tc>
        <w:tc>
          <w:tcPr>
            <w:tcW w:w="2759" w:type="dxa"/>
          </w:tcPr>
          <w:p w14:paraId="17741C85" w14:textId="016EBACB" w:rsidR="00C43DEA" w:rsidRPr="004C51B2" w:rsidRDefault="00916022" w:rsidP="00916022">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درست القيادة التحويلية في تعزيز الالتزام الوظيفي</w:t>
            </w:r>
          </w:p>
        </w:tc>
        <w:tc>
          <w:tcPr>
            <w:tcW w:w="2759" w:type="dxa"/>
          </w:tcPr>
          <w:p w14:paraId="5C76E4B8" w14:textId="35131E37" w:rsidR="00C43DEA" w:rsidRPr="004C51B2" w:rsidRDefault="00916022"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بإدارة المخاطر أو سلامة المرضى.</w:t>
            </w:r>
          </w:p>
        </w:tc>
      </w:tr>
      <w:tr w:rsidR="00C43DEA" w:rsidRPr="004C51B2" w14:paraId="2BB5470D" w14:textId="77777777" w:rsidTr="004C51B2">
        <w:trPr>
          <w:tblCellSpacing w:w="20" w:type="dxa"/>
        </w:trPr>
        <w:tc>
          <w:tcPr>
            <w:tcW w:w="2758" w:type="dxa"/>
          </w:tcPr>
          <w:p w14:paraId="3BC97118" w14:textId="7FEAF4D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Hassan Al-Harbi (2019)</w:t>
            </w:r>
          </w:p>
        </w:tc>
        <w:tc>
          <w:tcPr>
            <w:tcW w:w="2759" w:type="dxa"/>
          </w:tcPr>
          <w:p w14:paraId="08CEB69D" w14:textId="5B75C58D"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المستشفيات السعودية.</w:t>
            </w:r>
          </w:p>
        </w:tc>
        <w:tc>
          <w:tcPr>
            <w:tcW w:w="2759" w:type="dxa"/>
          </w:tcPr>
          <w:p w14:paraId="7D406D7D" w14:textId="22732932"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يحلل دورها الوسيط بين إدارة المخاطر وسلامة المرضى.</w:t>
            </w:r>
          </w:p>
        </w:tc>
      </w:tr>
      <w:tr w:rsidR="00C43DEA" w:rsidRPr="004C51B2" w14:paraId="3569E87E" w14:textId="77777777" w:rsidTr="004C51B2">
        <w:trPr>
          <w:tblCellSpacing w:w="20" w:type="dxa"/>
        </w:trPr>
        <w:tc>
          <w:tcPr>
            <w:tcW w:w="2758" w:type="dxa"/>
          </w:tcPr>
          <w:p w14:paraId="5A565A58" w14:textId="73C01C98"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Johnson et al. (2019)</w:t>
            </w:r>
          </w:p>
        </w:tc>
        <w:tc>
          <w:tcPr>
            <w:tcW w:w="2759" w:type="dxa"/>
          </w:tcPr>
          <w:p w14:paraId="410BC6AD" w14:textId="534D0D6A"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بحثت القيادة التحويلية في بيئات متعددة الثقافات.</w:t>
            </w:r>
          </w:p>
        </w:tc>
        <w:tc>
          <w:tcPr>
            <w:tcW w:w="2759" w:type="dxa"/>
          </w:tcPr>
          <w:p w14:paraId="7BD1A9BE" w14:textId="4534B8F0"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السياق المحلي للمرافق الصحية الحكومية.</w:t>
            </w:r>
          </w:p>
        </w:tc>
      </w:tr>
      <w:tr w:rsidR="00C43DEA" w:rsidRPr="004C51B2" w14:paraId="7996D8A0" w14:textId="77777777" w:rsidTr="004C51B2">
        <w:trPr>
          <w:tblCellSpacing w:w="20" w:type="dxa"/>
        </w:trPr>
        <w:tc>
          <w:tcPr>
            <w:tcW w:w="2758" w:type="dxa"/>
          </w:tcPr>
          <w:p w14:paraId="25DC7E5F" w14:textId="2C15E57C"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lastRenderedPageBreak/>
              <w:t>Al-Mutairi et al. (2020)</w:t>
            </w:r>
          </w:p>
        </w:tc>
        <w:tc>
          <w:tcPr>
            <w:tcW w:w="2759" w:type="dxa"/>
          </w:tcPr>
          <w:p w14:paraId="13B716E3" w14:textId="3E936555" w:rsidR="00C43DEA" w:rsidRPr="004C51B2" w:rsidRDefault="009851D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ركزت على القيادة التحويلية في تحسين الأداء الفردي.</w:t>
            </w:r>
          </w:p>
        </w:tc>
        <w:tc>
          <w:tcPr>
            <w:tcW w:w="2759" w:type="dxa"/>
          </w:tcPr>
          <w:p w14:paraId="71F5B111" w14:textId="5EFB3893" w:rsidR="00C43DEA" w:rsidRPr="004C51B2" w:rsidRDefault="009851D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تناول المتغيرات المؤسسية الصحية كما في الدراسة الحالية.</w:t>
            </w:r>
          </w:p>
        </w:tc>
      </w:tr>
      <w:tr w:rsidR="00C43DEA" w:rsidRPr="004C51B2" w14:paraId="39DC1E4B" w14:textId="77777777" w:rsidTr="004C51B2">
        <w:trPr>
          <w:tblCellSpacing w:w="20" w:type="dxa"/>
        </w:trPr>
        <w:tc>
          <w:tcPr>
            <w:tcW w:w="2758" w:type="dxa"/>
          </w:tcPr>
          <w:p w14:paraId="7CF5CA66" w14:textId="5F11A00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Miller and Davis (2020)</w:t>
            </w:r>
          </w:p>
        </w:tc>
        <w:tc>
          <w:tcPr>
            <w:tcW w:w="2759" w:type="dxa"/>
          </w:tcPr>
          <w:p w14:paraId="71639412" w14:textId="7724B643" w:rsidR="00C43DEA" w:rsidRPr="004C51B2" w:rsidRDefault="007F27C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القيادة التحويلية في إدارة التغيير المؤسسي.</w:t>
            </w:r>
          </w:p>
        </w:tc>
        <w:tc>
          <w:tcPr>
            <w:tcW w:w="2759" w:type="dxa"/>
          </w:tcPr>
          <w:p w14:paraId="14346A3B" w14:textId="059CE4FF" w:rsidR="00C43DEA" w:rsidRPr="004C51B2" w:rsidRDefault="007F27C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تربطها بإدارة المخاطر وسلامة المرضى.</w:t>
            </w:r>
          </w:p>
        </w:tc>
      </w:tr>
      <w:tr w:rsidR="00C43DEA" w:rsidRPr="004C51B2" w14:paraId="518FC587" w14:textId="77777777" w:rsidTr="004C51B2">
        <w:trPr>
          <w:tblCellSpacing w:w="20" w:type="dxa"/>
        </w:trPr>
        <w:tc>
          <w:tcPr>
            <w:tcW w:w="2758" w:type="dxa"/>
          </w:tcPr>
          <w:p w14:paraId="7217004A" w14:textId="423558E1"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Al-Qahtani et al. (2020)</w:t>
            </w:r>
          </w:p>
        </w:tc>
        <w:tc>
          <w:tcPr>
            <w:tcW w:w="2759" w:type="dxa"/>
          </w:tcPr>
          <w:p w14:paraId="57C9AB73" w14:textId="492E335E" w:rsidR="00C43DEA" w:rsidRPr="004C51B2" w:rsidRDefault="0017645E"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بحثت القيادة التحويلية في تعزيز ثقافة الجودة.</w:t>
            </w:r>
          </w:p>
        </w:tc>
        <w:tc>
          <w:tcPr>
            <w:tcW w:w="2759" w:type="dxa"/>
          </w:tcPr>
          <w:p w14:paraId="6EC33331" w14:textId="40CD93C9"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مع إدارة المخاطر.</w:t>
            </w:r>
          </w:p>
        </w:tc>
      </w:tr>
      <w:tr w:rsidR="00C43DEA" w:rsidRPr="004C51B2" w14:paraId="47D10C42" w14:textId="77777777" w:rsidTr="004C51B2">
        <w:trPr>
          <w:tblCellSpacing w:w="20" w:type="dxa"/>
        </w:trPr>
        <w:tc>
          <w:tcPr>
            <w:tcW w:w="2758" w:type="dxa"/>
          </w:tcPr>
          <w:p w14:paraId="10AEEDC4" w14:textId="139F80E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عبد الله بن محمد الجهني</w:t>
            </w:r>
            <w:r w:rsidRPr="004C51B2">
              <w:rPr>
                <w:rFonts w:ascii="Traditional Arabic" w:hAnsi="Traditional Arabic" w:cs="Traditional Arabic" w:hint="cs"/>
                <w:b/>
                <w:bCs/>
                <w:sz w:val="24"/>
                <w:szCs w:val="24"/>
              </w:rPr>
              <w:t xml:space="preserve"> (2020)</w:t>
            </w:r>
          </w:p>
        </w:tc>
        <w:tc>
          <w:tcPr>
            <w:tcW w:w="2759" w:type="dxa"/>
          </w:tcPr>
          <w:p w14:paraId="08AB9EB5" w14:textId="18DFB340"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تطوير الأداء الوظيفي.</w:t>
            </w:r>
          </w:p>
        </w:tc>
        <w:tc>
          <w:tcPr>
            <w:tcW w:w="2759" w:type="dxa"/>
          </w:tcPr>
          <w:p w14:paraId="3AF44392" w14:textId="28E5242E"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من غير ما تدمجها كمتغير وسيط في بيئة صحية.</w:t>
            </w:r>
          </w:p>
        </w:tc>
      </w:tr>
      <w:tr w:rsidR="00C43DEA" w:rsidRPr="004C51B2" w14:paraId="33B655B7" w14:textId="77777777" w:rsidTr="004C51B2">
        <w:trPr>
          <w:tblCellSpacing w:w="20" w:type="dxa"/>
        </w:trPr>
        <w:tc>
          <w:tcPr>
            <w:tcW w:w="2758" w:type="dxa"/>
          </w:tcPr>
          <w:p w14:paraId="4AA8B5A8" w14:textId="69205370"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Hassan et al. (2020)</w:t>
            </w:r>
          </w:p>
        </w:tc>
        <w:tc>
          <w:tcPr>
            <w:tcW w:w="2759" w:type="dxa"/>
          </w:tcPr>
          <w:p w14:paraId="006CADBD" w14:textId="05D71263" w:rsidR="00C43DEA" w:rsidRPr="004C51B2" w:rsidRDefault="003F1C06" w:rsidP="00C43DEA">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lang w:bidi="ar-EG"/>
              </w:rPr>
              <w:t>درست القيادة التحويلية في تحسين التفاعل التنظيمي.</w:t>
            </w:r>
          </w:p>
        </w:tc>
        <w:tc>
          <w:tcPr>
            <w:tcW w:w="2759" w:type="dxa"/>
          </w:tcPr>
          <w:p w14:paraId="6451DDC9" w14:textId="4A5690F1"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بإدارة المخاطر أو سلامة المرضى.</w:t>
            </w:r>
          </w:p>
        </w:tc>
      </w:tr>
      <w:tr w:rsidR="00C43DEA" w:rsidRPr="004C51B2" w14:paraId="4B3D56FC" w14:textId="77777777" w:rsidTr="004C51B2">
        <w:trPr>
          <w:tblCellSpacing w:w="20" w:type="dxa"/>
        </w:trPr>
        <w:tc>
          <w:tcPr>
            <w:tcW w:w="2758" w:type="dxa"/>
          </w:tcPr>
          <w:p w14:paraId="54F67C4D" w14:textId="182DDAC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Sami Al-Zahrani (2021)</w:t>
            </w:r>
          </w:p>
        </w:tc>
        <w:tc>
          <w:tcPr>
            <w:tcW w:w="2759" w:type="dxa"/>
          </w:tcPr>
          <w:p w14:paraId="164D17DA" w14:textId="556F6B3F"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 القيادة التحويلية في المؤسسات التعليمية.</w:t>
            </w:r>
          </w:p>
        </w:tc>
        <w:tc>
          <w:tcPr>
            <w:tcW w:w="2759" w:type="dxa"/>
          </w:tcPr>
          <w:p w14:paraId="2698B3FA" w14:textId="17E71880" w:rsidR="00C43DEA" w:rsidRPr="004C51B2" w:rsidRDefault="003F1C06" w:rsidP="003F1C06">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تنتمي للسياق الصحي وتحلل العلاقة الثلاثية</w:t>
            </w:r>
            <w:r w:rsidRPr="004C51B2">
              <w:rPr>
                <w:rFonts w:ascii="Traditional Arabic" w:hAnsi="Traditional Arabic" w:cs="Traditional Arabic" w:hint="cs"/>
                <w:b/>
                <w:bCs/>
                <w:sz w:val="24"/>
                <w:szCs w:val="24"/>
              </w:rPr>
              <w:t>.</w:t>
            </w:r>
          </w:p>
        </w:tc>
      </w:tr>
      <w:tr w:rsidR="00C43DEA" w:rsidRPr="004C51B2" w14:paraId="35F870F6" w14:textId="77777777" w:rsidTr="004C51B2">
        <w:trPr>
          <w:tblCellSpacing w:w="20" w:type="dxa"/>
        </w:trPr>
        <w:tc>
          <w:tcPr>
            <w:tcW w:w="2758" w:type="dxa"/>
          </w:tcPr>
          <w:p w14:paraId="47E0ECCD" w14:textId="413C359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Anderson et al. (2021)</w:t>
            </w:r>
          </w:p>
        </w:tc>
        <w:tc>
          <w:tcPr>
            <w:tcW w:w="2759" w:type="dxa"/>
          </w:tcPr>
          <w:p w14:paraId="03CBDE4F" w14:textId="091AF59F" w:rsidR="00C43DEA" w:rsidRPr="004C51B2" w:rsidRDefault="003F1C06" w:rsidP="00C43DEA">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rPr>
              <w:t>تناولت القيادة التحويلية في تحسين الأداء العام.</w:t>
            </w:r>
          </w:p>
        </w:tc>
        <w:tc>
          <w:tcPr>
            <w:tcW w:w="2759" w:type="dxa"/>
          </w:tcPr>
          <w:p w14:paraId="3F1C265C" w14:textId="7BF3115C"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دورها الوسيط في بيئة صحية حكومية.</w:t>
            </w:r>
          </w:p>
        </w:tc>
      </w:tr>
      <w:tr w:rsidR="00C43DEA" w:rsidRPr="004C51B2" w14:paraId="1D175DEC" w14:textId="77777777" w:rsidTr="004C51B2">
        <w:trPr>
          <w:tblCellSpacing w:w="20" w:type="dxa"/>
        </w:trPr>
        <w:tc>
          <w:tcPr>
            <w:tcW w:w="2758" w:type="dxa"/>
          </w:tcPr>
          <w:p w14:paraId="00DEC23A" w14:textId="3DE0FEFB"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Garcia and Martinez (2022)</w:t>
            </w:r>
          </w:p>
        </w:tc>
        <w:tc>
          <w:tcPr>
            <w:tcW w:w="2759" w:type="dxa"/>
          </w:tcPr>
          <w:p w14:paraId="386749EB" w14:textId="5FC07965" w:rsidR="00C43DEA" w:rsidRPr="004C51B2" w:rsidRDefault="003F1C06"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ركزت على القيادة التحويلية في المستشفيات الخاصة.</w:t>
            </w:r>
          </w:p>
        </w:tc>
        <w:tc>
          <w:tcPr>
            <w:tcW w:w="2759" w:type="dxa"/>
          </w:tcPr>
          <w:p w14:paraId="6D8B8918" w14:textId="0A6F255E" w:rsidR="00C43DEA" w:rsidRPr="004C51B2" w:rsidRDefault="003F1C06"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تركز على المرافق الحكومية وسلامة المرضى</w:t>
            </w:r>
            <w:r w:rsidRPr="004C51B2">
              <w:rPr>
                <w:rFonts w:ascii="Traditional Arabic" w:hAnsi="Traditional Arabic" w:cs="Traditional Arabic" w:hint="cs"/>
                <w:b/>
                <w:bCs/>
                <w:sz w:val="24"/>
                <w:szCs w:val="24"/>
              </w:rPr>
              <w:t>.</w:t>
            </w:r>
          </w:p>
        </w:tc>
      </w:tr>
      <w:tr w:rsidR="00C43DEA" w:rsidRPr="004C51B2" w14:paraId="1DFE4093" w14:textId="77777777" w:rsidTr="004C51B2">
        <w:trPr>
          <w:tblCellSpacing w:w="20" w:type="dxa"/>
        </w:trPr>
        <w:tc>
          <w:tcPr>
            <w:tcW w:w="2758" w:type="dxa"/>
          </w:tcPr>
          <w:p w14:paraId="7DE2D4EE" w14:textId="7BA2B93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منصور بن عبد الرحمن العتيبي</w:t>
            </w:r>
            <w:r w:rsidRPr="004C51B2">
              <w:rPr>
                <w:rFonts w:ascii="Traditional Arabic" w:hAnsi="Traditional Arabic" w:cs="Traditional Arabic" w:hint="cs"/>
                <w:b/>
                <w:bCs/>
                <w:sz w:val="24"/>
                <w:szCs w:val="24"/>
              </w:rPr>
              <w:t xml:space="preserve"> (2022)</w:t>
            </w:r>
          </w:p>
        </w:tc>
        <w:tc>
          <w:tcPr>
            <w:tcW w:w="2759" w:type="dxa"/>
          </w:tcPr>
          <w:p w14:paraId="1C9B670B" w14:textId="511911B1"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 xml:space="preserve"> تناول القيادة التحويلية في تحفيز العاملين.</w:t>
            </w:r>
          </w:p>
        </w:tc>
        <w:tc>
          <w:tcPr>
            <w:tcW w:w="2759" w:type="dxa"/>
          </w:tcPr>
          <w:p w14:paraId="10CCDB1A" w14:textId="5F6B6299"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دون تحليل علاقتها بإدارة المخاطر وسلامة المرضى</w:t>
            </w:r>
            <w:r w:rsidRPr="004C51B2">
              <w:rPr>
                <w:rFonts w:ascii="Traditional Arabic" w:hAnsi="Traditional Arabic" w:cs="Traditional Arabic" w:hint="cs"/>
                <w:b/>
                <w:bCs/>
                <w:sz w:val="24"/>
                <w:szCs w:val="24"/>
              </w:rPr>
              <w:t>.</w:t>
            </w:r>
          </w:p>
        </w:tc>
      </w:tr>
      <w:tr w:rsidR="00C43DEA" w:rsidRPr="004C51B2" w14:paraId="7717A2C4" w14:textId="77777777" w:rsidTr="004C51B2">
        <w:trPr>
          <w:tblCellSpacing w:w="20" w:type="dxa"/>
        </w:trPr>
        <w:tc>
          <w:tcPr>
            <w:tcW w:w="2758" w:type="dxa"/>
          </w:tcPr>
          <w:p w14:paraId="2DE34A8F" w14:textId="2CA7C77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فريق باحثين (2025) – دراسة أوروبية</w:t>
            </w:r>
          </w:p>
        </w:tc>
        <w:tc>
          <w:tcPr>
            <w:tcW w:w="2759" w:type="dxa"/>
          </w:tcPr>
          <w:p w14:paraId="236D3733" w14:textId="0D7ED3F3"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بحث القيادة التحويلية في دعم اتخاذ القرار.</w:t>
            </w:r>
          </w:p>
        </w:tc>
        <w:tc>
          <w:tcPr>
            <w:tcW w:w="2759" w:type="dxa"/>
          </w:tcPr>
          <w:p w14:paraId="2FEB75EC" w14:textId="1D0947FD"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تحلل دورها الوسيط بين إدارة المخاطر وسلامة المرضى</w:t>
            </w:r>
            <w:r w:rsidRPr="004C51B2">
              <w:rPr>
                <w:rFonts w:ascii="Traditional Arabic" w:hAnsi="Traditional Arabic" w:cs="Traditional Arabic" w:hint="cs"/>
                <w:b/>
                <w:bCs/>
                <w:sz w:val="24"/>
                <w:szCs w:val="24"/>
              </w:rPr>
              <w:t>.</w:t>
            </w:r>
          </w:p>
        </w:tc>
      </w:tr>
      <w:tr w:rsidR="0025733B" w:rsidRPr="004C51B2" w14:paraId="6F46BD38" w14:textId="77777777" w:rsidTr="004C51B2">
        <w:trPr>
          <w:tblCellSpacing w:w="20" w:type="dxa"/>
        </w:trPr>
        <w:tc>
          <w:tcPr>
            <w:tcW w:w="2758" w:type="dxa"/>
          </w:tcPr>
          <w:p w14:paraId="167707A0" w14:textId="7631B54F" w:rsidR="0025733B" w:rsidRPr="004C51B2" w:rsidRDefault="0025733B" w:rsidP="0025733B">
            <w:pPr>
              <w:bidi/>
              <w:spacing w:after="200" w:line="276" w:lineRule="auto"/>
              <w:jc w:val="center"/>
              <w:rPr>
                <w:rFonts w:ascii="Traditional Arabic" w:hAnsi="Traditional Arabic" w:cs="Traditional Arabic"/>
                <w:b/>
                <w:bCs/>
                <w:spacing w:val="-6"/>
                <w:sz w:val="24"/>
                <w:szCs w:val="24"/>
                <w:lang w:bidi="ar-EG"/>
              </w:rPr>
            </w:pPr>
            <w:r w:rsidRPr="004C51B2">
              <w:rPr>
                <w:rFonts w:ascii="Traditional Arabic" w:hAnsi="Traditional Arabic" w:cs="Traditional Arabic" w:hint="cs"/>
                <w:b/>
                <w:bCs/>
                <w:spacing w:val="-6"/>
                <w:sz w:val="24"/>
                <w:szCs w:val="24"/>
                <w:rtl/>
              </w:rPr>
              <w:t>ريم وحسن</w:t>
            </w:r>
            <w:r w:rsidRPr="004C51B2">
              <w:rPr>
                <w:rFonts w:ascii="Traditional Arabic" w:hAnsi="Traditional Arabic" w:cs="Traditional Arabic" w:hint="cs"/>
                <w:b/>
                <w:bCs/>
                <w:spacing w:val="-6"/>
                <w:sz w:val="24"/>
                <w:szCs w:val="24"/>
                <w:lang w:bidi="ar-EG"/>
              </w:rPr>
              <w:t xml:space="preserve"> (2020)</w:t>
            </w:r>
          </w:p>
        </w:tc>
        <w:tc>
          <w:tcPr>
            <w:tcW w:w="2759" w:type="dxa"/>
          </w:tcPr>
          <w:p w14:paraId="155BA130" w14:textId="205739D5" w:rsidR="0025733B" w:rsidRPr="004C51B2" w:rsidRDefault="00777ECD"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ناقشا أهمية الثقافة التنظيمية في تحسين جودة الرعاية الصحية.</w:t>
            </w:r>
          </w:p>
        </w:tc>
        <w:tc>
          <w:tcPr>
            <w:tcW w:w="2759" w:type="dxa"/>
          </w:tcPr>
          <w:p w14:paraId="77436355" w14:textId="1B3CE1BC" w:rsidR="0025733B" w:rsidRPr="004C51B2" w:rsidRDefault="00777ECD"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دون التطرق إلى القيادة التحويلية أو علاقتها بإدارة المخاطر وسلامة المرضى</w:t>
            </w:r>
            <w:r w:rsidRPr="004C51B2">
              <w:rPr>
                <w:rFonts w:ascii="Traditional Arabic" w:hAnsi="Traditional Arabic" w:cs="Traditional Arabic" w:hint="cs"/>
                <w:b/>
                <w:bCs/>
                <w:sz w:val="24"/>
                <w:szCs w:val="24"/>
              </w:rPr>
              <w:t>.</w:t>
            </w:r>
          </w:p>
        </w:tc>
      </w:tr>
      <w:tr w:rsidR="0025733B" w:rsidRPr="004C51B2" w14:paraId="0ADB23F5" w14:textId="77777777" w:rsidTr="004C51B2">
        <w:trPr>
          <w:tblCellSpacing w:w="20" w:type="dxa"/>
        </w:trPr>
        <w:tc>
          <w:tcPr>
            <w:tcW w:w="2758" w:type="dxa"/>
          </w:tcPr>
          <w:p w14:paraId="24CD08BE" w14:textId="6C0580AC"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lastRenderedPageBreak/>
              <w:t>آلاء أحمد ومحمد عفيفي</w:t>
            </w:r>
            <w:r w:rsidRPr="004C51B2">
              <w:rPr>
                <w:rFonts w:ascii="Traditional Arabic" w:hAnsi="Traditional Arabic" w:cs="Traditional Arabic" w:hint="cs"/>
                <w:b/>
                <w:bCs/>
                <w:spacing w:val="-6"/>
                <w:sz w:val="24"/>
                <w:szCs w:val="24"/>
                <w:lang w:bidi="ar-EG"/>
              </w:rPr>
              <w:t xml:space="preserve"> (2021)</w:t>
            </w:r>
          </w:p>
        </w:tc>
        <w:tc>
          <w:tcPr>
            <w:tcW w:w="2759" w:type="dxa"/>
          </w:tcPr>
          <w:p w14:paraId="3987C8F8" w14:textId="7D03B2AB" w:rsidR="0025733B" w:rsidRPr="004C51B2" w:rsidRDefault="00777ECD" w:rsidP="0025733B">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rPr>
              <w:t>ركزا على تقييم برامج سلامة المرضى في المستشفيات الجامعية.</w:t>
            </w:r>
          </w:p>
        </w:tc>
        <w:tc>
          <w:tcPr>
            <w:tcW w:w="2759" w:type="dxa"/>
          </w:tcPr>
          <w:p w14:paraId="2935AA83" w14:textId="2ADF83A9"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التحويلية بإدارة المخاطر كعامل مؤثر في السلامة.</w:t>
            </w:r>
          </w:p>
        </w:tc>
      </w:tr>
      <w:tr w:rsidR="0025733B" w:rsidRPr="004C51B2" w14:paraId="23DB0E8B" w14:textId="77777777" w:rsidTr="004C51B2">
        <w:trPr>
          <w:tblCellSpacing w:w="20" w:type="dxa"/>
        </w:trPr>
        <w:tc>
          <w:tcPr>
            <w:tcW w:w="2758" w:type="dxa"/>
          </w:tcPr>
          <w:p w14:paraId="38DD28A3" w14:textId="2A2632C2"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نعيمة القصير</w:t>
            </w:r>
            <w:r w:rsidRPr="004C51B2">
              <w:rPr>
                <w:rFonts w:ascii="Traditional Arabic" w:hAnsi="Traditional Arabic" w:cs="Traditional Arabic" w:hint="cs"/>
                <w:b/>
                <w:bCs/>
                <w:spacing w:val="-6"/>
                <w:sz w:val="24"/>
                <w:szCs w:val="24"/>
                <w:lang w:bidi="ar-EG"/>
              </w:rPr>
              <w:t xml:space="preserve"> (2022)</w:t>
            </w:r>
          </w:p>
        </w:tc>
        <w:tc>
          <w:tcPr>
            <w:tcW w:w="2759" w:type="dxa"/>
          </w:tcPr>
          <w:p w14:paraId="0164E24A" w14:textId="5E4A1F82" w:rsidR="001F4BA4" w:rsidRPr="004C51B2" w:rsidRDefault="001F4BA4"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تناولت دور التمكين المهني في تعزيز سلامة المرضى.</w:t>
            </w:r>
          </w:p>
          <w:p w14:paraId="176CB7FB" w14:textId="77777777" w:rsidR="0025733B" w:rsidRPr="004C51B2" w:rsidRDefault="0025733B" w:rsidP="0025733B">
            <w:pPr>
              <w:bidi/>
              <w:spacing w:after="200" w:line="276" w:lineRule="auto"/>
              <w:jc w:val="center"/>
              <w:rPr>
                <w:rFonts w:ascii="Traditional Arabic" w:hAnsi="Traditional Arabic" w:cs="Traditional Arabic"/>
                <w:b/>
                <w:bCs/>
                <w:spacing w:val="-6"/>
                <w:sz w:val="24"/>
                <w:szCs w:val="24"/>
                <w:rtl/>
              </w:rPr>
            </w:pPr>
          </w:p>
        </w:tc>
        <w:tc>
          <w:tcPr>
            <w:tcW w:w="2759" w:type="dxa"/>
          </w:tcPr>
          <w:p w14:paraId="40DAC597" w14:textId="0D6CA301"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للقيادة التحويلية كما في الدراسة الحالية.</w:t>
            </w:r>
          </w:p>
        </w:tc>
      </w:tr>
      <w:tr w:rsidR="0025733B" w:rsidRPr="004C51B2" w14:paraId="02FD710B" w14:textId="77777777" w:rsidTr="004C51B2">
        <w:trPr>
          <w:tblCellSpacing w:w="20" w:type="dxa"/>
        </w:trPr>
        <w:tc>
          <w:tcPr>
            <w:tcW w:w="2758" w:type="dxa"/>
          </w:tcPr>
          <w:p w14:paraId="25C9B86C" w14:textId="16760216"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المركز السعودي لسلامة المرضى</w:t>
            </w:r>
            <w:r w:rsidRPr="004C51B2">
              <w:rPr>
                <w:rFonts w:ascii="Traditional Arabic" w:hAnsi="Traditional Arabic" w:cs="Traditional Arabic" w:hint="cs"/>
                <w:b/>
                <w:bCs/>
                <w:spacing w:val="-6"/>
                <w:sz w:val="24"/>
                <w:szCs w:val="24"/>
                <w:lang w:bidi="ar-EG"/>
              </w:rPr>
              <w:t xml:space="preserve"> (2022)</w:t>
            </w:r>
          </w:p>
        </w:tc>
        <w:tc>
          <w:tcPr>
            <w:tcW w:w="2759" w:type="dxa"/>
          </w:tcPr>
          <w:p w14:paraId="46B4DD7A" w14:textId="2E3F2BC8" w:rsidR="0025733B" w:rsidRPr="004C51B2" w:rsidRDefault="001F4BA4"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قدم سياسات وإرشادات لتحسين سلامة المرضى.</w:t>
            </w:r>
          </w:p>
        </w:tc>
        <w:tc>
          <w:tcPr>
            <w:tcW w:w="2759" w:type="dxa"/>
          </w:tcPr>
          <w:p w14:paraId="23A16DC9" w14:textId="2DE71BAE"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يتناول القيادة التحويلية كمتغير وسيط.</w:t>
            </w:r>
          </w:p>
        </w:tc>
      </w:tr>
      <w:tr w:rsidR="0025733B" w:rsidRPr="004C51B2" w14:paraId="08D0726B" w14:textId="77777777" w:rsidTr="004C51B2">
        <w:trPr>
          <w:tblCellSpacing w:w="20" w:type="dxa"/>
        </w:trPr>
        <w:tc>
          <w:tcPr>
            <w:tcW w:w="2758" w:type="dxa"/>
          </w:tcPr>
          <w:p w14:paraId="0CC9E3FD" w14:textId="483AD604"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منظمة الصحة العالمية</w:t>
            </w:r>
            <w:r w:rsidRPr="004C51B2">
              <w:rPr>
                <w:rFonts w:ascii="Traditional Arabic" w:hAnsi="Traditional Arabic" w:cs="Traditional Arabic" w:hint="cs"/>
                <w:b/>
                <w:bCs/>
                <w:spacing w:val="-6"/>
                <w:sz w:val="24"/>
                <w:szCs w:val="24"/>
                <w:lang w:bidi="ar-EG"/>
              </w:rPr>
              <w:t xml:space="preserve"> (2023)</w:t>
            </w:r>
          </w:p>
        </w:tc>
        <w:tc>
          <w:tcPr>
            <w:tcW w:w="2759" w:type="dxa"/>
          </w:tcPr>
          <w:p w14:paraId="383C1117" w14:textId="4BE8115E" w:rsidR="0025733B" w:rsidRPr="004C51B2" w:rsidRDefault="00020B89"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ركزت على المبادئ العامة لسلامة المرضى عالميًا.</w:t>
            </w:r>
          </w:p>
        </w:tc>
        <w:tc>
          <w:tcPr>
            <w:tcW w:w="2759" w:type="dxa"/>
          </w:tcPr>
          <w:p w14:paraId="73687153" w14:textId="2BB8F374" w:rsidR="0025733B" w:rsidRPr="004C51B2" w:rsidRDefault="00020B89"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تتناول العلاقة السببية بين القيادة وإدارة المخاطر في السياق المحلي</w:t>
            </w:r>
            <w:r w:rsidRPr="004C51B2">
              <w:rPr>
                <w:rFonts w:ascii="Traditional Arabic" w:hAnsi="Traditional Arabic" w:cs="Traditional Arabic" w:hint="cs"/>
                <w:b/>
                <w:bCs/>
                <w:sz w:val="24"/>
                <w:szCs w:val="24"/>
              </w:rPr>
              <w:t>.</w:t>
            </w:r>
          </w:p>
        </w:tc>
      </w:tr>
      <w:tr w:rsidR="0025733B" w:rsidRPr="004C51B2" w14:paraId="516BBF52" w14:textId="77777777" w:rsidTr="004C51B2">
        <w:trPr>
          <w:tblCellSpacing w:w="20" w:type="dxa"/>
        </w:trPr>
        <w:tc>
          <w:tcPr>
            <w:tcW w:w="2758" w:type="dxa"/>
          </w:tcPr>
          <w:p w14:paraId="3FC230B0" w14:textId="143130FF"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وزارة الصحة المصرية</w:t>
            </w:r>
            <w:r w:rsidRPr="004C51B2">
              <w:rPr>
                <w:rFonts w:ascii="Traditional Arabic" w:hAnsi="Traditional Arabic" w:cs="Traditional Arabic" w:hint="cs"/>
                <w:b/>
                <w:bCs/>
                <w:spacing w:val="-6"/>
                <w:sz w:val="24"/>
                <w:szCs w:val="24"/>
                <w:lang w:bidi="ar-EG"/>
              </w:rPr>
              <w:t xml:space="preserve"> (2023)</w:t>
            </w:r>
          </w:p>
        </w:tc>
        <w:tc>
          <w:tcPr>
            <w:tcW w:w="2759" w:type="dxa"/>
          </w:tcPr>
          <w:p w14:paraId="17D2A429" w14:textId="3FD7D411" w:rsidR="0025733B" w:rsidRPr="004C51B2" w:rsidRDefault="009267A7"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أصدرت تقريرًا حول مؤشرات سلامة المرضى في المستشفيات الحكومية.</w:t>
            </w:r>
          </w:p>
        </w:tc>
        <w:tc>
          <w:tcPr>
            <w:tcW w:w="2759" w:type="dxa"/>
          </w:tcPr>
          <w:p w14:paraId="06F072AB" w14:textId="5B672497" w:rsidR="0025733B" w:rsidRPr="004C51B2" w:rsidRDefault="009267A7"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دور القيادة التحويلية في تحسين تلك المؤشرات.</w:t>
            </w:r>
          </w:p>
        </w:tc>
      </w:tr>
      <w:tr w:rsidR="0025733B" w:rsidRPr="004C51B2" w14:paraId="53317B30" w14:textId="77777777" w:rsidTr="004C51B2">
        <w:trPr>
          <w:tblCellSpacing w:w="20" w:type="dxa"/>
        </w:trPr>
        <w:tc>
          <w:tcPr>
            <w:tcW w:w="2758" w:type="dxa"/>
          </w:tcPr>
          <w:p w14:paraId="62A60118" w14:textId="3E315C70"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القمة الوزارية العالمية لسلامة المرضى</w:t>
            </w:r>
            <w:r w:rsidRPr="004C51B2">
              <w:rPr>
                <w:rFonts w:ascii="Traditional Arabic" w:hAnsi="Traditional Arabic" w:cs="Traditional Arabic" w:hint="cs"/>
                <w:b/>
                <w:bCs/>
                <w:spacing w:val="-6"/>
                <w:sz w:val="24"/>
                <w:szCs w:val="24"/>
                <w:lang w:bidi="ar-EG"/>
              </w:rPr>
              <w:t xml:space="preserve"> (2023)</w:t>
            </w:r>
          </w:p>
        </w:tc>
        <w:tc>
          <w:tcPr>
            <w:tcW w:w="2759" w:type="dxa"/>
          </w:tcPr>
          <w:p w14:paraId="1584DA80" w14:textId="40CB558D" w:rsidR="0025733B" w:rsidRPr="004C51B2" w:rsidRDefault="00A84F78"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ناقشت التحديات العالمية في سلامة المرضى.</w:t>
            </w:r>
          </w:p>
        </w:tc>
        <w:tc>
          <w:tcPr>
            <w:tcW w:w="2759" w:type="dxa"/>
          </w:tcPr>
          <w:p w14:paraId="24BF1FBE" w14:textId="0B5D7AC1" w:rsidR="0025733B" w:rsidRPr="004C51B2" w:rsidRDefault="00A84F78"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تقدم نموذجًا تحليليًا تطبيقيًا في بيئة حكومية محددة.</w:t>
            </w:r>
          </w:p>
        </w:tc>
      </w:tr>
      <w:tr w:rsidR="0025733B" w:rsidRPr="004C51B2" w14:paraId="299013C3" w14:textId="77777777" w:rsidTr="004C51B2">
        <w:trPr>
          <w:tblCellSpacing w:w="20" w:type="dxa"/>
        </w:trPr>
        <w:tc>
          <w:tcPr>
            <w:tcW w:w="2758" w:type="dxa"/>
          </w:tcPr>
          <w:p w14:paraId="2C4FBF00" w14:textId="06B3F834"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HealthySimulation (2024)</w:t>
            </w:r>
          </w:p>
        </w:tc>
        <w:tc>
          <w:tcPr>
            <w:tcW w:w="2759" w:type="dxa"/>
          </w:tcPr>
          <w:p w14:paraId="0A5F1F52" w14:textId="116D8DA1" w:rsidR="0025733B" w:rsidRPr="004C51B2" w:rsidRDefault="00423CB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أهمية المحاكاة في تدريب الكوادر الصحية على السلامة.</w:t>
            </w:r>
          </w:p>
        </w:tc>
        <w:tc>
          <w:tcPr>
            <w:tcW w:w="2759" w:type="dxa"/>
          </w:tcPr>
          <w:p w14:paraId="7E4148BA" w14:textId="7E3DF789" w:rsidR="0025733B" w:rsidRPr="004C51B2" w:rsidRDefault="00423CB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بالقيادة التحويلية أو إدارة المخاطر.</w:t>
            </w:r>
          </w:p>
        </w:tc>
      </w:tr>
      <w:tr w:rsidR="0025733B" w:rsidRPr="004C51B2" w14:paraId="3307BEA6" w14:textId="77777777" w:rsidTr="004C51B2">
        <w:trPr>
          <w:tblCellSpacing w:w="20" w:type="dxa"/>
        </w:trPr>
        <w:tc>
          <w:tcPr>
            <w:tcW w:w="2758" w:type="dxa"/>
          </w:tcPr>
          <w:p w14:paraId="159E3C97" w14:textId="41458941"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منظمة الصحة العالمية</w:t>
            </w:r>
            <w:r w:rsidRPr="004C51B2">
              <w:rPr>
                <w:rFonts w:ascii="Traditional Arabic" w:hAnsi="Traditional Arabic" w:cs="Traditional Arabic" w:hint="cs"/>
                <w:b/>
                <w:bCs/>
                <w:spacing w:val="-6"/>
                <w:sz w:val="24"/>
                <w:szCs w:val="24"/>
                <w:lang w:bidi="ar-EG"/>
              </w:rPr>
              <w:t xml:space="preserve"> (2024)</w:t>
            </w:r>
            <w:r w:rsidRPr="004C51B2">
              <w:rPr>
                <w:rFonts w:ascii="Traditional Arabic" w:hAnsi="Traditional Arabic" w:cs="Traditional Arabic" w:hint="cs"/>
                <w:b/>
                <w:bCs/>
                <w:spacing w:val="-6"/>
                <w:sz w:val="24"/>
                <w:szCs w:val="24"/>
                <w:lang w:bidi="ar-EG"/>
              </w:rPr>
              <w:br/>
            </w:r>
          </w:p>
        </w:tc>
        <w:tc>
          <w:tcPr>
            <w:tcW w:w="2759" w:type="dxa"/>
          </w:tcPr>
          <w:p w14:paraId="728737B5" w14:textId="0718BADA" w:rsidR="0025733B" w:rsidRPr="004C51B2" w:rsidRDefault="0006251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ركزت على القيادة التحويلية في إدارة الأزمات الصحية مثل كوفيد-19</w:t>
            </w:r>
          </w:p>
        </w:tc>
        <w:tc>
          <w:tcPr>
            <w:tcW w:w="2759" w:type="dxa"/>
          </w:tcPr>
          <w:p w14:paraId="48710633" w14:textId="5BADE3CB" w:rsidR="0025733B" w:rsidRPr="004C51B2" w:rsidRDefault="0006251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بإدارة المخاطر وسلامة المرضى بشكل منهجي وليس ظرفي.</w:t>
            </w:r>
          </w:p>
        </w:tc>
      </w:tr>
      <w:tr w:rsidR="0006251E" w:rsidRPr="004C51B2" w14:paraId="3BFF1F7A" w14:textId="77777777" w:rsidTr="004C51B2">
        <w:trPr>
          <w:tblCellSpacing w:w="20" w:type="dxa"/>
        </w:trPr>
        <w:tc>
          <w:tcPr>
            <w:tcW w:w="2758" w:type="dxa"/>
          </w:tcPr>
          <w:p w14:paraId="4B29C444" w14:textId="25CB3F8D"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التجاني</w:t>
            </w:r>
            <w:r w:rsidRPr="004C51B2">
              <w:rPr>
                <w:rFonts w:ascii="Traditional Arabic" w:hAnsi="Traditional Arabic" w:cs="Traditional Arabic" w:hint="cs"/>
                <w:b/>
                <w:bCs/>
                <w:sz w:val="24"/>
                <w:szCs w:val="24"/>
              </w:rPr>
              <w:t xml:space="preserve"> (2020)</w:t>
            </w:r>
          </w:p>
        </w:tc>
        <w:tc>
          <w:tcPr>
            <w:tcW w:w="2759" w:type="dxa"/>
          </w:tcPr>
          <w:p w14:paraId="1C5B3601" w14:textId="1B434644"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أثر القيادة التحويلية على تحسين الأداء الوظيفي في المؤسسات العامة.</w:t>
            </w:r>
          </w:p>
        </w:tc>
        <w:tc>
          <w:tcPr>
            <w:tcW w:w="2759" w:type="dxa"/>
          </w:tcPr>
          <w:p w14:paraId="72337AE9" w14:textId="7D6D2096"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علاقتها بإدارة المخاطر أو سلامة المرضى.</w:t>
            </w:r>
          </w:p>
        </w:tc>
      </w:tr>
      <w:tr w:rsidR="0006251E" w:rsidRPr="004C51B2" w14:paraId="423B18A8" w14:textId="77777777" w:rsidTr="004C51B2">
        <w:trPr>
          <w:tblCellSpacing w:w="20" w:type="dxa"/>
        </w:trPr>
        <w:tc>
          <w:tcPr>
            <w:tcW w:w="2758" w:type="dxa"/>
          </w:tcPr>
          <w:p w14:paraId="09D2D26B" w14:textId="0151BB39"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حسين</w:t>
            </w:r>
            <w:r w:rsidRPr="004C51B2">
              <w:rPr>
                <w:rFonts w:ascii="Traditional Arabic" w:hAnsi="Traditional Arabic" w:cs="Traditional Arabic" w:hint="cs"/>
                <w:b/>
                <w:bCs/>
                <w:sz w:val="24"/>
                <w:szCs w:val="24"/>
              </w:rPr>
              <w:t xml:space="preserve"> (2020)</w:t>
            </w:r>
          </w:p>
        </w:tc>
        <w:tc>
          <w:tcPr>
            <w:tcW w:w="2759" w:type="dxa"/>
          </w:tcPr>
          <w:p w14:paraId="77DF09F1" w14:textId="41ED9932"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تعزيز الالتزام التنظيمي.</w:t>
            </w:r>
          </w:p>
        </w:tc>
        <w:tc>
          <w:tcPr>
            <w:tcW w:w="2759" w:type="dxa"/>
          </w:tcPr>
          <w:p w14:paraId="428D4FCC" w14:textId="16A763BC"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بإدارة المخاطر كعامل مؤثر في السلامة الصحية.</w:t>
            </w:r>
          </w:p>
        </w:tc>
      </w:tr>
      <w:tr w:rsidR="0006251E" w:rsidRPr="004C51B2" w14:paraId="6F288CF5" w14:textId="77777777" w:rsidTr="004C51B2">
        <w:trPr>
          <w:tblCellSpacing w:w="20" w:type="dxa"/>
        </w:trPr>
        <w:tc>
          <w:tcPr>
            <w:tcW w:w="2758" w:type="dxa"/>
          </w:tcPr>
          <w:p w14:paraId="702DACCF" w14:textId="3788399F"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رزق الله وطيبي</w:t>
            </w:r>
            <w:r w:rsidRPr="004C51B2">
              <w:rPr>
                <w:rFonts w:ascii="Traditional Arabic" w:hAnsi="Traditional Arabic" w:cs="Traditional Arabic" w:hint="cs"/>
                <w:b/>
                <w:bCs/>
                <w:sz w:val="24"/>
                <w:szCs w:val="24"/>
              </w:rPr>
              <w:t xml:space="preserve"> (2021)</w:t>
            </w:r>
          </w:p>
        </w:tc>
        <w:tc>
          <w:tcPr>
            <w:tcW w:w="2759" w:type="dxa"/>
          </w:tcPr>
          <w:p w14:paraId="234B81DA" w14:textId="25D238BB" w:rsidR="0006251E" w:rsidRPr="004C51B2" w:rsidRDefault="003D1399"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بحثا في العلاقة بين القيادة التحويلية والرضا الوظيفي.</w:t>
            </w:r>
          </w:p>
        </w:tc>
        <w:tc>
          <w:tcPr>
            <w:tcW w:w="2759" w:type="dxa"/>
          </w:tcPr>
          <w:p w14:paraId="22C15D64" w14:textId="12D6D05D"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التطرق إلى المتغيرات الصحية أو الوساطة التحليلية.</w:t>
            </w:r>
          </w:p>
        </w:tc>
      </w:tr>
      <w:tr w:rsidR="0006251E" w:rsidRPr="004C51B2" w14:paraId="7D28DC0A" w14:textId="77777777" w:rsidTr="004C51B2">
        <w:trPr>
          <w:tblCellSpacing w:w="20" w:type="dxa"/>
        </w:trPr>
        <w:tc>
          <w:tcPr>
            <w:tcW w:w="2758" w:type="dxa"/>
          </w:tcPr>
          <w:p w14:paraId="5F02A005" w14:textId="00176049"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lastRenderedPageBreak/>
              <w:t>الغامدي وعثمان</w:t>
            </w:r>
            <w:r w:rsidRPr="004C51B2">
              <w:rPr>
                <w:rFonts w:ascii="Traditional Arabic" w:hAnsi="Traditional Arabic" w:cs="Traditional Arabic" w:hint="cs"/>
                <w:b/>
                <w:bCs/>
                <w:sz w:val="24"/>
                <w:szCs w:val="24"/>
              </w:rPr>
              <w:t xml:space="preserve"> (2022)</w:t>
            </w:r>
          </w:p>
        </w:tc>
        <w:tc>
          <w:tcPr>
            <w:tcW w:w="2759" w:type="dxa"/>
          </w:tcPr>
          <w:p w14:paraId="02C1CE0A" w14:textId="42FAB45D"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تناولا القيادة التحويلية في المستشفيات السعودية.</w:t>
            </w:r>
          </w:p>
        </w:tc>
        <w:tc>
          <w:tcPr>
            <w:tcW w:w="2759" w:type="dxa"/>
          </w:tcPr>
          <w:p w14:paraId="600A1086" w14:textId="0FCE50D1"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 دون تحليل دورها الوسيط بين إدارة المخاطر وسلامة المرضى.</w:t>
            </w:r>
          </w:p>
        </w:tc>
      </w:tr>
      <w:tr w:rsidR="0006251E" w:rsidRPr="004C51B2" w14:paraId="54B56BCE" w14:textId="77777777" w:rsidTr="004C51B2">
        <w:trPr>
          <w:tblCellSpacing w:w="20" w:type="dxa"/>
        </w:trPr>
        <w:tc>
          <w:tcPr>
            <w:tcW w:w="2758" w:type="dxa"/>
          </w:tcPr>
          <w:p w14:paraId="238E6A0A" w14:textId="1BD56F1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طلبه النجار</w:t>
            </w:r>
            <w:r w:rsidRPr="004C51B2">
              <w:rPr>
                <w:rFonts w:ascii="Traditional Arabic" w:hAnsi="Traditional Arabic" w:cs="Traditional Arabic" w:hint="cs"/>
                <w:b/>
                <w:bCs/>
                <w:sz w:val="24"/>
                <w:szCs w:val="24"/>
              </w:rPr>
              <w:t xml:space="preserve"> (2023)</w:t>
            </w:r>
          </w:p>
        </w:tc>
        <w:tc>
          <w:tcPr>
            <w:tcW w:w="2759" w:type="dxa"/>
          </w:tcPr>
          <w:p w14:paraId="2986C598" w14:textId="47F522EA"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تطوير بيئة العمل.</w:t>
            </w:r>
          </w:p>
        </w:tc>
        <w:tc>
          <w:tcPr>
            <w:tcW w:w="2759" w:type="dxa"/>
          </w:tcPr>
          <w:p w14:paraId="32572865" w14:textId="79C60E89"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تقدم نموذجًا سببيًا يربط القيادة بإدارة المخاطر وسلامة المرضى.</w:t>
            </w:r>
          </w:p>
        </w:tc>
      </w:tr>
      <w:tr w:rsidR="0006251E" w:rsidRPr="004C51B2" w14:paraId="1A851BF1" w14:textId="77777777" w:rsidTr="004C51B2">
        <w:trPr>
          <w:tblCellSpacing w:w="20" w:type="dxa"/>
        </w:trPr>
        <w:tc>
          <w:tcPr>
            <w:tcW w:w="2758" w:type="dxa"/>
          </w:tcPr>
          <w:p w14:paraId="5A8299F6" w14:textId="6613A364"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عامر وأبوزيد والدمياطي</w:t>
            </w:r>
            <w:r w:rsidRPr="004C51B2">
              <w:rPr>
                <w:rFonts w:ascii="Traditional Arabic" w:hAnsi="Traditional Arabic" w:cs="Traditional Arabic" w:hint="cs"/>
                <w:b/>
                <w:bCs/>
                <w:sz w:val="24"/>
                <w:szCs w:val="24"/>
              </w:rPr>
              <w:t xml:space="preserve"> (2023)</w:t>
            </w:r>
          </w:p>
        </w:tc>
        <w:tc>
          <w:tcPr>
            <w:tcW w:w="2759" w:type="dxa"/>
          </w:tcPr>
          <w:p w14:paraId="5F5947C9" w14:textId="5E80AAE4"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تناولوا القيادة التحويلية في تحسين جودة الخدمة.</w:t>
            </w:r>
          </w:p>
        </w:tc>
        <w:tc>
          <w:tcPr>
            <w:tcW w:w="2759" w:type="dxa"/>
          </w:tcPr>
          <w:p w14:paraId="7F23C68D" w14:textId="2458D6C4"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أو التركيز على المرافق الحكومية.</w:t>
            </w:r>
          </w:p>
        </w:tc>
      </w:tr>
      <w:tr w:rsidR="0006251E" w:rsidRPr="004C51B2" w14:paraId="05D5A089" w14:textId="77777777" w:rsidTr="004C51B2">
        <w:trPr>
          <w:tblCellSpacing w:w="20" w:type="dxa"/>
        </w:trPr>
        <w:tc>
          <w:tcPr>
            <w:tcW w:w="2758" w:type="dxa"/>
          </w:tcPr>
          <w:p w14:paraId="7F8DA4D2" w14:textId="1A70193C"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Bagga, Gera &amp; Haque (2023)</w:t>
            </w:r>
          </w:p>
        </w:tc>
        <w:tc>
          <w:tcPr>
            <w:tcW w:w="2759" w:type="dxa"/>
          </w:tcPr>
          <w:p w14:paraId="77F8F5EF" w14:textId="530AE7C8"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درسوا القيادة التحويلية في السياق الهندي لتحسين الأداء المؤسسي.</w:t>
            </w:r>
          </w:p>
        </w:tc>
        <w:tc>
          <w:tcPr>
            <w:tcW w:w="2759" w:type="dxa"/>
          </w:tcPr>
          <w:p w14:paraId="24FFD686" w14:textId="621EEB2F"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تنتمي لسياق صحي حكومي عربي.</w:t>
            </w:r>
          </w:p>
        </w:tc>
      </w:tr>
      <w:tr w:rsidR="0006251E" w:rsidRPr="004C51B2" w14:paraId="47C0DDBF" w14:textId="77777777" w:rsidTr="004C51B2">
        <w:trPr>
          <w:tblCellSpacing w:w="20" w:type="dxa"/>
        </w:trPr>
        <w:tc>
          <w:tcPr>
            <w:tcW w:w="2758" w:type="dxa"/>
          </w:tcPr>
          <w:p w14:paraId="6A26A5FF" w14:textId="5984C77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آل مرزوق</w:t>
            </w:r>
            <w:r w:rsidRPr="004C51B2">
              <w:rPr>
                <w:rFonts w:ascii="Traditional Arabic" w:hAnsi="Traditional Arabic" w:cs="Traditional Arabic" w:hint="cs"/>
                <w:b/>
                <w:bCs/>
                <w:sz w:val="24"/>
                <w:szCs w:val="24"/>
              </w:rPr>
              <w:t xml:space="preserve"> (2023)</w:t>
            </w:r>
          </w:p>
        </w:tc>
        <w:tc>
          <w:tcPr>
            <w:tcW w:w="2759" w:type="dxa"/>
          </w:tcPr>
          <w:p w14:paraId="67BB09A4" w14:textId="3118383C"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تعزيز ثقافة السلامة.</w:t>
            </w:r>
          </w:p>
        </w:tc>
        <w:tc>
          <w:tcPr>
            <w:tcW w:w="2759" w:type="dxa"/>
          </w:tcPr>
          <w:p w14:paraId="0D6DC8E6" w14:textId="320511F2"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يتناول إدارة المخاطر كمتغير مستقل أو القيادة كوسيط.</w:t>
            </w:r>
          </w:p>
        </w:tc>
      </w:tr>
      <w:tr w:rsidR="0006251E" w:rsidRPr="004C51B2" w14:paraId="22811DFF" w14:textId="77777777" w:rsidTr="004C51B2">
        <w:trPr>
          <w:tblCellSpacing w:w="20" w:type="dxa"/>
        </w:trPr>
        <w:tc>
          <w:tcPr>
            <w:tcW w:w="2758" w:type="dxa"/>
          </w:tcPr>
          <w:p w14:paraId="4D07B916" w14:textId="55E53B0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الخضران</w:t>
            </w:r>
            <w:r w:rsidRPr="004C51B2">
              <w:rPr>
                <w:rFonts w:ascii="Traditional Arabic" w:hAnsi="Traditional Arabic" w:cs="Traditional Arabic" w:hint="cs"/>
                <w:b/>
                <w:bCs/>
                <w:sz w:val="24"/>
                <w:szCs w:val="24"/>
              </w:rPr>
              <w:t xml:space="preserve"> (2023)</w:t>
            </w:r>
          </w:p>
        </w:tc>
        <w:tc>
          <w:tcPr>
            <w:tcW w:w="2759" w:type="dxa"/>
          </w:tcPr>
          <w:p w14:paraId="3C544C85" w14:textId="58D81D17"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المؤسسات التعليمية.</w:t>
            </w:r>
          </w:p>
        </w:tc>
        <w:tc>
          <w:tcPr>
            <w:tcW w:w="2759" w:type="dxa"/>
          </w:tcPr>
          <w:p w14:paraId="090867C1" w14:textId="6EB23045"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تنتمي للقطاع الصحي وتحلل العلاقة الثلاثية.</w:t>
            </w:r>
          </w:p>
        </w:tc>
      </w:tr>
      <w:tr w:rsidR="0006251E" w:rsidRPr="004C51B2" w14:paraId="320A998C" w14:textId="77777777" w:rsidTr="004C51B2">
        <w:trPr>
          <w:tblCellSpacing w:w="20" w:type="dxa"/>
        </w:trPr>
        <w:tc>
          <w:tcPr>
            <w:tcW w:w="2758" w:type="dxa"/>
          </w:tcPr>
          <w:p w14:paraId="4E689308" w14:textId="56168616"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أحمد محمود أحمد</w:t>
            </w:r>
            <w:r w:rsidRPr="004C51B2">
              <w:rPr>
                <w:rFonts w:ascii="Traditional Arabic" w:hAnsi="Traditional Arabic" w:cs="Traditional Arabic" w:hint="cs"/>
                <w:b/>
                <w:bCs/>
                <w:sz w:val="24"/>
                <w:szCs w:val="24"/>
              </w:rPr>
              <w:t xml:space="preserve"> (2024)</w:t>
            </w:r>
          </w:p>
        </w:tc>
        <w:tc>
          <w:tcPr>
            <w:tcW w:w="2759" w:type="dxa"/>
          </w:tcPr>
          <w:p w14:paraId="1CDD7A1E" w14:textId="301637B9"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 القيادة التحويلية في إدارة التغيير.</w:t>
            </w:r>
          </w:p>
        </w:tc>
        <w:tc>
          <w:tcPr>
            <w:tcW w:w="2759" w:type="dxa"/>
          </w:tcPr>
          <w:p w14:paraId="77A28D10" w14:textId="16C76F26"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دون ربطها بإدارة المخاطر أو سلامة المرضى كما في </w:t>
            </w:r>
            <w:r w:rsidR="0023492D" w:rsidRPr="004C51B2">
              <w:rPr>
                <w:rFonts w:ascii="Traditional Arabic" w:hAnsi="Traditional Arabic" w:cs="Traditional Arabic" w:hint="cs"/>
                <w:b/>
                <w:bCs/>
                <w:spacing w:val="-6"/>
                <w:sz w:val="24"/>
                <w:szCs w:val="24"/>
                <w:rtl/>
                <w:lang w:bidi="ar-EG"/>
              </w:rPr>
              <w:t>الدراسة الحالية</w:t>
            </w:r>
            <w:r w:rsidRPr="004C51B2">
              <w:rPr>
                <w:rFonts w:ascii="Traditional Arabic" w:hAnsi="Traditional Arabic" w:cs="Traditional Arabic" w:hint="cs"/>
                <w:b/>
                <w:bCs/>
                <w:spacing w:val="-6"/>
                <w:sz w:val="24"/>
                <w:szCs w:val="24"/>
                <w:rtl/>
                <w:lang w:bidi="ar-EG"/>
              </w:rPr>
              <w:t>.</w:t>
            </w:r>
          </w:p>
        </w:tc>
      </w:tr>
      <w:tr w:rsidR="0006251E" w:rsidRPr="004C51B2" w14:paraId="2635F36F" w14:textId="77777777" w:rsidTr="004C51B2">
        <w:trPr>
          <w:tblCellSpacing w:w="20" w:type="dxa"/>
        </w:trPr>
        <w:tc>
          <w:tcPr>
            <w:tcW w:w="2758" w:type="dxa"/>
          </w:tcPr>
          <w:p w14:paraId="5BB157B7" w14:textId="6207255E"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بلاك بيرد</w:t>
            </w:r>
            <w:r w:rsidRPr="004C51B2">
              <w:rPr>
                <w:rFonts w:ascii="Traditional Arabic" w:hAnsi="Traditional Arabic" w:cs="Traditional Arabic" w:hint="cs"/>
                <w:b/>
                <w:bCs/>
                <w:sz w:val="24"/>
                <w:szCs w:val="24"/>
              </w:rPr>
              <w:t xml:space="preserve"> (2025)</w:t>
            </w:r>
          </w:p>
        </w:tc>
        <w:tc>
          <w:tcPr>
            <w:tcW w:w="2759" w:type="dxa"/>
          </w:tcPr>
          <w:p w14:paraId="3D7EE8BD" w14:textId="7F20F086"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بيئات متعددة الثقافات.</w:t>
            </w:r>
          </w:p>
        </w:tc>
        <w:tc>
          <w:tcPr>
            <w:tcW w:w="2759" w:type="dxa"/>
          </w:tcPr>
          <w:p w14:paraId="48B36BA8" w14:textId="7B987C27"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السياق المحلي للمرافق الصحية الحكومية.</w:t>
            </w:r>
          </w:p>
        </w:tc>
      </w:tr>
      <w:tr w:rsidR="0006251E" w:rsidRPr="004C51B2" w14:paraId="44EFB85C" w14:textId="77777777" w:rsidTr="004C51B2">
        <w:trPr>
          <w:tblCellSpacing w:w="20" w:type="dxa"/>
        </w:trPr>
        <w:tc>
          <w:tcPr>
            <w:tcW w:w="2758" w:type="dxa"/>
          </w:tcPr>
          <w:p w14:paraId="7EC8B646" w14:textId="4731634F"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أماني محمد وآخرين</w:t>
            </w:r>
            <w:r w:rsidRPr="004C51B2">
              <w:rPr>
                <w:rFonts w:ascii="Traditional Arabic" w:hAnsi="Traditional Arabic" w:cs="Traditional Arabic" w:hint="cs"/>
                <w:b/>
                <w:bCs/>
                <w:sz w:val="24"/>
                <w:szCs w:val="24"/>
              </w:rPr>
              <w:t xml:space="preserve"> (2025)</w:t>
            </w:r>
          </w:p>
        </w:tc>
        <w:tc>
          <w:tcPr>
            <w:tcW w:w="2759" w:type="dxa"/>
          </w:tcPr>
          <w:p w14:paraId="75058A2C" w14:textId="5DF76EB9"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إمكانية تطبيق أبعاد القيادة التحويلية في إدارات المدارس الثانوية.</w:t>
            </w:r>
          </w:p>
        </w:tc>
        <w:tc>
          <w:tcPr>
            <w:tcW w:w="2759" w:type="dxa"/>
          </w:tcPr>
          <w:p w14:paraId="7092A5CE" w14:textId="08B371CA"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تطبق القيادة التحويلية كمتغير وسيط في بيئة صحية حكومية، مع تحليل إحصائي للعلاقة بين إدارة المخاطر وسلامة المرضى.</w:t>
            </w:r>
          </w:p>
        </w:tc>
      </w:tr>
    </w:tbl>
    <w:p w14:paraId="46A2C232" w14:textId="3357DCEA" w:rsidR="00CE27B9" w:rsidRPr="00BB230D" w:rsidRDefault="00CE27B9" w:rsidP="00CE27B9">
      <w:pPr>
        <w:bidi/>
        <w:spacing w:after="200" w:line="276" w:lineRule="auto"/>
        <w:jc w:val="center"/>
        <w:rPr>
          <w:rFonts w:ascii="Traditional Arabic" w:hAnsi="Traditional Arabic" w:cs="Traditional Arabic"/>
          <w:b/>
          <w:bCs/>
          <w:color w:val="000000" w:themeColor="text1"/>
          <w:spacing w:val="-6"/>
          <w:sz w:val="24"/>
          <w:szCs w:val="24"/>
          <w:rtl/>
          <w:lang w:bidi="ar-EG"/>
        </w:rPr>
      </w:pPr>
      <w:r w:rsidRPr="00BB230D">
        <w:rPr>
          <w:rFonts w:ascii="Traditional Arabic" w:hAnsi="Traditional Arabic" w:cs="Traditional Arabic" w:hint="cs"/>
          <w:b/>
          <w:bCs/>
          <w:color w:val="000000" w:themeColor="text1"/>
          <w:spacing w:val="-6"/>
          <w:sz w:val="24"/>
          <w:szCs w:val="24"/>
          <w:rtl/>
          <w:lang w:bidi="ar-EG"/>
        </w:rPr>
        <w:t>إعدداد الباحثة إعتماداً على الدراسات السابقة المرجعية.</w:t>
      </w:r>
    </w:p>
    <w:p w14:paraId="667A59E1" w14:textId="77777777" w:rsidR="00CE27B9" w:rsidRDefault="00CE27B9" w:rsidP="00CE27B9">
      <w:pPr>
        <w:bidi/>
        <w:spacing w:after="200" w:line="276" w:lineRule="auto"/>
        <w:jc w:val="both"/>
        <w:rPr>
          <w:rFonts w:ascii="Simplified Arabic" w:hAnsi="Simplified Arabic" w:cs="Simplified Arabic"/>
          <w:b/>
          <w:bCs/>
          <w:color w:val="4F81BD" w:themeColor="accent1"/>
          <w:spacing w:val="-6"/>
          <w:sz w:val="32"/>
          <w:szCs w:val="32"/>
          <w:u w:val="single"/>
          <w:rtl/>
          <w:lang w:bidi="ar-EG"/>
        </w:rPr>
      </w:pPr>
    </w:p>
    <w:p w14:paraId="4539FE1C" w14:textId="77777777" w:rsidR="00BB230D" w:rsidRDefault="00BB230D" w:rsidP="00BB230D">
      <w:pPr>
        <w:bidi/>
        <w:spacing w:after="200" w:line="276" w:lineRule="auto"/>
        <w:jc w:val="both"/>
        <w:rPr>
          <w:rFonts w:ascii="Traditional Arabic" w:hAnsi="Traditional Arabic" w:cs="Traditional Arabic"/>
          <w:b/>
          <w:bCs/>
          <w:color w:val="4F81BD" w:themeColor="accent1"/>
          <w:spacing w:val="-6"/>
          <w:sz w:val="28"/>
          <w:szCs w:val="28"/>
          <w:u w:val="single"/>
          <w:lang w:bidi="ar-EG"/>
        </w:rPr>
      </w:pPr>
    </w:p>
    <w:p w14:paraId="260963C5" w14:textId="77777777" w:rsidR="00BB230D" w:rsidRDefault="00BB230D" w:rsidP="00BB230D">
      <w:pPr>
        <w:bidi/>
        <w:spacing w:after="200" w:line="276" w:lineRule="auto"/>
        <w:jc w:val="both"/>
        <w:rPr>
          <w:rFonts w:ascii="Traditional Arabic" w:hAnsi="Traditional Arabic" w:cs="Traditional Arabic"/>
          <w:b/>
          <w:bCs/>
          <w:color w:val="4F81BD" w:themeColor="accent1"/>
          <w:spacing w:val="-6"/>
          <w:sz w:val="28"/>
          <w:szCs w:val="28"/>
          <w:u w:val="single"/>
          <w:lang w:bidi="ar-EG"/>
        </w:rPr>
      </w:pPr>
    </w:p>
    <w:p w14:paraId="5FBCEEC2" w14:textId="5CD65861" w:rsidR="00187016" w:rsidRPr="00BB230D" w:rsidRDefault="00187016" w:rsidP="00BB230D">
      <w:pPr>
        <w:bidi/>
        <w:spacing w:after="200" w:line="276" w:lineRule="auto"/>
        <w:jc w:val="both"/>
        <w:rPr>
          <w:rFonts w:ascii="Traditional Arabic" w:hAnsi="Traditional Arabic" w:cs="Traditional Arabic"/>
          <w:b/>
          <w:bCs/>
          <w:color w:val="4F81BD" w:themeColor="accent1"/>
          <w:spacing w:val="-6"/>
          <w:sz w:val="28"/>
          <w:szCs w:val="28"/>
          <w:u w:val="single"/>
          <w:rtl/>
          <w:lang w:bidi="ar-EG"/>
        </w:rPr>
      </w:pPr>
      <w:r w:rsidRPr="00BB230D">
        <w:rPr>
          <w:rFonts w:ascii="Traditional Arabic" w:hAnsi="Traditional Arabic" w:cs="Traditional Arabic" w:hint="cs"/>
          <w:b/>
          <w:bCs/>
          <w:color w:val="4F81BD" w:themeColor="accent1"/>
          <w:spacing w:val="-6"/>
          <w:sz w:val="28"/>
          <w:szCs w:val="28"/>
          <w:u w:val="single"/>
          <w:rtl/>
          <w:lang w:bidi="ar-EG"/>
        </w:rPr>
        <w:lastRenderedPageBreak/>
        <w:t>دراسات سابقة تجمع الثلاث متغيرات " إدارة المخاطر- سلامة المرضى – القيادة التحويلية":</w:t>
      </w:r>
    </w:p>
    <w:p w14:paraId="5BEE5004" w14:textId="77777777" w:rsidR="00DF78B3" w:rsidRPr="00BB230D" w:rsidRDefault="00187016" w:rsidP="00BB230D">
      <w:pPr>
        <w:bidi/>
        <w:spacing w:after="200" w:line="360" w:lineRule="auto"/>
        <w:ind w:firstLine="720"/>
        <w:jc w:val="both"/>
        <w:rPr>
          <w:rFonts w:ascii="Traditional Arabic" w:hAnsi="Traditional Arabic" w:cs="Traditional Arabic"/>
          <w:spacing w:val="-6"/>
          <w:sz w:val="24"/>
          <w:szCs w:val="24"/>
          <w:rtl/>
        </w:rPr>
      </w:pPr>
      <w:r w:rsidRPr="00BB230D">
        <w:rPr>
          <w:rFonts w:ascii="Traditional Arabic" w:hAnsi="Traditional Arabic" w:cs="Traditional Arabic" w:hint="cs"/>
          <w:b/>
          <w:bCs/>
          <w:spacing w:val="-6"/>
          <w:sz w:val="24"/>
          <w:szCs w:val="24"/>
          <w:rtl/>
        </w:rPr>
        <w:t xml:space="preserve">هدفت دراسة سعد آل عزام وفايز بن ظفره (2023) </w:t>
      </w:r>
      <w:r w:rsidRPr="00BB230D">
        <w:rPr>
          <w:rFonts w:ascii="Traditional Arabic" w:hAnsi="Traditional Arabic" w:cs="Traditional Arabic" w:hint="cs"/>
          <w:spacing w:val="-6"/>
          <w:sz w:val="24"/>
          <w:szCs w:val="24"/>
          <w:rtl/>
        </w:rPr>
        <w:t xml:space="preserve">إلى التعرف على دور القيادة التحويلية في إدارة الأزمة الصحية خلال جائحة كوفيد-19 في إمارة منطقة عسير، حيث أظهرت النتائج وجود علاقة ارتباطية قوية بين القيادة التحويلية وتطبيق الإجراءات الصحية، مما ساهم في تعزيز الاستجابة المجتمعية وتقليل آثار الأزمة. </w:t>
      </w:r>
    </w:p>
    <w:p w14:paraId="3C994F0F" w14:textId="77777777" w:rsidR="00DF78B3" w:rsidRPr="00BB230D" w:rsidRDefault="00187016" w:rsidP="00BB230D">
      <w:pPr>
        <w:bidi/>
        <w:spacing w:after="200" w:line="360" w:lineRule="auto"/>
        <w:ind w:firstLine="720"/>
        <w:jc w:val="both"/>
        <w:rPr>
          <w:rFonts w:ascii="Traditional Arabic" w:hAnsi="Traditional Arabic" w:cs="Traditional Arabic"/>
          <w:spacing w:val="-6"/>
          <w:sz w:val="24"/>
          <w:szCs w:val="24"/>
          <w:rtl/>
        </w:rPr>
      </w:pPr>
      <w:r w:rsidRPr="00BB230D">
        <w:rPr>
          <w:rFonts w:ascii="Traditional Arabic" w:hAnsi="Traditional Arabic" w:cs="Traditional Arabic" w:hint="cs"/>
          <w:b/>
          <w:bCs/>
          <w:spacing w:val="-6"/>
          <w:sz w:val="24"/>
          <w:szCs w:val="24"/>
          <w:rtl/>
        </w:rPr>
        <w:t>أما دراسة ماجد بن عزيز الغامدي ومزمل عثمان (2023)،</w:t>
      </w:r>
      <w:r w:rsidRPr="00BB230D">
        <w:rPr>
          <w:rFonts w:ascii="Traditional Arabic" w:hAnsi="Traditional Arabic" w:cs="Traditional Arabic" w:hint="cs"/>
          <w:spacing w:val="-6"/>
          <w:sz w:val="24"/>
          <w:szCs w:val="24"/>
          <w:rtl/>
        </w:rPr>
        <w:t xml:space="preserve"> فقد هدفت إلى قياس أثر القيادة التحويلية على إدارة الأزمات الصحية في مستشفى الملك عبدالله ببيشة، وتوصلت إلى أن أبعاد القيادة التحويلية مثل التأثير المثالي والدافعية الإلهامية والاستثارة الفكرية لها تأثير إيجابي ودال إحصائيًا على فاعلية إدارة الأزمات الصحية</w:t>
      </w:r>
      <w:r w:rsidR="00DF78B3" w:rsidRPr="00BB230D">
        <w:rPr>
          <w:rFonts w:ascii="Traditional Arabic" w:hAnsi="Traditional Arabic" w:cs="Traditional Arabic" w:hint="cs"/>
          <w:spacing w:val="-6"/>
          <w:sz w:val="24"/>
          <w:szCs w:val="24"/>
          <w:rtl/>
        </w:rPr>
        <w:t>.</w:t>
      </w:r>
    </w:p>
    <w:p w14:paraId="6E207C3D" w14:textId="6BBC947C" w:rsidR="00187016" w:rsidRPr="00C13925" w:rsidRDefault="00187016" w:rsidP="00C13925">
      <w:pPr>
        <w:bidi/>
        <w:spacing w:after="200" w:line="360" w:lineRule="auto"/>
        <w:ind w:firstLine="720"/>
        <w:jc w:val="both"/>
        <w:rPr>
          <w:rFonts w:ascii="Traditional Arabic" w:hAnsi="Traditional Arabic" w:cs="Traditional Arabic"/>
          <w:spacing w:val="-6"/>
          <w:sz w:val="24"/>
          <w:szCs w:val="24"/>
          <w:rtl/>
          <w:lang w:bidi="ar-EG"/>
        </w:rPr>
      </w:pPr>
      <w:r w:rsidRPr="00C13925">
        <w:rPr>
          <w:rFonts w:ascii="Traditional Arabic" w:hAnsi="Traditional Arabic" w:cs="Traditional Arabic" w:hint="cs"/>
          <w:spacing w:val="-6"/>
          <w:sz w:val="24"/>
          <w:szCs w:val="24"/>
          <w:rtl/>
        </w:rPr>
        <w:t xml:space="preserve"> </w:t>
      </w:r>
      <w:r w:rsidRPr="00C13925">
        <w:rPr>
          <w:rFonts w:ascii="Traditional Arabic" w:hAnsi="Traditional Arabic" w:cs="Traditional Arabic" w:hint="cs"/>
          <w:b/>
          <w:bCs/>
          <w:spacing w:val="-6"/>
          <w:sz w:val="24"/>
          <w:szCs w:val="24"/>
          <w:rtl/>
        </w:rPr>
        <w:t>وفي دراسة أبرار السلمي ومحمد حداد (2024)،</w:t>
      </w:r>
      <w:r w:rsidRPr="00C13925">
        <w:rPr>
          <w:rFonts w:ascii="Traditional Arabic" w:hAnsi="Traditional Arabic" w:cs="Traditional Arabic" w:hint="cs"/>
          <w:spacing w:val="-6"/>
          <w:sz w:val="24"/>
          <w:szCs w:val="24"/>
          <w:rtl/>
        </w:rPr>
        <w:t xml:space="preserve"> تم التركيز على وزارة الصحة بمحافظة جدة، حيث هدفت إلى الكشف عن مدى توفر أبعاد القيادة التحويلية وأثرها في تعزيز فاعلية إدارة الأزمات، وأظهرت النتائج أن القيادة التحويلية تفسر ما نسبته 79.2% من التغير في فاعلية إدارة الأزمات، مع تأثير بارز للتمكين والاستثارة الفكرية، بينما كان للاعتبار الفردي تأثير سلبي</w:t>
      </w:r>
      <w:r w:rsidRPr="00C13925">
        <w:rPr>
          <w:rFonts w:ascii="Traditional Arabic" w:hAnsi="Traditional Arabic" w:cs="Traditional Arabic" w:hint="cs"/>
          <w:spacing w:val="-6"/>
          <w:sz w:val="24"/>
          <w:szCs w:val="24"/>
          <w:lang w:bidi="ar-EG"/>
        </w:rPr>
        <w:t>.</w:t>
      </w:r>
    </w:p>
    <w:p w14:paraId="095121C1" w14:textId="711C4D28" w:rsidR="00187016" w:rsidRPr="00C13925" w:rsidRDefault="00187016" w:rsidP="00C13925">
      <w:pPr>
        <w:bidi/>
        <w:spacing w:after="200" w:line="360" w:lineRule="auto"/>
        <w:ind w:firstLine="720"/>
        <w:jc w:val="both"/>
        <w:rPr>
          <w:rFonts w:ascii="Traditional Arabic" w:hAnsi="Traditional Arabic" w:cs="Traditional Arabic"/>
          <w:spacing w:val="-6"/>
          <w:sz w:val="24"/>
          <w:szCs w:val="24"/>
          <w:lang w:bidi="ar-EG"/>
        </w:rPr>
      </w:pPr>
      <w:r w:rsidRPr="00C13925">
        <w:rPr>
          <w:rFonts w:ascii="Traditional Arabic" w:hAnsi="Traditional Arabic" w:cs="Traditional Arabic" w:hint="cs"/>
          <w:b/>
          <w:bCs/>
          <w:spacing w:val="-6"/>
          <w:sz w:val="24"/>
          <w:szCs w:val="24"/>
          <w:rtl/>
          <w:lang w:bidi="ar-EG"/>
        </w:rPr>
        <w:t xml:space="preserve">وهدفت </w:t>
      </w:r>
      <w:r w:rsidRPr="00C13925">
        <w:rPr>
          <w:rFonts w:ascii="Traditional Arabic" w:hAnsi="Traditional Arabic" w:cs="Traditional Arabic" w:hint="cs"/>
          <w:b/>
          <w:bCs/>
          <w:spacing w:val="-6"/>
          <w:sz w:val="24"/>
          <w:szCs w:val="24"/>
          <w:rtl/>
        </w:rPr>
        <w:t>دراسة</w:t>
      </w:r>
      <w:r w:rsidRPr="00C13925">
        <w:rPr>
          <w:rFonts w:ascii="Traditional Arabic" w:hAnsi="Traditional Arabic" w:cs="Traditional Arabic" w:hint="cs"/>
          <w:b/>
          <w:bCs/>
          <w:spacing w:val="-6"/>
          <w:sz w:val="24"/>
          <w:szCs w:val="24"/>
          <w:lang w:bidi="ar-EG"/>
        </w:rPr>
        <w:t xml:space="preserve"> Hamdan et al. (2024</w:t>
      </w:r>
      <w:r w:rsidR="00DF78B3" w:rsidRPr="00C13925">
        <w:rPr>
          <w:rFonts w:ascii="Traditional Arabic" w:hAnsi="Traditional Arabic" w:cs="Traditional Arabic" w:hint="cs"/>
          <w:b/>
          <w:bCs/>
          <w:spacing w:val="-6"/>
          <w:sz w:val="24"/>
          <w:szCs w:val="24"/>
          <w:lang w:bidi="ar-EG"/>
        </w:rPr>
        <w:t>)</w:t>
      </w:r>
      <w:r w:rsidRPr="00C13925">
        <w:rPr>
          <w:rFonts w:ascii="Traditional Arabic" w:hAnsi="Traditional Arabic" w:cs="Traditional Arabic" w:hint="cs"/>
          <w:b/>
          <w:bCs/>
          <w:spacing w:val="-6"/>
          <w:sz w:val="24"/>
          <w:szCs w:val="24"/>
          <w:lang w:bidi="ar-EG"/>
        </w:rPr>
        <w:t xml:space="preserve"> The Association of Transformational Leadership on Safety Practices Among Nurses</w:t>
      </w:r>
      <w:r w:rsidR="00A53834" w:rsidRPr="00C13925">
        <w:rPr>
          <w:rFonts w:ascii="Traditional Arabic" w:hAnsi="Traditional Arabic" w:cs="Traditional Arabic" w:hint="cs"/>
          <w:b/>
          <w:bCs/>
          <w:spacing w:val="-6"/>
          <w:sz w:val="24"/>
          <w:szCs w:val="24"/>
          <w:rtl/>
          <w:lang w:bidi="ar-EG"/>
        </w:rPr>
        <w:t xml:space="preserve"> </w:t>
      </w:r>
      <w:r w:rsidRPr="00C13925">
        <w:rPr>
          <w:rFonts w:ascii="Traditional Arabic" w:hAnsi="Traditional Arabic" w:cs="Traditional Arabic" w:hint="cs"/>
          <w:spacing w:val="-6"/>
          <w:sz w:val="24"/>
          <w:szCs w:val="24"/>
          <w:rtl/>
        </w:rPr>
        <w:t>إلى تحليل العلاقة بين القيادة التحويلية وسلامة المرضى، مع التركيز على الدور الوسيط لثقافة سلامة المرضى في تحسين ممارسات السلامة التمريضية. تم تطبيق الدراسة في مدينة الملك سعود الطبية بالرياض، وشملت عينة مكونة من 200 ممرضة باستخدام أسلوب العينة العشوائية</w:t>
      </w:r>
      <w:r w:rsidR="00DF78B3" w:rsidRPr="00C13925">
        <w:rPr>
          <w:rFonts w:ascii="Traditional Arabic" w:hAnsi="Traditional Arabic" w:cs="Traditional Arabic" w:hint="cs"/>
          <w:spacing w:val="-6"/>
          <w:sz w:val="24"/>
          <w:szCs w:val="24"/>
          <w:rtl/>
          <w:lang w:bidi="ar-EG"/>
        </w:rPr>
        <w:t>،</w:t>
      </w:r>
      <w:r w:rsidRPr="00C13925">
        <w:rPr>
          <w:rFonts w:ascii="Traditional Arabic" w:hAnsi="Traditional Arabic" w:cs="Traditional Arabic" w:hint="cs"/>
          <w:spacing w:val="-6"/>
          <w:sz w:val="24"/>
          <w:szCs w:val="24"/>
          <w:rtl/>
        </w:rPr>
        <w:t xml:space="preserve"> </w:t>
      </w:r>
      <w:r w:rsidR="00DF78B3" w:rsidRPr="00C13925">
        <w:rPr>
          <w:rFonts w:ascii="Traditional Arabic" w:hAnsi="Traditional Arabic" w:cs="Traditional Arabic" w:hint="cs"/>
          <w:spacing w:val="-6"/>
          <w:sz w:val="24"/>
          <w:szCs w:val="24"/>
          <w:rtl/>
        </w:rPr>
        <w:t>و</w:t>
      </w:r>
      <w:r w:rsidRPr="00C13925">
        <w:rPr>
          <w:rFonts w:ascii="Traditional Arabic" w:hAnsi="Traditional Arabic" w:cs="Traditional Arabic" w:hint="cs"/>
          <w:spacing w:val="-6"/>
          <w:sz w:val="24"/>
          <w:szCs w:val="24"/>
          <w:rtl/>
        </w:rPr>
        <w:t>استخدم الباحثون ثلاث أدوات رئيسية</w:t>
      </w:r>
      <w:r w:rsidRPr="00C13925">
        <w:rPr>
          <w:rFonts w:ascii="Traditional Arabic" w:hAnsi="Traditional Arabic" w:cs="Traditional Arabic" w:hint="cs"/>
          <w:spacing w:val="-6"/>
          <w:sz w:val="24"/>
          <w:szCs w:val="24"/>
          <w:lang w:bidi="ar-EG"/>
        </w:rPr>
        <w:t xml:space="preserve">: </w:t>
      </w:r>
      <w:r w:rsidRPr="00C13925">
        <w:rPr>
          <w:rFonts w:ascii="Traditional Arabic" w:hAnsi="Traditional Arabic" w:cs="Traditional Arabic" w:hint="cs"/>
          <w:spacing w:val="-6"/>
          <w:sz w:val="24"/>
          <w:szCs w:val="24"/>
          <w:rtl/>
        </w:rPr>
        <w:t>استبيان القيادة متعددة العوامل</w:t>
      </w:r>
      <w:r w:rsidRPr="00C13925">
        <w:rPr>
          <w:rFonts w:ascii="Traditional Arabic" w:hAnsi="Traditional Arabic" w:cs="Traditional Arabic" w:hint="cs"/>
          <w:spacing w:val="-6"/>
          <w:sz w:val="24"/>
          <w:szCs w:val="24"/>
          <w:lang w:bidi="ar-EG"/>
        </w:rPr>
        <w:t xml:space="preserve"> (MLQ)</w:t>
      </w:r>
      <w:r w:rsidRPr="00C13925">
        <w:rPr>
          <w:rFonts w:ascii="Traditional Arabic" w:hAnsi="Traditional Arabic" w:cs="Traditional Arabic" w:hint="cs"/>
          <w:spacing w:val="-6"/>
          <w:sz w:val="24"/>
          <w:szCs w:val="24"/>
          <w:rtl/>
        </w:rPr>
        <w:t>، استبيان ثقافة سلامة المرضى</w:t>
      </w:r>
      <w:r w:rsidRPr="00C13925">
        <w:rPr>
          <w:rFonts w:ascii="Traditional Arabic" w:hAnsi="Traditional Arabic" w:cs="Traditional Arabic" w:hint="cs"/>
          <w:spacing w:val="-6"/>
          <w:sz w:val="24"/>
          <w:szCs w:val="24"/>
          <w:lang w:bidi="ar-EG"/>
        </w:rPr>
        <w:t xml:space="preserve"> (HSOPSC)</w:t>
      </w:r>
      <w:r w:rsidRPr="00C13925">
        <w:rPr>
          <w:rFonts w:ascii="Traditional Arabic" w:hAnsi="Traditional Arabic" w:cs="Traditional Arabic" w:hint="cs"/>
          <w:spacing w:val="-6"/>
          <w:sz w:val="24"/>
          <w:szCs w:val="24"/>
          <w:rtl/>
        </w:rPr>
        <w:t>، واستبيان خاص بممارسات السلامة التمريضية</w:t>
      </w:r>
      <w:r w:rsidRPr="00C13925">
        <w:rPr>
          <w:rFonts w:ascii="Traditional Arabic" w:hAnsi="Traditional Arabic" w:cs="Traditional Arabic" w:hint="cs"/>
          <w:spacing w:val="-6"/>
          <w:sz w:val="24"/>
          <w:szCs w:val="24"/>
          <w:lang w:bidi="ar-EG"/>
        </w:rPr>
        <w:t>.</w:t>
      </w:r>
      <w:r w:rsidRPr="00C13925">
        <w:rPr>
          <w:rFonts w:ascii="Traditional Arabic" w:hAnsi="Traditional Arabic" w:cs="Traditional Arabic" w:hint="cs"/>
          <w:spacing w:val="-6"/>
          <w:sz w:val="24"/>
          <w:szCs w:val="24"/>
          <w:rtl/>
        </w:rPr>
        <w:t xml:space="preserve"> أظهرت النتائج وجود علاقة إيجابية قوية بين القيادة التحويلية وممارسات السلامة، كما تبين أن ثقافة سلامة المرضى تلعب دورًا وسيطًا في تعزيز هذه العلاقة. وأوصت الدراسة بضرورة تطوير مهارات القيادة التحويلية لدى مديري التمريض، وقياس ثقافة السلامة بشكل دوري لضمان تحسين الأداء السريري وتقليل المخاطر</w:t>
      </w:r>
      <w:r w:rsidRPr="00C13925">
        <w:rPr>
          <w:rFonts w:ascii="Traditional Arabic" w:hAnsi="Traditional Arabic" w:cs="Traditional Arabic" w:hint="cs"/>
          <w:spacing w:val="-6"/>
          <w:sz w:val="24"/>
          <w:szCs w:val="24"/>
          <w:lang w:bidi="ar-EG"/>
        </w:rPr>
        <w:t xml:space="preserve"> </w:t>
      </w:r>
      <w:r w:rsidRPr="00C13925">
        <w:rPr>
          <w:rFonts w:ascii="Traditional Arabic" w:hAnsi="Traditional Arabic" w:cs="Traditional Arabic" w:hint="cs"/>
          <w:spacing w:val="-6"/>
          <w:sz w:val="24"/>
          <w:szCs w:val="24"/>
          <w:rtl/>
          <w:lang w:bidi="ar-EG"/>
        </w:rPr>
        <w:t>.</w:t>
      </w:r>
    </w:p>
    <w:p w14:paraId="6B84A5BE" w14:textId="77777777" w:rsidR="00D662B8" w:rsidRDefault="00187016" w:rsidP="00C13925">
      <w:pPr>
        <w:bidi/>
        <w:spacing w:after="200" w:line="360" w:lineRule="auto"/>
        <w:ind w:firstLine="720"/>
        <w:jc w:val="both"/>
        <w:rPr>
          <w:rFonts w:ascii="Traditional Arabic" w:hAnsi="Traditional Arabic" w:cs="Traditional Arabic"/>
          <w:spacing w:val="-6"/>
          <w:sz w:val="24"/>
          <w:szCs w:val="24"/>
          <w:rtl/>
          <w:lang w:bidi="ar-EG"/>
        </w:rPr>
      </w:pPr>
      <w:r w:rsidRPr="00C13925">
        <w:rPr>
          <w:rFonts w:ascii="Traditional Arabic" w:hAnsi="Traditional Arabic" w:cs="Traditional Arabic" w:hint="cs"/>
          <w:b/>
          <w:bCs/>
          <w:spacing w:val="-6"/>
          <w:sz w:val="24"/>
          <w:szCs w:val="24"/>
          <w:rtl/>
          <w:lang w:bidi="ar-EG"/>
        </w:rPr>
        <w:t xml:space="preserve">كما تناولت </w:t>
      </w:r>
      <w:r w:rsidRPr="00C13925">
        <w:rPr>
          <w:rFonts w:ascii="Traditional Arabic" w:hAnsi="Traditional Arabic" w:cs="Traditional Arabic" w:hint="cs"/>
          <w:b/>
          <w:bCs/>
          <w:spacing w:val="-6"/>
          <w:sz w:val="24"/>
          <w:szCs w:val="24"/>
          <w:rtl/>
        </w:rPr>
        <w:t>دراسة</w:t>
      </w:r>
      <w:r w:rsidRPr="00C13925">
        <w:rPr>
          <w:rFonts w:ascii="Traditional Arabic" w:hAnsi="Traditional Arabic" w:cs="Traditional Arabic" w:hint="cs"/>
          <w:b/>
          <w:bCs/>
          <w:spacing w:val="-6"/>
          <w:sz w:val="24"/>
          <w:szCs w:val="24"/>
          <w:lang w:bidi="ar-EG"/>
        </w:rPr>
        <w:t xml:space="preserve"> Pfaff &amp; Braithwaite (2020</w:t>
      </w:r>
      <w:r w:rsidR="00DF78B3" w:rsidRPr="00C13925">
        <w:rPr>
          <w:rFonts w:ascii="Traditional Arabic" w:hAnsi="Traditional Arabic" w:cs="Traditional Arabic" w:hint="cs"/>
          <w:b/>
          <w:bCs/>
          <w:spacing w:val="-6"/>
          <w:sz w:val="24"/>
          <w:szCs w:val="24"/>
          <w:lang w:bidi="ar-EG"/>
        </w:rPr>
        <w:t>)</w:t>
      </w:r>
      <w:r w:rsidRPr="00C13925">
        <w:rPr>
          <w:rFonts w:ascii="Traditional Arabic" w:hAnsi="Traditional Arabic" w:cs="Traditional Arabic" w:hint="cs"/>
          <w:b/>
          <w:bCs/>
          <w:spacing w:val="-6"/>
          <w:sz w:val="24"/>
          <w:szCs w:val="24"/>
          <w:lang w:bidi="ar-EG"/>
        </w:rPr>
        <w:t xml:space="preserve"> A Parsonian Approach to Patient Safety</w:t>
      </w:r>
      <w:r w:rsidR="00DF78B3" w:rsidRPr="00C13925">
        <w:rPr>
          <w:rFonts w:ascii="Traditional Arabic" w:hAnsi="Traditional Arabic" w:cs="Traditional Arabic" w:hint="cs"/>
          <w:b/>
          <w:bCs/>
          <w:spacing w:val="-6"/>
          <w:sz w:val="24"/>
          <w:szCs w:val="24"/>
          <w:rtl/>
          <w:lang w:bidi="ar-EG"/>
        </w:rPr>
        <w:t xml:space="preserve"> </w:t>
      </w:r>
      <w:r w:rsidRPr="00C13925">
        <w:rPr>
          <w:rFonts w:ascii="Traditional Arabic" w:hAnsi="Traditional Arabic" w:cs="Traditional Arabic" w:hint="cs"/>
          <w:spacing w:val="-6"/>
          <w:sz w:val="24"/>
          <w:szCs w:val="24"/>
          <w:rtl/>
        </w:rPr>
        <w:t>العلاقة بين القيادة التحويلية، رأس المال الاجتماعي، وإدارة المخاطر السريرية في المستشفيات الألمانية، من خلال نموذج نظري مستند إلى مفهوم</w:t>
      </w:r>
      <w:r w:rsidRPr="00C13925">
        <w:rPr>
          <w:rFonts w:ascii="Traditional Arabic" w:hAnsi="Traditional Arabic" w:cs="Traditional Arabic" w:hint="cs"/>
          <w:spacing w:val="-6"/>
          <w:sz w:val="24"/>
          <w:szCs w:val="24"/>
          <w:lang w:bidi="ar-EG"/>
        </w:rPr>
        <w:t xml:space="preserve"> AGIL </w:t>
      </w:r>
      <w:r w:rsidRPr="00C13925">
        <w:rPr>
          <w:rFonts w:ascii="Traditional Arabic" w:hAnsi="Traditional Arabic" w:cs="Traditional Arabic" w:hint="cs"/>
          <w:spacing w:val="-6"/>
          <w:sz w:val="24"/>
          <w:szCs w:val="24"/>
          <w:rtl/>
        </w:rPr>
        <w:t>لطالكوت بارسونز</w:t>
      </w:r>
      <w:r w:rsidRPr="00C13925">
        <w:rPr>
          <w:rFonts w:ascii="Traditional Arabic" w:hAnsi="Traditional Arabic" w:cs="Traditional Arabic" w:hint="cs"/>
          <w:spacing w:val="-6"/>
          <w:sz w:val="24"/>
          <w:szCs w:val="24"/>
          <w:lang w:bidi="ar-EG"/>
        </w:rPr>
        <w:t>.</w:t>
      </w:r>
      <w:r w:rsidR="00D16CAC" w:rsidRPr="00C13925">
        <w:rPr>
          <w:rFonts w:ascii="Traditional Arabic" w:hAnsi="Traditional Arabic" w:cs="Traditional Arabic" w:hint="cs"/>
          <w:spacing w:val="-6"/>
          <w:sz w:val="24"/>
          <w:szCs w:val="24"/>
          <w:rtl/>
        </w:rPr>
        <w:t xml:space="preserve"> </w:t>
      </w:r>
      <w:r w:rsidRPr="00C13925">
        <w:rPr>
          <w:rFonts w:ascii="Traditional Arabic" w:hAnsi="Traditional Arabic" w:cs="Traditional Arabic" w:hint="cs"/>
          <w:spacing w:val="-6"/>
          <w:sz w:val="24"/>
          <w:szCs w:val="24"/>
          <w:rtl/>
        </w:rPr>
        <w:t>شملت الدراسة عينة من 551 مديرًا طبيًا في مستشفيات ألمانية تحتوي على أقسام داخلية وجراحية، باستخدام منهج وصفي تحليلي واستبيانات ميدانية</w:t>
      </w:r>
      <w:r w:rsidRPr="00C13925">
        <w:rPr>
          <w:rFonts w:ascii="Traditional Arabic" w:hAnsi="Traditional Arabic" w:cs="Traditional Arabic" w:hint="cs"/>
          <w:spacing w:val="-6"/>
          <w:sz w:val="24"/>
          <w:szCs w:val="24"/>
          <w:lang w:bidi="ar-EG"/>
        </w:rPr>
        <w:t>.</w:t>
      </w:r>
      <w:r w:rsidRPr="00C13925">
        <w:rPr>
          <w:rFonts w:ascii="Traditional Arabic" w:hAnsi="Traditional Arabic" w:cs="Traditional Arabic" w:hint="cs"/>
          <w:spacing w:val="-6"/>
          <w:sz w:val="24"/>
          <w:szCs w:val="24"/>
          <w:rtl/>
        </w:rPr>
        <w:t xml:space="preserve"> أظهرت النتائج أن وجود قيادة تحويلية فعالة ورأس مال اجتماعي قوي يسهمان في تحسين إدارة المخاطر السريرية، وتعزيز سلامة المرضى</w:t>
      </w:r>
      <w:r w:rsidR="00D16CAC" w:rsidRPr="00C13925">
        <w:rPr>
          <w:rFonts w:ascii="Traditional Arabic" w:hAnsi="Traditional Arabic" w:cs="Traditional Arabic" w:hint="cs"/>
          <w:spacing w:val="-6"/>
          <w:sz w:val="24"/>
          <w:szCs w:val="24"/>
          <w:rtl/>
        </w:rPr>
        <w:t>،</w:t>
      </w:r>
      <w:r w:rsidRPr="00C13925">
        <w:rPr>
          <w:rFonts w:ascii="Traditional Arabic" w:hAnsi="Traditional Arabic" w:cs="Traditional Arabic" w:hint="cs"/>
          <w:spacing w:val="-6"/>
          <w:sz w:val="24"/>
          <w:szCs w:val="24"/>
          <w:rtl/>
        </w:rPr>
        <w:t xml:space="preserve"> وقد فسّر النموذج المقترح 17.9% من التباين في فعالية إدارة المخاطر، مما يدل على أهمية التكامل بين القيادة والثقافة التنظيمية لتحقيق نتائج آمنة في الرعاية الصحية</w:t>
      </w:r>
      <w:r w:rsidRPr="00C13925">
        <w:rPr>
          <w:rFonts w:ascii="Traditional Arabic" w:hAnsi="Traditional Arabic" w:cs="Traditional Arabic" w:hint="cs"/>
          <w:spacing w:val="-6"/>
          <w:sz w:val="24"/>
          <w:szCs w:val="24"/>
          <w:lang w:bidi="ar-EG"/>
        </w:rPr>
        <w:t xml:space="preserve"> </w:t>
      </w:r>
      <w:r w:rsidR="0086422C">
        <w:rPr>
          <w:rFonts w:ascii="Traditional Arabic" w:hAnsi="Traditional Arabic" w:cs="Traditional Arabic" w:hint="cs"/>
          <w:spacing w:val="-6"/>
          <w:sz w:val="24"/>
          <w:szCs w:val="24"/>
          <w:rtl/>
          <w:lang w:bidi="ar-EG"/>
        </w:rPr>
        <w:t>.</w:t>
      </w:r>
    </w:p>
    <w:p w14:paraId="07B3D9E0" w14:textId="77777777" w:rsidR="00C74EAC" w:rsidRPr="00C74EAC" w:rsidRDefault="00C74EAC" w:rsidP="00C74EAC">
      <w:pPr>
        <w:bidi/>
        <w:spacing w:after="200" w:line="360" w:lineRule="auto"/>
        <w:jc w:val="both"/>
        <w:rPr>
          <w:rFonts w:ascii="Traditional Arabic" w:hAnsi="Traditional Arabic" w:cs="Traditional Arabic"/>
          <w:b/>
          <w:bCs/>
          <w:spacing w:val="-6"/>
          <w:sz w:val="24"/>
          <w:szCs w:val="24"/>
          <w:rtl/>
          <w:lang w:bidi="ar-EG"/>
        </w:rPr>
      </w:pPr>
      <w:r w:rsidRPr="00C74EAC">
        <w:rPr>
          <w:rFonts w:ascii="Traditional Arabic" w:hAnsi="Traditional Arabic" w:cs="Traditional Arabic" w:hint="cs"/>
          <w:b/>
          <w:bCs/>
          <w:spacing w:val="-6"/>
          <w:sz w:val="24"/>
          <w:szCs w:val="24"/>
          <w:rtl/>
          <w:lang w:bidi="ar-EG"/>
        </w:rPr>
        <w:lastRenderedPageBreak/>
        <w:t>خلاصة :</w:t>
      </w:r>
    </w:p>
    <w:p w14:paraId="74CFEF7C" w14:textId="77777777" w:rsidR="00C74EAC" w:rsidRPr="00C74EAC" w:rsidRDefault="00C74EAC" w:rsidP="00C74EAC">
      <w:pPr>
        <w:bidi/>
        <w:spacing w:after="200" w:line="360" w:lineRule="auto"/>
        <w:jc w:val="both"/>
        <w:rPr>
          <w:rFonts w:ascii="Traditional Arabic" w:hAnsi="Traditional Arabic" w:cs="Traditional Arabic"/>
          <w:spacing w:val="-6"/>
          <w:sz w:val="24"/>
          <w:szCs w:val="24"/>
          <w:lang w:bidi="ar-EG"/>
        </w:rPr>
      </w:pPr>
      <w:r w:rsidRPr="00C74EAC">
        <w:rPr>
          <w:rFonts w:ascii="Traditional Arabic" w:hAnsi="Traditional Arabic" w:cs="Traditional Arabic"/>
          <w:spacing w:val="-6"/>
          <w:sz w:val="24"/>
          <w:szCs w:val="24"/>
          <w:rtl/>
        </w:rPr>
        <w:t>إدارة المخاطر والقيادة التحويلية وسلامة المرضى تشكّل ثلاثية مترابطة في بيئة الرعاية الصحية الحديثة. فإدارة المخاطر هي الأداة المنهجية التي تحدد التهديدات المحتملة وتضع خططًا وقائية لتقليل آثارها، بينما تأتي القيادة التحويلية لتُفعّل هذه الخطط عبر إلهام العاملين وتحفيزهم على الالتزام بثقافة السلامة، من خلال أبعادها الأربعة: التأثير المثالي، التحفيز الإلهامي، الاستثارة الفكرية، والاعتبار الفردي. وعندما تتكامل هذه العناصر، تتحقق سلامة المرضى بشكل ملموس عبر تقليل الأخطاء الطبية، رفع جودة الخدمة، وتعزيز ثقة المجتمع بالمؤسسات الصحية. إن الجمع بين إدارة المخاطر والقيادة التحويلية يخلق بيئة عمل آمنة وفعّالة، حيث يصبح تحسين سلامة المرضى هدفًا استراتيجيًا لا مجرد إجراء وقائي</w:t>
      </w:r>
      <w:r w:rsidRPr="00C74EAC">
        <w:rPr>
          <w:rFonts w:ascii="Traditional Arabic" w:hAnsi="Traditional Arabic" w:cs="Traditional Arabic"/>
          <w:spacing w:val="-6"/>
          <w:sz w:val="24"/>
          <w:szCs w:val="24"/>
          <w:lang w:bidi="ar-EG"/>
        </w:rPr>
        <w:t>.</w:t>
      </w:r>
    </w:p>
    <w:p w14:paraId="690D6273" w14:textId="7F7B95BA" w:rsidR="00C74EAC" w:rsidRPr="00C74EAC" w:rsidRDefault="00C74EAC" w:rsidP="00C74EAC">
      <w:pPr>
        <w:bidi/>
        <w:spacing w:after="200" w:line="360" w:lineRule="auto"/>
        <w:jc w:val="both"/>
        <w:rPr>
          <w:rFonts w:ascii="Traditional Arabic" w:hAnsi="Traditional Arabic" w:cs="Traditional Arabic"/>
          <w:spacing w:val="-6"/>
          <w:sz w:val="24"/>
          <w:szCs w:val="24"/>
          <w:lang w:bidi="ar-EG"/>
        </w:rPr>
        <w:sectPr w:rsidR="00C74EAC" w:rsidRPr="00C74EAC" w:rsidSect="004C51B2">
          <w:footerReference w:type="default" r:id="rId4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25"/>
          <w:cols w:space="708"/>
          <w:bidi/>
          <w:rtlGutter/>
          <w:docGrid w:linePitch="360"/>
        </w:sectPr>
      </w:pPr>
    </w:p>
    <w:p w14:paraId="356AC2C0" w14:textId="77777777" w:rsidR="0086422C" w:rsidRDefault="0086422C" w:rsidP="0086422C">
      <w:pPr>
        <w:bidi/>
        <w:spacing w:after="200" w:line="276" w:lineRule="auto"/>
        <w:jc w:val="both"/>
        <w:rPr>
          <w:rFonts w:ascii="Simplified Arabic" w:hAnsi="Simplified Arabic" w:cs="Simplified Arabic"/>
          <w:spacing w:val="-6"/>
          <w:sz w:val="28"/>
          <w:szCs w:val="28"/>
          <w:rtl/>
          <w:lang w:bidi="ar-EG"/>
        </w:rPr>
      </w:pPr>
    </w:p>
    <w:p w14:paraId="032EF8F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D78AD48"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0F3112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296075D"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24788D0"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5824B0F" w14:textId="77777777" w:rsidR="0086422C" w:rsidRDefault="0086422C" w:rsidP="00C31C4E">
      <w:pPr>
        <w:bidi/>
        <w:spacing w:after="200" w:line="276" w:lineRule="auto"/>
        <w:jc w:val="center"/>
        <w:rPr>
          <w:rFonts w:ascii="Traditional Arabic" w:hAnsi="Traditional Arabic" w:cs="Traditional Arabic"/>
          <w:b/>
          <w:bCs/>
          <w:spacing w:val="-6"/>
          <w:sz w:val="144"/>
          <w:szCs w:val="144"/>
          <w:rtl/>
          <w:lang w:bidi="ar-EG"/>
        </w:rPr>
      </w:pPr>
      <w:r w:rsidRPr="0086422C">
        <w:rPr>
          <w:rFonts w:ascii="Traditional Arabic" w:hAnsi="Traditional Arabic" w:cs="Traditional Arabic" w:hint="cs"/>
          <w:b/>
          <w:bCs/>
          <w:spacing w:val="-6"/>
          <w:sz w:val="144"/>
          <w:szCs w:val="144"/>
          <w:rtl/>
          <w:lang w:bidi="ar-EG"/>
        </w:rPr>
        <w:t>الفصل الثا</w:t>
      </w:r>
      <w:r w:rsidR="009D4425">
        <w:rPr>
          <w:rFonts w:ascii="Traditional Arabic" w:hAnsi="Traditional Arabic" w:cs="Traditional Arabic" w:hint="cs"/>
          <w:b/>
          <w:bCs/>
          <w:spacing w:val="-6"/>
          <w:sz w:val="144"/>
          <w:szCs w:val="144"/>
          <w:rtl/>
          <w:lang w:bidi="ar-EG"/>
        </w:rPr>
        <w:t>لث</w:t>
      </w:r>
    </w:p>
    <w:p w14:paraId="556372A9" w14:textId="77777777" w:rsidR="00D63875" w:rsidRDefault="00D63875" w:rsidP="00D63875">
      <w:pPr>
        <w:bidi/>
        <w:spacing w:after="200" w:line="276" w:lineRule="auto"/>
        <w:jc w:val="center"/>
        <w:rPr>
          <w:rFonts w:ascii="Traditional Arabic" w:hAnsi="Traditional Arabic" w:cs="Traditional Arabic"/>
          <w:b/>
          <w:bCs/>
          <w:spacing w:val="-6"/>
          <w:sz w:val="144"/>
          <w:szCs w:val="144"/>
          <w:rtl/>
          <w:lang w:bidi="ar-EG"/>
        </w:rPr>
      </w:pPr>
    </w:p>
    <w:p w14:paraId="0F1C77C5" w14:textId="52ABE013" w:rsidR="00D63875" w:rsidRPr="0086422C" w:rsidRDefault="00D63875" w:rsidP="00D63875">
      <w:pPr>
        <w:bidi/>
        <w:spacing w:after="200" w:line="276" w:lineRule="auto"/>
        <w:jc w:val="center"/>
        <w:rPr>
          <w:rFonts w:ascii="Traditional Arabic" w:hAnsi="Traditional Arabic" w:cs="Traditional Arabic"/>
          <w:b/>
          <w:bCs/>
          <w:spacing w:val="-6"/>
          <w:sz w:val="144"/>
          <w:szCs w:val="144"/>
          <w:rtl/>
          <w:lang w:bidi="ar-EG"/>
        </w:rPr>
        <w:sectPr w:rsidR="00D63875" w:rsidRPr="0086422C" w:rsidSect="0086422C">
          <w:footerReference w:type="default" r:id="rId47"/>
          <w:pgSz w:w="11906" w:h="16838"/>
          <w:pgMar w:top="1440" w:right="1800" w:bottom="1440" w:left="1800" w:header="708" w:footer="708" w:gutter="0"/>
          <w:pgNumType w:start="23"/>
          <w:cols w:space="708"/>
          <w:bidi/>
          <w:rtlGutter/>
          <w:docGrid w:linePitch="360"/>
        </w:sectPr>
      </w:pPr>
    </w:p>
    <w:p w14:paraId="3C2CD4E9" w14:textId="6064C763" w:rsidR="003263AB" w:rsidRPr="003263AB" w:rsidRDefault="003263AB" w:rsidP="003263AB">
      <w:pPr>
        <w:bidi/>
        <w:spacing w:after="200" w:line="276" w:lineRule="auto"/>
        <w:jc w:val="both"/>
        <w:rPr>
          <w:rFonts w:ascii="Traditional Arabic" w:hAnsi="Traditional Arabic" w:cs="Traditional Arabic"/>
          <w:b/>
          <w:bCs/>
          <w:color w:val="000000" w:themeColor="text1"/>
          <w:sz w:val="28"/>
          <w:szCs w:val="28"/>
          <w:rtl/>
        </w:rPr>
      </w:pPr>
      <w:r w:rsidRPr="003263AB">
        <w:rPr>
          <w:rFonts w:ascii="Traditional Arabic" w:hAnsi="Traditional Arabic" w:cs="Traditional Arabic" w:hint="cs"/>
          <w:b/>
          <w:bCs/>
          <w:color w:val="000000" w:themeColor="text1"/>
          <w:sz w:val="28"/>
          <w:szCs w:val="28"/>
          <w:rtl/>
        </w:rPr>
        <w:lastRenderedPageBreak/>
        <w:t>تمهيد</w:t>
      </w:r>
      <w:r>
        <w:rPr>
          <w:rFonts w:ascii="Traditional Arabic" w:hAnsi="Traditional Arabic" w:cs="Traditional Arabic" w:hint="cs"/>
          <w:b/>
          <w:bCs/>
          <w:color w:val="000000" w:themeColor="text1"/>
          <w:sz w:val="28"/>
          <w:szCs w:val="28"/>
          <w:rtl/>
        </w:rPr>
        <w:t>:</w:t>
      </w:r>
    </w:p>
    <w:p w14:paraId="1CAA7504" w14:textId="74B0C2C4" w:rsidR="003263AB" w:rsidRPr="003263AB" w:rsidRDefault="003263AB" w:rsidP="003263AB">
      <w:pPr>
        <w:bidi/>
        <w:spacing w:after="200" w:line="276" w:lineRule="auto"/>
        <w:jc w:val="both"/>
        <w:rPr>
          <w:rFonts w:ascii="Traditional Arabic" w:hAnsi="Traditional Arabic" w:cs="Traditional Arabic"/>
          <w:color w:val="000000" w:themeColor="text1"/>
          <w:sz w:val="24"/>
          <w:szCs w:val="24"/>
        </w:rPr>
      </w:pPr>
      <w:r w:rsidRPr="003263AB">
        <w:rPr>
          <w:rFonts w:ascii="Traditional Arabic" w:hAnsi="Traditional Arabic" w:cs="Traditional Arabic"/>
          <w:color w:val="000000" w:themeColor="text1"/>
          <w:sz w:val="24"/>
          <w:szCs w:val="24"/>
          <w:rtl/>
        </w:rPr>
        <w:t>اعتمدت هذه الدراسة على المنهج الوصفي التحليلي لكونه الأنسب لفحص العلاقة بين ثلاثة متغيرات رئيسية في بيئة الرعاية الصحية</w:t>
      </w:r>
      <w:r w:rsidRPr="003263AB">
        <w:rPr>
          <w:rFonts w:ascii="Traditional Arabic" w:hAnsi="Traditional Arabic" w:cs="Traditional Arabic"/>
          <w:color w:val="000000" w:themeColor="text1"/>
          <w:sz w:val="24"/>
          <w:szCs w:val="24"/>
        </w:rPr>
        <w:t xml:space="preserve">: </w:t>
      </w:r>
      <w:r w:rsidRPr="003263AB">
        <w:rPr>
          <w:rFonts w:ascii="Traditional Arabic" w:hAnsi="Traditional Arabic" w:cs="Traditional Arabic"/>
          <w:color w:val="000000" w:themeColor="text1"/>
          <w:sz w:val="24"/>
          <w:szCs w:val="24"/>
          <w:rtl/>
        </w:rPr>
        <w:t>إدارة المخاطر، القيادة التحويلية، وسلامة المرضى</w:t>
      </w:r>
      <w:r w:rsidRPr="003263AB">
        <w:rPr>
          <w:rFonts w:ascii="Traditional Arabic" w:hAnsi="Traditional Arabic" w:cs="Traditional Arabic"/>
          <w:color w:val="000000" w:themeColor="text1"/>
          <w:sz w:val="24"/>
          <w:szCs w:val="24"/>
        </w:rPr>
        <w:t xml:space="preserve">. </w:t>
      </w:r>
      <w:r w:rsidRPr="003263AB">
        <w:rPr>
          <w:rFonts w:ascii="Traditional Arabic" w:hAnsi="Traditional Arabic" w:cs="Traditional Arabic"/>
          <w:color w:val="000000" w:themeColor="text1"/>
          <w:sz w:val="24"/>
          <w:szCs w:val="24"/>
          <w:rtl/>
        </w:rPr>
        <w:t>يتيح هذا المنهج وصف الظواهر كما هي في الواقع وتحليلها إحصائيًا لاستخلاص الروابط والتأثيرات المتبادلة، حيث شملت الدراسة عينة مكونة من (389) مشاركًا من العاملين في المرافق الصحية الحكومية بالمملكة العربية السعودية، مثل الأطباء والممرضين والإداريين وفنيي الجودة. وقد تم تصميم أداة الدراسة (الاستبانة) وفق مقياس ليكرت الخماسي، لتغطية أبعاد إدارة المخاطر، أنماط القيادة التحويلية، ومؤشرات سلامة المرضى، بما يضمن قياسًا دقيقًا لمستوى الممارسات السائدة في المؤسسات الصحية</w:t>
      </w:r>
      <w:r w:rsidRPr="003263AB">
        <w:rPr>
          <w:rFonts w:ascii="Traditional Arabic" w:hAnsi="Traditional Arabic" w:cs="Traditional Arabic"/>
          <w:color w:val="000000" w:themeColor="text1"/>
          <w:sz w:val="24"/>
          <w:szCs w:val="24"/>
        </w:rPr>
        <w:t>.</w:t>
      </w:r>
    </w:p>
    <w:p w14:paraId="105FB4A1" w14:textId="225CDE64" w:rsidR="0009265B" w:rsidRPr="00C31C4E" w:rsidRDefault="0009265B" w:rsidP="003263AB">
      <w:pPr>
        <w:bidi/>
        <w:spacing w:after="200" w:line="276" w:lineRule="auto"/>
        <w:rPr>
          <w:rFonts w:ascii="Traditional Arabic" w:hAnsi="Traditional Arabic" w:cs="Traditional Arabic"/>
          <w:b/>
          <w:bCs/>
          <w:color w:val="000000" w:themeColor="text1"/>
          <w:sz w:val="28"/>
          <w:szCs w:val="28"/>
          <w:rtl/>
        </w:rPr>
      </w:pPr>
      <w:r w:rsidRPr="00C31C4E">
        <w:rPr>
          <w:rFonts w:ascii="Traditional Arabic" w:hAnsi="Traditional Arabic" w:cs="Traditional Arabic" w:hint="cs"/>
          <w:b/>
          <w:bCs/>
          <w:color w:val="000000" w:themeColor="text1"/>
          <w:sz w:val="28"/>
          <w:szCs w:val="28"/>
          <w:rtl/>
        </w:rPr>
        <w:t xml:space="preserve">نوع البحث: وصفي تحليلي </w:t>
      </w:r>
    </w:p>
    <w:p w14:paraId="2D387BE3" w14:textId="2C655825" w:rsidR="002C0813" w:rsidRPr="00C31C4E" w:rsidRDefault="002C0813" w:rsidP="002C0813">
      <w:pPr>
        <w:bidi/>
        <w:spacing w:after="200" w:line="276" w:lineRule="auto"/>
        <w:rPr>
          <w:rFonts w:ascii="Traditional Arabic" w:hAnsi="Traditional Arabic" w:cs="Traditional Arabic"/>
          <w:b/>
          <w:bCs/>
          <w:color w:val="000000" w:themeColor="text1"/>
          <w:sz w:val="28"/>
          <w:szCs w:val="28"/>
          <w:rtl/>
        </w:rPr>
      </w:pPr>
      <w:r w:rsidRPr="00C31C4E">
        <w:rPr>
          <w:rFonts w:ascii="Traditional Arabic" w:hAnsi="Traditional Arabic" w:cs="Traditional Arabic" w:hint="cs"/>
          <w:b/>
          <w:bCs/>
          <w:color w:val="000000" w:themeColor="text1"/>
          <w:sz w:val="28"/>
          <w:szCs w:val="28"/>
          <w:rtl/>
        </w:rPr>
        <w:t>منهجية الدراسة:</w:t>
      </w:r>
    </w:p>
    <w:p w14:paraId="2EE2A1C1" w14:textId="77777777" w:rsidR="002C0813" w:rsidRPr="00C31C4E" w:rsidRDefault="002C0813" w:rsidP="00C31C4E">
      <w:pPr>
        <w:bidi/>
        <w:spacing w:after="200" w:line="360" w:lineRule="auto"/>
        <w:jc w:val="both"/>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tl/>
        </w:rPr>
        <w:t>اعتمدت الدراسة على المنهج الوصفي التحليلي، لكونه الأنسب لتحليل العلاقة بين المتغيرات الثلاثة: إدارة المخاطر، القيادة التحويلية، وسلامة المرضى. يتيح هذا المنهج وصف الظواهر كما هي في الواقع، وتحليل البيانات إحصائيًا لاستخلاص العلاقات والتأثيرات المتبادلة</w:t>
      </w:r>
      <w:r w:rsidRPr="00C31C4E">
        <w:rPr>
          <w:rFonts w:ascii="Traditional Arabic" w:hAnsi="Traditional Arabic" w:cs="Traditional Arabic" w:hint="cs"/>
          <w:color w:val="000000" w:themeColor="text1"/>
          <w:sz w:val="24"/>
          <w:szCs w:val="24"/>
        </w:rPr>
        <w:t>.</w:t>
      </w:r>
    </w:p>
    <w:p w14:paraId="756376FF" w14:textId="2B2ACF34" w:rsidR="002C0813" w:rsidRPr="00C31C4E" w:rsidRDefault="002C0813" w:rsidP="002C0813">
      <w:pPr>
        <w:bidi/>
        <w:spacing w:after="200" w:line="276" w:lineRule="auto"/>
        <w:jc w:val="both"/>
        <w:rPr>
          <w:rFonts w:ascii="Traditional Arabic" w:hAnsi="Traditional Arabic" w:cs="Traditional Arabic"/>
          <w:color w:val="000000" w:themeColor="text1"/>
          <w:sz w:val="28"/>
          <w:szCs w:val="28"/>
        </w:rPr>
      </w:pPr>
      <w:r w:rsidRPr="00C31C4E">
        <w:rPr>
          <w:rFonts w:ascii="Traditional Arabic" w:hAnsi="Traditional Arabic" w:cs="Traditional Arabic" w:hint="cs"/>
          <w:b/>
          <w:bCs/>
          <w:color w:val="000000" w:themeColor="text1"/>
          <w:sz w:val="28"/>
          <w:szCs w:val="28"/>
          <w:rtl/>
        </w:rPr>
        <w:t>مجتمع الدراسة :</w:t>
      </w:r>
    </w:p>
    <w:p w14:paraId="03D917FD" w14:textId="35C52F7C" w:rsidR="002C0813" w:rsidRPr="00C31C4E" w:rsidRDefault="002C0813" w:rsidP="00C31C4E">
      <w:pPr>
        <w:bidi/>
        <w:spacing w:after="200" w:line="360" w:lineRule="auto"/>
        <w:jc w:val="both"/>
        <w:rPr>
          <w:rFonts w:ascii="Traditional Arabic" w:hAnsi="Traditional Arabic" w:cs="Traditional Arabic"/>
          <w:color w:val="000000" w:themeColor="text1"/>
          <w:sz w:val="24"/>
          <w:szCs w:val="24"/>
        </w:rPr>
      </w:pPr>
      <w:r w:rsidRPr="00C31C4E">
        <w:rPr>
          <w:rFonts w:ascii="Traditional Arabic" w:hAnsi="Traditional Arabic" w:cs="Traditional Arabic" w:hint="cs"/>
          <w:color w:val="000000" w:themeColor="text1"/>
          <w:sz w:val="24"/>
          <w:szCs w:val="24"/>
          <w:rtl/>
        </w:rPr>
        <w:t xml:space="preserve">يتكون مجتمع الدراسة من جميع العاملين في المرافق الصحية الحكومية في </w:t>
      </w:r>
      <w:r w:rsidR="00BF4801" w:rsidRPr="00C31C4E">
        <w:rPr>
          <w:rFonts w:ascii="Traditional Arabic" w:hAnsi="Traditional Arabic" w:cs="Traditional Arabic" w:hint="cs"/>
          <w:color w:val="000000" w:themeColor="text1"/>
          <w:sz w:val="24"/>
          <w:szCs w:val="24"/>
          <w:rtl/>
          <w:lang w:bidi="ar-EG"/>
        </w:rPr>
        <w:t>المملكة العربية السعودية،</w:t>
      </w:r>
      <w:r w:rsidRPr="00C31C4E">
        <w:rPr>
          <w:rFonts w:ascii="Traditional Arabic" w:hAnsi="Traditional Arabic" w:cs="Traditional Arabic" w:hint="cs"/>
          <w:color w:val="000000" w:themeColor="text1"/>
          <w:sz w:val="24"/>
          <w:szCs w:val="24"/>
          <w:rtl/>
        </w:rPr>
        <w:t xml:space="preserve"> ممن لهم علاقة مباشرة أو غير مباشرة بإدارة المخاطر وسلامة المرضى، مثل الأطباء، الممرضين، الإداريين، وفنيي الجودة</w:t>
      </w:r>
      <w:r w:rsidR="00BF4801" w:rsidRPr="00C31C4E">
        <w:rPr>
          <w:rFonts w:ascii="Traditional Arabic" w:hAnsi="Traditional Arabic" w:cs="Traditional Arabic" w:hint="cs"/>
          <w:color w:val="000000" w:themeColor="text1"/>
          <w:sz w:val="24"/>
          <w:szCs w:val="24"/>
          <w:rtl/>
        </w:rPr>
        <w:t>، حيث يبلغ عددهم حوالي ( 15000)</w:t>
      </w:r>
      <w:r w:rsidR="00E729F1" w:rsidRPr="00C31C4E">
        <w:rPr>
          <w:rFonts w:ascii="Traditional Arabic" w:hAnsi="Traditional Arabic" w:cs="Traditional Arabic" w:hint="cs"/>
          <w:color w:val="000000" w:themeColor="text1"/>
          <w:sz w:val="24"/>
          <w:szCs w:val="24"/>
          <w:rtl/>
        </w:rPr>
        <w:t xml:space="preserve">، تبعاً لتقارير </w:t>
      </w:r>
      <w:hyperlink r:id="rId48" w:history="1">
        <w:r w:rsidR="00E729F1" w:rsidRPr="00C31C4E">
          <w:rPr>
            <w:rStyle w:val="Hyperlink"/>
            <w:rFonts w:ascii="Traditional Arabic" w:hAnsi="Traditional Arabic" w:cs="Traditional Arabic" w:hint="cs"/>
            <w:sz w:val="24"/>
            <w:szCs w:val="24"/>
            <w:rtl/>
          </w:rPr>
          <w:t>إحصاءات وزارة الصحة</w:t>
        </w:r>
      </w:hyperlink>
      <w:r w:rsidR="00E729F1" w:rsidRPr="00C31C4E">
        <w:rPr>
          <w:rFonts w:ascii="Traditional Arabic" w:hAnsi="Traditional Arabic" w:cs="Traditional Arabic" w:hint="cs"/>
          <w:color w:val="000000" w:themeColor="text1"/>
          <w:sz w:val="24"/>
          <w:szCs w:val="24"/>
        </w:rPr>
        <w:t>.</w:t>
      </w:r>
    </w:p>
    <w:p w14:paraId="3A7A086C" w14:textId="54CC2AB1" w:rsidR="002C0813" w:rsidRPr="00C31C4E" w:rsidRDefault="002C0813" w:rsidP="002C0813">
      <w:pPr>
        <w:bidi/>
        <w:spacing w:after="200" w:line="276" w:lineRule="auto"/>
        <w:rPr>
          <w:rFonts w:ascii="Traditional Arabic" w:hAnsi="Traditional Arabic" w:cs="Traditional Arabic"/>
          <w:b/>
          <w:bCs/>
          <w:color w:val="000000" w:themeColor="text1"/>
          <w:sz w:val="28"/>
          <w:szCs w:val="28"/>
        </w:rPr>
      </w:pPr>
      <w:r w:rsidRPr="00C31C4E">
        <w:rPr>
          <w:rFonts w:ascii="Traditional Arabic" w:hAnsi="Traditional Arabic" w:cs="Traditional Arabic" w:hint="cs"/>
          <w:b/>
          <w:bCs/>
          <w:color w:val="000000" w:themeColor="text1"/>
          <w:sz w:val="28"/>
          <w:szCs w:val="28"/>
          <w:rtl/>
        </w:rPr>
        <w:t>عينة الدراسة:</w:t>
      </w:r>
    </w:p>
    <w:p w14:paraId="76A1E3F5" w14:textId="6E6CF312" w:rsidR="002C0813" w:rsidRPr="00C31C4E" w:rsidRDefault="002C0813" w:rsidP="00C31C4E">
      <w:pPr>
        <w:bidi/>
        <w:spacing w:after="200" w:line="360" w:lineRule="auto"/>
        <w:ind w:firstLine="720"/>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tl/>
        </w:rPr>
        <w:t>تم اختيار عينة عشوائية طبقية من مجتمع الدراسة، لضمان تمثيل الفئات المختلفة</w:t>
      </w:r>
      <w:r w:rsidR="00D74A65" w:rsidRPr="00C31C4E">
        <w:rPr>
          <w:rFonts w:ascii="Traditional Arabic" w:hAnsi="Traditional Arabic" w:cs="Traditional Arabic" w:hint="cs"/>
          <w:color w:val="000000" w:themeColor="text1"/>
          <w:sz w:val="24"/>
          <w:szCs w:val="24"/>
          <w:rtl/>
        </w:rPr>
        <w:t>،</w:t>
      </w:r>
      <w:r w:rsidRPr="00C31C4E">
        <w:rPr>
          <w:rFonts w:ascii="Traditional Arabic" w:hAnsi="Traditional Arabic" w:cs="Traditional Arabic" w:hint="cs"/>
          <w:color w:val="000000" w:themeColor="text1"/>
          <w:sz w:val="24"/>
          <w:szCs w:val="24"/>
          <w:rtl/>
        </w:rPr>
        <w:t xml:space="preserve"> </w:t>
      </w:r>
      <w:r w:rsidR="00D74A65" w:rsidRPr="00C31C4E">
        <w:rPr>
          <w:rFonts w:ascii="Traditional Arabic" w:hAnsi="Traditional Arabic" w:cs="Traditional Arabic" w:hint="cs"/>
          <w:color w:val="000000" w:themeColor="text1"/>
          <w:sz w:val="24"/>
          <w:szCs w:val="24"/>
          <w:rtl/>
        </w:rPr>
        <w:t>و</w:t>
      </w:r>
      <w:r w:rsidRPr="00C31C4E">
        <w:rPr>
          <w:rFonts w:ascii="Traditional Arabic" w:hAnsi="Traditional Arabic" w:cs="Traditional Arabic" w:hint="cs"/>
          <w:color w:val="000000" w:themeColor="text1"/>
          <w:sz w:val="24"/>
          <w:szCs w:val="24"/>
          <w:rtl/>
        </w:rPr>
        <w:t>بلغ حجم العينة (</w:t>
      </w:r>
      <w:r w:rsidR="00F300E0" w:rsidRPr="00C31C4E">
        <w:rPr>
          <w:rFonts w:ascii="Traditional Arabic" w:hAnsi="Traditional Arabic" w:cs="Traditional Arabic" w:hint="cs"/>
          <w:color w:val="000000" w:themeColor="text1"/>
          <w:sz w:val="24"/>
          <w:szCs w:val="24"/>
          <w:rtl/>
        </w:rPr>
        <w:t>389</w:t>
      </w:r>
      <w:r w:rsidRPr="00C31C4E">
        <w:rPr>
          <w:rFonts w:ascii="Traditional Arabic" w:hAnsi="Traditional Arabic" w:cs="Traditional Arabic" w:hint="cs"/>
          <w:color w:val="000000" w:themeColor="text1"/>
          <w:sz w:val="24"/>
          <w:szCs w:val="24"/>
          <w:rtl/>
        </w:rPr>
        <w:t>) مشترك</w:t>
      </w:r>
      <w:r w:rsidR="00BF4801" w:rsidRPr="00C31C4E">
        <w:rPr>
          <w:rFonts w:ascii="Traditional Arabic" w:hAnsi="Traditional Arabic" w:cs="Traditional Arabic" w:hint="cs"/>
          <w:color w:val="000000" w:themeColor="text1"/>
          <w:sz w:val="24"/>
          <w:szCs w:val="24"/>
          <w:rtl/>
        </w:rPr>
        <w:t>، حيث تم توزيع الإستبانة عليهم بشكل إلكتروني</w:t>
      </w:r>
      <w:r w:rsidR="00AB5599" w:rsidRPr="00C31C4E">
        <w:rPr>
          <w:rFonts w:ascii="Traditional Arabic" w:hAnsi="Traditional Arabic" w:cs="Traditional Arabic" w:hint="cs"/>
          <w:color w:val="000000" w:themeColor="text1"/>
          <w:sz w:val="24"/>
          <w:szCs w:val="24"/>
          <w:rtl/>
        </w:rPr>
        <w:t>، وكانت كل الإستبيانات التي تم جمعها صالحة للتحليل.</w:t>
      </w:r>
    </w:p>
    <w:p w14:paraId="5D1A72EA" w14:textId="2FD6D243" w:rsidR="003262E5" w:rsidRPr="00C31C4E" w:rsidRDefault="003262E5" w:rsidP="00C31C4E">
      <w:pPr>
        <w:bidi/>
        <w:spacing w:after="200" w:line="360" w:lineRule="auto"/>
        <w:ind w:firstLine="720"/>
        <w:jc w:val="both"/>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Pr>
        <w:t>"</w:t>
      </w:r>
      <w:r w:rsidRPr="00C31C4E">
        <w:rPr>
          <w:rFonts w:ascii="Traditional Arabic" w:hAnsi="Traditional Arabic" w:cs="Traditional Arabic" w:hint="cs"/>
          <w:color w:val="000000" w:themeColor="text1"/>
          <w:sz w:val="24"/>
          <w:szCs w:val="24"/>
          <w:rtl/>
        </w:rPr>
        <w:t>تم تحديد حجم العينة باستخدام معادلة</w:t>
      </w:r>
      <w:r w:rsidRPr="00C31C4E">
        <w:rPr>
          <w:rFonts w:ascii="Traditional Arabic" w:hAnsi="Traditional Arabic" w:cs="Traditional Arabic" w:hint="cs"/>
          <w:color w:val="000000" w:themeColor="text1"/>
          <w:sz w:val="24"/>
          <w:szCs w:val="24"/>
        </w:rPr>
        <w:t xml:space="preserve"> Yamane (1967)</w:t>
      </w:r>
      <w:r w:rsidRPr="00C31C4E">
        <w:rPr>
          <w:rFonts w:ascii="Traditional Arabic" w:hAnsi="Traditional Arabic" w:cs="Traditional Arabic" w:hint="cs"/>
          <w:color w:val="000000" w:themeColor="text1"/>
          <w:sz w:val="24"/>
          <w:szCs w:val="24"/>
          <w:rtl/>
        </w:rPr>
        <w:t>، والتي تأخذ في الاعتبار حجم مجتمع الدراسة وهامش الخطأ المقبول. وبناءً على حجم المجتمع البالغ 15,000، فإن الحجم المناسب للعينة عند هامش خطأ 5% هو حوالي 389 مشارك</w:t>
      </w:r>
      <w:r w:rsidRPr="00C31C4E">
        <w:rPr>
          <w:rFonts w:ascii="Traditional Arabic" w:hAnsi="Traditional Arabic" w:cs="Traditional Arabic" w:hint="cs"/>
          <w:color w:val="000000" w:themeColor="text1"/>
          <w:sz w:val="24"/>
          <w:szCs w:val="24"/>
        </w:rPr>
        <w:t>Krejcie &amp; Morgan (1970)."</w:t>
      </w:r>
    </w:p>
    <w:p w14:paraId="76BE5C55" w14:textId="0EB88F2A" w:rsidR="00D74A65" w:rsidRPr="00C31C4E" w:rsidRDefault="00D74A65" w:rsidP="00D74A65">
      <w:pPr>
        <w:spacing w:after="200" w:line="276" w:lineRule="auto"/>
        <w:ind w:firstLine="720"/>
        <w:jc w:val="both"/>
        <w:rPr>
          <w:rFonts w:asciiTheme="majorBidi" w:hAnsiTheme="majorBidi" w:cstheme="majorBidi"/>
          <w:color w:val="000000" w:themeColor="text1"/>
          <w:sz w:val="28"/>
          <w:szCs w:val="28"/>
        </w:rPr>
      </w:pPr>
      <w:r w:rsidRPr="00C31C4E">
        <w:rPr>
          <w:rFonts w:asciiTheme="majorBidi" w:hAnsiTheme="majorBidi" w:cstheme="majorBidi"/>
          <w:color w:val="000000" w:themeColor="text1"/>
          <w:sz w:val="28"/>
          <w:szCs w:val="28"/>
        </w:rPr>
        <w:t>N</w:t>
      </w:r>
      <m:oMath>
        <m:r>
          <m:rPr>
            <m:sty m:val="p"/>
          </m:rPr>
          <w:rPr>
            <w:rFonts w:ascii="Cambria Math" w:hAnsi="Cambria Math" w:cstheme="majorBidi"/>
            <w:color w:val="000000" w:themeColor="text1"/>
            <w:sz w:val="28"/>
            <w:szCs w:val="28"/>
          </w:rPr>
          <m:t>=</m:t>
        </m:r>
        <m:f>
          <m:fPr>
            <m:ctrlPr>
              <w:rPr>
                <w:rFonts w:ascii="Cambria Math" w:hAnsi="Cambria Math" w:cstheme="majorBidi"/>
                <w:color w:val="000000" w:themeColor="text1"/>
                <w:sz w:val="28"/>
                <w:szCs w:val="28"/>
              </w:rPr>
            </m:ctrlPr>
          </m:fPr>
          <m:num>
            <m:r>
              <m:rPr>
                <m:sty m:val="p"/>
              </m:rPr>
              <w:rPr>
                <w:rFonts w:ascii="Cambria Math" w:hAnsi="Cambria Math" w:cstheme="majorBidi"/>
                <w:color w:val="000000" w:themeColor="text1"/>
                <w:sz w:val="28"/>
                <w:szCs w:val="28"/>
              </w:rPr>
              <m:t>n</m:t>
            </m:r>
          </m:num>
          <m:den>
            <m:r>
              <m:rPr>
                <m:sty m:val="p"/>
              </m:rPr>
              <w:rPr>
                <w:rFonts w:ascii="Cambria Math" w:hAnsi="Cambria Math" w:cstheme="majorBidi"/>
                <w:color w:val="000000" w:themeColor="text1"/>
                <w:sz w:val="28"/>
                <w:szCs w:val="28"/>
              </w:rPr>
              <m:t>1+n</m:t>
            </m:r>
            <m:d>
              <m:dPr>
                <m:ctrlPr>
                  <w:rPr>
                    <w:rFonts w:ascii="Cambria Math" w:hAnsi="Cambria Math" w:cstheme="majorBidi"/>
                    <w:color w:val="000000" w:themeColor="text1"/>
                    <w:sz w:val="28"/>
                    <w:szCs w:val="28"/>
                  </w:rPr>
                </m:ctrlPr>
              </m:dPr>
              <m:e>
                <m:r>
                  <m:rPr>
                    <m:sty m:val="p"/>
                  </m:rPr>
                  <w:rPr>
                    <w:rFonts w:ascii="Cambria Math" w:hAnsi="Cambria Math" w:cstheme="majorBidi"/>
                    <w:color w:val="000000" w:themeColor="text1"/>
                    <w:sz w:val="28"/>
                    <w:szCs w:val="28"/>
                  </w:rPr>
                  <m:t>e</m:t>
                </m:r>
              </m:e>
            </m:d>
            <m:r>
              <m:rPr>
                <m:sty m:val="p"/>
              </m:rPr>
              <w:rPr>
                <w:rFonts w:ascii="Cambria Math" w:hAnsi="Cambria Math" w:cstheme="majorBidi"/>
                <w:color w:val="000000" w:themeColor="text1"/>
                <w:sz w:val="28"/>
                <w:szCs w:val="28"/>
              </w:rPr>
              <m:t>2</m:t>
            </m:r>
          </m:den>
        </m:f>
      </m:oMath>
      <w:r w:rsidRPr="00C31C4E">
        <w:rPr>
          <w:rFonts w:asciiTheme="majorBidi" w:eastAsiaTheme="minorEastAsia" w:hAnsiTheme="majorBidi" w:cstheme="majorBidi"/>
          <w:color w:val="000000" w:themeColor="text1"/>
          <w:sz w:val="28"/>
          <w:szCs w:val="28"/>
        </w:rPr>
        <w:t xml:space="preserve">= </w:t>
      </w:r>
      <m:oMath>
        <m:f>
          <m:fPr>
            <m:ctrlPr>
              <w:rPr>
                <w:rFonts w:ascii="Cambria Math" w:eastAsiaTheme="minorEastAsia" w:hAnsi="Cambria Math" w:cstheme="majorBidi"/>
                <w: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1+15000</m:t>
            </m:r>
            <m:d>
              <m:dPr>
                <m:ctrlPr>
                  <w:rPr>
                    <w:rFonts w:ascii="Cambria Math" w:eastAsiaTheme="minorEastAsia" w:hAnsi="Cambria Math" w:cstheme="majorBidi"/>
                    <w:i/>
                    <w:color w:val="000000" w:themeColor="text1"/>
                    <w:sz w:val="28"/>
                    <w:szCs w:val="28"/>
                  </w:rPr>
                </m:ctrlPr>
              </m:dPr>
              <m:e>
                <m:r>
                  <w:rPr>
                    <w:rFonts w:ascii="Cambria Math" w:eastAsiaTheme="minorEastAsia" w:hAnsi="Cambria Math" w:cstheme="majorBidi"/>
                    <w:color w:val="000000" w:themeColor="text1"/>
                    <w:sz w:val="28"/>
                    <w:szCs w:val="28"/>
                  </w:rPr>
                  <m:t>0.05</m:t>
                </m:r>
              </m:e>
            </m:d>
            <m:r>
              <w:rPr>
                <w:rFonts w:ascii="Cambria Math" w:eastAsiaTheme="minorEastAsia" w:hAnsi="Cambria Math" w:cstheme="majorBidi"/>
                <w:color w:val="000000" w:themeColor="text1"/>
                <w:sz w:val="28"/>
                <w:szCs w:val="28"/>
              </w:rPr>
              <m:t>2</m:t>
            </m:r>
          </m:den>
        </m:f>
        <m:r>
          <w:rPr>
            <w:rFonts w:ascii="Cambria Math" w:eastAsiaTheme="minorEastAsia" w:hAnsi="Cambria Math" w:cstheme="majorBidi"/>
            <w:color w:val="000000" w:themeColor="text1"/>
            <w:sz w:val="28"/>
            <w:szCs w:val="28"/>
          </w:rPr>
          <m:t>=</m:t>
        </m:r>
        <m:f>
          <m:fPr>
            <m:ctrlPr>
              <w:rPr>
                <w:rFonts w:ascii="Cambria Math" w:eastAsiaTheme="minorEastAsia" w:hAnsi="Cambria Math" w:cstheme="majorBid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1+37.5</m:t>
            </m:r>
          </m:den>
        </m:f>
        <m:r>
          <w:rPr>
            <w:rFonts w:ascii="Cambria Math" w:eastAsiaTheme="minorEastAsia" w:hAnsi="Cambria Math" w:cstheme="majorBidi"/>
            <w:color w:val="000000" w:themeColor="text1"/>
            <w:sz w:val="28"/>
            <w:szCs w:val="28"/>
          </w:rPr>
          <m:t>=</m:t>
        </m:r>
        <m:f>
          <m:fPr>
            <m:ctrlPr>
              <w:rPr>
                <w:rFonts w:ascii="Cambria Math" w:eastAsiaTheme="minorEastAsia" w:hAnsi="Cambria Math" w:cstheme="majorBidi"/>
                <w: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38.5</m:t>
            </m:r>
          </m:den>
        </m:f>
        <m:r>
          <w:rPr>
            <w:rFonts w:ascii="Cambria Math" w:eastAsiaTheme="minorEastAsia" w:hAnsi="Cambria Math" w:cstheme="majorBidi"/>
            <w:color w:val="000000" w:themeColor="text1"/>
            <w:sz w:val="28"/>
            <w:szCs w:val="28"/>
          </w:rPr>
          <m:t>=389</m:t>
        </m:r>
      </m:oMath>
    </w:p>
    <w:p w14:paraId="5DDB03A6" w14:textId="77777777" w:rsidR="00C31C4E" w:rsidRDefault="00C31C4E" w:rsidP="00713E1B">
      <w:pPr>
        <w:bidi/>
        <w:spacing w:after="200" w:line="276" w:lineRule="auto"/>
        <w:jc w:val="center"/>
        <w:rPr>
          <w:rFonts w:ascii="Simplified Arabic" w:hAnsi="Simplified Arabic" w:cs="Simplified Arabic"/>
          <w:b/>
          <w:bCs/>
          <w:color w:val="000000" w:themeColor="text1"/>
          <w:sz w:val="24"/>
          <w:szCs w:val="24"/>
          <w:rtl/>
          <w:lang w:bidi="ar-EG"/>
        </w:rPr>
      </w:pPr>
    </w:p>
    <w:p w14:paraId="30220F07" w14:textId="77777777" w:rsidR="00C31C4E" w:rsidRDefault="00C31C4E" w:rsidP="00C31C4E">
      <w:pPr>
        <w:bidi/>
        <w:spacing w:after="200" w:line="276" w:lineRule="auto"/>
        <w:jc w:val="center"/>
        <w:rPr>
          <w:rFonts w:ascii="Simplified Arabic" w:hAnsi="Simplified Arabic" w:cs="Simplified Arabic"/>
          <w:b/>
          <w:bCs/>
          <w:color w:val="000000" w:themeColor="text1"/>
          <w:sz w:val="24"/>
          <w:szCs w:val="24"/>
          <w:lang w:bidi="ar-EG"/>
        </w:rPr>
      </w:pPr>
    </w:p>
    <w:p w14:paraId="7C00A98B" w14:textId="2DD9DBA7" w:rsidR="000776C1" w:rsidRPr="00F972C1" w:rsidRDefault="007417AC" w:rsidP="00C31C4E">
      <w:pPr>
        <w:bidi/>
        <w:spacing w:after="200" w:line="276" w:lineRule="auto"/>
        <w:jc w:val="center"/>
        <w:rPr>
          <w:rFonts w:ascii="Traditional Arabic" w:hAnsi="Traditional Arabic" w:cs="Traditional Arabic"/>
          <w:b/>
          <w:bCs/>
          <w:color w:val="000000" w:themeColor="text1"/>
          <w:sz w:val="24"/>
          <w:szCs w:val="24"/>
          <w:lang w:bidi="ar-EG"/>
        </w:rPr>
      </w:pPr>
      <w:r w:rsidRPr="00F972C1">
        <w:rPr>
          <w:rFonts w:ascii="Traditional Arabic" w:hAnsi="Traditional Arabic" w:cs="Traditional Arabic" w:hint="cs"/>
          <w:b/>
          <w:bCs/>
          <w:color w:val="000000" w:themeColor="text1"/>
          <w:sz w:val="24"/>
          <w:szCs w:val="24"/>
          <w:rtl/>
          <w:lang w:bidi="ar-EG"/>
        </w:rPr>
        <w:lastRenderedPageBreak/>
        <w:t xml:space="preserve">جدول( </w:t>
      </w:r>
      <w:r w:rsidR="00713E1B" w:rsidRPr="00F972C1">
        <w:rPr>
          <w:rFonts w:ascii="Traditional Arabic" w:hAnsi="Traditional Arabic" w:cs="Traditional Arabic" w:hint="cs"/>
          <w:b/>
          <w:bCs/>
          <w:color w:val="000000" w:themeColor="text1"/>
          <w:sz w:val="24"/>
          <w:szCs w:val="24"/>
          <w:rtl/>
          <w:lang w:bidi="ar-EG"/>
        </w:rPr>
        <w:t>10</w:t>
      </w:r>
      <w:r w:rsidRPr="00F972C1">
        <w:rPr>
          <w:rFonts w:ascii="Traditional Arabic" w:hAnsi="Traditional Arabic" w:cs="Traditional Arabic" w:hint="cs"/>
          <w:b/>
          <w:bCs/>
          <w:color w:val="000000" w:themeColor="text1"/>
          <w:sz w:val="24"/>
          <w:szCs w:val="24"/>
          <w:rtl/>
          <w:lang w:bidi="ar-EG"/>
        </w:rPr>
        <w:t>) البيانات الشخصية للمشاركين في الدراسة:</w:t>
      </w:r>
    </w:p>
    <w:tbl>
      <w:tblPr>
        <w:tblStyle w:val="GridTable1Light"/>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919"/>
        <w:gridCol w:w="2331"/>
        <w:gridCol w:w="2472"/>
        <w:gridCol w:w="1568"/>
      </w:tblGrid>
      <w:tr w:rsidR="000776C1" w:rsidRPr="00F972C1" w14:paraId="32C8A41D" w14:textId="77777777" w:rsidTr="002E232C">
        <w:trPr>
          <w:cnfStyle w:val="100000000000" w:firstRow="1" w:lastRow="0" w:firstColumn="0" w:lastColumn="0" w:oddVBand="0" w:evenVBand="0" w:oddHBand="0" w:evenHBand="0" w:firstRowFirstColumn="0" w:firstRowLastColumn="0" w:lastRowFirstColumn="0" w:lastRowLastColumn="0"/>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tcBorders>
              <w:bottom w:val="none" w:sz="0" w:space="0" w:color="auto"/>
            </w:tcBorders>
            <w:shd w:val="clear" w:color="auto" w:fill="E5DFEC" w:themeFill="accent4" w:themeFillTint="33"/>
            <w:hideMark/>
          </w:tcPr>
          <w:p w14:paraId="5CCFA7DE" w14:textId="77777777" w:rsidR="000776C1" w:rsidRPr="00F972C1" w:rsidRDefault="000776C1" w:rsidP="00C31C4E">
            <w:pPr>
              <w:bidi/>
              <w:spacing w:after="200" w:line="276" w:lineRule="auto"/>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التكرار بعد التعديل</w:t>
            </w:r>
          </w:p>
        </w:tc>
        <w:tc>
          <w:tcPr>
            <w:tcW w:w="1416" w:type="pct"/>
            <w:tcBorders>
              <w:bottom w:val="none" w:sz="0" w:space="0" w:color="auto"/>
            </w:tcBorders>
            <w:shd w:val="clear" w:color="auto" w:fill="E5DFEC" w:themeFill="accent4" w:themeFillTint="33"/>
            <w:hideMark/>
          </w:tcPr>
          <w:p w14:paraId="2567DB9F" w14:textId="77777777" w:rsidR="000776C1" w:rsidRPr="00F972C1" w:rsidRDefault="000776C1" w:rsidP="00C31C4E">
            <w:pPr>
              <w:bidi/>
              <w:spacing w:after="200"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النسبة المئوية الأصلية</w:t>
            </w:r>
          </w:p>
        </w:tc>
        <w:tc>
          <w:tcPr>
            <w:tcW w:w="1503" w:type="pct"/>
            <w:tcBorders>
              <w:bottom w:val="none" w:sz="0" w:space="0" w:color="auto"/>
            </w:tcBorders>
            <w:shd w:val="clear" w:color="auto" w:fill="E5DFEC" w:themeFill="accent4" w:themeFillTint="33"/>
            <w:hideMark/>
          </w:tcPr>
          <w:p w14:paraId="1C6132CA" w14:textId="77777777" w:rsidR="000776C1" w:rsidRPr="00F972C1" w:rsidRDefault="000776C1" w:rsidP="00C31C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الفئة</w:t>
            </w:r>
          </w:p>
        </w:tc>
        <w:tc>
          <w:tcPr>
            <w:tcW w:w="932" w:type="pct"/>
            <w:tcBorders>
              <w:bottom w:val="none" w:sz="0" w:space="0" w:color="auto"/>
            </w:tcBorders>
            <w:shd w:val="clear" w:color="auto" w:fill="E5DFEC" w:themeFill="accent4" w:themeFillTint="33"/>
            <w:hideMark/>
          </w:tcPr>
          <w:p w14:paraId="57E6228F" w14:textId="77777777" w:rsidR="000776C1" w:rsidRPr="00F972C1" w:rsidRDefault="000776C1" w:rsidP="00C31C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المتغير</w:t>
            </w:r>
          </w:p>
        </w:tc>
      </w:tr>
      <w:tr w:rsidR="000776C1" w:rsidRPr="00F972C1" w14:paraId="3D982F1D"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564CB00B"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224</w:t>
            </w:r>
          </w:p>
        </w:tc>
        <w:tc>
          <w:tcPr>
            <w:tcW w:w="1416" w:type="pct"/>
            <w:hideMark/>
          </w:tcPr>
          <w:p w14:paraId="570A8916"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57.5%</w:t>
            </w:r>
          </w:p>
        </w:tc>
        <w:tc>
          <w:tcPr>
            <w:tcW w:w="1503" w:type="pct"/>
            <w:hideMark/>
          </w:tcPr>
          <w:p w14:paraId="4A39EAD5"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أنثى</w:t>
            </w:r>
          </w:p>
        </w:tc>
        <w:tc>
          <w:tcPr>
            <w:tcW w:w="932" w:type="pct"/>
            <w:hideMark/>
          </w:tcPr>
          <w:p w14:paraId="2AF2BF0D"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الجنس</w:t>
            </w:r>
          </w:p>
        </w:tc>
      </w:tr>
      <w:tr w:rsidR="000776C1" w:rsidRPr="00F972C1" w14:paraId="57A82BE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125439C3"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165</w:t>
            </w:r>
          </w:p>
        </w:tc>
        <w:tc>
          <w:tcPr>
            <w:tcW w:w="1416" w:type="pct"/>
            <w:hideMark/>
          </w:tcPr>
          <w:p w14:paraId="4438B998"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42.5%</w:t>
            </w:r>
          </w:p>
        </w:tc>
        <w:tc>
          <w:tcPr>
            <w:tcW w:w="1503" w:type="pct"/>
            <w:hideMark/>
          </w:tcPr>
          <w:p w14:paraId="4F34C83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ذكر</w:t>
            </w:r>
          </w:p>
        </w:tc>
        <w:tc>
          <w:tcPr>
            <w:tcW w:w="932" w:type="pct"/>
            <w:hideMark/>
          </w:tcPr>
          <w:p w14:paraId="36F1070C"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الجنس</w:t>
            </w:r>
          </w:p>
        </w:tc>
      </w:tr>
      <w:tr w:rsidR="000776C1" w:rsidRPr="00F972C1" w14:paraId="578346CF"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9A82C61"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78</w:t>
            </w:r>
          </w:p>
        </w:tc>
        <w:tc>
          <w:tcPr>
            <w:tcW w:w="1416" w:type="pct"/>
            <w:hideMark/>
          </w:tcPr>
          <w:p w14:paraId="73BB76AD"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20%</w:t>
            </w:r>
          </w:p>
        </w:tc>
        <w:tc>
          <w:tcPr>
            <w:tcW w:w="1503" w:type="pct"/>
            <w:hideMark/>
          </w:tcPr>
          <w:p w14:paraId="79C4CB3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أقل من 30 سنة</w:t>
            </w:r>
          </w:p>
        </w:tc>
        <w:tc>
          <w:tcPr>
            <w:tcW w:w="932" w:type="pct"/>
            <w:hideMark/>
          </w:tcPr>
          <w:p w14:paraId="0DB44337"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06D8356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240450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146</w:t>
            </w:r>
          </w:p>
        </w:tc>
        <w:tc>
          <w:tcPr>
            <w:tcW w:w="1416" w:type="pct"/>
            <w:hideMark/>
          </w:tcPr>
          <w:p w14:paraId="56A4B824"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37.5%</w:t>
            </w:r>
          </w:p>
        </w:tc>
        <w:tc>
          <w:tcPr>
            <w:tcW w:w="1503" w:type="pct"/>
            <w:hideMark/>
          </w:tcPr>
          <w:p w14:paraId="0839296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30 إلى أقل من 40</w:t>
            </w:r>
          </w:p>
        </w:tc>
        <w:tc>
          <w:tcPr>
            <w:tcW w:w="932" w:type="pct"/>
            <w:hideMark/>
          </w:tcPr>
          <w:p w14:paraId="13F7071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29516BB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2F84A846"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117</w:t>
            </w:r>
          </w:p>
        </w:tc>
        <w:tc>
          <w:tcPr>
            <w:tcW w:w="1416" w:type="pct"/>
            <w:hideMark/>
          </w:tcPr>
          <w:p w14:paraId="0F385DB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30%</w:t>
            </w:r>
          </w:p>
        </w:tc>
        <w:tc>
          <w:tcPr>
            <w:tcW w:w="1503" w:type="pct"/>
            <w:hideMark/>
          </w:tcPr>
          <w:p w14:paraId="006F4E75"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40 إلى أقل من 50</w:t>
            </w:r>
          </w:p>
        </w:tc>
        <w:tc>
          <w:tcPr>
            <w:tcW w:w="932" w:type="pct"/>
            <w:hideMark/>
          </w:tcPr>
          <w:p w14:paraId="49219B58"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015FC486"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39D39BF"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49</w:t>
            </w:r>
          </w:p>
        </w:tc>
        <w:tc>
          <w:tcPr>
            <w:tcW w:w="1416" w:type="pct"/>
            <w:hideMark/>
          </w:tcPr>
          <w:p w14:paraId="31BD231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12.5%</w:t>
            </w:r>
          </w:p>
        </w:tc>
        <w:tc>
          <w:tcPr>
            <w:tcW w:w="1503" w:type="pct"/>
            <w:hideMark/>
          </w:tcPr>
          <w:p w14:paraId="3FF6EC03" w14:textId="2EFC4DEE"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سنة فأكثر 50</w:t>
            </w:r>
          </w:p>
        </w:tc>
        <w:tc>
          <w:tcPr>
            <w:tcW w:w="932" w:type="pct"/>
            <w:hideMark/>
          </w:tcPr>
          <w:p w14:paraId="7EC908B3"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2DD427AB"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5203082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97</w:t>
            </w:r>
          </w:p>
        </w:tc>
        <w:tc>
          <w:tcPr>
            <w:tcW w:w="1416" w:type="pct"/>
            <w:hideMark/>
          </w:tcPr>
          <w:p w14:paraId="595C478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25%</w:t>
            </w:r>
          </w:p>
        </w:tc>
        <w:tc>
          <w:tcPr>
            <w:tcW w:w="1503" w:type="pct"/>
            <w:hideMark/>
          </w:tcPr>
          <w:p w14:paraId="44304A40"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دراسات عليا</w:t>
            </w:r>
          </w:p>
        </w:tc>
        <w:tc>
          <w:tcPr>
            <w:tcW w:w="932" w:type="pct"/>
            <w:hideMark/>
          </w:tcPr>
          <w:p w14:paraId="0B9D550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20C15983"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F028617"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233</w:t>
            </w:r>
          </w:p>
        </w:tc>
        <w:tc>
          <w:tcPr>
            <w:tcW w:w="1416" w:type="pct"/>
            <w:hideMark/>
          </w:tcPr>
          <w:p w14:paraId="5EDEF852"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60%</w:t>
            </w:r>
          </w:p>
        </w:tc>
        <w:tc>
          <w:tcPr>
            <w:tcW w:w="1503" w:type="pct"/>
            <w:hideMark/>
          </w:tcPr>
          <w:p w14:paraId="2AE9451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بكالوريوس</w:t>
            </w:r>
          </w:p>
        </w:tc>
        <w:tc>
          <w:tcPr>
            <w:tcW w:w="932" w:type="pct"/>
            <w:hideMark/>
          </w:tcPr>
          <w:p w14:paraId="520B90DD"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63AFDCEC"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493A74B"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58</w:t>
            </w:r>
          </w:p>
        </w:tc>
        <w:tc>
          <w:tcPr>
            <w:tcW w:w="1416" w:type="pct"/>
            <w:hideMark/>
          </w:tcPr>
          <w:p w14:paraId="1F85C4A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15%</w:t>
            </w:r>
          </w:p>
        </w:tc>
        <w:tc>
          <w:tcPr>
            <w:tcW w:w="1503" w:type="pct"/>
            <w:hideMark/>
          </w:tcPr>
          <w:p w14:paraId="69D55344"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دبلوم</w:t>
            </w:r>
          </w:p>
        </w:tc>
        <w:tc>
          <w:tcPr>
            <w:tcW w:w="932" w:type="pct"/>
            <w:hideMark/>
          </w:tcPr>
          <w:p w14:paraId="37E83E6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7CE8E96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CBB3734"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146</w:t>
            </w:r>
          </w:p>
        </w:tc>
        <w:tc>
          <w:tcPr>
            <w:tcW w:w="1416" w:type="pct"/>
            <w:hideMark/>
          </w:tcPr>
          <w:p w14:paraId="6541AE3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37.5%</w:t>
            </w:r>
          </w:p>
        </w:tc>
        <w:tc>
          <w:tcPr>
            <w:tcW w:w="1503" w:type="pct"/>
            <w:hideMark/>
          </w:tcPr>
          <w:p w14:paraId="23C461A6" w14:textId="230FD9A0"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10سنوات فأكثر</w:t>
            </w:r>
          </w:p>
        </w:tc>
        <w:tc>
          <w:tcPr>
            <w:tcW w:w="932" w:type="pct"/>
            <w:hideMark/>
          </w:tcPr>
          <w:p w14:paraId="3FE2DA99"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r w:rsidR="000776C1" w:rsidRPr="00F972C1" w14:paraId="0627FFC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0E4E5196"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156</w:t>
            </w:r>
          </w:p>
        </w:tc>
        <w:tc>
          <w:tcPr>
            <w:tcW w:w="1416" w:type="pct"/>
            <w:hideMark/>
          </w:tcPr>
          <w:p w14:paraId="6D9C9A11"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40%</w:t>
            </w:r>
          </w:p>
        </w:tc>
        <w:tc>
          <w:tcPr>
            <w:tcW w:w="1503" w:type="pct"/>
            <w:hideMark/>
          </w:tcPr>
          <w:p w14:paraId="2BCF6F5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5 إلى أقل من 10</w:t>
            </w:r>
          </w:p>
        </w:tc>
        <w:tc>
          <w:tcPr>
            <w:tcW w:w="932" w:type="pct"/>
            <w:hideMark/>
          </w:tcPr>
          <w:p w14:paraId="4FEE5B0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r w:rsidR="000776C1" w:rsidRPr="00F972C1" w14:paraId="3A50352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478B568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88</w:t>
            </w:r>
          </w:p>
        </w:tc>
        <w:tc>
          <w:tcPr>
            <w:tcW w:w="1416" w:type="pct"/>
            <w:hideMark/>
          </w:tcPr>
          <w:p w14:paraId="47830A2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22.5%</w:t>
            </w:r>
          </w:p>
        </w:tc>
        <w:tc>
          <w:tcPr>
            <w:tcW w:w="1503" w:type="pct"/>
            <w:hideMark/>
          </w:tcPr>
          <w:p w14:paraId="0928575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أقل من 5 سنوات</w:t>
            </w:r>
          </w:p>
        </w:tc>
        <w:tc>
          <w:tcPr>
            <w:tcW w:w="932" w:type="pct"/>
            <w:hideMark/>
          </w:tcPr>
          <w:p w14:paraId="6BABD67C"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bl>
    <w:p w14:paraId="57AF618E" w14:textId="75EB62C6" w:rsidR="00713E1B" w:rsidRPr="00F972C1" w:rsidRDefault="00713E1B" w:rsidP="002E232C">
      <w:pPr>
        <w:bidi/>
        <w:spacing w:after="200" w:line="276" w:lineRule="auto"/>
        <w:jc w:val="center"/>
        <w:rPr>
          <w:rFonts w:ascii="Traditional Arabic" w:hAnsi="Traditional Arabic" w:cs="Traditional Arabic"/>
          <w:b/>
          <w:bCs/>
          <w:color w:val="000000" w:themeColor="text1"/>
          <w:sz w:val="24"/>
          <w:szCs w:val="24"/>
          <w:rtl/>
        </w:rPr>
      </w:pPr>
      <w:r w:rsidRPr="00F972C1">
        <w:rPr>
          <w:rFonts w:ascii="Traditional Arabic" w:hAnsi="Traditional Arabic" w:cs="Traditional Arabic" w:hint="cs"/>
          <w:b/>
          <w:bCs/>
          <w:color w:val="000000" w:themeColor="text1"/>
          <w:sz w:val="24"/>
          <w:szCs w:val="24"/>
          <w:rtl/>
        </w:rPr>
        <w:t>المصدر: إعداد الباحثة</w:t>
      </w:r>
    </w:p>
    <w:p w14:paraId="087C257D" w14:textId="77777777" w:rsidR="00595465" w:rsidRPr="002E232C" w:rsidRDefault="00595465" w:rsidP="002E232C">
      <w:pPr>
        <w:bidi/>
        <w:spacing w:after="200" w:line="360" w:lineRule="auto"/>
        <w:ind w:firstLine="720"/>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شملت الدراسة عينة مكونة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إلى أقل من 10 سنوات) بنسبة (40.0%) بعدد (156)، مما يعكس خبرة عملية متوسطة لدى غالبية أفراد العينة</w:t>
      </w:r>
      <w:r w:rsidRPr="002E232C">
        <w:rPr>
          <w:rFonts w:ascii="Traditional Arabic" w:hAnsi="Traditional Arabic" w:cs="Traditional Arabic" w:hint="cs"/>
          <w:color w:val="000000" w:themeColor="text1"/>
          <w:sz w:val="24"/>
          <w:szCs w:val="24"/>
        </w:rPr>
        <w:t>.</w:t>
      </w:r>
    </w:p>
    <w:p w14:paraId="3BB32E35" w14:textId="57941E36" w:rsidR="002C0813" w:rsidRPr="002E232C" w:rsidRDefault="002C0813" w:rsidP="002C0813">
      <w:pPr>
        <w:bidi/>
        <w:spacing w:after="200" w:line="276" w:lineRule="auto"/>
        <w:rPr>
          <w:rFonts w:ascii="Traditional Arabic" w:hAnsi="Traditional Arabic" w:cs="Traditional Arabic"/>
          <w:b/>
          <w:bCs/>
          <w:color w:val="000000" w:themeColor="text1"/>
          <w:sz w:val="28"/>
          <w:szCs w:val="28"/>
        </w:rPr>
      </w:pPr>
      <w:r w:rsidRPr="002E232C">
        <w:rPr>
          <w:rFonts w:ascii="Traditional Arabic" w:hAnsi="Traditional Arabic" w:cs="Traditional Arabic" w:hint="cs"/>
          <w:b/>
          <w:bCs/>
          <w:color w:val="000000" w:themeColor="text1"/>
          <w:sz w:val="28"/>
          <w:szCs w:val="28"/>
          <w:rtl/>
        </w:rPr>
        <w:lastRenderedPageBreak/>
        <w:t>أداة الدراسة :</w:t>
      </w:r>
    </w:p>
    <w:p w14:paraId="64007900" w14:textId="6BE3BFDB" w:rsidR="002C0813" w:rsidRPr="002E232C" w:rsidRDefault="00BA2FB5" w:rsidP="002E232C">
      <w:p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lang w:bidi="ar-EG"/>
        </w:rPr>
        <w:t>في ضوء فروض البحث وتغيراته الثلاثة المستقل والوسيط والتابع قامت الباحثة بتصميم إستبانة شملت 60 عبارة تم إعدادها وتوزيعها على عينة البحث بواسطة (</w:t>
      </w:r>
      <w:r w:rsidRPr="002E232C">
        <w:rPr>
          <w:rFonts w:ascii="Traditional Arabic" w:hAnsi="Traditional Arabic" w:cs="Traditional Arabic" w:hint="cs"/>
          <w:color w:val="000000" w:themeColor="text1"/>
          <w:sz w:val="24"/>
          <w:szCs w:val="24"/>
          <w:lang w:bidi="ar-EG"/>
        </w:rPr>
        <w:t>Google Forms</w:t>
      </w:r>
      <w:r w:rsidRPr="002E232C">
        <w:rPr>
          <w:rFonts w:ascii="Traditional Arabic" w:hAnsi="Traditional Arabic" w:cs="Traditional Arabic" w:hint="cs"/>
          <w:color w:val="000000" w:themeColor="text1"/>
          <w:sz w:val="24"/>
          <w:szCs w:val="24"/>
          <w:rtl/>
          <w:lang w:bidi="ar-EG"/>
        </w:rPr>
        <w:t>)</w:t>
      </w:r>
      <w:r w:rsidR="00EB411A" w:rsidRPr="002E232C">
        <w:rPr>
          <w:rFonts w:ascii="Traditional Arabic" w:hAnsi="Traditional Arabic" w:cs="Traditional Arabic" w:hint="cs"/>
          <w:color w:val="000000" w:themeColor="text1"/>
          <w:sz w:val="24"/>
          <w:szCs w:val="24"/>
          <w:rtl/>
          <w:lang w:bidi="ar-EG"/>
        </w:rPr>
        <w:t>،</w:t>
      </w:r>
      <w:r w:rsidR="002C0813" w:rsidRPr="002E232C">
        <w:rPr>
          <w:rFonts w:ascii="Traditional Arabic" w:hAnsi="Traditional Arabic" w:cs="Traditional Arabic" w:hint="cs"/>
          <w:color w:val="000000" w:themeColor="text1"/>
          <w:sz w:val="24"/>
          <w:szCs w:val="24"/>
          <w:rtl/>
        </w:rPr>
        <w:t xml:space="preserve"> وقد تم تصميمها بناءً على الأدبيات السابقة والدراسات المشابهة، وتم الاعتماد على مقياس ليكرت الخماسي في أداة الدراسة( موافق بشدة 5- موافق 4- محايد 3- غير موافق 2- غير موافق بشدة 1)</w:t>
      </w:r>
      <w:r w:rsidR="00EB411A" w:rsidRPr="002E232C">
        <w:rPr>
          <w:rFonts w:ascii="Traditional Arabic" w:hAnsi="Traditional Arabic" w:cs="Traditional Arabic" w:hint="cs"/>
          <w:color w:val="000000" w:themeColor="text1"/>
          <w:sz w:val="24"/>
          <w:szCs w:val="24"/>
          <w:rtl/>
        </w:rPr>
        <w:t>، وقد جاء تنظيم الاستبانة مقسماً إلى ثلاث أقسام كما يلي</w:t>
      </w:r>
      <w:r w:rsidR="002C0813" w:rsidRPr="002E232C">
        <w:rPr>
          <w:rFonts w:ascii="Traditional Arabic" w:hAnsi="Traditional Arabic" w:cs="Traditional Arabic" w:hint="cs"/>
          <w:color w:val="000000" w:themeColor="text1"/>
          <w:sz w:val="24"/>
          <w:szCs w:val="24"/>
          <w:rtl/>
        </w:rPr>
        <w:t xml:space="preserve"> </w:t>
      </w:r>
      <w:r w:rsidR="002C0813" w:rsidRPr="002E232C">
        <w:rPr>
          <w:rFonts w:ascii="Traditional Arabic" w:hAnsi="Traditional Arabic" w:cs="Traditional Arabic" w:hint="cs"/>
          <w:color w:val="000000" w:themeColor="text1"/>
          <w:sz w:val="24"/>
          <w:szCs w:val="24"/>
        </w:rPr>
        <w:t>:</w:t>
      </w:r>
    </w:p>
    <w:p w14:paraId="012ED55D" w14:textId="1F77EAB3" w:rsidR="002C0813" w:rsidRPr="002E232C" w:rsidRDefault="00EB411A">
      <w:pPr>
        <w:numPr>
          <w:ilvl w:val="0"/>
          <w:numId w:val="35"/>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الأول: لقياس</w:t>
      </w:r>
      <w:r w:rsidR="002C0813" w:rsidRPr="002E232C">
        <w:rPr>
          <w:rFonts w:ascii="Traditional Arabic" w:hAnsi="Traditional Arabic" w:cs="Traditional Arabic" w:hint="cs"/>
          <w:color w:val="000000" w:themeColor="text1"/>
          <w:sz w:val="24"/>
          <w:szCs w:val="24"/>
          <w:rtl/>
        </w:rPr>
        <w:t xml:space="preserve"> إدارة المخاطر</w:t>
      </w:r>
      <w:r w:rsidRPr="002E232C">
        <w:rPr>
          <w:rFonts w:ascii="Traditional Arabic" w:hAnsi="Traditional Arabic" w:cs="Traditional Arabic" w:hint="cs"/>
          <w:color w:val="000000" w:themeColor="text1"/>
          <w:sz w:val="24"/>
          <w:szCs w:val="24"/>
          <w:rtl/>
        </w:rPr>
        <w:t xml:space="preserve"> (المتغير المستقل) وتم قياسه باستخدام 20 عبارة موزعة على الأبعاد التالية ( تحديد المخاطر- تحليل المخاطر- تقييم المخاطر – الاستجابة للمخاطر)، وتم قياس الدراسة على عدد من الدراسات السابقة التي تناولت هذا المفهوم في السياق الصحي، حيث اعتمدت دراسة</w:t>
      </w:r>
      <w:r w:rsidRPr="002E232C">
        <w:rPr>
          <w:rFonts w:ascii="Traditional Arabic" w:hAnsi="Traditional Arabic" w:cs="Traditional Arabic" w:hint="cs"/>
          <w:color w:val="000000" w:themeColor="text1"/>
          <w:sz w:val="24"/>
          <w:szCs w:val="24"/>
        </w:rPr>
        <w:t xml:space="preserve"> Alahmadi (2010) </w:t>
      </w:r>
      <w:r w:rsidRPr="002E232C">
        <w:rPr>
          <w:rFonts w:ascii="Traditional Arabic" w:hAnsi="Traditional Arabic" w:cs="Traditional Arabic" w:hint="cs"/>
          <w:color w:val="000000" w:themeColor="text1"/>
          <w:sz w:val="24"/>
          <w:szCs w:val="24"/>
          <w:rtl/>
        </w:rPr>
        <w:t>على مؤشرات لتحديد المخاطر ضمن تقييم ثقافة سلامة المرضى، بينما ركزت دراسة</w:t>
      </w:r>
      <w:r w:rsidRPr="002E232C">
        <w:rPr>
          <w:rFonts w:ascii="Traditional Arabic" w:hAnsi="Traditional Arabic" w:cs="Traditional Arabic" w:hint="cs"/>
          <w:color w:val="000000" w:themeColor="text1"/>
          <w:sz w:val="24"/>
          <w:szCs w:val="24"/>
        </w:rPr>
        <w:t xml:space="preserve"> Aboshaiqah (2015) </w:t>
      </w:r>
      <w:r w:rsidRPr="002E232C">
        <w:rPr>
          <w:rFonts w:ascii="Traditional Arabic" w:hAnsi="Traditional Arabic" w:cs="Traditional Arabic" w:hint="cs"/>
          <w:color w:val="000000" w:themeColor="text1"/>
          <w:sz w:val="24"/>
          <w:szCs w:val="24"/>
          <w:rtl/>
        </w:rPr>
        <w:t>على تحليل أسباب الحوادث كجزء من إدارة المخاطر. كما استخدمت دراسة</w:t>
      </w:r>
      <w:r w:rsidRPr="002E232C">
        <w:rPr>
          <w:rFonts w:ascii="Traditional Arabic" w:hAnsi="Traditional Arabic" w:cs="Traditional Arabic" w:hint="cs"/>
          <w:color w:val="000000" w:themeColor="text1"/>
          <w:sz w:val="24"/>
          <w:szCs w:val="24"/>
        </w:rPr>
        <w:t xml:space="preserve"> Alzahrani and Jones (2018) </w:t>
      </w:r>
      <w:r w:rsidRPr="002E232C">
        <w:rPr>
          <w:rFonts w:ascii="Traditional Arabic" w:hAnsi="Traditional Arabic" w:cs="Traditional Arabic" w:hint="cs"/>
          <w:color w:val="000000" w:themeColor="text1"/>
          <w:sz w:val="24"/>
          <w:szCs w:val="24"/>
          <w:rtl/>
        </w:rPr>
        <w:t>مقياسًا لتقييم المخاطر في إطار المقارنة بين المستشفيات الحكومية والخاصة، في حين ناقشت دراسة</w:t>
      </w:r>
      <w:r w:rsidRPr="002E232C">
        <w:rPr>
          <w:rFonts w:ascii="Traditional Arabic" w:hAnsi="Traditional Arabic" w:cs="Traditional Arabic" w:hint="cs"/>
          <w:color w:val="000000" w:themeColor="text1"/>
          <w:sz w:val="24"/>
          <w:szCs w:val="24"/>
        </w:rPr>
        <w:t xml:space="preserve"> Almalki, FitzGerald, and Clark (2011) </w:t>
      </w:r>
      <w:r w:rsidRPr="002E232C">
        <w:rPr>
          <w:rFonts w:ascii="Traditional Arabic" w:hAnsi="Traditional Arabic" w:cs="Traditional Arabic" w:hint="cs"/>
          <w:color w:val="000000" w:themeColor="text1"/>
          <w:sz w:val="24"/>
          <w:szCs w:val="24"/>
          <w:rtl/>
        </w:rPr>
        <w:t>آليات الاستجابة للمخاطر ضمن النظام الصحي السعودي</w:t>
      </w:r>
      <w:r w:rsidRPr="002E232C">
        <w:rPr>
          <w:rFonts w:ascii="Traditional Arabic" w:hAnsi="Traditional Arabic" w:cs="Traditional Arabic" w:hint="cs"/>
          <w:color w:val="000000" w:themeColor="text1"/>
          <w:sz w:val="24"/>
          <w:szCs w:val="24"/>
        </w:rPr>
        <w:t>.</w:t>
      </w:r>
    </w:p>
    <w:p w14:paraId="7CBBF486" w14:textId="38442147" w:rsidR="002C0813" w:rsidRPr="002E232C" w:rsidRDefault="00E51DD3">
      <w:pPr>
        <w:numPr>
          <w:ilvl w:val="0"/>
          <w:numId w:val="35"/>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الثاني : لقياس</w:t>
      </w:r>
      <w:r w:rsidR="002C0813" w:rsidRPr="002E232C">
        <w:rPr>
          <w:rFonts w:ascii="Traditional Arabic" w:hAnsi="Traditional Arabic" w:cs="Traditional Arabic" w:hint="cs"/>
          <w:color w:val="000000" w:themeColor="text1"/>
          <w:sz w:val="24"/>
          <w:szCs w:val="24"/>
          <w:rtl/>
        </w:rPr>
        <w:t xml:space="preserve"> القيادة التحويلية</w:t>
      </w:r>
      <w:r w:rsidRPr="002E232C">
        <w:rPr>
          <w:rFonts w:ascii="Traditional Arabic" w:hAnsi="Traditional Arabic" w:cs="Traditional Arabic" w:hint="cs"/>
          <w:color w:val="000000" w:themeColor="text1"/>
          <w:sz w:val="24"/>
          <w:szCs w:val="24"/>
          <w:rtl/>
        </w:rPr>
        <w:t xml:space="preserve"> (المتغير الوسيط) </w:t>
      </w:r>
      <w:r w:rsidR="00827C1C" w:rsidRPr="002E232C">
        <w:rPr>
          <w:rFonts w:ascii="Traditional Arabic" w:hAnsi="Traditional Arabic" w:cs="Traditional Arabic" w:hint="cs"/>
          <w:color w:val="000000" w:themeColor="text1"/>
          <w:sz w:val="24"/>
          <w:szCs w:val="24"/>
          <w:rtl/>
        </w:rPr>
        <w:t>وتم قياسه باستخدام 20 عبارة موزعة على الأبعاد التالية ( التأثير المثالي، الدافعية الإلهامية، الإعتبارية الفردية، الاستثارة الفكرية)</w:t>
      </w:r>
      <w:r w:rsidR="00F73817" w:rsidRPr="002E232C">
        <w:rPr>
          <w:rFonts w:ascii="Traditional Arabic" w:hAnsi="Traditional Arabic" w:cs="Traditional Arabic" w:hint="cs"/>
          <w:color w:val="000000" w:themeColor="text1"/>
          <w:sz w:val="24"/>
          <w:szCs w:val="24"/>
          <w:rtl/>
        </w:rPr>
        <w:t xml:space="preserve"> وتم قياس وتطوير العبارات استرشادا بمقياس </w:t>
      </w:r>
      <w:r w:rsidR="00F73817" w:rsidRPr="002E232C">
        <w:rPr>
          <w:rFonts w:ascii="Traditional Arabic" w:hAnsi="Traditional Arabic" w:cs="Traditional Arabic" w:hint="cs"/>
          <w:color w:val="000000" w:themeColor="text1"/>
          <w:sz w:val="24"/>
          <w:szCs w:val="24"/>
        </w:rPr>
        <w:t xml:space="preserve">Bass and Avolio (1995) </w:t>
      </w:r>
      <w:r w:rsidR="00F73817" w:rsidRPr="002E232C">
        <w:rPr>
          <w:rFonts w:ascii="Traditional Arabic" w:hAnsi="Traditional Arabic" w:cs="Traditional Arabic" w:hint="cs"/>
          <w:color w:val="000000" w:themeColor="text1"/>
          <w:sz w:val="24"/>
          <w:szCs w:val="24"/>
          <w:rtl/>
        </w:rPr>
        <w:t>المعروف باسم</w:t>
      </w:r>
      <w:r w:rsidR="00F73817" w:rsidRPr="002E232C">
        <w:rPr>
          <w:rFonts w:ascii="Traditional Arabic" w:hAnsi="Traditional Arabic" w:cs="Traditional Arabic" w:hint="cs"/>
          <w:color w:val="000000" w:themeColor="text1"/>
          <w:sz w:val="24"/>
          <w:szCs w:val="24"/>
        </w:rPr>
        <w:t xml:space="preserve"> MLQ – Multifactor Leadership Questionnaire</w:t>
      </w:r>
      <w:r w:rsidR="00F73817" w:rsidRPr="002E232C">
        <w:rPr>
          <w:rFonts w:ascii="Traditional Arabic" w:hAnsi="Traditional Arabic" w:cs="Traditional Arabic" w:hint="cs"/>
          <w:color w:val="000000" w:themeColor="text1"/>
          <w:sz w:val="24"/>
          <w:szCs w:val="24"/>
          <w:rtl/>
        </w:rPr>
        <w:t>، الذي يُعد من أكثر الأدوات استخدامًا في قياس أنماط القيادة التحويلية في البيئات التنظيمية والصحية</w:t>
      </w:r>
      <w:r w:rsidR="00F73817" w:rsidRPr="002E232C">
        <w:rPr>
          <w:rFonts w:ascii="Traditional Arabic" w:hAnsi="Traditional Arabic" w:cs="Traditional Arabic" w:hint="cs"/>
          <w:color w:val="000000" w:themeColor="text1"/>
          <w:sz w:val="24"/>
          <w:szCs w:val="24"/>
        </w:rPr>
        <w:t>.</w:t>
      </w:r>
    </w:p>
    <w:p w14:paraId="51A0AB2C" w14:textId="4A442B7A" w:rsidR="002C0813" w:rsidRPr="002E232C" w:rsidRDefault="00F73817">
      <w:pPr>
        <w:numPr>
          <w:ilvl w:val="0"/>
          <w:numId w:val="35"/>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الثالث: لقياس</w:t>
      </w:r>
      <w:r w:rsidR="002C0813" w:rsidRPr="002E232C">
        <w:rPr>
          <w:rFonts w:ascii="Traditional Arabic" w:hAnsi="Traditional Arabic" w:cs="Traditional Arabic" w:hint="cs"/>
          <w:color w:val="000000" w:themeColor="text1"/>
          <w:sz w:val="24"/>
          <w:szCs w:val="24"/>
          <w:rtl/>
        </w:rPr>
        <w:t xml:space="preserve"> سلامة المرضى</w:t>
      </w:r>
      <w:r w:rsidRPr="002E232C">
        <w:rPr>
          <w:rFonts w:ascii="Traditional Arabic" w:hAnsi="Traditional Arabic" w:cs="Traditional Arabic" w:hint="cs"/>
          <w:color w:val="000000" w:themeColor="text1"/>
          <w:sz w:val="24"/>
          <w:szCs w:val="24"/>
          <w:rtl/>
        </w:rPr>
        <w:t xml:space="preserve"> ( المتغير التابع) وتم قياسه باستخدام (20) عبارة موزعة على الأبعاد التالية (</w:t>
      </w:r>
      <w:r w:rsidR="00D87F19" w:rsidRPr="002E232C">
        <w:rPr>
          <w:rFonts w:ascii="Traditional Arabic" w:hAnsi="Traditional Arabic" w:cs="Traditional Arabic" w:hint="cs"/>
          <w:color w:val="000000" w:themeColor="text1"/>
          <w:sz w:val="24"/>
          <w:szCs w:val="24"/>
          <w:rtl/>
        </w:rPr>
        <w:t xml:space="preserve"> تقليل الأخطاء الطبية، فعالية أنظمة الإبلاغ، إشراك المرضى، بيئة العمل الآمنة، جودة الرعاية السريرية)</w:t>
      </w:r>
      <w:r w:rsidR="00F579DE" w:rsidRPr="002E232C">
        <w:rPr>
          <w:rFonts w:ascii="Traditional Arabic" w:hAnsi="Traditional Arabic" w:cs="Traditional Arabic" w:hint="cs"/>
          <w:color w:val="000000" w:themeColor="text1"/>
          <w:sz w:val="24"/>
          <w:szCs w:val="24"/>
          <w:rtl/>
        </w:rPr>
        <w:t xml:space="preserve"> وتم الاستناد على الدراسات التالية دراسة </w:t>
      </w:r>
      <w:r w:rsidR="00F579DE" w:rsidRPr="002E232C">
        <w:rPr>
          <w:rFonts w:ascii="Traditional Arabic" w:hAnsi="Traditional Arabic" w:cs="Traditional Arabic" w:hint="cs"/>
          <w:color w:val="000000" w:themeColor="text1"/>
          <w:sz w:val="24"/>
          <w:szCs w:val="24"/>
        </w:rPr>
        <w:t xml:space="preserve">Alahmadi (2010) </w:t>
      </w:r>
      <w:r w:rsidR="00F579DE" w:rsidRPr="002E232C">
        <w:rPr>
          <w:rFonts w:ascii="Traditional Arabic" w:hAnsi="Traditional Arabic" w:cs="Traditional Arabic" w:hint="cs"/>
          <w:color w:val="000000" w:themeColor="text1"/>
          <w:sz w:val="24"/>
          <w:szCs w:val="24"/>
          <w:rtl/>
        </w:rPr>
        <w:t xml:space="preserve">على مؤشرات ثقافة سلامة المرضى، بما في ذلك بيئة العمل والإبلاغ عن الأخطاء، في حين تناولت دراسة </w:t>
      </w:r>
      <w:r w:rsidR="00F579DE" w:rsidRPr="002E232C">
        <w:rPr>
          <w:rFonts w:ascii="Traditional Arabic" w:hAnsi="Traditional Arabic" w:cs="Traditional Arabic" w:hint="cs"/>
          <w:color w:val="000000" w:themeColor="text1"/>
          <w:sz w:val="24"/>
          <w:szCs w:val="24"/>
        </w:rPr>
        <w:t xml:space="preserve">Aboshaiqah (2015) </w:t>
      </w:r>
      <w:r w:rsidR="00F579DE" w:rsidRPr="002E232C">
        <w:rPr>
          <w:rFonts w:ascii="Traditional Arabic" w:hAnsi="Traditional Arabic" w:cs="Traditional Arabic" w:hint="cs"/>
          <w:color w:val="000000" w:themeColor="text1"/>
          <w:sz w:val="24"/>
          <w:szCs w:val="24"/>
          <w:rtl/>
        </w:rPr>
        <w:t xml:space="preserve">فعالية أنظمة الإبلاغ عن الحوادث الطبية كأحد مكونات السلامة. كما ناقشت دراسة </w:t>
      </w:r>
      <w:r w:rsidR="00F579DE" w:rsidRPr="002E232C">
        <w:rPr>
          <w:rFonts w:ascii="Traditional Arabic" w:hAnsi="Traditional Arabic" w:cs="Traditional Arabic" w:hint="cs"/>
          <w:color w:val="000000" w:themeColor="text1"/>
          <w:sz w:val="24"/>
          <w:szCs w:val="24"/>
        </w:rPr>
        <w:t xml:space="preserve">Almalki, FitzGerald, and Clark (2011) </w:t>
      </w:r>
      <w:r w:rsidR="00F579DE" w:rsidRPr="002E232C">
        <w:rPr>
          <w:rFonts w:ascii="Traditional Arabic" w:hAnsi="Traditional Arabic" w:cs="Traditional Arabic" w:hint="cs"/>
          <w:color w:val="000000" w:themeColor="text1"/>
          <w:sz w:val="24"/>
          <w:szCs w:val="24"/>
          <w:rtl/>
        </w:rPr>
        <w:t>جودة الرعاية السريرية وبيئة العمل الآمنة ضمن تحليلها للنظام الصحي السعودي. وقد تم تطوير العبارات وفقًا لهذه الأبعاد، مع اعتماد مقياس ليكرت الخماسي لقياس درجة الاتفاق</w:t>
      </w:r>
      <w:r w:rsidR="00595465" w:rsidRPr="002E232C">
        <w:rPr>
          <w:rFonts w:ascii="Traditional Arabic" w:hAnsi="Traditional Arabic" w:cs="Traditional Arabic" w:hint="cs"/>
          <w:color w:val="000000" w:themeColor="text1"/>
          <w:sz w:val="24"/>
          <w:szCs w:val="24"/>
          <w:rtl/>
        </w:rPr>
        <w:t>.</w:t>
      </w:r>
    </w:p>
    <w:p w14:paraId="3E29AD1F" w14:textId="77777777" w:rsidR="00D42EB1" w:rsidRDefault="00D42EB1" w:rsidP="00962AD0">
      <w:pPr>
        <w:bidi/>
        <w:spacing w:after="200" w:line="276" w:lineRule="auto"/>
        <w:jc w:val="center"/>
        <w:rPr>
          <w:rFonts w:ascii="Traditional Arabic" w:hAnsi="Traditional Arabic" w:cs="Traditional Arabic"/>
          <w:b/>
          <w:bCs/>
          <w:color w:val="000000" w:themeColor="text1"/>
          <w:sz w:val="24"/>
          <w:szCs w:val="24"/>
          <w:rtl/>
        </w:rPr>
      </w:pPr>
    </w:p>
    <w:p w14:paraId="2F0E16C0" w14:textId="77777777" w:rsidR="00D42EB1" w:rsidRDefault="00D42EB1" w:rsidP="00D42EB1">
      <w:pPr>
        <w:bidi/>
        <w:spacing w:after="200" w:line="276" w:lineRule="auto"/>
        <w:jc w:val="center"/>
        <w:rPr>
          <w:rFonts w:ascii="Traditional Arabic" w:hAnsi="Traditional Arabic" w:cs="Traditional Arabic"/>
          <w:b/>
          <w:bCs/>
          <w:color w:val="000000" w:themeColor="text1"/>
          <w:sz w:val="24"/>
          <w:szCs w:val="24"/>
          <w:rtl/>
        </w:rPr>
      </w:pPr>
    </w:p>
    <w:p w14:paraId="626C10F7" w14:textId="5FE353AE" w:rsidR="00962AD0" w:rsidRPr="00C3610C" w:rsidRDefault="00595465" w:rsidP="00D42EB1">
      <w:pPr>
        <w:bidi/>
        <w:spacing w:after="200" w:line="276" w:lineRule="auto"/>
        <w:jc w:val="center"/>
        <w:rPr>
          <w:rFonts w:ascii="Traditional Arabic" w:hAnsi="Traditional Arabic" w:cs="Traditional Arabic"/>
          <w:b/>
          <w:bCs/>
          <w:color w:val="000000" w:themeColor="text1"/>
          <w:sz w:val="24"/>
          <w:szCs w:val="24"/>
          <w:rtl/>
        </w:rPr>
      </w:pPr>
      <w:r w:rsidRPr="00C3610C">
        <w:rPr>
          <w:rFonts w:ascii="Traditional Arabic" w:hAnsi="Traditional Arabic" w:cs="Traditional Arabic" w:hint="cs"/>
          <w:b/>
          <w:bCs/>
          <w:color w:val="000000" w:themeColor="text1"/>
          <w:sz w:val="24"/>
          <w:szCs w:val="24"/>
          <w:rtl/>
        </w:rPr>
        <w:lastRenderedPageBreak/>
        <w:t>جدول (11) عبارات الإستبيان</w:t>
      </w:r>
      <w:r w:rsidR="00B1476D" w:rsidRPr="00C3610C">
        <w:rPr>
          <w:rFonts w:ascii="Traditional Arabic" w:hAnsi="Traditional Arabic" w:cs="Traditional Arabic" w:hint="cs"/>
          <w:b/>
          <w:bCs/>
          <w:color w:val="000000" w:themeColor="text1"/>
          <w:sz w:val="24"/>
          <w:szCs w:val="24"/>
          <w:rtl/>
        </w:rPr>
        <w:t xml:space="preserve"> ومصادر صياغتها.</w:t>
      </w:r>
    </w:p>
    <w:tbl>
      <w:tblPr>
        <w:tblStyle w:val="TableGrid"/>
        <w:tblW w:w="5000" w:type="pct"/>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237"/>
        <w:gridCol w:w="5115"/>
        <w:gridCol w:w="938"/>
      </w:tblGrid>
      <w:tr w:rsidR="00962AD0" w:rsidRPr="00130980" w14:paraId="1EC24ECD" w14:textId="34F6D11E" w:rsidTr="002A403A">
        <w:trPr>
          <w:trHeight w:val="20"/>
          <w:tblCellSpacing w:w="20" w:type="dxa"/>
          <w:jc w:val="right"/>
        </w:trPr>
        <w:tc>
          <w:tcPr>
            <w:tcW w:w="1339" w:type="pct"/>
            <w:shd w:val="clear" w:color="auto" w:fill="E5DFEC" w:themeFill="accent4" w:themeFillTint="33"/>
          </w:tcPr>
          <w:p w14:paraId="58147A30" w14:textId="05B14635" w:rsidR="004773A9"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المصدر</w:t>
            </w:r>
          </w:p>
        </w:tc>
        <w:tc>
          <w:tcPr>
            <w:tcW w:w="3121" w:type="pct"/>
            <w:shd w:val="clear" w:color="auto" w:fill="E5DFEC" w:themeFill="accent4" w:themeFillTint="33"/>
            <w:hideMark/>
          </w:tcPr>
          <w:p w14:paraId="3C979881" w14:textId="2638474F" w:rsidR="004773A9" w:rsidRPr="00130980" w:rsidRDefault="004773A9"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العبارة</w:t>
            </w:r>
          </w:p>
        </w:tc>
        <w:tc>
          <w:tcPr>
            <w:tcW w:w="540" w:type="pct"/>
            <w:shd w:val="clear" w:color="auto" w:fill="E5DFEC" w:themeFill="accent4" w:themeFillTint="33"/>
          </w:tcPr>
          <w:p w14:paraId="7BC14AE7" w14:textId="3C6286D5" w:rsidR="004773A9"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lang w:bidi="ar-EG"/>
              </w:rPr>
              <w:t>رقم العبارة</w:t>
            </w:r>
          </w:p>
        </w:tc>
      </w:tr>
      <w:tr w:rsidR="00C52853" w:rsidRPr="00130980" w14:paraId="3CD82115" w14:textId="41638C69" w:rsidTr="00C3610C">
        <w:trPr>
          <w:trHeight w:val="20"/>
          <w:tblCellSpacing w:w="20" w:type="dxa"/>
          <w:jc w:val="right"/>
        </w:trPr>
        <w:tc>
          <w:tcPr>
            <w:tcW w:w="5000" w:type="pct"/>
            <w:gridSpan w:val="3"/>
          </w:tcPr>
          <w:p w14:paraId="230E61CD" w14:textId="15B373F3"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إدارة المخاطر</w:t>
            </w:r>
          </w:p>
        </w:tc>
      </w:tr>
      <w:tr w:rsidR="00C52853" w:rsidRPr="00130980" w14:paraId="427034F1" w14:textId="79CABE26" w:rsidTr="00C3610C">
        <w:trPr>
          <w:trHeight w:val="20"/>
          <w:tblCellSpacing w:w="20" w:type="dxa"/>
          <w:jc w:val="right"/>
        </w:trPr>
        <w:tc>
          <w:tcPr>
            <w:tcW w:w="5000" w:type="pct"/>
            <w:gridSpan w:val="3"/>
          </w:tcPr>
          <w:p w14:paraId="71EDBF59" w14:textId="3CAEC152"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أولًا: تحديد المخاطر</w:t>
            </w:r>
          </w:p>
        </w:tc>
      </w:tr>
      <w:tr w:rsidR="00C52853" w:rsidRPr="00130980" w14:paraId="71C6E21E" w14:textId="48D2A9CD" w:rsidTr="00C3610C">
        <w:trPr>
          <w:trHeight w:val="20"/>
          <w:tblCellSpacing w:w="20" w:type="dxa"/>
          <w:jc w:val="right"/>
        </w:trPr>
        <w:tc>
          <w:tcPr>
            <w:tcW w:w="1339" w:type="pct"/>
          </w:tcPr>
          <w:p w14:paraId="696FB5F1" w14:textId="70448BAD"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العتيبي،2019، 45)</w:t>
            </w:r>
          </w:p>
        </w:tc>
        <w:tc>
          <w:tcPr>
            <w:tcW w:w="3121" w:type="pct"/>
            <w:hideMark/>
          </w:tcPr>
          <w:p w14:paraId="030BABB5" w14:textId="3397407F"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يتم تحديد مصادر الخطر المحتملة في بيئة العمل بشكل منتظم</w:t>
            </w:r>
          </w:p>
        </w:tc>
        <w:tc>
          <w:tcPr>
            <w:tcW w:w="540" w:type="pct"/>
          </w:tcPr>
          <w:p w14:paraId="54C8E9AC" w14:textId="3D185B69"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w:t>
            </w:r>
          </w:p>
        </w:tc>
      </w:tr>
      <w:tr w:rsidR="00C52853" w:rsidRPr="00130980" w14:paraId="55316A1E" w14:textId="77777777" w:rsidTr="00C3610C">
        <w:trPr>
          <w:trHeight w:val="20"/>
          <w:tblCellSpacing w:w="20" w:type="dxa"/>
          <w:jc w:val="right"/>
        </w:trPr>
        <w:tc>
          <w:tcPr>
            <w:tcW w:w="1339" w:type="pct"/>
          </w:tcPr>
          <w:p w14:paraId="3768FF47" w14:textId="24BCE490" w:rsidR="00C52853" w:rsidRPr="00130980" w:rsidRDefault="00472477"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2020، 52)</w:t>
            </w:r>
          </w:p>
        </w:tc>
        <w:tc>
          <w:tcPr>
            <w:tcW w:w="3121" w:type="pct"/>
          </w:tcPr>
          <w:p w14:paraId="52162773" w14:textId="7D99303D"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xml:space="preserve">توجد آلية واضحة لرصد الحوادث الطبية والأخطاء التشغيلية </w:t>
            </w:r>
            <w:r w:rsidR="00472477" w:rsidRPr="00130980">
              <w:rPr>
                <w:rFonts w:ascii="Traditional Arabic" w:hAnsi="Traditional Arabic" w:cs="Traditional Arabic" w:hint="cs"/>
                <w:b/>
                <w:bCs/>
                <w:color w:val="000000" w:themeColor="text1"/>
                <w:sz w:val="20"/>
                <w:szCs w:val="20"/>
                <w:rtl/>
              </w:rPr>
              <w:t>.</w:t>
            </w:r>
          </w:p>
        </w:tc>
        <w:tc>
          <w:tcPr>
            <w:tcW w:w="540" w:type="pct"/>
          </w:tcPr>
          <w:p w14:paraId="36F44CC1" w14:textId="61EB540C"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w:t>
            </w:r>
          </w:p>
        </w:tc>
      </w:tr>
      <w:tr w:rsidR="00C52853" w:rsidRPr="00130980" w14:paraId="770A2632" w14:textId="77777777" w:rsidTr="00C3610C">
        <w:trPr>
          <w:trHeight w:val="20"/>
          <w:tblCellSpacing w:w="20" w:type="dxa"/>
          <w:jc w:val="right"/>
        </w:trPr>
        <w:tc>
          <w:tcPr>
            <w:tcW w:w="1339" w:type="pct"/>
          </w:tcPr>
          <w:p w14:paraId="63C0F137" w14:textId="38F7CF55" w:rsidR="00C52853" w:rsidRPr="00130980" w:rsidRDefault="00685E5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الخطيب، 2018، 67)</w:t>
            </w:r>
          </w:p>
        </w:tc>
        <w:tc>
          <w:tcPr>
            <w:tcW w:w="3121" w:type="pct"/>
          </w:tcPr>
          <w:p w14:paraId="7BF2AF88" w14:textId="15D9C680"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إشراك العاملين في تحديد المخاطر المرتبطة بمهامهم اليومية</w:t>
            </w:r>
            <w:r w:rsidR="00685E5C" w:rsidRPr="00130980">
              <w:rPr>
                <w:rFonts w:ascii="Traditional Arabic" w:hAnsi="Traditional Arabic" w:cs="Traditional Arabic" w:hint="cs"/>
                <w:b/>
                <w:bCs/>
                <w:color w:val="000000" w:themeColor="text1"/>
                <w:sz w:val="20"/>
                <w:szCs w:val="20"/>
                <w:rtl/>
              </w:rPr>
              <w:t>.</w:t>
            </w:r>
          </w:p>
        </w:tc>
        <w:tc>
          <w:tcPr>
            <w:tcW w:w="540" w:type="pct"/>
          </w:tcPr>
          <w:p w14:paraId="2844EB78" w14:textId="1C04480F"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w:t>
            </w:r>
          </w:p>
        </w:tc>
      </w:tr>
      <w:tr w:rsidR="00C52853" w:rsidRPr="00130980" w14:paraId="2CC1EE36" w14:textId="77777777" w:rsidTr="00C3610C">
        <w:trPr>
          <w:trHeight w:val="20"/>
          <w:tblCellSpacing w:w="20" w:type="dxa"/>
          <w:jc w:val="right"/>
        </w:trPr>
        <w:tc>
          <w:tcPr>
            <w:tcW w:w="1339" w:type="pct"/>
          </w:tcPr>
          <w:p w14:paraId="5B683091" w14:textId="0218F494" w:rsidR="00C52853" w:rsidRPr="00130980" w:rsidRDefault="00685E5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الحربي، 2017، 56)</w:t>
            </w:r>
          </w:p>
        </w:tc>
        <w:tc>
          <w:tcPr>
            <w:tcW w:w="3121" w:type="pct"/>
          </w:tcPr>
          <w:p w14:paraId="471C13CD" w14:textId="4D46D90D"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xml:space="preserve">يتم توثيق المخاطر المحتملة في سجلات رسمية داخل المنشأة </w:t>
            </w:r>
            <w:r w:rsidR="00685E5C" w:rsidRPr="00130980">
              <w:rPr>
                <w:rFonts w:ascii="Traditional Arabic" w:hAnsi="Traditional Arabic" w:cs="Traditional Arabic" w:hint="cs"/>
                <w:b/>
                <w:bCs/>
                <w:color w:val="000000" w:themeColor="text1"/>
                <w:sz w:val="20"/>
                <w:szCs w:val="20"/>
                <w:rtl/>
              </w:rPr>
              <w:t>.</w:t>
            </w:r>
          </w:p>
        </w:tc>
        <w:tc>
          <w:tcPr>
            <w:tcW w:w="540" w:type="pct"/>
          </w:tcPr>
          <w:p w14:paraId="1B30733F" w14:textId="6B4D349F"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w:t>
            </w:r>
          </w:p>
        </w:tc>
      </w:tr>
      <w:tr w:rsidR="00C52853" w:rsidRPr="00130980" w14:paraId="7E57D8CB" w14:textId="77777777" w:rsidTr="00C3610C">
        <w:trPr>
          <w:trHeight w:val="20"/>
          <w:tblCellSpacing w:w="20" w:type="dxa"/>
          <w:jc w:val="right"/>
        </w:trPr>
        <w:tc>
          <w:tcPr>
            <w:tcW w:w="1339" w:type="pct"/>
          </w:tcPr>
          <w:p w14:paraId="26DC5B8B" w14:textId="0DA9CFE3" w:rsidR="00C52853"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 الله، 2021، 74)</w:t>
            </w:r>
          </w:p>
        </w:tc>
        <w:tc>
          <w:tcPr>
            <w:tcW w:w="3121" w:type="pct"/>
          </w:tcPr>
          <w:p w14:paraId="6EB0B9BC" w14:textId="73D02D57"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مراجعة قائمة المخاطر المحتملة عند إدخال تقنيات أو إجراءات جديدة</w:t>
            </w:r>
            <w:r w:rsidR="00E03B44" w:rsidRPr="00130980">
              <w:rPr>
                <w:rFonts w:ascii="Traditional Arabic" w:hAnsi="Traditional Arabic" w:cs="Traditional Arabic" w:hint="cs"/>
                <w:b/>
                <w:bCs/>
                <w:color w:val="000000" w:themeColor="text1"/>
                <w:sz w:val="20"/>
                <w:szCs w:val="20"/>
                <w:rtl/>
              </w:rPr>
              <w:t>.</w:t>
            </w:r>
          </w:p>
        </w:tc>
        <w:tc>
          <w:tcPr>
            <w:tcW w:w="540" w:type="pct"/>
          </w:tcPr>
          <w:p w14:paraId="0CD26420" w14:textId="0BE8BB6A"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5</w:t>
            </w:r>
          </w:p>
        </w:tc>
      </w:tr>
      <w:tr w:rsidR="00E03B44" w:rsidRPr="00130980" w14:paraId="6A53E05C" w14:textId="3AB96146" w:rsidTr="00C3610C">
        <w:trPr>
          <w:trHeight w:val="20"/>
          <w:tblCellSpacing w:w="20" w:type="dxa"/>
          <w:jc w:val="right"/>
        </w:trPr>
        <w:tc>
          <w:tcPr>
            <w:tcW w:w="5000" w:type="pct"/>
            <w:gridSpan w:val="3"/>
          </w:tcPr>
          <w:p w14:paraId="74D58295" w14:textId="146CCC14"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ثانيًا: تحليل المخاطر</w:t>
            </w:r>
          </w:p>
        </w:tc>
      </w:tr>
      <w:tr w:rsidR="00E03B44" w:rsidRPr="00130980" w14:paraId="76EAB434" w14:textId="3DFF8B42" w:rsidTr="00C3610C">
        <w:trPr>
          <w:trHeight w:val="20"/>
          <w:tblCellSpacing w:w="20" w:type="dxa"/>
          <w:jc w:val="right"/>
        </w:trPr>
        <w:tc>
          <w:tcPr>
            <w:tcW w:w="1339" w:type="pct"/>
          </w:tcPr>
          <w:p w14:paraId="2CA49233" w14:textId="063572B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(الزهراني، 2018، 61)</w:t>
            </w:r>
          </w:p>
        </w:tc>
        <w:tc>
          <w:tcPr>
            <w:tcW w:w="3121" w:type="pct"/>
            <w:hideMark/>
          </w:tcPr>
          <w:p w14:paraId="16E8AABC" w14:textId="397B418A"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يتم تحليل أسباب الحوادث الطبية بعد وقوعها بشكل منهجي .</w:t>
            </w:r>
          </w:p>
        </w:tc>
        <w:tc>
          <w:tcPr>
            <w:tcW w:w="540" w:type="pct"/>
          </w:tcPr>
          <w:p w14:paraId="0F8E4A02" w14:textId="02058200"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6</w:t>
            </w:r>
          </w:p>
        </w:tc>
      </w:tr>
      <w:tr w:rsidR="00E03B44" w:rsidRPr="00130980" w14:paraId="280324BA" w14:textId="77777777" w:rsidTr="00C3610C">
        <w:trPr>
          <w:trHeight w:val="20"/>
          <w:tblCellSpacing w:w="20" w:type="dxa"/>
          <w:jc w:val="right"/>
        </w:trPr>
        <w:tc>
          <w:tcPr>
            <w:tcW w:w="1339" w:type="pct"/>
          </w:tcPr>
          <w:p w14:paraId="63EA1682" w14:textId="1C22F2B6"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الخليفي، 2020، 73)</w:t>
            </w:r>
          </w:p>
        </w:tc>
        <w:tc>
          <w:tcPr>
            <w:tcW w:w="3121" w:type="pct"/>
          </w:tcPr>
          <w:p w14:paraId="266E765C" w14:textId="03C5F1C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تُستخدم أدوات تحليل معتمدة لتقييم احتمالية حدوث المخاطر .</w:t>
            </w:r>
          </w:p>
        </w:tc>
        <w:tc>
          <w:tcPr>
            <w:tcW w:w="540" w:type="pct"/>
          </w:tcPr>
          <w:p w14:paraId="76BF67EF" w14:textId="2858E96E"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7</w:t>
            </w:r>
          </w:p>
        </w:tc>
      </w:tr>
      <w:tr w:rsidR="00E03B44" w:rsidRPr="00130980" w14:paraId="37197DA8" w14:textId="77777777" w:rsidTr="00C3610C">
        <w:trPr>
          <w:trHeight w:val="20"/>
          <w:tblCellSpacing w:w="20" w:type="dxa"/>
          <w:jc w:val="right"/>
        </w:trPr>
        <w:tc>
          <w:tcPr>
            <w:tcW w:w="1339" w:type="pct"/>
          </w:tcPr>
          <w:p w14:paraId="1BA4B270" w14:textId="0F5B9F49"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 الرحمن، 2019، 58)</w:t>
            </w:r>
          </w:p>
        </w:tc>
        <w:tc>
          <w:tcPr>
            <w:tcW w:w="3121" w:type="pct"/>
          </w:tcPr>
          <w:p w14:paraId="185E3560" w14:textId="3734468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تصنيف المخاطر حسب درجة الخطورة والتكرار .</w:t>
            </w:r>
          </w:p>
        </w:tc>
        <w:tc>
          <w:tcPr>
            <w:tcW w:w="540" w:type="pct"/>
          </w:tcPr>
          <w:p w14:paraId="713270AC" w14:textId="75FFF9FA"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8</w:t>
            </w:r>
          </w:p>
        </w:tc>
      </w:tr>
      <w:tr w:rsidR="00E03B44" w:rsidRPr="00130980" w14:paraId="714D41C6" w14:textId="77777777" w:rsidTr="00C3610C">
        <w:trPr>
          <w:trHeight w:val="20"/>
          <w:tblCellSpacing w:w="20" w:type="dxa"/>
          <w:jc w:val="right"/>
        </w:trPr>
        <w:tc>
          <w:tcPr>
            <w:tcW w:w="1339" w:type="pct"/>
          </w:tcPr>
          <w:p w14:paraId="67F66394" w14:textId="091A417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الطويل، 2021، 82)</w:t>
            </w:r>
          </w:p>
        </w:tc>
        <w:tc>
          <w:tcPr>
            <w:tcW w:w="3121" w:type="pct"/>
          </w:tcPr>
          <w:p w14:paraId="725724E4" w14:textId="4F4E5BE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تحليل تأثير كل خطر على سلامة المرضى وجودة الخدمة .</w:t>
            </w:r>
          </w:p>
        </w:tc>
        <w:tc>
          <w:tcPr>
            <w:tcW w:w="540" w:type="pct"/>
          </w:tcPr>
          <w:p w14:paraId="142F2FE6" w14:textId="7825D49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9</w:t>
            </w:r>
          </w:p>
        </w:tc>
      </w:tr>
      <w:tr w:rsidR="00E03B44" w:rsidRPr="00130980" w14:paraId="04C33BAF" w14:textId="77777777" w:rsidTr="00C3610C">
        <w:trPr>
          <w:trHeight w:val="20"/>
          <w:tblCellSpacing w:w="20" w:type="dxa"/>
          <w:jc w:val="right"/>
        </w:trPr>
        <w:tc>
          <w:tcPr>
            <w:tcW w:w="1339" w:type="pct"/>
          </w:tcPr>
          <w:p w14:paraId="3BE1441D" w14:textId="11AD2A4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2017، 94)</w:t>
            </w:r>
          </w:p>
        </w:tc>
        <w:tc>
          <w:tcPr>
            <w:tcW w:w="3121" w:type="pct"/>
          </w:tcPr>
          <w:p w14:paraId="4BFED7B0" w14:textId="4C920E9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إشراك فرق متعددة التخصصات في تحليل المخاطر المعقدة.</w:t>
            </w:r>
          </w:p>
        </w:tc>
        <w:tc>
          <w:tcPr>
            <w:tcW w:w="540" w:type="pct"/>
          </w:tcPr>
          <w:p w14:paraId="0AA55BE6" w14:textId="0D4393A0"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10</w:t>
            </w:r>
          </w:p>
        </w:tc>
      </w:tr>
      <w:tr w:rsidR="00E03B44" w:rsidRPr="00130980" w14:paraId="22DAF5F6" w14:textId="60B9D8D6" w:rsidTr="00C3610C">
        <w:trPr>
          <w:trHeight w:val="20"/>
          <w:tblCellSpacing w:w="20" w:type="dxa"/>
          <w:jc w:val="right"/>
        </w:trPr>
        <w:tc>
          <w:tcPr>
            <w:tcW w:w="5000" w:type="pct"/>
            <w:gridSpan w:val="3"/>
          </w:tcPr>
          <w:p w14:paraId="54C066BA" w14:textId="380861C3"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ثالثًا: تقييم المخاطر</w:t>
            </w:r>
          </w:p>
        </w:tc>
      </w:tr>
      <w:tr w:rsidR="00E03B44" w:rsidRPr="00130980" w14:paraId="4267DB62" w14:textId="7431D75E" w:rsidTr="00C3610C">
        <w:trPr>
          <w:trHeight w:val="20"/>
          <w:tblCellSpacing w:w="20" w:type="dxa"/>
          <w:jc w:val="right"/>
        </w:trPr>
        <w:tc>
          <w:tcPr>
            <w:tcW w:w="1339" w:type="pct"/>
          </w:tcPr>
          <w:p w14:paraId="2586FABF" w14:textId="08EC6163"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السبيعي، 2018، 83)</w:t>
            </w:r>
          </w:p>
        </w:tc>
        <w:tc>
          <w:tcPr>
            <w:tcW w:w="3121" w:type="pct"/>
            <w:hideMark/>
          </w:tcPr>
          <w:p w14:paraId="253D796C" w14:textId="6CEF02A3"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يتم تقييم المخاطر بناءً على معايير واضحة ومعتمدة من الإدارة.</w:t>
            </w:r>
          </w:p>
        </w:tc>
        <w:tc>
          <w:tcPr>
            <w:tcW w:w="540" w:type="pct"/>
          </w:tcPr>
          <w:p w14:paraId="37201D45" w14:textId="0A5ADA7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11</w:t>
            </w:r>
          </w:p>
        </w:tc>
      </w:tr>
      <w:tr w:rsidR="00E03B44" w:rsidRPr="00130980" w14:paraId="086A972D" w14:textId="77777777" w:rsidTr="00C3610C">
        <w:trPr>
          <w:trHeight w:val="20"/>
          <w:tblCellSpacing w:w="20" w:type="dxa"/>
          <w:jc w:val="right"/>
        </w:trPr>
        <w:tc>
          <w:tcPr>
            <w:tcW w:w="1339" w:type="pct"/>
          </w:tcPr>
          <w:p w14:paraId="08FA2ADC" w14:textId="74C24FAD"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 الله، 2020، 91)</w:t>
            </w:r>
          </w:p>
        </w:tc>
        <w:tc>
          <w:tcPr>
            <w:tcW w:w="3121" w:type="pct"/>
          </w:tcPr>
          <w:p w14:paraId="004AFFC2" w14:textId="4B0DB170"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تُستخدم نتائج التقييم في اتخاذ قرارات إدارية فعالة.</w:t>
            </w:r>
          </w:p>
        </w:tc>
        <w:tc>
          <w:tcPr>
            <w:tcW w:w="540" w:type="pct"/>
          </w:tcPr>
          <w:p w14:paraId="5842740A" w14:textId="37DE723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12</w:t>
            </w:r>
          </w:p>
        </w:tc>
      </w:tr>
      <w:tr w:rsidR="00E03B44" w:rsidRPr="00130980" w14:paraId="761D23FA" w14:textId="77777777" w:rsidTr="00C3610C">
        <w:trPr>
          <w:trHeight w:val="20"/>
          <w:tblCellSpacing w:w="20" w:type="dxa"/>
          <w:jc w:val="right"/>
        </w:trPr>
        <w:tc>
          <w:tcPr>
            <w:tcW w:w="1339" w:type="pct"/>
          </w:tcPr>
          <w:p w14:paraId="7C365EA7" w14:textId="011487B0" w:rsidR="00E03B44" w:rsidRPr="00130980" w:rsidRDefault="00C26D4E"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العمري، 2019، 67)</w:t>
            </w:r>
          </w:p>
        </w:tc>
        <w:tc>
          <w:tcPr>
            <w:tcW w:w="3121" w:type="pct"/>
          </w:tcPr>
          <w:p w14:paraId="4CDA2D8B" w14:textId="7BEA1CB5"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تحديد أولويات التعامل مع المخاطر بناءً على نتائج التقييم</w:t>
            </w:r>
            <w:r w:rsidR="00C26D4E" w:rsidRPr="00130980">
              <w:rPr>
                <w:rFonts w:ascii="Traditional Arabic" w:hAnsi="Traditional Arabic" w:cs="Traditional Arabic" w:hint="cs"/>
                <w:b/>
                <w:bCs/>
                <w:color w:val="000000" w:themeColor="text1"/>
                <w:sz w:val="20"/>
                <w:szCs w:val="20"/>
                <w:rtl/>
              </w:rPr>
              <w:t>.</w:t>
            </w:r>
          </w:p>
        </w:tc>
        <w:tc>
          <w:tcPr>
            <w:tcW w:w="540" w:type="pct"/>
          </w:tcPr>
          <w:p w14:paraId="69121784" w14:textId="1A3BCA1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13</w:t>
            </w:r>
          </w:p>
        </w:tc>
      </w:tr>
      <w:tr w:rsidR="00E03B44" w:rsidRPr="00130980" w14:paraId="3772C54E" w14:textId="77777777" w:rsidTr="00C3610C">
        <w:trPr>
          <w:trHeight w:val="20"/>
          <w:tblCellSpacing w:w="20" w:type="dxa"/>
          <w:jc w:val="right"/>
        </w:trPr>
        <w:tc>
          <w:tcPr>
            <w:tcW w:w="1339" w:type="pct"/>
          </w:tcPr>
          <w:p w14:paraId="56FA25C8" w14:textId="7B5D79DC" w:rsidR="00E03B44" w:rsidRPr="00130980" w:rsidRDefault="00C26D4E"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الشراري، 2021، 58)</w:t>
            </w:r>
          </w:p>
        </w:tc>
        <w:tc>
          <w:tcPr>
            <w:tcW w:w="3121" w:type="pct"/>
          </w:tcPr>
          <w:p w14:paraId="55883C27" w14:textId="7236E2FD"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تحديث تقييم المخاطر بشكل دوري وفقًا للمتغيرات التشغيلية</w:t>
            </w:r>
            <w:r w:rsidR="00C26D4E" w:rsidRPr="00130980">
              <w:rPr>
                <w:rFonts w:ascii="Traditional Arabic" w:hAnsi="Traditional Arabic" w:cs="Traditional Arabic" w:hint="cs"/>
                <w:b/>
                <w:bCs/>
                <w:color w:val="000000" w:themeColor="text1"/>
                <w:sz w:val="20"/>
                <w:szCs w:val="20"/>
                <w:rtl/>
              </w:rPr>
              <w:t>.</w:t>
            </w:r>
          </w:p>
        </w:tc>
        <w:tc>
          <w:tcPr>
            <w:tcW w:w="540" w:type="pct"/>
          </w:tcPr>
          <w:p w14:paraId="66787D7B" w14:textId="4E2D87E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14</w:t>
            </w:r>
          </w:p>
        </w:tc>
      </w:tr>
      <w:tr w:rsidR="00E03B44" w:rsidRPr="00130980" w14:paraId="64024082" w14:textId="77777777" w:rsidTr="00C3610C">
        <w:trPr>
          <w:trHeight w:val="20"/>
          <w:tblCellSpacing w:w="20" w:type="dxa"/>
          <w:jc w:val="right"/>
        </w:trPr>
        <w:tc>
          <w:tcPr>
            <w:tcW w:w="1339" w:type="pct"/>
          </w:tcPr>
          <w:p w14:paraId="49081136" w14:textId="00E572D9" w:rsidR="00E03B44" w:rsidRPr="00130980" w:rsidRDefault="00C26D4E"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البدري، 2017، 102)</w:t>
            </w:r>
          </w:p>
        </w:tc>
        <w:tc>
          <w:tcPr>
            <w:tcW w:w="3121" w:type="pct"/>
          </w:tcPr>
          <w:p w14:paraId="55891038" w14:textId="555222F6"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توثيق نتائج تقييم المخاطر في تقارير رسمية قابلة للمراجعة</w:t>
            </w:r>
            <w:r w:rsidR="00C26D4E" w:rsidRPr="00130980">
              <w:rPr>
                <w:rFonts w:ascii="Traditional Arabic" w:hAnsi="Traditional Arabic" w:cs="Traditional Arabic" w:hint="cs"/>
                <w:b/>
                <w:bCs/>
                <w:color w:val="000000" w:themeColor="text1"/>
                <w:sz w:val="20"/>
                <w:szCs w:val="20"/>
                <w:rtl/>
              </w:rPr>
              <w:t>.</w:t>
            </w:r>
          </w:p>
        </w:tc>
        <w:tc>
          <w:tcPr>
            <w:tcW w:w="540" w:type="pct"/>
          </w:tcPr>
          <w:p w14:paraId="064018C0" w14:textId="428CC656"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15</w:t>
            </w:r>
          </w:p>
        </w:tc>
      </w:tr>
      <w:tr w:rsidR="001F05BC" w:rsidRPr="00130980" w14:paraId="72952CB0" w14:textId="660FBE19" w:rsidTr="00C3610C">
        <w:trPr>
          <w:trHeight w:val="20"/>
          <w:tblCellSpacing w:w="20" w:type="dxa"/>
          <w:jc w:val="right"/>
        </w:trPr>
        <w:tc>
          <w:tcPr>
            <w:tcW w:w="5000" w:type="pct"/>
            <w:gridSpan w:val="3"/>
          </w:tcPr>
          <w:p w14:paraId="04FCC3B7" w14:textId="4C476F84"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رابعًا: الاستجابة للمخاطر</w:t>
            </w:r>
          </w:p>
        </w:tc>
      </w:tr>
      <w:tr w:rsidR="001F05BC" w:rsidRPr="00130980" w14:paraId="60BCD7D5" w14:textId="6FECF5E8" w:rsidTr="00C3610C">
        <w:trPr>
          <w:trHeight w:val="20"/>
          <w:tblCellSpacing w:w="20" w:type="dxa"/>
          <w:jc w:val="right"/>
        </w:trPr>
        <w:tc>
          <w:tcPr>
            <w:tcW w:w="1339" w:type="pct"/>
          </w:tcPr>
          <w:p w14:paraId="210F8882" w14:textId="6AC17EC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lastRenderedPageBreak/>
              <w:t>( الهاجري، 2018، 88)</w:t>
            </w:r>
          </w:p>
          <w:p w14:paraId="25D90CA3" w14:textId="7777777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p>
        </w:tc>
        <w:tc>
          <w:tcPr>
            <w:tcW w:w="3121" w:type="pct"/>
            <w:hideMark/>
          </w:tcPr>
          <w:p w14:paraId="3420933A" w14:textId="6220D81C"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توجد خطط استجابة واضحة ومعلنة للتعامل مع الحوادث الطبية.</w:t>
            </w:r>
          </w:p>
        </w:tc>
        <w:tc>
          <w:tcPr>
            <w:tcW w:w="540" w:type="pct"/>
          </w:tcPr>
          <w:p w14:paraId="70A2A87C" w14:textId="365AE51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16</w:t>
            </w:r>
          </w:p>
        </w:tc>
      </w:tr>
      <w:tr w:rsidR="001F05BC" w:rsidRPr="00130980" w14:paraId="08E4F758" w14:textId="77777777" w:rsidTr="00C3610C">
        <w:trPr>
          <w:trHeight w:val="20"/>
          <w:tblCellSpacing w:w="20" w:type="dxa"/>
          <w:jc w:val="right"/>
        </w:trPr>
        <w:tc>
          <w:tcPr>
            <w:tcW w:w="1339" w:type="pct"/>
          </w:tcPr>
          <w:p w14:paraId="43A2912B" w14:textId="67C89FD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العنزي، 2019، 74)</w:t>
            </w:r>
          </w:p>
        </w:tc>
        <w:tc>
          <w:tcPr>
            <w:tcW w:w="3121" w:type="pct"/>
          </w:tcPr>
          <w:p w14:paraId="4EA8038D" w14:textId="2503225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تدريب العاملين على كيفية التصرف عند وقوع المخاطر.</w:t>
            </w:r>
          </w:p>
        </w:tc>
        <w:tc>
          <w:tcPr>
            <w:tcW w:w="540" w:type="pct"/>
          </w:tcPr>
          <w:p w14:paraId="1E9D0567" w14:textId="259918F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17</w:t>
            </w:r>
          </w:p>
        </w:tc>
      </w:tr>
      <w:tr w:rsidR="001F05BC" w:rsidRPr="00130980" w14:paraId="196742A2" w14:textId="77777777" w:rsidTr="00C3610C">
        <w:trPr>
          <w:trHeight w:val="20"/>
          <w:tblCellSpacing w:w="20" w:type="dxa"/>
          <w:jc w:val="right"/>
        </w:trPr>
        <w:tc>
          <w:tcPr>
            <w:tcW w:w="1339" w:type="pct"/>
          </w:tcPr>
          <w:p w14:paraId="52F1A3EA" w14:textId="1F956E1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الطويل ، 2020، 65)</w:t>
            </w:r>
          </w:p>
        </w:tc>
        <w:tc>
          <w:tcPr>
            <w:tcW w:w="3121" w:type="pct"/>
          </w:tcPr>
          <w:p w14:paraId="1B2A23A6" w14:textId="2FB91C7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تنفيذ إجراءات تصحيحية بعد كل حادث لضمان عدم تكراره.</w:t>
            </w:r>
          </w:p>
        </w:tc>
        <w:tc>
          <w:tcPr>
            <w:tcW w:w="540" w:type="pct"/>
          </w:tcPr>
          <w:p w14:paraId="3AA65067" w14:textId="6DE4ABC1"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18</w:t>
            </w:r>
          </w:p>
        </w:tc>
      </w:tr>
      <w:tr w:rsidR="001F05BC" w:rsidRPr="00130980" w14:paraId="1A1FAA26" w14:textId="77777777" w:rsidTr="00C3610C">
        <w:trPr>
          <w:trHeight w:val="20"/>
          <w:tblCellSpacing w:w="20" w:type="dxa"/>
          <w:jc w:val="right"/>
        </w:trPr>
        <w:tc>
          <w:tcPr>
            <w:tcW w:w="1339" w:type="pct"/>
          </w:tcPr>
          <w:p w14:paraId="2973F1B5" w14:textId="33F9B90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الشراري، 2021، 92)</w:t>
            </w:r>
          </w:p>
        </w:tc>
        <w:tc>
          <w:tcPr>
            <w:tcW w:w="3121" w:type="pct"/>
          </w:tcPr>
          <w:p w14:paraId="600C70B6" w14:textId="30C85C6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تقييم فعالية الاستجابة بعد كل حالة طارئة أو خطأ طبي.</w:t>
            </w:r>
          </w:p>
        </w:tc>
        <w:tc>
          <w:tcPr>
            <w:tcW w:w="540" w:type="pct"/>
          </w:tcPr>
          <w:p w14:paraId="584CECA7" w14:textId="60A9853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19</w:t>
            </w:r>
          </w:p>
        </w:tc>
      </w:tr>
      <w:tr w:rsidR="001F05BC" w:rsidRPr="00130980" w14:paraId="63B47FFC" w14:textId="77777777" w:rsidTr="00C3610C">
        <w:trPr>
          <w:trHeight w:val="20"/>
          <w:tblCellSpacing w:w="20" w:type="dxa"/>
          <w:jc w:val="right"/>
        </w:trPr>
        <w:tc>
          <w:tcPr>
            <w:tcW w:w="1339" w:type="pct"/>
          </w:tcPr>
          <w:p w14:paraId="4BCF215C" w14:textId="33A79A7C"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 2017، 101)</w:t>
            </w:r>
          </w:p>
        </w:tc>
        <w:tc>
          <w:tcPr>
            <w:tcW w:w="3121" w:type="pct"/>
          </w:tcPr>
          <w:p w14:paraId="643FB10B" w14:textId="6A2567CA"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إشراك العاملين في تطوير خطط الاستجابة وتحسينها باستمرار.</w:t>
            </w:r>
          </w:p>
        </w:tc>
        <w:tc>
          <w:tcPr>
            <w:tcW w:w="540" w:type="pct"/>
          </w:tcPr>
          <w:p w14:paraId="7A77DF0A" w14:textId="04CDAB2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20</w:t>
            </w:r>
          </w:p>
        </w:tc>
      </w:tr>
      <w:tr w:rsidR="001F05BC" w:rsidRPr="00130980" w14:paraId="63668FA3" w14:textId="2B2689C5" w:rsidTr="00C3610C">
        <w:trPr>
          <w:trHeight w:val="20"/>
          <w:tblCellSpacing w:w="20" w:type="dxa"/>
          <w:jc w:val="right"/>
        </w:trPr>
        <w:tc>
          <w:tcPr>
            <w:tcW w:w="5000" w:type="pct"/>
            <w:gridSpan w:val="3"/>
          </w:tcPr>
          <w:p w14:paraId="008013A0" w14:textId="73FF692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القيادة التحويلية</w:t>
            </w:r>
          </w:p>
        </w:tc>
      </w:tr>
      <w:tr w:rsidR="001F05BC" w:rsidRPr="00130980" w14:paraId="6896C995" w14:textId="4C7D986C" w:rsidTr="00C3610C">
        <w:trPr>
          <w:trHeight w:val="20"/>
          <w:tblCellSpacing w:w="20" w:type="dxa"/>
          <w:jc w:val="right"/>
        </w:trPr>
        <w:tc>
          <w:tcPr>
            <w:tcW w:w="5000" w:type="pct"/>
            <w:gridSpan w:val="3"/>
          </w:tcPr>
          <w:p w14:paraId="094D4307" w14:textId="7D695FE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أولًا: التأثير المثالي</w:t>
            </w:r>
            <w:r w:rsidRPr="00130980">
              <w:rPr>
                <w:rFonts w:ascii="Traditional Arabic" w:hAnsi="Traditional Arabic" w:cs="Traditional Arabic" w:hint="cs"/>
                <w:b/>
                <w:bCs/>
                <w:color w:val="000000" w:themeColor="text1"/>
                <w:sz w:val="20"/>
                <w:szCs w:val="20"/>
                <w:lang w:bidi="ar-EG"/>
              </w:rPr>
              <w:t xml:space="preserve"> (Idealized Influence)</w:t>
            </w:r>
          </w:p>
        </w:tc>
      </w:tr>
      <w:tr w:rsidR="001F05BC" w:rsidRPr="00130980" w14:paraId="1CF6CA70" w14:textId="74110FAC" w:rsidTr="00C3610C">
        <w:trPr>
          <w:trHeight w:val="20"/>
          <w:tblCellSpacing w:w="20" w:type="dxa"/>
          <w:jc w:val="right"/>
        </w:trPr>
        <w:tc>
          <w:tcPr>
            <w:tcW w:w="1339" w:type="pct"/>
          </w:tcPr>
          <w:p w14:paraId="28F48B5C" w14:textId="1384C20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الحربي، 2019، 54)</w:t>
            </w:r>
          </w:p>
        </w:tc>
        <w:tc>
          <w:tcPr>
            <w:tcW w:w="3121" w:type="pct"/>
            <w:hideMark/>
          </w:tcPr>
          <w:p w14:paraId="48E53A34" w14:textId="45385CE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يُظهر القائد سلوكًا أخلاقيًا يُحتذى به في بيئة العمل.</w:t>
            </w:r>
          </w:p>
        </w:tc>
        <w:tc>
          <w:tcPr>
            <w:tcW w:w="540" w:type="pct"/>
          </w:tcPr>
          <w:p w14:paraId="4D933929" w14:textId="1DF8015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21</w:t>
            </w:r>
          </w:p>
        </w:tc>
      </w:tr>
      <w:tr w:rsidR="001F05BC" w:rsidRPr="00130980" w14:paraId="3AB398E4" w14:textId="77777777" w:rsidTr="00C3610C">
        <w:trPr>
          <w:trHeight w:val="20"/>
          <w:tblCellSpacing w:w="20" w:type="dxa"/>
          <w:jc w:val="right"/>
        </w:trPr>
        <w:tc>
          <w:tcPr>
            <w:tcW w:w="1339" w:type="pct"/>
          </w:tcPr>
          <w:p w14:paraId="100AC5FD" w14:textId="25E5216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العمري، 2020، 62)</w:t>
            </w:r>
          </w:p>
        </w:tc>
        <w:tc>
          <w:tcPr>
            <w:tcW w:w="3121" w:type="pct"/>
          </w:tcPr>
          <w:p w14:paraId="085A35BC" w14:textId="72CFABEA"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يلتزم القائد بالقيم المهنية في جميع تعاملاته.</w:t>
            </w:r>
          </w:p>
        </w:tc>
        <w:tc>
          <w:tcPr>
            <w:tcW w:w="540" w:type="pct"/>
          </w:tcPr>
          <w:p w14:paraId="07CC10F7" w14:textId="1F9246F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22</w:t>
            </w:r>
          </w:p>
        </w:tc>
      </w:tr>
      <w:tr w:rsidR="001F05BC" w:rsidRPr="00130980" w14:paraId="5DB28F0D" w14:textId="77777777" w:rsidTr="00C3610C">
        <w:trPr>
          <w:trHeight w:val="20"/>
          <w:tblCellSpacing w:w="20" w:type="dxa"/>
          <w:jc w:val="right"/>
        </w:trPr>
        <w:tc>
          <w:tcPr>
            <w:tcW w:w="1339" w:type="pct"/>
          </w:tcPr>
          <w:p w14:paraId="16FD2F68" w14:textId="675192E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الخطيب، 2018، 71)</w:t>
            </w:r>
          </w:p>
        </w:tc>
        <w:tc>
          <w:tcPr>
            <w:tcW w:w="3121" w:type="pct"/>
          </w:tcPr>
          <w:p w14:paraId="0A1074B0" w14:textId="1A45C6F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يُقدّم القائد نموذجًا يُلهم الآخرين بالثقة والاحترام</w:t>
            </w:r>
          </w:p>
        </w:tc>
        <w:tc>
          <w:tcPr>
            <w:tcW w:w="540" w:type="pct"/>
          </w:tcPr>
          <w:p w14:paraId="3459377D" w14:textId="0863B54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23</w:t>
            </w:r>
          </w:p>
        </w:tc>
      </w:tr>
      <w:tr w:rsidR="001F05BC" w:rsidRPr="00130980" w14:paraId="35185D0B" w14:textId="77777777" w:rsidTr="00C3610C">
        <w:trPr>
          <w:trHeight w:val="20"/>
          <w:tblCellSpacing w:w="20" w:type="dxa"/>
          <w:jc w:val="right"/>
        </w:trPr>
        <w:tc>
          <w:tcPr>
            <w:tcW w:w="1339" w:type="pct"/>
          </w:tcPr>
          <w:p w14:paraId="2626BAFE" w14:textId="10AD7DF8"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الشمري، 2021، 83)</w:t>
            </w:r>
          </w:p>
        </w:tc>
        <w:tc>
          <w:tcPr>
            <w:tcW w:w="3121" w:type="pct"/>
          </w:tcPr>
          <w:p w14:paraId="36E070E0" w14:textId="59827D09"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يتصرف القائد بطريقة تعزز الانتماء والولاء للمؤسسة</w:t>
            </w:r>
          </w:p>
        </w:tc>
        <w:tc>
          <w:tcPr>
            <w:tcW w:w="540" w:type="pct"/>
          </w:tcPr>
          <w:p w14:paraId="5B57099B" w14:textId="40CEDC1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24</w:t>
            </w:r>
          </w:p>
        </w:tc>
      </w:tr>
      <w:tr w:rsidR="001F05BC" w:rsidRPr="00130980" w14:paraId="657F36E9" w14:textId="77777777" w:rsidTr="00C3610C">
        <w:trPr>
          <w:trHeight w:val="20"/>
          <w:tblCellSpacing w:w="20" w:type="dxa"/>
          <w:jc w:val="right"/>
        </w:trPr>
        <w:tc>
          <w:tcPr>
            <w:tcW w:w="1339" w:type="pct"/>
          </w:tcPr>
          <w:p w14:paraId="02B651C1" w14:textId="4A7A2DBC"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عبدالله، 2017، 95)</w:t>
            </w:r>
          </w:p>
        </w:tc>
        <w:tc>
          <w:tcPr>
            <w:tcW w:w="3121" w:type="pct"/>
          </w:tcPr>
          <w:p w14:paraId="276B1C07" w14:textId="2732D0B1"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يُظهر القائد استعدادًا لتحمل المسؤولية في المواقف الصعبة.</w:t>
            </w:r>
          </w:p>
        </w:tc>
        <w:tc>
          <w:tcPr>
            <w:tcW w:w="540" w:type="pct"/>
          </w:tcPr>
          <w:p w14:paraId="531EF3E3" w14:textId="028477A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25</w:t>
            </w:r>
          </w:p>
        </w:tc>
      </w:tr>
      <w:tr w:rsidR="001F05BC" w:rsidRPr="00130980" w14:paraId="1FB5801D" w14:textId="2404C784" w:rsidTr="00C3610C">
        <w:trPr>
          <w:trHeight w:val="20"/>
          <w:tblCellSpacing w:w="20" w:type="dxa"/>
          <w:jc w:val="right"/>
        </w:trPr>
        <w:tc>
          <w:tcPr>
            <w:tcW w:w="5000" w:type="pct"/>
            <w:gridSpan w:val="3"/>
          </w:tcPr>
          <w:p w14:paraId="6666E2D3" w14:textId="4F5F2F4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ثانيًا: الدافعية الإلهامية</w:t>
            </w:r>
            <w:r w:rsidRPr="00130980">
              <w:rPr>
                <w:rFonts w:ascii="Traditional Arabic" w:hAnsi="Traditional Arabic" w:cs="Traditional Arabic" w:hint="cs"/>
                <w:b/>
                <w:bCs/>
                <w:color w:val="000000" w:themeColor="text1"/>
                <w:sz w:val="20"/>
                <w:szCs w:val="20"/>
                <w:lang w:bidi="ar-EG"/>
              </w:rPr>
              <w:t xml:space="preserve"> (Inspirational Motivation)</w:t>
            </w:r>
          </w:p>
        </w:tc>
      </w:tr>
      <w:tr w:rsidR="001F05BC" w:rsidRPr="00130980" w14:paraId="2A18EF4F" w14:textId="1418AA9F" w:rsidTr="00C3610C">
        <w:trPr>
          <w:trHeight w:val="20"/>
          <w:tblCellSpacing w:w="20" w:type="dxa"/>
          <w:jc w:val="right"/>
        </w:trPr>
        <w:tc>
          <w:tcPr>
            <w:tcW w:w="1339" w:type="pct"/>
          </w:tcPr>
          <w:p w14:paraId="233228F5" w14:textId="6C4512A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2019، 68)</w:t>
            </w:r>
          </w:p>
        </w:tc>
        <w:tc>
          <w:tcPr>
            <w:tcW w:w="3121" w:type="pct"/>
            <w:hideMark/>
          </w:tcPr>
          <w:p w14:paraId="5680E689" w14:textId="28C73A7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يُحفّز القائد العاملين لتحقيق أهداف تتجاوز التوقعات.</w:t>
            </w:r>
          </w:p>
        </w:tc>
        <w:tc>
          <w:tcPr>
            <w:tcW w:w="540" w:type="pct"/>
          </w:tcPr>
          <w:p w14:paraId="115653CE" w14:textId="081E162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26</w:t>
            </w:r>
          </w:p>
        </w:tc>
      </w:tr>
      <w:tr w:rsidR="001F05BC" w:rsidRPr="00130980" w14:paraId="79FA11F4" w14:textId="77777777" w:rsidTr="00C3610C">
        <w:trPr>
          <w:trHeight w:val="20"/>
          <w:tblCellSpacing w:w="20" w:type="dxa"/>
          <w:jc w:val="right"/>
        </w:trPr>
        <w:tc>
          <w:tcPr>
            <w:tcW w:w="1339" w:type="pct"/>
          </w:tcPr>
          <w:p w14:paraId="3EA45345" w14:textId="4B7059F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الخوالدة، 2018، 59)</w:t>
            </w:r>
          </w:p>
        </w:tc>
        <w:tc>
          <w:tcPr>
            <w:tcW w:w="3121" w:type="pct"/>
          </w:tcPr>
          <w:p w14:paraId="411B4207" w14:textId="6129C0B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يُشجع القائد العاملين على الإيمان بقدراتهم.</w:t>
            </w:r>
          </w:p>
        </w:tc>
        <w:tc>
          <w:tcPr>
            <w:tcW w:w="540" w:type="pct"/>
          </w:tcPr>
          <w:p w14:paraId="4DC0D6B7" w14:textId="539506B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27</w:t>
            </w:r>
          </w:p>
        </w:tc>
      </w:tr>
      <w:tr w:rsidR="001F05BC" w:rsidRPr="00130980" w14:paraId="66C7F0CC" w14:textId="77777777" w:rsidTr="00C3610C">
        <w:trPr>
          <w:trHeight w:val="20"/>
          <w:tblCellSpacing w:w="20" w:type="dxa"/>
          <w:jc w:val="right"/>
        </w:trPr>
        <w:tc>
          <w:tcPr>
            <w:tcW w:w="1339" w:type="pct"/>
          </w:tcPr>
          <w:p w14:paraId="098FB7ED" w14:textId="23F2A0E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(العنزي ، 2020، 73)</w:t>
            </w:r>
          </w:p>
        </w:tc>
        <w:tc>
          <w:tcPr>
            <w:tcW w:w="3121" w:type="pct"/>
          </w:tcPr>
          <w:p w14:paraId="698FC35B" w14:textId="6E3CB1F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يُعبر القائد عن رؤية واضحة ومُلهمة للمستقبل.</w:t>
            </w:r>
          </w:p>
        </w:tc>
        <w:tc>
          <w:tcPr>
            <w:tcW w:w="540" w:type="pct"/>
          </w:tcPr>
          <w:p w14:paraId="4B46661B" w14:textId="690E1D7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28</w:t>
            </w:r>
          </w:p>
        </w:tc>
      </w:tr>
      <w:tr w:rsidR="001F05BC" w:rsidRPr="00130980" w14:paraId="587A0B33" w14:textId="77777777" w:rsidTr="00C3610C">
        <w:trPr>
          <w:trHeight w:val="20"/>
          <w:tblCellSpacing w:w="20" w:type="dxa"/>
          <w:jc w:val="right"/>
        </w:trPr>
        <w:tc>
          <w:tcPr>
            <w:tcW w:w="1339" w:type="pct"/>
          </w:tcPr>
          <w:p w14:paraId="1F6DBDE5" w14:textId="0AA4788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الطراونة ، 2017، 82)</w:t>
            </w:r>
          </w:p>
        </w:tc>
        <w:tc>
          <w:tcPr>
            <w:tcW w:w="3121" w:type="pct"/>
          </w:tcPr>
          <w:p w14:paraId="501AB05D" w14:textId="357DDD3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يُعزز القائد روح الفريق والتعاون بين العاملين.</w:t>
            </w:r>
          </w:p>
        </w:tc>
        <w:tc>
          <w:tcPr>
            <w:tcW w:w="540" w:type="pct"/>
          </w:tcPr>
          <w:p w14:paraId="2AECC624" w14:textId="76CAA3C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29</w:t>
            </w:r>
          </w:p>
        </w:tc>
      </w:tr>
      <w:tr w:rsidR="001F05BC" w:rsidRPr="00130980" w14:paraId="784AF381" w14:textId="77777777" w:rsidTr="00C3610C">
        <w:trPr>
          <w:trHeight w:val="20"/>
          <w:tblCellSpacing w:w="20" w:type="dxa"/>
          <w:jc w:val="right"/>
        </w:trPr>
        <w:tc>
          <w:tcPr>
            <w:tcW w:w="1339" w:type="pct"/>
          </w:tcPr>
          <w:p w14:paraId="5D0C7F3D" w14:textId="13197AE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 2021، 91)</w:t>
            </w:r>
          </w:p>
        </w:tc>
        <w:tc>
          <w:tcPr>
            <w:tcW w:w="3121" w:type="pct"/>
          </w:tcPr>
          <w:p w14:paraId="437A2D96" w14:textId="3F9688A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يُستخدم القائد لغة تحفيزية تُشعل الحماس في بيئة العمل.</w:t>
            </w:r>
          </w:p>
        </w:tc>
        <w:tc>
          <w:tcPr>
            <w:tcW w:w="540" w:type="pct"/>
          </w:tcPr>
          <w:p w14:paraId="4133B8F2" w14:textId="4B0CE6CA"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30</w:t>
            </w:r>
          </w:p>
        </w:tc>
      </w:tr>
      <w:tr w:rsidR="001F05BC" w:rsidRPr="00130980" w14:paraId="03CCE25C" w14:textId="37D9C899" w:rsidTr="00C3610C">
        <w:trPr>
          <w:trHeight w:val="20"/>
          <w:tblCellSpacing w:w="20" w:type="dxa"/>
          <w:jc w:val="right"/>
        </w:trPr>
        <w:tc>
          <w:tcPr>
            <w:tcW w:w="5000" w:type="pct"/>
            <w:gridSpan w:val="3"/>
          </w:tcPr>
          <w:p w14:paraId="38F1695A" w14:textId="0F053BF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ثالثًا: الإعتبارية الفردية</w:t>
            </w:r>
            <w:r w:rsidRPr="00130980">
              <w:rPr>
                <w:rFonts w:ascii="Traditional Arabic" w:hAnsi="Traditional Arabic" w:cs="Traditional Arabic" w:hint="cs"/>
                <w:b/>
                <w:bCs/>
                <w:color w:val="000000" w:themeColor="text1"/>
                <w:sz w:val="20"/>
                <w:szCs w:val="20"/>
                <w:lang w:bidi="ar-EG"/>
              </w:rPr>
              <w:t xml:space="preserve"> (Individualized Consideration)</w:t>
            </w:r>
          </w:p>
        </w:tc>
      </w:tr>
      <w:tr w:rsidR="001F05BC" w:rsidRPr="00130980" w14:paraId="647DB329" w14:textId="20637E62" w:rsidTr="00C3610C">
        <w:trPr>
          <w:trHeight w:val="20"/>
          <w:tblCellSpacing w:w="20" w:type="dxa"/>
          <w:jc w:val="right"/>
        </w:trPr>
        <w:tc>
          <w:tcPr>
            <w:tcW w:w="1339" w:type="pct"/>
          </w:tcPr>
          <w:p w14:paraId="69F49F6E" w14:textId="3EC2F495"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الخالدي، 2019، 77)</w:t>
            </w:r>
          </w:p>
        </w:tc>
        <w:tc>
          <w:tcPr>
            <w:tcW w:w="3121" w:type="pct"/>
            <w:hideMark/>
          </w:tcPr>
          <w:p w14:paraId="07E12CBB" w14:textId="06550A3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يُظهر القائد اهتمامًا فرديًا باحتياجات الموظفين</w:t>
            </w:r>
            <w:r w:rsidR="008F3298" w:rsidRPr="00130980">
              <w:rPr>
                <w:rFonts w:ascii="Traditional Arabic" w:hAnsi="Traditional Arabic" w:cs="Traditional Arabic" w:hint="cs"/>
                <w:b/>
                <w:bCs/>
                <w:color w:val="000000" w:themeColor="text1"/>
                <w:sz w:val="20"/>
                <w:szCs w:val="20"/>
                <w:rtl/>
              </w:rPr>
              <w:t>.</w:t>
            </w:r>
          </w:p>
        </w:tc>
        <w:tc>
          <w:tcPr>
            <w:tcW w:w="540" w:type="pct"/>
          </w:tcPr>
          <w:p w14:paraId="23F44387" w14:textId="0AD3CE1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31</w:t>
            </w:r>
          </w:p>
        </w:tc>
      </w:tr>
      <w:tr w:rsidR="001F05BC" w:rsidRPr="00130980" w14:paraId="39D6070E" w14:textId="77777777" w:rsidTr="00C3610C">
        <w:trPr>
          <w:trHeight w:val="20"/>
          <w:tblCellSpacing w:w="20" w:type="dxa"/>
          <w:jc w:val="right"/>
        </w:trPr>
        <w:tc>
          <w:tcPr>
            <w:tcW w:w="1339" w:type="pct"/>
          </w:tcPr>
          <w:p w14:paraId="6CC2F77F" w14:textId="3881C852"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الطراونة ، 2018، 68)</w:t>
            </w:r>
          </w:p>
        </w:tc>
        <w:tc>
          <w:tcPr>
            <w:tcW w:w="3121" w:type="pct"/>
          </w:tcPr>
          <w:p w14:paraId="0E9DC358" w14:textId="04DADBB8"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يُخصص القائد وقتًا للاستماع لمشكلات العاملين</w:t>
            </w:r>
            <w:r w:rsidR="008F3298" w:rsidRPr="00130980">
              <w:rPr>
                <w:rFonts w:ascii="Traditional Arabic" w:hAnsi="Traditional Arabic" w:cs="Traditional Arabic" w:hint="cs"/>
                <w:b/>
                <w:bCs/>
                <w:color w:val="000000" w:themeColor="text1"/>
                <w:sz w:val="20"/>
                <w:szCs w:val="20"/>
                <w:rtl/>
              </w:rPr>
              <w:t>.</w:t>
            </w:r>
          </w:p>
        </w:tc>
        <w:tc>
          <w:tcPr>
            <w:tcW w:w="540" w:type="pct"/>
          </w:tcPr>
          <w:p w14:paraId="555BB25A" w14:textId="60E3517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32</w:t>
            </w:r>
          </w:p>
        </w:tc>
      </w:tr>
      <w:tr w:rsidR="001F05BC" w:rsidRPr="00130980" w14:paraId="608B0EA5" w14:textId="77777777" w:rsidTr="00C3610C">
        <w:trPr>
          <w:trHeight w:val="20"/>
          <w:tblCellSpacing w:w="20" w:type="dxa"/>
          <w:jc w:val="right"/>
        </w:trPr>
        <w:tc>
          <w:tcPr>
            <w:tcW w:w="1339" w:type="pct"/>
          </w:tcPr>
          <w:p w14:paraId="62D96E30" w14:textId="462EBEAD"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lastRenderedPageBreak/>
              <w:t>( العنزي، 2020، 84)</w:t>
            </w:r>
          </w:p>
        </w:tc>
        <w:tc>
          <w:tcPr>
            <w:tcW w:w="3121" w:type="pct"/>
          </w:tcPr>
          <w:p w14:paraId="4A6519ED" w14:textId="67EA84F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يُراعي القائد الفروق الفردية في أسلوب التعامل</w:t>
            </w:r>
            <w:r w:rsidR="008F3298" w:rsidRPr="00130980">
              <w:rPr>
                <w:rFonts w:ascii="Traditional Arabic" w:hAnsi="Traditional Arabic" w:cs="Traditional Arabic" w:hint="cs"/>
                <w:b/>
                <w:bCs/>
                <w:color w:val="000000" w:themeColor="text1"/>
                <w:sz w:val="20"/>
                <w:szCs w:val="20"/>
                <w:rtl/>
              </w:rPr>
              <w:t>.</w:t>
            </w:r>
          </w:p>
        </w:tc>
        <w:tc>
          <w:tcPr>
            <w:tcW w:w="540" w:type="pct"/>
          </w:tcPr>
          <w:p w14:paraId="23A087EB" w14:textId="095731C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33</w:t>
            </w:r>
          </w:p>
        </w:tc>
      </w:tr>
      <w:tr w:rsidR="001F05BC" w:rsidRPr="00130980" w14:paraId="6C47CB11" w14:textId="77777777" w:rsidTr="00C3610C">
        <w:trPr>
          <w:trHeight w:val="20"/>
          <w:tblCellSpacing w:w="20" w:type="dxa"/>
          <w:jc w:val="right"/>
        </w:trPr>
        <w:tc>
          <w:tcPr>
            <w:tcW w:w="1339" w:type="pct"/>
          </w:tcPr>
          <w:p w14:paraId="51BDCCB2" w14:textId="6ED23A32"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2017، 102)</w:t>
            </w:r>
          </w:p>
        </w:tc>
        <w:tc>
          <w:tcPr>
            <w:tcW w:w="3121" w:type="pct"/>
          </w:tcPr>
          <w:p w14:paraId="7962B30F" w14:textId="7818C44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يُقدّم القائد الدعم والتوجيه المناسب لكل موظف</w:t>
            </w:r>
            <w:r w:rsidR="008F3298" w:rsidRPr="00130980">
              <w:rPr>
                <w:rFonts w:ascii="Traditional Arabic" w:hAnsi="Traditional Arabic" w:cs="Traditional Arabic" w:hint="cs"/>
                <w:b/>
                <w:bCs/>
                <w:color w:val="000000" w:themeColor="text1"/>
                <w:sz w:val="20"/>
                <w:szCs w:val="20"/>
                <w:rtl/>
              </w:rPr>
              <w:t>.</w:t>
            </w:r>
          </w:p>
        </w:tc>
        <w:tc>
          <w:tcPr>
            <w:tcW w:w="540" w:type="pct"/>
          </w:tcPr>
          <w:p w14:paraId="5A7C43F4" w14:textId="63B67CA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34</w:t>
            </w:r>
          </w:p>
        </w:tc>
      </w:tr>
      <w:tr w:rsidR="001F05BC" w:rsidRPr="00130980" w14:paraId="079A4422" w14:textId="77777777" w:rsidTr="00C3610C">
        <w:trPr>
          <w:trHeight w:val="20"/>
          <w:tblCellSpacing w:w="20" w:type="dxa"/>
          <w:jc w:val="right"/>
        </w:trPr>
        <w:tc>
          <w:tcPr>
            <w:tcW w:w="1339" w:type="pct"/>
          </w:tcPr>
          <w:p w14:paraId="19464CCE" w14:textId="5508EDAB"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2021، 93)</w:t>
            </w:r>
          </w:p>
        </w:tc>
        <w:tc>
          <w:tcPr>
            <w:tcW w:w="3121" w:type="pct"/>
          </w:tcPr>
          <w:p w14:paraId="38FD379B" w14:textId="35FE2CF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يُشجع القائد العاملين على تطوير مهاراتهم الشخصية والمهنية</w:t>
            </w:r>
            <w:r w:rsidR="008F3298" w:rsidRPr="00130980">
              <w:rPr>
                <w:rFonts w:ascii="Traditional Arabic" w:hAnsi="Traditional Arabic" w:cs="Traditional Arabic" w:hint="cs"/>
                <w:b/>
                <w:bCs/>
                <w:color w:val="000000" w:themeColor="text1"/>
                <w:sz w:val="20"/>
                <w:szCs w:val="20"/>
                <w:rtl/>
              </w:rPr>
              <w:t>.</w:t>
            </w:r>
          </w:p>
        </w:tc>
        <w:tc>
          <w:tcPr>
            <w:tcW w:w="540" w:type="pct"/>
          </w:tcPr>
          <w:p w14:paraId="654AF4B2" w14:textId="0CFED7D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35</w:t>
            </w:r>
          </w:p>
        </w:tc>
      </w:tr>
      <w:tr w:rsidR="008F3298" w:rsidRPr="00130980" w14:paraId="3D45DC4E" w14:textId="6CCF6848" w:rsidTr="00C3610C">
        <w:trPr>
          <w:trHeight w:val="20"/>
          <w:tblCellSpacing w:w="20" w:type="dxa"/>
          <w:jc w:val="right"/>
        </w:trPr>
        <w:tc>
          <w:tcPr>
            <w:tcW w:w="5000" w:type="pct"/>
            <w:gridSpan w:val="3"/>
          </w:tcPr>
          <w:p w14:paraId="6BE094FB" w14:textId="52854E13"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رابعًا: الاستثارة الفكرية</w:t>
            </w:r>
            <w:r w:rsidRPr="00130980">
              <w:rPr>
                <w:rFonts w:ascii="Traditional Arabic" w:hAnsi="Traditional Arabic" w:cs="Traditional Arabic" w:hint="cs"/>
                <w:b/>
                <w:bCs/>
                <w:color w:val="000000" w:themeColor="text1"/>
                <w:sz w:val="20"/>
                <w:szCs w:val="20"/>
                <w:lang w:bidi="ar-EG"/>
              </w:rPr>
              <w:t xml:space="preserve"> (Intellectual Stimulation)</w:t>
            </w:r>
          </w:p>
        </w:tc>
      </w:tr>
      <w:tr w:rsidR="008F3298" w:rsidRPr="00130980" w14:paraId="3CF35C8B" w14:textId="21C040B8" w:rsidTr="00C3610C">
        <w:trPr>
          <w:trHeight w:val="20"/>
          <w:tblCellSpacing w:w="20" w:type="dxa"/>
          <w:jc w:val="right"/>
        </w:trPr>
        <w:tc>
          <w:tcPr>
            <w:tcW w:w="1339" w:type="pct"/>
          </w:tcPr>
          <w:p w14:paraId="1422B994" w14:textId="1761BF39"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Pr>
            </w:pPr>
            <w:r w:rsidRPr="00130980">
              <w:rPr>
                <w:rFonts w:ascii="Traditional Arabic" w:hAnsi="Traditional Arabic" w:cs="Traditional Arabic" w:hint="cs"/>
                <w:b/>
                <w:bCs/>
                <w:color w:val="000000" w:themeColor="text1"/>
                <w:sz w:val="20"/>
                <w:szCs w:val="20"/>
                <w:rtl/>
              </w:rPr>
              <w:t>( الخالدي ، 2019، 66)</w:t>
            </w:r>
          </w:p>
        </w:tc>
        <w:tc>
          <w:tcPr>
            <w:tcW w:w="3121" w:type="pct"/>
            <w:hideMark/>
          </w:tcPr>
          <w:p w14:paraId="56BFDDD9" w14:textId="75535F4B"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يُشجع القائد العاملين على التفكير الإبداعي لحل المشكلات.</w:t>
            </w:r>
          </w:p>
          <w:p w14:paraId="37C2884A" w14:textId="15F44B23"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lang w:bidi="ar-EG"/>
              </w:rPr>
            </w:pPr>
          </w:p>
        </w:tc>
        <w:tc>
          <w:tcPr>
            <w:tcW w:w="540" w:type="pct"/>
          </w:tcPr>
          <w:p w14:paraId="677F9D18" w14:textId="4B10984D"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40</w:t>
            </w:r>
          </w:p>
        </w:tc>
      </w:tr>
      <w:tr w:rsidR="008F3298" w:rsidRPr="00130980" w14:paraId="25D9A8FA" w14:textId="77777777" w:rsidTr="00C3610C">
        <w:trPr>
          <w:trHeight w:val="20"/>
          <w:tblCellSpacing w:w="20" w:type="dxa"/>
          <w:jc w:val="right"/>
        </w:trPr>
        <w:tc>
          <w:tcPr>
            <w:tcW w:w="1339" w:type="pct"/>
          </w:tcPr>
          <w:p w14:paraId="4F0FB980" w14:textId="4F99AF5B"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الطراونة ، 2018، 72)</w:t>
            </w:r>
          </w:p>
        </w:tc>
        <w:tc>
          <w:tcPr>
            <w:tcW w:w="3121" w:type="pct"/>
          </w:tcPr>
          <w:p w14:paraId="294C50AC" w14:textId="745429E4"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يُحفّز القائد العاملين على اقتراح أفكار جديدة</w:t>
            </w:r>
            <w:r w:rsidR="005C1BD4" w:rsidRPr="00130980">
              <w:rPr>
                <w:rFonts w:ascii="Traditional Arabic" w:hAnsi="Traditional Arabic" w:cs="Traditional Arabic" w:hint="cs"/>
                <w:b/>
                <w:bCs/>
                <w:color w:val="000000" w:themeColor="text1"/>
                <w:sz w:val="20"/>
                <w:szCs w:val="20"/>
                <w:rtl/>
                <w:lang w:bidi="ar-EG"/>
              </w:rPr>
              <w:t>.</w:t>
            </w:r>
          </w:p>
        </w:tc>
        <w:tc>
          <w:tcPr>
            <w:tcW w:w="540" w:type="pct"/>
          </w:tcPr>
          <w:p w14:paraId="6FBFA2E9" w14:textId="2A4CA87C"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41</w:t>
            </w:r>
          </w:p>
        </w:tc>
      </w:tr>
      <w:tr w:rsidR="008F3298" w:rsidRPr="00130980" w14:paraId="6684ADCB" w14:textId="77777777" w:rsidTr="00C3610C">
        <w:trPr>
          <w:trHeight w:val="20"/>
          <w:tblCellSpacing w:w="20" w:type="dxa"/>
          <w:jc w:val="right"/>
        </w:trPr>
        <w:tc>
          <w:tcPr>
            <w:tcW w:w="1339" w:type="pct"/>
          </w:tcPr>
          <w:p w14:paraId="2A343AB1" w14:textId="0A5BC8EA"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العنزي، 2020، 81)</w:t>
            </w:r>
          </w:p>
        </w:tc>
        <w:tc>
          <w:tcPr>
            <w:tcW w:w="3121" w:type="pct"/>
          </w:tcPr>
          <w:p w14:paraId="30BC50CC" w14:textId="6C468A77"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يُشجع القائد على تحدي الطرق التقليدية في العمل</w:t>
            </w:r>
            <w:r w:rsidR="005C1BD4" w:rsidRPr="00130980">
              <w:rPr>
                <w:rFonts w:ascii="Traditional Arabic" w:hAnsi="Traditional Arabic" w:cs="Traditional Arabic" w:hint="cs"/>
                <w:b/>
                <w:bCs/>
                <w:color w:val="000000" w:themeColor="text1"/>
                <w:sz w:val="20"/>
                <w:szCs w:val="20"/>
                <w:rtl/>
              </w:rPr>
              <w:t>.</w:t>
            </w:r>
          </w:p>
        </w:tc>
        <w:tc>
          <w:tcPr>
            <w:tcW w:w="540" w:type="pct"/>
          </w:tcPr>
          <w:p w14:paraId="43747A4D" w14:textId="456ADC8B"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42</w:t>
            </w:r>
          </w:p>
        </w:tc>
      </w:tr>
      <w:tr w:rsidR="008F3298" w:rsidRPr="00130980" w14:paraId="1499691B" w14:textId="77777777" w:rsidTr="00C3610C">
        <w:trPr>
          <w:trHeight w:val="20"/>
          <w:tblCellSpacing w:w="20" w:type="dxa"/>
          <w:jc w:val="right"/>
        </w:trPr>
        <w:tc>
          <w:tcPr>
            <w:tcW w:w="1339" w:type="pct"/>
          </w:tcPr>
          <w:p w14:paraId="0B0C2C13" w14:textId="69452DFB"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الحسن، 2021، 104)</w:t>
            </w:r>
          </w:p>
        </w:tc>
        <w:tc>
          <w:tcPr>
            <w:tcW w:w="3121" w:type="pct"/>
          </w:tcPr>
          <w:p w14:paraId="6D039AE2" w14:textId="67DBA251"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يُتيح القائد بيئة آمنة لتبادل الآراء والابتكار</w:t>
            </w:r>
            <w:r w:rsidR="005C1BD4" w:rsidRPr="00130980">
              <w:rPr>
                <w:rFonts w:ascii="Traditional Arabic" w:hAnsi="Traditional Arabic" w:cs="Traditional Arabic" w:hint="cs"/>
                <w:b/>
                <w:bCs/>
                <w:color w:val="000000" w:themeColor="text1"/>
                <w:sz w:val="20"/>
                <w:szCs w:val="20"/>
                <w:rtl/>
              </w:rPr>
              <w:t>.</w:t>
            </w:r>
          </w:p>
        </w:tc>
        <w:tc>
          <w:tcPr>
            <w:tcW w:w="540" w:type="pct"/>
          </w:tcPr>
          <w:p w14:paraId="3E59C2F8" w14:textId="7F5188DA"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43</w:t>
            </w:r>
          </w:p>
        </w:tc>
      </w:tr>
      <w:tr w:rsidR="008F3298" w:rsidRPr="00130980" w14:paraId="1E05673E" w14:textId="77777777" w:rsidTr="00C3610C">
        <w:trPr>
          <w:trHeight w:val="20"/>
          <w:tblCellSpacing w:w="20" w:type="dxa"/>
          <w:jc w:val="right"/>
        </w:trPr>
        <w:tc>
          <w:tcPr>
            <w:tcW w:w="1339" w:type="pct"/>
          </w:tcPr>
          <w:p w14:paraId="5C61EF72" w14:textId="27659B11"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2017، 93)</w:t>
            </w:r>
          </w:p>
        </w:tc>
        <w:tc>
          <w:tcPr>
            <w:tcW w:w="3121" w:type="pct"/>
          </w:tcPr>
          <w:p w14:paraId="342BE2EC" w14:textId="466B53FF"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يُشجع القائد العاملين على تحليل المواقف من زوايا متعددة</w:t>
            </w:r>
            <w:r w:rsidR="005C1BD4" w:rsidRPr="00130980">
              <w:rPr>
                <w:rFonts w:ascii="Traditional Arabic" w:hAnsi="Traditional Arabic" w:cs="Traditional Arabic" w:hint="cs"/>
                <w:b/>
                <w:bCs/>
                <w:color w:val="000000" w:themeColor="text1"/>
                <w:sz w:val="20"/>
                <w:szCs w:val="20"/>
                <w:rtl/>
              </w:rPr>
              <w:t>.</w:t>
            </w:r>
          </w:p>
        </w:tc>
        <w:tc>
          <w:tcPr>
            <w:tcW w:w="540" w:type="pct"/>
          </w:tcPr>
          <w:p w14:paraId="12AD50E7" w14:textId="6033BC63"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44</w:t>
            </w:r>
          </w:p>
        </w:tc>
      </w:tr>
      <w:tr w:rsidR="005C1BD4" w:rsidRPr="00130980" w14:paraId="12CCA539" w14:textId="25BAA226" w:rsidTr="00C3610C">
        <w:trPr>
          <w:trHeight w:val="20"/>
          <w:tblCellSpacing w:w="20" w:type="dxa"/>
          <w:jc w:val="right"/>
        </w:trPr>
        <w:tc>
          <w:tcPr>
            <w:tcW w:w="5000" w:type="pct"/>
            <w:gridSpan w:val="3"/>
          </w:tcPr>
          <w:p w14:paraId="03EB4C06" w14:textId="666D34DA"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سلامة المرضى</w:t>
            </w:r>
          </w:p>
        </w:tc>
      </w:tr>
      <w:tr w:rsidR="005C1BD4" w:rsidRPr="00130980" w14:paraId="0C5B714D" w14:textId="74D028D7" w:rsidTr="00C3610C">
        <w:trPr>
          <w:trHeight w:val="20"/>
          <w:tblCellSpacing w:w="20" w:type="dxa"/>
          <w:jc w:val="right"/>
        </w:trPr>
        <w:tc>
          <w:tcPr>
            <w:tcW w:w="5000" w:type="pct"/>
            <w:gridSpan w:val="3"/>
          </w:tcPr>
          <w:p w14:paraId="70BBB5D1" w14:textId="214BEA84"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أولًا: تقليل الأخطاء الطبية</w:t>
            </w:r>
          </w:p>
        </w:tc>
      </w:tr>
      <w:tr w:rsidR="005C1BD4" w:rsidRPr="00130980" w14:paraId="2CE404A4" w14:textId="6C3AFA8D" w:rsidTr="00C3610C">
        <w:trPr>
          <w:trHeight w:val="20"/>
          <w:tblCellSpacing w:w="20" w:type="dxa"/>
          <w:jc w:val="right"/>
        </w:trPr>
        <w:tc>
          <w:tcPr>
            <w:tcW w:w="1339" w:type="pct"/>
          </w:tcPr>
          <w:p w14:paraId="13EE7F30" w14:textId="04280CBC"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الأنصاري، 2019، 57)</w:t>
            </w:r>
          </w:p>
        </w:tc>
        <w:tc>
          <w:tcPr>
            <w:tcW w:w="3121" w:type="pct"/>
          </w:tcPr>
          <w:p w14:paraId="1527A4A5" w14:textId="7D2DA060"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تطبيق إجراءات واضحة لتقليل الأخطاء الطبية أثناء تقديم الرعاية.</w:t>
            </w:r>
          </w:p>
        </w:tc>
        <w:tc>
          <w:tcPr>
            <w:tcW w:w="540" w:type="pct"/>
          </w:tcPr>
          <w:p w14:paraId="2DAAD528" w14:textId="791DA6BC"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45</w:t>
            </w:r>
          </w:p>
        </w:tc>
      </w:tr>
      <w:tr w:rsidR="005C1BD4" w:rsidRPr="00130980" w14:paraId="06FE434F" w14:textId="77777777" w:rsidTr="00C3610C">
        <w:trPr>
          <w:trHeight w:val="20"/>
          <w:tblCellSpacing w:w="20" w:type="dxa"/>
          <w:jc w:val="right"/>
        </w:trPr>
        <w:tc>
          <w:tcPr>
            <w:tcW w:w="1339" w:type="pct"/>
          </w:tcPr>
          <w:p w14:paraId="5E7F675B" w14:textId="102CF919"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2020، 63)</w:t>
            </w:r>
          </w:p>
        </w:tc>
        <w:tc>
          <w:tcPr>
            <w:tcW w:w="3121" w:type="pct"/>
          </w:tcPr>
          <w:p w14:paraId="58AD06D8" w14:textId="1CDAC7BA"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مراجعة سجلات المرضى لتفادي الأخطاء العلاجية.</w:t>
            </w:r>
          </w:p>
        </w:tc>
        <w:tc>
          <w:tcPr>
            <w:tcW w:w="540" w:type="pct"/>
          </w:tcPr>
          <w:p w14:paraId="00EC5ED2" w14:textId="6ADCD8F8"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46</w:t>
            </w:r>
          </w:p>
        </w:tc>
      </w:tr>
      <w:tr w:rsidR="005C1BD4" w:rsidRPr="00130980" w14:paraId="434F9BC7" w14:textId="77777777" w:rsidTr="00C3610C">
        <w:trPr>
          <w:trHeight w:val="20"/>
          <w:tblCellSpacing w:w="20" w:type="dxa"/>
          <w:jc w:val="right"/>
        </w:trPr>
        <w:tc>
          <w:tcPr>
            <w:tcW w:w="1339" w:type="pct"/>
          </w:tcPr>
          <w:p w14:paraId="6368D6D6" w14:textId="76C896FC"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 الخطيب ، 2018، 71)</w:t>
            </w:r>
          </w:p>
        </w:tc>
        <w:tc>
          <w:tcPr>
            <w:tcW w:w="3121" w:type="pct"/>
          </w:tcPr>
          <w:p w14:paraId="4806AA5E" w14:textId="5A52AF56"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تدريب العاملين على كيفية تجنب الأخطاء الطبية الشائعة.</w:t>
            </w:r>
          </w:p>
        </w:tc>
        <w:tc>
          <w:tcPr>
            <w:tcW w:w="540" w:type="pct"/>
          </w:tcPr>
          <w:p w14:paraId="42C2B968" w14:textId="0803CAFD"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47</w:t>
            </w:r>
          </w:p>
        </w:tc>
      </w:tr>
      <w:tr w:rsidR="005C1BD4" w:rsidRPr="00130980" w14:paraId="5CD267F7" w14:textId="77777777" w:rsidTr="00C3610C">
        <w:trPr>
          <w:trHeight w:val="20"/>
          <w:tblCellSpacing w:w="20" w:type="dxa"/>
          <w:jc w:val="right"/>
        </w:trPr>
        <w:tc>
          <w:tcPr>
            <w:tcW w:w="1339" w:type="pct"/>
          </w:tcPr>
          <w:p w14:paraId="601808B1" w14:textId="749516F8"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الحربي، 2021، 89)</w:t>
            </w:r>
          </w:p>
        </w:tc>
        <w:tc>
          <w:tcPr>
            <w:tcW w:w="3121" w:type="pct"/>
          </w:tcPr>
          <w:p w14:paraId="1512619E" w14:textId="1493D44A"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تحليل الأخطاء الطبية بعد وقوعها لتفادي تكرارها.</w:t>
            </w:r>
          </w:p>
        </w:tc>
        <w:tc>
          <w:tcPr>
            <w:tcW w:w="540" w:type="pct"/>
          </w:tcPr>
          <w:p w14:paraId="7D37B2C7" w14:textId="4F2450E6"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48</w:t>
            </w:r>
          </w:p>
        </w:tc>
      </w:tr>
      <w:tr w:rsidR="005C1BD4" w:rsidRPr="00130980" w14:paraId="1A111892" w14:textId="0DC02298" w:rsidTr="00C3610C">
        <w:trPr>
          <w:trHeight w:val="20"/>
          <w:tblCellSpacing w:w="20" w:type="dxa"/>
          <w:jc w:val="right"/>
        </w:trPr>
        <w:tc>
          <w:tcPr>
            <w:tcW w:w="5000" w:type="pct"/>
            <w:gridSpan w:val="3"/>
          </w:tcPr>
          <w:p w14:paraId="1EFBEA80" w14:textId="6054B09F"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ثانيًا: فعالية أنظمة الإبلاغ</w:t>
            </w:r>
          </w:p>
        </w:tc>
      </w:tr>
      <w:tr w:rsidR="005C1BD4" w:rsidRPr="00130980" w14:paraId="136C8113" w14:textId="415FFCB4" w:rsidTr="00C3610C">
        <w:trPr>
          <w:trHeight w:val="20"/>
          <w:tblCellSpacing w:w="20" w:type="dxa"/>
          <w:jc w:val="right"/>
        </w:trPr>
        <w:tc>
          <w:tcPr>
            <w:tcW w:w="1339" w:type="pct"/>
          </w:tcPr>
          <w:p w14:paraId="5C38FE81" w14:textId="3A1B101C"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الشمري، 2020، 55)</w:t>
            </w:r>
          </w:p>
        </w:tc>
        <w:tc>
          <w:tcPr>
            <w:tcW w:w="3121" w:type="pct"/>
          </w:tcPr>
          <w:p w14:paraId="588C24CC" w14:textId="7512DEF0"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توجد آلية فعالة للإبلاغ عن الحوادث الطبية داخل المنشأة.</w:t>
            </w:r>
          </w:p>
        </w:tc>
        <w:tc>
          <w:tcPr>
            <w:tcW w:w="540" w:type="pct"/>
          </w:tcPr>
          <w:p w14:paraId="1A6E54D1" w14:textId="45AAAE30"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49</w:t>
            </w:r>
          </w:p>
        </w:tc>
      </w:tr>
      <w:tr w:rsidR="005C1BD4" w:rsidRPr="00130980" w14:paraId="3C07F6D3" w14:textId="77777777" w:rsidTr="00C3610C">
        <w:trPr>
          <w:trHeight w:val="20"/>
          <w:tblCellSpacing w:w="20" w:type="dxa"/>
          <w:jc w:val="right"/>
        </w:trPr>
        <w:tc>
          <w:tcPr>
            <w:tcW w:w="1339" w:type="pct"/>
          </w:tcPr>
          <w:p w14:paraId="6D4A4B9A" w14:textId="4FF8F7C5"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الخطيب، 2018، 62)</w:t>
            </w:r>
          </w:p>
        </w:tc>
        <w:tc>
          <w:tcPr>
            <w:tcW w:w="3121" w:type="pct"/>
          </w:tcPr>
          <w:p w14:paraId="564345F6" w14:textId="0D673D64"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الإبلاغ عن الأخطاء الطبية دون خوف من العقوبة.</w:t>
            </w:r>
          </w:p>
        </w:tc>
        <w:tc>
          <w:tcPr>
            <w:tcW w:w="540" w:type="pct"/>
          </w:tcPr>
          <w:p w14:paraId="6DDFC14F" w14:textId="716EBE7D"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50</w:t>
            </w:r>
          </w:p>
        </w:tc>
      </w:tr>
      <w:tr w:rsidR="005C1BD4" w:rsidRPr="00130980" w14:paraId="776DCF15" w14:textId="77777777" w:rsidTr="00C3610C">
        <w:trPr>
          <w:trHeight w:val="20"/>
          <w:tblCellSpacing w:w="20" w:type="dxa"/>
          <w:jc w:val="right"/>
        </w:trPr>
        <w:tc>
          <w:tcPr>
            <w:tcW w:w="1339" w:type="pct"/>
          </w:tcPr>
          <w:p w14:paraId="1894D1B3" w14:textId="633701D5"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الحربي، 2019، 71)</w:t>
            </w:r>
          </w:p>
        </w:tc>
        <w:tc>
          <w:tcPr>
            <w:tcW w:w="3121" w:type="pct"/>
          </w:tcPr>
          <w:p w14:paraId="203D79B9" w14:textId="081F0224"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التعامل مع البلاغات بسرية واحترافية.</w:t>
            </w:r>
          </w:p>
        </w:tc>
        <w:tc>
          <w:tcPr>
            <w:tcW w:w="540" w:type="pct"/>
          </w:tcPr>
          <w:p w14:paraId="717382CC" w14:textId="3F86D721"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51</w:t>
            </w:r>
          </w:p>
        </w:tc>
      </w:tr>
      <w:tr w:rsidR="005C1BD4" w:rsidRPr="00130980" w14:paraId="63B1D68D" w14:textId="77777777" w:rsidTr="00C3610C">
        <w:trPr>
          <w:trHeight w:val="20"/>
          <w:tblCellSpacing w:w="20" w:type="dxa"/>
          <w:jc w:val="right"/>
        </w:trPr>
        <w:tc>
          <w:tcPr>
            <w:tcW w:w="1339" w:type="pct"/>
          </w:tcPr>
          <w:p w14:paraId="4AAE45F3" w14:textId="76D3DF94"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 2021، 84)</w:t>
            </w:r>
          </w:p>
        </w:tc>
        <w:tc>
          <w:tcPr>
            <w:tcW w:w="3121" w:type="pct"/>
          </w:tcPr>
          <w:p w14:paraId="1ABE55B8" w14:textId="745E39CF"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تحليل البلاغات واستخدامها لتحسين جودة الرعاية.</w:t>
            </w:r>
          </w:p>
        </w:tc>
        <w:tc>
          <w:tcPr>
            <w:tcW w:w="540" w:type="pct"/>
          </w:tcPr>
          <w:p w14:paraId="12EB308A" w14:textId="6C59396F"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52</w:t>
            </w:r>
          </w:p>
        </w:tc>
      </w:tr>
      <w:tr w:rsidR="005C1BD4" w:rsidRPr="00130980" w14:paraId="0AC09A23" w14:textId="15B89E16" w:rsidTr="00C3610C">
        <w:trPr>
          <w:trHeight w:val="20"/>
          <w:tblCellSpacing w:w="20" w:type="dxa"/>
          <w:jc w:val="right"/>
        </w:trPr>
        <w:tc>
          <w:tcPr>
            <w:tcW w:w="5000" w:type="pct"/>
            <w:gridSpan w:val="3"/>
          </w:tcPr>
          <w:p w14:paraId="66956265" w14:textId="00BF7354"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ثالثًا: إشراك المرضى</w:t>
            </w:r>
          </w:p>
        </w:tc>
      </w:tr>
      <w:tr w:rsidR="000C4D41" w:rsidRPr="00130980" w14:paraId="1836C4BA" w14:textId="0BECA392" w:rsidTr="00C3610C">
        <w:trPr>
          <w:trHeight w:val="20"/>
          <w:tblCellSpacing w:w="20" w:type="dxa"/>
          <w:jc w:val="right"/>
        </w:trPr>
        <w:tc>
          <w:tcPr>
            <w:tcW w:w="1339" w:type="pct"/>
          </w:tcPr>
          <w:p w14:paraId="51F3805E" w14:textId="3AC06228"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Pr>
              <w:t xml:space="preserve">) </w:t>
            </w:r>
            <w:r w:rsidRPr="00130980">
              <w:rPr>
                <w:rFonts w:ascii="Traditional Arabic" w:hAnsi="Traditional Arabic" w:cs="Traditional Arabic" w:hint="cs"/>
                <w:b/>
                <w:bCs/>
                <w:sz w:val="20"/>
                <w:szCs w:val="20"/>
                <w:rtl/>
                <w:lang w:bidi="ar-EG"/>
              </w:rPr>
              <w:t xml:space="preserve"> الحطيب ، 2018، 64)</w:t>
            </w:r>
          </w:p>
        </w:tc>
        <w:tc>
          <w:tcPr>
            <w:tcW w:w="3121" w:type="pct"/>
          </w:tcPr>
          <w:p w14:paraId="72DCB5C9" w14:textId="597CC94C"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sz w:val="20"/>
                <w:szCs w:val="20"/>
                <w:rtl/>
              </w:rPr>
              <w:t>يتم إشراك المرضى في اتخاذ القرارات المتعلقة بعلاجهم.</w:t>
            </w:r>
          </w:p>
        </w:tc>
        <w:tc>
          <w:tcPr>
            <w:tcW w:w="540" w:type="pct"/>
          </w:tcPr>
          <w:p w14:paraId="104BDA94" w14:textId="75597871"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53</w:t>
            </w:r>
          </w:p>
        </w:tc>
      </w:tr>
      <w:tr w:rsidR="000C4D41" w:rsidRPr="00130980" w14:paraId="5BEC5250" w14:textId="77777777" w:rsidTr="00C3610C">
        <w:trPr>
          <w:trHeight w:val="20"/>
          <w:tblCellSpacing w:w="20" w:type="dxa"/>
          <w:jc w:val="right"/>
        </w:trPr>
        <w:tc>
          <w:tcPr>
            <w:tcW w:w="1339" w:type="pct"/>
          </w:tcPr>
          <w:p w14:paraId="00E0B686" w14:textId="4DCAE11D"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lastRenderedPageBreak/>
              <w:t>( الانصاري، 2019، 52)</w:t>
            </w:r>
          </w:p>
        </w:tc>
        <w:tc>
          <w:tcPr>
            <w:tcW w:w="3121" w:type="pct"/>
          </w:tcPr>
          <w:p w14:paraId="47C6D3F3" w14:textId="1A63747C"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توعية المرضى بحقوقهم وواجباتهم داخل المنشأة.</w:t>
            </w:r>
          </w:p>
        </w:tc>
        <w:tc>
          <w:tcPr>
            <w:tcW w:w="540" w:type="pct"/>
          </w:tcPr>
          <w:p w14:paraId="31BDDDA2" w14:textId="1EBDA092"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54</w:t>
            </w:r>
          </w:p>
        </w:tc>
      </w:tr>
      <w:tr w:rsidR="000C4D41" w:rsidRPr="00130980" w14:paraId="5D765413" w14:textId="77777777" w:rsidTr="00C3610C">
        <w:trPr>
          <w:trHeight w:val="20"/>
          <w:tblCellSpacing w:w="20" w:type="dxa"/>
          <w:jc w:val="right"/>
        </w:trPr>
        <w:tc>
          <w:tcPr>
            <w:tcW w:w="1339" w:type="pct"/>
          </w:tcPr>
          <w:p w14:paraId="141EA553" w14:textId="3B8735A2"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 2020، 78)</w:t>
            </w:r>
          </w:p>
        </w:tc>
        <w:tc>
          <w:tcPr>
            <w:tcW w:w="3121" w:type="pct"/>
          </w:tcPr>
          <w:p w14:paraId="76B927F5" w14:textId="0063142E"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تشجيع المرضى على الإبلاغ عن أي خلل في الرعاية المقدمة.</w:t>
            </w:r>
          </w:p>
        </w:tc>
        <w:tc>
          <w:tcPr>
            <w:tcW w:w="540" w:type="pct"/>
          </w:tcPr>
          <w:p w14:paraId="383ED4CB" w14:textId="1C8B0808"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55</w:t>
            </w:r>
          </w:p>
        </w:tc>
      </w:tr>
      <w:tr w:rsidR="000C4D41" w:rsidRPr="00130980" w14:paraId="333783D2" w14:textId="77777777" w:rsidTr="00C3610C">
        <w:trPr>
          <w:trHeight w:val="20"/>
          <w:tblCellSpacing w:w="20" w:type="dxa"/>
          <w:jc w:val="right"/>
        </w:trPr>
        <w:tc>
          <w:tcPr>
            <w:tcW w:w="1339" w:type="pct"/>
          </w:tcPr>
          <w:p w14:paraId="1F843F10" w14:textId="2AB10FEE"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الحسن، 2021، 91)</w:t>
            </w:r>
          </w:p>
        </w:tc>
        <w:tc>
          <w:tcPr>
            <w:tcW w:w="3121" w:type="pct"/>
          </w:tcPr>
          <w:p w14:paraId="2F73FA57" w14:textId="5EDAC593"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أخذ ملاحظات المرضى بعين الاعتبار لتحسين الخدمة.</w:t>
            </w:r>
          </w:p>
        </w:tc>
        <w:tc>
          <w:tcPr>
            <w:tcW w:w="540" w:type="pct"/>
          </w:tcPr>
          <w:p w14:paraId="0F57B7EC" w14:textId="05A813EA"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56</w:t>
            </w:r>
          </w:p>
        </w:tc>
      </w:tr>
      <w:tr w:rsidR="000C4D41" w:rsidRPr="00130980" w14:paraId="4929FDD1" w14:textId="490D1EA1" w:rsidTr="00C3610C">
        <w:trPr>
          <w:trHeight w:val="20"/>
          <w:tblCellSpacing w:w="20" w:type="dxa"/>
          <w:jc w:val="right"/>
        </w:trPr>
        <w:tc>
          <w:tcPr>
            <w:tcW w:w="5000" w:type="pct"/>
            <w:gridSpan w:val="3"/>
          </w:tcPr>
          <w:p w14:paraId="175CEF8A" w14:textId="5BD58DE6"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رابعًا: بيئة العمل الآمنة</w:t>
            </w:r>
          </w:p>
        </w:tc>
      </w:tr>
      <w:tr w:rsidR="000C4D41" w:rsidRPr="00130980" w14:paraId="30238071" w14:textId="635E4DEF" w:rsidTr="00C3610C">
        <w:trPr>
          <w:trHeight w:val="20"/>
          <w:tblCellSpacing w:w="20" w:type="dxa"/>
          <w:jc w:val="right"/>
        </w:trPr>
        <w:tc>
          <w:tcPr>
            <w:tcW w:w="1339" w:type="pct"/>
          </w:tcPr>
          <w:p w14:paraId="4A79A7E0" w14:textId="6DF16E76"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الأنصاري، 2019، 48)</w:t>
            </w:r>
          </w:p>
        </w:tc>
        <w:tc>
          <w:tcPr>
            <w:tcW w:w="3121" w:type="pct"/>
          </w:tcPr>
          <w:p w14:paraId="75F41701" w14:textId="764880E6"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توفير بيئة عمل آمنة للعاملين والمرضى على حد سواء.</w:t>
            </w:r>
          </w:p>
        </w:tc>
        <w:tc>
          <w:tcPr>
            <w:tcW w:w="540" w:type="pct"/>
          </w:tcPr>
          <w:p w14:paraId="33E0AAA2" w14:textId="089BB593"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57</w:t>
            </w:r>
          </w:p>
        </w:tc>
      </w:tr>
      <w:tr w:rsidR="000C4D41" w:rsidRPr="00130980" w14:paraId="1A2DA530" w14:textId="77777777" w:rsidTr="00C3610C">
        <w:trPr>
          <w:trHeight w:val="20"/>
          <w:tblCellSpacing w:w="20" w:type="dxa"/>
          <w:jc w:val="right"/>
        </w:trPr>
        <w:tc>
          <w:tcPr>
            <w:tcW w:w="1339" w:type="pct"/>
          </w:tcPr>
          <w:p w14:paraId="357411EA" w14:textId="5965972A"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الحربي، 2020، 66)</w:t>
            </w:r>
          </w:p>
        </w:tc>
        <w:tc>
          <w:tcPr>
            <w:tcW w:w="3121" w:type="pct"/>
          </w:tcPr>
          <w:p w14:paraId="40E00B8F" w14:textId="540D4E85"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تطبيق معايير السلامة المهنية داخل المنشأة.</w:t>
            </w:r>
          </w:p>
        </w:tc>
        <w:tc>
          <w:tcPr>
            <w:tcW w:w="540" w:type="pct"/>
          </w:tcPr>
          <w:p w14:paraId="6E2846B6" w14:textId="623B8209"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58</w:t>
            </w:r>
          </w:p>
        </w:tc>
      </w:tr>
      <w:tr w:rsidR="000C4D41" w:rsidRPr="00130980" w14:paraId="0ED3E350" w14:textId="77777777" w:rsidTr="00C3610C">
        <w:trPr>
          <w:trHeight w:val="20"/>
          <w:tblCellSpacing w:w="20" w:type="dxa"/>
          <w:jc w:val="right"/>
        </w:trPr>
        <w:tc>
          <w:tcPr>
            <w:tcW w:w="1339" w:type="pct"/>
          </w:tcPr>
          <w:p w14:paraId="6426D9A8" w14:textId="3658EB0F"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2021، 73)</w:t>
            </w:r>
          </w:p>
        </w:tc>
        <w:tc>
          <w:tcPr>
            <w:tcW w:w="3121" w:type="pct"/>
          </w:tcPr>
          <w:p w14:paraId="4178FD37" w14:textId="350C9F39"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صيانة الأجهزة الطبية بشكل دوري لضمان سلامتها.</w:t>
            </w:r>
          </w:p>
        </w:tc>
        <w:tc>
          <w:tcPr>
            <w:tcW w:w="540" w:type="pct"/>
          </w:tcPr>
          <w:p w14:paraId="5996F222" w14:textId="1AD1A213"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59</w:t>
            </w:r>
          </w:p>
        </w:tc>
      </w:tr>
      <w:tr w:rsidR="000C4D41" w:rsidRPr="00130980" w14:paraId="2532B5C2" w14:textId="77777777" w:rsidTr="00C3610C">
        <w:trPr>
          <w:trHeight w:val="20"/>
          <w:tblCellSpacing w:w="20" w:type="dxa"/>
          <w:jc w:val="right"/>
        </w:trPr>
        <w:tc>
          <w:tcPr>
            <w:tcW w:w="1339" w:type="pct"/>
          </w:tcPr>
          <w:p w14:paraId="71C4292F" w14:textId="07C73801"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الخطيب، 2018، 59)</w:t>
            </w:r>
          </w:p>
        </w:tc>
        <w:tc>
          <w:tcPr>
            <w:tcW w:w="3121" w:type="pct"/>
          </w:tcPr>
          <w:p w14:paraId="0D6CE7F7" w14:textId="25344D99"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تقليل عوامل الإجهاد والتوتر في بيئة العمل.</w:t>
            </w:r>
          </w:p>
        </w:tc>
        <w:tc>
          <w:tcPr>
            <w:tcW w:w="540" w:type="pct"/>
          </w:tcPr>
          <w:p w14:paraId="260B93D2" w14:textId="740E171E"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60</w:t>
            </w:r>
          </w:p>
        </w:tc>
      </w:tr>
      <w:tr w:rsidR="000C4D41" w:rsidRPr="00130980" w14:paraId="5AE06881" w14:textId="4CFED667" w:rsidTr="00C3610C">
        <w:trPr>
          <w:trHeight w:val="20"/>
          <w:tblCellSpacing w:w="20" w:type="dxa"/>
          <w:jc w:val="right"/>
        </w:trPr>
        <w:tc>
          <w:tcPr>
            <w:tcW w:w="5000" w:type="pct"/>
            <w:gridSpan w:val="3"/>
          </w:tcPr>
          <w:p w14:paraId="6774072E" w14:textId="1026E4F8"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خامسًا: جودة الرعاية السريرية</w:t>
            </w:r>
          </w:p>
        </w:tc>
      </w:tr>
      <w:tr w:rsidR="00433BAD" w:rsidRPr="00130980" w14:paraId="7F7D8E54" w14:textId="694460C7" w:rsidTr="00C3610C">
        <w:trPr>
          <w:trHeight w:val="20"/>
          <w:tblCellSpacing w:w="20" w:type="dxa"/>
          <w:jc w:val="right"/>
        </w:trPr>
        <w:tc>
          <w:tcPr>
            <w:tcW w:w="1339" w:type="pct"/>
          </w:tcPr>
          <w:p w14:paraId="694A7E40" w14:textId="79D4AC51"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(الأنصاري، 2019، 74)</w:t>
            </w:r>
          </w:p>
        </w:tc>
        <w:tc>
          <w:tcPr>
            <w:tcW w:w="3121" w:type="pct"/>
          </w:tcPr>
          <w:p w14:paraId="26289F8C" w14:textId="6E7783AD"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تقديم الرعاية السريرية وفقًا لأحدث البروتوكولات الطبية</w:t>
            </w:r>
            <w:r w:rsidR="006A285D" w:rsidRPr="00130980">
              <w:rPr>
                <w:rFonts w:ascii="Traditional Arabic" w:hAnsi="Traditional Arabic" w:cs="Traditional Arabic" w:hint="cs"/>
                <w:b/>
                <w:bCs/>
                <w:sz w:val="20"/>
                <w:szCs w:val="20"/>
                <w:rtl/>
              </w:rPr>
              <w:t>.</w:t>
            </w:r>
          </w:p>
        </w:tc>
        <w:tc>
          <w:tcPr>
            <w:tcW w:w="540" w:type="pct"/>
          </w:tcPr>
          <w:p w14:paraId="7F418FCD" w14:textId="167F9C68"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61</w:t>
            </w:r>
          </w:p>
        </w:tc>
      </w:tr>
      <w:tr w:rsidR="00433BAD" w:rsidRPr="00130980" w14:paraId="07DD0B9D" w14:textId="77777777" w:rsidTr="00C3610C">
        <w:trPr>
          <w:trHeight w:val="20"/>
          <w:tblCellSpacing w:w="20" w:type="dxa"/>
          <w:jc w:val="right"/>
        </w:trPr>
        <w:tc>
          <w:tcPr>
            <w:tcW w:w="1339" w:type="pct"/>
          </w:tcPr>
          <w:p w14:paraId="4A22E792" w14:textId="5E3E7616"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الحسن، 221، 88)</w:t>
            </w:r>
          </w:p>
        </w:tc>
        <w:tc>
          <w:tcPr>
            <w:tcW w:w="3121" w:type="pct"/>
          </w:tcPr>
          <w:p w14:paraId="381AA475" w14:textId="765BBC89"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تقييم جودة الرعاية السريرية بشكل دوري.</w:t>
            </w:r>
          </w:p>
        </w:tc>
        <w:tc>
          <w:tcPr>
            <w:tcW w:w="540" w:type="pct"/>
          </w:tcPr>
          <w:p w14:paraId="7123DCDD" w14:textId="6BCD13EE"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62</w:t>
            </w:r>
          </w:p>
        </w:tc>
      </w:tr>
      <w:tr w:rsidR="00433BAD" w:rsidRPr="00130980" w14:paraId="2B2768C4" w14:textId="77777777" w:rsidTr="00C3610C">
        <w:trPr>
          <w:trHeight w:val="20"/>
          <w:tblCellSpacing w:w="20" w:type="dxa"/>
          <w:jc w:val="right"/>
        </w:trPr>
        <w:tc>
          <w:tcPr>
            <w:tcW w:w="1339" w:type="pct"/>
          </w:tcPr>
          <w:p w14:paraId="46134D4B" w14:textId="34847908"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الخطيب، 2018، 63)</w:t>
            </w:r>
          </w:p>
        </w:tc>
        <w:tc>
          <w:tcPr>
            <w:tcW w:w="3121" w:type="pct"/>
          </w:tcPr>
          <w:p w14:paraId="6D89061E" w14:textId="2895C0A5"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تدريب العاملين على المهارات السريرية الحديثة.</w:t>
            </w:r>
          </w:p>
        </w:tc>
        <w:tc>
          <w:tcPr>
            <w:tcW w:w="540" w:type="pct"/>
          </w:tcPr>
          <w:p w14:paraId="3CBC9EDD" w14:textId="6B912A4B"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63</w:t>
            </w:r>
          </w:p>
        </w:tc>
      </w:tr>
      <w:tr w:rsidR="00433BAD" w:rsidRPr="00130980" w14:paraId="338E7D39" w14:textId="77777777" w:rsidTr="00C3610C">
        <w:trPr>
          <w:trHeight w:val="20"/>
          <w:tblCellSpacing w:w="20" w:type="dxa"/>
          <w:jc w:val="right"/>
        </w:trPr>
        <w:tc>
          <w:tcPr>
            <w:tcW w:w="1339" w:type="pct"/>
          </w:tcPr>
          <w:p w14:paraId="21EAF0EF" w14:textId="119CA15A"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2020، 79)</w:t>
            </w:r>
          </w:p>
        </w:tc>
        <w:tc>
          <w:tcPr>
            <w:tcW w:w="3121" w:type="pct"/>
          </w:tcPr>
          <w:p w14:paraId="4D29D079" w14:textId="721F475B"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متابعة نتائج العلاج لضمان فعاليته وسلامة المرضى.</w:t>
            </w:r>
          </w:p>
        </w:tc>
        <w:tc>
          <w:tcPr>
            <w:tcW w:w="540" w:type="pct"/>
          </w:tcPr>
          <w:p w14:paraId="582F8F04" w14:textId="035ACC14"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64</w:t>
            </w:r>
          </w:p>
        </w:tc>
      </w:tr>
    </w:tbl>
    <w:p w14:paraId="14F8E86D" w14:textId="69CD041E" w:rsidR="002E43AD" w:rsidRPr="002A403A" w:rsidRDefault="002E43AD" w:rsidP="002E43AD">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إعداد: الباحثة</w:t>
      </w:r>
    </w:p>
    <w:p w14:paraId="1D878A6A" w14:textId="15D484D7" w:rsidR="002C0813" w:rsidRPr="002A403A" w:rsidRDefault="002C0813" w:rsidP="002E43AD">
      <w:pPr>
        <w:bidi/>
        <w:spacing w:after="200" w:line="276" w:lineRule="auto"/>
        <w:rPr>
          <w:rFonts w:ascii="Traditional Arabic" w:hAnsi="Traditional Arabic" w:cs="Traditional Arabic"/>
          <w:b/>
          <w:bCs/>
          <w:color w:val="000000" w:themeColor="text1"/>
          <w:sz w:val="28"/>
          <w:szCs w:val="28"/>
        </w:rPr>
      </w:pPr>
      <w:r w:rsidRPr="002A403A">
        <w:rPr>
          <w:rFonts w:ascii="Traditional Arabic" w:hAnsi="Traditional Arabic" w:cs="Traditional Arabic" w:hint="cs"/>
          <w:b/>
          <w:bCs/>
          <w:color w:val="000000" w:themeColor="text1"/>
          <w:sz w:val="28"/>
          <w:szCs w:val="28"/>
          <w:rtl/>
        </w:rPr>
        <w:t>الأساليب الإحصائية :</w:t>
      </w:r>
    </w:p>
    <w:p w14:paraId="5A784F4C" w14:textId="77777777" w:rsidR="00130980" w:rsidRPr="00130980" w:rsidRDefault="00130980">
      <w:pPr>
        <w:pStyle w:val="ListParagraph"/>
        <w:numPr>
          <w:ilvl w:val="0"/>
          <w:numId w:val="43"/>
        </w:numPr>
        <w:bidi/>
        <w:spacing w:after="200" w:line="360" w:lineRule="auto"/>
        <w:rPr>
          <w:rFonts w:ascii="Traditional Arabic" w:hAnsi="Traditional Arabic" w:cs="Traditional Arabic"/>
          <w:color w:val="000000" w:themeColor="text1"/>
          <w:sz w:val="24"/>
          <w:szCs w:val="24"/>
        </w:rPr>
      </w:pPr>
      <w:r w:rsidRPr="00130980">
        <w:rPr>
          <w:rFonts w:ascii="Traditional Arabic" w:hAnsi="Traditional Arabic" w:cs="Traditional Arabic"/>
          <w:color w:val="000000" w:themeColor="text1"/>
          <w:sz w:val="24"/>
          <w:szCs w:val="24"/>
          <w:rtl/>
        </w:rPr>
        <w:t>معامل ألفا كرونباخ</w:t>
      </w:r>
      <w:r w:rsidRPr="00130980">
        <w:rPr>
          <w:rFonts w:ascii="Traditional Arabic" w:hAnsi="Traditional Arabic" w:cs="Traditional Arabic"/>
          <w:color w:val="000000" w:themeColor="text1"/>
          <w:sz w:val="24"/>
          <w:szCs w:val="24"/>
        </w:rPr>
        <w:t xml:space="preserve"> (Cronbach’s Alpha): </w:t>
      </w:r>
      <w:r w:rsidRPr="00130980">
        <w:rPr>
          <w:rFonts w:ascii="Traditional Arabic" w:hAnsi="Traditional Arabic" w:cs="Traditional Arabic"/>
          <w:color w:val="000000" w:themeColor="text1"/>
          <w:sz w:val="24"/>
          <w:szCs w:val="24"/>
          <w:rtl/>
        </w:rPr>
        <w:t>لقياس ثبات الأداة والاتساق الداخلي للعبارات</w:t>
      </w:r>
      <w:r w:rsidRPr="00130980">
        <w:rPr>
          <w:rFonts w:ascii="Traditional Arabic" w:hAnsi="Traditional Arabic" w:cs="Traditional Arabic"/>
          <w:color w:val="000000" w:themeColor="text1"/>
          <w:sz w:val="24"/>
          <w:szCs w:val="24"/>
        </w:rPr>
        <w:t>.</w:t>
      </w:r>
    </w:p>
    <w:p w14:paraId="54870906" w14:textId="77777777" w:rsidR="00130980" w:rsidRPr="00130980" w:rsidRDefault="00130980">
      <w:pPr>
        <w:pStyle w:val="ListParagraph"/>
        <w:numPr>
          <w:ilvl w:val="0"/>
          <w:numId w:val="43"/>
        </w:numPr>
        <w:bidi/>
        <w:spacing w:after="200" w:line="360" w:lineRule="auto"/>
        <w:rPr>
          <w:rFonts w:ascii="Traditional Arabic" w:hAnsi="Traditional Arabic" w:cs="Traditional Arabic"/>
          <w:color w:val="000000" w:themeColor="text1"/>
          <w:sz w:val="24"/>
          <w:szCs w:val="24"/>
        </w:rPr>
      </w:pPr>
      <w:r w:rsidRPr="00130980">
        <w:rPr>
          <w:rFonts w:ascii="Traditional Arabic" w:hAnsi="Traditional Arabic" w:cs="Traditional Arabic"/>
          <w:color w:val="000000" w:themeColor="text1"/>
          <w:sz w:val="24"/>
          <w:szCs w:val="24"/>
          <w:rtl/>
        </w:rPr>
        <w:t>معامل ارتباط بيرسون للصدق الداخلي</w:t>
      </w:r>
      <w:r w:rsidRPr="00130980">
        <w:rPr>
          <w:rFonts w:ascii="Traditional Arabic" w:hAnsi="Traditional Arabic" w:cs="Traditional Arabic"/>
          <w:color w:val="000000" w:themeColor="text1"/>
          <w:sz w:val="24"/>
          <w:szCs w:val="24"/>
        </w:rPr>
        <w:t xml:space="preserve">: </w:t>
      </w:r>
      <w:r w:rsidRPr="00130980">
        <w:rPr>
          <w:rFonts w:ascii="Traditional Arabic" w:hAnsi="Traditional Arabic" w:cs="Traditional Arabic"/>
          <w:color w:val="000000" w:themeColor="text1"/>
          <w:sz w:val="24"/>
          <w:szCs w:val="24"/>
          <w:rtl/>
        </w:rPr>
        <w:t>لقياس قوة علاقة العبارات بالدرجة الكلية لمحورها</w:t>
      </w:r>
      <w:r w:rsidRPr="00130980">
        <w:rPr>
          <w:rFonts w:ascii="Traditional Arabic" w:hAnsi="Traditional Arabic" w:cs="Traditional Arabic"/>
          <w:color w:val="000000" w:themeColor="text1"/>
          <w:sz w:val="24"/>
          <w:szCs w:val="24"/>
        </w:rPr>
        <w:t>.</w:t>
      </w:r>
    </w:p>
    <w:p w14:paraId="5B721307" w14:textId="77777777" w:rsidR="00130980" w:rsidRDefault="00130980">
      <w:pPr>
        <w:pStyle w:val="ListParagraph"/>
        <w:numPr>
          <w:ilvl w:val="0"/>
          <w:numId w:val="43"/>
        </w:numPr>
        <w:bidi/>
        <w:spacing w:after="200" w:line="360" w:lineRule="auto"/>
        <w:rPr>
          <w:rFonts w:ascii="Traditional Arabic" w:hAnsi="Traditional Arabic" w:cs="Traditional Arabic"/>
          <w:color w:val="000000" w:themeColor="text1"/>
          <w:sz w:val="24"/>
          <w:szCs w:val="24"/>
        </w:rPr>
      </w:pPr>
      <w:r w:rsidRPr="00130980">
        <w:rPr>
          <w:rFonts w:ascii="Traditional Arabic" w:hAnsi="Traditional Arabic" w:cs="Traditional Arabic"/>
          <w:color w:val="000000" w:themeColor="text1"/>
          <w:sz w:val="24"/>
          <w:szCs w:val="24"/>
          <w:rtl/>
        </w:rPr>
        <w:t>معامل ارتباط بيرسون للعلاقات</w:t>
      </w:r>
      <w:r w:rsidRPr="00130980">
        <w:rPr>
          <w:rFonts w:ascii="Traditional Arabic" w:hAnsi="Traditional Arabic" w:cs="Traditional Arabic"/>
          <w:color w:val="000000" w:themeColor="text1"/>
          <w:sz w:val="24"/>
          <w:szCs w:val="24"/>
        </w:rPr>
        <w:t xml:space="preserve">: </w:t>
      </w:r>
      <w:r w:rsidRPr="00130980">
        <w:rPr>
          <w:rFonts w:ascii="Traditional Arabic" w:hAnsi="Traditional Arabic" w:cs="Traditional Arabic"/>
          <w:color w:val="000000" w:themeColor="text1"/>
          <w:sz w:val="24"/>
          <w:szCs w:val="24"/>
          <w:rtl/>
        </w:rPr>
        <w:t>لقياس قوة واتجاه العلاقات بين المتغيرات الثلاثة الرئيسة</w:t>
      </w:r>
      <w:r w:rsidRPr="00130980">
        <w:rPr>
          <w:rFonts w:ascii="Traditional Arabic" w:hAnsi="Traditional Arabic" w:cs="Traditional Arabic"/>
          <w:color w:val="000000" w:themeColor="text1"/>
          <w:sz w:val="24"/>
          <w:szCs w:val="24"/>
        </w:rPr>
        <w:t>.</w:t>
      </w:r>
    </w:p>
    <w:p w14:paraId="0D5AAA1E" w14:textId="083BD50E" w:rsidR="00363B62" w:rsidRPr="00363B62" w:rsidRDefault="00363B62" w:rsidP="00363B62">
      <w:pPr>
        <w:pStyle w:val="ListParagraph"/>
        <w:numPr>
          <w:ilvl w:val="0"/>
          <w:numId w:val="43"/>
        </w:numPr>
        <w:bidi/>
        <w:rPr>
          <w:rFonts w:ascii="Traditional Arabic" w:hAnsi="Traditional Arabic" w:cs="Traditional Arabic"/>
          <w:color w:val="000000" w:themeColor="text1"/>
          <w:sz w:val="24"/>
          <w:szCs w:val="24"/>
        </w:rPr>
      </w:pPr>
      <w:r w:rsidRPr="00363B62">
        <w:rPr>
          <w:rFonts w:ascii="Traditional Arabic" w:hAnsi="Traditional Arabic" w:cs="Traditional Arabic"/>
          <w:color w:val="000000" w:themeColor="text1"/>
          <w:sz w:val="24"/>
          <w:szCs w:val="24"/>
          <w:rtl/>
        </w:rPr>
        <w:t>نمذجة المعادلات الهيكلية</w:t>
      </w:r>
      <w:r w:rsidRPr="00363B62">
        <w:rPr>
          <w:rFonts w:ascii="Traditional Arabic" w:hAnsi="Traditional Arabic" w:cs="Traditional Arabic"/>
          <w:color w:val="000000" w:themeColor="text1"/>
          <w:sz w:val="24"/>
          <w:szCs w:val="24"/>
        </w:rPr>
        <w:t xml:space="preserve"> (Structural Equation Modeling – SEM) </w:t>
      </w:r>
      <w:r w:rsidRPr="00363B62">
        <w:rPr>
          <w:rFonts w:ascii="Traditional Arabic" w:hAnsi="Traditional Arabic" w:cs="Traditional Arabic"/>
          <w:color w:val="000000" w:themeColor="text1"/>
          <w:sz w:val="24"/>
          <w:szCs w:val="24"/>
          <w:rtl/>
        </w:rPr>
        <w:t>باستخدام طريقة المربعات الصغرى الجزئية</w:t>
      </w:r>
      <w:r w:rsidRPr="00363B62">
        <w:rPr>
          <w:rFonts w:ascii="Traditional Arabic" w:hAnsi="Traditional Arabic" w:cs="Traditional Arabic"/>
          <w:color w:val="000000" w:themeColor="text1"/>
          <w:sz w:val="24"/>
          <w:szCs w:val="24"/>
        </w:rPr>
        <w:t xml:space="preserve"> (PLS): </w:t>
      </w:r>
      <w:r w:rsidRPr="00363B62">
        <w:rPr>
          <w:rFonts w:ascii="Traditional Arabic" w:hAnsi="Traditional Arabic" w:cs="Traditional Arabic"/>
          <w:color w:val="000000" w:themeColor="text1"/>
          <w:sz w:val="24"/>
          <w:szCs w:val="24"/>
          <w:rtl/>
        </w:rPr>
        <w:t>لاختبار النموذج والعلاقات السببية بين المتغيرات</w:t>
      </w:r>
      <w:r w:rsidRPr="00363B62">
        <w:rPr>
          <w:rFonts w:ascii="Traditional Arabic" w:hAnsi="Traditional Arabic" w:cs="Traditional Arabic"/>
          <w:color w:val="000000" w:themeColor="text1"/>
          <w:sz w:val="24"/>
          <w:szCs w:val="24"/>
        </w:rPr>
        <w:t>.</w:t>
      </w:r>
    </w:p>
    <w:p w14:paraId="4250EA4E" w14:textId="77777777" w:rsidR="00130980" w:rsidRPr="00130980" w:rsidRDefault="00130980">
      <w:pPr>
        <w:pStyle w:val="ListParagraph"/>
        <w:numPr>
          <w:ilvl w:val="0"/>
          <w:numId w:val="43"/>
        </w:numPr>
        <w:bidi/>
        <w:spacing w:after="200" w:line="360" w:lineRule="auto"/>
        <w:rPr>
          <w:rFonts w:ascii="Traditional Arabic" w:hAnsi="Traditional Arabic" w:cs="Traditional Arabic"/>
          <w:color w:val="000000" w:themeColor="text1"/>
          <w:sz w:val="24"/>
          <w:szCs w:val="24"/>
        </w:rPr>
      </w:pPr>
      <w:r w:rsidRPr="00130980">
        <w:rPr>
          <w:rFonts w:ascii="Traditional Arabic" w:hAnsi="Traditional Arabic" w:cs="Traditional Arabic"/>
          <w:color w:val="000000" w:themeColor="text1"/>
          <w:sz w:val="24"/>
          <w:szCs w:val="24"/>
          <w:rtl/>
        </w:rPr>
        <w:t>الانحدار الخطي البسيط</w:t>
      </w:r>
      <w:r w:rsidRPr="00130980">
        <w:rPr>
          <w:rFonts w:ascii="Traditional Arabic" w:hAnsi="Traditional Arabic" w:cs="Traditional Arabic"/>
          <w:color w:val="000000" w:themeColor="text1"/>
          <w:sz w:val="24"/>
          <w:szCs w:val="24"/>
        </w:rPr>
        <w:t xml:space="preserve"> (Simple Regression): </w:t>
      </w:r>
      <w:r w:rsidRPr="00130980">
        <w:rPr>
          <w:rFonts w:ascii="Traditional Arabic" w:hAnsi="Traditional Arabic" w:cs="Traditional Arabic"/>
          <w:color w:val="000000" w:themeColor="text1"/>
          <w:sz w:val="24"/>
          <w:szCs w:val="24"/>
          <w:rtl/>
        </w:rPr>
        <w:t>لتحليل أثر إدارة المخاطر والقيادة على سلامة المرضى</w:t>
      </w:r>
      <w:r w:rsidRPr="00130980">
        <w:rPr>
          <w:rFonts w:ascii="Traditional Arabic" w:hAnsi="Traditional Arabic" w:cs="Traditional Arabic"/>
          <w:color w:val="000000" w:themeColor="text1"/>
          <w:sz w:val="24"/>
          <w:szCs w:val="24"/>
        </w:rPr>
        <w:t>.</w:t>
      </w:r>
    </w:p>
    <w:p w14:paraId="7B30D29D" w14:textId="77777777" w:rsidR="00130980" w:rsidRPr="00130980" w:rsidRDefault="00130980">
      <w:pPr>
        <w:pStyle w:val="ListParagraph"/>
        <w:numPr>
          <w:ilvl w:val="0"/>
          <w:numId w:val="43"/>
        </w:numPr>
        <w:bidi/>
        <w:spacing w:after="200" w:line="360" w:lineRule="auto"/>
        <w:rPr>
          <w:rFonts w:ascii="Traditional Arabic" w:hAnsi="Traditional Arabic" w:cs="Traditional Arabic"/>
          <w:color w:val="000000" w:themeColor="text1"/>
          <w:sz w:val="24"/>
          <w:szCs w:val="24"/>
        </w:rPr>
      </w:pPr>
      <w:r w:rsidRPr="00130980">
        <w:rPr>
          <w:rFonts w:ascii="Traditional Arabic" w:hAnsi="Traditional Arabic" w:cs="Traditional Arabic"/>
          <w:color w:val="000000" w:themeColor="text1"/>
          <w:sz w:val="24"/>
          <w:szCs w:val="24"/>
          <w:rtl/>
        </w:rPr>
        <w:t>اختبار ت للمجموعات المستقلة</w:t>
      </w:r>
      <w:r w:rsidRPr="00130980">
        <w:rPr>
          <w:rFonts w:ascii="Traditional Arabic" w:hAnsi="Traditional Arabic" w:cs="Traditional Arabic"/>
          <w:color w:val="000000" w:themeColor="text1"/>
          <w:sz w:val="24"/>
          <w:szCs w:val="24"/>
        </w:rPr>
        <w:t xml:space="preserve"> (T-test): </w:t>
      </w:r>
      <w:r w:rsidRPr="00130980">
        <w:rPr>
          <w:rFonts w:ascii="Traditional Arabic" w:hAnsi="Traditional Arabic" w:cs="Traditional Arabic"/>
          <w:color w:val="000000" w:themeColor="text1"/>
          <w:sz w:val="24"/>
          <w:szCs w:val="24"/>
          <w:rtl/>
        </w:rPr>
        <w:t>للكشف عن الفروق الإحصائية التي تعزى لمتغير النوع</w:t>
      </w:r>
      <w:r w:rsidRPr="00130980">
        <w:rPr>
          <w:rFonts w:ascii="Traditional Arabic" w:hAnsi="Traditional Arabic" w:cs="Traditional Arabic"/>
          <w:color w:val="000000" w:themeColor="text1"/>
          <w:sz w:val="24"/>
          <w:szCs w:val="24"/>
        </w:rPr>
        <w:t>.</w:t>
      </w:r>
    </w:p>
    <w:p w14:paraId="1B0CBCC9" w14:textId="69732930" w:rsidR="00130980" w:rsidRPr="00130980" w:rsidRDefault="00130980">
      <w:pPr>
        <w:pStyle w:val="ListParagraph"/>
        <w:numPr>
          <w:ilvl w:val="0"/>
          <w:numId w:val="43"/>
        </w:numPr>
        <w:bidi/>
        <w:spacing w:after="200" w:line="360" w:lineRule="auto"/>
        <w:rPr>
          <w:rFonts w:ascii="Traditional Arabic" w:hAnsi="Traditional Arabic" w:cs="Traditional Arabic"/>
          <w:color w:val="000000" w:themeColor="text1"/>
          <w:sz w:val="24"/>
          <w:szCs w:val="24"/>
          <w:rtl/>
        </w:rPr>
        <w:sectPr w:rsidR="00130980" w:rsidRPr="00130980" w:rsidSect="00037C69">
          <w:footerReference w:type="default" r:id="rId49"/>
          <w:footerReference w:type="first" r:id="rId5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98"/>
          <w:cols w:space="708"/>
          <w:bidi/>
          <w:rtlGutter/>
          <w:docGrid w:linePitch="360"/>
        </w:sectPr>
      </w:pPr>
      <w:r w:rsidRPr="00130980">
        <w:rPr>
          <w:rFonts w:ascii="Traditional Arabic" w:hAnsi="Traditional Arabic" w:cs="Traditional Arabic"/>
          <w:color w:val="000000" w:themeColor="text1"/>
          <w:sz w:val="24"/>
          <w:szCs w:val="24"/>
          <w:rtl/>
        </w:rPr>
        <w:t>تحليل التباين الأحادي</w:t>
      </w:r>
      <w:r w:rsidRPr="00130980">
        <w:rPr>
          <w:rFonts w:ascii="Traditional Arabic" w:hAnsi="Traditional Arabic" w:cs="Traditional Arabic"/>
          <w:color w:val="000000" w:themeColor="text1"/>
          <w:sz w:val="24"/>
          <w:szCs w:val="24"/>
        </w:rPr>
        <w:t xml:space="preserve"> (One-Way ANOVA): </w:t>
      </w:r>
      <w:r w:rsidRPr="00130980">
        <w:rPr>
          <w:rFonts w:ascii="Traditional Arabic" w:hAnsi="Traditional Arabic" w:cs="Traditional Arabic"/>
          <w:color w:val="000000" w:themeColor="text1"/>
          <w:sz w:val="24"/>
          <w:szCs w:val="24"/>
          <w:rtl/>
        </w:rPr>
        <w:t>للكشف عن الفروق تعزى للمؤهل والوظيفة والخبرة</w:t>
      </w:r>
    </w:p>
    <w:p w14:paraId="1A9A3E21" w14:textId="7AC8C092" w:rsidR="002C0813" w:rsidRPr="002A403A" w:rsidRDefault="006A4781" w:rsidP="002C0813">
      <w:pPr>
        <w:bidi/>
        <w:spacing w:after="200" w:line="276" w:lineRule="auto"/>
        <w:rPr>
          <w:rFonts w:ascii="Traditional Arabic" w:hAnsi="Traditional Arabic" w:cs="Traditional Arabic"/>
          <w:b/>
          <w:bCs/>
          <w:color w:val="000000" w:themeColor="text1"/>
          <w:sz w:val="28"/>
          <w:szCs w:val="28"/>
          <w:rtl/>
        </w:rPr>
      </w:pPr>
      <w:r w:rsidRPr="002A403A">
        <w:rPr>
          <w:rFonts w:ascii="Traditional Arabic" w:hAnsi="Traditional Arabic" w:cs="Traditional Arabic" w:hint="cs"/>
          <w:b/>
          <w:bCs/>
          <w:color w:val="000000" w:themeColor="text1"/>
          <w:sz w:val="28"/>
          <w:szCs w:val="28"/>
          <w:rtl/>
        </w:rPr>
        <w:lastRenderedPageBreak/>
        <w:t>اداة</w:t>
      </w:r>
      <w:r w:rsidR="006D49CF" w:rsidRPr="002A403A">
        <w:rPr>
          <w:rFonts w:ascii="Traditional Arabic" w:hAnsi="Traditional Arabic" w:cs="Traditional Arabic" w:hint="cs"/>
          <w:b/>
          <w:bCs/>
          <w:color w:val="000000" w:themeColor="text1"/>
          <w:sz w:val="28"/>
          <w:szCs w:val="28"/>
          <w:rtl/>
        </w:rPr>
        <w:t xml:space="preserve"> الدراسة :</w:t>
      </w:r>
    </w:p>
    <w:p w14:paraId="6177253D" w14:textId="1B8726A2" w:rsidR="00223D15" w:rsidRPr="002A403A" w:rsidRDefault="00223D15">
      <w:pPr>
        <w:pStyle w:val="ListParagraph"/>
        <w:numPr>
          <w:ilvl w:val="0"/>
          <w:numId w:val="37"/>
        </w:numPr>
        <w:bidi/>
        <w:spacing w:after="200" w:line="276" w:lineRule="auto"/>
        <w:rPr>
          <w:rFonts w:ascii="Traditional Arabic" w:hAnsi="Traditional Arabic" w:cs="Traditional Arabic"/>
          <w:b/>
          <w:bCs/>
          <w:color w:val="000000" w:themeColor="text1"/>
          <w:sz w:val="28"/>
          <w:szCs w:val="28"/>
          <w:rtl/>
        </w:rPr>
      </w:pPr>
      <w:r w:rsidRPr="002A403A">
        <w:rPr>
          <w:rFonts w:ascii="Traditional Arabic" w:hAnsi="Traditional Arabic" w:cs="Traditional Arabic" w:hint="cs"/>
          <w:b/>
          <w:bCs/>
          <w:color w:val="000000" w:themeColor="text1"/>
          <w:sz w:val="28"/>
          <w:szCs w:val="28"/>
          <w:rtl/>
        </w:rPr>
        <w:t>التحليل الوصفي لمتغيرات وأبعاد وعبارات</w:t>
      </w:r>
      <w:r w:rsidR="00694A68" w:rsidRPr="002A403A">
        <w:rPr>
          <w:rFonts w:ascii="Traditional Arabic" w:hAnsi="Traditional Arabic" w:cs="Traditional Arabic" w:hint="cs"/>
          <w:b/>
          <w:bCs/>
          <w:color w:val="000000" w:themeColor="text1"/>
          <w:sz w:val="28"/>
          <w:szCs w:val="28"/>
          <w:rtl/>
        </w:rPr>
        <w:t xml:space="preserve"> أداة</w:t>
      </w:r>
      <w:r w:rsidRPr="002A403A">
        <w:rPr>
          <w:rFonts w:ascii="Traditional Arabic" w:hAnsi="Traditional Arabic" w:cs="Traditional Arabic" w:hint="cs"/>
          <w:b/>
          <w:bCs/>
          <w:color w:val="000000" w:themeColor="text1"/>
          <w:sz w:val="28"/>
          <w:szCs w:val="28"/>
          <w:rtl/>
        </w:rPr>
        <w:t xml:space="preserve"> الدراسة:</w:t>
      </w:r>
    </w:p>
    <w:p w14:paraId="3BEA70A3" w14:textId="2570CD57" w:rsidR="002778AE" w:rsidRPr="002A403A" w:rsidRDefault="002778AE" w:rsidP="002A403A">
      <w:pPr>
        <w:bidi/>
        <w:spacing w:after="200" w:line="360" w:lineRule="auto"/>
        <w:ind w:firstLine="720"/>
        <w:jc w:val="both"/>
        <w:rPr>
          <w:rFonts w:ascii="Traditional Arabic" w:hAnsi="Traditional Arabic" w:cs="Traditional Arabic"/>
          <w:color w:val="000000" w:themeColor="text1"/>
          <w:sz w:val="24"/>
          <w:szCs w:val="24"/>
          <w:rtl/>
        </w:rPr>
      </w:pPr>
      <w:r w:rsidRPr="002A403A">
        <w:rPr>
          <w:rFonts w:ascii="Traditional Arabic" w:hAnsi="Traditional Arabic" w:cs="Traditional Arabic" w:hint="cs"/>
          <w:color w:val="000000" w:themeColor="text1"/>
          <w:sz w:val="24"/>
          <w:szCs w:val="24"/>
          <w:rtl/>
        </w:rPr>
        <w:t>في ضوء أهداف الدراسة، تم إجراء التحليل الوصفي لمتغيرات وأبعاد وعبارات الاستبانة بهدف التعرف على الاتجاهات العامة لآراء أفراد العينة نحو كل من متغيرات الدراسة الثلاثة</w:t>
      </w:r>
      <w:r w:rsidRPr="002A403A">
        <w:rPr>
          <w:rFonts w:ascii="Traditional Arabic" w:hAnsi="Traditional Arabic" w:cs="Traditional Arabic" w:hint="cs"/>
          <w:color w:val="000000" w:themeColor="text1"/>
          <w:sz w:val="24"/>
          <w:szCs w:val="24"/>
        </w:rPr>
        <w:t xml:space="preserve">: </w:t>
      </w:r>
      <w:r w:rsidRPr="002A403A">
        <w:rPr>
          <w:rFonts w:ascii="Traditional Arabic" w:hAnsi="Traditional Arabic" w:cs="Traditional Arabic" w:hint="cs"/>
          <w:color w:val="000000" w:themeColor="text1"/>
          <w:sz w:val="24"/>
          <w:szCs w:val="24"/>
          <w:rtl/>
        </w:rPr>
        <w:t>إدارة المخاطر (المتغير المستقل)، القيادة التحويلية (المتغير الوسيط)، وسلامة المرضى (المتغير التابع)</w:t>
      </w:r>
      <w:r w:rsidRPr="002A403A">
        <w:rPr>
          <w:rFonts w:ascii="Traditional Arabic" w:hAnsi="Traditional Arabic" w:cs="Traditional Arabic" w:hint="cs"/>
          <w:color w:val="000000" w:themeColor="text1"/>
          <w:sz w:val="24"/>
          <w:szCs w:val="24"/>
        </w:rPr>
        <w:t xml:space="preserve">. </w:t>
      </w:r>
      <w:r w:rsidRPr="002A403A">
        <w:rPr>
          <w:rFonts w:ascii="Traditional Arabic" w:hAnsi="Traditional Arabic" w:cs="Traditional Arabic" w:hint="cs"/>
          <w:color w:val="000000" w:themeColor="text1"/>
          <w:sz w:val="24"/>
          <w:szCs w:val="24"/>
          <w:rtl/>
        </w:rPr>
        <w:t xml:space="preserve">وقد شمل التحليل حساب المتوسطات الحسابية والانحرافات المعيارية لكل عبارة ضمن أبعادها الفرعية، وذلك لتحديد مستوى الاستجابة وتباينها بين أفراد العينة. كما تم ترتيب العبارات تنازليًا وفقًا لمتوسطاتها لتحديد أكثر الجوانب التي حظيت باتفاق أو اهتمام من المشاركين. وقد أظهرت النتائج الأولية تفاوتًا في مستويات التقدير بين الأبعاد المختلفة، مما يعكس تباينًا في تطبيق ممارسات إدارة المخاطر، وأساليب القيادة التحويلية، ومؤشرات سلامة المرضى في المرافق الصحية الحكومية محل الدراسة، كما في الجدول ( </w:t>
      </w:r>
      <w:r w:rsidR="005D0F75" w:rsidRPr="002A403A">
        <w:rPr>
          <w:rFonts w:ascii="Traditional Arabic" w:hAnsi="Traditional Arabic" w:cs="Traditional Arabic" w:hint="cs"/>
          <w:color w:val="000000" w:themeColor="text1"/>
          <w:sz w:val="24"/>
          <w:szCs w:val="24"/>
          <w:rtl/>
        </w:rPr>
        <w:t>12</w:t>
      </w:r>
      <w:r w:rsidRPr="002A403A">
        <w:rPr>
          <w:rFonts w:ascii="Traditional Arabic" w:hAnsi="Traditional Arabic" w:cs="Traditional Arabic" w:hint="cs"/>
          <w:color w:val="000000" w:themeColor="text1"/>
          <w:sz w:val="24"/>
          <w:szCs w:val="24"/>
          <w:rtl/>
        </w:rPr>
        <w:t>) وذلك كما يلي:</w:t>
      </w:r>
    </w:p>
    <w:p w14:paraId="242778D2" w14:textId="2398F523" w:rsidR="00C1475A" w:rsidRPr="007671BB" w:rsidRDefault="00A03FFC" w:rsidP="001819FD">
      <w:pPr>
        <w:bidi/>
        <w:spacing w:after="200" w:line="276" w:lineRule="auto"/>
        <w:jc w:val="center"/>
        <w:rPr>
          <w:rFonts w:ascii="Traditional Arabic" w:hAnsi="Traditional Arabic" w:cs="Traditional Arabic"/>
          <w:b/>
          <w:bCs/>
          <w:color w:val="000000" w:themeColor="text1"/>
          <w:sz w:val="24"/>
          <w:szCs w:val="24"/>
        </w:rPr>
      </w:pPr>
      <w:r w:rsidRPr="007671BB">
        <w:rPr>
          <w:rFonts w:ascii="Traditional Arabic" w:hAnsi="Traditional Arabic" w:cs="Traditional Arabic" w:hint="cs"/>
          <w:b/>
          <w:bCs/>
          <w:color w:val="000000" w:themeColor="text1"/>
          <w:sz w:val="24"/>
          <w:szCs w:val="24"/>
          <w:rtl/>
        </w:rPr>
        <w:t>جدول (</w:t>
      </w:r>
      <w:r w:rsidR="005D0F75" w:rsidRPr="007671BB">
        <w:rPr>
          <w:rFonts w:ascii="Traditional Arabic" w:hAnsi="Traditional Arabic" w:cs="Traditional Arabic" w:hint="cs"/>
          <w:b/>
          <w:bCs/>
          <w:color w:val="000000" w:themeColor="text1"/>
          <w:sz w:val="24"/>
          <w:szCs w:val="24"/>
          <w:rtl/>
        </w:rPr>
        <w:t>12</w:t>
      </w:r>
      <w:r w:rsidRPr="007671BB">
        <w:rPr>
          <w:rFonts w:ascii="Traditional Arabic" w:hAnsi="Traditional Arabic" w:cs="Traditional Arabic" w:hint="cs"/>
          <w:b/>
          <w:bCs/>
          <w:color w:val="000000" w:themeColor="text1"/>
          <w:sz w:val="24"/>
          <w:szCs w:val="24"/>
          <w:rtl/>
        </w:rPr>
        <w:t xml:space="preserve">) التحليل الوصفي لمتغيرات وأبعاد وعبارات البحث (ن= </w:t>
      </w:r>
      <w:r w:rsidR="002E43AD" w:rsidRPr="007671BB">
        <w:rPr>
          <w:rFonts w:ascii="Traditional Arabic" w:hAnsi="Traditional Arabic" w:cs="Traditional Arabic" w:hint="cs"/>
          <w:b/>
          <w:bCs/>
          <w:color w:val="000000" w:themeColor="text1"/>
          <w:sz w:val="24"/>
          <w:szCs w:val="24"/>
          <w:rtl/>
        </w:rPr>
        <w:t>389</w:t>
      </w:r>
      <w:r w:rsidRPr="007671BB">
        <w:rPr>
          <w:rFonts w:ascii="Traditional Arabic" w:hAnsi="Traditional Arabic" w:cs="Traditional Arabic" w:hint="cs"/>
          <w:b/>
          <w:bCs/>
          <w:color w:val="000000" w:themeColor="text1"/>
          <w:sz w:val="24"/>
          <w:szCs w:val="24"/>
          <w:rtl/>
        </w:rPr>
        <w:t>)</w:t>
      </w:r>
    </w:p>
    <w:tbl>
      <w:tblPr>
        <w:tblStyle w:val="TableGrid"/>
        <w:tblW w:w="5000" w:type="pct"/>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519"/>
        <w:gridCol w:w="1500"/>
        <w:gridCol w:w="5271"/>
      </w:tblGrid>
      <w:tr w:rsidR="00C1475A" w:rsidRPr="00D24D70" w14:paraId="57BCFEC4" w14:textId="77777777" w:rsidTr="007671BB">
        <w:trPr>
          <w:tblCellSpacing w:w="20" w:type="dxa"/>
          <w:jc w:val="right"/>
        </w:trPr>
        <w:tc>
          <w:tcPr>
            <w:tcW w:w="897" w:type="pct"/>
            <w:shd w:val="clear" w:color="auto" w:fill="E5DFEC" w:themeFill="accent4" w:themeFillTint="33"/>
            <w:hideMark/>
          </w:tcPr>
          <w:p w14:paraId="53098429" w14:textId="77777777" w:rsidR="00C1475A" w:rsidRPr="00D24D70" w:rsidRDefault="00C1475A" w:rsidP="00C147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المتوسط الحسابي</w:t>
            </w:r>
          </w:p>
        </w:tc>
        <w:tc>
          <w:tcPr>
            <w:tcW w:w="898" w:type="pct"/>
            <w:shd w:val="clear" w:color="auto" w:fill="E5DFEC" w:themeFill="accent4" w:themeFillTint="33"/>
            <w:hideMark/>
          </w:tcPr>
          <w:p w14:paraId="2F1FF548" w14:textId="77777777" w:rsidR="00C1475A" w:rsidRPr="00D24D70" w:rsidRDefault="00C1475A" w:rsidP="00C147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الانحراف المعياري</w:t>
            </w:r>
          </w:p>
        </w:tc>
        <w:tc>
          <w:tcPr>
            <w:tcW w:w="3206" w:type="pct"/>
            <w:shd w:val="clear" w:color="auto" w:fill="E5DFEC" w:themeFill="accent4" w:themeFillTint="33"/>
            <w:hideMark/>
          </w:tcPr>
          <w:p w14:paraId="7811A392" w14:textId="77777777" w:rsidR="00C1475A" w:rsidRPr="00D24D70" w:rsidRDefault="00C1475A" w:rsidP="00C147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العبارة</w:t>
            </w:r>
          </w:p>
        </w:tc>
      </w:tr>
      <w:tr w:rsidR="00DF67BA" w:rsidRPr="00D24D70" w14:paraId="304FB691" w14:textId="77777777" w:rsidTr="007671BB">
        <w:trPr>
          <w:tblCellSpacing w:w="20" w:type="dxa"/>
          <w:jc w:val="right"/>
        </w:trPr>
        <w:tc>
          <w:tcPr>
            <w:tcW w:w="5000" w:type="pct"/>
            <w:gridSpan w:val="3"/>
            <w:shd w:val="clear" w:color="auto" w:fill="EAF1DD" w:themeFill="accent3" w:themeFillTint="33"/>
          </w:tcPr>
          <w:p w14:paraId="3C08952D" w14:textId="3FE6CEB8" w:rsidR="00DF67BA" w:rsidRPr="00D24D70" w:rsidRDefault="00DF67BA" w:rsidP="00C1475A">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color w:val="000000" w:themeColor="text1"/>
                <w:sz w:val="20"/>
                <w:szCs w:val="20"/>
                <w:rtl/>
              </w:rPr>
              <w:t>إدارة المخاطر</w:t>
            </w:r>
          </w:p>
        </w:tc>
      </w:tr>
      <w:tr w:rsidR="00CF407A" w:rsidRPr="00D24D70" w14:paraId="02E45210" w14:textId="77777777" w:rsidTr="007671BB">
        <w:trPr>
          <w:tblCellSpacing w:w="20" w:type="dxa"/>
          <w:jc w:val="right"/>
        </w:trPr>
        <w:tc>
          <w:tcPr>
            <w:tcW w:w="5000" w:type="pct"/>
            <w:gridSpan w:val="3"/>
            <w:hideMark/>
          </w:tcPr>
          <w:p w14:paraId="37D509C3"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أولًا: تحديد المخاطر</w:t>
            </w:r>
          </w:p>
        </w:tc>
      </w:tr>
      <w:tr w:rsidR="00C1475A" w:rsidRPr="00D24D70" w14:paraId="0B19E967" w14:textId="77777777" w:rsidTr="007671BB">
        <w:trPr>
          <w:tblCellSpacing w:w="20" w:type="dxa"/>
          <w:jc w:val="right"/>
        </w:trPr>
        <w:tc>
          <w:tcPr>
            <w:tcW w:w="897" w:type="pct"/>
            <w:hideMark/>
          </w:tcPr>
          <w:p w14:paraId="0C2CE996"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4.32</w:t>
            </w:r>
          </w:p>
        </w:tc>
        <w:tc>
          <w:tcPr>
            <w:tcW w:w="898" w:type="pct"/>
            <w:hideMark/>
          </w:tcPr>
          <w:p w14:paraId="3209D4B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0.71</w:t>
            </w:r>
          </w:p>
        </w:tc>
        <w:tc>
          <w:tcPr>
            <w:tcW w:w="3206" w:type="pct"/>
            <w:hideMark/>
          </w:tcPr>
          <w:p w14:paraId="3E3179C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مصادر الخطر المحتملة في بيئة العمل بشكل منتظم</w:t>
            </w:r>
            <w:r w:rsidRPr="00D24D70">
              <w:rPr>
                <w:rFonts w:ascii="Traditional Arabic" w:hAnsi="Traditional Arabic" w:cs="Traditional Arabic" w:hint="cs"/>
                <w:color w:val="000000" w:themeColor="text1"/>
                <w:sz w:val="20"/>
                <w:szCs w:val="20"/>
                <w:lang w:bidi="ar-EG"/>
              </w:rPr>
              <w:t>.</w:t>
            </w:r>
          </w:p>
        </w:tc>
      </w:tr>
      <w:tr w:rsidR="00C1475A" w:rsidRPr="00D24D70" w14:paraId="1CADACA0" w14:textId="77777777" w:rsidTr="007671BB">
        <w:trPr>
          <w:tblCellSpacing w:w="20" w:type="dxa"/>
          <w:jc w:val="right"/>
        </w:trPr>
        <w:tc>
          <w:tcPr>
            <w:tcW w:w="897" w:type="pct"/>
            <w:hideMark/>
          </w:tcPr>
          <w:p w14:paraId="7C1BDA3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4.21</w:t>
            </w:r>
          </w:p>
        </w:tc>
        <w:tc>
          <w:tcPr>
            <w:tcW w:w="898" w:type="pct"/>
            <w:hideMark/>
          </w:tcPr>
          <w:p w14:paraId="5390AE2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0.76</w:t>
            </w:r>
          </w:p>
        </w:tc>
        <w:tc>
          <w:tcPr>
            <w:tcW w:w="3206" w:type="pct"/>
            <w:hideMark/>
          </w:tcPr>
          <w:p w14:paraId="7076E7F6"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آلية واضحة لرصد الحوادث الطبية والأخطاء التشغيلية</w:t>
            </w:r>
            <w:r w:rsidRPr="00D24D70">
              <w:rPr>
                <w:rFonts w:ascii="Traditional Arabic" w:hAnsi="Traditional Arabic" w:cs="Traditional Arabic" w:hint="cs"/>
                <w:color w:val="000000" w:themeColor="text1"/>
                <w:sz w:val="20"/>
                <w:szCs w:val="20"/>
                <w:lang w:bidi="ar-EG"/>
              </w:rPr>
              <w:t>.</w:t>
            </w:r>
          </w:p>
        </w:tc>
      </w:tr>
      <w:tr w:rsidR="00C1475A" w:rsidRPr="00D24D70" w14:paraId="5F669FBD" w14:textId="77777777" w:rsidTr="007671BB">
        <w:trPr>
          <w:tblCellSpacing w:w="20" w:type="dxa"/>
          <w:jc w:val="right"/>
        </w:trPr>
        <w:tc>
          <w:tcPr>
            <w:tcW w:w="897" w:type="pct"/>
            <w:hideMark/>
          </w:tcPr>
          <w:p w14:paraId="4DC42B1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4.18</w:t>
            </w:r>
          </w:p>
        </w:tc>
        <w:tc>
          <w:tcPr>
            <w:tcW w:w="898" w:type="pct"/>
            <w:hideMark/>
          </w:tcPr>
          <w:p w14:paraId="79B64807"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0.83</w:t>
            </w:r>
          </w:p>
        </w:tc>
        <w:tc>
          <w:tcPr>
            <w:tcW w:w="3206" w:type="pct"/>
            <w:hideMark/>
          </w:tcPr>
          <w:p w14:paraId="60F62E9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تحديد المخاطر المرتبطة بمهامهم اليومية</w:t>
            </w:r>
            <w:r w:rsidRPr="00D24D70">
              <w:rPr>
                <w:rFonts w:ascii="Traditional Arabic" w:hAnsi="Traditional Arabic" w:cs="Traditional Arabic" w:hint="cs"/>
                <w:color w:val="000000" w:themeColor="text1"/>
                <w:sz w:val="20"/>
                <w:szCs w:val="20"/>
                <w:lang w:bidi="ar-EG"/>
              </w:rPr>
              <w:t>.</w:t>
            </w:r>
          </w:p>
        </w:tc>
      </w:tr>
      <w:tr w:rsidR="00C1475A" w:rsidRPr="00D24D70" w14:paraId="1EBB56BE" w14:textId="77777777" w:rsidTr="007671BB">
        <w:trPr>
          <w:tblCellSpacing w:w="20" w:type="dxa"/>
          <w:jc w:val="right"/>
        </w:trPr>
        <w:tc>
          <w:tcPr>
            <w:tcW w:w="897" w:type="pct"/>
            <w:hideMark/>
          </w:tcPr>
          <w:p w14:paraId="7F0AEEA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4.09</w:t>
            </w:r>
          </w:p>
        </w:tc>
        <w:tc>
          <w:tcPr>
            <w:tcW w:w="898" w:type="pct"/>
            <w:hideMark/>
          </w:tcPr>
          <w:p w14:paraId="61733498"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0.89</w:t>
            </w:r>
          </w:p>
        </w:tc>
        <w:tc>
          <w:tcPr>
            <w:tcW w:w="3206" w:type="pct"/>
            <w:hideMark/>
          </w:tcPr>
          <w:p w14:paraId="1BB58BA7"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المخاطر المحتملة في سجلات رسمية داخل المنشأة</w:t>
            </w:r>
            <w:r w:rsidRPr="00D24D70">
              <w:rPr>
                <w:rFonts w:ascii="Traditional Arabic" w:hAnsi="Traditional Arabic" w:cs="Traditional Arabic" w:hint="cs"/>
                <w:color w:val="000000" w:themeColor="text1"/>
                <w:sz w:val="20"/>
                <w:szCs w:val="20"/>
                <w:lang w:bidi="ar-EG"/>
              </w:rPr>
              <w:t>.</w:t>
            </w:r>
          </w:p>
        </w:tc>
      </w:tr>
      <w:tr w:rsidR="00C1475A" w:rsidRPr="00D24D70" w14:paraId="747827A8" w14:textId="77777777" w:rsidTr="007671BB">
        <w:trPr>
          <w:tblCellSpacing w:w="20" w:type="dxa"/>
          <w:jc w:val="right"/>
        </w:trPr>
        <w:tc>
          <w:tcPr>
            <w:tcW w:w="897" w:type="pct"/>
            <w:hideMark/>
          </w:tcPr>
          <w:p w14:paraId="13FB7F08"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4.15</w:t>
            </w:r>
          </w:p>
        </w:tc>
        <w:tc>
          <w:tcPr>
            <w:tcW w:w="898" w:type="pct"/>
            <w:hideMark/>
          </w:tcPr>
          <w:p w14:paraId="32451EB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0.80</w:t>
            </w:r>
          </w:p>
        </w:tc>
        <w:tc>
          <w:tcPr>
            <w:tcW w:w="3206" w:type="pct"/>
            <w:hideMark/>
          </w:tcPr>
          <w:p w14:paraId="20B9016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مراجعة قائمة المخاطر المحتملة عند إدخال تقنيات أو إجراءات جديدة</w:t>
            </w:r>
            <w:r w:rsidRPr="00D24D70">
              <w:rPr>
                <w:rFonts w:ascii="Traditional Arabic" w:hAnsi="Traditional Arabic" w:cs="Traditional Arabic" w:hint="cs"/>
                <w:color w:val="000000" w:themeColor="text1"/>
                <w:sz w:val="20"/>
                <w:szCs w:val="20"/>
                <w:lang w:bidi="ar-EG"/>
              </w:rPr>
              <w:t>.</w:t>
            </w:r>
          </w:p>
        </w:tc>
      </w:tr>
      <w:tr w:rsidR="00CF407A" w:rsidRPr="00D24D70" w14:paraId="187AE8BB" w14:textId="77777777" w:rsidTr="007671BB">
        <w:trPr>
          <w:tblCellSpacing w:w="20" w:type="dxa"/>
          <w:jc w:val="right"/>
        </w:trPr>
        <w:tc>
          <w:tcPr>
            <w:tcW w:w="5000" w:type="pct"/>
            <w:gridSpan w:val="3"/>
            <w:hideMark/>
          </w:tcPr>
          <w:p w14:paraId="76A0F8EF"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ثانيًا: تحليل المخاطر</w:t>
            </w:r>
          </w:p>
        </w:tc>
      </w:tr>
      <w:tr w:rsidR="00C1475A" w:rsidRPr="00D24D70" w14:paraId="45975124" w14:textId="77777777" w:rsidTr="007671BB">
        <w:trPr>
          <w:tblCellSpacing w:w="20" w:type="dxa"/>
          <w:jc w:val="right"/>
        </w:trPr>
        <w:tc>
          <w:tcPr>
            <w:tcW w:w="897" w:type="pct"/>
            <w:hideMark/>
          </w:tcPr>
          <w:p w14:paraId="3E3F03C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4.24</w:t>
            </w:r>
          </w:p>
        </w:tc>
        <w:tc>
          <w:tcPr>
            <w:tcW w:w="898" w:type="pct"/>
            <w:hideMark/>
          </w:tcPr>
          <w:p w14:paraId="1281E6A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0.74</w:t>
            </w:r>
          </w:p>
        </w:tc>
        <w:tc>
          <w:tcPr>
            <w:tcW w:w="3206" w:type="pct"/>
            <w:hideMark/>
          </w:tcPr>
          <w:p w14:paraId="1C7B69D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أسباب الحوادث الطبية بعد وقوعها بشكل منهجي</w:t>
            </w:r>
            <w:r w:rsidRPr="00D24D70">
              <w:rPr>
                <w:rFonts w:ascii="Traditional Arabic" w:hAnsi="Traditional Arabic" w:cs="Traditional Arabic" w:hint="cs"/>
                <w:color w:val="000000" w:themeColor="text1"/>
                <w:sz w:val="20"/>
                <w:szCs w:val="20"/>
                <w:lang w:bidi="ar-EG"/>
              </w:rPr>
              <w:t>.</w:t>
            </w:r>
          </w:p>
        </w:tc>
      </w:tr>
      <w:tr w:rsidR="00C1475A" w:rsidRPr="00D24D70" w14:paraId="4E004FA2" w14:textId="77777777" w:rsidTr="007671BB">
        <w:trPr>
          <w:tblCellSpacing w:w="20" w:type="dxa"/>
          <w:jc w:val="right"/>
        </w:trPr>
        <w:tc>
          <w:tcPr>
            <w:tcW w:w="897" w:type="pct"/>
            <w:hideMark/>
          </w:tcPr>
          <w:p w14:paraId="5910A03A"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4.11</w:t>
            </w:r>
          </w:p>
        </w:tc>
        <w:tc>
          <w:tcPr>
            <w:tcW w:w="898" w:type="pct"/>
            <w:hideMark/>
          </w:tcPr>
          <w:p w14:paraId="6DDFBC37"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0.85</w:t>
            </w:r>
          </w:p>
        </w:tc>
        <w:tc>
          <w:tcPr>
            <w:tcW w:w="3206" w:type="pct"/>
            <w:hideMark/>
          </w:tcPr>
          <w:p w14:paraId="3B448071"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أدوات تحليل معتمدة لتقييم احتمالية حدوث المخاطر</w:t>
            </w:r>
            <w:r w:rsidRPr="00D24D70">
              <w:rPr>
                <w:rFonts w:ascii="Traditional Arabic" w:hAnsi="Traditional Arabic" w:cs="Traditional Arabic" w:hint="cs"/>
                <w:color w:val="000000" w:themeColor="text1"/>
                <w:sz w:val="20"/>
                <w:szCs w:val="20"/>
                <w:lang w:bidi="ar-EG"/>
              </w:rPr>
              <w:t>.</w:t>
            </w:r>
          </w:p>
        </w:tc>
      </w:tr>
      <w:tr w:rsidR="00C1475A" w:rsidRPr="00D24D70" w14:paraId="2EF223EC" w14:textId="77777777" w:rsidTr="007671BB">
        <w:trPr>
          <w:tblCellSpacing w:w="20" w:type="dxa"/>
          <w:jc w:val="right"/>
        </w:trPr>
        <w:tc>
          <w:tcPr>
            <w:tcW w:w="897" w:type="pct"/>
            <w:hideMark/>
          </w:tcPr>
          <w:p w14:paraId="7CFBD8D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4.07</w:t>
            </w:r>
          </w:p>
        </w:tc>
        <w:tc>
          <w:tcPr>
            <w:tcW w:w="898" w:type="pct"/>
            <w:hideMark/>
          </w:tcPr>
          <w:p w14:paraId="64BB560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0.88</w:t>
            </w:r>
          </w:p>
        </w:tc>
        <w:tc>
          <w:tcPr>
            <w:tcW w:w="3206" w:type="pct"/>
            <w:hideMark/>
          </w:tcPr>
          <w:p w14:paraId="01E0FA6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تصنيف المخاطر حسب درجة الخطورة والتكرار</w:t>
            </w:r>
            <w:r w:rsidRPr="00D24D70">
              <w:rPr>
                <w:rFonts w:ascii="Traditional Arabic" w:hAnsi="Traditional Arabic" w:cs="Traditional Arabic" w:hint="cs"/>
                <w:color w:val="000000" w:themeColor="text1"/>
                <w:sz w:val="20"/>
                <w:szCs w:val="20"/>
                <w:lang w:bidi="ar-EG"/>
              </w:rPr>
              <w:t>.</w:t>
            </w:r>
          </w:p>
        </w:tc>
      </w:tr>
      <w:tr w:rsidR="00C1475A" w:rsidRPr="00D24D70" w14:paraId="447D04F6" w14:textId="77777777" w:rsidTr="007671BB">
        <w:trPr>
          <w:tblCellSpacing w:w="20" w:type="dxa"/>
          <w:jc w:val="right"/>
        </w:trPr>
        <w:tc>
          <w:tcPr>
            <w:tcW w:w="897" w:type="pct"/>
            <w:hideMark/>
          </w:tcPr>
          <w:p w14:paraId="1A58CF8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4.19</w:t>
            </w:r>
          </w:p>
        </w:tc>
        <w:tc>
          <w:tcPr>
            <w:tcW w:w="898" w:type="pct"/>
            <w:hideMark/>
          </w:tcPr>
          <w:p w14:paraId="5C1F5B9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0.79</w:t>
            </w:r>
          </w:p>
        </w:tc>
        <w:tc>
          <w:tcPr>
            <w:tcW w:w="3206" w:type="pct"/>
            <w:hideMark/>
          </w:tcPr>
          <w:p w14:paraId="3A0A9ED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تأثير كل خطر على سلامة المرضى وجودة الخدمة</w:t>
            </w:r>
            <w:r w:rsidRPr="00D24D70">
              <w:rPr>
                <w:rFonts w:ascii="Traditional Arabic" w:hAnsi="Traditional Arabic" w:cs="Traditional Arabic" w:hint="cs"/>
                <w:color w:val="000000" w:themeColor="text1"/>
                <w:sz w:val="20"/>
                <w:szCs w:val="20"/>
                <w:lang w:bidi="ar-EG"/>
              </w:rPr>
              <w:t>.</w:t>
            </w:r>
          </w:p>
        </w:tc>
      </w:tr>
      <w:tr w:rsidR="00C1475A" w:rsidRPr="00D24D70" w14:paraId="7FE3E5B7" w14:textId="77777777" w:rsidTr="007671BB">
        <w:trPr>
          <w:tblCellSpacing w:w="20" w:type="dxa"/>
          <w:jc w:val="right"/>
        </w:trPr>
        <w:tc>
          <w:tcPr>
            <w:tcW w:w="897" w:type="pct"/>
            <w:hideMark/>
          </w:tcPr>
          <w:p w14:paraId="0B341D3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lastRenderedPageBreak/>
              <w:t>4.03</w:t>
            </w:r>
          </w:p>
        </w:tc>
        <w:tc>
          <w:tcPr>
            <w:tcW w:w="898" w:type="pct"/>
            <w:hideMark/>
          </w:tcPr>
          <w:p w14:paraId="6950DA1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0.91</w:t>
            </w:r>
          </w:p>
        </w:tc>
        <w:tc>
          <w:tcPr>
            <w:tcW w:w="3206" w:type="pct"/>
            <w:hideMark/>
          </w:tcPr>
          <w:p w14:paraId="5DCC40E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فرق متعددة التخصصات في تحليل المخاطر المعقدة</w:t>
            </w:r>
            <w:r w:rsidRPr="00D24D70">
              <w:rPr>
                <w:rFonts w:ascii="Traditional Arabic" w:hAnsi="Traditional Arabic" w:cs="Traditional Arabic" w:hint="cs"/>
                <w:color w:val="000000" w:themeColor="text1"/>
                <w:sz w:val="20"/>
                <w:szCs w:val="20"/>
                <w:lang w:bidi="ar-EG"/>
              </w:rPr>
              <w:t>.</w:t>
            </w:r>
          </w:p>
        </w:tc>
      </w:tr>
      <w:tr w:rsidR="00CF407A" w:rsidRPr="00D24D70" w14:paraId="2199C349" w14:textId="77777777" w:rsidTr="007671BB">
        <w:trPr>
          <w:tblCellSpacing w:w="20" w:type="dxa"/>
          <w:jc w:val="right"/>
        </w:trPr>
        <w:tc>
          <w:tcPr>
            <w:tcW w:w="5000" w:type="pct"/>
            <w:gridSpan w:val="3"/>
            <w:hideMark/>
          </w:tcPr>
          <w:p w14:paraId="6D66F389"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ثالثًا: تقييم المخاطر</w:t>
            </w:r>
          </w:p>
        </w:tc>
      </w:tr>
      <w:tr w:rsidR="00C1475A" w:rsidRPr="00D24D70" w14:paraId="1E1589A0" w14:textId="77777777" w:rsidTr="007671BB">
        <w:trPr>
          <w:tblCellSpacing w:w="20" w:type="dxa"/>
          <w:jc w:val="right"/>
        </w:trPr>
        <w:tc>
          <w:tcPr>
            <w:tcW w:w="897" w:type="pct"/>
            <w:hideMark/>
          </w:tcPr>
          <w:p w14:paraId="22E58C61"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4.26</w:t>
            </w:r>
          </w:p>
        </w:tc>
        <w:tc>
          <w:tcPr>
            <w:tcW w:w="898" w:type="pct"/>
            <w:hideMark/>
          </w:tcPr>
          <w:p w14:paraId="5B473C4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0.73</w:t>
            </w:r>
          </w:p>
        </w:tc>
        <w:tc>
          <w:tcPr>
            <w:tcW w:w="3206" w:type="pct"/>
            <w:hideMark/>
          </w:tcPr>
          <w:p w14:paraId="56E158B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المخاطر بناءً على معايير واضحة ومعتمدة من الإدارة</w:t>
            </w:r>
            <w:r w:rsidRPr="00D24D70">
              <w:rPr>
                <w:rFonts w:ascii="Traditional Arabic" w:hAnsi="Traditional Arabic" w:cs="Traditional Arabic" w:hint="cs"/>
                <w:color w:val="000000" w:themeColor="text1"/>
                <w:sz w:val="20"/>
                <w:szCs w:val="20"/>
                <w:lang w:bidi="ar-EG"/>
              </w:rPr>
              <w:t>.</w:t>
            </w:r>
          </w:p>
        </w:tc>
      </w:tr>
      <w:tr w:rsidR="00C1475A" w:rsidRPr="00D24D70" w14:paraId="646CAB7B" w14:textId="77777777" w:rsidTr="007671BB">
        <w:trPr>
          <w:tblCellSpacing w:w="20" w:type="dxa"/>
          <w:jc w:val="right"/>
        </w:trPr>
        <w:tc>
          <w:tcPr>
            <w:tcW w:w="897" w:type="pct"/>
            <w:hideMark/>
          </w:tcPr>
          <w:p w14:paraId="3B4D7F7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4.17</w:t>
            </w:r>
          </w:p>
        </w:tc>
        <w:tc>
          <w:tcPr>
            <w:tcW w:w="898" w:type="pct"/>
            <w:hideMark/>
          </w:tcPr>
          <w:p w14:paraId="2720B960"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0.82</w:t>
            </w:r>
          </w:p>
        </w:tc>
        <w:tc>
          <w:tcPr>
            <w:tcW w:w="3206" w:type="pct"/>
            <w:hideMark/>
          </w:tcPr>
          <w:p w14:paraId="2D745EF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نتائج التقييم في اتخاذ قرارات إدارية فعالة</w:t>
            </w:r>
            <w:r w:rsidRPr="00D24D70">
              <w:rPr>
                <w:rFonts w:ascii="Traditional Arabic" w:hAnsi="Traditional Arabic" w:cs="Traditional Arabic" w:hint="cs"/>
                <w:color w:val="000000" w:themeColor="text1"/>
                <w:sz w:val="20"/>
                <w:szCs w:val="20"/>
                <w:lang w:bidi="ar-EG"/>
              </w:rPr>
              <w:t>.</w:t>
            </w:r>
          </w:p>
        </w:tc>
      </w:tr>
      <w:tr w:rsidR="00C1475A" w:rsidRPr="00D24D70" w14:paraId="033048D1" w14:textId="77777777" w:rsidTr="007671BB">
        <w:trPr>
          <w:tblCellSpacing w:w="20" w:type="dxa"/>
          <w:jc w:val="right"/>
        </w:trPr>
        <w:tc>
          <w:tcPr>
            <w:tcW w:w="897" w:type="pct"/>
            <w:hideMark/>
          </w:tcPr>
          <w:p w14:paraId="37FB87E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4.12</w:t>
            </w:r>
          </w:p>
        </w:tc>
        <w:tc>
          <w:tcPr>
            <w:tcW w:w="898" w:type="pct"/>
            <w:hideMark/>
          </w:tcPr>
          <w:p w14:paraId="4799197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0.86</w:t>
            </w:r>
          </w:p>
        </w:tc>
        <w:tc>
          <w:tcPr>
            <w:tcW w:w="3206" w:type="pct"/>
            <w:hideMark/>
          </w:tcPr>
          <w:p w14:paraId="577373DA"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أولويات التعامل مع المخاطر بناءً على نتائج التقييم</w:t>
            </w:r>
            <w:r w:rsidRPr="00D24D70">
              <w:rPr>
                <w:rFonts w:ascii="Traditional Arabic" w:hAnsi="Traditional Arabic" w:cs="Traditional Arabic" w:hint="cs"/>
                <w:color w:val="000000" w:themeColor="text1"/>
                <w:sz w:val="20"/>
                <w:szCs w:val="20"/>
                <w:lang w:bidi="ar-EG"/>
              </w:rPr>
              <w:t>.</w:t>
            </w:r>
          </w:p>
        </w:tc>
      </w:tr>
      <w:tr w:rsidR="00C1475A" w:rsidRPr="00D24D70" w14:paraId="6D6B2C58" w14:textId="77777777" w:rsidTr="007671BB">
        <w:trPr>
          <w:tblCellSpacing w:w="20" w:type="dxa"/>
          <w:jc w:val="right"/>
        </w:trPr>
        <w:tc>
          <w:tcPr>
            <w:tcW w:w="897" w:type="pct"/>
            <w:hideMark/>
          </w:tcPr>
          <w:p w14:paraId="6E662C80"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4.08</w:t>
            </w:r>
          </w:p>
        </w:tc>
        <w:tc>
          <w:tcPr>
            <w:tcW w:w="898" w:type="pct"/>
            <w:hideMark/>
          </w:tcPr>
          <w:p w14:paraId="60C61BA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0.90</w:t>
            </w:r>
          </w:p>
        </w:tc>
        <w:tc>
          <w:tcPr>
            <w:tcW w:w="3206" w:type="pct"/>
            <w:hideMark/>
          </w:tcPr>
          <w:p w14:paraId="2B1F5E2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تحديث تقييم المخاطر بشكل دوري وفقًا للمتغيرات التشغيلية</w:t>
            </w:r>
            <w:r w:rsidRPr="00D24D70">
              <w:rPr>
                <w:rFonts w:ascii="Traditional Arabic" w:hAnsi="Traditional Arabic" w:cs="Traditional Arabic" w:hint="cs"/>
                <w:color w:val="000000" w:themeColor="text1"/>
                <w:sz w:val="20"/>
                <w:szCs w:val="20"/>
                <w:lang w:bidi="ar-EG"/>
              </w:rPr>
              <w:t>.</w:t>
            </w:r>
          </w:p>
        </w:tc>
      </w:tr>
      <w:tr w:rsidR="00C1475A" w:rsidRPr="00D24D70" w14:paraId="27677DDB" w14:textId="77777777" w:rsidTr="007671BB">
        <w:trPr>
          <w:tblCellSpacing w:w="20" w:type="dxa"/>
          <w:jc w:val="right"/>
        </w:trPr>
        <w:tc>
          <w:tcPr>
            <w:tcW w:w="897" w:type="pct"/>
            <w:hideMark/>
          </w:tcPr>
          <w:p w14:paraId="43911EA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4.14</w:t>
            </w:r>
          </w:p>
        </w:tc>
        <w:tc>
          <w:tcPr>
            <w:tcW w:w="898" w:type="pct"/>
            <w:hideMark/>
          </w:tcPr>
          <w:p w14:paraId="3152FD0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0.84</w:t>
            </w:r>
          </w:p>
        </w:tc>
        <w:tc>
          <w:tcPr>
            <w:tcW w:w="3206" w:type="pct"/>
            <w:hideMark/>
          </w:tcPr>
          <w:p w14:paraId="57C122F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نتائج تقييم المخاطر في تقارير رسمية قابلة للمراجعة</w:t>
            </w:r>
            <w:r w:rsidRPr="00D24D70">
              <w:rPr>
                <w:rFonts w:ascii="Traditional Arabic" w:hAnsi="Traditional Arabic" w:cs="Traditional Arabic" w:hint="cs"/>
                <w:color w:val="000000" w:themeColor="text1"/>
                <w:sz w:val="20"/>
                <w:szCs w:val="20"/>
                <w:lang w:bidi="ar-EG"/>
              </w:rPr>
              <w:t>.</w:t>
            </w:r>
          </w:p>
        </w:tc>
      </w:tr>
      <w:tr w:rsidR="00CF407A" w:rsidRPr="00D24D70" w14:paraId="07898B04" w14:textId="77777777" w:rsidTr="007671BB">
        <w:trPr>
          <w:tblCellSpacing w:w="20" w:type="dxa"/>
          <w:jc w:val="right"/>
        </w:trPr>
        <w:tc>
          <w:tcPr>
            <w:tcW w:w="5000" w:type="pct"/>
            <w:gridSpan w:val="3"/>
            <w:hideMark/>
          </w:tcPr>
          <w:p w14:paraId="798F3FA5"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رابعًا: الاستجابة للمخاطر</w:t>
            </w:r>
          </w:p>
        </w:tc>
      </w:tr>
      <w:tr w:rsidR="00C1475A" w:rsidRPr="00D24D70" w14:paraId="144835D0" w14:textId="77777777" w:rsidTr="007671BB">
        <w:trPr>
          <w:tblCellSpacing w:w="20" w:type="dxa"/>
          <w:jc w:val="right"/>
        </w:trPr>
        <w:tc>
          <w:tcPr>
            <w:tcW w:w="897" w:type="pct"/>
            <w:hideMark/>
          </w:tcPr>
          <w:p w14:paraId="42A6C57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4.30</w:t>
            </w:r>
          </w:p>
        </w:tc>
        <w:tc>
          <w:tcPr>
            <w:tcW w:w="898" w:type="pct"/>
            <w:hideMark/>
          </w:tcPr>
          <w:p w14:paraId="12F3064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0.75</w:t>
            </w:r>
          </w:p>
        </w:tc>
        <w:tc>
          <w:tcPr>
            <w:tcW w:w="3206" w:type="pct"/>
            <w:hideMark/>
          </w:tcPr>
          <w:p w14:paraId="1043CE26"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خطط استجابة واضحة ومعلنة للتعامل مع الحوادث الطبية</w:t>
            </w:r>
            <w:r w:rsidRPr="00D24D70">
              <w:rPr>
                <w:rFonts w:ascii="Traditional Arabic" w:hAnsi="Traditional Arabic" w:cs="Traditional Arabic" w:hint="cs"/>
                <w:color w:val="000000" w:themeColor="text1"/>
                <w:sz w:val="20"/>
                <w:szCs w:val="20"/>
                <w:lang w:bidi="ar-EG"/>
              </w:rPr>
              <w:t>.</w:t>
            </w:r>
          </w:p>
        </w:tc>
      </w:tr>
      <w:tr w:rsidR="00C1475A" w:rsidRPr="00D24D70" w14:paraId="2849428B" w14:textId="77777777" w:rsidTr="007671BB">
        <w:trPr>
          <w:tblCellSpacing w:w="20" w:type="dxa"/>
          <w:jc w:val="right"/>
        </w:trPr>
        <w:tc>
          <w:tcPr>
            <w:tcW w:w="897" w:type="pct"/>
            <w:hideMark/>
          </w:tcPr>
          <w:p w14:paraId="31453445"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4.22</w:t>
            </w:r>
          </w:p>
        </w:tc>
        <w:tc>
          <w:tcPr>
            <w:tcW w:w="898" w:type="pct"/>
            <w:hideMark/>
          </w:tcPr>
          <w:p w14:paraId="46F30E6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0.78</w:t>
            </w:r>
          </w:p>
        </w:tc>
        <w:tc>
          <w:tcPr>
            <w:tcW w:w="3206" w:type="pct"/>
            <w:hideMark/>
          </w:tcPr>
          <w:p w14:paraId="757BC53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تدريب العاملين على كيفية التصرف عند وقوع المخاطر</w:t>
            </w:r>
            <w:r w:rsidRPr="00D24D70">
              <w:rPr>
                <w:rFonts w:ascii="Traditional Arabic" w:hAnsi="Traditional Arabic" w:cs="Traditional Arabic" w:hint="cs"/>
                <w:color w:val="000000" w:themeColor="text1"/>
                <w:sz w:val="20"/>
                <w:szCs w:val="20"/>
                <w:lang w:bidi="ar-EG"/>
              </w:rPr>
              <w:t>.</w:t>
            </w:r>
          </w:p>
        </w:tc>
      </w:tr>
      <w:tr w:rsidR="00C1475A" w:rsidRPr="00D24D70" w14:paraId="099FE5E0" w14:textId="77777777" w:rsidTr="007671BB">
        <w:trPr>
          <w:tblCellSpacing w:w="20" w:type="dxa"/>
          <w:jc w:val="right"/>
        </w:trPr>
        <w:tc>
          <w:tcPr>
            <w:tcW w:w="897" w:type="pct"/>
            <w:hideMark/>
          </w:tcPr>
          <w:p w14:paraId="1D8AA2A5"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4.16</w:t>
            </w:r>
          </w:p>
        </w:tc>
        <w:tc>
          <w:tcPr>
            <w:tcW w:w="898" w:type="pct"/>
            <w:hideMark/>
          </w:tcPr>
          <w:p w14:paraId="6A8E46B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0.81</w:t>
            </w:r>
          </w:p>
        </w:tc>
        <w:tc>
          <w:tcPr>
            <w:tcW w:w="3206" w:type="pct"/>
            <w:hideMark/>
          </w:tcPr>
          <w:p w14:paraId="6F3CC6B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تنفيذ إجراءات تصحيحية بعد كل حادث لضمان عدم تكراره</w:t>
            </w:r>
            <w:r w:rsidRPr="00D24D70">
              <w:rPr>
                <w:rFonts w:ascii="Traditional Arabic" w:hAnsi="Traditional Arabic" w:cs="Traditional Arabic" w:hint="cs"/>
                <w:color w:val="000000" w:themeColor="text1"/>
                <w:sz w:val="20"/>
                <w:szCs w:val="20"/>
                <w:lang w:bidi="ar-EG"/>
              </w:rPr>
              <w:t>.</w:t>
            </w:r>
          </w:p>
        </w:tc>
      </w:tr>
      <w:tr w:rsidR="00C1475A" w:rsidRPr="00D24D70" w14:paraId="389B304E" w14:textId="77777777" w:rsidTr="007671BB">
        <w:trPr>
          <w:tblCellSpacing w:w="20" w:type="dxa"/>
          <w:jc w:val="right"/>
        </w:trPr>
        <w:tc>
          <w:tcPr>
            <w:tcW w:w="897" w:type="pct"/>
            <w:hideMark/>
          </w:tcPr>
          <w:p w14:paraId="564266D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4.10</w:t>
            </w:r>
          </w:p>
        </w:tc>
        <w:tc>
          <w:tcPr>
            <w:tcW w:w="898" w:type="pct"/>
            <w:hideMark/>
          </w:tcPr>
          <w:p w14:paraId="4C7117B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0.87</w:t>
            </w:r>
          </w:p>
        </w:tc>
        <w:tc>
          <w:tcPr>
            <w:tcW w:w="3206" w:type="pct"/>
            <w:hideMark/>
          </w:tcPr>
          <w:p w14:paraId="29A84CE8"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فعالية الاستجابة بعد كل حالة طارئة أو خطأ طبي</w:t>
            </w:r>
            <w:r w:rsidRPr="00D24D70">
              <w:rPr>
                <w:rFonts w:ascii="Traditional Arabic" w:hAnsi="Traditional Arabic" w:cs="Traditional Arabic" w:hint="cs"/>
                <w:color w:val="000000" w:themeColor="text1"/>
                <w:sz w:val="20"/>
                <w:szCs w:val="20"/>
                <w:lang w:bidi="ar-EG"/>
              </w:rPr>
              <w:t>.</w:t>
            </w:r>
          </w:p>
        </w:tc>
      </w:tr>
      <w:tr w:rsidR="00C1475A" w:rsidRPr="00D24D70" w14:paraId="228305BF" w14:textId="77777777" w:rsidTr="007671BB">
        <w:trPr>
          <w:tblCellSpacing w:w="20" w:type="dxa"/>
          <w:jc w:val="right"/>
        </w:trPr>
        <w:tc>
          <w:tcPr>
            <w:tcW w:w="897" w:type="pct"/>
            <w:hideMark/>
          </w:tcPr>
          <w:p w14:paraId="3498F9E0"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4.13</w:t>
            </w:r>
          </w:p>
        </w:tc>
        <w:tc>
          <w:tcPr>
            <w:tcW w:w="898" w:type="pct"/>
            <w:hideMark/>
          </w:tcPr>
          <w:p w14:paraId="6BB6E28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0.85</w:t>
            </w:r>
          </w:p>
        </w:tc>
        <w:tc>
          <w:tcPr>
            <w:tcW w:w="3206" w:type="pct"/>
            <w:hideMark/>
          </w:tcPr>
          <w:p w14:paraId="621D8BA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تطوير خطط الاستجابة وتحسينها باستمرار</w:t>
            </w:r>
            <w:r w:rsidRPr="00D24D70">
              <w:rPr>
                <w:rFonts w:ascii="Traditional Arabic" w:hAnsi="Traditional Arabic" w:cs="Traditional Arabic" w:hint="cs"/>
                <w:color w:val="000000" w:themeColor="text1"/>
                <w:sz w:val="20"/>
                <w:szCs w:val="20"/>
                <w:lang w:bidi="ar-EG"/>
              </w:rPr>
              <w:t>.</w:t>
            </w:r>
          </w:p>
        </w:tc>
      </w:tr>
      <w:tr w:rsidR="00614A5F" w:rsidRPr="00D24D70" w14:paraId="59D7AD26" w14:textId="77777777" w:rsidTr="007671BB">
        <w:trPr>
          <w:tblCellSpacing w:w="20" w:type="dxa"/>
          <w:jc w:val="right"/>
        </w:trPr>
        <w:tc>
          <w:tcPr>
            <w:tcW w:w="5000" w:type="pct"/>
            <w:gridSpan w:val="3"/>
            <w:shd w:val="clear" w:color="auto" w:fill="EAF1DD" w:themeFill="accent3" w:themeFillTint="33"/>
          </w:tcPr>
          <w:p w14:paraId="577FB88C" w14:textId="6B8CAF17" w:rsidR="00614A5F" w:rsidRPr="00D24D70" w:rsidRDefault="00614A5F" w:rsidP="00C1475A">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color w:val="000000" w:themeColor="text1"/>
                <w:sz w:val="20"/>
                <w:szCs w:val="20"/>
                <w:rtl/>
              </w:rPr>
              <w:t>القيادة التحويلية</w:t>
            </w:r>
          </w:p>
        </w:tc>
      </w:tr>
      <w:tr w:rsidR="00614A5F" w:rsidRPr="00D24D70" w14:paraId="3D69A827" w14:textId="77777777" w:rsidTr="007671BB">
        <w:trPr>
          <w:tblCellSpacing w:w="20" w:type="dxa"/>
          <w:jc w:val="right"/>
        </w:trPr>
        <w:tc>
          <w:tcPr>
            <w:tcW w:w="897" w:type="pct"/>
            <w:hideMark/>
          </w:tcPr>
          <w:p w14:paraId="2F8562C0"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المتوسط الحسابي</w:t>
            </w:r>
          </w:p>
        </w:tc>
        <w:tc>
          <w:tcPr>
            <w:tcW w:w="898" w:type="pct"/>
            <w:hideMark/>
          </w:tcPr>
          <w:p w14:paraId="2B2A3BD7"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الانحراف المعياري</w:t>
            </w:r>
          </w:p>
        </w:tc>
        <w:tc>
          <w:tcPr>
            <w:tcW w:w="3206" w:type="pct"/>
            <w:hideMark/>
          </w:tcPr>
          <w:p w14:paraId="0E4663A7"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العبارة</w:t>
            </w:r>
          </w:p>
        </w:tc>
      </w:tr>
      <w:tr w:rsidR="00614A5F" w:rsidRPr="00D24D70" w14:paraId="5D9EDCA0" w14:textId="77777777" w:rsidTr="007671BB">
        <w:trPr>
          <w:tblCellSpacing w:w="20" w:type="dxa"/>
          <w:jc w:val="right"/>
        </w:trPr>
        <w:tc>
          <w:tcPr>
            <w:tcW w:w="897" w:type="pct"/>
            <w:hideMark/>
          </w:tcPr>
          <w:p w14:paraId="1964B9A3"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p>
        </w:tc>
        <w:tc>
          <w:tcPr>
            <w:tcW w:w="898" w:type="pct"/>
            <w:hideMark/>
          </w:tcPr>
          <w:p w14:paraId="4832510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4D5C00F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أولًا: التأثير المثالي</w:t>
            </w:r>
            <w:r w:rsidRPr="00D24D70">
              <w:rPr>
                <w:rFonts w:ascii="Traditional Arabic" w:hAnsi="Traditional Arabic" w:cs="Traditional Arabic" w:hint="cs"/>
                <w:b/>
                <w:bCs/>
                <w:color w:val="000000" w:themeColor="text1"/>
                <w:sz w:val="20"/>
                <w:szCs w:val="20"/>
                <w:lang w:bidi="ar-EG"/>
              </w:rPr>
              <w:t xml:space="preserve"> (Idealized Influence)</w:t>
            </w:r>
          </w:p>
        </w:tc>
      </w:tr>
      <w:tr w:rsidR="00614A5F" w:rsidRPr="00D24D70" w14:paraId="604BACF4" w14:textId="77777777" w:rsidTr="007671BB">
        <w:trPr>
          <w:tblCellSpacing w:w="20" w:type="dxa"/>
          <w:jc w:val="right"/>
        </w:trPr>
        <w:tc>
          <w:tcPr>
            <w:tcW w:w="897" w:type="pct"/>
            <w:hideMark/>
          </w:tcPr>
          <w:p w14:paraId="3282C37D"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4.35</w:t>
            </w:r>
          </w:p>
        </w:tc>
        <w:tc>
          <w:tcPr>
            <w:tcW w:w="898" w:type="pct"/>
            <w:hideMark/>
          </w:tcPr>
          <w:p w14:paraId="5D92525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0.68</w:t>
            </w:r>
          </w:p>
        </w:tc>
        <w:tc>
          <w:tcPr>
            <w:tcW w:w="3206" w:type="pct"/>
            <w:hideMark/>
          </w:tcPr>
          <w:p w14:paraId="516D11A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سلوكًا أخلاقيًا يُحتذى به في بيئة العمل</w:t>
            </w:r>
            <w:r w:rsidRPr="00D24D70">
              <w:rPr>
                <w:rFonts w:ascii="Traditional Arabic" w:hAnsi="Traditional Arabic" w:cs="Traditional Arabic" w:hint="cs"/>
                <w:color w:val="000000" w:themeColor="text1"/>
                <w:sz w:val="20"/>
                <w:szCs w:val="20"/>
                <w:lang w:bidi="ar-EG"/>
              </w:rPr>
              <w:t>.</w:t>
            </w:r>
          </w:p>
        </w:tc>
      </w:tr>
      <w:tr w:rsidR="00614A5F" w:rsidRPr="00D24D70" w14:paraId="2A47E50E" w14:textId="77777777" w:rsidTr="007671BB">
        <w:trPr>
          <w:tblCellSpacing w:w="20" w:type="dxa"/>
          <w:jc w:val="right"/>
        </w:trPr>
        <w:tc>
          <w:tcPr>
            <w:tcW w:w="897" w:type="pct"/>
            <w:hideMark/>
          </w:tcPr>
          <w:p w14:paraId="5236F2B1"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4.28</w:t>
            </w:r>
          </w:p>
        </w:tc>
        <w:tc>
          <w:tcPr>
            <w:tcW w:w="898" w:type="pct"/>
            <w:hideMark/>
          </w:tcPr>
          <w:p w14:paraId="2109594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0.72</w:t>
            </w:r>
          </w:p>
        </w:tc>
        <w:tc>
          <w:tcPr>
            <w:tcW w:w="3206" w:type="pct"/>
            <w:hideMark/>
          </w:tcPr>
          <w:p w14:paraId="7EB2BE9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يلتزم القائد بالقيم المهنية في جميع تعاملاته</w:t>
            </w:r>
            <w:r w:rsidRPr="00D24D70">
              <w:rPr>
                <w:rFonts w:ascii="Traditional Arabic" w:hAnsi="Traditional Arabic" w:cs="Traditional Arabic" w:hint="cs"/>
                <w:color w:val="000000" w:themeColor="text1"/>
                <w:sz w:val="20"/>
                <w:szCs w:val="20"/>
                <w:lang w:bidi="ar-EG"/>
              </w:rPr>
              <w:t>.</w:t>
            </w:r>
          </w:p>
        </w:tc>
      </w:tr>
      <w:tr w:rsidR="00614A5F" w:rsidRPr="00D24D70" w14:paraId="4858752A" w14:textId="77777777" w:rsidTr="007671BB">
        <w:trPr>
          <w:tblCellSpacing w:w="20" w:type="dxa"/>
          <w:jc w:val="right"/>
        </w:trPr>
        <w:tc>
          <w:tcPr>
            <w:tcW w:w="897" w:type="pct"/>
            <w:hideMark/>
          </w:tcPr>
          <w:p w14:paraId="232B175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4.30</w:t>
            </w:r>
          </w:p>
        </w:tc>
        <w:tc>
          <w:tcPr>
            <w:tcW w:w="898" w:type="pct"/>
            <w:hideMark/>
          </w:tcPr>
          <w:p w14:paraId="472B227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0.70</w:t>
            </w:r>
          </w:p>
        </w:tc>
        <w:tc>
          <w:tcPr>
            <w:tcW w:w="3206" w:type="pct"/>
            <w:hideMark/>
          </w:tcPr>
          <w:p w14:paraId="5CD73D5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نموذجًا يُلهم الآخرين بالثقة والاحترام</w:t>
            </w:r>
            <w:r w:rsidRPr="00D24D70">
              <w:rPr>
                <w:rFonts w:ascii="Traditional Arabic" w:hAnsi="Traditional Arabic" w:cs="Traditional Arabic" w:hint="cs"/>
                <w:color w:val="000000" w:themeColor="text1"/>
                <w:sz w:val="20"/>
                <w:szCs w:val="20"/>
                <w:lang w:bidi="ar-EG"/>
              </w:rPr>
              <w:t>.</w:t>
            </w:r>
          </w:p>
        </w:tc>
      </w:tr>
      <w:tr w:rsidR="00614A5F" w:rsidRPr="00D24D70" w14:paraId="35C6C7C4" w14:textId="77777777" w:rsidTr="007671BB">
        <w:trPr>
          <w:tblCellSpacing w:w="20" w:type="dxa"/>
          <w:jc w:val="right"/>
        </w:trPr>
        <w:tc>
          <w:tcPr>
            <w:tcW w:w="897" w:type="pct"/>
            <w:hideMark/>
          </w:tcPr>
          <w:p w14:paraId="0493A83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4.22</w:t>
            </w:r>
          </w:p>
        </w:tc>
        <w:tc>
          <w:tcPr>
            <w:tcW w:w="898" w:type="pct"/>
            <w:hideMark/>
          </w:tcPr>
          <w:p w14:paraId="2FA85B2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0.77</w:t>
            </w:r>
          </w:p>
        </w:tc>
        <w:tc>
          <w:tcPr>
            <w:tcW w:w="3206" w:type="pct"/>
            <w:hideMark/>
          </w:tcPr>
          <w:p w14:paraId="68BD0070"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يتصرف القائد بطريقة تعزز الانتماء والولاء للمؤسسة</w:t>
            </w:r>
            <w:r w:rsidRPr="00D24D70">
              <w:rPr>
                <w:rFonts w:ascii="Traditional Arabic" w:hAnsi="Traditional Arabic" w:cs="Traditional Arabic" w:hint="cs"/>
                <w:color w:val="000000" w:themeColor="text1"/>
                <w:sz w:val="20"/>
                <w:szCs w:val="20"/>
                <w:lang w:bidi="ar-EG"/>
              </w:rPr>
              <w:t>.</w:t>
            </w:r>
          </w:p>
        </w:tc>
      </w:tr>
      <w:tr w:rsidR="00614A5F" w:rsidRPr="00D24D70" w14:paraId="0D856E4F" w14:textId="77777777" w:rsidTr="007671BB">
        <w:trPr>
          <w:tblCellSpacing w:w="20" w:type="dxa"/>
          <w:jc w:val="right"/>
        </w:trPr>
        <w:tc>
          <w:tcPr>
            <w:tcW w:w="897" w:type="pct"/>
            <w:hideMark/>
          </w:tcPr>
          <w:p w14:paraId="25EA8671"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4.25</w:t>
            </w:r>
          </w:p>
        </w:tc>
        <w:tc>
          <w:tcPr>
            <w:tcW w:w="898" w:type="pct"/>
            <w:hideMark/>
          </w:tcPr>
          <w:p w14:paraId="3134678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0.74</w:t>
            </w:r>
          </w:p>
        </w:tc>
        <w:tc>
          <w:tcPr>
            <w:tcW w:w="3206" w:type="pct"/>
            <w:hideMark/>
          </w:tcPr>
          <w:p w14:paraId="4274950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استعدادًا لتحمل المسؤولية في المواقف الصعبة</w:t>
            </w:r>
            <w:r w:rsidRPr="00D24D70">
              <w:rPr>
                <w:rFonts w:ascii="Traditional Arabic" w:hAnsi="Traditional Arabic" w:cs="Traditional Arabic" w:hint="cs"/>
                <w:color w:val="000000" w:themeColor="text1"/>
                <w:sz w:val="20"/>
                <w:szCs w:val="20"/>
                <w:lang w:bidi="ar-EG"/>
              </w:rPr>
              <w:t>.</w:t>
            </w:r>
          </w:p>
        </w:tc>
      </w:tr>
      <w:tr w:rsidR="00614A5F" w:rsidRPr="00D24D70" w14:paraId="7F6204D8" w14:textId="77777777" w:rsidTr="007671BB">
        <w:trPr>
          <w:tblCellSpacing w:w="20" w:type="dxa"/>
          <w:jc w:val="right"/>
        </w:trPr>
        <w:tc>
          <w:tcPr>
            <w:tcW w:w="897" w:type="pct"/>
            <w:hideMark/>
          </w:tcPr>
          <w:p w14:paraId="52E5747C"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898" w:type="pct"/>
            <w:hideMark/>
          </w:tcPr>
          <w:p w14:paraId="47B2A43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2B51E244"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ثانيًا: الدافعية الإلهامية</w:t>
            </w:r>
            <w:r w:rsidRPr="00D24D70">
              <w:rPr>
                <w:rFonts w:ascii="Traditional Arabic" w:hAnsi="Traditional Arabic" w:cs="Traditional Arabic" w:hint="cs"/>
                <w:b/>
                <w:bCs/>
                <w:color w:val="000000" w:themeColor="text1"/>
                <w:sz w:val="20"/>
                <w:szCs w:val="20"/>
                <w:lang w:bidi="ar-EG"/>
              </w:rPr>
              <w:t xml:space="preserve"> (Inspirational Motivation)</w:t>
            </w:r>
          </w:p>
        </w:tc>
      </w:tr>
      <w:tr w:rsidR="00614A5F" w:rsidRPr="00D24D70" w14:paraId="758D7DDA" w14:textId="77777777" w:rsidTr="007671BB">
        <w:trPr>
          <w:tblCellSpacing w:w="20" w:type="dxa"/>
          <w:jc w:val="right"/>
        </w:trPr>
        <w:tc>
          <w:tcPr>
            <w:tcW w:w="897" w:type="pct"/>
            <w:hideMark/>
          </w:tcPr>
          <w:p w14:paraId="6E60D0D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lastRenderedPageBreak/>
              <w:t>4.31</w:t>
            </w:r>
          </w:p>
        </w:tc>
        <w:tc>
          <w:tcPr>
            <w:tcW w:w="898" w:type="pct"/>
            <w:hideMark/>
          </w:tcPr>
          <w:p w14:paraId="1339E55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0.69</w:t>
            </w:r>
          </w:p>
        </w:tc>
        <w:tc>
          <w:tcPr>
            <w:tcW w:w="3206" w:type="pct"/>
            <w:hideMark/>
          </w:tcPr>
          <w:p w14:paraId="2F1FE47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لتحقيق أهداف تتجاوز التوقعات</w:t>
            </w:r>
            <w:r w:rsidRPr="00D24D70">
              <w:rPr>
                <w:rFonts w:ascii="Traditional Arabic" w:hAnsi="Traditional Arabic" w:cs="Traditional Arabic" w:hint="cs"/>
                <w:color w:val="000000" w:themeColor="text1"/>
                <w:sz w:val="20"/>
                <w:szCs w:val="20"/>
                <w:lang w:bidi="ar-EG"/>
              </w:rPr>
              <w:t>.</w:t>
            </w:r>
          </w:p>
        </w:tc>
      </w:tr>
      <w:tr w:rsidR="00614A5F" w:rsidRPr="00D24D70" w14:paraId="532DC050" w14:textId="77777777" w:rsidTr="007671BB">
        <w:trPr>
          <w:tblCellSpacing w:w="20" w:type="dxa"/>
          <w:jc w:val="right"/>
        </w:trPr>
        <w:tc>
          <w:tcPr>
            <w:tcW w:w="897" w:type="pct"/>
            <w:hideMark/>
          </w:tcPr>
          <w:p w14:paraId="50220A5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4.27</w:t>
            </w:r>
          </w:p>
        </w:tc>
        <w:tc>
          <w:tcPr>
            <w:tcW w:w="898" w:type="pct"/>
            <w:hideMark/>
          </w:tcPr>
          <w:p w14:paraId="44F4302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0.73</w:t>
            </w:r>
          </w:p>
        </w:tc>
        <w:tc>
          <w:tcPr>
            <w:tcW w:w="3206" w:type="pct"/>
            <w:hideMark/>
          </w:tcPr>
          <w:p w14:paraId="66E7517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الإيمان بقدراتهم</w:t>
            </w:r>
            <w:r w:rsidRPr="00D24D70">
              <w:rPr>
                <w:rFonts w:ascii="Traditional Arabic" w:hAnsi="Traditional Arabic" w:cs="Traditional Arabic" w:hint="cs"/>
                <w:color w:val="000000" w:themeColor="text1"/>
                <w:sz w:val="20"/>
                <w:szCs w:val="20"/>
                <w:lang w:bidi="ar-EG"/>
              </w:rPr>
              <w:t>.</w:t>
            </w:r>
          </w:p>
        </w:tc>
      </w:tr>
      <w:tr w:rsidR="00614A5F" w:rsidRPr="00D24D70" w14:paraId="2AE7903C" w14:textId="77777777" w:rsidTr="007671BB">
        <w:trPr>
          <w:tblCellSpacing w:w="20" w:type="dxa"/>
          <w:jc w:val="right"/>
        </w:trPr>
        <w:tc>
          <w:tcPr>
            <w:tcW w:w="897" w:type="pct"/>
            <w:hideMark/>
          </w:tcPr>
          <w:p w14:paraId="1D3794B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4.29</w:t>
            </w:r>
          </w:p>
        </w:tc>
        <w:tc>
          <w:tcPr>
            <w:tcW w:w="898" w:type="pct"/>
            <w:hideMark/>
          </w:tcPr>
          <w:p w14:paraId="78519156"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0.71</w:t>
            </w:r>
          </w:p>
        </w:tc>
        <w:tc>
          <w:tcPr>
            <w:tcW w:w="3206" w:type="pct"/>
            <w:hideMark/>
          </w:tcPr>
          <w:p w14:paraId="6C41946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يُعبر القائد عن رؤية واضحة ومُلهمة للمستقبل</w:t>
            </w:r>
            <w:r w:rsidRPr="00D24D70">
              <w:rPr>
                <w:rFonts w:ascii="Traditional Arabic" w:hAnsi="Traditional Arabic" w:cs="Traditional Arabic" w:hint="cs"/>
                <w:color w:val="000000" w:themeColor="text1"/>
                <w:sz w:val="20"/>
                <w:szCs w:val="20"/>
                <w:lang w:bidi="ar-EG"/>
              </w:rPr>
              <w:t>.</w:t>
            </w:r>
          </w:p>
        </w:tc>
      </w:tr>
      <w:tr w:rsidR="00614A5F" w:rsidRPr="00D24D70" w14:paraId="5C1690C9" w14:textId="77777777" w:rsidTr="007671BB">
        <w:trPr>
          <w:tblCellSpacing w:w="20" w:type="dxa"/>
          <w:jc w:val="right"/>
        </w:trPr>
        <w:tc>
          <w:tcPr>
            <w:tcW w:w="897" w:type="pct"/>
            <w:hideMark/>
          </w:tcPr>
          <w:p w14:paraId="10950CA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4.24</w:t>
            </w:r>
          </w:p>
        </w:tc>
        <w:tc>
          <w:tcPr>
            <w:tcW w:w="898" w:type="pct"/>
            <w:hideMark/>
          </w:tcPr>
          <w:p w14:paraId="4113987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0.75</w:t>
            </w:r>
          </w:p>
        </w:tc>
        <w:tc>
          <w:tcPr>
            <w:tcW w:w="3206" w:type="pct"/>
            <w:hideMark/>
          </w:tcPr>
          <w:p w14:paraId="27CC1A3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يُعزز القائد روح الفريق والتعاون بين العاملين</w:t>
            </w:r>
            <w:r w:rsidRPr="00D24D70">
              <w:rPr>
                <w:rFonts w:ascii="Traditional Arabic" w:hAnsi="Traditional Arabic" w:cs="Traditional Arabic" w:hint="cs"/>
                <w:color w:val="000000" w:themeColor="text1"/>
                <w:sz w:val="20"/>
                <w:szCs w:val="20"/>
                <w:lang w:bidi="ar-EG"/>
              </w:rPr>
              <w:t>.</w:t>
            </w:r>
          </w:p>
        </w:tc>
      </w:tr>
      <w:tr w:rsidR="00614A5F" w:rsidRPr="00D24D70" w14:paraId="1BDC8E76" w14:textId="77777777" w:rsidTr="007671BB">
        <w:trPr>
          <w:tblCellSpacing w:w="20" w:type="dxa"/>
          <w:jc w:val="right"/>
        </w:trPr>
        <w:tc>
          <w:tcPr>
            <w:tcW w:w="897" w:type="pct"/>
            <w:hideMark/>
          </w:tcPr>
          <w:p w14:paraId="68BD62E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4.26</w:t>
            </w:r>
          </w:p>
        </w:tc>
        <w:tc>
          <w:tcPr>
            <w:tcW w:w="898" w:type="pct"/>
            <w:hideMark/>
          </w:tcPr>
          <w:p w14:paraId="4489449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0.72</w:t>
            </w:r>
          </w:p>
        </w:tc>
        <w:tc>
          <w:tcPr>
            <w:tcW w:w="3206" w:type="pct"/>
            <w:hideMark/>
          </w:tcPr>
          <w:p w14:paraId="61191F8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يُستخدم القائد لغة تحفيزية تُشعل الحماس في بيئة العمل</w:t>
            </w:r>
            <w:r w:rsidRPr="00D24D70">
              <w:rPr>
                <w:rFonts w:ascii="Traditional Arabic" w:hAnsi="Traditional Arabic" w:cs="Traditional Arabic" w:hint="cs"/>
                <w:color w:val="000000" w:themeColor="text1"/>
                <w:sz w:val="20"/>
                <w:szCs w:val="20"/>
                <w:lang w:bidi="ar-EG"/>
              </w:rPr>
              <w:t>.</w:t>
            </w:r>
          </w:p>
        </w:tc>
      </w:tr>
      <w:tr w:rsidR="00614A5F" w:rsidRPr="00D24D70" w14:paraId="0E47DC70" w14:textId="77777777" w:rsidTr="007671BB">
        <w:trPr>
          <w:tblCellSpacing w:w="20" w:type="dxa"/>
          <w:jc w:val="right"/>
        </w:trPr>
        <w:tc>
          <w:tcPr>
            <w:tcW w:w="897" w:type="pct"/>
            <w:hideMark/>
          </w:tcPr>
          <w:p w14:paraId="775212B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898" w:type="pct"/>
            <w:hideMark/>
          </w:tcPr>
          <w:p w14:paraId="22A4EC1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2C031BA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ثالثًا: الإعتبارية الفردية</w:t>
            </w:r>
            <w:r w:rsidRPr="00D24D70">
              <w:rPr>
                <w:rFonts w:ascii="Traditional Arabic" w:hAnsi="Traditional Arabic" w:cs="Traditional Arabic" w:hint="cs"/>
                <w:b/>
                <w:bCs/>
                <w:color w:val="000000" w:themeColor="text1"/>
                <w:sz w:val="20"/>
                <w:szCs w:val="20"/>
                <w:lang w:bidi="ar-EG"/>
              </w:rPr>
              <w:t xml:space="preserve"> (Individualized Consideration)</w:t>
            </w:r>
          </w:p>
        </w:tc>
      </w:tr>
      <w:tr w:rsidR="00614A5F" w:rsidRPr="00D24D70" w14:paraId="3866565B" w14:textId="77777777" w:rsidTr="007671BB">
        <w:trPr>
          <w:tblCellSpacing w:w="20" w:type="dxa"/>
          <w:jc w:val="right"/>
        </w:trPr>
        <w:tc>
          <w:tcPr>
            <w:tcW w:w="897" w:type="pct"/>
            <w:hideMark/>
          </w:tcPr>
          <w:p w14:paraId="0EBCF29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4.20</w:t>
            </w:r>
          </w:p>
        </w:tc>
        <w:tc>
          <w:tcPr>
            <w:tcW w:w="898" w:type="pct"/>
            <w:hideMark/>
          </w:tcPr>
          <w:p w14:paraId="01B2AFF9"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0.78</w:t>
            </w:r>
          </w:p>
        </w:tc>
        <w:tc>
          <w:tcPr>
            <w:tcW w:w="3206" w:type="pct"/>
            <w:hideMark/>
          </w:tcPr>
          <w:p w14:paraId="3F158A45"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اهتمامًا فرديًا باحتياجات الموظفين</w:t>
            </w:r>
            <w:r w:rsidRPr="00D24D70">
              <w:rPr>
                <w:rFonts w:ascii="Traditional Arabic" w:hAnsi="Traditional Arabic" w:cs="Traditional Arabic" w:hint="cs"/>
                <w:color w:val="000000" w:themeColor="text1"/>
                <w:sz w:val="20"/>
                <w:szCs w:val="20"/>
                <w:lang w:bidi="ar-EG"/>
              </w:rPr>
              <w:t>.</w:t>
            </w:r>
          </w:p>
        </w:tc>
      </w:tr>
      <w:tr w:rsidR="00614A5F" w:rsidRPr="00D24D70" w14:paraId="0DA43755" w14:textId="77777777" w:rsidTr="007671BB">
        <w:trPr>
          <w:tblCellSpacing w:w="20" w:type="dxa"/>
          <w:jc w:val="right"/>
        </w:trPr>
        <w:tc>
          <w:tcPr>
            <w:tcW w:w="897" w:type="pct"/>
            <w:hideMark/>
          </w:tcPr>
          <w:p w14:paraId="490BB10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4.18</w:t>
            </w:r>
          </w:p>
        </w:tc>
        <w:tc>
          <w:tcPr>
            <w:tcW w:w="898" w:type="pct"/>
            <w:hideMark/>
          </w:tcPr>
          <w:p w14:paraId="60926C4C"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0.80</w:t>
            </w:r>
          </w:p>
        </w:tc>
        <w:tc>
          <w:tcPr>
            <w:tcW w:w="3206" w:type="pct"/>
            <w:hideMark/>
          </w:tcPr>
          <w:p w14:paraId="6C517FE4"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يُخصص القائد وقتًا للاستماع لمشكلات العاملين</w:t>
            </w:r>
            <w:r w:rsidRPr="00D24D70">
              <w:rPr>
                <w:rFonts w:ascii="Traditional Arabic" w:hAnsi="Traditional Arabic" w:cs="Traditional Arabic" w:hint="cs"/>
                <w:color w:val="000000" w:themeColor="text1"/>
                <w:sz w:val="20"/>
                <w:szCs w:val="20"/>
                <w:lang w:bidi="ar-EG"/>
              </w:rPr>
              <w:t>.</w:t>
            </w:r>
          </w:p>
        </w:tc>
      </w:tr>
      <w:tr w:rsidR="00614A5F" w:rsidRPr="00D24D70" w14:paraId="0B84122B" w14:textId="77777777" w:rsidTr="007671BB">
        <w:trPr>
          <w:tblCellSpacing w:w="20" w:type="dxa"/>
          <w:jc w:val="right"/>
        </w:trPr>
        <w:tc>
          <w:tcPr>
            <w:tcW w:w="897" w:type="pct"/>
            <w:hideMark/>
          </w:tcPr>
          <w:p w14:paraId="6FEB61C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4.16</w:t>
            </w:r>
          </w:p>
        </w:tc>
        <w:tc>
          <w:tcPr>
            <w:tcW w:w="898" w:type="pct"/>
            <w:hideMark/>
          </w:tcPr>
          <w:p w14:paraId="34126449"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0.82</w:t>
            </w:r>
          </w:p>
        </w:tc>
        <w:tc>
          <w:tcPr>
            <w:tcW w:w="3206" w:type="pct"/>
            <w:hideMark/>
          </w:tcPr>
          <w:p w14:paraId="409E147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يُراعي القائد الفروق الفردية في أسلوب التعامل</w:t>
            </w:r>
            <w:r w:rsidRPr="00D24D70">
              <w:rPr>
                <w:rFonts w:ascii="Traditional Arabic" w:hAnsi="Traditional Arabic" w:cs="Traditional Arabic" w:hint="cs"/>
                <w:color w:val="000000" w:themeColor="text1"/>
                <w:sz w:val="20"/>
                <w:szCs w:val="20"/>
                <w:lang w:bidi="ar-EG"/>
              </w:rPr>
              <w:t>.</w:t>
            </w:r>
          </w:p>
        </w:tc>
      </w:tr>
      <w:tr w:rsidR="00614A5F" w:rsidRPr="00D24D70" w14:paraId="77D72086" w14:textId="77777777" w:rsidTr="007671BB">
        <w:trPr>
          <w:tblCellSpacing w:w="20" w:type="dxa"/>
          <w:jc w:val="right"/>
        </w:trPr>
        <w:tc>
          <w:tcPr>
            <w:tcW w:w="897" w:type="pct"/>
            <w:hideMark/>
          </w:tcPr>
          <w:p w14:paraId="64B9B58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4.19</w:t>
            </w:r>
          </w:p>
        </w:tc>
        <w:tc>
          <w:tcPr>
            <w:tcW w:w="898" w:type="pct"/>
            <w:hideMark/>
          </w:tcPr>
          <w:p w14:paraId="437658A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0.79</w:t>
            </w:r>
          </w:p>
        </w:tc>
        <w:tc>
          <w:tcPr>
            <w:tcW w:w="3206" w:type="pct"/>
            <w:hideMark/>
          </w:tcPr>
          <w:p w14:paraId="2E330F1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الدعم والتوجيه المناسب لكل موظف</w:t>
            </w:r>
            <w:r w:rsidRPr="00D24D70">
              <w:rPr>
                <w:rFonts w:ascii="Traditional Arabic" w:hAnsi="Traditional Arabic" w:cs="Traditional Arabic" w:hint="cs"/>
                <w:color w:val="000000" w:themeColor="text1"/>
                <w:sz w:val="20"/>
                <w:szCs w:val="20"/>
                <w:lang w:bidi="ar-EG"/>
              </w:rPr>
              <w:t>.</w:t>
            </w:r>
          </w:p>
        </w:tc>
      </w:tr>
      <w:tr w:rsidR="00614A5F" w:rsidRPr="00D24D70" w14:paraId="1D3EC2BD" w14:textId="77777777" w:rsidTr="007671BB">
        <w:trPr>
          <w:tblCellSpacing w:w="20" w:type="dxa"/>
          <w:jc w:val="right"/>
        </w:trPr>
        <w:tc>
          <w:tcPr>
            <w:tcW w:w="897" w:type="pct"/>
            <w:hideMark/>
          </w:tcPr>
          <w:p w14:paraId="1307AAD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4.21</w:t>
            </w:r>
          </w:p>
        </w:tc>
        <w:tc>
          <w:tcPr>
            <w:tcW w:w="898" w:type="pct"/>
            <w:hideMark/>
          </w:tcPr>
          <w:p w14:paraId="2831E52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0.77</w:t>
            </w:r>
          </w:p>
        </w:tc>
        <w:tc>
          <w:tcPr>
            <w:tcW w:w="3206" w:type="pct"/>
            <w:hideMark/>
          </w:tcPr>
          <w:p w14:paraId="1D31DED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تطوير مهاراتهم الشخصية والمهنية</w:t>
            </w:r>
            <w:r w:rsidRPr="00D24D70">
              <w:rPr>
                <w:rFonts w:ascii="Traditional Arabic" w:hAnsi="Traditional Arabic" w:cs="Traditional Arabic" w:hint="cs"/>
                <w:color w:val="000000" w:themeColor="text1"/>
                <w:sz w:val="20"/>
                <w:szCs w:val="20"/>
                <w:lang w:bidi="ar-EG"/>
              </w:rPr>
              <w:t>.</w:t>
            </w:r>
          </w:p>
        </w:tc>
      </w:tr>
      <w:tr w:rsidR="00614A5F" w:rsidRPr="00D24D70" w14:paraId="1E43FE68" w14:textId="77777777" w:rsidTr="007671BB">
        <w:trPr>
          <w:tblCellSpacing w:w="20" w:type="dxa"/>
          <w:jc w:val="right"/>
        </w:trPr>
        <w:tc>
          <w:tcPr>
            <w:tcW w:w="897" w:type="pct"/>
            <w:hideMark/>
          </w:tcPr>
          <w:p w14:paraId="0BC17DF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898" w:type="pct"/>
            <w:hideMark/>
          </w:tcPr>
          <w:p w14:paraId="190A3424"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377F008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رابعًا: الاستثارة الفكرية</w:t>
            </w:r>
            <w:r w:rsidRPr="00D24D70">
              <w:rPr>
                <w:rFonts w:ascii="Traditional Arabic" w:hAnsi="Traditional Arabic" w:cs="Traditional Arabic" w:hint="cs"/>
                <w:b/>
                <w:bCs/>
                <w:color w:val="000000" w:themeColor="text1"/>
                <w:sz w:val="20"/>
                <w:szCs w:val="20"/>
                <w:lang w:bidi="ar-EG"/>
              </w:rPr>
              <w:t xml:space="preserve"> (Intellectual Stimulation)</w:t>
            </w:r>
          </w:p>
        </w:tc>
      </w:tr>
      <w:tr w:rsidR="00614A5F" w:rsidRPr="00D24D70" w14:paraId="3313E682" w14:textId="77777777" w:rsidTr="007671BB">
        <w:trPr>
          <w:tblCellSpacing w:w="20" w:type="dxa"/>
          <w:jc w:val="right"/>
        </w:trPr>
        <w:tc>
          <w:tcPr>
            <w:tcW w:w="897" w:type="pct"/>
            <w:hideMark/>
          </w:tcPr>
          <w:p w14:paraId="31839A9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4.23</w:t>
            </w:r>
          </w:p>
        </w:tc>
        <w:tc>
          <w:tcPr>
            <w:tcW w:w="898" w:type="pct"/>
            <w:hideMark/>
          </w:tcPr>
          <w:p w14:paraId="20CDB51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0.76</w:t>
            </w:r>
          </w:p>
        </w:tc>
        <w:tc>
          <w:tcPr>
            <w:tcW w:w="3206" w:type="pct"/>
            <w:hideMark/>
          </w:tcPr>
          <w:p w14:paraId="0EAA3730"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التفكير الإبداعي لحل المشكلات</w:t>
            </w:r>
            <w:r w:rsidRPr="00D24D70">
              <w:rPr>
                <w:rFonts w:ascii="Traditional Arabic" w:hAnsi="Traditional Arabic" w:cs="Traditional Arabic" w:hint="cs"/>
                <w:color w:val="000000" w:themeColor="text1"/>
                <w:sz w:val="20"/>
                <w:szCs w:val="20"/>
                <w:lang w:bidi="ar-EG"/>
              </w:rPr>
              <w:t>.</w:t>
            </w:r>
          </w:p>
        </w:tc>
      </w:tr>
      <w:tr w:rsidR="00614A5F" w:rsidRPr="00D24D70" w14:paraId="7C2F4B35" w14:textId="77777777" w:rsidTr="007671BB">
        <w:trPr>
          <w:tblCellSpacing w:w="20" w:type="dxa"/>
          <w:jc w:val="right"/>
        </w:trPr>
        <w:tc>
          <w:tcPr>
            <w:tcW w:w="897" w:type="pct"/>
            <w:hideMark/>
          </w:tcPr>
          <w:p w14:paraId="1D7EDA4D"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4.17</w:t>
            </w:r>
          </w:p>
        </w:tc>
        <w:tc>
          <w:tcPr>
            <w:tcW w:w="898" w:type="pct"/>
            <w:hideMark/>
          </w:tcPr>
          <w:p w14:paraId="268983F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0.81</w:t>
            </w:r>
          </w:p>
        </w:tc>
        <w:tc>
          <w:tcPr>
            <w:tcW w:w="3206" w:type="pct"/>
            <w:hideMark/>
          </w:tcPr>
          <w:p w14:paraId="0498FD05"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على اقتراح أفكار جديدة</w:t>
            </w:r>
            <w:r w:rsidRPr="00D24D70">
              <w:rPr>
                <w:rFonts w:ascii="Traditional Arabic" w:hAnsi="Traditional Arabic" w:cs="Traditional Arabic" w:hint="cs"/>
                <w:color w:val="000000" w:themeColor="text1"/>
                <w:sz w:val="20"/>
                <w:szCs w:val="20"/>
                <w:lang w:bidi="ar-EG"/>
              </w:rPr>
              <w:t>.</w:t>
            </w:r>
          </w:p>
        </w:tc>
      </w:tr>
      <w:tr w:rsidR="00614A5F" w:rsidRPr="00D24D70" w14:paraId="3D4DD894" w14:textId="77777777" w:rsidTr="007671BB">
        <w:trPr>
          <w:tblCellSpacing w:w="20" w:type="dxa"/>
          <w:jc w:val="right"/>
        </w:trPr>
        <w:tc>
          <w:tcPr>
            <w:tcW w:w="897" w:type="pct"/>
            <w:hideMark/>
          </w:tcPr>
          <w:p w14:paraId="3D65186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4.15</w:t>
            </w:r>
          </w:p>
        </w:tc>
        <w:tc>
          <w:tcPr>
            <w:tcW w:w="898" w:type="pct"/>
            <w:hideMark/>
          </w:tcPr>
          <w:p w14:paraId="6A6613D6"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0.83</w:t>
            </w:r>
          </w:p>
        </w:tc>
        <w:tc>
          <w:tcPr>
            <w:tcW w:w="3206" w:type="pct"/>
            <w:hideMark/>
          </w:tcPr>
          <w:p w14:paraId="6913F29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على تحدي الطرق التقليدية في العمل</w:t>
            </w:r>
            <w:r w:rsidRPr="00D24D70">
              <w:rPr>
                <w:rFonts w:ascii="Traditional Arabic" w:hAnsi="Traditional Arabic" w:cs="Traditional Arabic" w:hint="cs"/>
                <w:color w:val="000000" w:themeColor="text1"/>
                <w:sz w:val="20"/>
                <w:szCs w:val="20"/>
                <w:lang w:bidi="ar-EG"/>
              </w:rPr>
              <w:t>.</w:t>
            </w:r>
          </w:p>
        </w:tc>
      </w:tr>
      <w:tr w:rsidR="00614A5F" w:rsidRPr="00D24D70" w14:paraId="6C35CDF1" w14:textId="77777777" w:rsidTr="007671BB">
        <w:trPr>
          <w:tblCellSpacing w:w="20" w:type="dxa"/>
          <w:jc w:val="right"/>
        </w:trPr>
        <w:tc>
          <w:tcPr>
            <w:tcW w:w="897" w:type="pct"/>
            <w:hideMark/>
          </w:tcPr>
          <w:p w14:paraId="6E7A842C"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4.20</w:t>
            </w:r>
          </w:p>
        </w:tc>
        <w:tc>
          <w:tcPr>
            <w:tcW w:w="898" w:type="pct"/>
            <w:hideMark/>
          </w:tcPr>
          <w:p w14:paraId="6D2D871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0.78</w:t>
            </w:r>
          </w:p>
        </w:tc>
        <w:tc>
          <w:tcPr>
            <w:tcW w:w="3206" w:type="pct"/>
            <w:hideMark/>
          </w:tcPr>
          <w:p w14:paraId="06A467F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يُتيح القائد بيئة آمنة لتبادل الآراء والابتكار</w:t>
            </w:r>
            <w:r w:rsidRPr="00D24D70">
              <w:rPr>
                <w:rFonts w:ascii="Traditional Arabic" w:hAnsi="Traditional Arabic" w:cs="Traditional Arabic" w:hint="cs"/>
                <w:color w:val="000000" w:themeColor="text1"/>
                <w:sz w:val="20"/>
                <w:szCs w:val="20"/>
                <w:lang w:bidi="ar-EG"/>
              </w:rPr>
              <w:t>.</w:t>
            </w:r>
          </w:p>
        </w:tc>
      </w:tr>
      <w:tr w:rsidR="00614A5F" w:rsidRPr="00D24D70" w14:paraId="662D9C7C" w14:textId="77777777" w:rsidTr="007671BB">
        <w:trPr>
          <w:tblCellSpacing w:w="20" w:type="dxa"/>
          <w:jc w:val="right"/>
        </w:trPr>
        <w:tc>
          <w:tcPr>
            <w:tcW w:w="897" w:type="pct"/>
            <w:hideMark/>
          </w:tcPr>
          <w:p w14:paraId="672A748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4.22</w:t>
            </w:r>
          </w:p>
        </w:tc>
        <w:tc>
          <w:tcPr>
            <w:tcW w:w="898" w:type="pct"/>
            <w:hideMark/>
          </w:tcPr>
          <w:p w14:paraId="62C49709"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0.76</w:t>
            </w:r>
          </w:p>
        </w:tc>
        <w:tc>
          <w:tcPr>
            <w:tcW w:w="3206" w:type="pct"/>
            <w:hideMark/>
          </w:tcPr>
          <w:p w14:paraId="2AE31F1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تحليل المواقف من زوايا متعددة</w:t>
            </w:r>
            <w:r w:rsidRPr="00D24D70">
              <w:rPr>
                <w:rFonts w:ascii="Traditional Arabic" w:hAnsi="Traditional Arabic" w:cs="Traditional Arabic" w:hint="cs"/>
                <w:color w:val="000000" w:themeColor="text1"/>
                <w:sz w:val="20"/>
                <w:szCs w:val="20"/>
                <w:lang w:bidi="ar-EG"/>
              </w:rPr>
              <w:t>.</w:t>
            </w:r>
          </w:p>
        </w:tc>
      </w:tr>
      <w:tr w:rsidR="00614A5F" w:rsidRPr="00D24D70" w14:paraId="2CEACE3E" w14:textId="77777777" w:rsidTr="007671BB">
        <w:trPr>
          <w:tblCellSpacing w:w="20" w:type="dxa"/>
          <w:jc w:val="right"/>
        </w:trPr>
        <w:tc>
          <w:tcPr>
            <w:tcW w:w="5000" w:type="pct"/>
            <w:gridSpan w:val="3"/>
            <w:shd w:val="clear" w:color="auto" w:fill="EAF1DD" w:themeFill="accent3" w:themeFillTint="33"/>
          </w:tcPr>
          <w:p w14:paraId="32561EDD" w14:textId="540D8BCB" w:rsidR="00614A5F" w:rsidRPr="00D24D70" w:rsidRDefault="00614A5F" w:rsidP="00C1475A">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color w:val="000000" w:themeColor="text1"/>
                <w:sz w:val="20"/>
                <w:szCs w:val="20"/>
                <w:rtl/>
              </w:rPr>
              <w:t>سلامة المرضى</w:t>
            </w:r>
          </w:p>
        </w:tc>
      </w:tr>
      <w:tr w:rsidR="00685C64" w:rsidRPr="00D24D70" w14:paraId="6F4DB7E4" w14:textId="77777777" w:rsidTr="007671BB">
        <w:trPr>
          <w:tblCellSpacing w:w="20" w:type="dxa"/>
          <w:jc w:val="right"/>
        </w:trPr>
        <w:tc>
          <w:tcPr>
            <w:tcW w:w="5000" w:type="pct"/>
            <w:gridSpan w:val="3"/>
          </w:tcPr>
          <w:p w14:paraId="6B246BF0" w14:textId="26E4B912"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أولًا: تقليل الأخطاء الطبية</w:t>
            </w:r>
          </w:p>
        </w:tc>
      </w:tr>
      <w:tr w:rsidR="00685C64" w:rsidRPr="00D24D70" w14:paraId="173C60B5" w14:textId="77777777" w:rsidTr="007671BB">
        <w:trPr>
          <w:tblCellSpacing w:w="20" w:type="dxa"/>
          <w:jc w:val="right"/>
        </w:trPr>
        <w:tc>
          <w:tcPr>
            <w:tcW w:w="897" w:type="pct"/>
          </w:tcPr>
          <w:p w14:paraId="1332950D" w14:textId="2F9CAEF2"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4.33</w:t>
            </w:r>
          </w:p>
        </w:tc>
        <w:tc>
          <w:tcPr>
            <w:tcW w:w="898" w:type="pct"/>
          </w:tcPr>
          <w:p w14:paraId="168CD0F1" w14:textId="28F057BA"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0.70</w:t>
            </w:r>
          </w:p>
        </w:tc>
        <w:tc>
          <w:tcPr>
            <w:tcW w:w="3206" w:type="pct"/>
          </w:tcPr>
          <w:p w14:paraId="33387063" w14:textId="27623DEF"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إجراءات واضحة لتقليل الأخطاء الطبية أثناء تقديم الرعاية</w:t>
            </w:r>
            <w:r w:rsidRPr="00D24D70">
              <w:rPr>
                <w:rFonts w:ascii="Traditional Arabic" w:hAnsi="Traditional Arabic" w:cs="Traditional Arabic" w:hint="cs"/>
                <w:sz w:val="20"/>
                <w:szCs w:val="20"/>
              </w:rPr>
              <w:t>.</w:t>
            </w:r>
          </w:p>
        </w:tc>
      </w:tr>
      <w:tr w:rsidR="00685C64" w:rsidRPr="00D24D70" w14:paraId="6374974E" w14:textId="77777777" w:rsidTr="007671BB">
        <w:trPr>
          <w:tblCellSpacing w:w="20" w:type="dxa"/>
          <w:jc w:val="right"/>
        </w:trPr>
        <w:tc>
          <w:tcPr>
            <w:tcW w:w="897" w:type="pct"/>
          </w:tcPr>
          <w:p w14:paraId="0256B1F6" w14:textId="7EEEB89C"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4.25</w:t>
            </w:r>
          </w:p>
        </w:tc>
        <w:tc>
          <w:tcPr>
            <w:tcW w:w="898" w:type="pct"/>
          </w:tcPr>
          <w:p w14:paraId="52F5D24E" w14:textId="272D411E"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0.74</w:t>
            </w:r>
          </w:p>
        </w:tc>
        <w:tc>
          <w:tcPr>
            <w:tcW w:w="3206" w:type="pct"/>
          </w:tcPr>
          <w:p w14:paraId="3B91CD0F" w14:textId="0E27ECE6"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مراجعة سجلات المرضى لتفادي الأخطاء العلاجية</w:t>
            </w:r>
            <w:r w:rsidRPr="00D24D70">
              <w:rPr>
                <w:rFonts w:ascii="Traditional Arabic" w:hAnsi="Traditional Arabic" w:cs="Traditional Arabic" w:hint="cs"/>
                <w:sz w:val="20"/>
                <w:szCs w:val="20"/>
              </w:rPr>
              <w:t>.</w:t>
            </w:r>
          </w:p>
        </w:tc>
      </w:tr>
      <w:tr w:rsidR="00685C64" w:rsidRPr="00D24D70" w14:paraId="53B3E0E9" w14:textId="77777777" w:rsidTr="007671BB">
        <w:trPr>
          <w:tblCellSpacing w:w="20" w:type="dxa"/>
          <w:jc w:val="right"/>
        </w:trPr>
        <w:tc>
          <w:tcPr>
            <w:tcW w:w="897" w:type="pct"/>
          </w:tcPr>
          <w:p w14:paraId="0ADD89E5" w14:textId="2CB7F498"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4.28</w:t>
            </w:r>
          </w:p>
        </w:tc>
        <w:tc>
          <w:tcPr>
            <w:tcW w:w="898" w:type="pct"/>
          </w:tcPr>
          <w:p w14:paraId="6FFFC1A6" w14:textId="282F382C"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0.72</w:t>
            </w:r>
          </w:p>
        </w:tc>
        <w:tc>
          <w:tcPr>
            <w:tcW w:w="3206" w:type="pct"/>
          </w:tcPr>
          <w:p w14:paraId="41B4E4A2" w14:textId="368AB85E"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تدريب العاملين على كيفية تجنب الأخطاء الطبية الشائعة</w:t>
            </w:r>
            <w:r w:rsidRPr="00D24D70">
              <w:rPr>
                <w:rFonts w:ascii="Traditional Arabic" w:hAnsi="Traditional Arabic" w:cs="Traditional Arabic" w:hint="cs"/>
                <w:sz w:val="20"/>
                <w:szCs w:val="20"/>
              </w:rPr>
              <w:t>.</w:t>
            </w:r>
          </w:p>
        </w:tc>
      </w:tr>
      <w:tr w:rsidR="00685C64" w:rsidRPr="00D24D70" w14:paraId="0E7430CA" w14:textId="77777777" w:rsidTr="007671BB">
        <w:trPr>
          <w:tblCellSpacing w:w="20" w:type="dxa"/>
          <w:jc w:val="right"/>
        </w:trPr>
        <w:tc>
          <w:tcPr>
            <w:tcW w:w="897" w:type="pct"/>
          </w:tcPr>
          <w:p w14:paraId="36C81E1E" w14:textId="02CFB37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lastRenderedPageBreak/>
              <w:t>4.20</w:t>
            </w:r>
          </w:p>
        </w:tc>
        <w:tc>
          <w:tcPr>
            <w:tcW w:w="898" w:type="pct"/>
          </w:tcPr>
          <w:p w14:paraId="363825B6" w14:textId="75246A04"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0.78</w:t>
            </w:r>
          </w:p>
        </w:tc>
        <w:tc>
          <w:tcPr>
            <w:tcW w:w="3206" w:type="pct"/>
          </w:tcPr>
          <w:p w14:paraId="230B9587" w14:textId="1104057B"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الأخطاء الطبية بعد وقوعها لتفادي تكرارها</w:t>
            </w:r>
            <w:r w:rsidRPr="00D24D70">
              <w:rPr>
                <w:rFonts w:ascii="Traditional Arabic" w:hAnsi="Traditional Arabic" w:cs="Traditional Arabic" w:hint="cs"/>
                <w:sz w:val="20"/>
                <w:szCs w:val="20"/>
              </w:rPr>
              <w:t>.</w:t>
            </w:r>
          </w:p>
        </w:tc>
      </w:tr>
      <w:tr w:rsidR="00685C64" w:rsidRPr="00D24D70" w14:paraId="18EF682D" w14:textId="77777777" w:rsidTr="007671BB">
        <w:trPr>
          <w:tblCellSpacing w:w="20" w:type="dxa"/>
          <w:jc w:val="right"/>
        </w:trPr>
        <w:tc>
          <w:tcPr>
            <w:tcW w:w="5000" w:type="pct"/>
            <w:gridSpan w:val="3"/>
          </w:tcPr>
          <w:p w14:paraId="65DAE0D0" w14:textId="62530AFC"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ثانيًا: فعالية أنظمة الإبلاغ</w:t>
            </w:r>
          </w:p>
        </w:tc>
      </w:tr>
      <w:tr w:rsidR="00685C64" w:rsidRPr="00D24D70" w14:paraId="4B31A971" w14:textId="77777777" w:rsidTr="007671BB">
        <w:trPr>
          <w:tblCellSpacing w:w="20" w:type="dxa"/>
          <w:jc w:val="right"/>
        </w:trPr>
        <w:tc>
          <w:tcPr>
            <w:tcW w:w="897" w:type="pct"/>
          </w:tcPr>
          <w:p w14:paraId="337C4D4E" w14:textId="26D95471"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4.22</w:t>
            </w:r>
          </w:p>
        </w:tc>
        <w:tc>
          <w:tcPr>
            <w:tcW w:w="898" w:type="pct"/>
          </w:tcPr>
          <w:p w14:paraId="42AE83B3" w14:textId="7A89464B"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0.76</w:t>
            </w:r>
          </w:p>
        </w:tc>
        <w:tc>
          <w:tcPr>
            <w:tcW w:w="3206" w:type="pct"/>
          </w:tcPr>
          <w:p w14:paraId="3BFF461D" w14:textId="7F5AA3E1"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توجد آلية فعالة للإبلاغ عن الحوادث الطبية داخل المنشأة</w:t>
            </w:r>
            <w:r w:rsidRPr="00D24D70">
              <w:rPr>
                <w:rFonts w:ascii="Traditional Arabic" w:hAnsi="Traditional Arabic" w:cs="Traditional Arabic" w:hint="cs"/>
                <w:sz w:val="20"/>
                <w:szCs w:val="20"/>
              </w:rPr>
              <w:t>.</w:t>
            </w:r>
          </w:p>
        </w:tc>
      </w:tr>
      <w:tr w:rsidR="00685C64" w:rsidRPr="00D24D70" w14:paraId="5964A8B8" w14:textId="77777777" w:rsidTr="007671BB">
        <w:trPr>
          <w:tblCellSpacing w:w="20" w:type="dxa"/>
          <w:jc w:val="right"/>
        </w:trPr>
        <w:tc>
          <w:tcPr>
            <w:tcW w:w="897" w:type="pct"/>
          </w:tcPr>
          <w:p w14:paraId="4B3E24E6" w14:textId="534DD9A9"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4.10</w:t>
            </w:r>
          </w:p>
        </w:tc>
        <w:tc>
          <w:tcPr>
            <w:tcW w:w="898" w:type="pct"/>
          </w:tcPr>
          <w:p w14:paraId="2A1A6505" w14:textId="6CA40A0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0.84</w:t>
            </w:r>
          </w:p>
        </w:tc>
        <w:tc>
          <w:tcPr>
            <w:tcW w:w="3206" w:type="pct"/>
          </w:tcPr>
          <w:p w14:paraId="51A24602" w14:textId="6C217C04"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الإبلاغ عن الأخطاء الطبية دون خوف من العقوبة</w:t>
            </w:r>
            <w:r w:rsidRPr="00D24D70">
              <w:rPr>
                <w:rFonts w:ascii="Traditional Arabic" w:hAnsi="Traditional Arabic" w:cs="Traditional Arabic" w:hint="cs"/>
                <w:sz w:val="20"/>
                <w:szCs w:val="20"/>
              </w:rPr>
              <w:t>.</w:t>
            </w:r>
          </w:p>
        </w:tc>
      </w:tr>
      <w:tr w:rsidR="00685C64" w:rsidRPr="00D24D70" w14:paraId="7CDA3E55" w14:textId="77777777" w:rsidTr="007671BB">
        <w:trPr>
          <w:tblCellSpacing w:w="20" w:type="dxa"/>
          <w:jc w:val="right"/>
        </w:trPr>
        <w:tc>
          <w:tcPr>
            <w:tcW w:w="897" w:type="pct"/>
          </w:tcPr>
          <w:p w14:paraId="05A98D90" w14:textId="5B9F9EC3"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4.18</w:t>
            </w:r>
          </w:p>
        </w:tc>
        <w:tc>
          <w:tcPr>
            <w:tcW w:w="898" w:type="pct"/>
          </w:tcPr>
          <w:p w14:paraId="54A8844F" w14:textId="159A7BAE"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0.79</w:t>
            </w:r>
          </w:p>
        </w:tc>
        <w:tc>
          <w:tcPr>
            <w:tcW w:w="3206" w:type="pct"/>
          </w:tcPr>
          <w:p w14:paraId="5FE8B0FA" w14:textId="628777B5"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التعامل مع البلاغات بسرية واحترافية</w:t>
            </w:r>
            <w:r w:rsidRPr="00D24D70">
              <w:rPr>
                <w:rFonts w:ascii="Traditional Arabic" w:hAnsi="Traditional Arabic" w:cs="Traditional Arabic" w:hint="cs"/>
                <w:sz w:val="20"/>
                <w:szCs w:val="20"/>
              </w:rPr>
              <w:t>.</w:t>
            </w:r>
          </w:p>
        </w:tc>
      </w:tr>
      <w:tr w:rsidR="00685C64" w:rsidRPr="00D24D70" w14:paraId="40F36D1F" w14:textId="77777777" w:rsidTr="007671BB">
        <w:trPr>
          <w:tblCellSpacing w:w="20" w:type="dxa"/>
          <w:jc w:val="right"/>
        </w:trPr>
        <w:tc>
          <w:tcPr>
            <w:tcW w:w="897" w:type="pct"/>
          </w:tcPr>
          <w:p w14:paraId="5B964913" w14:textId="02084F1F"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4.15</w:t>
            </w:r>
          </w:p>
        </w:tc>
        <w:tc>
          <w:tcPr>
            <w:tcW w:w="898" w:type="pct"/>
          </w:tcPr>
          <w:p w14:paraId="2F7E4408" w14:textId="13D00F1D"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0.81</w:t>
            </w:r>
          </w:p>
        </w:tc>
        <w:tc>
          <w:tcPr>
            <w:tcW w:w="3206" w:type="pct"/>
          </w:tcPr>
          <w:p w14:paraId="1A04B07D" w14:textId="2FE07D84"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البلاغات واستخدامها لتحسين جودة الرعاية</w:t>
            </w:r>
            <w:r w:rsidRPr="00D24D70">
              <w:rPr>
                <w:rFonts w:ascii="Traditional Arabic" w:hAnsi="Traditional Arabic" w:cs="Traditional Arabic" w:hint="cs"/>
                <w:sz w:val="20"/>
                <w:szCs w:val="20"/>
              </w:rPr>
              <w:t>.</w:t>
            </w:r>
          </w:p>
        </w:tc>
      </w:tr>
      <w:tr w:rsidR="00685C64" w:rsidRPr="00D24D70" w14:paraId="1371F322" w14:textId="77777777" w:rsidTr="007671BB">
        <w:trPr>
          <w:tblCellSpacing w:w="20" w:type="dxa"/>
          <w:jc w:val="right"/>
        </w:trPr>
        <w:tc>
          <w:tcPr>
            <w:tcW w:w="5000" w:type="pct"/>
            <w:gridSpan w:val="3"/>
          </w:tcPr>
          <w:p w14:paraId="08CBF490" w14:textId="523C015A"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ثالثًا: إشراك المرضى</w:t>
            </w:r>
          </w:p>
        </w:tc>
      </w:tr>
      <w:tr w:rsidR="00685C64" w:rsidRPr="00D24D70" w14:paraId="2E0686C6" w14:textId="77777777" w:rsidTr="007671BB">
        <w:trPr>
          <w:tblCellSpacing w:w="20" w:type="dxa"/>
          <w:jc w:val="right"/>
        </w:trPr>
        <w:tc>
          <w:tcPr>
            <w:tcW w:w="897" w:type="pct"/>
          </w:tcPr>
          <w:p w14:paraId="15892962" w14:textId="630CAFB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4.05</w:t>
            </w:r>
          </w:p>
        </w:tc>
        <w:tc>
          <w:tcPr>
            <w:tcW w:w="898" w:type="pct"/>
          </w:tcPr>
          <w:p w14:paraId="4A0559C3" w14:textId="78BDC709"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0.87</w:t>
            </w:r>
          </w:p>
        </w:tc>
        <w:tc>
          <w:tcPr>
            <w:tcW w:w="3206" w:type="pct"/>
          </w:tcPr>
          <w:p w14:paraId="4A515A6B" w14:textId="23899005"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إشراك المرضى في اتخاذ القرارات المتعلقة بعلاجهم</w:t>
            </w:r>
            <w:r w:rsidRPr="00D24D70">
              <w:rPr>
                <w:rFonts w:ascii="Traditional Arabic" w:hAnsi="Traditional Arabic" w:cs="Traditional Arabic" w:hint="cs"/>
                <w:sz w:val="20"/>
                <w:szCs w:val="20"/>
              </w:rPr>
              <w:t>.</w:t>
            </w:r>
          </w:p>
        </w:tc>
      </w:tr>
      <w:tr w:rsidR="00685C64" w:rsidRPr="00D24D70" w14:paraId="0A6C76A7" w14:textId="77777777" w:rsidTr="007671BB">
        <w:trPr>
          <w:tblCellSpacing w:w="20" w:type="dxa"/>
          <w:jc w:val="right"/>
        </w:trPr>
        <w:tc>
          <w:tcPr>
            <w:tcW w:w="897" w:type="pct"/>
          </w:tcPr>
          <w:p w14:paraId="4B6D33D8" w14:textId="6F66CB15"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4.12</w:t>
            </w:r>
          </w:p>
        </w:tc>
        <w:tc>
          <w:tcPr>
            <w:tcW w:w="898" w:type="pct"/>
          </w:tcPr>
          <w:p w14:paraId="376ABE1C" w14:textId="5589D878"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0.83</w:t>
            </w:r>
          </w:p>
        </w:tc>
        <w:tc>
          <w:tcPr>
            <w:tcW w:w="3206" w:type="pct"/>
          </w:tcPr>
          <w:p w14:paraId="150C0D71" w14:textId="2442468B"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توعية المرضى بحقوقهم وواجباتهم داخل المنشأة</w:t>
            </w:r>
            <w:r w:rsidRPr="00D24D70">
              <w:rPr>
                <w:rFonts w:ascii="Traditional Arabic" w:hAnsi="Traditional Arabic" w:cs="Traditional Arabic" w:hint="cs"/>
                <w:sz w:val="20"/>
                <w:szCs w:val="20"/>
              </w:rPr>
              <w:t>.</w:t>
            </w:r>
          </w:p>
        </w:tc>
      </w:tr>
      <w:tr w:rsidR="00685C64" w:rsidRPr="00D24D70" w14:paraId="326095E2" w14:textId="77777777" w:rsidTr="007671BB">
        <w:trPr>
          <w:tblCellSpacing w:w="20" w:type="dxa"/>
          <w:jc w:val="right"/>
        </w:trPr>
        <w:tc>
          <w:tcPr>
            <w:tcW w:w="897" w:type="pct"/>
          </w:tcPr>
          <w:p w14:paraId="7771C45B" w14:textId="1D98F8E5"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4.08</w:t>
            </w:r>
          </w:p>
        </w:tc>
        <w:tc>
          <w:tcPr>
            <w:tcW w:w="898" w:type="pct"/>
          </w:tcPr>
          <w:p w14:paraId="6286DB01" w14:textId="10913E17"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0.85</w:t>
            </w:r>
          </w:p>
        </w:tc>
        <w:tc>
          <w:tcPr>
            <w:tcW w:w="3206" w:type="pct"/>
          </w:tcPr>
          <w:p w14:paraId="6A8CB09E" w14:textId="2F07A41D"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تشجيع المرضى على الإبلاغ عن أي خلل في الرعاية المقدمة</w:t>
            </w:r>
            <w:r w:rsidRPr="00D24D70">
              <w:rPr>
                <w:rFonts w:ascii="Traditional Arabic" w:hAnsi="Traditional Arabic" w:cs="Traditional Arabic" w:hint="cs"/>
                <w:sz w:val="20"/>
                <w:szCs w:val="20"/>
              </w:rPr>
              <w:t>.</w:t>
            </w:r>
          </w:p>
        </w:tc>
      </w:tr>
      <w:tr w:rsidR="00685C64" w:rsidRPr="00D24D70" w14:paraId="6627487E" w14:textId="77777777" w:rsidTr="007671BB">
        <w:trPr>
          <w:tblCellSpacing w:w="20" w:type="dxa"/>
          <w:jc w:val="right"/>
        </w:trPr>
        <w:tc>
          <w:tcPr>
            <w:tcW w:w="897" w:type="pct"/>
          </w:tcPr>
          <w:p w14:paraId="3E62DBF0" w14:textId="532FC95F"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4.14</w:t>
            </w:r>
          </w:p>
        </w:tc>
        <w:tc>
          <w:tcPr>
            <w:tcW w:w="898" w:type="pct"/>
          </w:tcPr>
          <w:p w14:paraId="719C620C" w14:textId="6B4D1D5F"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0.80</w:t>
            </w:r>
          </w:p>
        </w:tc>
        <w:tc>
          <w:tcPr>
            <w:tcW w:w="3206" w:type="pct"/>
          </w:tcPr>
          <w:p w14:paraId="176A5ABA" w14:textId="086CB9E1"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أخذ ملاحظات المرضى بعين الاعتبار لتحسين الخدمة</w:t>
            </w:r>
            <w:r w:rsidRPr="00D24D70">
              <w:rPr>
                <w:rFonts w:ascii="Traditional Arabic" w:hAnsi="Traditional Arabic" w:cs="Traditional Arabic" w:hint="cs"/>
                <w:sz w:val="20"/>
                <w:szCs w:val="20"/>
              </w:rPr>
              <w:t>.</w:t>
            </w:r>
          </w:p>
        </w:tc>
      </w:tr>
      <w:tr w:rsidR="00685C64" w:rsidRPr="00D24D70" w14:paraId="4B923478" w14:textId="77777777" w:rsidTr="007671BB">
        <w:trPr>
          <w:tblCellSpacing w:w="20" w:type="dxa"/>
          <w:jc w:val="right"/>
        </w:trPr>
        <w:tc>
          <w:tcPr>
            <w:tcW w:w="5000" w:type="pct"/>
            <w:gridSpan w:val="3"/>
          </w:tcPr>
          <w:p w14:paraId="137D5E2A" w14:textId="4E23A3A9"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رابعًا: بيئة العمل الآمنة</w:t>
            </w:r>
          </w:p>
        </w:tc>
      </w:tr>
      <w:tr w:rsidR="00685C64" w:rsidRPr="00D24D70" w14:paraId="24DC9BAC" w14:textId="77777777" w:rsidTr="007671BB">
        <w:trPr>
          <w:tblCellSpacing w:w="20" w:type="dxa"/>
          <w:jc w:val="right"/>
        </w:trPr>
        <w:tc>
          <w:tcPr>
            <w:tcW w:w="897" w:type="pct"/>
          </w:tcPr>
          <w:p w14:paraId="42F3B6CF" w14:textId="484A69B4"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4.26</w:t>
            </w:r>
          </w:p>
        </w:tc>
        <w:tc>
          <w:tcPr>
            <w:tcW w:w="898" w:type="pct"/>
          </w:tcPr>
          <w:p w14:paraId="1AB90D86" w14:textId="69C5FA07"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0.74</w:t>
            </w:r>
          </w:p>
        </w:tc>
        <w:tc>
          <w:tcPr>
            <w:tcW w:w="3206" w:type="pct"/>
          </w:tcPr>
          <w:p w14:paraId="48489DDA" w14:textId="6B15BE00"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توفير بيئة عمل آمنة للعاملين والمرضى على حد سواء</w:t>
            </w:r>
            <w:r w:rsidRPr="00D24D70">
              <w:rPr>
                <w:rFonts w:ascii="Traditional Arabic" w:hAnsi="Traditional Arabic" w:cs="Traditional Arabic" w:hint="cs"/>
                <w:sz w:val="20"/>
                <w:szCs w:val="20"/>
              </w:rPr>
              <w:t>.</w:t>
            </w:r>
          </w:p>
        </w:tc>
      </w:tr>
      <w:tr w:rsidR="00685C64" w:rsidRPr="00D24D70" w14:paraId="49830034" w14:textId="77777777" w:rsidTr="007671BB">
        <w:trPr>
          <w:tblCellSpacing w:w="20" w:type="dxa"/>
          <w:jc w:val="right"/>
        </w:trPr>
        <w:tc>
          <w:tcPr>
            <w:tcW w:w="897" w:type="pct"/>
          </w:tcPr>
          <w:p w14:paraId="3E4CE968" w14:textId="3C26EF93"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4.23</w:t>
            </w:r>
          </w:p>
        </w:tc>
        <w:tc>
          <w:tcPr>
            <w:tcW w:w="898" w:type="pct"/>
          </w:tcPr>
          <w:p w14:paraId="27A2FF0B" w14:textId="3CC1B1B2"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0.77</w:t>
            </w:r>
          </w:p>
        </w:tc>
        <w:tc>
          <w:tcPr>
            <w:tcW w:w="3206" w:type="pct"/>
          </w:tcPr>
          <w:p w14:paraId="331F0EAE" w14:textId="6DCAC497"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معايير السلامة المهنية داخل المنشأة</w:t>
            </w:r>
            <w:r w:rsidRPr="00D24D70">
              <w:rPr>
                <w:rFonts w:ascii="Traditional Arabic" w:hAnsi="Traditional Arabic" w:cs="Traditional Arabic" w:hint="cs"/>
                <w:sz w:val="20"/>
                <w:szCs w:val="20"/>
              </w:rPr>
              <w:t>.</w:t>
            </w:r>
          </w:p>
        </w:tc>
      </w:tr>
      <w:tr w:rsidR="00685C64" w:rsidRPr="00D24D70" w14:paraId="7EC40F70" w14:textId="77777777" w:rsidTr="007671BB">
        <w:trPr>
          <w:tblCellSpacing w:w="20" w:type="dxa"/>
          <w:jc w:val="right"/>
        </w:trPr>
        <w:tc>
          <w:tcPr>
            <w:tcW w:w="897" w:type="pct"/>
          </w:tcPr>
          <w:p w14:paraId="41ABA04F" w14:textId="16E4C74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4.19</w:t>
            </w:r>
          </w:p>
        </w:tc>
        <w:tc>
          <w:tcPr>
            <w:tcW w:w="898" w:type="pct"/>
          </w:tcPr>
          <w:p w14:paraId="7031D33C" w14:textId="61BD89FD"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0.82</w:t>
            </w:r>
          </w:p>
        </w:tc>
        <w:tc>
          <w:tcPr>
            <w:tcW w:w="3206" w:type="pct"/>
          </w:tcPr>
          <w:p w14:paraId="42818B26" w14:textId="3F63ACA4"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صيانة الأجهزة الطبية بشكل دوري لضمان سلامتها</w:t>
            </w:r>
            <w:r w:rsidRPr="00D24D70">
              <w:rPr>
                <w:rFonts w:ascii="Traditional Arabic" w:hAnsi="Traditional Arabic" w:cs="Traditional Arabic" w:hint="cs"/>
                <w:sz w:val="20"/>
                <w:szCs w:val="20"/>
              </w:rPr>
              <w:t>.</w:t>
            </w:r>
          </w:p>
        </w:tc>
      </w:tr>
      <w:tr w:rsidR="00685C64" w:rsidRPr="00D24D70" w14:paraId="228C0DCE" w14:textId="77777777" w:rsidTr="007671BB">
        <w:trPr>
          <w:tblCellSpacing w:w="20" w:type="dxa"/>
          <w:jc w:val="right"/>
        </w:trPr>
        <w:tc>
          <w:tcPr>
            <w:tcW w:w="897" w:type="pct"/>
          </w:tcPr>
          <w:p w14:paraId="42912556" w14:textId="6DE2E179"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4.11</w:t>
            </w:r>
          </w:p>
        </w:tc>
        <w:tc>
          <w:tcPr>
            <w:tcW w:w="898" w:type="pct"/>
          </w:tcPr>
          <w:p w14:paraId="55523293" w14:textId="33F0CD41"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0.86</w:t>
            </w:r>
          </w:p>
        </w:tc>
        <w:tc>
          <w:tcPr>
            <w:tcW w:w="3206" w:type="pct"/>
          </w:tcPr>
          <w:p w14:paraId="4D6B258A" w14:textId="37FEF87A"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تقليل عوامل الإجهاد والتوتر في بيئة العمل</w:t>
            </w:r>
            <w:r w:rsidRPr="00D24D70">
              <w:rPr>
                <w:rFonts w:ascii="Traditional Arabic" w:hAnsi="Traditional Arabic" w:cs="Traditional Arabic" w:hint="cs"/>
                <w:sz w:val="20"/>
                <w:szCs w:val="20"/>
              </w:rPr>
              <w:t>.</w:t>
            </w:r>
          </w:p>
        </w:tc>
      </w:tr>
      <w:tr w:rsidR="006D516E" w:rsidRPr="00D24D70" w14:paraId="4C13816F" w14:textId="77777777" w:rsidTr="007671BB">
        <w:trPr>
          <w:tblCellSpacing w:w="20" w:type="dxa"/>
          <w:jc w:val="right"/>
        </w:trPr>
        <w:tc>
          <w:tcPr>
            <w:tcW w:w="5000" w:type="pct"/>
            <w:gridSpan w:val="3"/>
          </w:tcPr>
          <w:p w14:paraId="5385B8E8" w14:textId="4B8F2D32" w:rsidR="006D516E" w:rsidRPr="00D24D70" w:rsidRDefault="006D516E"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خامسًا: جودة الرعاية السريرية</w:t>
            </w:r>
          </w:p>
        </w:tc>
      </w:tr>
      <w:tr w:rsidR="006D516E" w:rsidRPr="00D24D70" w14:paraId="0286519E" w14:textId="77777777" w:rsidTr="007671BB">
        <w:trPr>
          <w:tblCellSpacing w:w="20" w:type="dxa"/>
          <w:jc w:val="right"/>
        </w:trPr>
        <w:tc>
          <w:tcPr>
            <w:tcW w:w="897" w:type="pct"/>
          </w:tcPr>
          <w:p w14:paraId="028CFDDE" w14:textId="04679DD0"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4.30</w:t>
            </w:r>
          </w:p>
        </w:tc>
        <w:tc>
          <w:tcPr>
            <w:tcW w:w="898" w:type="pct"/>
          </w:tcPr>
          <w:p w14:paraId="75F3E83D" w14:textId="161DF108"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0.71</w:t>
            </w:r>
          </w:p>
        </w:tc>
        <w:tc>
          <w:tcPr>
            <w:tcW w:w="3206" w:type="pct"/>
          </w:tcPr>
          <w:p w14:paraId="29216E04" w14:textId="15B489CA"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تقديم الرعاية السريرية وفقًا لأحدث البروتوكولات الطبية</w:t>
            </w:r>
            <w:r w:rsidRPr="00D24D70">
              <w:rPr>
                <w:rFonts w:ascii="Traditional Arabic" w:hAnsi="Traditional Arabic" w:cs="Traditional Arabic" w:hint="cs"/>
                <w:sz w:val="20"/>
                <w:szCs w:val="20"/>
              </w:rPr>
              <w:t>.</w:t>
            </w:r>
          </w:p>
        </w:tc>
      </w:tr>
      <w:tr w:rsidR="006D516E" w:rsidRPr="00D24D70" w14:paraId="00CFD816" w14:textId="77777777" w:rsidTr="007671BB">
        <w:trPr>
          <w:tblCellSpacing w:w="20" w:type="dxa"/>
          <w:jc w:val="right"/>
        </w:trPr>
        <w:tc>
          <w:tcPr>
            <w:tcW w:w="897" w:type="pct"/>
          </w:tcPr>
          <w:p w14:paraId="703611B2" w14:textId="4A16C19B"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4.22</w:t>
            </w:r>
          </w:p>
        </w:tc>
        <w:tc>
          <w:tcPr>
            <w:tcW w:w="898" w:type="pct"/>
          </w:tcPr>
          <w:p w14:paraId="6551C94E" w14:textId="660E2C20"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0.78</w:t>
            </w:r>
          </w:p>
        </w:tc>
        <w:tc>
          <w:tcPr>
            <w:tcW w:w="3206" w:type="pct"/>
          </w:tcPr>
          <w:p w14:paraId="0DA4A80E" w14:textId="48BFB924"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تقييم جودة الرعاية السريرية بشكل دوري</w:t>
            </w:r>
            <w:r w:rsidRPr="00D24D70">
              <w:rPr>
                <w:rFonts w:ascii="Traditional Arabic" w:hAnsi="Traditional Arabic" w:cs="Traditional Arabic" w:hint="cs"/>
                <w:sz w:val="20"/>
                <w:szCs w:val="20"/>
              </w:rPr>
              <w:t>.</w:t>
            </w:r>
          </w:p>
        </w:tc>
      </w:tr>
      <w:tr w:rsidR="006D516E" w:rsidRPr="00D24D70" w14:paraId="7BC61ED0" w14:textId="77777777" w:rsidTr="007671BB">
        <w:trPr>
          <w:tblCellSpacing w:w="20" w:type="dxa"/>
          <w:jc w:val="right"/>
        </w:trPr>
        <w:tc>
          <w:tcPr>
            <w:tcW w:w="897" w:type="pct"/>
          </w:tcPr>
          <w:p w14:paraId="40A183E8" w14:textId="7E2E7B08"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4.24</w:t>
            </w:r>
          </w:p>
        </w:tc>
        <w:tc>
          <w:tcPr>
            <w:tcW w:w="898" w:type="pct"/>
          </w:tcPr>
          <w:p w14:paraId="0F4E32CD" w14:textId="5832E3C1"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0.75</w:t>
            </w:r>
          </w:p>
        </w:tc>
        <w:tc>
          <w:tcPr>
            <w:tcW w:w="3206" w:type="pct"/>
          </w:tcPr>
          <w:p w14:paraId="45FFA768" w14:textId="33585B13"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تدريب العاملين على المهارات السريرية الحديثة</w:t>
            </w:r>
            <w:r w:rsidRPr="00D24D70">
              <w:rPr>
                <w:rFonts w:ascii="Traditional Arabic" w:hAnsi="Traditional Arabic" w:cs="Traditional Arabic" w:hint="cs"/>
                <w:sz w:val="20"/>
                <w:szCs w:val="20"/>
              </w:rPr>
              <w:t>.</w:t>
            </w:r>
          </w:p>
        </w:tc>
      </w:tr>
      <w:tr w:rsidR="006D516E" w:rsidRPr="00D24D70" w14:paraId="6CC29E52" w14:textId="77777777" w:rsidTr="007671BB">
        <w:trPr>
          <w:tblCellSpacing w:w="20" w:type="dxa"/>
          <w:jc w:val="right"/>
        </w:trPr>
        <w:tc>
          <w:tcPr>
            <w:tcW w:w="897" w:type="pct"/>
          </w:tcPr>
          <w:p w14:paraId="3CE4D3D3" w14:textId="5FAABA52"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4.27</w:t>
            </w:r>
          </w:p>
        </w:tc>
        <w:tc>
          <w:tcPr>
            <w:tcW w:w="898" w:type="pct"/>
          </w:tcPr>
          <w:p w14:paraId="319F0B43" w14:textId="33BAD480"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0.73</w:t>
            </w:r>
          </w:p>
        </w:tc>
        <w:tc>
          <w:tcPr>
            <w:tcW w:w="3206" w:type="pct"/>
          </w:tcPr>
          <w:p w14:paraId="3D7FD95D" w14:textId="2176FDE1"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متابعة نتائج العلاج لضمان فعاليته وسلامة المرضى</w:t>
            </w:r>
            <w:r w:rsidRPr="00D24D70">
              <w:rPr>
                <w:rFonts w:ascii="Traditional Arabic" w:hAnsi="Traditional Arabic" w:cs="Traditional Arabic" w:hint="cs"/>
                <w:sz w:val="20"/>
                <w:szCs w:val="20"/>
              </w:rPr>
              <w:t>.</w:t>
            </w:r>
          </w:p>
        </w:tc>
      </w:tr>
    </w:tbl>
    <w:p w14:paraId="7C9917D3" w14:textId="7E96CCEC" w:rsidR="00E12BFB" w:rsidRPr="00CD7441" w:rsidRDefault="00DF67BA" w:rsidP="00CD7441">
      <w:pPr>
        <w:bidi/>
        <w:spacing w:after="200" w:line="360" w:lineRule="auto"/>
        <w:ind w:firstLine="720"/>
        <w:jc w:val="both"/>
        <w:rPr>
          <w:rFonts w:ascii="Traditional Arabic" w:hAnsi="Traditional Arabic" w:cs="Traditional Arabic"/>
          <w:color w:val="000000" w:themeColor="text1"/>
          <w:sz w:val="24"/>
          <w:szCs w:val="24"/>
          <w:rtl/>
          <w:lang w:bidi="ar-EG"/>
        </w:rPr>
      </w:pPr>
      <w:r w:rsidRPr="007671BB">
        <w:rPr>
          <w:rFonts w:ascii="Traditional Arabic" w:hAnsi="Traditional Arabic" w:cs="Traditional Arabic" w:hint="cs"/>
          <w:color w:val="000000" w:themeColor="text1"/>
          <w:sz w:val="24"/>
          <w:szCs w:val="24"/>
          <w:rtl/>
        </w:rPr>
        <w:t xml:space="preserve">أظهرت نتائج التحليل الوصفي لمتغيرات الدراسة الثلاثة (إدارة المخاطر، القيادة التحويلية، وسلامة المرضى) أن المتوسطات الحسابية لجميع العبارات تراوحت بين (4.03 – 4.35)، وهي تقع ضمن المستوى المرتفع على مقياس ليكرت الخماسي، مما يدل على </w:t>
      </w:r>
      <w:r w:rsidRPr="007671BB">
        <w:rPr>
          <w:rFonts w:ascii="Traditional Arabic" w:hAnsi="Traditional Arabic" w:cs="Traditional Arabic" w:hint="cs"/>
          <w:color w:val="000000" w:themeColor="text1"/>
          <w:sz w:val="24"/>
          <w:szCs w:val="24"/>
          <w:rtl/>
        </w:rPr>
        <w:lastRenderedPageBreak/>
        <w:t xml:space="preserve">اتفاق كبير بين أفراد العينة (ن = 200) حول توافر الممارسات المستهدفة في بيئة العمل. ويُعزز هذا الاتجاه الإيجابي انخفاض قيم الانحراف المعياري التي تراوحت بين (0.68 – 0.91)، مما يعكس تجانسًا واضحًا في استجابات المشاركين، ويُشير إلى أن التقديرات لم تكن متباينة بشكل كبير بين الأفراد. فعلى سبيل المثال، سجلت عبارات مثل </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يُظهر القائد سلوكًا أخلاقيًا يُحتذى به</w:t>
      </w:r>
      <w:r w:rsidRPr="007671BB">
        <w:rPr>
          <w:rFonts w:ascii="Traditional Arabic" w:hAnsi="Traditional Arabic" w:cs="Traditional Arabic" w:hint="cs"/>
          <w:color w:val="000000" w:themeColor="text1"/>
          <w:sz w:val="24"/>
          <w:szCs w:val="24"/>
          <w:lang w:bidi="ar-EG"/>
        </w:rPr>
        <w:t xml:space="preserve">" </w:t>
      </w:r>
      <w:r w:rsidRPr="007671BB">
        <w:rPr>
          <w:rFonts w:ascii="Traditional Arabic" w:hAnsi="Traditional Arabic" w:cs="Traditional Arabic" w:hint="cs"/>
          <w:color w:val="000000" w:themeColor="text1"/>
          <w:sz w:val="24"/>
          <w:szCs w:val="24"/>
          <w:rtl/>
        </w:rPr>
        <w:t>و</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يتم تطبيق إجراءات واضحة لتقليل الأخطاء الطبية</w:t>
      </w:r>
      <w:r w:rsidRPr="007671BB">
        <w:rPr>
          <w:rFonts w:ascii="Traditional Arabic" w:hAnsi="Traditional Arabic" w:cs="Traditional Arabic" w:hint="cs"/>
          <w:color w:val="000000" w:themeColor="text1"/>
          <w:sz w:val="24"/>
          <w:szCs w:val="24"/>
          <w:lang w:bidi="ar-EG"/>
        </w:rPr>
        <w:t xml:space="preserve">" </w:t>
      </w:r>
      <w:r w:rsidRPr="007671BB">
        <w:rPr>
          <w:rFonts w:ascii="Traditional Arabic" w:hAnsi="Traditional Arabic" w:cs="Traditional Arabic" w:hint="cs"/>
          <w:color w:val="000000" w:themeColor="text1"/>
          <w:sz w:val="24"/>
          <w:szCs w:val="24"/>
          <w:rtl/>
        </w:rPr>
        <w:t xml:space="preserve">أعلى المتوسطات وأدنى انحرافات معيارية، مما يدل على وجود إدراك جماعي قوي لهذه الممارسات. في المقابل، فإن بعض العبارات التي ارتبطت بممارسات أكثر تخصصًا أو تتطلب تنسيقًا متعدد المستويات، مثل </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يتم إشراك فرق متعددة التخصصات في تحليل المخاطر المعقدة</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 جاءت بانحراف معياري أعلى نسبيًا، مما قد يعكس تفاوتًا في التطبيق العملي بين الأقسام أو المنشآت. وتُشير هذه النتائج مجتمعة إلى أن بيئة العمل المدروسة تتسم بدرجة عالية من التنظيم والالتزام بمعايير الجودة والسلامة، مدعومة بقيادة تحويلية فعالة، وأن هناك وعيًا مؤسسيًا متقدمًا بأهمية إدارة المخاطر وإشراك المرضى وتوفير بيئة داعمة للعاملين، وهو ما يُعد مؤشرًا إيجابيًا على نضج الثقافة التنظيمية في القطاع الصحي محل الدراسة</w:t>
      </w:r>
      <w:r w:rsidRPr="007671BB">
        <w:rPr>
          <w:rFonts w:ascii="Traditional Arabic" w:hAnsi="Traditional Arabic" w:cs="Traditional Arabic" w:hint="cs"/>
          <w:color w:val="000000" w:themeColor="text1"/>
          <w:sz w:val="24"/>
          <w:szCs w:val="24"/>
          <w:lang w:bidi="ar-EG"/>
        </w:rPr>
        <w:t>.</w:t>
      </w:r>
    </w:p>
    <w:p w14:paraId="30111B52" w14:textId="2E5E8ECD" w:rsidR="00E448FC" w:rsidRPr="006A014B" w:rsidRDefault="00E448FC" w:rsidP="00E12BFB">
      <w:pPr>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الخصائص السيكومترية</w:t>
      </w:r>
      <w:r w:rsidRPr="006A014B">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ل</w:t>
      </w:r>
      <w:r w:rsidRPr="006A014B">
        <w:rPr>
          <w:rFonts w:ascii="Traditional Arabic" w:hAnsi="Traditional Arabic" w:cs="Traditional Arabic" w:hint="cs"/>
          <w:b/>
          <w:bCs/>
          <w:color w:val="000000" w:themeColor="text1"/>
          <w:sz w:val="28"/>
          <w:szCs w:val="28"/>
          <w:rtl/>
        </w:rPr>
        <w:t>أداة الدراسة :</w:t>
      </w:r>
    </w:p>
    <w:p w14:paraId="1B51D3C3" w14:textId="77777777" w:rsidR="00E448FC" w:rsidRPr="006A014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6A014B">
        <w:rPr>
          <w:rFonts w:ascii="Traditional Arabic" w:hAnsi="Traditional Arabic" w:cs="Traditional Arabic" w:hint="cs"/>
          <w:color w:val="000000" w:themeColor="text1"/>
          <w:sz w:val="24"/>
          <w:szCs w:val="24"/>
          <w:rtl/>
        </w:rPr>
        <w:t>بعد الاطلاع على الأدب النظري والدراسات السابقة ذات الصلة بموضوع تأثير إدارة المخاطر على سلامة المرضى والدور الوسيط للقيادة التحويلية، تم تحديد متغيرات الدراسة على النحو الآتي: المتغير المستقل هو إدارة المخاطر، والمتغير الوسيط هو القيادة التحويلية، أما المتغير التابع فهو سلامة المرضى</w:t>
      </w:r>
      <w:r w:rsidRPr="006A014B">
        <w:rPr>
          <w:rFonts w:ascii="Traditional Arabic" w:hAnsi="Traditional Arabic" w:cs="Traditional Arabic" w:hint="cs"/>
          <w:color w:val="000000" w:themeColor="text1"/>
          <w:sz w:val="24"/>
          <w:szCs w:val="24"/>
        </w:rPr>
        <w:t xml:space="preserve">. </w:t>
      </w:r>
      <w:r w:rsidRPr="006A014B">
        <w:rPr>
          <w:rFonts w:ascii="Traditional Arabic" w:hAnsi="Traditional Arabic" w:cs="Traditional Arabic" w:hint="cs"/>
          <w:color w:val="000000" w:themeColor="text1"/>
          <w:sz w:val="24"/>
          <w:szCs w:val="24"/>
          <w:rtl/>
        </w:rPr>
        <w:t>وقد تناولت العديد من الدراسات العربية والأجنبية هذه المتغيرات وأكدت على أهميتها في بيئة الرعاية الصحية. فعلى سبيل المثال، دراسة أبو رمان (2019)، ودراسة الأحمدي (1438هـ)، ودراسة علي وآخرون (2021)، ودراسة فريحات والشرعة (2020)، ودراسة الخطيب (2018)، ودراسة السبيعي (2017)، ودراسة العسيري (2021)، ودراسة الطروني (2017)، ودراسة عبدالمجيد (2024)، ودراسة الأكاديمية البريطانية للتدريب والتطوير (2023). أما الدراسات الأجنبية فقد شملت دراسة</w:t>
      </w:r>
      <w:r w:rsidRPr="006A014B">
        <w:rPr>
          <w:rFonts w:ascii="Traditional Arabic" w:hAnsi="Traditional Arabic" w:cs="Traditional Arabic" w:hint="cs"/>
          <w:color w:val="000000" w:themeColor="text1"/>
          <w:sz w:val="24"/>
          <w:szCs w:val="24"/>
        </w:rPr>
        <w:t xml:space="preserve"> Abou-Moghli (2018)</w:t>
      </w:r>
      <w:r w:rsidRPr="006A014B">
        <w:rPr>
          <w:rFonts w:ascii="Traditional Arabic" w:hAnsi="Traditional Arabic" w:cs="Traditional Arabic" w:hint="cs"/>
          <w:color w:val="000000" w:themeColor="text1"/>
          <w:sz w:val="24"/>
          <w:szCs w:val="24"/>
          <w:rtl/>
        </w:rPr>
        <w:t>، ودراسة</w:t>
      </w:r>
      <w:r w:rsidRPr="006A014B">
        <w:rPr>
          <w:rFonts w:ascii="Traditional Arabic" w:hAnsi="Traditional Arabic" w:cs="Traditional Arabic" w:hint="cs"/>
          <w:color w:val="000000" w:themeColor="text1"/>
          <w:sz w:val="24"/>
          <w:szCs w:val="24"/>
        </w:rPr>
        <w:t xml:space="preserve"> Alam (2016)</w:t>
      </w:r>
      <w:r w:rsidRPr="006A014B">
        <w:rPr>
          <w:rFonts w:ascii="Traditional Arabic" w:hAnsi="Traditional Arabic" w:cs="Traditional Arabic" w:hint="cs"/>
          <w:color w:val="000000" w:themeColor="text1"/>
          <w:sz w:val="24"/>
          <w:szCs w:val="24"/>
          <w:rtl/>
        </w:rPr>
        <w:t>، ودراسة</w:t>
      </w:r>
      <w:r w:rsidRPr="006A014B">
        <w:rPr>
          <w:rFonts w:ascii="Traditional Arabic" w:hAnsi="Traditional Arabic" w:cs="Traditional Arabic" w:hint="cs"/>
          <w:color w:val="000000" w:themeColor="text1"/>
          <w:sz w:val="24"/>
          <w:szCs w:val="24"/>
        </w:rPr>
        <w:t xml:space="preserve"> Anderson </w:t>
      </w:r>
      <w:r w:rsidRPr="006A014B">
        <w:rPr>
          <w:rFonts w:ascii="Traditional Arabic" w:hAnsi="Traditional Arabic" w:cs="Traditional Arabic" w:hint="cs"/>
          <w:color w:val="000000" w:themeColor="text1"/>
          <w:sz w:val="24"/>
          <w:szCs w:val="24"/>
          <w:rtl/>
        </w:rPr>
        <w:t>وآخرون (2021)، ودراسة</w:t>
      </w:r>
      <w:r w:rsidRPr="006A014B">
        <w:rPr>
          <w:rFonts w:ascii="Traditional Arabic" w:hAnsi="Traditional Arabic" w:cs="Traditional Arabic" w:hint="cs"/>
          <w:color w:val="000000" w:themeColor="text1"/>
          <w:sz w:val="24"/>
          <w:szCs w:val="24"/>
        </w:rPr>
        <w:t xml:space="preserve"> Bagga </w:t>
      </w:r>
      <w:r w:rsidRPr="006A014B">
        <w:rPr>
          <w:rFonts w:ascii="Traditional Arabic" w:hAnsi="Traditional Arabic" w:cs="Traditional Arabic" w:hint="cs"/>
          <w:color w:val="000000" w:themeColor="text1"/>
          <w:sz w:val="24"/>
          <w:szCs w:val="24"/>
          <w:rtl/>
        </w:rPr>
        <w:t>وآخرون (2023)، ودراسة</w:t>
      </w:r>
      <w:r w:rsidRPr="006A014B">
        <w:rPr>
          <w:rFonts w:ascii="Traditional Arabic" w:hAnsi="Traditional Arabic" w:cs="Traditional Arabic" w:hint="cs"/>
          <w:color w:val="000000" w:themeColor="text1"/>
          <w:sz w:val="24"/>
          <w:szCs w:val="24"/>
        </w:rPr>
        <w:t xml:space="preserve"> Flin </w:t>
      </w:r>
      <w:r w:rsidRPr="006A014B">
        <w:rPr>
          <w:rFonts w:ascii="Traditional Arabic" w:hAnsi="Traditional Arabic" w:cs="Traditional Arabic" w:hint="cs"/>
          <w:color w:val="000000" w:themeColor="text1"/>
          <w:sz w:val="24"/>
          <w:szCs w:val="24"/>
          <w:rtl/>
        </w:rPr>
        <w:t>وآخرون (2006)، ودراسة</w:t>
      </w:r>
      <w:r w:rsidRPr="006A014B">
        <w:rPr>
          <w:rFonts w:ascii="Traditional Arabic" w:hAnsi="Traditional Arabic" w:cs="Traditional Arabic" w:hint="cs"/>
          <w:color w:val="000000" w:themeColor="text1"/>
          <w:sz w:val="24"/>
          <w:szCs w:val="24"/>
        </w:rPr>
        <w:t xml:space="preserve"> Gill </w:t>
      </w:r>
      <w:r w:rsidRPr="006A014B">
        <w:rPr>
          <w:rFonts w:ascii="Traditional Arabic" w:hAnsi="Traditional Arabic" w:cs="Traditional Arabic" w:hint="cs"/>
          <w:color w:val="000000" w:themeColor="text1"/>
          <w:sz w:val="24"/>
          <w:szCs w:val="24"/>
          <w:rtl/>
        </w:rPr>
        <w:t>وآخرون (2006)، ودراسة</w:t>
      </w:r>
      <w:r w:rsidRPr="006A014B">
        <w:rPr>
          <w:rFonts w:ascii="Traditional Arabic" w:hAnsi="Traditional Arabic" w:cs="Traditional Arabic" w:hint="cs"/>
          <w:color w:val="000000" w:themeColor="text1"/>
          <w:sz w:val="24"/>
          <w:szCs w:val="24"/>
        </w:rPr>
        <w:t xml:space="preserve"> Kuoppala </w:t>
      </w:r>
      <w:r w:rsidRPr="006A014B">
        <w:rPr>
          <w:rFonts w:ascii="Traditional Arabic" w:hAnsi="Traditional Arabic" w:cs="Traditional Arabic" w:hint="cs"/>
          <w:color w:val="000000" w:themeColor="text1"/>
          <w:sz w:val="24"/>
          <w:szCs w:val="24"/>
          <w:rtl/>
        </w:rPr>
        <w:t>وآخرون (2008)، ودراسة</w:t>
      </w:r>
      <w:r w:rsidRPr="006A014B">
        <w:rPr>
          <w:rFonts w:ascii="Traditional Arabic" w:hAnsi="Traditional Arabic" w:cs="Traditional Arabic" w:hint="cs"/>
          <w:color w:val="000000" w:themeColor="text1"/>
          <w:sz w:val="24"/>
          <w:szCs w:val="24"/>
        </w:rPr>
        <w:t xml:space="preserve"> Liu </w:t>
      </w:r>
      <w:r w:rsidRPr="006A014B">
        <w:rPr>
          <w:rFonts w:ascii="Traditional Arabic" w:hAnsi="Traditional Arabic" w:cs="Traditional Arabic" w:hint="cs"/>
          <w:color w:val="000000" w:themeColor="text1"/>
          <w:sz w:val="24"/>
          <w:szCs w:val="24"/>
          <w:rtl/>
        </w:rPr>
        <w:t>وآخرون (2019)، ودراسة</w:t>
      </w:r>
      <w:r w:rsidRPr="006A014B">
        <w:rPr>
          <w:rFonts w:ascii="Traditional Arabic" w:hAnsi="Traditional Arabic" w:cs="Traditional Arabic" w:hint="cs"/>
          <w:color w:val="000000" w:themeColor="text1"/>
          <w:sz w:val="24"/>
          <w:szCs w:val="24"/>
        </w:rPr>
        <w:t xml:space="preserve"> Smith </w:t>
      </w:r>
      <w:r w:rsidRPr="006A014B">
        <w:rPr>
          <w:rFonts w:ascii="Traditional Arabic" w:hAnsi="Traditional Arabic" w:cs="Traditional Arabic" w:hint="cs"/>
          <w:color w:val="000000" w:themeColor="text1"/>
          <w:sz w:val="24"/>
          <w:szCs w:val="24"/>
          <w:rtl/>
        </w:rPr>
        <w:t>وآخرون (2017)، ودراسة</w:t>
      </w:r>
      <w:r w:rsidRPr="006A014B">
        <w:rPr>
          <w:rFonts w:ascii="Traditional Arabic" w:hAnsi="Traditional Arabic" w:cs="Traditional Arabic" w:hint="cs"/>
          <w:color w:val="000000" w:themeColor="text1"/>
          <w:sz w:val="24"/>
          <w:szCs w:val="24"/>
        </w:rPr>
        <w:t xml:space="preserve"> World Health Organization </w:t>
      </w:r>
      <w:r w:rsidRPr="006A014B">
        <w:rPr>
          <w:rFonts w:ascii="Traditional Arabic" w:hAnsi="Traditional Arabic" w:cs="Traditional Arabic" w:hint="cs"/>
          <w:color w:val="000000" w:themeColor="text1"/>
          <w:sz w:val="24"/>
          <w:szCs w:val="24"/>
          <w:rtl/>
        </w:rPr>
        <w:t xml:space="preserve"> </w:t>
      </w:r>
      <w:r w:rsidRPr="006A014B">
        <w:rPr>
          <w:rFonts w:ascii="Traditional Arabic" w:hAnsi="Traditional Arabic" w:cs="Traditional Arabic" w:hint="cs"/>
          <w:color w:val="000000" w:themeColor="text1"/>
          <w:sz w:val="24"/>
          <w:szCs w:val="24"/>
        </w:rPr>
        <w:t xml:space="preserve">(2024). </w:t>
      </w:r>
      <w:r w:rsidRPr="006A014B">
        <w:rPr>
          <w:rFonts w:ascii="Traditional Arabic" w:hAnsi="Traditional Arabic" w:cs="Traditional Arabic" w:hint="cs"/>
          <w:color w:val="000000" w:themeColor="text1"/>
          <w:sz w:val="24"/>
          <w:szCs w:val="24"/>
          <w:rtl/>
        </w:rPr>
        <w:t xml:space="preserve"> وتؤكد هذه الدراسات مجتمعة أن إدارة المخاطر والقيادة التحويلية يشكلان إطارًا متكاملًا يسهم في تعزيز سلامة المرضى وتحسين جودة الخدمات الصحية</w:t>
      </w:r>
      <w:r w:rsidRPr="006A014B">
        <w:rPr>
          <w:rFonts w:ascii="Traditional Arabic" w:hAnsi="Traditional Arabic" w:cs="Traditional Arabic" w:hint="cs"/>
          <w:color w:val="000000" w:themeColor="text1"/>
          <w:sz w:val="24"/>
          <w:szCs w:val="24"/>
        </w:rPr>
        <w:t>.</w:t>
      </w:r>
    </w:p>
    <w:p w14:paraId="2D359172" w14:textId="77777777" w:rsidR="00E448FC" w:rsidRPr="006A014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6A014B">
        <w:rPr>
          <w:rFonts w:ascii="Traditional Arabic" w:hAnsi="Traditional Arabic" w:cs="Traditional Arabic" w:hint="cs"/>
          <w:color w:val="000000" w:themeColor="text1"/>
          <w:sz w:val="24"/>
          <w:szCs w:val="24"/>
          <w:rtl/>
        </w:rPr>
        <w:t>أداة الدراسة في هذا البحث تمثلت في استبانة مقننة صُممت لتتناسب مع طبيعة مجتمع الدراسة وواقع المستشفيات الحكومية في المملكة العربية السعودية. وقد خضعت الأداة لاختبارات الصدق من خلال عرضها على مجموعة من المحكمين المتخصصين للتأكد من ملاءمة فقراتها لأهداف البحث، كما تم اختبار ثباتها باستخدام معامل كرونباخ ألفا الذي أظهر مستوى مقبولًا من الاتساق الداخلي. وبناءً على ذلك، جرى تعديل بعض الفقرات بما يتناسب مع خصوصية مجتمع الدراسة وظروفه، لتصبح الأداة أكثر دقة وملاءمة في قياس المتغيرات المستهدفة</w:t>
      </w:r>
      <w:r w:rsidRPr="006A014B">
        <w:rPr>
          <w:rFonts w:ascii="Traditional Arabic" w:hAnsi="Traditional Arabic" w:cs="Traditional Arabic" w:hint="cs"/>
          <w:color w:val="000000" w:themeColor="text1"/>
          <w:sz w:val="24"/>
          <w:szCs w:val="24"/>
        </w:rPr>
        <w:t>.</w:t>
      </w:r>
    </w:p>
    <w:p w14:paraId="7B197F54" w14:textId="77777777" w:rsidR="00E448FC" w:rsidRPr="008D2632" w:rsidRDefault="00E448FC" w:rsidP="00E448FC">
      <w:p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lastRenderedPageBreak/>
        <w:t>أداة الدراسة تمثلت في استبانة صُممت لقياس المتغيرات الثلاثة الرئيسة، وقد اشتملت على مجموعة من المحاور موزعة على عدد محدد من العبارات لكل محور على النحو التالي</w:t>
      </w:r>
      <w:r w:rsidRPr="008D2632">
        <w:rPr>
          <w:rFonts w:ascii="Traditional Arabic" w:hAnsi="Traditional Arabic" w:cs="Traditional Arabic" w:hint="cs"/>
          <w:color w:val="000000" w:themeColor="text1"/>
          <w:sz w:val="24"/>
          <w:szCs w:val="24"/>
        </w:rPr>
        <w:t>:</w:t>
      </w:r>
    </w:p>
    <w:p w14:paraId="1C36AD35" w14:textId="77777777" w:rsidR="00E448FC" w:rsidRPr="008D2632" w:rsidRDefault="00E448FC">
      <w:pPr>
        <w:numPr>
          <w:ilvl w:val="0"/>
          <w:numId w:val="38"/>
        </w:num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القيادة التحويلية: تضمنت أربعة محاور رئيسة هي التأثير المثالي (٥</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الدافعية الإلهامية (٥</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الاعتبارية الفردية (٥ عبارات)، والاستثارة الفكرية (٥ عبارات)، ليكون مجموعها ٢٠</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عبارة</w:t>
      </w:r>
      <w:r w:rsidRPr="008D2632">
        <w:rPr>
          <w:rFonts w:ascii="Traditional Arabic" w:hAnsi="Traditional Arabic" w:cs="Traditional Arabic" w:hint="cs"/>
          <w:color w:val="000000" w:themeColor="text1"/>
          <w:sz w:val="24"/>
          <w:szCs w:val="24"/>
        </w:rPr>
        <w:t>.</w:t>
      </w:r>
    </w:p>
    <w:p w14:paraId="789F8F1C" w14:textId="77777777" w:rsidR="00E448FC" w:rsidRPr="008D2632" w:rsidRDefault="00E448FC">
      <w:pPr>
        <w:numPr>
          <w:ilvl w:val="0"/>
          <w:numId w:val="38"/>
        </w:num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سلامة المرضى: اشتملت على خمسة محاور هي تقليل الأخطاء الطبية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فعالية أنظمة الإبلاغ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إشراك المرضى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بيئة العمل الآمنة (٤ عبارات)، وجودة الرعاية السريرية (٤ عبارات)، ليكون مجموعها ٢٠</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عبارة</w:t>
      </w:r>
      <w:r w:rsidRPr="008D2632">
        <w:rPr>
          <w:rFonts w:ascii="Traditional Arabic" w:hAnsi="Traditional Arabic" w:cs="Traditional Arabic" w:hint="cs"/>
          <w:color w:val="000000" w:themeColor="text1"/>
          <w:sz w:val="24"/>
          <w:szCs w:val="24"/>
        </w:rPr>
        <w:t>.</w:t>
      </w:r>
    </w:p>
    <w:p w14:paraId="1C42229B" w14:textId="77777777" w:rsidR="00E448FC" w:rsidRPr="008D2632" w:rsidRDefault="00E448FC" w:rsidP="00E448FC">
      <w:pPr>
        <w:bidi/>
        <w:spacing w:after="200" w:line="360" w:lineRule="auto"/>
        <w:jc w:val="both"/>
        <w:rPr>
          <w:rFonts w:ascii="Traditional Arabic" w:hAnsi="Traditional Arabic" w:cs="Traditional Arabic"/>
          <w:color w:val="000000" w:themeColor="text1"/>
          <w:sz w:val="24"/>
          <w:szCs w:val="24"/>
          <w:rtl/>
        </w:rPr>
      </w:pPr>
      <w:r w:rsidRPr="008D2632">
        <w:rPr>
          <w:rFonts w:ascii="Traditional Arabic" w:hAnsi="Traditional Arabic" w:cs="Traditional Arabic" w:hint="cs"/>
          <w:color w:val="000000" w:themeColor="text1"/>
          <w:sz w:val="24"/>
          <w:szCs w:val="24"/>
          <w:rtl/>
        </w:rPr>
        <w:t xml:space="preserve">وبذلك بلغ العدد الكلي لعبارات الاستبانة </w:t>
      </w:r>
      <w:r w:rsidRPr="008D2632">
        <w:rPr>
          <w:rFonts w:ascii="Traditional Arabic" w:hAnsi="Traditional Arabic" w:cs="Traditional Arabic" w:hint="cs"/>
          <w:color w:val="000000" w:themeColor="text1"/>
          <w:sz w:val="24"/>
          <w:szCs w:val="24"/>
        </w:rPr>
        <w:t xml:space="preserve">60 </w:t>
      </w:r>
      <w:r w:rsidRPr="008D2632">
        <w:rPr>
          <w:rFonts w:ascii="Traditional Arabic" w:hAnsi="Traditional Arabic" w:cs="Traditional Arabic" w:hint="cs"/>
          <w:color w:val="000000" w:themeColor="text1"/>
          <w:sz w:val="24"/>
          <w:szCs w:val="24"/>
          <w:rtl/>
        </w:rPr>
        <w:t>عبارة موزعة على المحاور الثلاثة، بما يضمن شمولية الأداة وقدرتها على قياس المتغيرات المستهدفة بدقة وارتباطها بواقع مجتمع الدراسة</w:t>
      </w:r>
      <w:r w:rsidRPr="008D2632">
        <w:rPr>
          <w:rFonts w:ascii="Traditional Arabic" w:hAnsi="Traditional Arabic" w:cs="Traditional Arabic" w:hint="cs"/>
          <w:color w:val="000000" w:themeColor="text1"/>
          <w:sz w:val="24"/>
          <w:szCs w:val="24"/>
        </w:rPr>
        <w:t>.</w:t>
      </w:r>
    </w:p>
    <w:p w14:paraId="30364A7C" w14:textId="77777777" w:rsidR="00E448FC" w:rsidRPr="002B42E0"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2B42E0">
        <w:rPr>
          <w:rFonts w:ascii="Traditional Arabic" w:hAnsi="Traditional Arabic" w:cs="Traditional Arabic" w:hint="cs"/>
          <w:color w:val="000000" w:themeColor="text1"/>
          <w:sz w:val="24"/>
          <w:szCs w:val="24"/>
          <w:rtl/>
        </w:rPr>
        <w:t xml:space="preserve">في سياق تنفيذ الإجراءات الميدانية، حرصت الباحثة على تنويع أسلوب توزيع الاستبانة بما يضمن الوصول إلى أكبر عدد ممكن من أفراد العينة، ويعكس مرونة في التعامل مع الواقع العملي داخل المرافق الصحية الحكومية. فقد تم توزيع </w:t>
      </w:r>
      <w:r w:rsidRPr="002B42E0">
        <w:rPr>
          <w:rFonts w:ascii="Traditional Arabic" w:hAnsi="Traditional Arabic" w:cs="Traditional Arabic" w:hint="cs"/>
          <w:color w:val="000000" w:themeColor="text1"/>
          <w:sz w:val="24"/>
          <w:szCs w:val="24"/>
        </w:rPr>
        <w:t xml:space="preserve">200 </w:t>
      </w:r>
      <w:r w:rsidRPr="002B42E0">
        <w:rPr>
          <w:rFonts w:ascii="Traditional Arabic" w:hAnsi="Traditional Arabic" w:cs="Traditional Arabic" w:hint="cs"/>
          <w:color w:val="000000" w:themeColor="text1"/>
          <w:sz w:val="24"/>
          <w:szCs w:val="24"/>
          <w:rtl/>
        </w:rPr>
        <w:t xml:space="preserve">استبانة إلكترونية عبر البريد الإلكتروني والمنصات الرقمية الرسمية، وهو ما أتاح سهولة الوصول إلى المشاركين الذين يمتلكون خبرة في استخدام الوسائل التقنية، وساهم في تسريع عملية جمع البيانات وتقليل التكلفة والوقت. وفي المقابل، قامت الباحثة بتوزيع حوالي </w:t>
      </w:r>
      <w:r w:rsidRPr="002B42E0">
        <w:rPr>
          <w:rFonts w:ascii="Traditional Arabic" w:hAnsi="Traditional Arabic" w:cs="Traditional Arabic" w:hint="cs"/>
          <w:color w:val="000000" w:themeColor="text1"/>
          <w:sz w:val="24"/>
          <w:szCs w:val="24"/>
        </w:rPr>
        <w:t xml:space="preserve">30 </w:t>
      </w:r>
      <w:r w:rsidRPr="002B42E0">
        <w:rPr>
          <w:rFonts w:ascii="Traditional Arabic" w:hAnsi="Traditional Arabic" w:cs="Traditional Arabic" w:hint="cs"/>
          <w:color w:val="000000" w:themeColor="text1"/>
          <w:sz w:val="24"/>
          <w:szCs w:val="24"/>
          <w:rtl/>
        </w:rPr>
        <w:t>استبانة ورقية بشكل مباشر داخل بعض الأقسام التي قد يواجه العاملون فيها صعوبة في استخدام الوسائل الإلكترونية أو يفضلون التعامل مع النماذج الورقية التقليدية، مما يضمن شمولية أكبر للعينة ويعزز من تمثيل مختلف الفئات الوظيفية</w:t>
      </w:r>
      <w:r w:rsidRPr="002B42E0">
        <w:rPr>
          <w:rFonts w:ascii="Traditional Arabic" w:hAnsi="Traditional Arabic" w:cs="Traditional Arabic" w:hint="cs"/>
          <w:color w:val="000000" w:themeColor="text1"/>
          <w:sz w:val="24"/>
          <w:szCs w:val="24"/>
        </w:rPr>
        <w:t>.</w:t>
      </w:r>
    </w:p>
    <w:p w14:paraId="2DD43709" w14:textId="77777777" w:rsidR="00E448FC" w:rsidRPr="002B42E0" w:rsidRDefault="00E448FC" w:rsidP="00E448FC">
      <w:pPr>
        <w:bidi/>
        <w:spacing w:after="200" w:line="360" w:lineRule="auto"/>
        <w:ind w:firstLine="720"/>
        <w:jc w:val="both"/>
        <w:rPr>
          <w:rFonts w:ascii="Traditional Arabic" w:hAnsi="Traditional Arabic" w:cs="Traditional Arabic"/>
          <w:color w:val="000000" w:themeColor="text1"/>
          <w:sz w:val="24"/>
          <w:szCs w:val="24"/>
        </w:rPr>
      </w:pPr>
      <w:r w:rsidRPr="002B42E0">
        <w:rPr>
          <w:rFonts w:ascii="Traditional Arabic" w:hAnsi="Traditional Arabic" w:cs="Traditional Arabic" w:hint="cs"/>
          <w:color w:val="000000" w:themeColor="text1"/>
          <w:sz w:val="24"/>
          <w:szCs w:val="24"/>
          <w:rtl/>
        </w:rPr>
        <w:t>هذا التنوع في أسلوب التوزيع يعكس إدراك الباحثة لأهمية مراعاة الفروق الفردية بين المشاركين، سواء من حيث القدرة التقنية أو التفضيلات الشخصية، ويعزز من مصداقية النتائج من خلال تقليل احتمالية التحيز المرتبط بطريقة جمع البيانات. كما أن الجمع بين الوسيلتين أتاح للباحثة فرصة المقارنة بين نسب الاستجابة في كل طريقة، وتقييم مدى فعالية التوزيع الإلكتروني مقابل الورقي، وهو ما يضيف قيمة منهجية للدراسة. وبذلك يمكن القول إن استراتيجية توزيع الاستبانة قد ساهمت في تحقيق التوازن بين الكفاءة والواقعية، وضمنت الحصول على بيانات أكثر شمولًا وموثوقية، بما يخدم أهداف البحث ويدعم اختبار فرضياته بشكل علمي رصين</w:t>
      </w:r>
      <w:r w:rsidRPr="002B42E0">
        <w:rPr>
          <w:rFonts w:ascii="Traditional Arabic" w:hAnsi="Traditional Arabic" w:cs="Traditional Arabic" w:hint="cs"/>
          <w:color w:val="000000" w:themeColor="text1"/>
          <w:sz w:val="24"/>
          <w:szCs w:val="24"/>
        </w:rPr>
        <w:t>.</w:t>
      </w:r>
    </w:p>
    <w:p w14:paraId="415032C1" w14:textId="77777777" w:rsidR="00E448FC" w:rsidRPr="007969FA" w:rsidRDefault="00E448FC">
      <w:pPr>
        <w:pStyle w:val="ListParagraph"/>
        <w:numPr>
          <w:ilvl w:val="1"/>
          <w:numId w:val="36"/>
        </w:numPr>
        <w:bidi/>
        <w:spacing w:after="200" w:line="276" w:lineRule="auto"/>
        <w:jc w:val="both"/>
        <w:rPr>
          <w:rFonts w:ascii="Traditional Arabic" w:hAnsi="Traditional Arabic" w:cs="Traditional Arabic"/>
          <w:b/>
          <w:bCs/>
          <w:color w:val="000000" w:themeColor="text1"/>
          <w:sz w:val="28"/>
          <w:szCs w:val="28"/>
        </w:rPr>
      </w:pPr>
      <w:r w:rsidRPr="007969FA">
        <w:rPr>
          <w:rFonts w:ascii="Traditional Arabic" w:hAnsi="Traditional Arabic" w:cs="Traditional Arabic" w:hint="cs"/>
          <w:b/>
          <w:bCs/>
          <w:color w:val="000000" w:themeColor="text1"/>
          <w:sz w:val="28"/>
          <w:szCs w:val="28"/>
          <w:rtl/>
        </w:rPr>
        <w:t>ثبات أداة الدراسة :</w:t>
      </w:r>
    </w:p>
    <w:p w14:paraId="3CB7F1D3" w14:textId="77777777" w:rsidR="00E448FC" w:rsidRPr="000C66C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0C66CB">
        <w:rPr>
          <w:rFonts w:ascii="Traditional Arabic" w:hAnsi="Traditional Arabic" w:cs="Traditional Arabic" w:hint="cs"/>
          <w:color w:val="000000" w:themeColor="text1"/>
          <w:sz w:val="24"/>
          <w:szCs w:val="24"/>
          <w:rtl/>
        </w:rPr>
        <w:t>تم استخدام معامل ألفا كرونباخ لقياس ثبات أداة الدراسة والتحقق من درجة الاتساق الداخلي بين العبارات. وقد بلغ معامل الثبات الكلي للمتغيرات الثلاثة مجتمعة (0.89)، وهو مستوى مرتفع يدل على أن الأداة تتمتع بدرجة عالية من الموثوقية والاتساق الداخلي، مما يجعلها مناسبة للاستخدام في قياس متغيرات الدراسة بدقة وملاءمة لواقع مجتمع البحث</w:t>
      </w:r>
      <w:r w:rsidRPr="000C66CB">
        <w:rPr>
          <w:rFonts w:ascii="Traditional Arabic" w:hAnsi="Traditional Arabic" w:cs="Traditional Arabic" w:hint="cs"/>
          <w:color w:val="000000" w:themeColor="text1"/>
          <w:sz w:val="24"/>
          <w:szCs w:val="24"/>
        </w:rPr>
        <w:t>.</w:t>
      </w:r>
    </w:p>
    <w:p w14:paraId="77C51214" w14:textId="77777777" w:rsidR="00E448FC" w:rsidRPr="005E4CA5" w:rsidRDefault="00E448FC" w:rsidP="00E448FC">
      <w:pPr>
        <w:bidi/>
        <w:spacing w:after="200" w:line="276" w:lineRule="auto"/>
        <w:jc w:val="center"/>
        <w:rPr>
          <w:rFonts w:ascii="Traditional Arabic" w:hAnsi="Traditional Arabic" w:cs="Traditional Arabic"/>
          <w:b/>
          <w:bCs/>
          <w:color w:val="000000" w:themeColor="text1"/>
          <w:sz w:val="24"/>
          <w:szCs w:val="24"/>
        </w:rPr>
      </w:pPr>
      <w:r w:rsidRPr="005E4CA5">
        <w:rPr>
          <w:rFonts w:ascii="Traditional Arabic" w:hAnsi="Traditional Arabic" w:cs="Traditional Arabic" w:hint="cs"/>
          <w:b/>
          <w:bCs/>
          <w:color w:val="000000" w:themeColor="text1"/>
          <w:sz w:val="24"/>
          <w:szCs w:val="24"/>
          <w:rtl/>
        </w:rPr>
        <w:lastRenderedPageBreak/>
        <w:t>جدول (13) معاملات ثبات أداة الدراسة</w:t>
      </w:r>
    </w:p>
    <w:tbl>
      <w:tblPr>
        <w:tblStyle w:val="TableGrid"/>
        <w:bidiVisual/>
        <w:tblW w:w="829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87"/>
        <w:gridCol w:w="2064"/>
        <w:gridCol w:w="2063"/>
        <w:gridCol w:w="2082"/>
      </w:tblGrid>
      <w:tr w:rsidR="00E448FC" w:rsidRPr="00D24D70" w14:paraId="32231B58" w14:textId="77777777" w:rsidTr="00F972F9">
        <w:trPr>
          <w:tblCellSpacing w:w="20" w:type="dxa"/>
        </w:trPr>
        <w:tc>
          <w:tcPr>
            <w:tcW w:w="2074" w:type="dxa"/>
            <w:shd w:val="clear" w:color="auto" w:fill="E5DFEC" w:themeFill="accent4" w:themeFillTint="33"/>
          </w:tcPr>
          <w:p w14:paraId="5E536EB8"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البُعد</w:t>
            </w:r>
          </w:p>
        </w:tc>
        <w:tc>
          <w:tcPr>
            <w:tcW w:w="2074" w:type="dxa"/>
            <w:shd w:val="clear" w:color="auto" w:fill="E5DFEC" w:themeFill="accent4" w:themeFillTint="33"/>
          </w:tcPr>
          <w:p w14:paraId="41CB609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عدد العبارات</w:t>
            </w:r>
          </w:p>
        </w:tc>
        <w:tc>
          <w:tcPr>
            <w:tcW w:w="2074" w:type="dxa"/>
            <w:shd w:val="clear" w:color="auto" w:fill="E5DFEC" w:themeFill="accent4" w:themeFillTint="33"/>
          </w:tcPr>
          <w:p w14:paraId="324528D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معامل ألفا كرونباخ</w:t>
            </w:r>
          </w:p>
        </w:tc>
        <w:tc>
          <w:tcPr>
            <w:tcW w:w="2074" w:type="dxa"/>
            <w:shd w:val="clear" w:color="auto" w:fill="E5DFEC" w:themeFill="accent4" w:themeFillTint="33"/>
          </w:tcPr>
          <w:p w14:paraId="223DA65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مستوى الثبات</w:t>
            </w:r>
          </w:p>
        </w:tc>
      </w:tr>
      <w:tr w:rsidR="00E448FC" w:rsidRPr="00D24D70" w14:paraId="3FE55A25" w14:textId="77777777" w:rsidTr="00F972F9">
        <w:trPr>
          <w:tblCellSpacing w:w="20" w:type="dxa"/>
        </w:trPr>
        <w:tc>
          <w:tcPr>
            <w:tcW w:w="2074" w:type="dxa"/>
          </w:tcPr>
          <w:p w14:paraId="07DCBA3E"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التأثير المثالي</w:t>
            </w:r>
          </w:p>
        </w:tc>
        <w:tc>
          <w:tcPr>
            <w:tcW w:w="2074" w:type="dxa"/>
          </w:tcPr>
          <w:p w14:paraId="39E183A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B83D70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0.84</w:t>
            </w:r>
          </w:p>
        </w:tc>
        <w:tc>
          <w:tcPr>
            <w:tcW w:w="2074" w:type="dxa"/>
          </w:tcPr>
          <w:p w14:paraId="2BDC5CE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028637C9" w14:textId="77777777" w:rsidTr="00F972F9">
        <w:trPr>
          <w:tblCellSpacing w:w="20" w:type="dxa"/>
        </w:trPr>
        <w:tc>
          <w:tcPr>
            <w:tcW w:w="2074" w:type="dxa"/>
          </w:tcPr>
          <w:p w14:paraId="5CC00ED0"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الدافعية الإلهامية</w:t>
            </w:r>
          </w:p>
        </w:tc>
        <w:tc>
          <w:tcPr>
            <w:tcW w:w="2074" w:type="dxa"/>
          </w:tcPr>
          <w:p w14:paraId="4F05257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37A3EC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0.86</w:t>
            </w:r>
          </w:p>
        </w:tc>
        <w:tc>
          <w:tcPr>
            <w:tcW w:w="2074" w:type="dxa"/>
          </w:tcPr>
          <w:p w14:paraId="53C6891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5C89774E" w14:textId="77777777" w:rsidTr="00F972F9">
        <w:trPr>
          <w:tblCellSpacing w:w="20" w:type="dxa"/>
        </w:trPr>
        <w:tc>
          <w:tcPr>
            <w:tcW w:w="2074" w:type="dxa"/>
          </w:tcPr>
          <w:p w14:paraId="7216DA3B"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الإعتبارية الفردية</w:t>
            </w:r>
          </w:p>
        </w:tc>
        <w:tc>
          <w:tcPr>
            <w:tcW w:w="2074" w:type="dxa"/>
          </w:tcPr>
          <w:p w14:paraId="71BEFCD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46F6111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0.82</w:t>
            </w:r>
          </w:p>
        </w:tc>
        <w:tc>
          <w:tcPr>
            <w:tcW w:w="2074" w:type="dxa"/>
          </w:tcPr>
          <w:p w14:paraId="68FA11C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41DFA8FA" w14:textId="77777777" w:rsidTr="00F972F9">
        <w:trPr>
          <w:tblCellSpacing w:w="20" w:type="dxa"/>
        </w:trPr>
        <w:tc>
          <w:tcPr>
            <w:tcW w:w="2074" w:type="dxa"/>
          </w:tcPr>
          <w:p w14:paraId="20B2CE05"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الاستثارة الفكرية</w:t>
            </w:r>
          </w:p>
        </w:tc>
        <w:tc>
          <w:tcPr>
            <w:tcW w:w="2074" w:type="dxa"/>
          </w:tcPr>
          <w:p w14:paraId="069651C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4FCB654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0.80</w:t>
            </w:r>
          </w:p>
        </w:tc>
        <w:tc>
          <w:tcPr>
            <w:tcW w:w="2074" w:type="dxa"/>
          </w:tcPr>
          <w:p w14:paraId="48FA356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317A93C0" w14:textId="77777777" w:rsidTr="00F972F9">
        <w:trPr>
          <w:tblCellSpacing w:w="20" w:type="dxa"/>
        </w:trPr>
        <w:tc>
          <w:tcPr>
            <w:tcW w:w="2074" w:type="dxa"/>
          </w:tcPr>
          <w:p w14:paraId="3C6262A0"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(القيادة التحويلية)</w:t>
            </w:r>
          </w:p>
        </w:tc>
        <w:tc>
          <w:tcPr>
            <w:tcW w:w="2074" w:type="dxa"/>
          </w:tcPr>
          <w:p w14:paraId="256E6BD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20</w:t>
            </w:r>
          </w:p>
        </w:tc>
        <w:tc>
          <w:tcPr>
            <w:tcW w:w="2074" w:type="dxa"/>
          </w:tcPr>
          <w:p w14:paraId="182CF20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0.89</w:t>
            </w:r>
          </w:p>
        </w:tc>
        <w:tc>
          <w:tcPr>
            <w:tcW w:w="2074" w:type="dxa"/>
          </w:tcPr>
          <w:p w14:paraId="0F4DA9D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ممتاز</w:t>
            </w:r>
          </w:p>
        </w:tc>
      </w:tr>
      <w:tr w:rsidR="00E448FC" w:rsidRPr="00D24D70" w14:paraId="1EFC326D" w14:textId="77777777" w:rsidTr="00F972F9">
        <w:trPr>
          <w:tblCellSpacing w:w="20" w:type="dxa"/>
        </w:trPr>
        <w:tc>
          <w:tcPr>
            <w:tcW w:w="2074" w:type="dxa"/>
          </w:tcPr>
          <w:p w14:paraId="4682E805"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تقليل الأخطاء الطبية</w:t>
            </w:r>
          </w:p>
        </w:tc>
        <w:tc>
          <w:tcPr>
            <w:tcW w:w="2074" w:type="dxa"/>
          </w:tcPr>
          <w:p w14:paraId="270BD54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0C02710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0.81</w:t>
            </w:r>
          </w:p>
        </w:tc>
        <w:tc>
          <w:tcPr>
            <w:tcW w:w="2074" w:type="dxa"/>
          </w:tcPr>
          <w:p w14:paraId="54B781D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1A715284" w14:textId="77777777" w:rsidTr="00F972F9">
        <w:trPr>
          <w:tblCellSpacing w:w="20" w:type="dxa"/>
        </w:trPr>
        <w:tc>
          <w:tcPr>
            <w:tcW w:w="2074" w:type="dxa"/>
          </w:tcPr>
          <w:p w14:paraId="4C2750F8"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فعالية أنظمة الإبلاغ</w:t>
            </w:r>
          </w:p>
        </w:tc>
        <w:tc>
          <w:tcPr>
            <w:tcW w:w="2074" w:type="dxa"/>
          </w:tcPr>
          <w:p w14:paraId="1B5A1DF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6B3CB82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0.84</w:t>
            </w:r>
          </w:p>
        </w:tc>
        <w:tc>
          <w:tcPr>
            <w:tcW w:w="2074" w:type="dxa"/>
          </w:tcPr>
          <w:p w14:paraId="137213E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0AA0818D" w14:textId="77777777" w:rsidTr="00F972F9">
        <w:trPr>
          <w:tblCellSpacing w:w="20" w:type="dxa"/>
        </w:trPr>
        <w:tc>
          <w:tcPr>
            <w:tcW w:w="2074" w:type="dxa"/>
          </w:tcPr>
          <w:p w14:paraId="08775924"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إشراك المرضى</w:t>
            </w:r>
          </w:p>
        </w:tc>
        <w:tc>
          <w:tcPr>
            <w:tcW w:w="2074" w:type="dxa"/>
          </w:tcPr>
          <w:p w14:paraId="65A35C9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47250F7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0.79</w:t>
            </w:r>
          </w:p>
        </w:tc>
        <w:tc>
          <w:tcPr>
            <w:tcW w:w="2074" w:type="dxa"/>
          </w:tcPr>
          <w:p w14:paraId="73CFEC1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11DF4B29" w14:textId="77777777" w:rsidTr="00F972F9">
        <w:trPr>
          <w:tblCellSpacing w:w="20" w:type="dxa"/>
        </w:trPr>
        <w:tc>
          <w:tcPr>
            <w:tcW w:w="2074" w:type="dxa"/>
          </w:tcPr>
          <w:p w14:paraId="4A96C062"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بيئة العمل الآمنة</w:t>
            </w:r>
          </w:p>
        </w:tc>
        <w:tc>
          <w:tcPr>
            <w:tcW w:w="2074" w:type="dxa"/>
          </w:tcPr>
          <w:p w14:paraId="145F585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28CD4BF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0.83</w:t>
            </w:r>
          </w:p>
        </w:tc>
        <w:tc>
          <w:tcPr>
            <w:tcW w:w="2074" w:type="dxa"/>
          </w:tcPr>
          <w:p w14:paraId="66E8F3D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4B6EEE55" w14:textId="77777777" w:rsidTr="00F972F9">
        <w:trPr>
          <w:tblCellSpacing w:w="20" w:type="dxa"/>
        </w:trPr>
        <w:tc>
          <w:tcPr>
            <w:tcW w:w="2074" w:type="dxa"/>
          </w:tcPr>
          <w:p w14:paraId="3E532562"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جودة الرعاية السريرية</w:t>
            </w:r>
          </w:p>
        </w:tc>
        <w:tc>
          <w:tcPr>
            <w:tcW w:w="2074" w:type="dxa"/>
          </w:tcPr>
          <w:p w14:paraId="16CDF10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75A3630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0.80</w:t>
            </w:r>
          </w:p>
        </w:tc>
        <w:tc>
          <w:tcPr>
            <w:tcW w:w="2074" w:type="dxa"/>
          </w:tcPr>
          <w:p w14:paraId="181A7E6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0A240FA3" w14:textId="77777777" w:rsidTr="00F972F9">
        <w:trPr>
          <w:tblCellSpacing w:w="20" w:type="dxa"/>
        </w:trPr>
        <w:tc>
          <w:tcPr>
            <w:tcW w:w="2074" w:type="dxa"/>
          </w:tcPr>
          <w:p w14:paraId="79BA1B53"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(سلامة المرضى)</w:t>
            </w:r>
          </w:p>
        </w:tc>
        <w:tc>
          <w:tcPr>
            <w:tcW w:w="2074" w:type="dxa"/>
          </w:tcPr>
          <w:p w14:paraId="73B7474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20</w:t>
            </w:r>
          </w:p>
        </w:tc>
        <w:tc>
          <w:tcPr>
            <w:tcW w:w="2074" w:type="dxa"/>
          </w:tcPr>
          <w:p w14:paraId="59370A1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0.88</w:t>
            </w:r>
          </w:p>
        </w:tc>
        <w:tc>
          <w:tcPr>
            <w:tcW w:w="2074" w:type="dxa"/>
          </w:tcPr>
          <w:p w14:paraId="2F8B32A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ممتاز</w:t>
            </w:r>
          </w:p>
        </w:tc>
      </w:tr>
      <w:tr w:rsidR="00E448FC" w:rsidRPr="00D24D70" w14:paraId="39FCF84E" w14:textId="77777777" w:rsidTr="00F972F9">
        <w:trPr>
          <w:tblCellSpacing w:w="20" w:type="dxa"/>
        </w:trPr>
        <w:tc>
          <w:tcPr>
            <w:tcW w:w="2074" w:type="dxa"/>
          </w:tcPr>
          <w:p w14:paraId="24788C33"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تحديد المخاطر</w:t>
            </w:r>
          </w:p>
        </w:tc>
        <w:tc>
          <w:tcPr>
            <w:tcW w:w="2074" w:type="dxa"/>
          </w:tcPr>
          <w:p w14:paraId="3FA74BE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017D2C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0.81</w:t>
            </w:r>
          </w:p>
        </w:tc>
        <w:tc>
          <w:tcPr>
            <w:tcW w:w="2074" w:type="dxa"/>
          </w:tcPr>
          <w:p w14:paraId="7CFE11C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1FCF81EF" w14:textId="77777777" w:rsidTr="00F972F9">
        <w:trPr>
          <w:tblCellSpacing w:w="20" w:type="dxa"/>
        </w:trPr>
        <w:tc>
          <w:tcPr>
            <w:tcW w:w="2074" w:type="dxa"/>
          </w:tcPr>
          <w:p w14:paraId="38CE894D"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تحليل المخاطر</w:t>
            </w:r>
          </w:p>
        </w:tc>
        <w:tc>
          <w:tcPr>
            <w:tcW w:w="2074" w:type="dxa"/>
          </w:tcPr>
          <w:p w14:paraId="667614F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5B0EC78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0.85</w:t>
            </w:r>
          </w:p>
        </w:tc>
        <w:tc>
          <w:tcPr>
            <w:tcW w:w="2074" w:type="dxa"/>
          </w:tcPr>
          <w:p w14:paraId="61088B2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273678B4" w14:textId="77777777" w:rsidTr="00F972F9">
        <w:trPr>
          <w:tblCellSpacing w:w="20" w:type="dxa"/>
        </w:trPr>
        <w:tc>
          <w:tcPr>
            <w:tcW w:w="2074" w:type="dxa"/>
          </w:tcPr>
          <w:p w14:paraId="76B85FB9"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تقييم المخاطر</w:t>
            </w:r>
          </w:p>
        </w:tc>
        <w:tc>
          <w:tcPr>
            <w:tcW w:w="2074" w:type="dxa"/>
          </w:tcPr>
          <w:p w14:paraId="1A3D3B5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3A1B1BB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0.79</w:t>
            </w:r>
          </w:p>
        </w:tc>
        <w:tc>
          <w:tcPr>
            <w:tcW w:w="2074" w:type="dxa"/>
          </w:tcPr>
          <w:p w14:paraId="3D0295B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3548E01B" w14:textId="77777777" w:rsidTr="00F972F9">
        <w:trPr>
          <w:tblCellSpacing w:w="20" w:type="dxa"/>
        </w:trPr>
        <w:tc>
          <w:tcPr>
            <w:tcW w:w="2074" w:type="dxa"/>
          </w:tcPr>
          <w:p w14:paraId="6FC16874" w14:textId="77777777" w:rsidR="00E448FC" w:rsidRPr="00D24D70" w:rsidRDefault="00E448FC" w:rsidP="00F972F9">
            <w:pPr>
              <w:bidi/>
              <w:spacing w:after="200" w:line="276" w:lineRule="auto"/>
              <w:jc w:val="center"/>
              <w:rPr>
                <w:rFonts w:ascii="Traditional Arabic" w:eastAsia="Times New Roman"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الاستجابة للمخاطر</w:t>
            </w:r>
          </w:p>
        </w:tc>
        <w:tc>
          <w:tcPr>
            <w:tcW w:w="2074" w:type="dxa"/>
          </w:tcPr>
          <w:p w14:paraId="69D12CE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8B3FF5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0.83</w:t>
            </w:r>
          </w:p>
        </w:tc>
        <w:tc>
          <w:tcPr>
            <w:tcW w:w="2074" w:type="dxa"/>
          </w:tcPr>
          <w:p w14:paraId="4C56B41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5E4ED7D1" w14:textId="77777777" w:rsidTr="00F972F9">
        <w:trPr>
          <w:tblCellSpacing w:w="20" w:type="dxa"/>
        </w:trPr>
        <w:tc>
          <w:tcPr>
            <w:tcW w:w="2074" w:type="dxa"/>
          </w:tcPr>
          <w:p w14:paraId="47CA334A" w14:textId="77777777" w:rsidR="00E448FC" w:rsidRPr="00D24D70" w:rsidRDefault="00E448FC" w:rsidP="00F972F9">
            <w:pPr>
              <w:bidi/>
              <w:spacing w:after="200" w:line="276" w:lineRule="auto"/>
              <w:jc w:val="center"/>
              <w:rPr>
                <w:rFonts w:ascii="Traditional Arabic" w:eastAsia="Times New Roman" w:hAnsi="Traditional Arabic" w:cs="Traditional Arabic"/>
                <w:b/>
                <w:bCs/>
                <w:sz w:val="20"/>
                <w:szCs w:val="20"/>
                <w:rtl/>
              </w:rPr>
            </w:pPr>
            <w:r w:rsidRPr="00D24D70">
              <w:rPr>
                <w:rFonts w:ascii="Traditional Arabic" w:eastAsia="Times New Roman" w:hAnsi="Traditional Arabic" w:cs="Traditional Arabic" w:hint="cs"/>
                <w:b/>
                <w:bCs/>
                <w:sz w:val="20"/>
                <w:szCs w:val="20"/>
                <w:rtl/>
              </w:rPr>
              <w:t>(إدارة المخاطر)</w:t>
            </w:r>
          </w:p>
        </w:tc>
        <w:tc>
          <w:tcPr>
            <w:tcW w:w="2074" w:type="dxa"/>
          </w:tcPr>
          <w:p w14:paraId="331E82A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20</w:t>
            </w:r>
          </w:p>
        </w:tc>
        <w:tc>
          <w:tcPr>
            <w:tcW w:w="2074" w:type="dxa"/>
          </w:tcPr>
          <w:p w14:paraId="3487730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0.88</w:t>
            </w:r>
          </w:p>
        </w:tc>
        <w:tc>
          <w:tcPr>
            <w:tcW w:w="2074" w:type="dxa"/>
          </w:tcPr>
          <w:p w14:paraId="4B53862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ممتاز</w:t>
            </w:r>
          </w:p>
        </w:tc>
      </w:tr>
    </w:tbl>
    <w:p w14:paraId="11BA4F9C" w14:textId="77777777" w:rsidR="00E448FC" w:rsidRDefault="00E448FC" w:rsidP="00E448FC">
      <w:pPr>
        <w:spacing w:after="0" w:line="240" w:lineRule="auto"/>
        <w:rPr>
          <w:rFonts w:ascii="Times New Roman" w:eastAsia="Times New Roman" w:hAnsi="Times New Roman" w:cs="Times New Roman"/>
          <w:sz w:val="24"/>
          <w:szCs w:val="24"/>
          <w:rtl/>
        </w:rPr>
      </w:pPr>
    </w:p>
    <w:p w14:paraId="338CCF9E" w14:textId="77777777" w:rsidR="00E448FC" w:rsidRPr="008C4BF8" w:rsidRDefault="00E448FC" w:rsidP="00E448FC">
      <w:pPr>
        <w:bidi/>
        <w:spacing w:after="200" w:line="276" w:lineRule="auto"/>
        <w:ind w:firstLine="720"/>
        <w:jc w:val="center"/>
        <w:rPr>
          <w:rFonts w:ascii="Traditional Arabic" w:hAnsi="Traditional Arabic" w:cs="Traditional Arabic"/>
          <w:b/>
          <w:bCs/>
          <w:color w:val="000000" w:themeColor="text1"/>
          <w:sz w:val="24"/>
          <w:szCs w:val="24"/>
          <w:rtl/>
        </w:rPr>
      </w:pPr>
      <w:r w:rsidRPr="008C4BF8">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C059FDD" w14:textId="77777777" w:rsidR="00E448FC" w:rsidRPr="008C4BF8"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8C4BF8">
        <w:rPr>
          <w:rFonts w:ascii="Traditional Arabic" w:hAnsi="Traditional Arabic" w:cs="Traditional Arabic" w:hint="cs"/>
          <w:color w:val="000000" w:themeColor="text1"/>
          <w:sz w:val="24"/>
          <w:szCs w:val="24"/>
          <w:rtl/>
        </w:rPr>
        <w:t xml:space="preserve">يُظهر الجدول السابق نتائج اختبار ثبات أداة الدراسة باستخدام معامل ألفا كرونباخ، حيث تم قياس الاتساق الداخلي لكل بُعد من أبعاد الأداة الثلاثة: القيادة التحويلية، سلامة المرضى، وإدارة المخاطر. وقد تراوحت قيم الثبات بين مستويات جيدة وجيدة جدًا، بينما بلغ معامل الثبات الكلي للاستبيان في كل متغير مستوى ممتاز (0.89 للقيادة التحويلية، 0.88 لسلامة المرضى، 0.88 لإدارة المخاطر). </w:t>
      </w:r>
      <w:r w:rsidRPr="008C4BF8">
        <w:rPr>
          <w:rFonts w:ascii="Traditional Arabic" w:hAnsi="Traditional Arabic" w:cs="Traditional Arabic" w:hint="cs"/>
          <w:color w:val="000000" w:themeColor="text1"/>
          <w:sz w:val="24"/>
          <w:szCs w:val="24"/>
          <w:rtl/>
        </w:rPr>
        <w:lastRenderedPageBreak/>
        <w:t>وهذا يدل على أن الأداة تتمتع بدرجة عالية من الموثوقية والاتساق الداخلي، مما يعزز صلاحيتها العلمية ويؤكد ملاءمتها لقياس متغيرات الدراسة بدقة وارتباطها بواقع مجتمع البحث</w:t>
      </w:r>
      <w:r w:rsidRPr="008C4BF8">
        <w:rPr>
          <w:rFonts w:ascii="Traditional Arabic" w:hAnsi="Traditional Arabic" w:cs="Traditional Arabic" w:hint="cs"/>
          <w:color w:val="000000" w:themeColor="text1"/>
          <w:sz w:val="24"/>
          <w:szCs w:val="24"/>
        </w:rPr>
        <w:t>.</w:t>
      </w:r>
    </w:p>
    <w:p w14:paraId="3ED2B55B" w14:textId="77777777" w:rsidR="00E448FC" w:rsidRPr="00F440EF" w:rsidRDefault="00E448FC">
      <w:pPr>
        <w:pStyle w:val="ListParagraph"/>
        <w:numPr>
          <w:ilvl w:val="1"/>
          <w:numId w:val="36"/>
        </w:numPr>
        <w:bidi/>
        <w:spacing w:after="200" w:line="276" w:lineRule="auto"/>
        <w:jc w:val="both"/>
        <w:rPr>
          <w:rFonts w:ascii="Traditional Arabic" w:hAnsi="Traditional Arabic" w:cs="Traditional Arabic"/>
          <w:b/>
          <w:bCs/>
          <w:color w:val="000000" w:themeColor="text1"/>
          <w:sz w:val="28"/>
          <w:szCs w:val="28"/>
        </w:rPr>
      </w:pPr>
      <w:r w:rsidRPr="00F440EF">
        <w:rPr>
          <w:rFonts w:ascii="Traditional Arabic" w:hAnsi="Traditional Arabic" w:cs="Traditional Arabic" w:hint="cs"/>
          <w:b/>
          <w:bCs/>
          <w:color w:val="000000" w:themeColor="text1"/>
          <w:sz w:val="28"/>
          <w:szCs w:val="28"/>
          <w:rtl/>
        </w:rPr>
        <w:t>صدق أداة الدراسة :</w:t>
      </w:r>
    </w:p>
    <w:p w14:paraId="34843642" w14:textId="77777777" w:rsidR="00E448FC"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F440EF">
        <w:rPr>
          <w:rFonts w:ascii="Traditional Arabic" w:hAnsi="Traditional Arabic" w:cs="Traditional Arabic" w:hint="cs"/>
          <w:color w:val="000000" w:themeColor="text1"/>
          <w:sz w:val="24"/>
          <w:szCs w:val="24"/>
          <w:rtl/>
        </w:rPr>
        <w:t>تم استخدام معامل الارتباط لبيرسون للتحقق من صدق الاتساق الداخلي لأداة الدراسة، وذلك من خلال قياس قوة العلاقة بين كل عبارة من عبارات الاستبانة والدرجة الكلية للمحور الذي تنتمي إليه، وقد شملت الأداة ثلاثة متغيرات رئيسة هي</w:t>
      </w:r>
      <w:r w:rsidRPr="00F440EF">
        <w:rPr>
          <w:rFonts w:ascii="Traditional Arabic" w:hAnsi="Traditional Arabic" w:cs="Traditional Arabic" w:hint="cs"/>
          <w:color w:val="000000" w:themeColor="text1"/>
          <w:sz w:val="24"/>
          <w:szCs w:val="24"/>
        </w:rPr>
        <w:t xml:space="preserve">: </w:t>
      </w:r>
      <w:r w:rsidRPr="00F440EF">
        <w:rPr>
          <w:rFonts w:ascii="Traditional Arabic" w:hAnsi="Traditional Arabic" w:cs="Traditional Arabic" w:hint="cs"/>
          <w:color w:val="000000" w:themeColor="text1"/>
          <w:sz w:val="24"/>
          <w:szCs w:val="24"/>
          <w:rtl/>
        </w:rPr>
        <w:t>القيادة التحويلية بأبعادها الأربعة (التأثير المثالي، الدافعية الإلهامية، الاعتبارية الفردية، الاستثارة الفكرية)، وسلامة المرضى بأبعادها الخمسة (تقليل الأخطاء الطبية، فعالية أنظمة الإبلاغ، إشراك المرضى، بيئة العمل الآمنة، جودة الرعاية السريرية)، وإدارة المخاطر بأبعادها الأربعة (تحديد المخاطر، تحليل المخاطر، تقييم المخاطر، الاستجابة للمخاطر). وقد أظهرت نتائج معاملات الارتباط أن جميع القيم كانت دالة إحصائيًا وضمن الحدود المقبولة، مما يعكس أن الأداة تقيس بالفعل المتغيرات المستهدفة بدرجة عالية من الصدق الداخلي، ويؤكد صلاحيتها العلمية وملاءمتها لواقع مجتمع الدراسة، كما يتضح من الجدول التالي:</w:t>
      </w:r>
    </w:p>
    <w:p w14:paraId="1359C2FB" w14:textId="77777777" w:rsidR="00CD7441" w:rsidRDefault="00CD7441" w:rsidP="00CD7441">
      <w:pPr>
        <w:bidi/>
        <w:spacing w:after="200" w:line="360" w:lineRule="auto"/>
        <w:ind w:firstLine="720"/>
        <w:jc w:val="both"/>
        <w:rPr>
          <w:rFonts w:ascii="Traditional Arabic" w:hAnsi="Traditional Arabic" w:cs="Traditional Arabic"/>
          <w:color w:val="000000" w:themeColor="text1"/>
          <w:sz w:val="24"/>
          <w:szCs w:val="24"/>
          <w:rtl/>
        </w:rPr>
      </w:pPr>
    </w:p>
    <w:p w14:paraId="26F812F7" w14:textId="77777777" w:rsidR="00CD7441" w:rsidRDefault="00CD7441" w:rsidP="00CD7441">
      <w:pPr>
        <w:bidi/>
        <w:spacing w:after="200" w:line="360" w:lineRule="auto"/>
        <w:ind w:firstLine="720"/>
        <w:jc w:val="both"/>
        <w:rPr>
          <w:rFonts w:ascii="Traditional Arabic" w:hAnsi="Traditional Arabic" w:cs="Traditional Arabic"/>
          <w:color w:val="000000" w:themeColor="text1"/>
          <w:sz w:val="24"/>
          <w:szCs w:val="24"/>
          <w:rtl/>
        </w:rPr>
      </w:pPr>
    </w:p>
    <w:p w14:paraId="072E8412" w14:textId="77777777" w:rsidR="00D24D70" w:rsidRDefault="00D24D70" w:rsidP="00D24D70">
      <w:pPr>
        <w:bidi/>
        <w:spacing w:after="200" w:line="360" w:lineRule="auto"/>
        <w:ind w:firstLine="720"/>
        <w:jc w:val="both"/>
        <w:rPr>
          <w:rFonts w:ascii="Traditional Arabic" w:hAnsi="Traditional Arabic" w:cs="Traditional Arabic"/>
          <w:color w:val="000000" w:themeColor="text1"/>
          <w:sz w:val="24"/>
          <w:szCs w:val="24"/>
          <w:rtl/>
        </w:rPr>
      </w:pPr>
    </w:p>
    <w:p w14:paraId="31192DBD" w14:textId="77777777" w:rsidR="00D24D70" w:rsidRDefault="00D24D70" w:rsidP="00D24D70">
      <w:pPr>
        <w:bidi/>
        <w:spacing w:after="200" w:line="360" w:lineRule="auto"/>
        <w:ind w:firstLine="720"/>
        <w:jc w:val="both"/>
        <w:rPr>
          <w:rFonts w:ascii="Traditional Arabic" w:hAnsi="Traditional Arabic" w:cs="Traditional Arabic"/>
          <w:color w:val="000000" w:themeColor="text1"/>
          <w:sz w:val="24"/>
          <w:szCs w:val="24"/>
          <w:rtl/>
        </w:rPr>
      </w:pPr>
    </w:p>
    <w:p w14:paraId="010BA12F" w14:textId="77777777" w:rsidR="002A434E" w:rsidRDefault="002A434E" w:rsidP="002A434E">
      <w:pPr>
        <w:bidi/>
        <w:spacing w:after="200" w:line="360" w:lineRule="auto"/>
        <w:ind w:firstLine="720"/>
        <w:jc w:val="both"/>
        <w:rPr>
          <w:rFonts w:ascii="Traditional Arabic" w:hAnsi="Traditional Arabic" w:cs="Traditional Arabic"/>
          <w:color w:val="000000" w:themeColor="text1"/>
          <w:sz w:val="24"/>
          <w:szCs w:val="24"/>
          <w:rtl/>
        </w:rPr>
      </w:pPr>
    </w:p>
    <w:p w14:paraId="68496D55" w14:textId="77777777" w:rsidR="002A434E" w:rsidRDefault="002A434E" w:rsidP="002A434E">
      <w:pPr>
        <w:bidi/>
        <w:spacing w:after="200" w:line="360" w:lineRule="auto"/>
        <w:ind w:firstLine="720"/>
        <w:jc w:val="both"/>
        <w:rPr>
          <w:rFonts w:ascii="Traditional Arabic" w:hAnsi="Traditional Arabic" w:cs="Traditional Arabic"/>
          <w:color w:val="000000" w:themeColor="text1"/>
          <w:sz w:val="24"/>
          <w:szCs w:val="24"/>
          <w:rtl/>
        </w:rPr>
      </w:pPr>
    </w:p>
    <w:p w14:paraId="2B0829CF" w14:textId="77777777" w:rsidR="002A434E" w:rsidRDefault="002A434E" w:rsidP="002A434E">
      <w:pPr>
        <w:bidi/>
        <w:spacing w:after="200" w:line="360" w:lineRule="auto"/>
        <w:ind w:firstLine="720"/>
        <w:jc w:val="both"/>
        <w:rPr>
          <w:rFonts w:ascii="Traditional Arabic" w:hAnsi="Traditional Arabic" w:cs="Traditional Arabic"/>
          <w:color w:val="000000" w:themeColor="text1"/>
          <w:sz w:val="24"/>
          <w:szCs w:val="24"/>
          <w:rtl/>
        </w:rPr>
      </w:pPr>
    </w:p>
    <w:p w14:paraId="617B1FAF" w14:textId="77777777" w:rsidR="002A434E" w:rsidRDefault="002A434E" w:rsidP="002A434E">
      <w:pPr>
        <w:bidi/>
        <w:spacing w:after="200" w:line="360" w:lineRule="auto"/>
        <w:ind w:firstLine="720"/>
        <w:jc w:val="both"/>
        <w:rPr>
          <w:rFonts w:ascii="Traditional Arabic" w:hAnsi="Traditional Arabic" w:cs="Traditional Arabic"/>
          <w:color w:val="000000" w:themeColor="text1"/>
          <w:sz w:val="24"/>
          <w:szCs w:val="24"/>
          <w:rtl/>
        </w:rPr>
      </w:pPr>
    </w:p>
    <w:p w14:paraId="215ACAF6" w14:textId="77777777" w:rsidR="009A6D86" w:rsidRDefault="009A6D86" w:rsidP="009A6D86">
      <w:pPr>
        <w:bidi/>
        <w:spacing w:after="200" w:line="360" w:lineRule="auto"/>
        <w:ind w:firstLine="720"/>
        <w:jc w:val="both"/>
        <w:rPr>
          <w:rFonts w:ascii="Traditional Arabic" w:hAnsi="Traditional Arabic" w:cs="Traditional Arabic"/>
          <w:color w:val="000000" w:themeColor="text1"/>
          <w:sz w:val="24"/>
          <w:szCs w:val="24"/>
          <w:rtl/>
        </w:rPr>
      </w:pPr>
    </w:p>
    <w:p w14:paraId="49A4E457" w14:textId="77777777" w:rsidR="009A6D86" w:rsidRDefault="009A6D86" w:rsidP="009A6D86">
      <w:pPr>
        <w:bidi/>
        <w:spacing w:after="200" w:line="360" w:lineRule="auto"/>
        <w:ind w:firstLine="720"/>
        <w:jc w:val="both"/>
        <w:rPr>
          <w:rFonts w:ascii="Traditional Arabic" w:hAnsi="Traditional Arabic" w:cs="Traditional Arabic"/>
          <w:color w:val="000000" w:themeColor="text1"/>
          <w:sz w:val="24"/>
          <w:szCs w:val="24"/>
          <w:rtl/>
        </w:rPr>
      </w:pPr>
    </w:p>
    <w:p w14:paraId="0E6625FE" w14:textId="77777777" w:rsidR="00CD7441" w:rsidRPr="00F440EF" w:rsidRDefault="00CD7441" w:rsidP="00CD7441">
      <w:pPr>
        <w:bidi/>
        <w:spacing w:after="200" w:line="360" w:lineRule="auto"/>
        <w:ind w:firstLine="720"/>
        <w:jc w:val="both"/>
        <w:rPr>
          <w:rFonts w:ascii="Traditional Arabic" w:hAnsi="Traditional Arabic" w:cs="Traditional Arabic"/>
          <w:color w:val="000000" w:themeColor="text1"/>
          <w:sz w:val="24"/>
          <w:szCs w:val="24"/>
          <w:rtl/>
        </w:rPr>
      </w:pPr>
    </w:p>
    <w:p w14:paraId="4F223F6B" w14:textId="77777777" w:rsidR="00E448FC" w:rsidRPr="00263A72" w:rsidRDefault="00E448FC" w:rsidP="00E448FC">
      <w:pPr>
        <w:bidi/>
        <w:spacing w:after="200" w:line="276" w:lineRule="auto"/>
        <w:jc w:val="center"/>
        <w:rPr>
          <w:rFonts w:ascii="Traditional Arabic" w:hAnsi="Traditional Arabic" w:cs="Traditional Arabic"/>
          <w:b/>
          <w:bCs/>
          <w:color w:val="000000" w:themeColor="text1"/>
          <w:sz w:val="24"/>
          <w:szCs w:val="24"/>
        </w:rPr>
      </w:pPr>
      <w:r w:rsidRPr="00263A72">
        <w:rPr>
          <w:rFonts w:ascii="Traditional Arabic" w:hAnsi="Traditional Arabic" w:cs="Traditional Arabic" w:hint="cs"/>
          <w:b/>
          <w:bCs/>
          <w:color w:val="000000" w:themeColor="text1"/>
          <w:sz w:val="24"/>
          <w:szCs w:val="24"/>
          <w:rtl/>
        </w:rPr>
        <w:lastRenderedPageBreak/>
        <w:t>جدول</w:t>
      </w:r>
      <w:r w:rsidRPr="00263A72">
        <w:rPr>
          <w:rFonts w:ascii="Traditional Arabic" w:hAnsi="Traditional Arabic" w:cs="Traditional Arabic" w:hint="cs"/>
          <w:b/>
          <w:bCs/>
          <w:color w:val="000000" w:themeColor="text1"/>
          <w:sz w:val="24"/>
          <w:szCs w:val="24"/>
        </w:rPr>
        <w:t xml:space="preserve"> </w:t>
      </w:r>
      <w:r w:rsidRPr="00263A72">
        <w:rPr>
          <w:rFonts w:ascii="Traditional Arabic" w:hAnsi="Traditional Arabic" w:cs="Traditional Arabic" w:hint="cs"/>
          <w:b/>
          <w:bCs/>
          <w:color w:val="000000" w:themeColor="text1"/>
          <w:sz w:val="24"/>
          <w:szCs w:val="24"/>
          <w:rtl/>
        </w:rPr>
        <w:t>(</w:t>
      </w:r>
      <w:r w:rsidRPr="00263A72">
        <w:rPr>
          <w:rFonts w:ascii="Traditional Arabic" w:hAnsi="Traditional Arabic" w:cs="Traditional Arabic" w:hint="cs"/>
          <w:b/>
          <w:bCs/>
          <w:color w:val="000000" w:themeColor="text1"/>
          <w:sz w:val="24"/>
          <w:szCs w:val="24"/>
        </w:rPr>
        <w:t xml:space="preserve"> </w:t>
      </w:r>
      <w:r w:rsidRPr="00263A72">
        <w:rPr>
          <w:rFonts w:ascii="Traditional Arabic" w:hAnsi="Traditional Arabic" w:cs="Traditional Arabic" w:hint="cs"/>
          <w:b/>
          <w:bCs/>
          <w:color w:val="000000" w:themeColor="text1"/>
          <w:sz w:val="24"/>
          <w:szCs w:val="24"/>
          <w:rtl/>
        </w:rPr>
        <w:t>14 ) معاملات ارتباط بيرسون بين أبعاد القيادة التحويلية، إدارة المخاطر، وسلامة المرضى ودلالتها الإحصائية</w:t>
      </w:r>
    </w:p>
    <w:tbl>
      <w:tblPr>
        <w:tblStyle w:val="TableGrid"/>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49"/>
        <w:gridCol w:w="2514"/>
        <w:gridCol w:w="1805"/>
        <w:gridCol w:w="1922"/>
      </w:tblGrid>
      <w:tr w:rsidR="00E448FC" w:rsidRPr="00D24D70" w14:paraId="01CE37BD" w14:textId="77777777" w:rsidTr="00F972F9">
        <w:trPr>
          <w:tblCellSpacing w:w="20" w:type="dxa"/>
        </w:trPr>
        <w:tc>
          <w:tcPr>
            <w:tcW w:w="1200" w:type="pct"/>
            <w:shd w:val="clear" w:color="auto" w:fill="E5DFEC" w:themeFill="accent4" w:themeFillTint="33"/>
            <w:hideMark/>
          </w:tcPr>
          <w:p w14:paraId="6FE7C39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الدلالة الإحصائية</w:t>
            </w:r>
          </w:p>
        </w:tc>
        <w:tc>
          <w:tcPr>
            <w:tcW w:w="1492" w:type="pct"/>
            <w:shd w:val="clear" w:color="auto" w:fill="E5DFEC" w:themeFill="accent4" w:themeFillTint="33"/>
            <w:hideMark/>
          </w:tcPr>
          <w:p w14:paraId="29482C6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معامل الارتباط</w:t>
            </w:r>
            <w:r w:rsidRPr="00D24D70">
              <w:rPr>
                <w:rFonts w:ascii="Traditional Arabic" w:hAnsi="Traditional Arabic" w:cs="Traditional Arabic" w:hint="cs"/>
                <w:b/>
                <w:bCs/>
                <w:color w:val="000000" w:themeColor="text1"/>
                <w:sz w:val="20"/>
                <w:szCs w:val="20"/>
              </w:rPr>
              <w:t xml:space="preserve"> (Pearson r)</w:t>
            </w:r>
          </w:p>
        </w:tc>
        <w:tc>
          <w:tcPr>
            <w:tcW w:w="1065" w:type="pct"/>
            <w:shd w:val="clear" w:color="auto" w:fill="E5DFEC" w:themeFill="accent4" w:themeFillTint="33"/>
            <w:hideMark/>
          </w:tcPr>
          <w:p w14:paraId="50DC91F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البُعد الأول</w:t>
            </w:r>
          </w:p>
        </w:tc>
        <w:tc>
          <w:tcPr>
            <w:tcW w:w="1123" w:type="pct"/>
            <w:shd w:val="clear" w:color="auto" w:fill="E5DFEC" w:themeFill="accent4" w:themeFillTint="33"/>
            <w:hideMark/>
          </w:tcPr>
          <w:p w14:paraId="38D9423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البُعد الثاني</w:t>
            </w:r>
          </w:p>
        </w:tc>
      </w:tr>
      <w:tr w:rsidR="00E448FC" w:rsidRPr="00D24D70" w14:paraId="2585E783" w14:textId="77777777" w:rsidTr="00F972F9">
        <w:trPr>
          <w:tblCellSpacing w:w="20" w:type="dxa"/>
        </w:trPr>
        <w:tc>
          <w:tcPr>
            <w:tcW w:w="1200" w:type="pct"/>
            <w:hideMark/>
          </w:tcPr>
          <w:p w14:paraId="5F3CF58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40A3E16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0.67</w:t>
            </w:r>
          </w:p>
        </w:tc>
        <w:tc>
          <w:tcPr>
            <w:tcW w:w="1065" w:type="pct"/>
            <w:hideMark/>
          </w:tcPr>
          <w:p w14:paraId="6A0C424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تحديد المخاطر</w:t>
            </w:r>
          </w:p>
        </w:tc>
        <w:tc>
          <w:tcPr>
            <w:tcW w:w="1123" w:type="pct"/>
            <w:hideMark/>
          </w:tcPr>
          <w:p w14:paraId="7358822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تحليل المخاطر</w:t>
            </w:r>
          </w:p>
        </w:tc>
      </w:tr>
      <w:tr w:rsidR="00E448FC" w:rsidRPr="00D24D70" w14:paraId="6DB0F3C8" w14:textId="77777777" w:rsidTr="00F972F9">
        <w:trPr>
          <w:tblCellSpacing w:w="20" w:type="dxa"/>
        </w:trPr>
        <w:tc>
          <w:tcPr>
            <w:tcW w:w="1200" w:type="pct"/>
            <w:hideMark/>
          </w:tcPr>
          <w:p w14:paraId="1D0F623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23862D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0.59</w:t>
            </w:r>
          </w:p>
        </w:tc>
        <w:tc>
          <w:tcPr>
            <w:tcW w:w="1065" w:type="pct"/>
            <w:hideMark/>
          </w:tcPr>
          <w:p w14:paraId="7836055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تحديد المخاطر</w:t>
            </w:r>
          </w:p>
        </w:tc>
        <w:tc>
          <w:tcPr>
            <w:tcW w:w="1123" w:type="pct"/>
            <w:hideMark/>
          </w:tcPr>
          <w:p w14:paraId="4B78A07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تقييم المخاطر</w:t>
            </w:r>
          </w:p>
        </w:tc>
      </w:tr>
      <w:tr w:rsidR="00E448FC" w:rsidRPr="00D24D70" w14:paraId="2614F0E7" w14:textId="77777777" w:rsidTr="00F972F9">
        <w:trPr>
          <w:tblCellSpacing w:w="20" w:type="dxa"/>
        </w:trPr>
        <w:tc>
          <w:tcPr>
            <w:tcW w:w="1200" w:type="pct"/>
            <w:hideMark/>
          </w:tcPr>
          <w:p w14:paraId="388537D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9BC1A6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0.62</w:t>
            </w:r>
          </w:p>
        </w:tc>
        <w:tc>
          <w:tcPr>
            <w:tcW w:w="1065" w:type="pct"/>
            <w:hideMark/>
          </w:tcPr>
          <w:p w14:paraId="704EDA4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تحديد المخاطر</w:t>
            </w:r>
          </w:p>
        </w:tc>
        <w:tc>
          <w:tcPr>
            <w:tcW w:w="1123" w:type="pct"/>
            <w:hideMark/>
          </w:tcPr>
          <w:p w14:paraId="1C19D53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الاستجابة للمخاطر</w:t>
            </w:r>
          </w:p>
        </w:tc>
      </w:tr>
      <w:tr w:rsidR="00E448FC" w:rsidRPr="00D24D70" w14:paraId="501AAEE0" w14:textId="77777777" w:rsidTr="00F972F9">
        <w:trPr>
          <w:tblCellSpacing w:w="20" w:type="dxa"/>
        </w:trPr>
        <w:tc>
          <w:tcPr>
            <w:tcW w:w="1200" w:type="pct"/>
            <w:hideMark/>
          </w:tcPr>
          <w:p w14:paraId="0C6A8C9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E9F1E1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0.71</w:t>
            </w:r>
          </w:p>
        </w:tc>
        <w:tc>
          <w:tcPr>
            <w:tcW w:w="1065" w:type="pct"/>
            <w:hideMark/>
          </w:tcPr>
          <w:p w14:paraId="695257E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تحليل المخاطر</w:t>
            </w:r>
          </w:p>
        </w:tc>
        <w:tc>
          <w:tcPr>
            <w:tcW w:w="1123" w:type="pct"/>
            <w:hideMark/>
          </w:tcPr>
          <w:p w14:paraId="170258F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تقييم المخاطر</w:t>
            </w:r>
          </w:p>
        </w:tc>
      </w:tr>
      <w:tr w:rsidR="00E448FC" w:rsidRPr="00D24D70" w14:paraId="6821FE23" w14:textId="77777777" w:rsidTr="00F972F9">
        <w:trPr>
          <w:tblCellSpacing w:w="20" w:type="dxa"/>
        </w:trPr>
        <w:tc>
          <w:tcPr>
            <w:tcW w:w="1200" w:type="pct"/>
            <w:hideMark/>
          </w:tcPr>
          <w:p w14:paraId="2AB3B05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4A81328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0.68</w:t>
            </w:r>
          </w:p>
        </w:tc>
        <w:tc>
          <w:tcPr>
            <w:tcW w:w="1065" w:type="pct"/>
            <w:hideMark/>
          </w:tcPr>
          <w:p w14:paraId="597C49F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تحليل المخاطر</w:t>
            </w:r>
          </w:p>
        </w:tc>
        <w:tc>
          <w:tcPr>
            <w:tcW w:w="1123" w:type="pct"/>
            <w:hideMark/>
          </w:tcPr>
          <w:p w14:paraId="102EA2A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الاستجابة للمخاطر</w:t>
            </w:r>
          </w:p>
        </w:tc>
      </w:tr>
      <w:tr w:rsidR="00E448FC" w:rsidRPr="00D24D70" w14:paraId="7EE25666" w14:textId="77777777" w:rsidTr="00F972F9">
        <w:trPr>
          <w:tblCellSpacing w:w="20" w:type="dxa"/>
        </w:trPr>
        <w:tc>
          <w:tcPr>
            <w:tcW w:w="1200" w:type="pct"/>
            <w:hideMark/>
          </w:tcPr>
          <w:p w14:paraId="7B1F640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E4D15D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0.65</w:t>
            </w:r>
          </w:p>
        </w:tc>
        <w:tc>
          <w:tcPr>
            <w:tcW w:w="1065" w:type="pct"/>
            <w:hideMark/>
          </w:tcPr>
          <w:p w14:paraId="6E4AD27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تقييم المخاطر</w:t>
            </w:r>
          </w:p>
        </w:tc>
        <w:tc>
          <w:tcPr>
            <w:tcW w:w="1123" w:type="pct"/>
            <w:hideMark/>
          </w:tcPr>
          <w:p w14:paraId="4778C31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الاستجابة للمخاطر</w:t>
            </w:r>
          </w:p>
        </w:tc>
      </w:tr>
      <w:tr w:rsidR="00E448FC" w:rsidRPr="00D24D70" w14:paraId="53FE6F1B" w14:textId="77777777" w:rsidTr="00F972F9">
        <w:trPr>
          <w:tblCellSpacing w:w="20" w:type="dxa"/>
        </w:trPr>
        <w:tc>
          <w:tcPr>
            <w:tcW w:w="1200" w:type="pct"/>
            <w:hideMark/>
          </w:tcPr>
          <w:p w14:paraId="4C19749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79B010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0.74</w:t>
            </w:r>
          </w:p>
        </w:tc>
        <w:tc>
          <w:tcPr>
            <w:tcW w:w="1065" w:type="pct"/>
            <w:hideMark/>
          </w:tcPr>
          <w:p w14:paraId="60823AA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التأثير المثالي</w:t>
            </w:r>
          </w:p>
        </w:tc>
        <w:tc>
          <w:tcPr>
            <w:tcW w:w="1123" w:type="pct"/>
            <w:hideMark/>
          </w:tcPr>
          <w:p w14:paraId="7F11412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الدافعية الإلهامية</w:t>
            </w:r>
          </w:p>
        </w:tc>
      </w:tr>
      <w:tr w:rsidR="00E448FC" w:rsidRPr="00D24D70" w14:paraId="422A791F" w14:textId="77777777" w:rsidTr="00F972F9">
        <w:trPr>
          <w:tblCellSpacing w:w="20" w:type="dxa"/>
        </w:trPr>
        <w:tc>
          <w:tcPr>
            <w:tcW w:w="1200" w:type="pct"/>
            <w:hideMark/>
          </w:tcPr>
          <w:p w14:paraId="62F9402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F1E7D0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0.69</w:t>
            </w:r>
          </w:p>
        </w:tc>
        <w:tc>
          <w:tcPr>
            <w:tcW w:w="1065" w:type="pct"/>
            <w:hideMark/>
          </w:tcPr>
          <w:p w14:paraId="1FAFF24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التأثير المثالي</w:t>
            </w:r>
          </w:p>
        </w:tc>
        <w:tc>
          <w:tcPr>
            <w:tcW w:w="1123" w:type="pct"/>
            <w:hideMark/>
          </w:tcPr>
          <w:p w14:paraId="3BEE5B1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الإعتبارية الفردية</w:t>
            </w:r>
          </w:p>
        </w:tc>
      </w:tr>
      <w:tr w:rsidR="00E448FC" w:rsidRPr="00D24D70" w14:paraId="4D35D729" w14:textId="77777777" w:rsidTr="00F972F9">
        <w:trPr>
          <w:tblCellSpacing w:w="20" w:type="dxa"/>
        </w:trPr>
        <w:tc>
          <w:tcPr>
            <w:tcW w:w="1200" w:type="pct"/>
            <w:hideMark/>
          </w:tcPr>
          <w:p w14:paraId="7275715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1E897FE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0.72</w:t>
            </w:r>
          </w:p>
        </w:tc>
        <w:tc>
          <w:tcPr>
            <w:tcW w:w="1065" w:type="pct"/>
            <w:hideMark/>
          </w:tcPr>
          <w:p w14:paraId="1BFC996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التأثير المثالي</w:t>
            </w:r>
          </w:p>
        </w:tc>
        <w:tc>
          <w:tcPr>
            <w:tcW w:w="1123" w:type="pct"/>
            <w:hideMark/>
          </w:tcPr>
          <w:p w14:paraId="4496187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الاستثارة الفكرية</w:t>
            </w:r>
          </w:p>
        </w:tc>
      </w:tr>
      <w:tr w:rsidR="00E448FC" w:rsidRPr="00D24D70" w14:paraId="455094B4" w14:textId="77777777" w:rsidTr="00F972F9">
        <w:trPr>
          <w:tblCellSpacing w:w="20" w:type="dxa"/>
        </w:trPr>
        <w:tc>
          <w:tcPr>
            <w:tcW w:w="1200" w:type="pct"/>
            <w:hideMark/>
          </w:tcPr>
          <w:p w14:paraId="258C2DB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DC3907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0.66</w:t>
            </w:r>
          </w:p>
        </w:tc>
        <w:tc>
          <w:tcPr>
            <w:tcW w:w="1065" w:type="pct"/>
            <w:hideMark/>
          </w:tcPr>
          <w:p w14:paraId="2288FE4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الدافعية الإلهامية</w:t>
            </w:r>
          </w:p>
        </w:tc>
        <w:tc>
          <w:tcPr>
            <w:tcW w:w="1123" w:type="pct"/>
            <w:hideMark/>
          </w:tcPr>
          <w:p w14:paraId="7C90426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الإعتبارية الفردية</w:t>
            </w:r>
          </w:p>
        </w:tc>
      </w:tr>
      <w:tr w:rsidR="00E448FC" w:rsidRPr="00D24D70" w14:paraId="6A627725" w14:textId="77777777" w:rsidTr="00F972F9">
        <w:trPr>
          <w:tblCellSpacing w:w="20" w:type="dxa"/>
        </w:trPr>
        <w:tc>
          <w:tcPr>
            <w:tcW w:w="1200" w:type="pct"/>
            <w:hideMark/>
          </w:tcPr>
          <w:p w14:paraId="3F65A03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38C0749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0.70</w:t>
            </w:r>
          </w:p>
        </w:tc>
        <w:tc>
          <w:tcPr>
            <w:tcW w:w="1065" w:type="pct"/>
            <w:hideMark/>
          </w:tcPr>
          <w:p w14:paraId="4A457C1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الدافعية الإلهامية</w:t>
            </w:r>
          </w:p>
        </w:tc>
        <w:tc>
          <w:tcPr>
            <w:tcW w:w="1123" w:type="pct"/>
            <w:hideMark/>
          </w:tcPr>
          <w:p w14:paraId="66B5E01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الاستثارة الفكرية</w:t>
            </w:r>
          </w:p>
        </w:tc>
      </w:tr>
      <w:tr w:rsidR="00E448FC" w:rsidRPr="00D24D70" w14:paraId="52550D88" w14:textId="77777777" w:rsidTr="00F972F9">
        <w:trPr>
          <w:tblCellSpacing w:w="20" w:type="dxa"/>
        </w:trPr>
        <w:tc>
          <w:tcPr>
            <w:tcW w:w="1200" w:type="pct"/>
            <w:hideMark/>
          </w:tcPr>
          <w:p w14:paraId="5E81A76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2EFFCF8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0.68</w:t>
            </w:r>
          </w:p>
        </w:tc>
        <w:tc>
          <w:tcPr>
            <w:tcW w:w="1065" w:type="pct"/>
            <w:hideMark/>
          </w:tcPr>
          <w:p w14:paraId="26C9D90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الإعتبارية الفردية</w:t>
            </w:r>
          </w:p>
        </w:tc>
        <w:tc>
          <w:tcPr>
            <w:tcW w:w="1123" w:type="pct"/>
            <w:hideMark/>
          </w:tcPr>
          <w:p w14:paraId="2897604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الاستثارة الفكرية</w:t>
            </w:r>
          </w:p>
        </w:tc>
      </w:tr>
      <w:tr w:rsidR="00E448FC" w:rsidRPr="00D24D70" w14:paraId="3A3D38FF" w14:textId="77777777" w:rsidTr="00F972F9">
        <w:trPr>
          <w:tblCellSpacing w:w="20" w:type="dxa"/>
        </w:trPr>
        <w:tc>
          <w:tcPr>
            <w:tcW w:w="1200" w:type="pct"/>
            <w:hideMark/>
          </w:tcPr>
          <w:p w14:paraId="23F50BC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AD17DF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0.72</w:t>
            </w:r>
          </w:p>
        </w:tc>
        <w:tc>
          <w:tcPr>
            <w:tcW w:w="1065" w:type="pct"/>
            <w:hideMark/>
          </w:tcPr>
          <w:p w14:paraId="21D9B70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384E988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r>
      <w:tr w:rsidR="00E448FC" w:rsidRPr="00D24D70" w14:paraId="5E4CCCB7" w14:textId="77777777" w:rsidTr="00F972F9">
        <w:trPr>
          <w:tblCellSpacing w:w="20" w:type="dxa"/>
        </w:trPr>
        <w:tc>
          <w:tcPr>
            <w:tcW w:w="1200" w:type="pct"/>
            <w:hideMark/>
          </w:tcPr>
          <w:p w14:paraId="59C067F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4560C2E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0.68</w:t>
            </w:r>
          </w:p>
        </w:tc>
        <w:tc>
          <w:tcPr>
            <w:tcW w:w="1065" w:type="pct"/>
            <w:hideMark/>
          </w:tcPr>
          <w:p w14:paraId="2C21C16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2606649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r>
      <w:tr w:rsidR="00E448FC" w:rsidRPr="00D24D70" w14:paraId="46D530EB" w14:textId="77777777" w:rsidTr="00F972F9">
        <w:trPr>
          <w:tblCellSpacing w:w="20" w:type="dxa"/>
        </w:trPr>
        <w:tc>
          <w:tcPr>
            <w:tcW w:w="1200" w:type="pct"/>
            <w:hideMark/>
          </w:tcPr>
          <w:p w14:paraId="4356719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6511B1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0.70</w:t>
            </w:r>
          </w:p>
        </w:tc>
        <w:tc>
          <w:tcPr>
            <w:tcW w:w="1065" w:type="pct"/>
            <w:hideMark/>
          </w:tcPr>
          <w:p w14:paraId="5088AAF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2613209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r>
      <w:tr w:rsidR="00E448FC" w:rsidRPr="00D24D70" w14:paraId="14234177" w14:textId="77777777" w:rsidTr="00F972F9">
        <w:trPr>
          <w:tblCellSpacing w:w="20" w:type="dxa"/>
        </w:trPr>
        <w:tc>
          <w:tcPr>
            <w:tcW w:w="1200" w:type="pct"/>
            <w:hideMark/>
          </w:tcPr>
          <w:p w14:paraId="7BC283D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04861C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0.75</w:t>
            </w:r>
          </w:p>
        </w:tc>
        <w:tc>
          <w:tcPr>
            <w:tcW w:w="1065" w:type="pct"/>
            <w:hideMark/>
          </w:tcPr>
          <w:p w14:paraId="23DB588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30DFC8B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r w:rsidR="00E448FC" w:rsidRPr="00D24D70" w14:paraId="41D2DDC3" w14:textId="77777777" w:rsidTr="00F972F9">
        <w:trPr>
          <w:tblCellSpacing w:w="20" w:type="dxa"/>
        </w:trPr>
        <w:tc>
          <w:tcPr>
            <w:tcW w:w="1200" w:type="pct"/>
            <w:hideMark/>
          </w:tcPr>
          <w:p w14:paraId="27931BD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519EF37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0.66</w:t>
            </w:r>
          </w:p>
        </w:tc>
        <w:tc>
          <w:tcPr>
            <w:tcW w:w="1065" w:type="pct"/>
            <w:hideMark/>
          </w:tcPr>
          <w:p w14:paraId="59F02F6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c>
          <w:tcPr>
            <w:tcW w:w="1123" w:type="pct"/>
            <w:hideMark/>
          </w:tcPr>
          <w:p w14:paraId="6E58055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r>
      <w:tr w:rsidR="00E448FC" w:rsidRPr="00D24D70" w14:paraId="1C307E8B" w14:textId="77777777" w:rsidTr="00F972F9">
        <w:trPr>
          <w:tblCellSpacing w:w="20" w:type="dxa"/>
        </w:trPr>
        <w:tc>
          <w:tcPr>
            <w:tcW w:w="1200" w:type="pct"/>
            <w:hideMark/>
          </w:tcPr>
          <w:p w14:paraId="519249F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42D926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0.69</w:t>
            </w:r>
          </w:p>
        </w:tc>
        <w:tc>
          <w:tcPr>
            <w:tcW w:w="1065" w:type="pct"/>
            <w:hideMark/>
          </w:tcPr>
          <w:p w14:paraId="1356604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c>
          <w:tcPr>
            <w:tcW w:w="1123" w:type="pct"/>
            <w:hideMark/>
          </w:tcPr>
          <w:p w14:paraId="73B9063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r>
      <w:tr w:rsidR="00E448FC" w:rsidRPr="00D24D70" w14:paraId="4672A898" w14:textId="77777777" w:rsidTr="00F972F9">
        <w:trPr>
          <w:tblCellSpacing w:w="20" w:type="dxa"/>
        </w:trPr>
        <w:tc>
          <w:tcPr>
            <w:tcW w:w="1200" w:type="pct"/>
            <w:hideMark/>
          </w:tcPr>
          <w:p w14:paraId="0B73591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32C87F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0.73</w:t>
            </w:r>
          </w:p>
        </w:tc>
        <w:tc>
          <w:tcPr>
            <w:tcW w:w="1065" w:type="pct"/>
            <w:hideMark/>
          </w:tcPr>
          <w:p w14:paraId="3E69D23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c>
          <w:tcPr>
            <w:tcW w:w="1123" w:type="pct"/>
            <w:hideMark/>
          </w:tcPr>
          <w:p w14:paraId="7CB1A77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r w:rsidR="00E448FC" w:rsidRPr="00D24D70" w14:paraId="42DD4CFD" w14:textId="77777777" w:rsidTr="00F972F9">
        <w:trPr>
          <w:tblCellSpacing w:w="20" w:type="dxa"/>
        </w:trPr>
        <w:tc>
          <w:tcPr>
            <w:tcW w:w="1200" w:type="pct"/>
            <w:hideMark/>
          </w:tcPr>
          <w:p w14:paraId="37BAAEC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FCEEC4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0.64</w:t>
            </w:r>
          </w:p>
        </w:tc>
        <w:tc>
          <w:tcPr>
            <w:tcW w:w="1065" w:type="pct"/>
            <w:hideMark/>
          </w:tcPr>
          <w:p w14:paraId="104BCC5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c>
          <w:tcPr>
            <w:tcW w:w="1123" w:type="pct"/>
            <w:hideMark/>
          </w:tcPr>
          <w:p w14:paraId="46EB104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r>
      <w:tr w:rsidR="00E448FC" w:rsidRPr="00D24D70" w14:paraId="43C97D22" w14:textId="77777777" w:rsidTr="00F972F9">
        <w:trPr>
          <w:tblCellSpacing w:w="20" w:type="dxa"/>
        </w:trPr>
        <w:tc>
          <w:tcPr>
            <w:tcW w:w="1200" w:type="pct"/>
            <w:hideMark/>
          </w:tcPr>
          <w:p w14:paraId="3EDF58C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lastRenderedPageBreak/>
              <w:t>دالة عند مستوى 0.01</w:t>
            </w:r>
          </w:p>
        </w:tc>
        <w:tc>
          <w:tcPr>
            <w:tcW w:w="1492" w:type="pct"/>
            <w:hideMark/>
          </w:tcPr>
          <w:p w14:paraId="195DC67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0.67</w:t>
            </w:r>
          </w:p>
        </w:tc>
        <w:tc>
          <w:tcPr>
            <w:tcW w:w="1065" w:type="pct"/>
            <w:hideMark/>
          </w:tcPr>
          <w:p w14:paraId="3D9302C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c>
          <w:tcPr>
            <w:tcW w:w="1123" w:type="pct"/>
            <w:hideMark/>
          </w:tcPr>
          <w:p w14:paraId="4BDEF77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r w:rsidR="00E448FC" w:rsidRPr="00D24D70" w14:paraId="2870CD37" w14:textId="77777777" w:rsidTr="00F972F9">
        <w:trPr>
          <w:tblCellSpacing w:w="20" w:type="dxa"/>
        </w:trPr>
        <w:tc>
          <w:tcPr>
            <w:tcW w:w="1200" w:type="pct"/>
            <w:hideMark/>
          </w:tcPr>
          <w:p w14:paraId="23D24B7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55A593A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0.76</w:t>
            </w:r>
          </w:p>
        </w:tc>
        <w:tc>
          <w:tcPr>
            <w:tcW w:w="1065" w:type="pct"/>
            <w:hideMark/>
          </w:tcPr>
          <w:p w14:paraId="4C1D764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c>
          <w:tcPr>
            <w:tcW w:w="1123" w:type="pct"/>
            <w:hideMark/>
          </w:tcPr>
          <w:p w14:paraId="215080F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bl>
    <w:p w14:paraId="0A7D7B05" w14:textId="77777777" w:rsidR="00E448FC" w:rsidRPr="00A304BA" w:rsidRDefault="00E448FC" w:rsidP="00E448FC">
      <w:pPr>
        <w:bidi/>
        <w:spacing w:after="200" w:line="276" w:lineRule="auto"/>
        <w:ind w:firstLine="720"/>
        <w:jc w:val="center"/>
        <w:rPr>
          <w:rFonts w:ascii="Traditional Arabic" w:hAnsi="Traditional Arabic" w:cs="Traditional Arabic"/>
          <w:b/>
          <w:bCs/>
          <w:color w:val="000000" w:themeColor="text1"/>
          <w:sz w:val="24"/>
          <w:szCs w:val="24"/>
          <w:rtl/>
        </w:rPr>
      </w:pPr>
      <w:r w:rsidRPr="00A304BA">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0AE51F99" w14:textId="77777777" w:rsidR="00E448FC" w:rsidRPr="00A304BA"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A304BA">
        <w:rPr>
          <w:rFonts w:ascii="Traditional Arabic" w:hAnsi="Traditional Arabic" w:cs="Traditional Arabic" w:hint="cs"/>
          <w:color w:val="000000" w:themeColor="text1"/>
          <w:sz w:val="24"/>
          <w:szCs w:val="24"/>
          <w:rtl/>
        </w:rPr>
        <w:t>الجدول السابق يوضح نتائج معاملات ارتباط بيرسون بين أبعاد المتغيرات الثلاثة</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إدارة المخاطر، القيادة التحويلية، وسلامة المرضى</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يتبين من القيم أن جميع معاملات الارتباط كانت دالة إحصائيًا عند مستوى</w:t>
      </w:r>
      <w:r w:rsidRPr="00A304BA">
        <w:rPr>
          <w:rFonts w:ascii="Traditional Arabic" w:hAnsi="Traditional Arabic" w:cs="Traditional Arabic" w:hint="cs"/>
          <w:color w:val="000000" w:themeColor="text1"/>
          <w:sz w:val="24"/>
          <w:szCs w:val="24"/>
        </w:rPr>
        <w:t xml:space="preserve"> (0.01)</w:t>
      </w:r>
      <w:r w:rsidRPr="00A304BA">
        <w:rPr>
          <w:rFonts w:ascii="Traditional Arabic" w:hAnsi="Traditional Arabic" w:cs="Traditional Arabic" w:hint="cs"/>
          <w:color w:val="000000" w:themeColor="text1"/>
          <w:sz w:val="24"/>
          <w:szCs w:val="24"/>
          <w:rtl/>
        </w:rPr>
        <w:t>، مما يعكس وجود علاقات ارتباط قوية وموجبة بين الأبعاد المختلفة داخل كل متغير. هذا يشير إلى أن العبارات المرتبطة بكل بُعد تتماسك فيما بينها بشكل يعكس المفهوم الذي صُممت لقياسه، ويؤكد أن الأداة البحثية تتمتع بدرجة عالية من الصدق الداخلي</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كما أن تباين معاملات الارتباط بين الأبعاد المختلفة يُظهر أن كل محور يقيس جانبًا مميزًا من المتغير، مع وجود انسجام عام يعزز صلاحية الأداة للاستخدام في الدراسات التطبيقية بمجال الإدارة الصحية وإدارة المستشفيات</w:t>
      </w:r>
      <w:r w:rsidRPr="00A304BA">
        <w:rPr>
          <w:rFonts w:ascii="Traditional Arabic" w:hAnsi="Traditional Arabic" w:cs="Traditional Arabic" w:hint="cs"/>
          <w:color w:val="000000" w:themeColor="text1"/>
          <w:sz w:val="24"/>
          <w:szCs w:val="24"/>
        </w:rPr>
        <w:t>.</w:t>
      </w:r>
    </w:p>
    <w:p w14:paraId="2A648C63" w14:textId="48EA0DA3" w:rsidR="003263AB" w:rsidRPr="00E96DB2" w:rsidRDefault="003263AB" w:rsidP="0000785F">
      <w:pPr>
        <w:bidi/>
        <w:spacing w:after="200" w:line="360" w:lineRule="auto"/>
        <w:jc w:val="both"/>
        <w:rPr>
          <w:rFonts w:ascii="Traditional Arabic" w:hAnsi="Traditional Arabic" w:cs="Traditional Arabic"/>
          <w:b/>
          <w:bCs/>
          <w:color w:val="000000" w:themeColor="text1"/>
          <w:sz w:val="28"/>
          <w:szCs w:val="28"/>
          <w:rtl/>
          <w:lang w:bidi="ar-EG"/>
        </w:rPr>
      </w:pPr>
      <w:r w:rsidRPr="00E96DB2">
        <w:rPr>
          <w:rFonts w:ascii="Traditional Arabic" w:hAnsi="Traditional Arabic" w:cs="Traditional Arabic" w:hint="cs"/>
          <w:b/>
          <w:bCs/>
          <w:color w:val="000000" w:themeColor="text1"/>
          <w:sz w:val="28"/>
          <w:szCs w:val="28"/>
          <w:rtl/>
          <w:lang w:bidi="ar-EG"/>
        </w:rPr>
        <w:t>خلاصة:</w:t>
      </w:r>
    </w:p>
    <w:p w14:paraId="75EB32A3" w14:textId="77777777" w:rsidR="003263AB" w:rsidRPr="003263AB" w:rsidRDefault="003263AB" w:rsidP="003263AB">
      <w:pPr>
        <w:bidi/>
        <w:spacing w:after="200" w:line="360" w:lineRule="auto"/>
        <w:jc w:val="both"/>
        <w:rPr>
          <w:rFonts w:ascii="Traditional Arabic" w:hAnsi="Traditional Arabic" w:cs="Traditional Arabic"/>
          <w:color w:val="000000" w:themeColor="text1"/>
          <w:sz w:val="24"/>
          <w:szCs w:val="24"/>
          <w:lang w:bidi="ar-EG"/>
        </w:rPr>
      </w:pPr>
      <w:r w:rsidRPr="003263AB">
        <w:rPr>
          <w:rFonts w:ascii="Traditional Arabic" w:hAnsi="Traditional Arabic" w:cs="Traditional Arabic"/>
          <w:color w:val="000000" w:themeColor="text1"/>
          <w:sz w:val="24"/>
          <w:szCs w:val="24"/>
          <w:rtl/>
        </w:rPr>
        <w:t xml:space="preserve">أظهرت نتائج التحليل الوصفي أن المتوسطات الحسابية لجميع العبارات تراوحت بين (4.03 – 4.35)، وهو مستوى مرتفع يعكس إدراكًا جماعيًا قويًا لأهمية تطبيق ممارسات إدارة المخاطر، وتبني القيادة التحويلية، وتعزيز سلامة المرضى. فقد سجلت عبارات مثل </w:t>
      </w:r>
      <w:r w:rsidRPr="003263AB">
        <w:rPr>
          <w:rFonts w:ascii="Traditional Arabic" w:hAnsi="Traditional Arabic" w:cs="Traditional Arabic"/>
          <w:color w:val="000000" w:themeColor="text1"/>
          <w:sz w:val="24"/>
          <w:szCs w:val="24"/>
          <w:lang w:bidi="ar-EG"/>
        </w:rPr>
        <w:t>"</w:t>
      </w:r>
      <w:r w:rsidRPr="003263AB">
        <w:rPr>
          <w:rFonts w:ascii="Traditional Arabic" w:hAnsi="Traditional Arabic" w:cs="Traditional Arabic"/>
          <w:color w:val="000000" w:themeColor="text1"/>
          <w:sz w:val="24"/>
          <w:szCs w:val="24"/>
          <w:rtl/>
        </w:rPr>
        <w:t>يُظهر القائد سلوكًا أخلاقيًا يُحتذى به</w:t>
      </w:r>
      <w:r w:rsidRPr="003263AB">
        <w:rPr>
          <w:rFonts w:ascii="Traditional Arabic" w:hAnsi="Traditional Arabic" w:cs="Traditional Arabic"/>
          <w:color w:val="000000" w:themeColor="text1"/>
          <w:sz w:val="24"/>
          <w:szCs w:val="24"/>
          <w:lang w:bidi="ar-EG"/>
        </w:rPr>
        <w:t xml:space="preserve">" </w:t>
      </w:r>
      <w:r w:rsidRPr="003263AB">
        <w:rPr>
          <w:rFonts w:ascii="Traditional Arabic" w:hAnsi="Traditional Arabic" w:cs="Traditional Arabic"/>
          <w:color w:val="000000" w:themeColor="text1"/>
          <w:sz w:val="24"/>
          <w:szCs w:val="24"/>
          <w:rtl/>
        </w:rPr>
        <w:t xml:space="preserve">و </w:t>
      </w:r>
      <w:r w:rsidRPr="003263AB">
        <w:rPr>
          <w:rFonts w:ascii="Traditional Arabic" w:hAnsi="Traditional Arabic" w:cs="Traditional Arabic"/>
          <w:color w:val="000000" w:themeColor="text1"/>
          <w:sz w:val="24"/>
          <w:szCs w:val="24"/>
          <w:lang w:bidi="ar-EG"/>
        </w:rPr>
        <w:t>"</w:t>
      </w:r>
      <w:r w:rsidRPr="003263AB">
        <w:rPr>
          <w:rFonts w:ascii="Traditional Arabic" w:hAnsi="Traditional Arabic" w:cs="Traditional Arabic"/>
          <w:color w:val="000000" w:themeColor="text1"/>
          <w:sz w:val="24"/>
          <w:szCs w:val="24"/>
          <w:rtl/>
        </w:rPr>
        <w:t>يتم تطبيق إجراءات واضحة لتقليل الأخطاء الطبية</w:t>
      </w:r>
      <w:r w:rsidRPr="003263AB">
        <w:rPr>
          <w:rFonts w:ascii="Traditional Arabic" w:hAnsi="Traditional Arabic" w:cs="Traditional Arabic"/>
          <w:color w:val="000000" w:themeColor="text1"/>
          <w:sz w:val="24"/>
          <w:szCs w:val="24"/>
          <w:lang w:bidi="ar-EG"/>
        </w:rPr>
        <w:t xml:space="preserve">" </w:t>
      </w:r>
      <w:r w:rsidRPr="003263AB">
        <w:rPr>
          <w:rFonts w:ascii="Traditional Arabic" w:hAnsi="Traditional Arabic" w:cs="Traditional Arabic"/>
          <w:color w:val="000000" w:themeColor="text1"/>
          <w:sz w:val="24"/>
          <w:szCs w:val="24"/>
          <w:rtl/>
        </w:rPr>
        <w:t>أعلى المتوسطات، مما يدل على وجود ثقافة تنظيمية ناضجة ووعي مؤسسي متقدم. كما بينت النتائج أن بيئة العمل المدروسة تتسم بدرجة عالية من التنظيم والالتزام بمعايير الجودة والسلامة، مدعومة بقيادة تحويلية فعالة، وأن هناك توجهًا واضحًا نحو إشراك المرضى وتوفير بيئة داعمة للعاملين، وهو ما يعزز استدامة الأداء الصحي وجودة الخدمات المقدمة</w:t>
      </w:r>
      <w:r w:rsidRPr="003263AB">
        <w:rPr>
          <w:rFonts w:ascii="Traditional Arabic" w:hAnsi="Traditional Arabic" w:cs="Traditional Arabic"/>
          <w:color w:val="000000" w:themeColor="text1"/>
          <w:sz w:val="24"/>
          <w:szCs w:val="24"/>
          <w:lang w:bidi="ar-EG"/>
        </w:rPr>
        <w:t>.</w:t>
      </w:r>
    </w:p>
    <w:p w14:paraId="26C626E1" w14:textId="3AF97788" w:rsidR="003263AB" w:rsidRPr="003263AB" w:rsidRDefault="003263AB" w:rsidP="003263AB">
      <w:pPr>
        <w:bidi/>
        <w:spacing w:after="200" w:line="360" w:lineRule="auto"/>
        <w:jc w:val="both"/>
        <w:rPr>
          <w:rFonts w:ascii="Traditional Arabic" w:hAnsi="Traditional Arabic" w:cs="Traditional Arabic"/>
          <w:color w:val="000000" w:themeColor="text1"/>
          <w:sz w:val="24"/>
          <w:szCs w:val="24"/>
          <w:rtl/>
          <w:lang w:bidi="ar-EG"/>
        </w:rPr>
        <w:sectPr w:rsidR="003263AB" w:rsidRPr="003263AB" w:rsidSect="00037C6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6CAEA6B0" w14:textId="77777777" w:rsidR="00C1475A" w:rsidRDefault="00C1475A" w:rsidP="00C1475A">
      <w:pPr>
        <w:bidi/>
        <w:spacing w:after="200" w:line="276" w:lineRule="auto"/>
        <w:rPr>
          <w:rFonts w:ascii="Simplified Arabic" w:hAnsi="Simplified Arabic" w:cs="Simplified Arabic"/>
          <w:b/>
          <w:bCs/>
          <w:color w:val="000000" w:themeColor="text1"/>
          <w:sz w:val="28"/>
          <w:szCs w:val="28"/>
        </w:rPr>
      </w:pPr>
    </w:p>
    <w:p w14:paraId="15EF3399"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1F6AF87A"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08464AE6"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3971AE7A" w14:textId="77777777" w:rsidR="007671BB" w:rsidRDefault="007671BB" w:rsidP="008A09FE">
      <w:pPr>
        <w:bidi/>
        <w:spacing w:after="200" w:line="276" w:lineRule="auto"/>
        <w:jc w:val="center"/>
        <w:rPr>
          <w:rFonts w:ascii="Simplified Arabic" w:hAnsi="Simplified Arabic" w:cs="Simplified Arabic"/>
          <w:b/>
          <w:bCs/>
          <w:color w:val="000000" w:themeColor="text1"/>
          <w:sz w:val="144"/>
          <w:szCs w:val="144"/>
          <w:rtl/>
          <w:lang w:bidi="ar-EG"/>
        </w:rPr>
      </w:pPr>
    </w:p>
    <w:p w14:paraId="028C5ED3" w14:textId="16759F6C" w:rsidR="008A09FE" w:rsidRPr="008A09FE" w:rsidRDefault="008A09FE" w:rsidP="007671BB">
      <w:pPr>
        <w:bidi/>
        <w:spacing w:after="200" w:line="276" w:lineRule="auto"/>
        <w:jc w:val="center"/>
        <w:rPr>
          <w:rFonts w:ascii="Simplified Arabic" w:hAnsi="Simplified Arabic" w:cs="Simplified Arabic"/>
          <w:b/>
          <w:bCs/>
          <w:color w:val="000000" w:themeColor="text1"/>
          <w:sz w:val="144"/>
          <w:szCs w:val="144"/>
          <w:rtl/>
          <w:lang w:bidi="ar-EG"/>
        </w:rPr>
      </w:pPr>
      <w:r w:rsidRPr="008A09FE">
        <w:rPr>
          <w:rFonts w:ascii="Simplified Arabic" w:hAnsi="Simplified Arabic" w:cs="Simplified Arabic" w:hint="cs"/>
          <w:b/>
          <w:bCs/>
          <w:color w:val="000000" w:themeColor="text1"/>
          <w:sz w:val="144"/>
          <w:szCs w:val="144"/>
          <w:rtl/>
          <w:lang w:bidi="ar-EG"/>
        </w:rPr>
        <w:t>الفصل الرابع</w:t>
      </w:r>
    </w:p>
    <w:p w14:paraId="6F9F14C9"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1D5A5DD8"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32C67094" w14:textId="77777777" w:rsidR="00694A68" w:rsidRDefault="00694A68" w:rsidP="005D0F75">
      <w:pPr>
        <w:bidi/>
        <w:spacing w:after="200" w:line="276" w:lineRule="auto"/>
        <w:rPr>
          <w:rFonts w:ascii="Simplified Arabic" w:hAnsi="Simplified Arabic" w:cs="Simplified Arabic"/>
          <w:b/>
          <w:bCs/>
          <w:color w:val="000000" w:themeColor="text1"/>
          <w:sz w:val="28"/>
          <w:szCs w:val="28"/>
          <w:rtl/>
        </w:rPr>
      </w:pPr>
    </w:p>
    <w:p w14:paraId="30AC64E8"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22CA45EC"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42E89437"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3E7CACE0" w14:textId="77777777" w:rsidR="003B1A00" w:rsidRPr="003B1A00" w:rsidRDefault="003B1A00" w:rsidP="003B1A00">
      <w:pPr>
        <w:bidi/>
        <w:rPr>
          <w:rFonts w:ascii="Simplified Arabic" w:hAnsi="Simplified Arabic" w:cs="Simplified Arabic"/>
          <w:sz w:val="28"/>
          <w:szCs w:val="28"/>
          <w:rtl/>
        </w:rPr>
      </w:pPr>
    </w:p>
    <w:p w14:paraId="7C937376" w14:textId="77777777" w:rsidR="003B1A00" w:rsidRPr="003B1A00" w:rsidRDefault="003B1A00" w:rsidP="003B1A00">
      <w:pPr>
        <w:bidi/>
        <w:rPr>
          <w:rFonts w:ascii="Simplified Arabic" w:hAnsi="Simplified Arabic" w:cs="Times New Roman"/>
          <w:sz w:val="28"/>
          <w:szCs w:val="28"/>
          <w:rtl/>
        </w:rPr>
        <w:sectPr w:rsidR="003B1A00" w:rsidRPr="003B1A00" w:rsidSect="007671BB">
          <w:footerReference w:type="default" r:id="rId51"/>
          <w:pgSz w:w="11906" w:h="16838"/>
          <w:pgMar w:top="1440" w:right="1800" w:bottom="1440" w:left="1800" w:header="708" w:footer="708" w:gutter="0"/>
          <w:pgNumType w:start="95"/>
          <w:cols w:space="708"/>
          <w:bidi/>
          <w:rtlGutter/>
          <w:docGrid w:linePitch="360"/>
        </w:sectPr>
      </w:pPr>
    </w:p>
    <w:p w14:paraId="0C5C1E13" w14:textId="06004500" w:rsidR="008A09FE" w:rsidRPr="003B1A00" w:rsidRDefault="008F1EB2" w:rsidP="007671BB">
      <w:pPr>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تمهيد</w:t>
      </w:r>
      <w:r w:rsidR="00823D0A">
        <w:rPr>
          <w:rFonts w:ascii="Traditional Arabic" w:hAnsi="Traditional Arabic" w:cs="Traditional Arabic" w:hint="cs"/>
          <w:b/>
          <w:bCs/>
          <w:color w:val="000000" w:themeColor="text1"/>
          <w:sz w:val="28"/>
          <w:szCs w:val="28"/>
          <w:rtl/>
        </w:rPr>
        <w:t>:</w:t>
      </w:r>
    </w:p>
    <w:p w14:paraId="0A06DF0E" w14:textId="6647B709" w:rsidR="00261841" w:rsidRDefault="00261841" w:rsidP="00261841">
      <w:pPr>
        <w:bidi/>
        <w:spacing w:after="200" w:line="276" w:lineRule="auto"/>
        <w:ind w:firstLine="720"/>
        <w:jc w:val="both"/>
        <w:rPr>
          <w:rFonts w:ascii="Traditional Arabic" w:hAnsi="Traditional Arabic" w:cs="Traditional Arabic"/>
          <w:color w:val="000000" w:themeColor="text1"/>
          <w:sz w:val="24"/>
          <w:szCs w:val="24"/>
          <w:rtl/>
        </w:rPr>
      </w:pPr>
      <w:r w:rsidRPr="00261841">
        <w:rPr>
          <w:rFonts w:ascii="Traditional Arabic" w:hAnsi="Traditional Arabic" w:cs="Traditional Arabic"/>
          <w:color w:val="000000" w:themeColor="text1"/>
          <w:sz w:val="24"/>
          <w:szCs w:val="24"/>
          <w:rtl/>
        </w:rPr>
        <w:t xml:space="preserve">في هذا الفصل تم اختبار </w:t>
      </w:r>
      <w:r w:rsidR="00324367">
        <w:rPr>
          <w:rFonts w:ascii="Traditional Arabic" w:hAnsi="Traditional Arabic" w:cs="Traditional Arabic" w:hint="cs"/>
          <w:color w:val="000000" w:themeColor="text1"/>
          <w:sz w:val="24"/>
          <w:szCs w:val="24"/>
          <w:rtl/>
        </w:rPr>
        <w:t>الفرضيات الرئيسية</w:t>
      </w:r>
      <w:r w:rsidRPr="00261841">
        <w:rPr>
          <w:rFonts w:ascii="Traditional Arabic" w:hAnsi="Traditional Arabic" w:cs="Traditional Arabic"/>
          <w:color w:val="000000" w:themeColor="text1"/>
          <w:sz w:val="24"/>
          <w:szCs w:val="24"/>
          <w:rtl/>
        </w:rPr>
        <w:t xml:space="preserve"> للدراسة التي تبحث العلاقة بين </w:t>
      </w:r>
      <w:r>
        <w:rPr>
          <w:rFonts w:ascii="Traditional Arabic" w:hAnsi="Traditional Arabic" w:cs="Traditional Arabic" w:hint="cs"/>
          <w:color w:val="000000" w:themeColor="text1"/>
          <w:sz w:val="24"/>
          <w:szCs w:val="24"/>
          <w:rtl/>
        </w:rPr>
        <w:t xml:space="preserve"> </w:t>
      </w:r>
      <w:r w:rsidRPr="00261841">
        <w:rPr>
          <w:rFonts w:ascii="Traditional Arabic" w:hAnsi="Traditional Arabic" w:cs="Traditional Arabic"/>
          <w:color w:val="000000" w:themeColor="text1"/>
          <w:sz w:val="24"/>
          <w:szCs w:val="24"/>
          <w:rtl/>
        </w:rPr>
        <w:t>إدارة المخاطر وسلامة المرضى</w:t>
      </w:r>
      <w:r>
        <w:rPr>
          <w:rFonts w:ascii="Traditional Arabic" w:hAnsi="Traditional Arabic" w:cs="Traditional Arabic" w:hint="cs"/>
          <w:color w:val="000000" w:themeColor="text1"/>
          <w:sz w:val="24"/>
          <w:szCs w:val="24"/>
          <w:rtl/>
        </w:rPr>
        <w:t xml:space="preserve"> </w:t>
      </w:r>
      <w:r w:rsidRPr="00261841">
        <w:rPr>
          <w:rFonts w:ascii="Traditional Arabic" w:hAnsi="Traditional Arabic" w:cs="Traditional Arabic"/>
          <w:color w:val="000000" w:themeColor="text1"/>
          <w:sz w:val="24"/>
          <w:szCs w:val="24"/>
          <w:rtl/>
        </w:rPr>
        <w:t xml:space="preserve"> في المستشفيات الحكومية السعودية، مع تحليل الدور الوسيط الذي تلعبه </w:t>
      </w:r>
      <w:r>
        <w:rPr>
          <w:rFonts w:ascii="Traditional Arabic" w:hAnsi="Traditional Arabic" w:cs="Traditional Arabic" w:hint="cs"/>
          <w:color w:val="000000" w:themeColor="text1"/>
          <w:sz w:val="24"/>
          <w:szCs w:val="24"/>
          <w:rtl/>
        </w:rPr>
        <w:t>"</w:t>
      </w:r>
      <w:r w:rsidRPr="00261841">
        <w:rPr>
          <w:rFonts w:ascii="Traditional Arabic" w:hAnsi="Traditional Arabic" w:cs="Traditional Arabic"/>
          <w:color w:val="000000" w:themeColor="text1"/>
          <w:sz w:val="24"/>
          <w:szCs w:val="24"/>
          <w:rtl/>
        </w:rPr>
        <w:t>القيادة التحويلية</w:t>
      </w:r>
      <w:r>
        <w:rPr>
          <w:rFonts w:ascii="Traditional Arabic" w:hAnsi="Traditional Arabic" w:cs="Traditional Arabic" w:hint="cs"/>
          <w:color w:val="000000" w:themeColor="text1"/>
          <w:sz w:val="24"/>
          <w:szCs w:val="24"/>
          <w:rtl/>
        </w:rPr>
        <w:t>،</w:t>
      </w:r>
      <w:r w:rsidRPr="00261841">
        <w:rPr>
          <w:rFonts w:ascii="Traditional Arabic" w:hAnsi="Traditional Arabic" w:cs="Traditional Arabic"/>
          <w:color w:val="000000" w:themeColor="text1"/>
          <w:sz w:val="24"/>
          <w:szCs w:val="24"/>
          <w:rtl/>
        </w:rPr>
        <w:t xml:space="preserve"> وقد اعتمدت الباحثة على مجموعة من الاختبارات الإحصائية مثل الانحدار الخطي البسيط والمتعدد، واختبار العينات المستقلة (</w:t>
      </w:r>
      <w:r w:rsidRPr="00261841">
        <w:rPr>
          <w:rFonts w:ascii="Traditional Arabic" w:hAnsi="Traditional Arabic" w:cs="Traditional Arabic"/>
          <w:color w:val="000000" w:themeColor="text1"/>
          <w:sz w:val="24"/>
          <w:szCs w:val="24"/>
        </w:rPr>
        <w:t>T-test</w:t>
      </w:r>
      <w:r w:rsidRPr="00261841">
        <w:rPr>
          <w:rFonts w:ascii="Traditional Arabic" w:hAnsi="Traditional Arabic" w:cs="Traditional Arabic"/>
          <w:color w:val="000000" w:themeColor="text1"/>
          <w:sz w:val="24"/>
          <w:szCs w:val="24"/>
          <w:rtl/>
        </w:rPr>
        <w:t>)، وتحليل التباين الأحادي (</w:t>
      </w:r>
      <w:r w:rsidRPr="00261841">
        <w:rPr>
          <w:rFonts w:ascii="Traditional Arabic" w:hAnsi="Traditional Arabic" w:cs="Traditional Arabic"/>
          <w:color w:val="000000" w:themeColor="text1"/>
          <w:sz w:val="24"/>
          <w:szCs w:val="24"/>
        </w:rPr>
        <w:t>ANOVA</w:t>
      </w:r>
      <w:r w:rsidRPr="00261841">
        <w:rPr>
          <w:rFonts w:ascii="Traditional Arabic" w:hAnsi="Traditional Arabic" w:cs="Traditional Arabic"/>
          <w:color w:val="000000" w:themeColor="text1"/>
          <w:sz w:val="24"/>
          <w:szCs w:val="24"/>
          <w:rtl/>
        </w:rPr>
        <w:t>)، وذلك للتحقق من قوة العلاقات بين المتغيرات الثلاثة ومدى دلالتها الإحصائية. وأظهرت النتائج أن إدارة المخاطر تؤثر بشكل مباشر على سلامة المرضى، وأن القيادة التحويلية تعزز هذا الأثر وتزيد من فعاليته، كما تبين أن أبعاد سلامة المرضى تسهم بشكل ملموس في تحسين أداء المستشفيات. إضافة إلى ذلك، أوضحت النتائج وجود فروق دالة إحصائيًا في إدراك العاملين لأهمية القيادة التحويلية تُعزى إلى المتغيرات الديموغرافية مثل النوع، المؤهل العلمي، نوع الوظيفة، وسنوات الخبرة. هذه النتائج تؤكد أن الجمع بين إدارة المخاطر والقيادة التحويلية يمثل استراتيجية متكاملة لتحسين جودة الرعاية الصحية وتعزيز سلامة المرضى في المستشفيات الحكومية السعودية.</w:t>
      </w:r>
    </w:p>
    <w:p w14:paraId="74858006" w14:textId="77EE3F7F" w:rsidR="008A09FE" w:rsidRPr="0044090C" w:rsidRDefault="004044BB" w:rsidP="00261841">
      <w:pPr>
        <w:bidi/>
        <w:spacing w:after="200" w:line="276" w:lineRule="auto"/>
        <w:rPr>
          <w:rFonts w:ascii="Traditional Arabic" w:hAnsi="Traditional Arabic" w:cs="Traditional Arabic"/>
          <w:b/>
          <w:bCs/>
          <w:color w:val="00B0F0"/>
          <w:sz w:val="28"/>
          <w:szCs w:val="28"/>
          <w:u w:val="single"/>
          <w:rtl/>
          <w:lang w:bidi="ar-EG"/>
        </w:rPr>
      </w:pPr>
      <w:r w:rsidRPr="0044090C">
        <w:rPr>
          <w:rFonts w:ascii="Traditional Arabic" w:hAnsi="Traditional Arabic" w:cs="Traditional Arabic" w:hint="cs"/>
          <w:b/>
          <w:bCs/>
          <w:color w:val="00B0F0"/>
          <w:sz w:val="28"/>
          <w:szCs w:val="28"/>
          <w:u w:val="single"/>
          <w:rtl/>
          <w:lang w:bidi="ar-EG"/>
        </w:rPr>
        <w:t>اختبار فرضيات</w:t>
      </w:r>
      <w:r w:rsidR="003A3C12" w:rsidRPr="0044090C">
        <w:rPr>
          <w:rFonts w:ascii="Traditional Arabic" w:hAnsi="Traditional Arabic" w:cs="Traditional Arabic" w:hint="cs"/>
          <w:b/>
          <w:bCs/>
          <w:color w:val="00B0F0"/>
          <w:sz w:val="28"/>
          <w:szCs w:val="28"/>
          <w:u w:val="single"/>
          <w:rtl/>
          <w:lang w:bidi="ar-EG"/>
        </w:rPr>
        <w:t xml:space="preserve"> الدراسة</w:t>
      </w:r>
      <w:r w:rsidRPr="0044090C">
        <w:rPr>
          <w:rFonts w:ascii="Traditional Arabic" w:hAnsi="Traditional Arabic" w:cs="Traditional Arabic" w:hint="cs"/>
          <w:b/>
          <w:bCs/>
          <w:color w:val="00B0F0"/>
          <w:sz w:val="28"/>
          <w:szCs w:val="28"/>
          <w:u w:val="single"/>
          <w:rtl/>
          <w:lang w:bidi="ar-EG"/>
        </w:rPr>
        <w:t>:</w:t>
      </w:r>
    </w:p>
    <w:p w14:paraId="6CA54159" w14:textId="77777777" w:rsidR="00686687" w:rsidRPr="0044090C" w:rsidRDefault="00686687" w:rsidP="0068668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الأول (فرض الارتباط):"</w:t>
      </w:r>
      <w:r w:rsidRPr="0044090C">
        <w:rPr>
          <w:rFonts w:ascii="Traditional Arabic" w:eastAsia="Calibri" w:hAnsi="Traditional Arabic" w:cs="Traditional Arabic"/>
          <w:sz w:val="24"/>
          <w:szCs w:val="24"/>
          <w:rtl/>
          <w:lang w:bidi="ar-EG"/>
        </w:rPr>
        <w:t>توجد علاقة ارتباطية ذات دلالة إحصائية بين ممارسات إدارة المخاطر، والقيادة التحويلية، وسلامة المرضى في المستشفيات الحكومية بالمملكة العربية السعودية."</w:t>
      </w:r>
    </w:p>
    <w:p w14:paraId="2DF278E4" w14:textId="6E678068" w:rsidR="005344D8" w:rsidRPr="0044090C" w:rsidRDefault="005344D8" w:rsidP="005344D8">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استخدمت الباحثة اختبار معامل ارتباط بيرسون</w:t>
      </w:r>
      <w:r w:rsidRPr="0044090C">
        <w:rPr>
          <w:rFonts w:ascii="Traditional Arabic" w:eastAsia="Calibri" w:hAnsi="Traditional Arabic" w:cs="Traditional Arabic"/>
          <w:sz w:val="24"/>
          <w:szCs w:val="24"/>
          <w:lang w:bidi="ar-EG"/>
        </w:rPr>
        <w:t xml:space="preserve"> (Pearson Correlation) </w:t>
      </w:r>
      <w:r w:rsidRPr="0044090C">
        <w:rPr>
          <w:rFonts w:ascii="Traditional Arabic" w:eastAsia="Calibri" w:hAnsi="Traditional Arabic" w:cs="Traditional Arabic"/>
          <w:sz w:val="24"/>
          <w:szCs w:val="24"/>
          <w:rtl/>
        </w:rPr>
        <w:t>لاختبار هذه الفرضية</w:t>
      </w:r>
      <w:r w:rsidRPr="0044090C">
        <w:rPr>
          <w:rFonts w:ascii="Traditional Arabic" w:eastAsia="Calibri" w:hAnsi="Traditional Arabic" w:cs="Traditional Arabic"/>
          <w:sz w:val="24"/>
          <w:szCs w:val="24"/>
          <w:lang w:bidi="ar-EG"/>
        </w:rPr>
        <w:t>.</w:t>
      </w:r>
    </w:p>
    <w:p w14:paraId="62FC5D9C" w14:textId="289EE2FD" w:rsidR="005344D8" w:rsidRPr="0044090C" w:rsidRDefault="005344D8" w:rsidP="005344D8">
      <w:pPr>
        <w:bidi/>
        <w:spacing w:after="200" w:line="360" w:lineRule="auto"/>
        <w:ind w:left="720" w:hanging="720"/>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الجدول (</w:t>
      </w:r>
      <w:r w:rsidRPr="0044090C">
        <w:rPr>
          <w:rFonts w:ascii="Traditional Arabic" w:eastAsia="Calibri" w:hAnsi="Traditional Arabic" w:cs="Traditional Arabic" w:hint="cs"/>
          <w:b/>
          <w:bCs/>
          <w:sz w:val="24"/>
          <w:szCs w:val="24"/>
          <w:rtl/>
        </w:rPr>
        <w:t>15</w:t>
      </w:r>
      <w:r w:rsidRPr="0044090C">
        <w:rPr>
          <w:rFonts w:ascii="Traditional Arabic" w:eastAsia="Calibri" w:hAnsi="Traditional Arabic" w:cs="Traditional Arabic"/>
          <w:b/>
          <w:bCs/>
          <w:sz w:val="24"/>
          <w:szCs w:val="24"/>
          <w:rtl/>
        </w:rPr>
        <w:t xml:space="preserve">): مصفوفة معامل ارتباط بيرسون للعلاقة بين متغيرات الدراسة </w:t>
      </w:r>
    </w:p>
    <w:tbl>
      <w:tblPr>
        <w:tblW w:w="7112" w:type="dxa"/>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269"/>
        <w:gridCol w:w="1375"/>
        <w:gridCol w:w="1294"/>
        <w:gridCol w:w="1649"/>
        <w:gridCol w:w="1525"/>
      </w:tblGrid>
      <w:tr w:rsidR="006618D0" w:rsidRPr="0044090C" w14:paraId="69F31FBF" w14:textId="77777777" w:rsidTr="006618D0">
        <w:trPr>
          <w:tblHeader/>
          <w:tblCellSpacing w:w="15" w:type="dxa"/>
          <w:jc w:val="center"/>
        </w:trPr>
        <w:tc>
          <w:tcPr>
            <w:tcW w:w="0" w:type="auto"/>
            <w:vAlign w:val="center"/>
          </w:tcPr>
          <w:p w14:paraId="65C4C74A" w14:textId="0C238120"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سلامة المرضى</w:t>
            </w:r>
          </w:p>
        </w:tc>
        <w:tc>
          <w:tcPr>
            <w:tcW w:w="0" w:type="auto"/>
            <w:vAlign w:val="center"/>
          </w:tcPr>
          <w:p w14:paraId="79438F56" w14:textId="6AECE962"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 xml:space="preserve">القيادة التحويلية </w:t>
            </w:r>
          </w:p>
        </w:tc>
        <w:tc>
          <w:tcPr>
            <w:tcW w:w="0" w:type="auto"/>
            <w:vAlign w:val="center"/>
            <w:hideMark/>
          </w:tcPr>
          <w:p w14:paraId="70F03300" w14:textId="7B9B8E59"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rtl/>
              </w:rPr>
              <w:t>إدارة المخاطر</w:t>
            </w:r>
          </w:p>
        </w:tc>
        <w:tc>
          <w:tcPr>
            <w:tcW w:w="0" w:type="auto"/>
            <w:vAlign w:val="center"/>
          </w:tcPr>
          <w:p w14:paraId="5C7C44D6" w14:textId="6E3C9428"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المؤشر الإحصائي</w:t>
            </w:r>
          </w:p>
        </w:tc>
        <w:tc>
          <w:tcPr>
            <w:tcW w:w="0" w:type="auto"/>
            <w:shd w:val="clear" w:color="auto" w:fill="E5DFEC" w:themeFill="accent4" w:themeFillTint="33"/>
            <w:vAlign w:val="center"/>
            <w:hideMark/>
          </w:tcPr>
          <w:p w14:paraId="49E17931" w14:textId="54ABC39D"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rtl/>
              </w:rPr>
              <w:t>المتغيرات الرئيسة</w:t>
            </w:r>
          </w:p>
        </w:tc>
      </w:tr>
      <w:tr w:rsidR="006618D0" w:rsidRPr="0044090C" w14:paraId="1BB6000E" w14:textId="77777777" w:rsidTr="006618D0">
        <w:trPr>
          <w:trHeight w:val="597"/>
          <w:tblCellSpacing w:w="15" w:type="dxa"/>
          <w:jc w:val="center"/>
        </w:trPr>
        <w:tc>
          <w:tcPr>
            <w:tcW w:w="0" w:type="auto"/>
            <w:vAlign w:val="center"/>
          </w:tcPr>
          <w:p w14:paraId="293EEA5D" w14:textId="491D5582"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tcPr>
          <w:p w14:paraId="12516B1D" w14:textId="77777777"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hideMark/>
          </w:tcPr>
          <w:p w14:paraId="191570A5" w14:textId="26892D32" w:rsidR="006618D0" w:rsidRPr="0044090C" w:rsidRDefault="006618D0" w:rsidP="006618D0">
            <w:pPr>
              <w:bidi/>
              <w:spacing w:after="200" w:line="360" w:lineRule="auto"/>
              <w:contextualSpacing/>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1</w:t>
            </w:r>
          </w:p>
        </w:tc>
        <w:tc>
          <w:tcPr>
            <w:tcW w:w="0" w:type="auto"/>
            <w:vAlign w:val="center"/>
          </w:tcPr>
          <w:p w14:paraId="3E525AD5" w14:textId="52D96390"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معامل الارتباط</w:t>
            </w:r>
            <w:r w:rsidRPr="0044090C">
              <w:rPr>
                <w:rFonts w:ascii="Traditional Arabic" w:eastAsia="Calibri" w:hAnsi="Traditional Arabic" w:cs="Traditional Arabic" w:hint="cs"/>
                <w:b/>
                <w:bCs/>
                <w:sz w:val="24"/>
                <w:szCs w:val="24"/>
                <w:lang w:bidi="ar-EG"/>
              </w:rPr>
              <w:t xml:space="preserve"> (</w:t>
            </w:r>
            <m:oMath>
              <m:r>
                <m:rPr>
                  <m:sty m:val="bi"/>
                </m:rPr>
                <w:rPr>
                  <w:rFonts w:ascii="Cambria Math" w:eastAsia="Calibri" w:hAnsi="Cambria Math" w:cs="Traditional Arabic" w:hint="cs"/>
                  <w:sz w:val="24"/>
                  <w:szCs w:val="24"/>
                  <w:lang w:bidi="ar-EG"/>
                </w:rPr>
                <m:t>R</m:t>
              </m:r>
            </m:oMath>
            <w:r w:rsidRPr="0044090C">
              <w:rPr>
                <w:rFonts w:ascii="Traditional Arabic" w:eastAsia="Calibri" w:hAnsi="Traditional Arabic" w:cs="Traditional Arabic" w:hint="cs"/>
                <w:b/>
                <w:bCs/>
                <w:sz w:val="24"/>
                <w:szCs w:val="24"/>
                <w:lang w:bidi="ar-EG"/>
              </w:rPr>
              <w:t xml:space="preserve">) </w:t>
            </w:r>
          </w:p>
        </w:tc>
        <w:tc>
          <w:tcPr>
            <w:tcW w:w="0" w:type="auto"/>
            <w:vMerge w:val="restart"/>
            <w:shd w:val="clear" w:color="auto" w:fill="E5DFEC" w:themeFill="accent4" w:themeFillTint="33"/>
            <w:vAlign w:val="center"/>
            <w:hideMark/>
          </w:tcPr>
          <w:p w14:paraId="668F1F70" w14:textId="2669A7AD"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rtl/>
              </w:rPr>
              <w:t>ممارسات إدارة المخاطر</w:t>
            </w:r>
          </w:p>
        </w:tc>
      </w:tr>
      <w:tr w:rsidR="006618D0" w:rsidRPr="0044090C" w14:paraId="6565289A" w14:textId="77777777" w:rsidTr="006618D0">
        <w:trPr>
          <w:trHeight w:val="597"/>
          <w:tblCellSpacing w:w="15" w:type="dxa"/>
          <w:jc w:val="center"/>
        </w:trPr>
        <w:tc>
          <w:tcPr>
            <w:tcW w:w="0" w:type="auto"/>
            <w:vAlign w:val="center"/>
          </w:tcPr>
          <w:p w14:paraId="53AD868B" w14:textId="77777777"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tcPr>
          <w:p w14:paraId="4B967C64" w14:textId="77777777"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tcPr>
          <w:p w14:paraId="7F82FFEA" w14:textId="77777777" w:rsidR="006618D0" w:rsidRPr="0044090C" w:rsidRDefault="006618D0" w:rsidP="006618D0">
            <w:pPr>
              <w:bidi/>
              <w:spacing w:after="200" w:line="360" w:lineRule="auto"/>
              <w:ind w:left="720" w:hanging="720"/>
              <w:contextualSpacing/>
              <w:rPr>
                <w:rFonts w:ascii="Traditional Arabic" w:eastAsia="Calibri" w:hAnsi="Traditional Arabic" w:cs="Traditional Arabic"/>
                <w:b/>
                <w:bCs/>
                <w:sz w:val="24"/>
                <w:szCs w:val="24"/>
                <w:lang w:bidi="ar-EG"/>
              </w:rPr>
            </w:pPr>
          </w:p>
        </w:tc>
        <w:tc>
          <w:tcPr>
            <w:tcW w:w="0" w:type="auto"/>
            <w:vAlign w:val="center"/>
          </w:tcPr>
          <w:p w14:paraId="5FA0A6DF" w14:textId="78CD6B25"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مستوى الدلالة</w:t>
            </w:r>
            <w:r w:rsidRPr="0044090C">
              <w:rPr>
                <w:rFonts w:ascii="Traditional Arabic" w:eastAsia="Calibri" w:hAnsi="Traditional Arabic" w:cs="Traditional Arabic" w:hint="cs"/>
                <w:b/>
                <w:bCs/>
                <w:sz w:val="24"/>
                <w:szCs w:val="24"/>
                <w:lang w:bidi="ar-EG"/>
              </w:rPr>
              <w:t xml:space="preserve"> (</w:t>
            </w:r>
            <m:oMath>
              <m:r>
                <m:rPr>
                  <m:sty m:val="bi"/>
                </m:rPr>
                <w:rPr>
                  <w:rFonts w:ascii="Cambria Math" w:eastAsia="Calibri" w:hAnsi="Cambria Math" w:cs="Traditional Arabic" w:hint="cs"/>
                  <w:sz w:val="24"/>
                  <w:szCs w:val="24"/>
                  <w:lang w:bidi="ar-EG"/>
                </w:rPr>
                <m:t>Sig.</m:t>
              </m:r>
            </m:oMath>
            <w:r w:rsidRPr="0044090C">
              <w:rPr>
                <w:rFonts w:ascii="Traditional Arabic" w:eastAsia="Calibri" w:hAnsi="Traditional Arabic" w:cs="Traditional Arabic" w:hint="cs"/>
                <w:b/>
                <w:bCs/>
                <w:sz w:val="24"/>
                <w:szCs w:val="24"/>
                <w:lang w:bidi="ar-EG"/>
              </w:rPr>
              <w:t>)</w:t>
            </w:r>
          </w:p>
        </w:tc>
        <w:tc>
          <w:tcPr>
            <w:tcW w:w="0" w:type="auto"/>
            <w:vMerge/>
            <w:shd w:val="clear" w:color="auto" w:fill="E5DFEC" w:themeFill="accent4" w:themeFillTint="33"/>
            <w:vAlign w:val="center"/>
          </w:tcPr>
          <w:p w14:paraId="312EA463" w14:textId="77777777"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p>
        </w:tc>
      </w:tr>
      <w:tr w:rsidR="006618D0" w:rsidRPr="0044090C" w14:paraId="30E8D91C" w14:textId="77777777" w:rsidTr="006618D0">
        <w:trPr>
          <w:trHeight w:val="597"/>
          <w:tblCellSpacing w:w="15" w:type="dxa"/>
          <w:jc w:val="center"/>
        </w:trPr>
        <w:tc>
          <w:tcPr>
            <w:tcW w:w="0" w:type="auto"/>
            <w:vAlign w:val="center"/>
          </w:tcPr>
          <w:p w14:paraId="42E2780C" w14:textId="6DB2514E" w:rsidR="006618D0" w:rsidRPr="0044090C" w:rsidRDefault="006618D0" w:rsidP="006618D0">
            <w:pPr>
              <w:bidi/>
              <w:spacing w:after="200" w:line="360" w:lineRule="auto"/>
              <w:contextualSpacing/>
              <w:rPr>
                <w:rFonts w:ascii="Traditional Arabic" w:eastAsia="Calibri" w:hAnsi="Traditional Arabic" w:cs="Traditional Arabic"/>
                <w:b/>
                <w:bCs/>
                <w:sz w:val="24"/>
                <w:szCs w:val="24"/>
                <w:lang w:bidi="ar-EG"/>
              </w:rPr>
            </w:pPr>
          </w:p>
        </w:tc>
        <w:tc>
          <w:tcPr>
            <w:tcW w:w="0" w:type="auto"/>
            <w:vAlign w:val="center"/>
          </w:tcPr>
          <w:p w14:paraId="0BE10638" w14:textId="14B3D936" w:rsidR="006618D0" w:rsidRPr="0044090C" w:rsidRDefault="006618D0" w:rsidP="006618D0">
            <w:pPr>
              <w:bidi/>
              <w:spacing w:after="200" w:line="360" w:lineRule="auto"/>
              <w:contextualSpacing/>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1</w:t>
            </w:r>
          </w:p>
        </w:tc>
        <w:tc>
          <w:tcPr>
            <w:tcW w:w="0" w:type="auto"/>
            <w:vAlign w:val="center"/>
            <w:hideMark/>
          </w:tcPr>
          <w:p w14:paraId="35F7D38A" w14:textId="1BD7A79F"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lang w:bidi="ar-EG"/>
              </w:rPr>
              <w:t>0.621</w:t>
            </w:r>
          </w:p>
        </w:tc>
        <w:tc>
          <w:tcPr>
            <w:tcW w:w="0" w:type="auto"/>
            <w:vAlign w:val="center"/>
          </w:tcPr>
          <w:p w14:paraId="02EA976A" w14:textId="715BA0C7"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Pr>
            </w:pPr>
            <w:r w:rsidRPr="0044090C">
              <w:rPr>
                <w:rFonts w:ascii="Traditional Arabic" w:eastAsia="Calibri" w:hAnsi="Traditional Arabic" w:cs="Traditional Arabic" w:hint="cs"/>
                <w:b/>
                <w:bCs/>
                <w:sz w:val="24"/>
                <w:szCs w:val="24"/>
                <w:rtl/>
              </w:rPr>
              <w:t>معامل الارتباط</w:t>
            </w:r>
            <w:r w:rsidRPr="0044090C">
              <w:rPr>
                <w:rFonts w:ascii="Traditional Arabic" w:eastAsia="Calibri" w:hAnsi="Traditional Arabic" w:cs="Traditional Arabic" w:hint="cs"/>
                <w:b/>
                <w:bCs/>
                <w:sz w:val="24"/>
                <w:szCs w:val="24"/>
                <w:lang w:bidi="ar-EG"/>
              </w:rPr>
              <w:t xml:space="preserve"> (</w:t>
            </w:r>
            <m:oMath>
              <m:r>
                <m:rPr>
                  <m:sty m:val="bi"/>
                </m:rPr>
                <w:rPr>
                  <w:rFonts w:ascii="Cambria Math" w:eastAsia="Calibri" w:hAnsi="Cambria Math" w:cs="Traditional Arabic" w:hint="cs"/>
                  <w:sz w:val="24"/>
                  <w:szCs w:val="24"/>
                  <w:lang w:bidi="ar-EG"/>
                </w:rPr>
                <m:t>R</m:t>
              </m:r>
            </m:oMath>
            <w:r w:rsidRPr="0044090C">
              <w:rPr>
                <w:rFonts w:ascii="Traditional Arabic" w:eastAsia="Calibri" w:hAnsi="Traditional Arabic" w:cs="Traditional Arabic" w:hint="cs"/>
                <w:b/>
                <w:bCs/>
                <w:sz w:val="24"/>
                <w:szCs w:val="24"/>
                <w:lang w:bidi="ar-EG"/>
              </w:rPr>
              <w:t xml:space="preserve">) </w:t>
            </w:r>
          </w:p>
        </w:tc>
        <w:tc>
          <w:tcPr>
            <w:tcW w:w="0" w:type="auto"/>
            <w:vMerge w:val="restart"/>
            <w:shd w:val="clear" w:color="auto" w:fill="E5DFEC" w:themeFill="accent4" w:themeFillTint="33"/>
            <w:vAlign w:val="center"/>
            <w:hideMark/>
          </w:tcPr>
          <w:p w14:paraId="7F7B1BDD" w14:textId="7873860D"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lang w:bidi="ar-EG"/>
              </w:rPr>
              <w:t xml:space="preserve"> </w:t>
            </w:r>
            <w:r w:rsidRPr="0044090C">
              <w:rPr>
                <w:rFonts w:ascii="Traditional Arabic" w:eastAsia="Calibri" w:hAnsi="Traditional Arabic" w:cs="Traditional Arabic" w:hint="cs"/>
                <w:b/>
                <w:bCs/>
                <w:sz w:val="24"/>
                <w:szCs w:val="24"/>
                <w:rtl/>
              </w:rPr>
              <w:t>القيادة التحويلية</w:t>
            </w:r>
          </w:p>
        </w:tc>
      </w:tr>
      <w:tr w:rsidR="006618D0" w:rsidRPr="0044090C" w14:paraId="20DD0C86" w14:textId="77777777" w:rsidTr="006618D0">
        <w:trPr>
          <w:trHeight w:val="597"/>
          <w:tblCellSpacing w:w="15" w:type="dxa"/>
          <w:jc w:val="center"/>
        </w:trPr>
        <w:tc>
          <w:tcPr>
            <w:tcW w:w="0" w:type="auto"/>
            <w:vAlign w:val="center"/>
          </w:tcPr>
          <w:p w14:paraId="5AB2395A" w14:textId="7576E10D"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tcPr>
          <w:p w14:paraId="04A8A074" w14:textId="77777777"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tcPr>
          <w:p w14:paraId="0C7E66DF" w14:textId="27164166"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lang w:bidi="ar-EG"/>
              </w:rPr>
              <w:t>0.000</w:t>
            </w:r>
          </w:p>
        </w:tc>
        <w:tc>
          <w:tcPr>
            <w:tcW w:w="0" w:type="auto"/>
            <w:vAlign w:val="center"/>
          </w:tcPr>
          <w:p w14:paraId="683D2C56" w14:textId="2483DA54"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مستوى الدلالة</w:t>
            </w:r>
            <w:r w:rsidRPr="0044090C">
              <w:rPr>
                <w:rFonts w:ascii="Traditional Arabic" w:eastAsia="Calibri" w:hAnsi="Traditional Arabic" w:cs="Traditional Arabic" w:hint="cs"/>
                <w:b/>
                <w:bCs/>
                <w:sz w:val="24"/>
                <w:szCs w:val="24"/>
                <w:lang w:bidi="ar-EG"/>
              </w:rPr>
              <w:t xml:space="preserve"> (</w:t>
            </w:r>
            <m:oMath>
              <m:r>
                <m:rPr>
                  <m:sty m:val="bi"/>
                </m:rPr>
                <w:rPr>
                  <w:rFonts w:ascii="Cambria Math" w:eastAsia="Calibri" w:hAnsi="Cambria Math" w:cs="Traditional Arabic" w:hint="cs"/>
                  <w:sz w:val="24"/>
                  <w:szCs w:val="24"/>
                  <w:lang w:bidi="ar-EG"/>
                </w:rPr>
                <m:t>Sig.</m:t>
              </m:r>
            </m:oMath>
            <w:r w:rsidRPr="0044090C">
              <w:rPr>
                <w:rFonts w:ascii="Traditional Arabic" w:eastAsia="Calibri" w:hAnsi="Traditional Arabic" w:cs="Traditional Arabic" w:hint="cs"/>
                <w:b/>
                <w:bCs/>
                <w:sz w:val="24"/>
                <w:szCs w:val="24"/>
                <w:lang w:bidi="ar-EG"/>
              </w:rPr>
              <w:t>)</w:t>
            </w:r>
          </w:p>
        </w:tc>
        <w:tc>
          <w:tcPr>
            <w:tcW w:w="0" w:type="auto"/>
            <w:vMerge/>
            <w:shd w:val="clear" w:color="auto" w:fill="E5DFEC" w:themeFill="accent4" w:themeFillTint="33"/>
            <w:vAlign w:val="center"/>
          </w:tcPr>
          <w:p w14:paraId="0DDAE056" w14:textId="77777777"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lang w:bidi="ar-EG"/>
              </w:rPr>
            </w:pPr>
          </w:p>
        </w:tc>
      </w:tr>
      <w:tr w:rsidR="006618D0" w:rsidRPr="0044090C" w14:paraId="3A6B82C1" w14:textId="77777777" w:rsidTr="006618D0">
        <w:trPr>
          <w:trHeight w:val="597"/>
          <w:tblCellSpacing w:w="15" w:type="dxa"/>
          <w:jc w:val="center"/>
        </w:trPr>
        <w:tc>
          <w:tcPr>
            <w:tcW w:w="0" w:type="auto"/>
            <w:vAlign w:val="center"/>
          </w:tcPr>
          <w:p w14:paraId="31122F0F" w14:textId="7991AEB6"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1</w:t>
            </w:r>
          </w:p>
        </w:tc>
        <w:tc>
          <w:tcPr>
            <w:tcW w:w="0" w:type="auto"/>
            <w:vAlign w:val="center"/>
          </w:tcPr>
          <w:p w14:paraId="7284E244" w14:textId="41040DB4"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0.683</w:t>
            </w:r>
          </w:p>
        </w:tc>
        <w:tc>
          <w:tcPr>
            <w:tcW w:w="0" w:type="auto"/>
            <w:vAlign w:val="center"/>
            <w:hideMark/>
          </w:tcPr>
          <w:p w14:paraId="6498B853" w14:textId="047287B8"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lang w:bidi="ar-EG"/>
              </w:rPr>
              <w:t>0.554</w:t>
            </w:r>
          </w:p>
        </w:tc>
        <w:tc>
          <w:tcPr>
            <w:tcW w:w="0" w:type="auto"/>
            <w:vAlign w:val="center"/>
          </w:tcPr>
          <w:p w14:paraId="55C057D8" w14:textId="0DB46E2A"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معامل الارتباط</w:t>
            </w:r>
            <w:r w:rsidRPr="0044090C">
              <w:rPr>
                <w:rFonts w:ascii="Traditional Arabic" w:eastAsia="Calibri" w:hAnsi="Traditional Arabic" w:cs="Traditional Arabic" w:hint="cs"/>
                <w:b/>
                <w:bCs/>
                <w:sz w:val="24"/>
                <w:szCs w:val="24"/>
                <w:lang w:bidi="ar-EG"/>
              </w:rPr>
              <w:t xml:space="preserve"> (</w:t>
            </w:r>
            <m:oMath>
              <m:r>
                <m:rPr>
                  <m:sty m:val="bi"/>
                </m:rPr>
                <w:rPr>
                  <w:rFonts w:ascii="Cambria Math" w:eastAsia="Calibri" w:hAnsi="Cambria Math" w:cs="Traditional Arabic" w:hint="cs"/>
                  <w:sz w:val="24"/>
                  <w:szCs w:val="24"/>
                  <w:lang w:bidi="ar-EG"/>
                </w:rPr>
                <m:t>R</m:t>
              </m:r>
            </m:oMath>
            <w:r w:rsidRPr="0044090C">
              <w:rPr>
                <w:rFonts w:ascii="Traditional Arabic" w:eastAsia="Calibri" w:hAnsi="Traditional Arabic" w:cs="Traditional Arabic" w:hint="cs"/>
                <w:b/>
                <w:bCs/>
                <w:sz w:val="24"/>
                <w:szCs w:val="24"/>
                <w:lang w:bidi="ar-EG"/>
              </w:rPr>
              <w:t xml:space="preserve">) </w:t>
            </w:r>
          </w:p>
        </w:tc>
        <w:tc>
          <w:tcPr>
            <w:tcW w:w="0" w:type="auto"/>
            <w:vMerge w:val="restart"/>
            <w:shd w:val="clear" w:color="auto" w:fill="E5DFEC" w:themeFill="accent4" w:themeFillTint="33"/>
            <w:vAlign w:val="center"/>
            <w:hideMark/>
          </w:tcPr>
          <w:p w14:paraId="51E43253" w14:textId="7CBF6631"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rtl/>
              </w:rPr>
              <w:t>سلامة المرضى</w:t>
            </w:r>
          </w:p>
        </w:tc>
      </w:tr>
      <w:tr w:rsidR="006618D0" w:rsidRPr="0044090C" w14:paraId="6430A38C" w14:textId="77777777" w:rsidTr="006618D0">
        <w:trPr>
          <w:trHeight w:val="597"/>
          <w:tblCellSpacing w:w="15" w:type="dxa"/>
          <w:jc w:val="center"/>
        </w:trPr>
        <w:tc>
          <w:tcPr>
            <w:tcW w:w="0" w:type="auto"/>
            <w:vAlign w:val="center"/>
          </w:tcPr>
          <w:p w14:paraId="300AD52A" w14:textId="03519C31"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p>
        </w:tc>
        <w:tc>
          <w:tcPr>
            <w:tcW w:w="0" w:type="auto"/>
            <w:vAlign w:val="center"/>
          </w:tcPr>
          <w:p w14:paraId="05DA643E" w14:textId="538E9046"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0.000</w:t>
            </w:r>
          </w:p>
        </w:tc>
        <w:tc>
          <w:tcPr>
            <w:tcW w:w="0" w:type="auto"/>
            <w:vAlign w:val="center"/>
          </w:tcPr>
          <w:p w14:paraId="07949D57" w14:textId="38CD4C73" w:rsidR="006618D0" w:rsidRPr="0044090C" w:rsidRDefault="006618D0" w:rsidP="006618D0">
            <w:pPr>
              <w:bidi/>
              <w:spacing w:after="200" w:line="360" w:lineRule="auto"/>
              <w:ind w:left="720" w:hanging="720"/>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lang w:bidi="ar-EG"/>
              </w:rPr>
              <w:t>0.000</w:t>
            </w:r>
          </w:p>
        </w:tc>
        <w:tc>
          <w:tcPr>
            <w:tcW w:w="0" w:type="auto"/>
            <w:vAlign w:val="center"/>
          </w:tcPr>
          <w:p w14:paraId="6B64CACD" w14:textId="5DF30CB6"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hint="cs"/>
                <w:b/>
                <w:bCs/>
                <w:sz w:val="24"/>
                <w:szCs w:val="24"/>
                <w:rtl/>
              </w:rPr>
              <w:t>مستوى الدلالة</w:t>
            </w:r>
            <w:r w:rsidRPr="0044090C">
              <w:rPr>
                <w:rFonts w:ascii="Traditional Arabic" w:eastAsia="Calibri" w:hAnsi="Traditional Arabic" w:cs="Traditional Arabic" w:hint="cs"/>
                <w:b/>
                <w:bCs/>
                <w:sz w:val="24"/>
                <w:szCs w:val="24"/>
                <w:lang w:bidi="ar-EG"/>
              </w:rPr>
              <w:t xml:space="preserve"> (</w:t>
            </w:r>
            <m:oMath>
              <m:r>
                <m:rPr>
                  <m:sty m:val="bi"/>
                </m:rPr>
                <w:rPr>
                  <w:rFonts w:ascii="Cambria Math" w:eastAsia="Calibri" w:hAnsi="Cambria Math" w:cs="Traditional Arabic" w:hint="cs"/>
                  <w:sz w:val="24"/>
                  <w:szCs w:val="24"/>
                  <w:lang w:bidi="ar-EG"/>
                </w:rPr>
                <m:t>Sig.</m:t>
              </m:r>
            </m:oMath>
            <w:r w:rsidRPr="0044090C">
              <w:rPr>
                <w:rFonts w:ascii="Traditional Arabic" w:eastAsia="Calibri" w:hAnsi="Traditional Arabic" w:cs="Traditional Arabic" w:hint="cs"/>
                <w:b/>
                <w:bCs/>
                <w:sz w:val="24"/>
                <w:szCs w:val="24"/>
                <w:lang w:bidi="ar-EG"/>
              </w:rPr>
              <w:t>)</w:t>
            </w:r>
          </w:p>
        </w:tc>
        <w:tc>
          <w:tcPr>
            <w:tcW w:w="0" w:type="auto"/>
            <w:vMerge/>
            <w:shd w:val="clear" w:color="auto" w:fill="E5DFEC" w:themeFill="accent4" w:themeFillTint="33"/>
            <w:vAlign w:val="center"/>
          </w:tcPr>
          <w:p w14:paraId="14C4FD28" w14:textId="77777777" w:rsidR="006618D0" w:rsidRPr="0044090C" w:rsidRDefault="006618D0" w:rsidP="006618D0">
            <w:pPr>
              <w:bidi/>
              <w:spacing w:after="200" w:line="360" w:lineRule="auto"/>
              <w:ind w:left="720" w:hanging="720"/>
              <w:contextualSpacing/>
              <w:jc w:val="both"/>
              <w:rPr>
                <w:rFonts w:ascii="Traditional Arabic" w:eastAsia="Calibri" w:hAnsi="Traditional Arabic" w:cs="Traditional Arabic"/>
                <w:b/>
                <w:bCs/>
                <w:sz w:val="24"/>
                <w:szCs w:val="24"/>
                <w:rtl/>
              </w:rPr>
            </w:pPr>
          </w:p>
        </w:tc>
      </w:tr>
    </w:tbl>
    <w:p w14:paraId="4983EF78" w14:textId="35FE3427" w:rsidR="005344D8" w:rsidRPr="0044090C" w:rsidRDefault="005344D8" w:rsidP="00A86FEA">
      <w:pPr>
        <w:bidi/>
        <w:spacing w:after="200" w:line="360" w:lineRule="auto"/>
        <w:ind w:left="720" w:hanging="720"/>
        <w:contextualSpacing/>
        <w:jc w:val="right"/>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المصدر: إعداد الباحثة اعتماداً على مخرجات التحليل الإحصائي</w:t>
      </w:r>
      <w:r w:rsidRPr="0044090C">
        <w:rPr>
          <w:rFonts w:ascii="Traditional Arabic" w:eastAsia="Calibri" w:hAnsi="Traditional Arabic" w:cs="Traditional Arabic"/>
          <w:b/>
          <w:bCs/>
          <w:sz w:val="24"/>
          <w:szCs w:val="24"/>
          <w:lang w:bidi="ar-EG"/>
        </w:rPr>
        <w:t xml:space="preserve"> (SPSS).</w:t>
      </w:r>
    </w:p>
    <w:p w14:paraId="78F8A781" w14:textId="2F5A635D" w:rsidR="005344D8" w:rsidRPr="0044090C" w:rsidRDefault="005344D8" w:rsidP="00A86FEA">
      <w:pPr>
        <w:bidi/>
        <w:spacing w:after="200" w:line="360" w:lineRule="auto"/>
        <w:ind w:firstLine="720"/>
        <w:contextualSpacing/>
        <w:jc w:val="both"/>
        <w:rPr>
          <w:rFonts w:ascii="Traditional Arabic" w:eastAsia="Calibri" w:hAnsi="Traditional Arabic" w:cs="Traditional Arabic"/>
          <w:sz w:val="24"/>
          <w:szCs w:val="24"/>
          <w:lang w:bidi="ar-EG"/>
        </w:rPr>
      </w:pPr>
      <w:r w:rsidRPr="000F750F">
        <w:rPr>
          <w:rFonts w:ascii="Traditional Arabic" w:eastAsia="Calibri" w:hAnsi="Traditional Arabic" w:cs="Traditional Arabic"/>
          <w:sz w:val="24"/>
          <w:szCs w:val="24"/>
          <w:highlight w:val="yellow"/>
          <w:rtl/>
        </w:rPr>
        <w:t>تشير نتائج الجدول (</w:t>
      </w:r>
      <w:r w:rsidR="00A86FEA" w:rsidRPr="000F750F">
        <w:rPr>
          <w:rFonts w:ascii="Traditional Arabic" w:eastAsia="Calibri" w:hAnsi="Traditional Arabic" w:cs="Traditional Arabic" w:hint="cs"/>
          <w:sz w:val="24"/>
          <w:szCs w:val="24"/>
          <w:highlight w:val="yellow"/>
          <w:rtl/>
        </w:rPr>
        <w:t>15</w:t>
      </w:r>
      <w:r w:rsidRPr="000F750F">
        <w:rPr>
          <w:rFonts w:ascii="Traditional Arabic" w:eastAsia="Calibri" w:hAnsi="Traditional Arabic" w:cs="Traditional Arabic"/>
          <w:sz w:val="24"/>
          <w:szCs w:val="24"/>
          <w:highlight w:val="yellow"/>
          <w:rtl/>
        </w:rPr>
        <w:t xml:space="preserve">) إلى أن جميع العلاقات بين متغيرات الدراسة الثلاثة جاءت </w:t>
      </w:r>
      <w:r w:rsidRPr="000F750F">
        <w:rPr>
          <w:rFonts w:ascii="Traditional Arabic" w:eastAsia="Calibri" w:hAnsi="Traditional Arabic" w:cs="Traditional Arabic"/>
          <w:b/>
          <w:bCs/>
          <w:sz w:val="24"/>
          <w:szCs w:val="24"/>
          <w:highlight w:val="yellow"/>
          <w:rtl/>
        </w:rPr>
        <w:t>طردية موجبة وذات دلالة إحصائية</w:t>
      </w:r>
      <w:r w:rsidRPr="000F750F">
        <w:rPr>
          <w:rFonts w:ascii="Traditional Arabic" w:eastAsia="Calibri" w:hAnsi="Traditional Arabic" w:cs="Traditional Arabic"/>
          <w:sz w:val="24"/>
          <w:szCs w:val="24"/>
          <w:highlight w:val="yellow"/>
          <w:rtl/>
        </w:rPr>
        <w:t xml:space="preserve"> عند مستوى معنوية</w:t>
      </w:r>
      <w:r w:rsidRPr="000F750F">
        <w:rPr>
          <w:rFonts w:ascii="Traditional Arabic" w:eastAsia="Calibri" w:hAnsi="Traditional Arabic" w:cs="Traditional Arabic"/>
          <w:sz w:val="24"/>
          <w:szCs w:val="24"/>
          <w:highlight w:val="yellow"/>
          <w:lang w:bidi="ar-EG"/>
        </w:rPr>
        <w:t xml:space="preserve"> (</w:t>
      </w:r>
      <m:oMath>
        <m:r>
          <w:rPr>
            <w:rFonts w:ascii="Cambria Math" w:eastAsia="Calibri" w:hAnsi="Cambria Math" w:cs="Traditional Arabic"/>
            <w:sz w:val="24"/>
            <w:szCs w:val="24"/>
            <w:highlight w:val="yellow"/>
            <w:lang w:bidi="ar-EG"/>
          </w:rPr>
          <m:t>α≤0.01</m:t>
        </m:r>
      </m:oMath>
      <w:r w:rsidRPr="000F750F">
        <w:rPr>
          <w:rFonts w:ascii="Traditional Arabic" w:eastAsia="Calibri" w:hAnsi="Traditional Arabic" w:cs="Traditional Arabic"/>
          <w:sz w:val="24"/>
          <w:szCs w:val="24"/>
          <w:highlight w:val="yellow"/>
          <w:lang w:bidi="ar-EG"/>
        </w:rPr>
        <w:t xml:space="preserve">). </w:t>
      </w:r>
      <w:r w:rsidRPr="000F750F">
        <w:rPr>
          <w:rFonts w:ascii="Traditional Arabic" w:eastAsia="Calibri" w:hAnsi="Traditional Arabic" w:cs="Traditional Arabic"/>
          <w:sz w:val="24"/>
          <w:szCs w:val="24"/>
          <w:highlight w:val="yellow"/>
          <w:rtl/>
        </w:rPr>
        <w:t xml:space="preserve">فقد أظهرت النتائج أن العلاقة بين ممارسات إدارة المخاطر والقيادة التحويلية علاقة قوية، حيث بلغ معامل الارتباط (0.621) عند مستوى دلالة (0.000). </w:t>
      </w:r>
      <w:r w:rsidR="00637048" w:rsidRPr="000F750F">
        <w:rPr>
          <w:rFonts w:ascii="Traditional Arabic" w:eastAsia="Calibri" w:hAnsi="Traditional Arabic" w:cs="Traditional Arabic" w:hint="cs"/>
          <w:sz w:val="24"/>
          <w:szCs w:val="24"/>
          <w:highlight w:val="yellow"/>
          <w:rtl/>
        </w:rPr>
        <w:t>وهو أقل من القيمة الحرجة.</w:t>
      </w:r>
    </w:p>
    <w:p w14:paraId="763EEEC1" w14:textId="5EE59850" w:rsidR="005344D8" w:rsidRPr="000F750F" w:rsidRDefault="005344D8" w:rsidP="00A86FEA">
      <w:pPr>
        <w:bidi/>
        <w:spacing w:after="200" w:line="360" w:lineRule="auto"/>
        <w:ind w:firstLine="720"/>
        <w:contextualSpacing/>
        <w:jc w:val="both"/>
        <w:rPr>
          <w:rFonts w:ascii="Traditional Arabic" w:eastAsia="Calibri" w:hAnsi="Traditional Arabic" w:cs="Traditional Arabic"/>
          <w:sz w:val="24"/>
          <w:szCs w:val="24"/>
          <w:highlight w:val="yellow"/>
          <w:lang w:bidi="ar-EG"/>
        </w:rPr>
      </w:pPr>
      <w:r w:rsidRPr="000F750F">
        <w:rPr>
          <w:rFonts w:ascii="Traditional Arabic" w:eastAsia="Calibri" w:hAnsi="Traditional Arabic" w:cs="Traditional Arabic"/>
          <w:sz w:val="24"/>
          <w:szCs w:val="24"/>
          <w:highlight w:val="yellow"/>
          <w:rtl/>
        </w:rPr>
        <w:lastRenderedPageBreak/>
        <w:t xml:space="preserve">كما تبين أن العلاقة بين إدارة المخاطر وسلامة المرضى علاقة </w:t>
      </w:r>
      <w:r w:rsidR="000F750F" w:rsidRPr="000F750F">
        <w:rPr>
          <w:rFonts w:ascii="Traditional Arabic" w:eastAsia="Calibri" w:hAnsi="Traditional Arabic" w:cs="Traditional Arabic" w:hint="cs"/>
          <w:sz w:val="24"/>
          <w:szCs w:val="24"/>
          <w:highlight w:val="yellow"/>
          <w:rtl/>
        </w:rPr>
        <w:t>طردية</w:t>
      </w:r>
      <w:r w:rsidRPr="000F750F">
        <w:rPr>
          <w:rFonts w:ascii="Traditional Arabic" w:eastAsia="Calibri" w:hAnsi="Traditional Arabic" w:cs="Traditional Arabic"/>
          <w:sz w:val="24"/>
          <w:szCs w:val="24"/>
          <w:highlight w:val="yellow"/>
          <w:rtl/>
        </w:rPr>
        <w:t>، إذ بلغ معامل الارتباط (0.554) عند مستوى دلالة (0.000). ويؤكد ذلك أن تطبيق أنظمة إدارة المخاطر يحد من الأخطاء الطبية ويعزز من مستويات الأمان داخل بيئة الرعاية الصحية، مما ينعكس إيجاباً على سلامة المرضى</w:t>
      </w:r>
      <w:r w:rsidRPr="000F750F">
        <w:rPr>
          <w:rFonts w:ascii="Traditional Arabic" w:eastAsia="Calibri" w:hAnsi="Traditional Arabic" w:cs="Traditional Arabic"/>
          <w:sz w:val="24"/>
          <w:szCs w:val="24"/>
          <w:highlight w:val="yellow"/>
          <w:lang w:bidi="ar-EG"/>
        </w:rPr>
        <w:t>.</w:t>
      </w:r>
    </w:p>
    <w:p w14:paraId="675A5BB8" w14:textId="6F1A7EDC" w:rsidR="005344D8" w:rsidRPr="0044090C" w:rsidRDefault="005344D8" w:rsidP="00A86FEA">
      <w:pPr>
        <w:bidi/>
        <w:spacing w:after="200" w:line="360" w:lineRule="auto"/>
        <w:ind w:firstLine="720"/>
        <w:contextualSpacing/>
        <w:jc w:val="both"/>
        <w:rPr>
          <w:rFonts w:ascii="Traditional Arabic" w:eastAsia="Calibri" w:hAnsi="Traditional Arabic" w:cs="Traditional Arabic"/>
          <w:sz w:val="24"/>
          <w:szCs w:val="24"/>
          <w:lang w:bidi="ar-EG"/>
        </w:rPr>
      </w:pPr>
      <w:r w:rsidRPr="000F750F">
        <w:rPr>
          <w:rFonts w:ascii="Traditional Arabic" w:eastAsia="Calibri" w:hAnsi="Traditional Arabic" w:cs="Traditional Arabic"/>
          <w:sz w:val="24"/>
          <w:szCs w:val="24"/>
          <w:highlight w:val="yellow"/>
          <w:rtl/>
        </w:rPr>
        <w:t xml:space="preserve">أما العلاقة بين القيادة التحويلية وسلامة المرضى فقد جاءت الأقوى بين جميع المتغيرات، حيث بلغ معامل الارتباط (0.683) عند مستوى دلالة (0.000). </w:t>
      </w:r>
      <w:r w:rsidR="000F750F" w:rsidRPr="000F750F">
        <w:rPr>
          <w:rFonts w:ascii="Traditional Arabic" w:eastAsia="Calibri" w:hAnsi="Traditional Arabic" w:cs="Traditional Arabic" w:hint="cs"/>
          <w:sz w:val="24"/>
          <w:szCs w:val="24"/>
          <w:highlight w:val="yellow"/>
          <w:rtl/>
        </w:rPr>
        <w:t>وهو إرتباط طردي قوي يعكس دور القيادة التحويلية</w:t>
      </w:r>
      <w:r w:rsidRPr="000F750F">
        <w:rPr>
          <w:rFonts w:ascii="Traditional Arabic" w:eastAsia="Calibri" w:hAnsi="Traditional Arabic" w:cs="Traditional Arabic"/>
          <w:sz w:val="24"/>
          <w:szCs w:val="24"/>
          <w:highlight w:val="yellow"/>
          <w:lang w:bidi="ar-EG"/>
        </w:rPr>
        <w:t>.</w:t>
      </w:r>
    </w:p>
    <w:p w14:paraId="6E4D20E7" w14:textId="6FD86D43" w:rsidR="005344D8" w:rsidRPr="0044090C" w:rsidRDefault="00DF3795" w:rsidP="00DF3795">
      <w:pPr>
        <w:bidi/>
        <w:spacing w:after="200" w:line="360" w:lineRule="auto"/>
        <w:ind w:firstLine="720"/>
        <w:contextualSpacing/>
        <w:jc w:val="both"/>
        <w:rPr>
          <w:rFonts w:ascii="Traditional Arabic" w:eastAsia="Calibri" w:hAnsi="Traditional Arabic" w:cs="Traditional Arabic"/>
          <w:sz w:val="24"/>
          <w:szCs w:val="24"/>
          <w:rtl/>
        </w:rPr>
      </w:pPr>
      <w:r w:rsidRPr="0044090C">
        <w:rPr>
          <w:rFonts w:ascii="Traditional Arabic" w:eastAsia="Calibri" w:hAnsi="Traditional Arabic" w:cs="Traditional Arabic"/>
          <w:sz w:val="24"/>
          <w:szCs w:val="24"/>
          <w:rtl/>
        </w:rPr>
        <w:t>وبناءً على النتائج المتحصل عليها، يمكن القول إن الفرضية الرئيسية الأولى قد حظيت بقبول كامل، إذ أثبتت البيانات وجود ترابط خطي متكامل بين الأبعاد الثلاثة، بما يعزز من أهمية التكامل بين إدارة المخاطر والقيادة التحويلية لتحقيق أعلى مستويات سلامة المرضى</w:t>
      </w:r>
      <w:r w:rsidRPr="0044090C">
        <w:rPr>
          <w:rFonts w:ascii="Traditional Arabic" w:eastAsia="Calibri" w:hAnsi="Traditional Arabic" w:cs="Traditional Arabic"/>
          <w:sz w:val="24"/>
          <w:szCs w:val="24"/>
        </w:rPr>
        <w:t>.</w:t>
      </w:r>
    </w:p>
    <w:p w14:paraId="1AC8E23A" w14:textId="77777777" w:rsidR="00686687" w:rsidRPr="0044090C" w:rsidRDefault="00686687" w:rsidP="0068668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الثاني (فرض أثر المستقل على التابع):"</w:t>
      </w:r>
      <w:r w:rsidRPr="0044090C">
        <w:rPr>
          <w:rFonts w:ascii="Traditional Arabic" w:eastAsia="Calibri" w:hAnsi="Traditional Arabic" w:cs="Traditional Arabic"/>
          <w:sz w:val="24"/>
          <w:szCs w:val="24"/>
          <w:rtl/>
          <w:lang w:bidi="ar-EG"/>
        </w:rPr>
        <w:t>يوجد تأثير ذو دلالة إحصائية لممارسات إدارة المخاطر على سلامة المرضى في المستشفيات الحكومية بالمملكة العربية السعودية."</w:t>
      </w:r>
    </w:p>
    <w:p w14:paraId="45F71CF3" w14:textId="77777777" w:rsidR="001E2C71" w:rsidRPr="0044090C" w:rsidRDefault="001E2C71" w:rsidP="001E2C71">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وللتحقق من صحة هذه الفرضية، استخدمت الباحثة اختبار الانحدار الخطي البسيط</w:t>
      </w:r>
      <w:r w:rsidRPr="0044090C">
        <w:rPr>
          <w:rFonts w:ascii="Traditional Arabic" w:eastAsia="Calibri" w:hAnsi="Traditional Arabic" w:cs="Traditional Arabic"/>
          <w:sz w:val="24"/>
          <w:szCs w:val="24"/>
          <w:lang w:bidi="ar-EG"/>
        </w:rPr>
        <w:t xml:space="preserve"> (Simple Linear Regression)</w:t>
      </w:r>
      <w:r w:rsidRPr="0044090C">
        <w:rPr>
          <w:rFonts w:ascii="Traditional Arabic" w:eastAsia="Calibri" w:hAnsi="Traditional Arabic" w:cs="Traditional Arabic"/>
          <w:sz w:val="24"/>
          <w:szCs w:val="24"/>
          <w:rtl/>
        </w:rPr>
        <w:t>، والجدول التالي يوضح مخرجات التحليل الإحصائي</w:t>
      </w:r>
      <w:r w:rsidRPr="0044090C">
        <w:rPr>
          <w:rFonts w:ascii="Traditional Arabic" w:eastAsia="Calibri" w:hAnsi="Traditional Arabic" w:cs="Traditional Arabic"/>
          <w:sz w:val="24"/>
          <w:szCs w:val="24"/>
          <w:lang w:bidi="ar-EG"/>
        </w:rPr>
        <w:t>:</w:t>
      </w:r>
    </w:p>
    <w:p w14:paraId="31243B82" w14:textId="7783DEB6" w:rsidR="001E2C71" w:rsidRPr="0044090C" w:rsidRDefault="001E2C71" w:rsidP="001E2C71">
      <w:pPr>
        <w:bidi/>
        <w:spacing w:after="200" w:line="360" w:lineRule="auto"/>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b/>
          <w:bCs/>
          <w:sz w:val="24"/>
          <w:szCs w:val="24"/>
          <w:rtl/>
        </w:rPr>
        <w:t>الجدول (١٦): نتائج تحليل الانحدار الخطي البسيط لأثر ممارسات إدارة المخاطر على سلامة المرضى</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036"/>
        <w:gridCol w:w="1035"/>
        <w:gridCol w:w="1027"/>
        <w:gridCol w:w="1026"/>
        <w:gridCol w:w="1039"/>
        <w:gridCol w:w="1031"/>
        <w:gridCol w:w="1045"/>
        <w:gridCol w:w="1051"/>
      </w:tblGrid>
      <w:tr w:rsidR="001E2C71" w:rsidRPr="0044090C" w14:paraId="1EA46507" w14:textId="64A83D4A" w:rsidTr="001E2C71">
        <w:trPr>
          <w:tblCellSpacing w:w="20" w:type="dxa"/>
        </w:trPr>
        <w:tc>
          <w:tcPr>
            <w:tcW w:w="1036" w:type="dxa"/>
            <w:shd w:val="clear" w:color="auto" w:fill="E5DFEC" w:themeFill="accent4" w:themeFillTint="33"/>
            <w:vAlign w:val="center"/>
          </w:tcPr>
          <w:p w14:paraId="628D6AA3" w14:textId="36052CCC"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المتغير المستقل</w:t>
            </w:r>
          </w:p>
        </w:tc>
        <w:tc>
          <w:tcPr>
            <w:tcW w:w="1036" w:type="dxa"/>
            <w:shd w:val="clear" w:color="auto" w:fill="E5DFEC" w:themeFill="accent4" w:themeFillTint="33"/>
            <w:vAlign w:val="center"/>
          </w:tcPr>
          <w:p w14:paraId="6640D5DD" w14:textId="5E4618FD"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 xml:space="preserve">معامل الانحدار غير المعياري </w:t>
            </w:r>
            <w:r w:rsidRPr="0044090C">
              <w:rPr>
                <w:rFonts w:ascii="Traditional Arabic" w:eastAsia="Calibri" w:hAnsi="Traditional Arabic" w:cs="Traditional Arabic" w:hint="cs"/>
                <w:b/>
                <w:bCs/>
                <w:lang w:bidi="ar-EG"/>
              </w:rPr>
              <w:t xml:space="preserve"> (</w:t>
            </w:r>
            <w:r w:rsidRPr="0044090C">
              <w:rPr>
                <w:rFonts w:ascii="Cambria" w:eastAsia="Calibri" w:hAnsi="Cambria" w:cs="Cambria"/>
                <w:b/>
                <w:bCs/>
                <w:lang w:bidi="ar-EG"/>
              </w:rPr>
              <w:t>β</w:t>
            </w:r>
            <w:r w:rsidRPr="0044090C">
              <w:rPr>
                <w:rFonts w:ascii="Traditional Arabic" w:eastAsia="Calibri" w:hAnsi="Traditional Arabic" w:cs="Traditional Arabic" w:hint="cs"/>
                <w:b/>
                <w:bCs/>
                <w:lang w:bidi="ar-EG"/>
              </w:rPr>
              <w:t>)</w:t>
            </w:r>
          </w:p>
        </w:tc>
        <w:tc>
          <w:tcPr>
            <w:tcW w:w="1037" w:type="dxa"/>
            <w:shd w:val="clear" w:color="auto" w:fill="E5DFEC" w:themeFill="accent4" w:themeFillTint="33"/>
            <w:vAlign w:val="center"/>
          </w:tcPr>
          <w:p w14:paraId="605979A4" w14:textId="77B8B13C"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قيمة ت المحسوبة</w:t>
            </w:r>
            <w:r w:rsidRPr="0044090C">
              <w:rPr>
                <w:rFonts w:ascii="Traditional Arabic" w:eastAsia="Calibri" w:hAnsi="Traditional Arabic" w:cs="Traditional Arabic" w:hint="cs"/>
                <w:b/>
                <w:bCs/>
                <w:lang w:bidi="ar-EG"/>
              </w:rPr>
              <w:t xml:space="preserve"> (t)</w:t>
            </w:r>
          </w:p>
        </w:tc>
        <w:tc>
          <w:tcPr>
            <w:tcW w:w="1037" w:type="dxa"/>
            <w:shd w:val="clear" w:color="auto" w:fill="E5DFEC" w:themeFill="accent4" w:themeFillTint="33"/>
            <w:vAlign w:val="center"/>
          </w:tcPr>
          <w:p w14:paraId="639C7A2B" w14:textId="03744F80"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مستوى الدلالة</w:t>
            </w:r>
            <w:r w:rsidRPr="0044090C">
              <w:rPr>
                <w:rFonts w:ascii="Traditional Arabic" w:eastAsia="Calibri" w:hAnsi="Traditional Arabic" w:cs="Traditional Arabic" w:hint="cs"/>
                <w:b/>
                <w:bCs/>
                <w:lang w:bidi="ar-EG"/>
              </w:rPr>
              <w:t xml:space="preserve"> (Sig.)</w:t>
            </w:r>
          </w:p>
        </w:tc>
        <w:tc>
          <w:tcPr>
            <w:tcW w:w="1037" w:type="dxa"/>
            <w:shd w:val="clear" w:color="auto" w:fill="E5DFEC" w:themeFill="accent4" w:themeFillTint="33"/>
            <w:vAlign w:val="center"/>
          </w:tcPr>
          <w:p w14:paraId="0507AB8D" w14:textId="6BE434BC"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 xml:space="preserve">معامل الارتباط </w:t>
            </w:r>
            <w:r w:rsidRPr="0044090C">
              <w:rPr>
                <w:rFonts w:ascii="Traditional Arabic" w:eastAsia="Calibri" w:hAnsi="Traditional Arabic" w:cs="Traditional Arabic" w:hint="cs"/>
                <w:b/>
                <w:bCs/>
                <w:lang w:bidi="ar-EG"/>
              </w:rPr>
              <w:t xml:space="preserve"> (R)</w:t>
            </w:r>
            <w:r w:rsidRPr="0044090C">
              <w:rPr>
                <w:rFonts w:ascii="Traditional Arabic" w:eastAsia="Calibri" w:hAnsi="Traditional Arabic" w:cs="Traditional Arabic" w:hint="cs"/>
                <w:b/>
                <w:bCs/>
                <w:rtl/>
                <w:lang w:bidi="ar-EG"/>
              </w:rPr>
              <w:t xml:space="preserve">  </w:t>
            </w:r>
          </w:p>
        </w:tc>
        <w:tc>
          <w:tcPr>
            <w:tcW w:w="1037" w:type="dxa"/>
            <w:shd w:val="clear" w:color="auto" w:fill="E5DFEC" w:themeFill="accent4" w:themeFillTint="33"/>
            <w:vAlign w:val="center"/>
          </w:tcPr>
          <w:p w14:paraId="124CF13B" w14:textId="3506212F"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معامل التحديد</w:t>
            </w:r>
            <w:r w:rsidRPr="0044090C">
              <w:rPr>
                <w:rFonts w:ascii="Traditional Arabic" w:eastAsia="Calibri" w:hAnsi="Traditional Arabic" w:cs="Traditional Arabic" w:hint="cs"/>
                <w:b/>
                <w:bCs/>
                <w:lang w:bidi="ar-EG"/>
              </w:rPr>
              <w:t xml:space="preserve"> (R²)</w:t>
            </w:r>
          </w:p>
        </w:tc>
        <w:tc>
          <w:tcPr>
            <w:tcW w:w="1038" w:type="dxa"/>
            <w:shd w:val="clear" w:color="auto" w:fill="E5DFEC" w:themeFill="accent4" w:themeFillTint="33"/>
            <w:vAlign w:val="center"/>
          </w:tcPr>
          <w:p w14:paraId="2CCF0FF8" w14:textId="2CC7FA52"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 xml:space="preserve">قيمة ف المحسوبة </w:t>
            </w:r>
            <w:r w:rsidRPr="0044090C">
              <w:rPr>
                <w:rFonts w:ascii="Traditional Arabic" w:eastAsia="Calibri" w:hAnsi="Traditional Arabic" w:cs="Traditional Arabic" w:hint="cs"/>
                <w:b/>
                <w:bCs/>
                <w:lang w:bidi="ar-EG"/>
              </w:rPr>
              <w:t xml:space="preserve"> (F)</w:t>
            </w:r>
          </w:p>
        </w:tc>
        <w:tc>
          <w:tcPr>
            <w:tcW w:w="1038" w:type="dxa"/>
            <w:shd w:val="clear" w:color="auto" w:fill="E5DFEC" w:themeFill="accent4" w:themeFillTint="33"/>
            <w:vAlign w:val="center"/>
          </w:tcPr>
          <w:p w14:paraId="254421AB" w14:textId="2D71540B"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مستوى دلالة النموذج</w:t>
            </w:r>
            <w:r w:rsidRPr="0044090C">
              <w:rPr>
                <w:rFonts w:ascii="Traditional Arabic" w:eastAsia="Calibri" w:hAnsi="Traditional Arabic" w:cs="Traditional Arabic" w:hint="cs"/>
                <w:b/>
                <w:bCs/>
                <w:lang w:bidi="ar-EG"/>
              </w:rPr>
              <w:t xml:space="preserve"> (Sig. F)</w:t>
            </w:r>
          </w:p>
        </w:tc>
      </w:tr>
      <w:tr w:rsidR="001E2C71" w:rsidRPr="0044090C" w14:paraId="03356ECC" w14:textId="41CC522C" w:rsidTr="001E2C71">
        <w:trPr>
          <w:tblCellSpacing w:w="20" w:type="dxa"/>
        </w:trPr>
        <w:tc>
          <w:tcPr>
            <w:tcW w:w="1036" w:type="dxa"/>
            <w:shd w:val="clear" w:color="auto" w:fill="E5DFEC" w:themeFill="accent4" w:themeFillTint="33"/>
            <w:vAlign w:val="center"/>
          </w:tcPr>
          <w:p w14:paraId="23C47F68" w14:textId="6FB1E9C2"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إدارة المخاطر</w:t>
            </w:r>
          </w:p>
        </w:tc>
        <w:tc>
          <w:tcPr>
            <w:tcW w:w="1036" w:type="dxa"/>
            <w:vAlign w:val="center"/>
          </w:tcPr>
          <w:p w14:paraId="445885A8" w14:textId="1761A76C"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٠٫٥٥٤</w:t>
            </w:r>
          </w:p>
        </w:tc>
        <w:tc>
          <w:tcPr>
            <w:tcW w:w="1037" w:type="dxa"/>
            <w:vAlign w:val="center"/>
          </w:tcPr>
          <w:p w14:paraId="130C65CF" w14:textId="18609C19"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١٣٫٠٦</w:t>
            </w:r>
          </w:p>
        </w:tc>
        <w:tc>
          <w:tcPr>
            <w:tcW w:w="1037" w:type="dxa"/>
            <w:vAlign w:val="center"/>
          </w:tcPr>
          <w:p w14:paraId="5DAA7FA1" w14:textId="4D5137F5"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٠٫٠٠٠</w:t>
            </w:r>
          </w:p>
        </w:tc>
        <w:tc>
          <w:tcPr>
            <w:tcW w:w="1037" w:type="dxa"/>
            <w:vAlign w:val="center"/>
          </w:tcPr>
          <w:p w14:paraId="70EF1DA0" w14:textId="3FDC99C8"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٠٫٥٥٤</w:t>
            </w:r>
          </w:p>
        </w:tc>
        <w:tc>
          <w:tcPr>
            <w:tcW w:w="1037" w:type="dxa"/>
            <w:vAlign w:val="center"/>
          </w:tcPr>
          <w:p w14:paraId="205070AC" w14:textId="0D045717"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٠٫٣٠٧</w:t>
            </w:r>
          </w:p>
        </w:tc>
        <w:tc>
          <w:tcPr>
            <w:tcW w:w="1038" w:type="dxa"/>
            <w:vAlign w:val="center"/>
          </w:tcPr>
          <w:p w14:paraId="48FF3F8A" w14:textId="7A8DC121"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١٧١٫٤٢</w:t>
            </w:r>
          </w:p>
        </w:tc>
        <w:tc>
          <w:tcPr>
            <w:tcW w:w="1038" w:type="dxa"/>
            <w:vAlign w:val="center"/>
          </w:tcPr>
          <w:p w14:paraId="56792C89" w14:textId="2B36FC89" w:rsidR="001E2C71" w:rsidRPr="0044090C" w:rsidRDefault="001E2C71" w:rsidP="001E2C71">
            <w:pPr>
              <w:bidi/>
              <w:spacing w:after="200" w:line="360" w:lineRule="auto"/>
              <w:contextualSpacing/>
              <w:jc w:val="center"/>
              <w:rPr>
                <w:rFonts w:ascii="Traditional Arabic" w:eastAsia="Calibri" w:hAnsi="Traditional Arabic" w:cs="Traditional Arabic"/>
                <w:b/>
                <w:bCs/>
                <w:rtl/>
                <w:lang w:bidi="ar-EG"/>
              </w:rPr>
            </w:pPr>
            <w:r w:rsidRPr="0044090C">
              <w:rPr>
                <w:rFonts w:ascii="Traditional Arabic" w:eastAsia="Calibri" w:hAnsi="Traditional Arabic" w:cs="Traditional Arabic" w:hint="cs"/>
                <w:b/>
                <w:bCs/>
                <w:rtl/>
              </w:rPr>
              <w:t>٠٫٠٠٠</w:t>
            </w:r>
          </w:p>
        </w:tc>
      </w:tr>
    </w:tbl>
    <w:p w14:paraId="533BD1AD" w14:textId="77777777" w:rsidR="001E2C71" w:rsidRPr="0044090C" w:rsidRDefault="001E2C71" w:rsidP="00D24D70">
      <w:pPr>
        <w:bidi/>
        <w:spacing w:after="200" w:line="360" w:lineRule="auto"/>
        <w:contextualSpacing/>
        <w:jc w:val="right"/>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3F04C0E1" w14:textId="350B0AB3" w:rsidR="00B65F15" w:rsidRPr="0044090C" w:rsidRDefault="00B65F15" w:rsidP="00B65F15">
      <w:pPr>
        <w:bidi/>
        <w:spacing w:after="200" w:line="360" w:lineRule="auto"/>
        <w:ind w:firstLine="720"/>
        <w:contextualSpacing/>
        <w:jc w:val="both"/>
        <w:rPr>
          <w:rFonts w:ascii="Traditional Arabic" w:eastAsia="Calibri" w:hAnsi="Traditional Arabic" w:cs="Traditional Arabic"/>
          <w:sz w:val="24"/>
          <w:szCs w:val="24"/>
        </w:rPr>
      </w:pPr>
      <w:r w:rsidRPr="0044090C">
        <w:rPr>
          <w:rFonts w:ascii="Traditional Arabic" w:eastAsia="Calibri" w:hAnsi="Traditional Arabic" w:cs="Traditional Arabic"/>
          <w:sz w:val="24"/>
          <w:szCs w:val="24"/>
          <w:rtl/>
        </w:rPr>
        <w:t xml:space="preserve">تبيّن من الجدول </w:t>
      </w:r>
      <w:r w:rsidR="00771C46">
        <w:rPr>
          <w:rFonts w:ascii="Traditional Arabic" w:eastAsia="Calibri" w:hAnsi="Traditional Arabic" w:cs="Traditional Arabic" w:hint="cs"/>
          <w:sz w:val="24"/>
          <w:szCs w:val="24"/>
          <w:rtl/>
        </w:rPr>
        <w:t>(16)</w:t>
      </w:r>
      <w:r w:rsidRPr="0044090C">
        <w:rPr>
          <w:rFonts w:ascii="Traditional Arabic" w:eastAsia="Calibri" w:hAnsi="Traditional Arabic" w:cs="Traditional Arabic"/>
          <w:sz w:val="24"/>
          <w:szCs w:val="24"/>
          <w:rtl/>
        </w:rPr>
        <w:t xml:space="preserve"> أن نموذج الانحدار الخطي البسيط ذو دلالة إحصائية عالية وصالح للتنبؤ؛ حيث بلغت قيمة ف المحسوبة</w:t>
      </w:r>
      <w:r w:rsidRPr="0044090C">
        <w:rPr>
          <w:rFonts w:ascii="Traditional Arabic" w:eastAsia="Calibri" w:hAnsi="Traditional Arabic" w:cs="Traditional Arabic"/>
          <w:sz w:val="24"/>
          <w:szCs w:val="24"/>
        </w:rPr>
        <w:t xml:space="preserve"> (F = 171.42) </w:t>
      </w:r>
      <w:r w:rsidR="00FF6404"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tl/>
        </w:rPr>
        <w:t>وهي دالة إحصائياً عند مستوى معنوية</w:t>
      </w:r>
      <w:r w:rsidR="00FF6404"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Pr>
        <w:t xml:space="preserve"> (Sig. F = 0.000) </w:t>
      </w:r>
      <w:r w:rsidRPr="0044090C">
        <w:rPr>
          <w:rFonts w:ascii="Traditional Arabic" w:eastAsia="Calibri" w:hAnsi="Traditional Arabic" w:cs="Traditional Arabic"/>
          <w:sz w:val="24"/>
          <w:szCs w:val="24"/>
          <w:rtl/>
        </w:rPr>
        <w:t>وهو أقل من مستوى الدلالة المقبول</w:t>
      </w:r>
      <w:r w:rsidRPr="0044090C">
        <w:rPr>
          <w:rFonts w:ascii="Traditional Arabic" w:eastAsia="Calibri" w:hAnsi="Traditional Arabic" w:cs="Traditional Arabic"/>
          <w:sz w:val="24"/>
          <w:szCs w:val="24"/>
        </w:rPr>
        <w:t xml:space="preserve"> (0.05).</w:t>
      </w:r>
      <w:r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tl/>
        </w:rPr>
        <w:t>كما بلغت قيمة معامل التحديد</w:t>
      </w:r>
      <w:r w:rsidR="00FF6404"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Pr>
        <w:t xml:space="preserve"> (R² = 0.307)</w:t>
      </w:r>
      <w:r w:rsidRPr="0044090C">
        <w:rPr>
          <w:rFonts w:ascii="Traditional Arabic" w:eastAsia="Calibri" w:hAnsi="Traditional Arabic" w:cs="Traditional Arabic"/>
          <w:sz w:val="24"/>
          <w:szCs w:val="24"/>
          <w:rtl/>
        </w:rPr>
        <w:t>، مما يعني أن ممارسات إدارة المخاطر تفسر ما نسبته (30.7%) من التغيرات والتباين الحاصل في مستوى سلامة المرضى في المستشفيات الحكومية بالمملكة العربية السعودية، في حين تعود النسبة المتبقية لعوامل أخرى خارج نطاق هذا النموذج</w:t>
      </w:r>
      <w:r w:rsidR="00771C46">
        <w:rPr>
          <w:rFonts w:ascii="Traditional Arabic" w:eastAsia="Calibri" w:hAnsi="Traditional Arabic" w:cs="Traditional Arabic" w:hint="cs"/>
          <w:sz w:val="24"/>
          <w:szCs w:val="24"/>
          <w:rtl/>
        </w:rPr>
        <w:t xml:space="preserve"> ( مثل النمط القيادي، الثقافة التنظيمية، الإمكانات التقنية للمستشفى)</w:t>
      </w:r>
      <w:r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tl/>
        </w:rPr>
        <w:t>إضافة إلى ذلك، بلغت قيمة معامل الانحدار</w:t>
      </w:r>
      <w:r w:rsidRPr="0044090C">
        <w:rPr>
          <w:rFonts w:ascii="Traditional Arabic" w:eastAsia="Calibri" w:hAnsi="Traditional Arabic" w:cs="Traditional Arabic"/>
          <w:sz w:val="24"/>
          <w:szCs w:val="24"/>
        </w:rPr>
        <w:t xml:space="preserve"> (</w:t>
      </w:r>
      <w:r w:rsidRPr="0044090C">
        <w:rPr>
          <w:rFonts w:ascii="Cambria" w:eastAsia="Calibri" w:hAnsi="Cambria" w:cs="Cambria"/>
          <w:sz w:val="24"/>
          <w:szCs w:val="24"/>
        </w:rPr>
        <w:t>β</w:t>
      </w:r>
      <w:r w:rsidRPr="0044090C">
        <w:rPr>
          <w:rFonts w:ascii="Traditional Arabic" w:eastAsia="Calibri" w:hAnsi="Traditional Arabic" w:cs="Traditional Arabic"/>
          <w:sz w:val="24"/>
          <w:szCs w:val="24"/>
        </w:rPr>
        <w:t xml:space="preserve"> = 0.554) </w:t>
      </w:r>
      <w:r w:rsidRPr="0044090C">
        <w:rPr>
          <w:rFonts w:ascii="Traditional Arabic" w:eastAsia="Calibri" w:hAnsi="Traditional Arabic" w:cs="Traditional Arabic"/>
          <w:sz w:val="24"/>
          <w:szCs w:val="24"/>
          <w:rtl/>
        </w:rPr>
        <w:t>بمستوى دلالة إحصائية</w:t>
      </w:r>
      <w:r w:rsidRPr="0044090C">
        <w:rPr>
          <w:rFonts w:ascii="Traditional Arabic" w:eastAsia="Calibri" w:hAnsi="Traditional Arabic" w:cs="Traditional Arabic"/>
          <w:sz w:val="24"/>
          <w:szCs w:val="24"/>
        </w:rPr>
        <w:t xml:space="preserve"> (Sig. = 0.000) </w:t>
      </w:r>
      <w:r w:rsidRPr="0044090C">
        <w:rPr>
          <w:rFonts w:ascii="Traditional Arabic" w:eastAsia="Calibri" w:hAnsi="Traditional Arabic" w:cs="Traditional Arabic"/>
          <w:sz w:val="24"/>
          <w:szCs w:val="24"/>
          <w:rtl/>
        </w:rPr>
        <w:t>وقيمة ت المحسوبة</w:t>
      </w:r>
      <w:r w:rsidRPr="0044090C">
        <w:rPr>
          <w:rFonts w:ascii="Traditional Arabic" w:eastAsia="Calibri" w:hAnsi="Traditional Arabic" w:cs="Traditional Arabic"/>
          <w:sz w:val="24"/>
          <w:szCs w:val="24"/>
        </w:rPr>
        <w:t xml:space="preserve"> (t = 13.06)</w:t>
      </w:r>
      <w:r w:rsidRPr="0044090C">
        <w:rPr>
          <w:rFonts w:ascii="Traditional Arabic" w:eastAsia="Calibri" w:hAnsi="Traditional Arabic" w:cs="Traditional Arabic"/>
          <w:sz w:val="24"/>
          <w:szCs w:val="24"/>
          <w:rtl/>
        </w:rPr>
        <w:t xml:space="preserve">، وهو ما يشير إلى وجود تأثير طردي (إيجابي) </w:t>
      </w:r>
      <w:r w:rsidRPr="0044090C">
        <w:rPr>
          <w:rFonts w:ascii="Traditional Arabic" w:eastAsia="Calibri" w:hAnsi="Traditional Arabic" w:cs="Traditional Arabic"/>
          <w:sz w:val="24"/>
          <w:szCs w:val="24"/>
          <w:rtl/>
        </w:rPr>
        <w:lastRenderedPageBreak/>
        <w:t>ذو دلالة إحصائية؛ حيث إن زيادة ممارسات إدارة المخاطر بمقدار وحدة واحدة تؤدي إلى تحسن في سلامة المرضى بمقدار</w:t>
      </w:r>
      <w:r w:rsidRPr="0044090C">
        <w:rPr>
          <w:rFonts w:ascii="Traditional Arabic" w:eastAsia="Calibri" w:hAnsi="Traditional Arabic" w:cs="Traditional Arabic"/>
          <w:sz w:val="24"/>
          <w:szCs w:val="24"/>
        </w:rPr>
        <w:t xml:space="preserve"> (0.554)</w:t>
      </w:r>
      <w:r w:rsidRPr="0044090C">
        <w:rPr>
          <w:rFonts w:ascii="Traditional Arabic" w:eastAsia="Calibri" w:hAnsi="Traditional Arabic" w:cs="Traditional Arabic" w:hint="cs"/>
          <w:sz w:val="24"/>
          <w:szCs w:val="24"/>
          <w:rtl/>
        </w:rPr>
        <w:t xml:space="preserve"> ، </w:t>
      </w:r>
      <w:r w:rsidRPr="0044090C">
        <w:rPr>
          <w:rFonts w:ascii="Traditional Arabic" w:eastAsia="Calibri" w:hAnsi="Traditional Arabic" w:cs="Traditional Arabic"/>
          <w:sz w:val="24"/>
          <w:szCs w:val="24"/>
          <w:rtl/>
        </w:rPr>
        <w:t>وبناءً على هذه المؤشرات الإحصائية، تُقبل الفرضية الرئيسية الثانية بالكامل</w:t>
      </w:r>
      <w:r w:rsidRPr="0044090C">
        <w:rPr>
          <w:rFonts w:ascii="Traditional Arabic" w:eastAsia="Calibri" w:hAnsi="Traditional Arabic" w:cs="Traditional Arabic"/>
          <w:sz w:val="24"/>
          <w:szCs w:val="24"/>
        </w:rPr>
        <w:t>.</w:t>
      </w:r>
    </w:p>
    <w:p w14:paraId="279B9E51" w14:textId="77777777" w:rsidR="00686687" w:rsidRPr="0044090C" w:rsidRDefault="00686687" w:rsidP="0068668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الثالث (فرض أثر الوسيط على التابع):"</w:t>
      </w:r>
      <w:r w:rsidRPr="0044090C">
        <w:rPr>
          <w:rFonts w:ascii="Traditional Arabic" w:eastAsia="Calibri" w:hAnsi="Traditional Arabic" w:cs="Traditional Arabic"/>
          <w:sz w:val="24"/>
          <w:szCs w:val="24"/>
          <w:rtl/>
          <w:lang w:bidi="ar-EG"/>
        </w:rPr>
        <w:t>يوجد تأثير ذو دلالة إحصائية للقيادة التحويلية على سلامة المرضى في المستشفيات الحكومية بالمملكة العربية السعودية.</w:t>
      </w:r>
    </w:p>
    <w:p w14:paraId="3A2203C8" w14:textId="77777777" w:rsidR="00191970" w:rsidRPr="0044090C" w:rsidRDefault="00191970" w:rsidP="00191970">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ولللتحقق من صحة هذه الفرضية، استخدمت الباحثة اختبار الانحدار الخطي البسيط</w:t>
      </w:r>
      <w:r w:rsidRPr="0044090C">
        <w:rPr>
          <w:rFonts w:ascii="Traditional Arabic" w:eastAsia="Calibri" w:hAnsi="Traditional Arabic" w:cs="Traditional Arabic"/>
          <w:sz w:val="24"/>
          <w:szCs w:val="24"/>
          <w:lang w:bidi="ar-EG"/>
        </w:rPr>
        <w:t xml:space="preserve"> (Simple Linear Regression)</w:t>
      </w:r>
      <w:r w:rsidRPr="0044090C">
        <w:rPr>
          <w:rFonts w:ascii="Traditional Arabic" w:eastAsia="Calibri" w:hAnsi="Traditional Arabic" w:cs="Traditional Arabic"/>
          <w:sz w:val="24"/>
          <w:szCs w:val="24"/>
          <w:rtl/>
        </w:rPr>
        <w:t>، والجدول التالي يوضح مخرجات التحليل الإحصائي</w:t>
      </w:r>
      <w:r w:rsidRPr="0044090C">
        <w:rPr>
          <w:rFonts w:ascii="Traditional Arabic" w:eastAsia="Calibri" w:hAnsi="Traditional Arabic" w:cs="Traditional Arabic"/>
          <w:sz w:val="24"/>
          <w:szCs w:val="24"/>
          <w:lang w:bidi="ar-EG"/>
        </w:rPr>
        <w:t>:</w:t>
      </w:r>
    </w:p>
    <w:p w14:paraId="40ED3CB1" w14:textId="65B9EBFB" w:rsidR="00191970" w:rsidRPr="0044090C" w:rsidRDefault="00191970" w:rsidP="00191970">
      <w:pPr>
        <w:bidi/>
        <w:spacing w:after="200" w:line="360" w:lineRule="auto"/>
        <w:contextualSpacing/>
        <w:jc w:val="both"/>
        <w:rPr>
          <w:rFonts w:ascii="Traditional Arabic" w:eastAsia="Calibri" w:hAnsi="Traditional Arabic" w:cs="Traditional Arabic"/>
          <w:sz w:val="24"/>
          <w:szCs w:val="24"/>
        </w:rPr>
      </w:pPr>
      <w:r w:rsidRPr="0044090C">
        <w:rPr>
          <w:rFonts w:ascii="Traditional Arabic" w:eastAsia="Calibri" w:hAnsi="Traditional Arabic" w:cs="Traditional Arabic"/>
          <w:sz w:val="24"/>
          <w:szCs w:val="24"/>
          <w:rtl/>
        </w:rPr>
        <w:t xml:space="preserve">الجدول (17): نتائج تحليل الانحدار الخطي البسيط لأثر القيادة التحويلية على سلامة المرضى </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16"/>
        <w:gridCol w:w="982"/>
        <w:gridCol w:w="1258"/>
        <w:gridCol w:w="1204"/>
        <w:gridCol w:w="938"/>
        <w:gridCol w:w="1021"/>
        <w:gridCol w:w="1020"/>
        <w:gridCol w:w="1051"/>
      </w:tblGrid>
      <w:tr w:rsidR="00191970" w:rsidRPr="0044090C" w14:paraId="56E267B8" w14:textId="77777777" w:rsidTr="00A62F00">
        <w:trPr>
          <w:tblHeader/>
          <w:tblCellSpacing w:w="15" w:type="dxa"/>
        </w:trPr>
        <w:tc>
          <w:tcPr>
            <w:tcW w:w="0" w:type="auto"/>
            <w:shd w:val="clear" w:color="auto" w:fill="E5DFEC" w:themeFill="accent4" w:themeFillTint="33"/>
            <w:vAlign w:val="center"/>
            <w:hideMark/>
          </w:tcPr>
          <w:p w14:paraId="71B3553C" w14:textId="71BD473E" w:rsidR="00191970" w:rsidRPr="0044090C" w:rsidRDefault="00191970" w:rsidP="00191970">
            <w:pPr>
              <w:bidi/>
              <w:spacing w:after="200" w:line="360" w:lineRule="auto"/>
              <w:contextualSpacing/>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مستوى دلالة</w:t>
            </w:r>
          </w:p>
          <w:p w14:paraId="769D0DF2" w14:textId="79CABCA1"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النموذج</w:t>
            </w:r>
          </w:p>
          <w:p w14:paraId="7006F5B4" w14:textId="0562FA02"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lang w:bidi="ar-EG"/>
              </w:rPr>
              <w:t>(Sig. F)</w:t>
            </w:r>
          </w:p>
        </w:tc>
        <w:tc>
          <w:tcPr>
            <w:tcW w:w="0" w:type="auto"/>
            <w:shd w:val="clear" w:color="auto" w:fill="E5DFEC" w:themeFill="accent4" w:themeFillTint="33"/>
            <w:vAlign w:val="center"/>
            <w:hideMark/>
          </w:tcPr>
          <w:p w14:paraId="33834D83"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قيمة ف المحسوبة</w:t>
            </w:r>
          </w:p>
          <w:p w14:paraId="560CF50C" w14:textId="63746C9A"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lang w:bidi="ar-EG"/>
              </w:rPr>
              <w:t>F)</w:t>
            </w:r>
            <w:r w:rsidRPr="0044090C">
              <w:rPr>
                <w:rFonts w:ascii="Traditional Arabic" w:eastAsia="Calibri" w:hAnsi="Traditional Arabic" w:cs="Traditional Arabic" w:hint="cs"/>
                <w:b/>
                <w:bCs/>
                <w:sz w:val="20"/>
                <w:szCs w:val="20"/>
                <w:rtl/>
                <w:lang w:bidi="ar-EG"/>
              </w:rPr>
              <w:t>)</w:t>
            </w:r>
          </w:p>
        </w:tc>
        <w:tc>
          <w:tcPr>
            <w:tcW w:w="0" w:type="auto"/>
            <w:shd w:val="clear" w:color="auto" w:fill="E5DFEC" w:themeFill="accent4" w:themeFillTint="33"/>
            <w:vAlign w:val="center"/>
            <w:hideMark/>
          </w:tcPr>
          <w:p w14:paraId="4A21B489" w14:textId="70BD8E71"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معامل التحديد</w:t>
            </w:r>
            <w:r w:rsidRPr="0044090C">
              <w:rPr>
                <w:rFonts w:ascii="Traditional Arabic" w:eastAsia="Calibri" w:hAnsi="Traditional Arabic" w:cs="Traditional Arabic" w:hint="cs"/>
                <w:b/>
                <w:bCs/>
                <w:sz w:val="20"/>
                <w:szCs w:val="20"/>
                <w:lang w:bidi="ar-EG"/>
              </w:rPr>
              <w:t>(R²)</w:t>
            </w:r>
          </w:p>
        </w:tc>
        <w:tc>
          <w:tcPr>
            <w:tcW w:w="0" w:type="auto"/>
            <w:shd w:val="clear" w:color="auto" w:fill="E5DFEC" w:themeFill="accent4" w:themeFillTint="33"/>
            <w:vAlign w:val="center"/>
            <w:hideMark/>
          </w:tcPr>
          <w:p w14:paraId="0A17CA2F" w14:textId="7BFB3F6F" w:rsidR="00191970" w:rsidRPr="0044090C" w:rsidRDefault="00191970" w:rsidP="00191970">
            <w:pPr>
              <w:bidi/>
              <w:spacing w:after="200" w:line="360" w:lineRule="auto"/>
              <w:ind w:left="720" w:hanging="720"/>
              <w:contextualSpacing/>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معامل الارتباط</w:t>
            </w:r>
            <w:r w:rsidRPr="0044090C">
              <w:rPr>
                <w:rFonts w:ascii="Traditional Arabic" w:eastAsia="Calibri" w:hAnsi="Traditional Arabic" w:cs="Traditional Arabic" w:hint="cs"/>
                <w:b/>
                <w:bCs/>
                <w:sz w:val="20"/>
                <w:szCs w:val="20"/>
                <w:lang w:bidi="ar-EG"/>
              </w:rPr>
              <w:t>(R)</w:t>
            </w:r>
          </w:p>
        </w:tc>
        <w:tc>
          <w:tcPr>
            <w:tcW w:w="0" w:type="auto"/>
            <w:shd w:val="clear" w:color="auto" w:fill="E5DFEC" w:themeFill="accent4" w:themeFillTint="33"/>
            <w:vAlign w:val="center"/>
            <w:hideMark/>
          </w:tcPr>
          <w:p w14:paraId="12B04F3D"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مستوى الدلالة</w:t>
            </w:r>
          </w:p>
          <w:p w14:paraId="4DB41B74" w14:textId="4BF0D8E3"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lang w:bidi="ar-EG"/>
              </w:rPr>
              <w:t>(Sig.)</w:t>
            </w:r>
          </w:p>
        </w:tc>
        <w:tc>
          <w:tcPr>
            <w:tcW w:w="0" w:type="auto"/>
            <w:shd w:val="clear" w:color="auto" w:fill="E5DFEC" w:themeFill="accent4" w:themeFillTint="33"/>
            <w:vAlign w:val="center"/>
            <w:hideMark/>
          </w:tcPr>
          <w:p w14:paraId="118E1BB1"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قيمة ت المحسوبة</w:t>
            </w:r>
            <w:r w:rsidRPr="0044090C">
              <w:rPr>
                <w:rFonts w:ascii="Traditional Arabic" w:eastAsia="Calibri" w:hAnsi="Traditional Arabic" w:cs="Traditional Arabic" w:hint="cs"/>
                <w:b/>
                <w:bCs/>
                <w:sz w:val="20"/>
                <w:szCs w:val="20"/>
                <w:lang w:bidi="ar-EG"/>
              </w:rPr>
              <w:t xml:space="preserve"> (t)</w:t>
            </w:r>
          </w:p>
        </w:tc>
        <w:tc>
          <w:tcPr>
            <w:tcW w:w="0" w:type="auto"/>
            <w:shd w:val="clear" w:color="auto" w:fill="E5DFEC" w:themeFill="accent4" w:themeFillTint="33"/>
            <w:vAlign w:val="center"/>
            <w:hideMark/>
          </w:tcPr>
          <w:p w14:paraId="7B0FA28E"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معامل الانحدار</w:t>
            </w:r>
          </w:p>
          <w:p w14:paraId="13C91405" w14:textId="07D9DC9B"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غير المعياري</w:t>
            </w:r>
            <w:r w:rsidRPr="0044090C">
              <w:rPr>
                <w:rFonts w:ascii="Traditional Arabic" w:eastAsia="Calibri" w:hAnsi="Traditional Arabic" w:cs="Traditional Arabic" w:hint="cs"/>
                <w:b/>
                <w:bCs/>
                <w:sz w:val="20"/>
                <w:szCs w:val="20"/>
                <w:lang w:bidi="ar-EG"/>
              </w:rPr>
              <w:t xml:space="preserve"> (</w:t>
            </w:r>
            <w:r w:rsidRPr="0044090C">
              <w:rPr>
                <w:rFonts w:ascii="Cambria" w:eastAsia="Calibri" w:hAnsi="Cambria" w:cs="Cambria"/>
                <w:b/>
                <w:bCs/>
                <w:sz w:val="20"/>
                <w:szCs w:val="20"/>
                <w:lang w:bidi="ar-EG"/>
              </w:rPr>
              <w:t>β</w:t>
            </w:r>
            <w:r w:rsidRPr="0044090C">
              <w:rPr>
                <w:rFonts w:ascii="Traditional Arabic" w:eastAsia="Calibri" w:hAnsi="Traditional Arabic" w:cs="Traditional Arabic" w:hint="cs"/>
                <w:b/>
                <w:bCs/>
                <w:sz w:val="20"/>
                <w:szCs w:val="20"/>
                <w:lang w:bidi="ar-EG"/>
              </w:rPr>
              <w:t>)</w:t>
            </w:r>
          </w:p>
        </w:tc>
        <w:tc>
          <w:tcPr>
            <w:tcW w:w="0" w:type="auto"/>
            <w:shd w:val="clear" w:color="auto" w:fill="E5DFEC" w:themeFill="accent4" w:themeFillTint="33"/>
            <w:vAlign w:val="center"/>
            <w:hideMark/>
          </w:tcPr>
          <w:p w14:paraId="2411B891" w14:textId="77777777" w:rsidR="00191970" w:rsidRPr="0044090C" w:rsidRDefault="00191970" w:rsidP="00191970">
            <w:pPr>
              <w:bidi/>
              <w:spacing w:after="200" w:line="360" w:lineRule="auto"/>
              <w:contextualSpacing/>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المتغير المستقل</w:t>
            </w:r>
          </w:p>
        </w:tc>
      </w:tr>
      <w:tr w:rsidR="00191970" w:rsidRPr="0044090C" w14:paraId="04D492C8" w14:textId="77777777" w:rsidTr="00A62F00">
        <w:trPr>
          <w:tblCellSpacing w:w="15" w:type="dxa"/>
        </w:trPr>
        <w:tc>
          <w:tcPr>
            <w:tcW w:w="0" w:type="auto"/>
            <w:vAlign w:val="center"/>
            <w:hideMark/>
          </w:tcPr>
          <w:p w14:paraId="46B1DDE7"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٠٫٠٠٠</w:t>
            </w:r>
          </w:p>
        </w:tc>
        <w:tc>
          <w:tcPr>
            <w:tcW w:w="0" w:type="auto"/>
            <w:vAlign w:val="center"/>
            <w:hideMark/>
          </w:tcPr>
          <w:p w14:paraId="309ABB83"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٣٣٨٫٤٥</w:t>
            </w:r>
          </w:p>
        </w:tc>
        <w:tc>
          <w:tcPr>
            <w:tcW w:w="0" w:type="auto"/>
            <w:vAlign w:val="center"/>
            <w:hideMark/>
          </w:tcPr>
          <w:p w14:paraId="3B186D34"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٠٫٤٦٦</w:t>
            </w:r>
          </w:p>
        </w:tc>
        <w:tc>
          <w:tcPr>
            <w:tcW w:w="0" w:type="auto"/>
            <w:vAlign w:val="center"/>
            <w:hideMark/>
          </w:tcPr>
          <w:p w14:paraId="33222AD9" w14:textId="77777777" w:rsidR="00191970" w:rsidRPr="0044090C" w:rsidRDefault="00191970" w:rsidP="00191970">
            <w:pPr>
              <w:bidi/>
              <w:spacing w:after="200" w:line="360" w:lineRule="auto"/>
              <w:ind w:left="720" w:hanging="720"/>
              <w:contextualSpacing/>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٠٫٦٨٣</w:t>
            </w:r>
          </w:p>
        </w:tc>
        <w:tc>
          <w:tcPr>
            <w:tcW w:w="0" w:type="auto"/>
            <w:vAlign w:val="center"/>
            <w:hideMark/>
          </w:tcPr>
          <w:p w14:paraId="40D2A132"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٠٫٠٠٠</w:t>
            </w:r>
          </w:p>
        </w:tc>
        <w:tc>
          <w:tcPr>
            <w:tcW w:w="0" w:type="auto"/>
            <w:vAlign w:val="center"/>
            <w:hideMark/>
          </w:tcPr>
          <w:p w14:paraId="6B7ED740"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١٨٫٢٣</w:t>
            </w:r>
          </w:p>
        </w:tc>
        <w:tc>
          <w:tcPr>
            <w:tcW w:w="0" w:type="auto"/>
            <w:vAlign w:val="center"/>
            <w:hideMark/>
          </w:tcPr>
          <w:p w14:paraId="7C149527"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٠٫٦٨٣</w:t>
            </w:r>
          </w:p>
        </w:tc>
        <w:tc>
          <w:tcPr>
            <w:tcW w:w="0" w:type="auto"/>
            <w:shd w:val="clear" w:color="auto" w:fill="E5DFEC" w:themeFill="accent4" w:themeFillTint="33"/>
            <w:vAlign w:val="center"/>
            <w:hideMark/>
          </w:tcPr>
          <w:p w14:paraId="3CAAF061" w14:textId="77777777" w:rsidR="00191970" w:rsidRPr="0044090C" w:rsidRDefault="00191970" w:rsidP="00191970">
            <w:pPr>
              <w:bidi/>
              <w:spacing w:after="200" w:line="360" w:lineRule="auto"/>
              <w:ind w:left="720" w:hanging="720"/>
              <w:contextualSpacing/>
              <w:jc w:val="center"/>
              <w:rPr>
                <w:rFonts w:ascii="Traditional Arabic" w:eastAsia="Calibri" w:hAnsi="Traditional Arabic" w:cs="Traditional Arabic"/>
                <w:b/>
                <w:bCs/>
                <w:sz w:val="20"/>
                <w:szCs w:val="20"/>
                <w:lang w:bidi="ar-EG"/>
              </w:rPr>
            </w:pPr>
            <w:r w:rsidRPr="0044090C">
              <w:rPr>
                <w:rFonts w:ascii="Traditional Arabic" w:eastAsia="Calibri" w:hAnsi="Traditional Arabic" w:cs="Traditional Arabic" w:hint="cs"/>
                <w:b/>
                <w:bCs/>
                <w:sz w:val="20"/>
                <w:szCs w:val="20"/>
                <w:rtl/>
              </w:rPr>
              <w:t>القيادة التحويلية</w:t>
            </w:r>
          </w:p>
        </w:tc>
      </w:tr>
    </w:tbl>
    <w:p w14:paraId="7A1674AB" w14:textId="2B43E2A6" w:rsidR="00B735BE" w:rsidRPr="00B735BE" w:rsidRDefault="00B735BE" w:rsidP="00B735BE">
      <w:pPr>
        <w:bidi/>
        <w:spacing w:after="200" w:line="360" w:lineRule="auto"/>
        <w:contextualSpacing/>
        <w:jc w:val="right"/>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113AB2A8" w14:textId="553C019B" w:rsidR="00AF1F30" w:rsidRPr="0044090C" w:rsidRDefault="00AF1F30" w:rsidP="00B735BE">
      <w:pPr>
        <w:bidi/>
        <w:spacing w:after="200" w:line="360" w:lineRule="auto"/>
        <w:contextualSpacing/>
        <w:jc w:val="both"/>
        <w:rPr>
          <w:rFonts w:ascii="Traditional Arabic" w:eastAsia="Calibri" w:hAnsi="Traditional Arabic" w:cs="Traditional Arabic"/>
          <w:sz w:val="24"/>
          <w:szCs w:val="24"/>
          <w:lang w:bidi="ar-EG"/>
        </w:rPr>
      </w:pPr>
      <w:r w:rsidRPr="0044090C">
        <w:rPr>
          <w:rFonts w:ascii="Traditional Arabic" w:eastAsia="Calibri" w:hAnsi="Traditional Arabic" w:cs="Traditional Arabic"/>
          <w:sz w:val="24"/>
          <w:szCs w:val="24"/>
          <w:rtl/>
        </w:rPr>
        <w:t xml:space="preserve">تبيّن من الجدول </w:t>
      </w:r>
      <w:r w:rsidR="00F33EC3">
        <w:rPr>
          <w:rFonts w:ascii="Traditional Arabic" w:eastAsia="Calibri" w:hAnsi="Traditional Arabic" w:cs="Traditional Arabic" w:hint="cs"/>
          <w:sz w:val="24"/>
          <w:szCs w:val="24"/>
          <w:rtl/>
        </w:rPr>
        <w:t>(17)</w:t>
      </w:r>
      <w:r w:rsidRPr="0044090C">
        <w:rPr>
          <w:rFonts w:ascii="Traditional Arabic" w:eastAsia="Calibri" w:hAnsi="Traditional Arabic" w:cs="Traditional Arabic"/>
          <w:sz w:val="24"/>
          <w:szCs w:val="24"/>
          <w:rtl/>
        </w:rPr>
        <w:t xml:space="preserve"> أن نموذج الانحدار الخطي البسيط ذو دلالة إحصائية عالية وصالح للتنبؤ؛ حيث بلغت قيمة ف المحسوبة</w:t>
      </w:r>
      <w:r w:rsidRPr="0044090C">
        <w:rPr>
          <w:rFonts w:ascii="Traditional Arabic" w:eastAsia="Calibri" w:hAnsi="Traditional Arabic" w:cs="Traditional Arabic"/>
          <w:sz w:val="24"/>
          <w:szCs w:val="24"/>
          <w:lang w:bidi="ar-EG"/>
        </w:rPr>
        <w:t xml:space="preserve"> (F = 338.45) </w:t>
      </w:r>
      <w:r w:rsidRPr="0044090C">
        <w:rPr>
          <w:rFonts w:ascii="Traditional Arabic" w:eastAsia="Calibri" w:hAnsi="Traditional Arabic" w:cs="Traditional Arabic" w:hint="cs"/>
          <w:sz w:val="24"/>
          <w:szCs w:val="24"/>
          <w:rtl/>
          <w:lang w:bidi="ar-EG"/>
        </w:rPr>
        <w:t xml:space="preserve"> </w:t>
      </w:r>
      <w:r w:rsidRPr="0044090C">
        <w:rPr>
          <w:rFonts w:ascii="Traditional Arabic" w:eastAsia="Calibri" w:hAnsi="Traditional Arabic" w:cs="Traditional Arabic"/>
          <w:sz w:val="24"/>
          <w:szCs w:val="24"/>
          <w:rtl/>
        </w:rPr>
        <w:t>وهي دالة إحصائياً عند مستوى معنوية</w:t>
      </w:r>
      <w:r w:rsidRPr="0044090C">
        <w:rPr>
          <w:rFonts w:ascii="Traditional Arabic" w:eastAsia="Calibri" w:hAnsi="Traditional Arabic" w:cs="Traditional Arabic"/>
          <w:sz w:val="24"/>
          <w:szCs w:val="24"/>
          <w:lang w:bidi="ar-EG"/>
        </w:rPr>
        <w:t xml:space="preserve"> (Sig. F = 0.000) </w:t>
      </w:r>
      <w:r w:rsidRPr="0044090C">
        <w:rPr>
          <w:rFonts w:ascii="Traditional Arabic" w:eastAsia="Calibri" w:hAnsi="Traditional Arabic" w:cs="Traditional Arabic"/>
          <w:sz w:val="24"/>
          <w:szCs w:val="24"/>
          <w:rtl/>
        </w:rPr>
        <w:t>وهو أقل من مستوى الدلالة المقبول</w:t>
      </w:r>
      <w:r w:rsidRPr="0044090C">
        <w:rPr>
          <w:rFonts w:ascii="Traditional Arabic" w:eastAsia="Calibri" w:hAnsi="Traditional Arabic" w:cs="Traditional Arabic"/>
          <w:sz w:val="24"/>
          <w:szCs w:val="24"/>
          <w:lang w:bidi="ar-EG"/>
        </w:rPr>
        <w:t xml:space="preserve"> (0.05)</w:t>
      </w:r>
      <w:r w:rsidRPr="0044090C">
        <w:rPr>
          <w:rFonts w:ascii="Traditional Arabic" w:eastAsia="Calibri" w:hAnsi="Traditional Arabic" w:cs="Traditional Arabic" w:hint="cs"/>
          <w:sz w:val="24"/>
          <w:szCs w:val="24"/>
          <w:rtl/>
          <w:lang w:bidi="ar-EG"/>
        </w:rPr>
        <w:t xml:space="preserve"> ،</w:t>
      </w:r>
      <w:r w:rsidRPr="0044090C">
        <w:rPr>
          <w:rFonts w:ascii="Traditional Arabic" w:eastAsia="Calibri" w:hAnsi="Traditional Arabic" w:cs="Traditional Arabic"/>
          <w:sz w:val="24"/>
          <w:szCs w:val="24"/>
          <w:rtl/>
        </w:rPr>
        <w:t>كما بلغت قيمة معامل التحديد</w:t>
      </w:r>
      <w:r w:rsidRPr="0044090C">
        <w:rPr>
          <w:rFonts w:ascii="Traditional Arabic" w:eastAsia="Calibri" w:hAnsi="Traditional Arabic" w:cs="Traditional Arabic"/>
          <w:sz w:val="24"/>
          <w:szCs w:val="24"/>
          <w:lang w:bidi="ar-EG"/>
        </w:rPr>
        <w:t xml:space="preserve"> (R² = 0.466)</w:t>
      </w:r>
      <w:r w:rsidRPr="0044090C">
        <w:rPr>
          <w:rFonts w:ascii="Traditional Arabic" w:eastAsia="Calibri" w:hAnsi="Traditional Arabic" w:cs="Traditional Arabic"/>
          <w:sz w:val="24"/>
          <w:szCs w:val="24"/>
          <w:rtl/>
        </w:rPr>
        <w:t>، مما يعني أن ممارسات القيادة التحويلية تفسر ما نسبته (46.6%) من التغيرات والتباين الحاصل في مستوى سلامة المرضى في المستشفيات الحكومية بالمملكة العربية السعودية، في حين تعود النسبة المتبقية لعوامل أخرى خارج نطاق هذا النموذج</w:t>
      </w:r>
      <w:r w:rsidRPr="0044090C">
        <w:rPr>
          <w:rFonts w:ascii="Traditional Arabic" w:eastAsia="Calibri" w:hAnsi="Traditional Arabic" w:cs="Traditional Arabic"/>
          <w:sz w:val="24"/>
          <w:szCs w:val="24"/>
          <w:lang w:bidi="ar-EG"/>
        </w:rPr>
        <w:t>.</w:t>
      </w:r>
      <w:r w:rsidRPr="0044090C">
        <w:rPr>
          <w:rFonts w:ascii="Traditional Arabic" w:eastAsia="Calibri" w:hAnsi="Traditional Arabic" w:cs="Traditional Arabic" w:hint="cs"/>
          <w:sz w:val="24"/>
          <w:szCs w:val="24"/>
          <w:rtl/>
          <w:lang w:bidi="ar-EG"/>
        </w:rPr>
        <w:t xml:space="preserve"> </w:t>
      </w:r>
      <w:r w:rsidRPr="0044090C">
        <w:rPr>
          <w:rFonts w:ascii="Traditional Arabic" w:eastAsia="Calibri" w:hAnsi="Traditional Arabic" w:cs="Traditional Arabic"/>
          <w:sz w:val="24"/>
          <w:szCs w:val="24"/>
          <w:rtl/>
        </w:rPr>
        <w:t>إضافة إلى ذلك، بلغت قيمة معامل الانحدار</w:t>
      </w:r>
      <w:r w:rsidRPr="0044090C">
        <w:rPr>
          <w:rFonts w:ascii="Traditional Arabic" w:eastAsia="Calibri" w:hAnsi="Traditional Arabic" w:cs="Traditional Arabic"/>
          <w:sz w:val="24"/>
          <w:szCs w:val="24"/>
          <w:lang w:bidi="ar-EG"/>
        </w:rPr>
        <w:t xml:space="preserve"> (</w:t>
      </w:r>
      <w:r w:rsidRPr="0044090C">
        <w:rPr>
          <w:rFonts w:ascii="Cambria" w:eastAsia="Calibri" w:hAnsi="Cambria" w:cs="Cambria"/>
          <w:sz w:val="24"/>
          <w:szCs w:val="24"/>
          <w:lang w:bidi="ar-EG"/>
        </w:rPr>
        <w:t>β</w:t>
      </w:r>
      <w:r w:rsidRPr="0044090C">
        <w:rPr>
          <w:rFonts w:ascii="Traditional Arabic" w:eastAsia="Calibri" w:hAnsi="Traditional Arabic" w:cs="Traditional Arabic"/>
          <w:sz w:val="24"/>
          <w:szCs w:val="24"/>
          <w:lang w:bidi="ar-EG"/>
        </w:rPr>
        <w:t xml:space="preserve"> = 0.683) </w:t>
      </w:r>
      <w:r w:rsidRPr="0044090C">
        <w:rPr>
          <w:rFonts w:ascii="Traditional Arabic" w:eastAsia="Calibri" w:hAnsi="Traditional Arabic" w:cs="Traditional Arabic"/>
          <w:sz w:val="24"/>
          <w:szCs w:val="24"/>
          <w:rtl/>
        </w:rPr>
        <w:t>بمستوى دلالة إحصائية</w:t>
      </w:r>
      <w:r w:rsidRPr="0044090C">
        <w:rPr>
          <w:rFonts w:ascii="Traditional Arabic" w:eastAsia="Calibri" w:hAnsi="Traditional Arabic" w:cs="Traditional Arabic"/>
          <w:sz w:val="24"/>
          <w:szCs w:val="24"/>
          <w:lang w:bidi="ar-EG"/>
        </w:rPr>
        <w:t xml:space="preserve"> (Sig. = 0.000) </w:t>
      </w:r>
      <w:r w:rsidRPr="0044090C">
        <w:rPr>
          <w:rFonts w:ascii="Traditional Arabic" w:eastAsia="Calibri" w:hAnsi="Traditional Arabic" w:cs="Traditional Arabic"/>
          <w:sz w:val="24"/>
          <w:szCs w:val="24"/>
          <w:rtl/>
        </w:rPr>
        <w:t>وقيمة ت المحسوبة</w:t>
      </w:r>
      <w:r w:rsidRPr="0044090C">
        <w:rPr>
          <w:rFonts w:ascii="Traditional Arabic" w:eastAsia="Calibri" w:hAnsi="Traditional Arabic" w:cs="Traditional Arabic"/>
          <w:sz w:val="24"/>
          <w:szCs w:val="24"/>
          <w:lang w:bidi="ar-EG"/>
        </w:rPr>
        <w:t xml:space="preserve"> (t = 18.23)</w:t>
      </w:r>
      <w:r w:rsidRPr="0044090C">
        <w:rPr>
          <w:rFonts w:ascii="Traditional Arabic" w:eastAsia="Calibri" w:hAnsi="Traditional Arabic" w:cs="Traditional Arabic"/>
          <w:sz w:val="24"/>
          <w:szCs w:val="24"/>
          <w:rtl/>
        </w:rPr>
        <w:t>، وهو ما يشير إلى وجود تأثير طردي (إيجابي) ذو دلالة إحصائية؛ حيث إن زيادة ممارسات القيادة التحويلية بمقدار وحدة واحدة تؤدي إلى تحسن في سلامة المرضى بمقدار</w:t>
      </w:r>
      <w:r w:rsidRPr="0044090C">
        <w:rPr>
          <w:rFonts w:ascii="Traditional Arabic" w:eastAsia="Calibri" w:hAnsi="Traditional Arabic" w:cs="Traditional Arabic"/>
          <w:sz w:val="24"/>
          <w:szCs w:val="24"/>
          <w:lang w:bidi="ar-EG"/>
        </w:rPr>
        <w:t xml:space="preserve"> (0.683)</w:t>
      </w:r>
      <w:r w:rsidRPr="0044090C">
        <w:rPr>
          <w:rFonts w:ascii="Traditional Arabic" w:eastAsia="Calibri" w:hAnsi="Traditional Arabic" w:cs="Traditional Arabic" w:hint="cs"/>
          <w:sz w:val="24"/>
          <w:szCs w:val="24"/>
          <w:rtl/>
          <w:lang w:bidi="ar-EG"/>
        </w:rPr>
        <w:t xml:space="preserve"> </w:t>
      </w:r>
      <w:r w:rsidRPr="0044090C">
        <w:rPr>
          <w:rFonts w:ascii="Traditional Arabic" w:eastAsia="Calibri" w:hAnsi="Traditional Arabic" w:cs="Traditional Arabic"/>
          <w:sz w:val="24"/>
          <w:szCs w:val="24"/>
          <w:lang w:bidi="ar-EG"/>
        </w:rPr>
        <w:t>.</w:t>
      </w:r>
      <w:r w:rsidRPr="0044090C">
        <w:rPr>
          <w:rFonts w:ascii="Traditional Arabic" w:eastAsia="Calibri" w:hAnsi="Traditional Arabic" w:cs="Traditional Arabic"/>
          <w:sz w:val="24"/>
          <w:szCs w:val="24"/>
          <w:rtl/>
        </w:rPr>
        <w:t>وبناءً على هذه المؤشرات الإحصائية، تُقبل الفرضية الرئيسية الثالثة بالكامل</w:t>
      </w:r>
      <w:r w:rsidRPr="0044090C">
        <w:rPr>
          <w:rFonts w:ascii="Traditional Arabic" w:eastAsia="Calibri" w:hAnsi="Traditional Arabic" w:cs="Traditional Arabic"/>
          <w:sz w:val="24"/>
          <w:szCs w:val="24"/>
          <w:lang w:bidi="ar-EG"/>
        </w:rPr>
        <w:t>.</w:t>
      </w:r>
    </w:p>
    <w:p w14:paraId="18155BB3" w14:textId="77777777" w:rsidR="00686687" w:rsidRPr="00616897" w:rsidRDefault="00686687" w:rsidP="00686687">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b/>
          <w:bCs/>
          <w:sz w:val="24"/>
          <w:szCs w:val="24"/>
          <w:highlight w:val="yellow"/>
          <w:rtl/>
          <w:lang w:bidi="ar-EG"/>
        </w:rPr>
        <w:t>الفرض الرئيسي الرابع (فرض الدور الوسيط / التأثير غير المباشر):"</w:t>
      </w:r>
      <w:r w:rsidRPr="00616897">
        <w:rPr>
          <w:rFonts w:ascii="Traditional Arabic" w:eastAsia="Calibri" w:hAnsi="Traditional Arabic" w:cs="Traditional Arabic"/>
          <w:sz w:val="24"/>
          <w:szCs w:val="24"/>
          <w:highlight w:val="yellow"/>
          <w:rtl/>
          <w:lang w:bidi="ar-EG"/>
        </w:rPr>
        <w:t>يوجد تأثير ذو دلالة إحصائية للقيادة التحويلية عند توسطها العلاقة بين ممارسات إدارة المخاطر وسلامة المرضى في المستشفيات الحكومية بالمملكة العربية السعودية</w:t>
      </w:r>
      <w:r w:rsidRPr="00616897">
        <w:rPr>
          <w:rFonts w:ascii="Traditional Arabic" w:eastAsia="Calibri" w:hAnsi="Traditional Arabic" w:cs="Traditional Arabic" w:hint="cs"/>
          <w:sz w:val="24"/>
          <w:szCs w:val="24"/>
          <w:highlight w:val="yellow"/>
          <w:rtl/>
          <w:lang w:bidi="ar-EG"/>
        </w:rPr>
        <w:t>.</w:t>
      </w:r>
    </w:p>
    <w:p w14:paraId="6F8BA768" w14:textId="3EF3BD89" w:rsidR="0025705F" w:rsidRPr="00616897" w:rsidRDefault="0025705F" w:rsidP="0025705F">
      <w:pPr>
        <w:bidi/>
        <w:spacing w:after="200" w:line="360" w:lineRule="auto"/>
        <w:ind w:left="720" w:hanging="720"/>
        <w:contextualSpacing/>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وينقسم هذا الفرض إلى الفروض الفرعية التالية :</w:t>
      </w:r>
    </w:p>
    <w:p w14:paraId="4CC3DDA8" w14:textId="1670A52A" w:rsidR="0025705F" w:rsidRPr="00616897" w:rsidRDefault="0025705F" w:rsidP="0025705F">
      <w:pPr>
        <w:pStyle w:val="ListParagraph"/>
        <w:numPr>
          <w:ilvl w:val="1"/>
          <w:numId w:val="23"/>
        </w:numPr>
        <w:bidi/>
        <w:spacing w:after="200" w:line="360" w:lineRule="auto"/>
        <w:jc w:val="both"/>
        <w:rPr>
          <w:rFonts w:ascii="Traditional Arabic" w:eastAsia="Calibri" w:hAnsi="Traditional Arabic" w:cs="Traditional Arabic"/>
          <w:sz w:val="24"/>
          <w:szCs w:val="24"/>
          <w:highlight w:val="yellow"/>
          <w:lang w:bidi="ar-EG"/>
        </w:rPr>
      </w:pPr>
      <w:r w:rsidRPr="00616897">
        <w:rPr>
          <w:rFonts w:ascii="Traditional Arabic" w:eastAsia="Calibri" w:hAnsi="Traditional Arabic" w:cs="Traditional Arabic" w:hint="cs"/>
          <w:sz w:val="24"/>
          <w:szCs w:val="24"/>
          <w:highlight w:val="yellow"/>
          <w:rtl/>
          <w:lang w:bidi="ar-EG"/>
        </w:rPr>
        <w:t>تتوسط القيادة التحويلية العلاقة بين تحديد المخاطر و</w:t>
      </w:r>
      <w:r w:rsidR="00FE3A82" w:rsidRPr="00616897">
        <w:rPr>
          <w:rFonts w:ascii="Traditional Arabic" w:eastAsia="Calibri" w:hAnsi="Traditional Arabic" w:cs="Traditional Arabic" w:hint="cs"/>
          <w:sz w:val="24"/>
          <w:szCs w:val="24"/>
          <w:highlight w:val="yellow"/>
          <w:rtl/>
          <w:lang w:bidi="ar-EG"/>
        </w:rPr>
        <w:t xml:space="preserve">أبعاد </w:t>
      </w:r>
      <w:r w:rsidRPr="00616897">
        <w:rPr>
          <w:rFonts w:ascii="Traditional Arabic" w:eastAsia="Calibri" w:hAnsi="Traditional Arabic" w:cs="Traditional Arabic" w:hint="cs"/>
          <w:sz w:val="24"/>
          <w:szCs w:val="24"/>
          <w:highlight w:val="yellow"/>
          <w:rtl/>
          <w:lang w:bidi="ar-EG"/>
        </w:rPr>
        <w:t>سلامة المرضى بالمستفيات الحكومية بالمملكة العربية السعودية.</w:t>
      </w:r>
    </w:p>
    <w:p w14:paraId="6175217F" w14:textId="081C572F" w:rsidR="0025705F" w:rsidRPr="00616897" w:rsidRDefault="0025705F" w:rsidP="0025705F">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sz w:val="24"/>
          <w:szCs w:val="24"/>
          <w:highlight w:val="yellow"/>
          <w:rtl/>
          <w:lang w:bidi="ar-EG"/>
        </w:rPr>
        <w:lastRenderedPageBreak/>
        <w:t>وللتحقق من هذا الفرض، استخدمت الباحثة أسلوب نمذجة المعادلات الهيكلية (</w:t>
      </w:r>
      <w:r w:rsidRPr="00616897">
        <w:rPr>
          <w:rFonts w:ascii="Traditional Arabic" w:eastAsia="Calibri" w:hAnsi="Traditional Arabic" w:cs="Traditional Arabic"/>
          <w:sz w:val="24"/>
          <w:szCs w:val="24"/>
          <w:highlight w:val="yellow"/>
          <w:lang w:bidi="ar-EG"/>
        </w:rPr>
        <w:t>SEM</w:t>
      </w:r>
      <w:r w:rsidRPr="00616897">
        <w:rPr>
          <w:rFonts w:ascii="Traditional Arabic" w:eastAsia="Calibri" w:hAnsi="Traditional Arabic" w:cs="Traditional Arabic"/>
          <w:sz w:val="24"/>
          <w:szCs w:val="24"/>
          <w:highlight w:val="yellow"/>
          <w:rtl/>
          <w:lang w:bidi="ar-EG"/>
        </w:rPr>
        <w:t>) بطريقة المربعات الصغرى الجزئية (</w:t>
      </w:r>
      <w:r w:rsidRPr="00616897">
        <w:rPr>
          <w:rFonts w:ascii="Traditional Arabic" w:eastAsia="Calibri" w:hAnsi="Traditional Arabic" w:cs="Traditional Arabic"/>
          <w:sz w:val="24"/>
          <w:szCs w:val="24"/>
          <w:highlight w:val="yellow"/>
          <w:lang w:bidi="ar-EG"/>
        </w:rPr>
        <w:t>PLS-SEM</w:t>
      </w:r>
      <w:r w:rsidRPr="00616897">
        <w:rPr>
          <w:rFonts w:ascii="Traditional Arabic" w:eastAsia="Calibri" w:hAnsi="Traditional Arabic" w:cs="Traditional Arabic"/>
          <w:sz w:val="24"/>
          <w:szCs w:val="24"/>
          <w:highlight w:val="yellow"/>
          <w:rtl/>
          <w:lang w:bidi="ar-EG"/>
        </w:rPr>
        <w:t>) لتحليل العلاقات المباشرة وغير المباشرة واختبار دلالة المسارات داخل النموذج."</w:t>
      </w:r>
    </w:p>
    <w:p w14:paraId="1547AD84" w14:textId="1359D248" w:rsidR="0025705F" w:rsidRPr="00616897" w:rsidRDefault="000C62A6" w:rsidP="0025705F">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جدول (18) نتائج إختبار الفرض 1/ 4 للدراسة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675"/>
        <w:gridCol w:w="1649"/>
        <w:gridCol w:w="1649"/>
        <w:gridCol w:w="1649"/>
        <w:gridCol w:w="1668"/>
      </w:tblGrid>
      <w:tr w:rsidR="000C62A6" w:rsidRPr="00616897" w14:paraId="0C481242" w14:textId="77777777" w:rsidTr="00B735BE">
        <w:trPr>
          <w:tblCellSpacing w:w="20" w:type="dxa"/>
        </w:trPr>
        <w:tc>
          <w:tcPr>
            <w:tcW w:w="1615" w:type="dxa"/>
            <w:shd w:val="clear" w:color="auto" w:fill="E5DFEC" w:themeFill="accent4" w:themeFillTint="33"/>
          </w:tcPr>
          <w:p w14:paraId="00DAE3C3" w14:textId="30715236" w:rsidR="000C62A6" w:rsidRPr="00616897" w:rsidRDefault="000C62A6" w:rsidP="000C62A6">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العلاقة</w:t>
            </w:r>
          </w:p>
        </w:tc>
        <w:tc>
          <w:tcPr>
            <w:tcW w:w="1609" w:type="dxa"/>
            <w:shd w:val="clear" w:color="auto" w:fill="E5DFEC" w:themeFill="accent4" w:themeFillTint="33"/>
          </w:tcPr>
          <w:p w14:paraId="68604EA2" w14:textId="1DF76045" w:rsidR="000C62A6" w:rsidRPr="00616897" w:rsidRDefault="000C62A6" w:rsidP="000C62A6">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المباشر</w:t>
            </w:r>
          </w:p>
        </w:tc>
        <w:tc>
          <w:tcPr>
            <w:tcW w:w="1609" w:type="dxa"/>
            <w:shd w:val="clear" w:color="auto" w:fill="E5DFEC" w:themeFill="accent4" w:themeFillTint="33"/>
          </w:tcPr>
          <w:p w14:paraId="51B58FCB" w14:textId="30FCE421" w:rsidR="000C62A6" w:rsidRPr="00616897" w:rsidRDefault="000C62A6" w:rsidP="000C62A6">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غير المباشر</w:t>
            </w:r>
          </w:p>
        </w:tc>
        <w:tc>
          <w:tcPr>
            <w:tcW w:w="1609" w:type="dxa"/>
            <w:shd w:val="clear" w:color="auto" w:fill="E5DFEC" w:themeFill="accent4" w:themeFillTint="33"/>
          </w:tcPr>
          <w:p w14:paraId="3D5A361D" w14:textId="770610C4" w:rsidR="000C62A6" w:rsidRPr="00616897" w:rsidRDefault="000C62A6" w:rsidP="000C62A6">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الكلي</w:t>
            </w:r>
          </w:p>
        </w:tc>
        <w:tc>
          <w:tcPr>
            <w:tcW w:w="1608" w:type="dxa"/>
            <w:shd w:val="clear" w:color="auto" w:fill="E5DFEC" w:themeFill="accent4" w:themeFillTint="33"/>
          </w:tcPr>
          <w:p w14:paraId="48DAC86E" w14:textId="440AB6DD" w:rsidR="000C62A6" w:rsidRPr="00616897" w:rsidRDefault="000C62A6" w:rsidP="000C62A6">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النتيجة</w:t>
            </w:r>
          </w:p>
        </w:tc>
      </w:tr>
      <w:tr w:rsidR="000C62A6" w:rsidRPr="00616897" w14:paraId="55B34B6E" w14:textId="77777777" w:rsidTr="00B735BE">
        <w:trPr>
          <w:tblCellSpacing w:w="20" w:type="dxa"/>
        </w:trPr>
        <w:tc>
          <w:tcPr>
            <w:tcW w:w="1615" w:type="dxa"/>
            <w:shd w:val="clear" w:color="auto" w:fill="E5DFEC" w:themeFill="accent4" w:themeFillTint="33"/>
          </w:tcPr>
          <w:p w14:paraId="43F12FD7" w14:textId="4EBDC666" w:rsidR="000C62A6" w:rsidRPr="00616897" w:rsidRDefault="000C62A6" w:rsidP="001C3D72">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تحديد المخاطر</w:t>
            </w:r>
            <w:r w:rsidRPr="00616897">
              <w:rPr>
                <w:rFonts w:ascii="Yu Gothic UI Semilight" w:eastAsia="Yu Gothic UI Semilight" w:hAnsi="Yu Gothic UI Semilight" w:cs="Traditional Arabic" w:hint="eastAsia"/>
                <w:b/>
                <w:bCs/>
                <w:sz w:val="24"/>
                <w:szCs w:val="24"/>
                <w:highlight w:val="yellow"/>
                <w:rtl/>
                <w:lang w:bidi="ar-EG"/>
              </w:rPr>
              <w:t xml:space="preserve"> </w:t>
            </w:r>
            <w:r w:rsidR="001C3D72" w:rsidRPr="00616897">
              <w:rPr>
                <w:rFonts w:ascii="Yu Gothic UI Semilight" w:eastAsia="Yu Gothic UI Semilight" w:hAnsi="Yu Gothic UI Semilight" w:cs="Traditional Arabic" w:hint="cs"/>
                <w:b/>
                <w:bCs/>
                <w:sz w:val="24"/>
                <w:szCs w:val="24"/>
                <w:highlight w:val="yellow"/>
                <w:rtl/>
                <w:lang w:bidi="ar-EG"/>
              </w:rPr>
              <w:t>_ القيادة التحيلية- تقليل الأخطاء الطبية</w:t>
            </w:r>
          </w:p>
        </w:tc>
        <w:tc>
          <w:tcPr>
            <w:tcW w:w="1609" w:type="dxa"/>
          </w:tcPr>
          <w:p w14:paraId="16C517FC" w14:textId="5A3A8E96" w:rsidR="000C62A6" w:rsidRPr="00616897" w:rsidRDefault="001C3D72"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0.633</w:t>
            </w:r>
          </w:p>
        </w:tc>
        <w:tc>
          <w:tcPr>
            <w:tcW w:w="1609" w:type="dxa"/>
          </w:tcPr>
          <w:p w14:paraId="2235DFF6" w14:textId="60A39575"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0.010</w:t>
            </w:r>
          </w:p>
        </w:tc>
        <w:tc>
          <w:tcPr>
            <w:tcW w:w="1609" w:type="dxa"/>
          </w:tcPr>
          <w:p w14:paraId="07DDA9CD" w14:textId="759F8E9E"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0.643</w:t>
            </w:r>
          </w:p>
        </w:tc>
        <w:tc>
          <w:tcPr>
            <w:tcW w:w="1608" w:type="dxa"/>
          </w:tcPr>
          <w:p w14:paraId="5DC7D13F" w14:textId="4636CF2D"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0C62A6" w:rsidRPr="00616897" w14:paraId="33D46BEC" w14:textId="77777777" w:rsidTr="00B735BE">
        <w:trPr>
          <w:tblCellSpacing w:w="20" w:type="dxa"/>
        </w:trPr>
        <w:tc>
          <w:tcPr>
            <w:tcW w:w="1615" w:type="dxa"/>
            <w:shd w:val="clear" w:color="auto" w:fill="E5DFEC" w:themeFill="accent4" w:themeFillTint="33"/>
          </w:tcPr>
          <w:p w14:paraId="5A61AA3A" w14:textId="68AE4976" w:rsidR="000C62A6" w:rsidRPr="00616897" w:rsidRDefault="000C62A6" w:rsidP="001C3D72">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تحديد المخاطر</w:t>
            </w:r>
            <w:r w:rsidR="001C3D72" w:rsidRPr="00616897">
              <w:rPr>
                <w:rFonts w:ascii="Traditional Arabic" w:eastAsia="Calibri" w:hAnsi="Traditional Arabic" w:cs="Traditional Arabic" w:hint="cs"/>
                <w:b/>
                <w:bCs/>
                <w:sz w:val="24"/>
                <w:szCs w:val="24"/>
                <w:highlight w:val="yellow"/>
                <w:rtl/>
                <w:lang w:bidi="ar-EG"/>
              </w:rPr>
              <w:t xml:space="preserve">- القيادة التحويلية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فعالية أنظمة الإبلاغ</w:t>
            </w:r>
          </w:p>
        </w:tc>
        <w:tc>
          <w:tcPr>
            <w:tcW w:w="1609" w:type="dxa"/>
          </w:tcPr>
          <w:p w14:paraId="6FCC6928" w14:textId="78F036CA" w:rsidR="000C62A6" w:rsidRPr="00616897" w:rsidRDefault="001C3D72"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0.856</w:t>
            </w:r>
          </w:p>
        </w:tc>
        <w:tc>
          <w:tcPr>
            <w:tcW w:w="1609" w:type="dxa"/>
          </w:tcPr>
          <w:p w14:paraId="0FEB0790" w14:textId="42F157F0"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0.010</w:t>
            </w:r>
          </w:p>
        </w:tc>
        <w:tc>
          <w:tcPr>
            <w:tcW w:w="1609" w:type="dxa"/>
          </w:tcPr>
          <w:p w14:paraId="468DE5AC" w14:textId="0A1761D9"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0.866</w:t>
            </w:r>
          </w:p>
        </w:tc>
        <w:tc>
          <w:tcPr>
            <w:tcW w:w="1608" w:type="dxa"/>
          </w:tcPr>
          <w:p w14:paraId="4CB0C077" w14:textId="7F09067F"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0C62A6" w:rsidRPr="00616897" w14:paraId="2255B4C3" w14:textId="77777777" w:rsidTr="00B735BE">
        <w:trPr>
          <w:tblCellSpacing w:w="20" w:type="dxa"/>
        </w:trPr>
        <w:tc>
          <w:tcPr>
            <w:tcW w:w="1615" w:type="dxa"/>
            <w:shd w:val="clear" w:color="auto" w:fill="E5DFEC" w:themeFill="accent4" w:themeFillTint="33"/>
          </w:tcPr>
          <w:p w14:paraId="773D1CA4" w14:textId="6D321168" w:rsidR="000C62A6" w:rsidRPr="00616897" w:rsidRDefault="000C62A6" w:rsidP="001C3D72">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تحديد المخاطر</w:t>
            </w:r>
            <w:r w:rsidR="001C3D72" w:rsidRPr="00616897">
              <w:rPr>
                <w:rFonts w:ascii="Traditional Arabic" w:eastAsia="Calibri" w:hAnsi="Traditional Arabic" w:cs="Traditional Arabic" w:hint="cs"/>
                <w:b/>
                <w:bCs/>
                <w:sz w:val="24"/>
                <w:szCs w:val="24"/>
                <w:highlight w:val="yellow"/>
                <w:rtl/>
                <w:lang w:bidi="ar-EG"/>
              </w:rPr>
              <w:t xml:space="preserve">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القيادة التحويلية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إشراك المرضى</w:t>
            </w:r>
          </w:p>
        </w:tc>
        <w:tc>
          <w:tcPr>
            <w:tcW w:w="1609" w:type="dxa"/>
          </w:tcPr>
          <w:p w14:paraId="7E80AC98" w14:textId="2EDE71E9" w:rsidR="000C62A6" w:rsidRPr="00616897" w:rsidRDefault="001C3D72"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0.579</w:t>
            </w:r>
          </w:p>
        </w:tc>
        <w:tc>
          <w:tcPr>
            <w:tcW w:w="1609" w:type="dxa"/>
          </w:tcPr>
          <w:p w14:paraId="296A4E83" w14:textId="0CD70BE0"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0.001</w:t>
            </w:r>
          </w:p>
        </w:tc>
        <w:tc>
          <w:tcPr>
            <w:tcW w:w="1609" w:type="dxa"/>
          </w:tcPr>
          <w:p w14:paraId="6E52C4D7" w14:textId="181729BB"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0.580</w:t>
            </w:r>
          </w:p>
        </w:tc>
        <w:tc>
          <w:tcPr>
            <w:tcW w:w="1608" w:type="dxa"/>
          </w:tcPr>
          <w:p w14:paraId="7856505B" w14:textId="6A99323E"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0C62A6" w:rsidRPr="00616897" w14:paraId="13AC3FDD" w14:textId="77777777" w:rsidTr="00B735BE">
        <w:trPr>
          <w:tblCellSpacing w:w="20" w:type="dxa"/>
        </w:trPr>
        <w:tc>
          <w:tcPr>
            <w:tcW w:w="1615" w:type="dxa"/>
            <w:shd w:val="clear" w:color="auto" w:fill="E5DFEC" w:themeFill="accent4" w:themeFillTint="33"/>
          </w:tcPr>
          <w:p w14:paraId="4D046080" w14:textId="5ADE17C3" w:rsidR="000C62A6" w:rsidRPr="00616897" w:rsidRDefault="000C62A6" w:rsidP="000C62A6">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تحديد المخاطر</w:t>
            </w:r>
            <w:r w:rsidR="001C3D72" w:rsidRPr="00616897">
              <w:rPr>
                <w:rFonts w:ascii="Traditional Arabic" w:eastAsia="Calibri" w:hAnsi="Traditional Arabic" w:cs="Traditional Arabic" w:hint="cs"/>
                <w:b/>
                <w:bCs/>
                <w:sz w:val="24"/>
                <w:szCs w:val="24"/>
                <w:highlight w:val="yellow"/>
                <w:rtl/>
                <w:lang w:bidi="ar-EG"/>
              </w:rPr>
              <w:t xml:space="preserve">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القيادة التحويلية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بيئة العمل الآمنة </w:t>
            </w:r>
          </w:p>
        </w:tc>
        <w:tc>
          <w:tcPr>
            <w:tcW w:w="1609" w:type="dxa"/>
          </w:tcPr>
          <w:p w14:paraId="3BF6E92A" w14:textId="6F4A7A3C" w:rsidR="000C62A6" w:rsidRPr="00616897" w:rsidRDefault="001C3D72"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0.885</w:t>
            </w:r>
          </w:p>
        </w:tc>
        <w:tc>
          <w:tcPr>
            <w:tcW w:w="1609" w:type="dxa"/>
          </w:tcPr>
          <w:p w14:paraId="0A5BC1DC" w14:textId="6BDEFBFE"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0.020</w:t>
            </w:r>
          </w:p>
        </w:tc>
        <w:tc>
          <w:tcPr>
            <w:tcW w:w="1609" w:type="dxa"/>
          </w:tcPr>
          <w:p w14:paraId="7D28C0FA" w14:textId="5F43227A"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0.905</w:t>
            </w:r>
          </w:p>
        </w:tc>
        <w:tc>
          <w:tcPr>
            <w:tcW w:w="1608" w:type="dxa"/>
          </w:tcPr>
          <w:p w14:paraId="1F802F88" w14:textId="03676D88"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غير معنوي</w:t>
            </w:r>
          </w:p>
        </w:tc>
      </w:tr>
      <w:tr w:rsidR="000C62A6" w:rsidRPr="00616897" w14:paraId="165594CC" w14:textId="77777777" w:rsidTr="00B735BE">
        <w:trPr>
          <w:tblCellSpacing w:w="20" w:type="dxa"/>
        </w:trPr>
        <w:tc>
          <w:tcPr>
            <w:tcW w:w="1615" w:type="dxa"/>
            <w:shd w:val="clear" w:color="auto" w:fill="E5DFEC" w:themeFill="accent4" w:themeFillTint="33"/>
          </w:tcPr>
          <w:p w14:paraId="118538E0" w14:textId="0FC6D15B" w:rsidR="000C62A6" w:rsidRPr="00616897" w:rsidRDefault="000C62A6" w:rsidP="001C3D72">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تحديد المخاطر</w:t>
            </w:r>
            <w:r w:rsidR="001C3D72" w:rsidRPr="00616897">
              <w:rPr>
                <w:rFonts w:ascii="Traditional Arabic" w:eastAsia="Calibri" w:hAnsi="Traditional Arabic" w:cs="Traditional Arabic" w:hint="cs"/>
                <w:b/>
                <w:bCs/>
                <w:sz w:val="24"/>
                <w:szCs w:val="24"/>
                <w:highlight w:val="yellow"/>
                <w:rtl/>
                <w:lang w:bidi="ar-EG"/>
              </w:rPr>
              <w:t xml:space="preserve">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القيادة التحويلية </w:t>
            </w:r>
            <w:r w:rsidR="001C3D72" w:rsidRPr="00616897">
              <w:rPr>
                <w:rFonts w:ascii="Traditional Arabic" w:eastAsia="Calibri" w:hAnsi="Traditional Arabic" w:cs="Traditional Arabic"/>
                <w:b/>
                <w:bCs/>
                <w:sz w:val="24"/>
                <w:szCs w:val="24"/>
                <w:highlight w:val="yellow"/>
                <w:rtl/>
                <w:lang w:bidi="ar-EG"/>
              </w:rPr>
              <w:t>–</w:t>
            </w:r>
            <w:r w:rsidR="001C3D72" w:rsidRPr="00616897">
              <w:rPr>
                <w:rFonts w:ascii="Traditional Arabic" w:eastAsia="Calibri" w:hAnsi="Traditional Arabic" w:cs="Traditional Arabic" w:hint="cs"/>
                <w:b/>
                <w:bCs/>
                <w:sz w:val="24"/>
                <w:szCs w:val="24"/>
                <w:highlight w:val="yellow"/>
                <w:rtl/>
                <w:lang w:bidi="ar-EG"/>
              </w:rPr>
              <w:t xml:space="preserve"> جودة الرعاية</w:t>
            </w:r>
          </w:p>
        </w:tc>
        <w:tc>
          <w:tcPr>
            <w:tcW w:w="1609" w:type="dxa"/>
          </w:tcPr>
          <w:p w14:paraId="3EE39E80" w14:textId="08705196" w:rsidR="000C62A6" w:rsidRPr="00616897" w:rsidRDefault="001C3D72"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0.71</w:t>
            </w:r>
            <w:r w:rsidR="00F46ACD" w:rsidRPr="00616897">
              <w:rPr>
                <w:rFonts w:ascii="Traditional Arabic" w:eastAsia="Calibri" w:hAnsi="Traditional Arabic" w:cs="Traditional Arabic" w:hint="cs"/>
                <w:sz w:val="24"/>
                <w:szCs w:val="24"/>
                <w:highlight w:val="yellow"/>
                <w:rtl/>
                <w:lang w:bidi="ar-EG"/>
              </w:rPr>
              <w:t>2</w:t>
            </w:r>
          </w:p>
        </w:tc>
        <w:tc>
          <w:tcPr>
            <w:tcW w:w="1609" w:type="dxa"/>
          </w:tcPr>
          <w:p w14:paraId="3D446606" w14:textId="20C96307"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0.011</w:t>
            </w:r>
          </w:p>
        </w:tc>
        <w:tc>
          <w:tcPr>
            <w:tcW w:w="1609" w:type="dxa"/>
          </w:tcPr>
          <w:p w14:paraId="040ABFA3" w14:textId="64CDB20B"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0.723</w:t>
            </w:r>
          </w:p>
        </w:tc>
        <w:tc>
          <w:tcPr>
            <w:tcW w:w="1608" w:type="dxa"/>
          </w:tcPr>
          <w:p w14:paraId="2B668052" w14:textId="6817678B" w:rsidR="000C62A6" w:rsidRPr="00616897" w:rsidRDefault="00F46ACD" w:rsidP="000C62A6">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bl>
    <w:p w14:paraId="20245402" w14:textId="51481434" w:rsidR="000C62A6" w:rsidRPr="00616897" w:rsidRDefault="00B735BE" w:rsidP="00B735BE">
      <w:pPr>
        <w:bidi/>
        <w:spacing w:after="200" w:line="360" w:lineRule="auto"/>
        <w:contextualSpacing/>
        <w:jc w:val="right"/>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b/>
          <w:bCs/>
          <w:sz w:val="24"/>
          <w:szCs w:val="24"/>
          <w:highlight w:val="yellow"/>
          <w:rtl/>
        </w:rPr>
        <w:t>المصدر</w:t>
      </w:r>
      <w:r w:rsidRPr="00616897">
        <w:rPr>
          <w:rFonts w:ascii="Traditional Arabic" w:eastAsia="Calibri" w:hAnsi="Traditional Arabic" w:cs="Traditional Arabic"/>
          <w:b/>
          <w:bCs/>
          <w:sz w:val="24"/>
          <w:szCs w:val="24"/>
          <w:highlight w:val="yellow"/>
          <w:lang w:bidi="ar-EG"/>
        </w:rPr>
        <w:t>:</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إعداد الباحثة اعتماداً على مخرجات التحليل الإحصائي</w:t>
      </w:r>
      <w:r w:rsidRPr="00616897">
        <w:rPr>
          <w:rFonts w:ascii="Traditional Arabic" w:eastAsia="Calibri" w:hAnsi="Traditional Arabic" w:cs="Traditional Arabic"/>
          <w:sz w:val="24"/>
          <w:szCs w:val="24"/>
          <w:highlight w:val="yellow"/>
          <w:lang w:bidi="ar-EG"/>
        </w:rPr>
        <w:t xml:space="preserve"> (SPSS).</w:t>
      </w:r>
    </w:p>
    <w:p w14:paraId="248D41AA" w14:textId="74D67E08" w:rsidR="00F46ACD" w:rsidRPr="00616897" w:rsidRDefault="00F46ACD" w:rsidP="00F46ACD">
      <w:pPr>
        <w:bidi/>
        <w:spacing w:after="200" w:line="360" w:lineRule="auto"/>
        <w:contextualSpacing/>
        <w:jc w:val="both"/>
        <w:rPr>
          <w:rFonts w:ascii="Traditional Arabic" w:eastAsia="Calibri" w:hAnsi="Traditional Arabic" w:cs="Traditional Arabic"/>
          <w:sz w:val="24"/>
          <w:szCs w:val="24"/>
          <w:highlight w:val="yellow"/>
        </w:rPr>
      </w:pPr>
      <w:r w:rsidRPr="00616897">
        <w:rPr>
          <w:rFonts w:ascii="Traditional Arabic" w:eastAsia="Calibri" w:hAnsi="Traditional Arabic" w:cs="Traditional Arabic"/>
          <w:sz w:val="24"/>
          <w:szCs w:val="24"/>
          <w:highlight w:val="yellow"/>
          <w:rtl/>
        </w:rPr>
        <w:lastRenderedPageBreak/>
        <w:t>أظهرت نتائج التحليل باستخدام أسلوب نمذجة المعادلات الهيكلية بالمربعات الصغرى الجزئية</w:t>
      </w:r>
      <w:r w:rsidRPr="00616897">
        <w:rPr>
          <w:rFonts w:ascii="Traditional Arabic" w:eastAsia="Calibri" w:hAnsi="Traditional Arabic" w:cs="Traditional Arabic"/>
          <w:sz w:val="24"/>
          <w:szCs w:val="24"/>
          <w:highlight w:val="yellow"/>
        </w:rPr>
        <w:t xml:space="preserve"> (PLS-SEM) </w:t>
      </w:r>
      <w:r w:rsidRPr="00616897">
        <w:rPr>
          <w:rFonts w:ascii="Traditional Arabic" w:eastAsia="Calibri" w:hAnsi="Traditional Arabic" w:cs="Traditional Arabic"/>
          <w:sz w:val="24"/>
          <w:szCs w:val="24"/>
          <w:highlight w:val="yellow"/>
          <w:rtl/>
        </w:rPr>
        <w:t xml:space="preserve">قبول الفرضية </w:t>
      </w:r>
      <w:r w:rsidRPr="00616897">
        <w:rPr>
          <w:rFonts w:ascii="Traditional Arabic" w:eastAsia="Calibri" w:hAnsi="Traditional Arabic" w:cs="Traditional Arabic" w:hint="cs"/>
          <w:sz w:val="24"/>
          <w:szCs w:val="24"/>
          <w:highlight w:val="yellow"/>
          <w:rtl/>
        </w:rPr>
        <w:t>الفرعية</w:t>
      </w:r>
      <w:r w:rsidRPr="00616897">
        <w:rPr>
          <w:rFonts w:ascii="Traditional Arabic" w:eastAsia="Calibri" w:hAnsi="Traditional Arabic" w:cs="Traditional Arabic"/>
          <w:sz w:val="24"/>
          <w:szCs w:val="24"/>
          <w:highlight w:val="yellow"/>
          <w:rtl/>
        </w:rPr>
        <w:t xml:space="preserve"> التي تنص على أن القيادة التحويلية تتوسط العلاقة بين تحديد المخاطر وسلامة المرضى في المستشفيات الحكومية السعودية. فقد جاءت التأثيرات المباشرة قوية ودالة إحصائياً عند مستوى معنوية</w:t>
      </w:r>
      <w:r w:rsidRPr="00616897">
        <w:rPr>
          <w:rFonts w:ascii="Traditional Arabic" w:eastAsia="Calibri" w:hAnsi="Traditional Arabic" w:cs="Traditional Arabic"/>
          <w:sz w:val="24"/>
          <w:szCs w:val="24"/>
          <w:highlight w:val="yellow"/>
        </w:rPr>
        <w:t xml:space="preserve"> (Sig </w:t>
      </w:r>
      <w:r w:rsidRPr="00616897">
        <w:rPr>
          <w:rFonts w:ascii="Cambria Math" w:eastAsia="Calibri" w:hAnsi="Cambria Math" w:cs="Cambria Math"/>
          <w:sz w:val="24"/>
          <w:szCs w:val="24"/>
          <w:highlight w:val="yellow"/>
        </w:rPr>
        <w:t>≤</w:t>
      </w:r>
      <w:r w:rsidRPr="00616897">
        <w:rPr>
          <w:rFonts w:ascii="Traditional Arabic" w:eastAsia="Calibri" w:hAnsi="Traditional Arabic" w:cs="Traditional Arabic"/>
          <w:sz w:val="24"/>
          <w:szCs w:val="24"/>
          <w:highlight w:val="yellow"/>
        </w:rPr>
        <w:t xml:space="preserve"> 0.01)</w:t>
      </w:r>
      <w:r w:rsidRPr="00616897">
        <w:rPr>
          <w:rFonts w:ascii="Traditional Arabic" w:eastAsia="Calibri" w:hAnsi="Traditional Arabic" w:cs="Traditional Arabic"/>
          <w:sz w:val="24"/>
          <w:szCs w:val="24"/>
          <w:highlight w:val="yellow"/>
          <w:rtl/>
        </w:rPr>
        <w:t>، بينما كانت التأثيرات غير المباشرة ضعيفة لكنها معنوية عند نفس المستوى، مما يشير إلى تحقق التوسط. وهذا يوضح أن تحديد المخاطر يسهم في تعزيز سلامة المرضى بشكل مباشر عبر آليات الرصد والأنظمة التشغيلية، وبشكل غير مباشر من خلال الدور الداعم للقيادة التحويلية في رفع الوعي وتوفير بيئة عمل آمنة، بما يعزز الأثر الكلي على جودة الرعاية وتقليل الأخطاء الطبية</w:t>
      </w:r>
      <w:r w:rsidRPr="00616897">
        <w:rPr>
          <w:rFonts w:ascii="Traditional Arabic" w:eastAsia="Calibri" w:hAnsi="Traditional Arabic" w:cs="Traditional Arabic"/>
          <w:sz w:val="24"/>
          <w:szCs w:val="24"/>
          <w:highlight w:val="yellow"/>
        </w:rPr>
        <w:t>."</w:t>
      </w:r>
    </w:p>
    <w:p w14:paraId="007FE7D6" w14:textId="0580844F" w:rsidR="00F46ACD" w:rsidRPr="00616897" w:rsidRDefault="00FE3A82" w:rsidP="00FE3A82">
      <w:pPr>
        <w:pStyle w:val="ListParagraph"/>
        <w:numPr>
          <w:ilvl w:val="1"/>
          <w:numId w:val="23"/>
        </w:numPr>
        <w:bidi/>
        <w:spacing w:after="200" w:line="360" w:lineRule="auto"/>
        <w:jc w:val="both"/>
        <w:rPr>
          <w:rFonts w:ascii="Traditional Arabic" w:eastAsia="Calibri" w:hAnsi="Traditional Arabic" w:cs="Traditional Arabic"/>
          <w:sz w:val="24"/>
          <w:szCs w:val="24"/>
          <w:highlight w:val="yellow"/>
        </w:rPr>
      </w:pPr>
      <w:r w:rsidRPr="00616897">
        <w:rPr>
          <w:rFonts w:ascii="Traditional Arabic" w:eastAsia="Calibri" w:hAnsi="Traditional Arabic" w:cs="Traditional Arabic" w:hint="cs"/>
          <w:sz w:val="24"/>
          <w:szCs w:val="24"/>
          <w:highlight w:val="yellow"/>
          <w:rtl/>
        </w:rPr>
        <w:t xml:space="preserve">تتوسط القيادة التحويلية العلاقة بين تحليل المخاطر وسلامة المرضى في المستشفيات الحكومية </w:t>
      </w:r>
      <w:r w:rsidR="004A5C8C" w:rsidRPr="00616897">
        <w:rPr>
          <w:rFonts w:ascii="Traditional Arabic" w:eastAsia="Calibri" w:hAnsi="Traditional Arabic" w:cs="Traditional Arabic" w:hint="cs"/>
          <w:sz w:val="24"/>
          <w:szCs w:val="24"/>
          <w:highlight w:val="yellow"/>
          <w:rtl/>
        </w:rPr>
        <w:t xml:space="preserve">بالمملكة العربية </w:t>
      </w:r>
      <w:r w:rsidRPr="00616897">
        <w:rPr>
          <w:rFonts w:ascii="Traditional Arabic" w:eastAsia="Calibri" w:hAnsi="Traditional Arabic" w:cs="Traditional Arabic" w:hint="cs"/>
          <w:sz w:val="24"/>
          <w:szCs w:val="24"/>
          <w:highlight w:val="yellow"/>
          <w:rtl/>
        </w:rPr>
        <w:t>السعودية.</w:t>
      </w:r>
    </w:p>
    <w:p w14:paraId="40F1EF2B" w14:textId="77777777" w:rsidR="00CC5E70" w:rsidRPr="00616897" w:rsidRDefault="00CC5E70" w:rsidP="00CC5E70">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sz w:val="24"/>
          <w:szCs w:val="24"/>
          <w:highlight w:val="yellow"/>
          <w:rtl/>
          <w:lang w:bidi="ar-EG"/>
        </w:rPr>
        <w:t>وللتحقق من هذا الفرض، استخدمت الباحثة أسلوب نمذجة المعادلات الهيكلية (</w:t>
      </w:r>
      <w:r w:rsidRPr="00616897">
        <w:rPr>
          <w:rFonts w:ascii="Traditional Arabic" w:eastAsia="Calibri" w:hAnsi="Traditional Arabic" w:cs="Traditional Arabic"/>
          <w:sz w:val="24"/>
          <w:szCs w:val="24"/>
          <w:highlight w:val="yellow"/>
          <w:lang w:bidi="ar-EG"/>
        </w:rPr>
        <w:t>SEM</w:t>
      </w:r>
      <w:r w:rsidRPr="00616897">
        <w:rPr>
          <w:rFonts w:ascii="Traditional Arabic" w:eastAsia="Calibri" w:hAnsi="Traditional Arabic" w:cs="Traditional Arabic"/>
          <w:sz w:val="24"/>
          <w:szCs w:val="24"/>
          <w:highlight w:val="yellow"/>
          <w:rtl/>
          <w:lang w:bidi="ar-EG"/>
        </w:rPr>
        <w:t>) بطريقة المربعات الصغرى الجزئية (</w:t>
      </w:r>
      <w:r w:rsidRPr="00616897">
        <w:rPr>
          <w:rFonts w:ascii="Traditional Arabic" w:eastAsia="Calibri" w:hAnsi="Traditional Arabic" w:cs="Traditional Arabic"/>
          <w:sz w:val="24"/>
          <w:szCs w:val="24"/>
          <w:highlight w:val="yellow"/>
          <w:lang w:bidi="ar-EG"/>
        </w:rPr>
        <w:t>PLS-SEM</w:t>
      </w:r>
      <w:r w:rsidRPr="00616897">
        <w:rPr>
          <w:rFonts w:ascii="Traditional Arabic" w:eastAsia="Calibri" w:hAnsi="Traditional Arabic" w:cs="Traditional Arabic"/>
          <w:sz w:val="24"/>
          <w:szCs w:val="24"/>
          <w:highlight w:val="yellow"/>
          <w:rtl/>
          <w:lang w:bidi="ar-EG"/>
        </w:rPr>
        <w:t>) لتحليل العلاقات المباشرة وغير المباشرة واختبار دلالة المسارات داخل النموذج."</w:t>
      </w:r>
    </w:p>
    <w:p w14:paraId="11D8200F" w14:textId="0D7AC9A9" w:rsidR="00CC5E70" w:rsidRPr="00616897" w:rsidRDefault="00CC5E70" w:rsidP="00CC5E70">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 xml:space="preserve">جدول (19) نتائج إختبار الفرض </w:t>
      </w:r>
      <w:r w:rsidR="006C1427" w:rsidRPr="00616897">
        <w:rPr>
          <w:rFonts w:ascii="Traditional Arabic" w:eastAsia="Calibri" w:hAnsi="Traditional Arabic" w:cs="Traditional Arabic" w:hint="cs"/>
          <w:sz w:val="24"/>
          <w:szCs w:val="24"/>
          <w:highlight w:val="yellow"/>
          <w:rtl/>
          <w:lang w:bidi="ar-EG"/>
        </w:rPr>
        <w:t>2</w:t>
      </w:r>
      <w:r w:rsidRPr="00616897">
        <w:rPr>
          <w:rFonts w:ascii="Traditional Arabic" w:eastAsia="Calibri" w:hAnsi="Traditional Arabic" w:cs="Traditional Arabic" w:hint="cs"/>
          <w:sz w:val="24"/>
          <w:szCs w:val="24"/>
          <w:highlight w:val="yellow"/>
          <w:rtl/>
          <w:lang w:bidi="ar-EG"/>
        </w:rPr>
        <w:t>/ 4 للدراسة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675"/>
        <w:gridCol w:w="1649"/>
        <w:gridCol w:w="1649"/>
        <w:gridCol w:w="1649"/>
        <w:gridCol w:w="1668"/>
      </w:tblGrid>
      <w:tr w:rsidR="00CC5E70" w:rsidRPr="00616897" w14:paraId="412644E5" w14:textId="77777777" w:rsidTr="00E17927">
        <w:trPr>
          <w:tblCellSpacing w:w="20" w:type="dxa"/>
        </w:trPr>
        <w:tc>
          <w:tcPr>
            <w:tcW w:w="1615" w:type="dxa"/>
            <w:shd w:val="clear" w:color="auto" w:fill="E5DFEC" w:themeFill="accent4" w:themeFillTint="33"/>
          </w:tcPr>
          <w:p w14:paraId="68D535BD" w14:textId="77777777" w:rsidR="00CC5E70" w:rsidRPr="00616897" w:rsidRDefault="00CC5E70" w:rsidP="00CC5E70">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العلاقة</w:t>
            </w:r>
          </w:p>
        </w:tc>
        <w:tc>
          <w:tcPr>
            <w:tcW w:w="1609" w:type="dxa"/>
            <w:shd w:val="clear" w:color="auto" w:fill="E5DFEC" w:themeFill="accent4" w:themeFillTint="33"/>
          </w:tcPr>
          <w:p w14:paraId="567B75F7" w14:textId="77777777" w:rsidR="00CC5E70" w:rsidRPr="00616897" w:rsidRDefault="00CC5E70"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المباشر</w:t>
            </w:r>
          </w:p>
        </w:tc>
        <w:tc>
          <w:tcPr>
            <w:tcW w:w="1609" w:type="dxa"/>
            <w:shd w:val="clear" w:color="auto" w:fill="E5DFEC" w:themeFill="accent4" w:themeFillTint="33"/>
          </w:tcPr>
          <w:p w14:paraId="59696A8F" w14:textId="77777777" w:rsidR="00CC5E70" w:rsidRPr="00616897" w:rsidRDefault="00CC5E70"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غير المباشر</w:t>
            </w:r>
          </w:p>
        </w:tc>
        <w:tc>
          <w:tcPr>
            <w:tcW w:w="1609" w:type="dxa"/>
            <w:shd w:val="clear" w:color="auto" w:fill="E5DFEC" w:themeFill="accent4" w:themeFillTint="33"/>
          </w:tcPr>
          <w:p w14:paraId="3C29C405" w14:textId="77777777" w:rsidR="00CC5E70" w:rsidRPr="00616897" w:rsidRDefault="00CC5E70"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الكلي</w:t>
            </w:r>
          </w:p>
        </w:tc>
        <w:tc>
          <w:tcPr>
            <w:tcW w:w="1608" w:type="dxa"/>
            <w:shd w:val="clear" w:color="auto" w:fill="E5DFEC" w:themeFill="accent4" w:themeFillTint="33"/>
          </w:tcPr>
          <w:p w14:paraId="2951C604" w14:textId="77777777" w:rsidR="00CC5E70" w:rsidRPr="00616897" w:rsidRDefault="00CC5E70"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النتيجة</w:t>
            </w:r>
          </w:p>
        </w:tc>
      </w:tr>
      <w:tr w:rsidR="00CC5E70" w:rsidRPr="00616897" w14:paraId="567C5E2D" w14:textId="77777777" w:rsidTr="00E17927">
        <w:trPr>
          <w:tblCellSpacing w:w="20" w:type="dxa"/>
        </w:trPr>
        <w:tc>
          <w:tcPr>
            <w:tcW w:w="1615" w:type="dxa"/>
            <w:shd w:val="clear" w:color="auto" w:fill="E5DFEC" w:themeFill="accent4" w:themeFillTint="33"/>
          </w:tcPr>
          <w:p w14:paraId="742DDCEE" w14:textId="458C57F0" w:rsidR="00CC5E70" w:rsidRPr="00616897" w:rsidRDefault="00CC5E70" w:rsidP="00CC5E70">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تحليل المخاطر</w:t>
            </w:r>
            <w:r w:rsidRPr="00616897">
              <w:rPr>
                <w:rFonts w:ascii="Yu Gothic UI Semilight" w:eastAsia="Yu Gothic UI Semilight" w:hAnsi="Yu Gothic UI Semilight" w:cs="Traditional Arabic" w:hint="eastAsia"/>
                <w:b/>
                <w:bCs/>
                <w:sz w:val="24"/>
                <w:szCs w:val="24"/>
                <w:highlight w:val="yellow"/>
                <w:rtl/>
                <w:lang w:bidi="ar-EG"/>
              </w:rPr>
              <w:t xml:space="preserve"> </w:t>
            </w:r>
            <w:r w:rsidRPr="00616897">
              <w:rPr>
                <w:rFonts w:ascii="Yu Gothic UI Semilight" w:eastAsia="Yu Gothic UI Semilight" w:hAnsi="Yu Gothic UI Semilight" w:cs="Traditional Arabic" w:hint="cs"/>
                <w:b/>
                <w:bCs/>
                <w:sz w:val="24"/>
                <w:szCs w:val="24"/>
                <w:highlight w:val="yellow"/>
                <w:rtl/>
                <w:lang w:bidi="ar-EG"/>
              </w:rPr>
              <w:t>_ القيادة التحيلية- تقليل الأخطاء الطبية</w:t>
            </w:r>
          </w:p>
        </w:tc>
        <w:tc>
          <w:tcPr>
            <w:tcW w:w="1609" w:type="dxa"/>
          </w:tcPr>
          <w:p w14:paraId="1E818B34" w14:textId="3072A07C"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0.630</w:t>
            </w:r>
          </w:p>
        </w:tc>
        <w:tc>
          <w:tcPr>
            <w:tcW w:w="1609" w:type="dxa"/>
          </w:tcPr>
          <w:p w14:paraId="6AC5FD5D" w14:textId="3CCA016E"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0.055</w:t>
            </w:r>
          </w:p>
        </w:tc>
        <w:tc>
          <w:tcPr>
            <w:tcW w:w="1609" w:type="dxa"/>
          </w:tcPr>
          <w:p w14:paraId="4895D0D2" w14:textId="467CEB6A"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0.685</w:t>
            </w:r>
          </w:p>
        </w:tc>
        <w:tc>
          <w:tcPr>
            <w:tcW w:w="1608" w:type="dxa"/>
          </w:tcPr>
          <w:p w14:paraId="3678E1D4" w14:textId="10A6E78E"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CC5E70" w:rsidRPr="00616897" w14:paraId="4CE4356C" w14:textId="77777777" w:rsidTr="00E17927">
        <w:trPr>
          <w:tblCellSpacing w:w="20" w:type="dxa"/>
        </w:trPr>
        <w:tc>
          <w:tcPr>
            <w:tcW w:w="1615" w:type="dxa"/>
            <w:shd w:val="clear" w:color="auto" w:fill="E5DFEC" w:themeFill="accent4" w:themeFillTint="33"/>
          </w:tcPr>
          <w:p w14:paraId="7C35CE38" w14:textId="7596D752" w:rsidR="00CC5E70" w:rsidRPr="00616897" w:rsidRDefault="00CC5E70" w:rsidP="00CC5E70">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تحليل المخاطر-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فعالية أنظمة الإبلاغ</w:t>
            </w:r>
          </w:p>
        </w:tc>
        <w:tc>
          <w:tcPr>
            <w:tcW w:w="1609" w:type="dxa"/>
          </w:tcPr>
          <w:p w14:paraId="37352D6F" w14:textId="5A5C988A"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0.480</w:t>
            </w:r>
          </w:p>
        </w:tc>
        <w:tc>
          <w:tcPr>
            <w:tcW w:w="1609" w:type="dxa"/>
          </w:tcPr>
          <w:p w14:paraId="0E1CD52B" w14:textId="37DA3053"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0.053</w:t>
            </w:r>
          </w:p>
        </w:tc>
        <w:tc>
          <w:tcPr>
            <w:tcW w:w="1609" w:type="dxa"/>
          </w:tcPr>
          <w:p w14:paraId="032A7DEF" w14:textId="42BF3248"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0.533</w:t>
            </w:r>
          </w:p>
        </w:tc>
        <w:tc>
          <w:tcPr>
            <w:tcW w:w="1608" w:type="dxa"/>
          </w:tcPr>
          <w:p w14:paraId="102DECDB" w14:textId="2A93BFD1"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CC5E70" w:rsidRPr="00616897" w14:paraId="65B67654" w14:textId="77777777" w:rsidTr="00E17927">
        <w:trPr>
          <w:tblCellSpacing w:w="20" w:type="dxa"/>
        </w:trPr>
        <w:tc>
          <w:tcPr>
            <w:tcW w:w="1615" w:type="dxa"/>
            <w:shd w:val="clear" w:color="auto" w:fill="E5DFEC" w:themeFill="accent4" w:themeFillTint="33"/>
          </w:tcPr>
          <w:p w14:paraId="69E252FD" w14:textId="4DB87224" w:rsidR="00CC5E70" w:rsidRPr="00616897" w:rsidRDefault="00CC5E70" w:rsidP="00CC5E70">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تحليل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إشراك المرضى</w:t>
            </w:r>
          </w:p>
        </w:tc>
        <w:tc>
          <w:tcPr>
            <w:tcW w:w="1609" w:type="dxa"/>
          </w:tcPr>
          <w:p w14:paraId="2A969D30" w14:textId="70E2C78C"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0.617</w:t>
            </w:r>
          </w:p>
        </w:tc>
        <w:tc>
          <w:tcPr>
            <w:tcW w:w="1609" w:type="dxa"/>
          </w:tcPr>
          <w:p w14:paraId="6F18F5C7" w14:textId="2A42893E"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0.004</w:t>
            </w:r>
          </w:p>
        </w:tc>
        <w:tc>
          <w:tcPr>
            <w:tcW w:w="1609" w:type="dxa"/>
          </w:tcPr>
          <w:p w14:paraId="2B99CE1A" w14:textId="528608EA"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0.621</w:t>
            </w:r>
          </w:p>
        </w:tc>
        <w:tc>
          <w:tcPr>
            <w:tcW w:w="1608" w:type="dxa"/>
          </w:tcPr>
          <w:p w14:paraId="46848A32" w14:textId="05A24E02"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غير معنوي</w:t>
            </w:r>
          </w:p>
        </w:tc>
      </w:tr>
      <w:tr w:rsidR="00CC5E70" w:rsidRPr="00616897" w14:paraId="7D51FAC5" w14:textId="77777777" w:rsidTr="00E17927">
        <w:trPr>
          <w:tblCellSpacing w:w="20" w:type="dxa"/>
        </w:trPr>
        <w:tc>
          <w:tcPr>
            <w:tcW w:w="1615" w:type="dxa"/>
            <w:shd w:val="clear" w:color="auto" w:fill="E5DFEC" w:themeFill="accent4" w:themeFillTint="33"/>
          </w:tcPr>
          <w:p w14:paraId="23E67060" w14:textId="1CED0C98" w:rsidR="00CC5E70" w:rsidRPr="00616897" w:rsidRDefault="00CC5E70" w:rsidP="00CC5E70">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lastRenderedPageBreak/>
              <w:t xml:space="preserve">تحليل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بيئة العمل الآمنة</w:t>
            </w:r>
          </w:p>
        </w:tc>
        <w:tc>
          <w:tcPr>
            <w:tcW w:w="1609" w:type="dxa"/>
          </w:tcPr>
          <w:p w14:paraId="5A71D004" w14:textId="5CBA3086"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0.690</w:t>
            </w:r>
          </w:p>
        </w:tc>
        <w:tc>
          <w:tcPr>
            <w:tcW w:w="1609" w:type="dxa"/>
          </w:tcPr>
          <w:p w14:paraId="5B460BAF" w14:textId="23CA2DAF" w:rsidR="00CC5E70" w:rsidRPr="00616897" w:rsidRDefault="00CC5E70"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0.107</w:t>
            </w:r>
          </w:p>
        </w:tc>
        <w:tc>
          <w:tcPr>
            <w:tcW w:w="1609" w:type="dxa"/>
          </w:tcPr>
          <w:p w14:paraId="293B176F" w14:textId="299CAD12"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0.797</w:t>
            </w:r>
          </w:p>
        </w:tc>
        <w:tc>
          <w:tcPr>
            <w:tcW w:w="1608" w:type="dxa"/>
          </w:tcPr>
          <w:p w14:paraId="5AFED583" w14:textId="402AD77B"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CC5E70" w:rsidRPr="00616897" w14:paraId="5785C4E9" w14:textId="77777777" w:rsidTr="00E17927">
        <w:trPr>
          <w:tblCellSpacing w:w="20" w:type="dxa"/>
        </w:trPr>
        <w:tc>
          <w:tcPr>
            <w:tcW w:w="1615" w:type="dxa"/>
            <w:shd w:val="clear" w:color="auto" w:fill="E5DFEC" w:themeFill="accent4" w:themeFillTint="33"/>
          </w:tcPr>
          <w:p w14:paraId="4D0E6541" w14:textId="0EC7AAB8" w:rsidR="00CC5E70" w:rsidRPr="00616897" w:rsidRDefault="00CC5E70" w:rsidP="00CC5E70">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تحليل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جودة الرعاية</w:t>
            </w:r>
          </w:p>
        </w:tc>
        <w:tc>
          <w:tcPr>
            <w:tcW w:w="1609" w:type="dxa"/>
          </w:tcPr>
          <w:p w14:paraId="3C4F5B09" w14:textId="0D55254A"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0.550</w:t>
            </w:r>
          </w:p>
        </w:tc>
        <w:tc>
          <w:tcPr>
            <w:tcW w:w="1609" w:type="dxa"/>
          </w:tcPr>
          <w:p w14:paraId="4B643BBD" w14:textId="3E534A6F"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0.062</w:t>
            </w:r>
          </w:p>
        </w:tc>
        <w:tc>
          <w:tcPr>
            <w:tcW w:w="1609" w:type="dxa"/>
          </w:tcPr>
          <w:p w14:paraId="5F54A8D6" w14:textId="333A9665"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0.612</w:t>
            </w:r>
          </w:p>
        </w:tc>
        <w:tc>
          <w:tcPr>
            <w:tcW w:w="1608" w:type="dxa"/>
          </w:tcPr>
          <w:p w14:paraId="4DDDF827" w14:textId="6B3D6580" w:rsidR="00CC5E70" w:rsidRPr="00616897" w:rsidRDefault="00255998"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bl>
    <w:p w14:paraId="04AEF685" w14:textId="31E2F52B" w:rsidR="00B735BE" w:rsidRPr="00616897" w:rsidRDefault="00B735BE" w:rsidP="00B735BE">
      <w:pPr>
        <w:bidi/>
        <w:spacing w:after="200" w:line="360" w:lineRule="auto"/>
        <w:contextualSpacing/>
        <w:jc w:val="right"/>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b/>
          <w:bCs/>
          <w:sz w:val="24"/>
          <w:szCs w:val="24"/>
          <w:highlight w:val="yellow"/>
          <w:rtl/>
        </w:rPr>
        <w:t>المصدر</w:t>
      </w:r>
      <w:r w:rsidRPr="00616897">
        <w:rPr>
          <w:rFonts w:ascii="Traditional Arabic" w:eastAsia="Calibri" w:hAnsi="Traditional Arabic" w:cs="Traditional Arabic"/>
          <w:b/>
          <w:bCs/>
          <w:sz w:val="24"/>
          <w:szCs w:val="24"/>
          <w:highlight w:val="yellow"/>
          <w:lang w:bidi="ar-EG"/>
        </w:rPr>
        <w:t>:</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إعداد الباحثة اعتماداً على مخرجات التحليل الإحصائي</w:t>
      </w:r>
      <w:r w:rsidRPr="00616897">
        <w:rPr>
          <w:rFonts w:ascii="Traditional Arabic" w:eastAsia="Calibri" w:hAnsi="Traditional Arabic" w:cs="Traditional Arabic"/>
          <w:sz w:val="24"/>
          <w:szCs w:val="24"/>
          <w:highlight w:val="yellow"/>
          <w:lang w:bidi="ar-EG"/>
        </w:rPr>
        <w:t xml:space="preserve"> (SPSS).</w:t>
      </w:r>
    </w:p>
    <w:p w14:paraId="4A629618" w14:textId="42104189" w:rsidR="00E17927" w:rsidRPr="00616897" w:rsidRDefault="00E17927" w:rsidP="00B735BE">
      <w:pPr>
        <w:bidi/>
        <w:spacing w:after="200" w:line="360" w:lineRule="auto"/>
        <w:jc w:val="both"/>
        <w:rPr>
          <w:rFonts w:ascii="Traditional Arabic" w:eastAsia="Calibri" w:hAnsi="Traditional Arabic" w:cs="Traditional Arabic"/>
          <w:sz w:val="24"/>
          <w:szCs w:val="24"/>
          <w:highlight w:val="yellow"/>
          <w:lang w:bidi="ar-EG"/>
        </w:rPr>
      </w:pPr>
      <w:r w:rsidRPr="00616897">
        <w:rPr>
          <w:rFonts w:ascii="Traditional Arabic" w:eastAsia="Calibri" w:hAnsi="Traditional Arabic" w:cs="Traditional Arabic"/>
          <w:sz w:val="24"/>
          <w:szCs w:val="24"/>
          <w:highlight w:val="yellow"/>
          <w:rtl/>
        </w:rPr>
        <w:t xml:space="preserve">أوضحت نتائج التحليل </w:t>
      </w:r>
      <w:r w:rsidRPr="00616897">
        <w:rPr>
          <w:rFonts w:ascii="Traditional Arabic" w:eastAsia="Calibri" w:hAnsi="Traditional Arabic" w:cs="Traditional Arabic" w:hint="cs"/>
          <w:sz w:val="24"/>
          <w:szCs w:val="24"/>
          <w:highlight w:val="yellow"/>
          <w:rtl/>
        </w:rPr>
        <w:t>قبول</w:t>
      </w:r>
      <w:r w:rsidRPr="00616897">
        <w:rPr>
          <w:rFonts w:ascii="Traditional Arabic" w:eastAsia="Calibri" w:hAnsi="Traditional Arabic" w:cs="Traditional Arabic"/>
          <w:sz w:val="24"/>
          <w:szCs w:val="24"/>
          <w:highlight w:val="yellow"/>
          <w:rtl/>
        </w:rPr>
        <w:t xml:space="preserve"> الفرضية </w:t>
      </w:r>
      <w:r w:rsidRPr="00616897">
        <w:rPr>
          <w:rFonts w:ascii="Traditional Arabic" w:eastAsia="Calibri" w:hAnsi="Traditional Arabic" w:cs="Traditional Arabic" w:hint="cs"/>
          <w:sz w:val="24"/>
          <w:szCs w:val="24"/>
          <w:highlight w:val="yellow"/>
          <w:rtl/>
        </w:rPr>
        <w:t>الفرعية</w:t>
      </w:r>
      <w:r w:rsidRPr="00616897">
        <w:rPr>
          <w:rFonts w:ascii="Traditional Arabic" w:eastAsia="Calibri" w:hAnsi="Traditional Arabic" w:cs="Traditional Arabic"/>
          <w:sz w:val="24"/>
          <w:szCs w:val="24"/>
          <w:highlight w:val="yellow"/>
          <w:rtl/>
        </w:rPr>
        <w:t xml:space="preserve"> ، حيث ثبت أن القيادة التحويلية تؤدي دور الوسيط بين تحليل المخاطر وأربعة أبعاد من أبعاد سلامة المرضى (تقليل الأخطاء الطبية، فعالية أنظمة الإبلاغ، بيئة العمل الآمنة، وجودة الرعاية)، بينما لم يظهر لها أثر وسيط في بُعد إشراك المرضى. هذا النمط يعكس تحقق </w:t>
      </w:r>
      <w:r w:rsidRPr="00616897">
        <w:rPr>
          <w:rFonts w:ascii="Traditional Arabic" w:eastAsia="Calibri" w:hAnsi="Traditional Arabic" w:cs="Traditional Arabic"/>
          <w:b/>
          <w:bCs/>
          <w:sz w:val="24"/>
          <w:szCs w:val="24"/>
          <w:highlight w:val="yellow"/>
          <w:rtl/>
        </w:rPr>
        <w:t xml:space="preserve">التوسط </w:t>
      </w:r>
      <w:r w:rsidRPr="00616897">
        <w:rPr>
          <w:rFonts w:ascii="Traditional Arabic" w:eastAsia="Calibri" w:hAnsi="Traditional Arabic" w:cs="Traditional Arabic"/>
          <w:sz w:val="24"/>
          <w:szCs w:val="24"/>
          <w:highlight w:val="yellow"/>
          <w:rtl/>
        </w:rPr>
        <w:t>ويؤكد أن تحليل المخاطر يسهم مباشرة في تعزيز سلامة المرضى، ويتدعم أثره من خلال القيادة التحويلية، في حين يبقى إشراك المرضى مرتبطاً بالسياسات والمعايير التنظيمية المباشرة دون تأثير قيادي</w:t>
      </w:r>
      <w:r w:rsidRPr="00616897">
        <w:rPr>
          <w:rFonts w:ascii="Traditional Arabic" w:eastAsia="Calibri" w:hAnsi="Traditional Arabic" w:cs="Traditional Arabic"/>
          <w:sz w:val="24"/>
          <w:szCs w:val="24"/>
          <w:highlight w:val="yellow"/>
          <w:lang w:bidi="ar-EG"/>
        </w:rPr>
        <w:t>.</w:t>
      </w:r>
    </w:p>
    <w:p w14:paraId="29ED308C" w14:textId="3652293C" w:rsidR="006C1427" w:rsidRPr="00616897" w:rsidRDefault="006C1427" w:rsidP="00EC2B9A">
      <w:pPr>
        <w:pStyle w:val="ListParagraph"/>
        <w:numPr>
          <w:ilvl w:val="1"/>
          <w:numId w:val="23"/>
        </w:numPr>
        <w:bidi/>
        <w:spacing w:after="200" w:line="360" w:lineRule="auto"/>
        <w:jc w:val="both"/>
        <w:rPr>
          <w:rFonts w:ascii="Traditional Arabic" w:eastAsia="Calibri" w:hAnsi="Traditional Arabic" w:cs="Traditional Arabic"/>
          <w:sz w:val="24"/>
          <w:szCs w:val="24"/>
          <w:highlight w:val="yellow"/>
        </w:rPr>
      </w:pPr>
      <w:r w:rsidRPr="00616897">
        <w:rPr>
          <w:rFonts w:ascii="Traditional Arabic" w:eastAsia="Calibri" w:hAnsi="Traditional Arabic" w:cs="Traditional Arabic" w:hint="cs"/>
          <w:sz w:val="24"/>
          <w:szCs w:val="24"/>
          <w:highlight w:val="yellow"/>
          <w:rtl/>
          <w:lang w:bidi="ar-EG"/>
        </w:rPr>
        <w:t xml:space="preserve">تتوسط القيادة التحويلية العلاقة بين تقييم المخاطر </w:t>
      </w:r>
      <w:r w:rsidRPr="00616897">
        <w:rPr>
          <w:rFonts w:ascii="Traditional Arabic" w:eastAsia="Calibri" w:hAnsi="Traditional Arabic" w:cs="Traditional Arabic" w:hint="cs"/>
          <w:sz w:val="24"/>
          <w:szCs w:val="24"/>
          <w:highlight w:val="yellow"/>
          <w:rtl/>
        </w:rPr>
        <w:t>وسلامة المرضى في المستشفيات الحكومية بالمملكة العربية السعودية.</w:t>
      </w:r>
    </w:p>
    <w:p w14:paraId="4013FFF1" w14:textId="77777777" w:rsidR="006C1427" w:rsidRPr="00616897" w:rsidRDefault="006C1427" w:rsidP="006C1427">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sz w:val="24"/>
          <w:szCs w:val="24"/>
          <w:highlight w:val="yellow"/>
          <w:rtl/>
          <w:lang w:bidi="ar-EG"/>
        </w:rPr>
        <w:t>وللتحقق من هذا الفرض، استخدمت الباحثة أسلوب نمذجة المعادلات الهيكلية (</w:t>
      </w:r>
      <w:r w:rsidRPr="00616897">
        <w:rPr>
          <w:rFonts w:ascii="Traditional Arabic" w:eastAsia="Calibri" w:hAnsi="Traditional Arabic" w:cs="Traditional Arabic"/>
          <w:sz w:val="24"/>
          <w:szCs w:val="24"/>
          <w:highlight w:val="yellow"/>
          <w:lang w:bidi="ar-EG"/>
        </w:rPr>
        <w:t>SEM</w:t>
      </w:r>
      <w:r w:rsidRPr="00616897">
        <w:rPr>
          <w:rFonts w:ascii="Traditional Arabic" w:eastAsia="Calibri" w:hAnsi="Traditional Arabic" w:cs="Traditional Arabic"/>
          <w:sz w:val="24"/>
          <w:szCs w:val="24"/>
          <w:highlight w:val="yellow"/>
          <w:rtl/>
          <w:lang w:bidi="ar-EG"/>
        </w:rPr>
        <w:t>) بطريقة المربعات الصغرى الجزئية (</w:t>
      </w:r>
      <w:r w:rsidRPr="00616897">
        <w:rPr>
          <w:rFonts w:ascii="Traditional Arabic" w:eastAsia="Calibri" w:hAnsi="Traditional Arabic" w:cs="Traditional Arabic"/>
          <w:sz w:val="24"/>
          <w:szCs w:val="24"/>
          <w:highlight w:val="yellow"/>
          <w:lang w:bidi="ar-EG"/>
        </w:rPr>
        <w:t>PLS-SEM</w:t>
      </w:r>
      <w:r w:rsidRPr="00616897">
        <w:rPr>
          <w:rFonts w:ascii="Traditional Arabic" w:eastAsia="Calibri" w:hAnsi="Traditional Arabic" w:cs="Traditional Arabic"/>
          <w:sz w:val="24"/>
          <w:szCs w:val="24"/>
          <w:highlight w:val="yellow"/>
          <w:rtl/>
          <w:lang w:bidi="ar-EG"/>
        </w:rPr>
        <w:t>) لتحليل العلاقات المباشرة وغير المباشرة واختبار دلالة المسارات داخل النموذج."</w:t>
      </w:r>
    </w:p>
    <w:p w14:paraId="5A4E8AE1" w14:textId="4DB27293" w:rsidR="006C1427" w:rsidRPr="00616897" w:rsidRDefault="006C1427" w:rsidP="006C1427">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جدول (20) نتائج إختبار الفرض 3/ 4 للدراسة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675"/>
        <w:gridCol w:w="1649"/>
        <w:gridCol w:w="1649"/>
        <w:gridCol w:w="1649"/>
        <w:gridCol w:w="1668"/>
      </w:tblGrid>
      <w:tr w:rsidR="006C1427" w:rsidRPr="00616897" w14:paraId="4AE82654" w14:textId="77777777" w:rsidTr="00F72FDD">
        <w:trPr>
          <w:tblCellSpacing w:w="20" w:type="dxa"/>
        </w:trPr>
        <w:tc>
          <w:tcPr>
            <w:tcW w:w="1615" w:type="dxa"/>
            <w:shd w:val="clear" w:color="auto" w:fill="E5DFEC" w:themeFill="accent4" w:themeFillTint="33"/>
          </w:tcPr>
          <w:p w14:paraId="3151AF87" w14:textId="77777777" w:rsidR="006C1427" w:rsidRPr="00616897" w:rsidRDefault="006C1427"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العلاقة</w:t>
            </w:r>
          </w:p>
        </w:tc>
        <w:tc>
          <w:tcPr>
            <w:tcW w:w="1609" w:type="dxa"/>
            <w:shd w:val="clear" w:color="auto" w:fill="E5DFEC" w:themeFill="accent4" w:themeFillTint="33"/>
          </w:tcPr>
          <w:p w14:paraId="25C78EEF" w14:textId="77777777" w:rsidR="006C1427" w:rsidRPr="00616897" w:rsidRDefault="006C1427"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المباشر</w:t>
            </w:r>
          </w:p>
        </w:tc>
        <w:tc>
          <w:tcPr>
            <w:tcW w:w="1609" w:type="dxa"/>
            <w:shd w:val="clear" w:color="auto" w:fill="E5DFEC" w:themeFill="accent4" w:themeFillTint="33"/>
          </w:tcPr>
          <w:p w14:paraId="73C325D6" w14:textId="77777777" w:rsidR="006C1427" w:rsidRPr="00616897" w:rsidRDefault="006C1427"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غير المباشر</w:t>
            </w:r>
          </w:p>
        </w:tc>
        <w:tc>
          <w:tcPr>
            <w:tcW w:w="1609" w:type="dxa"/>
            <w:shd w:val="clear" w:color="auto" w:fill="E5DFEC" w:themeFill="accent4" w:themeFillTint="33"/>
          </w:tcPr>
          <w:p w14:paraId="208F79BB" w14:textId="77777777" w:rsidR="006C1427" w:rsidRPr="00616897" w:rsidRDefault="006C1427"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الكلي</w:t>
            </w:r>
          </w:p>
        </w:tc>
        <w:tc>
          <w:tcPr>
            <w:tcW w:w="1608" w:type="dxa"/>
            <w:shd w:val="clear" w:color="auto" w:fill="E5DFEC" w:themeFill="accent4" w:themeFillTint="33"/>
          </w:tcPr>
          <w:p w14:paraId="3B3DBF7E" w14:textId="77777777" w:rsidR="006C1427" w:rsidRPr="00616897" w:rsidRDefault="006C1427"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النتيجة</w:t>
            </w:r>
          </w:p>
        </w:tc>
      </w:tr>
      <w:tr w:rsidR="006C1427" w:rsidRPr="00616897" w14:paraId="1E47E57D" w14:textId="77777777" w:rsidTr="00F72FDD">
        <w:trPr>
          <w:tblCellSpacing w:w="20" w:type="dxa"/>
        </w:trPr>
        <w:tc>
          <w:tcPr>
            <w:tcW w:w="1615" w:type="dxa"/>
            <w:shd w:val="clear" w:color="auto" w:fill="E5DFEC" w:themeFill="accent4" w:themeFillTint="33"/>
          </w:tcPr>
          <w:p w14:paraId="47135163" w14:textId="5036F92D" w:rsidR="006C1427" w:rsidRPr="00616897" w:rsidRDefault="006C1427"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تقييم المخاطر</w:t>
            </w:r>
            <w:r w:rsidRPr="00616897">
              <w:rPr>
                <w:rFonts w:ascii="Yu Gothic UI Semilight" w:eastAsia="Yu Gothic UI Semilight" w:hAnsi="Yu Gothic UI Semilight" w:cs="Traditional Arabic" w:hint="eastAsia"/>
                <w:b/>
                <w:bCs/>
                <w:sz w:val="24"/>
                <w:szCs w:val="24"/>
                <w:highlight w:val="yellow"/>
                <w:rtl/>
                <w:lang w:bidi="ar-EG"/>
              </w:rPr>
              <w:t xml:space="preserve"> </w:t>
            </w:r>
            <w:r w:rsidRPr="00616897">
              <w:rPr>
                <w:rFonts w:ascii="Yu Gothic UI Semilight" w:eastAsia="Yu Gothic UI Semilight" w:hAnsi="Yu Gothic UI Semilight" w:cs="Traditional Arabic" w:hint="cs"/>
                <w:b/>
                <w:bCs/>
                <w:sz w:val="24"/>
                <w:szCs w:val="24"/>
                <w:highlight w:val="yellow"/>
                <w:rtl/>
                <w:lang w:bidi="ar-EG"/>
              </w:rPr>
              <w:t>_ القيادة التحيلية- تقليل الأخطاء الطبية</w:t>
            </w:r>
          </w:p>
        </w:tc>
        <w:tc>
          <w:tcPr>
            <w:tcW w:w="1609" w:type="dxa"/>
          </w:tcPr>
          <w:p w14:paraId="4B2619E2" w14:textId="413CF0D7"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0.159</w:t>
            </w:r>
          </w:p>
        </w:tc>
        <w:tc>
          <w:tcPr>
            <w:tcW w:w="1609" w:type="dxa"/>
          </w:tcPr>
          <w:p w14:paraId="0FBBC18E" w14:textId="031F639E"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0.052</w:t>
            </w:r>
          </w:p>
        </w:tc>
        <w:tc>
          <w:tcPr>
            <w:tcW w:w="1609" w:type="dxa"/>
          </w:tcPr>
          <w:p w14:paraId="30FD1EE2" w14:textId="171893C0"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0.211</w:t>
            </w:r>
          </w:p>
        </w:tc>
        <w:tc>
          <w:tcPr>
            <w:tcW w:w="1608" w:type="dxa"/>
          </w:tcPr>
          <w:p w14:paraId="799683B6" w14:textId="48E2C428"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6C1427" w:rsidRPr="00616897" w14:paraId="401A1617" w14:textId="77777777" w:rsidTr="00F72FDD">
        <w:trPr>
          <w:tblCellSpacing w:w="20" w:type="dxa"/>
        </w:trPr>
        <w:tc>
          <w:tcPr>
            <w:tcW w:w="1615" w:type="dxa"/>
            <w:shd w:val="clear" w:color="auto" w:fill="E5DFEC" w:themeFill="accent4" w:themeFillTint="33"/>
          </w:tcPr>
          <w:p w14:paraId="473BB65D" w14:textId="31F383BA" w:rsidR="006C1427" w:rsidRPr="00616897" w:rsidRDefault="006C1427"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lastRenderedPageBreak/>
              <w:t xml:space="preserve">تقييم المخاطر-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فعالية أنظمة الإبلاغ</w:t>
            </w:r>
          </w:p>
        </w:tc>
        <w:tc>
          <w:tcPr>
            <w:tcW w:w="1609" w:type="dxa"/>
          </w:tcPr>
          <w:p w14:paraId="58CFF256" w14:textId="7D638C82"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0.458</w:t>
            </w:r>
          </w:p>
        </w:tc>
        <w:tc>
          <w:tcPr>
            <w:tcW w:w="1609" w:type="dxa"/>
          </w:tcPr>
          <w:p w14:paraId="3C90C44E" w14:textId="271D7AC4"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0.050</w:t>
            </w:r>
          </w:p>
        </w:tc>
        <w:tc>
          <w:tcPr>
            <w:tcW w:w="1609" w:type="dxa"/>
          </w:tcPr>
          <w:p w14:paraId="18C7AFDE" w14:textId="7B5C2F00"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0.508</w:t>
            </w:r>
          </w:p>
        </w:tc>
        <w:tc>
          <w:tcPr>
            <w:tcW w:w="1608" w:type="dxa"/>
          </w:tcPr>
          <w:p w14:paraId="3FB28EB9" w14:textId="08A1FB3E"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6C1427" w:rsidRPr="00616897" w14:paraId="6F74E356" w14:textId="77777777" w:rsidTr="00F72FDD">
        <w:trPr>
          <w:tblCellSpacing w:w="20" w:type="dxa"/>
        </w:trPr>
        <w:tc>
          <w:tcPr>
            <w:tcW w:w="1615" w:type="dxa"/>
            <w:shd w:val="clear" w:color="auto" w:fill="E5DFEC" w:themeFill="accent4" w:themeFillTint="33"/>
          </w:tcPr>
          <w:p w14:paraId="43CE43C0" w14:textId="37441F69" w:rsidR="006C1427" w:rsidRPr="00616897" w:rsidRDefault="006C1427"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تقييم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إشراك المرضى</w:t>
            </w:r>
          </w:p>
        </w:tc>
        <w:tc>
          <w:tcPr>
            <w:tcW w:w="1609" w:type="dxa"/>
          </w:tcPr>
          <w:p w14:paraId="5B09FCF5" w14:textId="2E8DDB77"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0.235</w:t>
            </w:r>
          </w:p>
        </w:tc>
        <w:tc>
          <w:tcPr>
            <w:tcW w:w="1609" w:type="dxa"/>
          </w:tcPr>
          <w:p w14:paraId="293A2589" w14:textId="7722A764"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0.003</w:t>
            </w:r>
          </w:p>
        </w:tc>
        <w:tc>
          <w:tcPr>
            <w:tcW w:w="1609" w:type="dxa"/>
          </w:tcPr>
          <w:p w14:paraId="36BECD24" w14:textId="5A246647"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0.238</w:t>
            </w:r>
          </w:p>
        </w:tc>
        <w:tc>
          <w:tcPr>
            <w:tcW w:w="1608" w:type="dxa"/>
          </w:tcPr>
          <w:p w14:paraId="50D0A5C9" w14:textId="37BB89DC"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غير معنوي</w:t>
            </w:r>
          </w:p>
        </w:tc>
      </w:tr>
      <w:tr w:rsidR="006C1427" w:rsidRPr="00616897" w14:paraId="7FB2E2C0" w14:textId="77777777" w:rsidTr="00F72FDD">
        <w:trPr>
          <w:tblCellSpacing w:w="20" w:type="dxa"/>
        </w:trPr>
        <w:tc>
          <w:tcPr>
            <w:tcW w:w="1615" w:type="dxa"/>
            <w:shd w:val="clear" w:color="auto" w:fill="E5DFEC" w:themeFill="accent4" w:themeFillTint="33"/>
          </w:tcPr>
          <w:p w14:paraId="724259D8" w14:textId="4046C954" w:rsidR="006C1427" w:rsidRPr="00616897" w:rsidRDefault="006C1427"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تقييم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بيئة العمل الآمنة</w:t>
            </w:r>
          </w:p>
        </w:tc>
        <w:tc>
          <w:tcPr>
            <w:tcW w:w="1609" w:type="dxa"/>
          </w:tcPr>
          <w:p w14:paraId="767D9A31" w14:textId="13E0CBB8"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0.370</w:t>
            </w:r>
          </w:p>
        </w:tc>
        <w:tc>
          <w:tcPr>
            <w:tcW w:w="1609" w:type="dxa"/>
          </w:tcPr>
          <w:p w14:paraId="4B914B34" w14:textId="76142E44"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0.101</w:t>
            </w:r>
          </w:p>
        </w:tc>
        <w:tc>
          <w:tcPr>
            <w:tcW w:w="1609" w:type="dxa"/>
          </w:tcPr>
          <w:p w14:paraId="1FFED80B" w14:textId="18725490"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0.471</w:t>
            </w:r>
          </w:p>
        </w:tc>
        <w:tc>
          <w:tcPr>
            <w:tcW w:w="1608" w:type="dxa"/>
          </w:tcPr>
          <w:p w14:paraId="0EB2E2C9" w14:textId="3EC025AD" w:rsidR="006C1427" w:rsidRPr="00616897" w:rsidRDefault="006C1427"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6C1427" w:rsidRPr="00616897" w14:paraId="15E4BC92" w14:textId="77777777" w:rsidTr="00F72FDD">
        <w:trPr>
          <w:tblCellSpacing w:w="20" w:type="dxa"/>
        </w:trPr>
        <w:tc>
          <w:tcPr>
            <w:tcW w:w="1615" w:type="dxa"/>
            <w:shd w:val="clear" w:color="auto" w:fill="E5DFEC" w:themeFill="accent4" w:themeFillTint="33"/>
          </w:tcPr>
          <w:p w14:paraId="0CB1E6A0" w14:textId="6858F39A" w:rsidR="006C1427" w:rsidRPr="00616897" w:rsidRDefault="006C1427"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تقييم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جودة الرعاية</w:t>
            </w:r>
          </w:p>
        </w:tc>
        <w:tc>
          <w:tcPr>
            <w:tcW w:w="1609" w:type="dxa"/>
          </w:tcPr>
          <w:p w14:paraId="1FE939CE" w14:textId="3BC14437" w:rsidR="006C1427"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0.412</w:t>
            </w:r>
          </w:p>
        </w:tc>
        <w:tc>
          <w:tcPr>
            <w:tcW w:w="1609" w:type="dxa"/>
          </w:tcPr>
          <w:p w14:paraId="515B57B8" w14:textId="230DEC76" w:rsidR="006C1427"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0.058</w:t>
            </w:r>
          </w:p>
        </w:tc>
        <w:tc>
          <w:tcPr>
            <w:tcW w:w="1609" w:type="dxa"/>
          </w:tcPr>
          <w:p w14:paraId="38411D6A" w14:textId="662E079F" w:rsidR="006C1427"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0.470</w:t>
            </w:r>
          </w:p>
        </w:tc>
        <w:tc>
          <w:tcPr>
            <w:tcW w:w="1608" w:type="dxa"/>
          </w:tcPr>
          <w:p w14:paraId="351230BE" w14:textId="507AE5D7" w:rsidR="006C1427"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bl>
    <w:p w14:paraId="52C384DB" w14:textId="7D0EF66A" w:rsidR="00CC5E70" w:rsidRPr="00616897" w:rsidRDefault="00B735BE" w:rsidP="00B735BE">
      <w:pPr>
        <w:bidi/>
        <w:spacing w:after="200" w:line="360" w:lineRule="auto"/>
        <w:contextualSpacing/>
        <w:jc w:val="right"/>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b/>
          <w:bCs/>
          <w:sz w:val="24"/>
          <w:szCs w:val="24"/>
          <w:highlight w:val="yellow"/>
          <w:rtl/>
        </w:rPr>
        <w:t>المصدر</w:t>
      </w:r>
      <w:r w:rsidRPr="00616897">
        <w:rPr>
          <w:rFonts w:ascii="Traditional Arabic" w:eastAsia="Calibri" w:hAnsi="Traditional Arabic" w:cs="Traditional Arabic"/>
          <w:b/>
          <w:bCs/>
          <w:sz w:val="24"/>
          <w:szCs w:val="24"/>
          <w:highlight w:val="yellow"/>
          <w:lang w:bidi="ar-EG"/>
        </w:rPr>
        <w:t>:</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إعداد الباحثة اعتماداً على مخرجات التحليل الإحصائي</w:t>
      </w:r>
      <w:r w:rsidRPr="00616897">
        <w:rPr>
          <w:rFonts w:ascii="Traditional Arabic" w:eastAsia="Calibri" w:hAnsi="Traditional Arabic" w:cs="Traditional Arabic"/>
          <w:sz w:val="24"/>
          <w:szCs w:val="24"/>
          <w:highlight w:val="yellow"/>
          <w:lang w:bidi="ar-EG"/>
        </w:rPr>
        <w:t xml:space="preserve"> (SPSS).</w:t>
      </w:r>
    </w:p>
    <w:p w14:paraId="30A1457F" w14:textId="77B5179B" w:rsidR="00EC2B9A" w:rsidRPr="00616897" w:rsidRDefault="00EC2B9A" w:rsidP="00EC2B9A">
      <w:pPr>
        <w:bidi/>
        <w:spacing w:after="200" w:line="360" w:lineRule="auto"/>
        <w:jc w:val="both"/>
        <w:rPr>
          <w:rFonts w:ascii="Traditional Arabic" w:eastAsia="Calibri" w:hAnsi="Traditional Arabic" w:cs="Traditional Arabic"/>
          <w:sz w:val="24"/>
          <w:szCs w:val="24"/>
          <w:highlight w:val="yellow"/>
          <w:lang w:bidi="ar-EG"/>
        </w:rPr>
      </w:pPr>
      <w:r w:rsidRPr="00616897">
        <w:rPr>
          <w:rFonts w:ascii="Traditional Arabic" w:eastAsia="Calibri" w:hAnsi="Traditional Arabic" w:cs="Traditional Arabic" w:hint="cs"/>
          <w:sz w:val="24"/>
          <w:szCs w:val="24"/>
          <w:highlight w:val="yellow"/>
          <w:rtl/>
        </w:rPr>
        <w:t>نستنتج من التحليل الإحصائي</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 xml:space="preserve">قبول الفرضية </w:t>
      </w:r>
      <w:r w:rsidRPr="00616897">
        <w:rPr>
          <w:rFonts w:ascii="Traditional Arabic" w:eastAsia="Calibri" w:hAnsi="Traditional Arabic" w:cs="Traditional Arabic" w:hint="cs"/>
          <w:sz w:val="24"/>
          <w:szCs w:val="24"/>
          <w:highlight w:val="yellow"/>
          <w:rtl/>
        </w:rPr>
        <w:t>الفرعية</w:t>
      </w:r>
      <w:r w:rsidRPr="00616897">
        <w:rPr>
          <w:rFonts w:ascii="Traditional Arabic" w:eastAsia="Calibri" w:hAnsi="Traditional Arabic" w:cs="Traditional Arabic"/>
          <w:sz w:val="24"/>
          <w:szCs w:val="24"/>
          <w:highlight w:val="yellow"/>
          <w:rtl/>
        </w:rPr>
        <w:t xml:space="preserve"> عند اختبار بُعد </w:t>
      </w:r>
      <w:r w:rsidRPr="00616897">
        <w:rPr>
          <w:rFonts w:ascii="Traditional Arabic" w:eastAsia="Calibri" w:hAnsi="Traditional Arabic" w:cs="Traditional Arabic"/>
          <w:sz w:val="24"/>
          <w:szCs w:val="24"/>
          <w:highlight w:val="yellow"/>
          <w:lang w:bidi="ar-EG"/>
        </w:rPr>
        <w:t>"</w:t>
      </w:r>
      <w:r w:rsidRPr="00616897">
        <w:rPr>
          <w:rFonts w:ascii="Traditional Arabic" w:eastAsia="Calibri" w:hAnsi="Traditional Arabic" w:cs="Traditional Arabic"/>
          <w:sz w:val="24"/>
          <w:szCs w:val="24"/>
          <w:highlight w:val="yellow"/>
          <w:rtl/>
        </w:rPr>
        <w:t>تقييم المخاطر</w:t>
      </w:r>
      <w:r w:rsidRPr="00616897">
        <w:rPr>
          <w:rFonts w:ascii="Traditional Arabic" w:eastAsia="Calibri" w:hAnsi="Traditional Arabic" w:cs="Traditional Arabic"/>
          <w:sz w:val="24"/>
          <w:szCs w:val="24"/>
          <w:highlight w:val="yellow"/>
          <w:lang w:bidi="ar-EG"/>
        </w:rPr>
        <w:t>"</w:t>
      </w:r>
      <w:r w:rsidRPr="00616897">
        <w:rPr>
          <w:rFonts w:ascii="Traditional Arabic" w:eastAsia="Calibri" w:hAnsi="Traditional Arabic" w:cs="Traditional Arabic"/>
          <w:sz w:val="24"/>
          <w:szCs w:val="24"/>
          <w:highlight w:val="yellow"/>
          <w:rtl/>
        </w:rPr>
        <w:t xml:space="preserve">، حيث ظهر دور وسيط دال للقيادة التحويلية في أربعة أبعاد من سلامة المرضى </w:t>
      </w:r>
      <w:r w:rsidRPr="00616897">
        <w:rPr>
          <w:rFonts w:ascii="Traditional Arabic" w:eastAsia="Calibri" w:hAnsi="Traditional Arabic" w:cs="Traditional Arabic" w:hint="cs"/>
          <w:sz w:val="24"/>
          <w:szCs w:val="24"/>
          <w:highlight w:val="yellow"/>
          <w:rtl/>
          <w:lang w:bidi="ar-EG"/>
        </w:rPr>
        <w:t>(</w:t>
      </w:r>
      <w:r w:rsidRPr="00616897">
        <w:rPr>
          <w:rFonts w:ascii="Traditional Arabic" w:eastAsia="Calibri" w:hAnsi="Traditional Arabic" w:cs="Traditional Arabic"/>
          <w:sz w:val="24"/>
          <w:szCs w:val="24"/>
          <w:highlight w:val="yellow"/>
          <w:rtl/>
        </w:rPr>
        <w:t>تقليل الأخطاء الطبية، فعالية أنظمة الإبلاغ، بيئة العمل الآمنة، جودة الرعاية</w:t>
      </w:r>
      <w:r w:rsidRPr="00616897">
        <w:rPr>
          <w:rFonts w:ascii="Traditional Arabic" w:eastAsia="Calibri" w:hAnsi="Traditional Arabic" w:cs="Traditional Arabic" w:hint="cs"/>
          <w:sz w:val="24"/>
          <w:szCs w:val="24"/>
          <w:highlight w:val="yellow"/>
          <w:rtl/>
          <w:lang w:bidi="ar-EG"/>
        </w:rPr>
        <w:t>)،</w:t>
      </w:r>
      <w:r w:rsidRPr="00616897">
        <w:rPr>
          <w:rFonts w:ascii="Traditional Arabic" w:eastAsia="Calibri" w:hAnsi="Traditional Arabic" w:cs="Traditional Arabic"/>
          <w:sz w:val="24"/>
          <w:szCs w:val="24"/>
          <w:highlight w:val="yellow"/>
          <w:rtl/>
        </w:rPr>
        <w:t xml:space="preserve"> بينما غاب هذا الدور في بُعد </w:t>
      </w:r>
      <w:r w:rsidRPr="00616897">
        <w:rPr>
          <w:rFonts w:ascii="Traditional Arabic" w:eastAsia="Calibri" w:hAnsi="Traditional Arabic" w:cs="Traditional Arabic"/>
          <w:sz w:val="24"/>
          <w:szCs w:val="24"/>
          <w:highlight w:val="yellow"/>
          <w:lang w:bidi="ar-EG"/>
        </w:rPr>
        <w:t>"</w:t>
      </w:r>
      <w:r w:rsidRPr="00616897">
        <w:rPr>
          <w:rFonts w:ascii="Traditional Arabic" w:eastAsia="Calibri" w:hAnsi="Traditional Arabic" w:cs="Traditional Arabic"/>
          <w:sz w:val="24"/>
          <w:szCs w:val="24"/>
          <w:highlight w:val="yellow"/>
          <w:rtl/>
        </w:rPr>
        <w:t>إشراك المرضى</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 xml:space="preserve">هذا النمط يعكس تحقق </w:t>
      </w:r>
      <w:r w:rsidRPr="00616897">
        <w:rPr>
          <w:rFonts w:ascii="Traditional Arabic" w:eastAsia="Calibri" w:hAnsi="Traditional Arabic" w:cs="Traditional Arabic"/>
          <w:b/>
          <w:bCs/>
          <w:sz w:val="24"/>
          <w:szCs w:val="24"/>
          <w:highlight w:val="yellow"/>
          <w:rtl/>
        </w:rPr>
        <w:t xml:space="preserve">التوسط </w:t>
      </w:r>
      <w:r w:rsidRPr="00616897">
        <w:rPr>
          <w:rFonts w:ascii="Traditional Arabic" w:eastAsia="Calibri" w:hAnsi="Traditional Arabic" w:cs="Traditional Arabic"/>
          <w:sz w:val="24"/>
          <w:szCs w:val="24"/>
          <w:highlight w:val="yellow"/>
          <w:rtl/>
        </w:rPr>
        <w:t>ويؤكد أن تقييم المخاطر يسهم مباشرة في تعزيز سلامة المرضى، ويتدعم أثره عبر القيادة التحويلية، في حين يبقى إشراك المرضى مرتبطاً بالسياسات والمعايير التنظيمية المباشرة دون تأثير قيادي</w:t>
      </w:r>
      <w:r w:rsidRPr="00616897">
        <w:rPr>
          <w:rFonts w:ascii="Traditional Arabic" w:eastAsia="Calibri" w:hAnsi="Traditional Arabic" w:cs="Traditional Arabic"/>
          <w:sz w:val="24"/>
          <w:szCs w:val="24"/>
          <w:highlight w:val="yellow"/>
          <w:lang w:bidi="ar-EG"/>
        </w:rPr>
        <w:t>.</w:t>
      </w:r>
    </w:p>
    <w:p w14:paraId="2B991DF9" w14:textId="4DB4A1A6" w:rsidR="00EC2B9A" w:rsidRPr="00616897" w:rsidRDefault="00EC2B9A" w:rsidP="00EC2B9A">
      <w:pPr>
        <w:pStyle w:val="ListParagraph"/>
        <w:numPr>
          <w:ilvl w:val="1"/>
          <w:numId w:val="23"/>
        </w:numPr>
        <w:bidi/>
        <w:spacing w:after="200" w:line="360" w:lineRule="auto"/>
        <w:jc w:val="both"/>
        <w:rPr>
          <w:rFonts w:ascii="Traditional Arabic" w:eastAsia="Calibri" w:hAnsi="Traditional Arabic" w:cs="Traditional Arabic"/>
          <w:sz w:val="24"/>
          <w:szCs w:val="24"/>
          <w:highlight w:val="yellow"/>
        </w:rPr>
      </w:pPr>
      <w:r w:rsidRPr="00616897">
        <w:rPr>
          <w:rFonts w:ascii="Traditional Arabic" w:eastAsia="Calibri" w:hAnsi="Traditional Arabic" w:cs="Traditional Arabic" w:hint="cs"/>
          <w:sz w:val="24"/>
          <w:szCs w:val="24"/>
          <w:highlight w:val="yellow"/>
          <w:rtl/>
          <w:lang w:bidi="ar-EG"/>
        </w:rPr>
        <w:t xml:space="preserve">تتوسط القيادة التحويلية العلاقة بين الإستجابة المخاطر </w:t>
      </w:r>
      <w:r w:rsidRPr="00616897">
        <w:rPr>
          <w:rFonts w:ascii="Traditional Arabic" w:eastAsia="Calibri" w:hAnsi="Traditional Arabic" w:cs="Traditional Arabic" w:hint="cs"/>
          <w:sz w:val="24"/>
          <w:szCs w:val="24"/>
          <w:highlight w:val="yellow"/>
          <w:rtl/>
        </w:rPr>
        <w:t>وسلامة المرضى في المستشفيات الحكومية بالمملكة العربية السعودية.</w:t>
      </w:r>
    </w:p>
    <w:p w14:paraId="0D715F5C" w14:textId="77777777" w:rsidR="00EC2B9A" w:rsidRPr="00616897" w:rsidRDefault="00EC2B9A" w:rsidP="00EC2B9A">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sz w:val="24"/>
          <w:szCs w:val="24"/>
          <w:highlight w:val="yellow"/>
          <w:rtl/>
          <w:lang w:bidi="ar-EG"/>
        </w:rPr>
        <w:t>وللتحقق من هذا الفرض، استخدمت الباحثة أسلوب نمذجة المعادلات الهيكلية (</w:t>
      </w:r>
      <w:r w:rsidRPr="00616897">
        <w:rPr>
          <w:rFonts w:ascii="Traditional Arabic" w:eastAsia="Calibri" w:hAnsi="Traditional Arabic" w:cs="Traditional Arabic"/>
          <w:sz w:val="24"/>
          <w:szCs w:val="24"/>
          <w:highlight w:val="yellow"/>
          <w:lang w:bidi="ar-EG"/>
        </w:rPr>
        <w:t>SEM</w:t>
      </w:r>
      <w:r w:rsidRPr="00616897">
        <w:rPr>
          <w:rFonts w:ascii="Traditional Arabic" w:eastAsia="Calibri" w:hAnsi="Traditional Arabic" w:cs="Traditional Arabic"/>
          <w:sz w:val="24"/>
          <w:szCs w:val="24"/>
          <w:highlight w:val="yellow"/>
          <w:rtl/>
          <w:lang w:bidi="ar-EG"/>
        </w:rPr>
        <w:t>) بطريقة المربعات الصغرى الجزئية (</w:t>
      </w:r>
      <w:r w:rsidRPr="00616897">
        <w:rPr>
          <w:rFonts w:ascii="Traditional Arabic" w:eastAsia="Calibri" w:hAnsi="Traditional Arabic" w:cs="Traditional Arabic"/>
          <w:sz w:val="24"/>
          <w:szCs w:val="24"/>
          <w:highlight w:val="yellow"/>
          <w:lang w:bidi="ar-EG"/>
        </w:rPr>
        <w:t>PLS-SEM</w:t>
      </w:r>
      <w:r w:rsidRPr="00616897">
        <w:rPr>
          <w:rFonts w:ascii="Traditional Arabic" w:eastAsia="Calibri" w:hAnsi="Traditional Arabic" w:cs="Traditional Arabic"/>
          <w:sz w:val="24"/>
          <w:szCs w:val="24"/>
          <w:highlight w:val="yellow"/>
          <w:rtl/>
          <w:lang w:bidi="ar-EG"/>
        </w:rPr>
        <w:t>) لتحليل العلاقات المباشرة وغير المباشرة واختبار دلالة المسارات داخل النموذج."</w:t>
      </w:r>
    </w:p>
    <w:p w14:paraId="6D0DB93B" w14:textId="09298D8F" w:rsidR="00EC2B9A" w:rsidRPr="00616897" w:rsidRDefault="00EC2B9A" w:rsidP="00EC2B9A">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جدول (21) نتائج إختبار الفرض 3/ 4 للدراسة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675"/>
        <w:gridCol w:w="1649"/>
        <w:gridCol w:w="1649"/>
        <w:gridCol w:w="1649"/>
        <w:gridCol w:w="1668"/>
      </w:tblGrid>
      <w:tr w:rsidR="00EC2B9A" w:rsidRPr="00616897" w14:paraId="7D7BCD8A" w14:textId="77777777" w:rsidTr="00F72FDD">
        <w:trPr>
          <w:tblCellSpacing w:w="20" w:type="dxa"/>
        </w:trPr>
        <w:tc>
          <w:tcPr>
            <w:tcW w:w="1615" w:type="dxa"/>
            <w:shd w:val="clear" w:color="auto" w:fill="E5DFEC" w:themeFill="accent4" w:themeFillTint="33"/>
          </w:tcPr>
          <w:p w14:paraId="2BBA6175" w14:textId="77777777" w:rsidR="00EC2B9A" w:rsidRPr="00616897" w:rsidRDefault="00EC2B9A"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lastRenderedPageBreak/>
              <w:t>العلاقة</w:t>
            </w:r>
          </w:p>
        </w:tc>
        <w:tc>
          <w:tcPr>
            <w:tcW w:w="1609" w:type="dxa"/>
            <w:shd w:val="clear" w:color="auto" w:fill="E5DFEC" w:themeFill="accent4" w:themeFillTint="33"/>
          </w:tcPr>
          <w:p w14:paraId="28399F58" w14:textId="77777777" w:rsidR="00EC2B9A" w:rsidRPr="00616897" w:rsidRDefault="00EC2B9A"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المباشر</w:t>
            </w:r>
          </w:p>
        </w:tc>
        <w:tc>
          <w:tcPr>
            <w:tcW w:w="1609" w:type="dxa"/>
            <w:shd w:val="clear" w:color="auto" w:fill="E5DFEC" w:themeFill="accent4" w:themeFillTint="33"/>
          </w:tcPr>
          <w:p w14:paraId="45A2C4A4" w14:textId="77777777" w:rsidR="00EC2B9A" w:rsidRPr="00616897" w:rsidRDefault="00EC2B9A"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غير المباشر</w:t>
            </w:r>
          </w:p>
        </w:tc>
        <w:tc>
          <w:tcPr>
            <w:tcW w:w="1609" w:type="dxa"/>
            <w:shd w:val="clear" w:color="auto" w:fill="E5DFEC" w:themeFill="accent4" w:themeFillTint="33"/>
          </w:tcPr>
          <w:p w14:paraId="105EA0F9" w14:textId="77777777" w:rsidR="00EC2B9A" w:rsidRPr="00616897" w:rsidRDefault="00EC2B9A"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التأثير الكلي</w:t>
            </w:r>
          </w:p>
        </w:tc>
        <w:tc>
          <w:tcPr>
            <w:tcW w:w="1608" w:type="dxa"/>
            <w:shd w:val="clear" w:color="auto" w:fill="E5DFEC" w:themeFill="accent4" w:themeFillTint="33"/>
          </w:tcPr>
          <w:p w14:paraId="19521852" w14:textId="77777777" w:rsidR="00EC2B9A" w:rsidRPr="00616897" w:rsidRDefault="00EC2B9A" w:rsidP="00F72FDD">
            <w:pPr>
              <w:bidi/>
              <w:spacing w:after="200" w:line="360" w:lineRule="auto"/>
              <w:jc w:val="both"/>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النتيجة</w:t>
            </w:r>
          </w:p>
        </w:tc>
      </w:tr>
      <w:tr w:rsidR="00EC2B9A" w:rsidRPr="00616897" w14:paraId="2007DCAC" w14:textId="77777777" w:rsidTr="00F72FDD">
        <w:trPr>
          <w:tblCellSpacing w:w="20" w:type="dxa"/>
        </w:trPr>
        <w:tc>
          <w:tcPr>
            <w:tcW w:w="1615" w:type="dxa"/>
            <w:shd w:val="clear" w:color="auto" w:fill="E5DFEC" w:themeFill="accent4" w:themeFillTint="33"/>
          </w:tcPr>
          <w:p w14:paraId="1189197A" w14:textId="4C9B61DF" w:rsidR="00EC2B9A" w:rsidRPr="00616897" w:rsidRDefault="00EC2B9A"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الإستجابة المخاطر</w:t>
            </w:r>
            <w:r w:rsidRPr="00616897">
              <w:rPr>
                <w:rFonts w:ascii="Yu Gothic UI Semilight" w:eastAsia="Yu Gothic UI Semilight" w:hAnsi="Yu Gothic UI Semilight" w:cs="Traditional Arabic" w:hint="eastAsia"/>
                <w:b/>
                <w:bCs/>
                <w:sz w:val="24"/>
                <w:szCs w:val="24"/>
                <w:highlight w:val="yellow"/>
                <w:rtl/>
                <w:lang w:bidi="ar-EG"/>
              </w:rPr>
              <w:t xml:space="preserve"> </w:t>
            </w:r>
            <w:r w:rsidRPr="00616897">
              <w:rPr>
                <w:rFonts w:ascii="Yu Gothic UI Semilight" w:eastAsia="Yu Gothic UI Semilight" w:hAnsi="Yu Gothic UI Semilight" w:cs="Traditional Arabic" w:hint="cs"/>
                <w:b/>
                <w:bCs/>
                <w:sz w:val="24"/>
                <w:szCs w:val="24"/>
                <w:highlight w:val="yellow"/>
                <w:rtl/>
                <w:lang w:bidi="ar-EG"/>
              </w:rPr>
              <w:t>_ القيادة التحيلية- تقليل الأخطاء الطبية</w:t>
            </w:r>
          </w:p>
        </w:tc>
        <w:tc>
          <w:tcPr>
            <w:tcW w:w="1609" w:type="dxa"/>
          </w:tcPr>
          <w:p w14:paraId="53A317FD" w14:textId="23DA1D4D"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0.312</w:t>
            </w:r>
          </w:p>
        </w:tc>
        <w:tc>
          <w:tcPr>
            <w:tcW w:w="1609" w:type="dxa"/>
          </w:tcPr>
          <w:p w14:paraId="32DC275E" w14:textId="2169B2CD"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0.078</w:t>
            </w:r>
          </w:p>
        </w:tc>
        <w:tc>
          <w:tcPr>
            <w:tcW w:w="1609" w:type="dxa"/>
          </w:tcPr>
          <w:p w14:paraId="42DF0E8D" w14:textId="4F440C11"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0.390</w:t>
            </w:r>
          </w:p>
        </w:tc>
        <w:tc>
          <w:tcPr>
            <w:tcW w:w="1608" w:type="dxa"/>
          </w:tcPr>
          <w:p w14:paraId="023E030E" w14:textId="7D3BFB05"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EC2B9A" w:rsidRPr="00616897" w14:paraId="66BA7961" w14:textId="77777777" w:rsidTr="00F72FDD">
        <w:trPr>
          <w:tblCellSpacing w:w="20" w:type="dxa"/>
        </w:trPr>
        <w:tc>
          <w:tcPr>
            <w:tcW w:w="1615" w:type="dxa"/>
            <w:shd w:val="clear" w:color="auto" w:fill="E5DFEC" w:themeFill="accent4" w:themeFillTint="33"/>
          </w:tcPr>
          <w:p w14:paraId="68A968E2" w14:textId="3E6987F4" w:rsidR="00EC2B9A" w:rsidRPr="00616897" w:rsidRDefault="00EC2B9A"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الإستجابة المخاطر-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فعالية أنظمة الإبلاغ</w:t>
            </w:r>
          </w:p>
        </w:tc>
        <w:tc>
          <w:tcPr>
            <w:tcW w:w="1609" w:type="dxa"/>
          </w:tcPr>
          <w:p w14:paraId="46299200" w14:textId="79B80620"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0.520</w:t>
            </w:r>
          </w:p>
        </w:tc>
        <w:tc>
          <w:tcPr>
            <w:tcW w:w="1609" w:type="dxa"/>
          </w:tcPr>
          <w:p w14:paraId="43D2D30E" w14:textId="33FCC1F1"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0.085</w:t>
            </w:r>
          </w:p>
        </w:tc>
        <w:tc>
          <w:tcPr>
            <w:tcW w:w="1609" w:type="dxa"/>
          </w:tcPr>
          <w:p w14:paraId="09F79DC0" w14:textId="30977A89"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0.605</w:t>
            </w:r>
          </w:p>
        </w:tc>
        <w:tc>
          <w:tcPr>
            <w:tcW w:w="1608" w:type="dxa"/>
          </w:tcPr>
          <w:p w14:paraId="7B6B842C" w14:textId="429A06AC" w:rsidR="00EC2B9A" w:rsidRPr="00616897" w:rsidRDefault="00EC2B9A"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EC2B9A" w:rsidRPr="00616897" w14:paraId="2D89522A" w14:textId="77777777" w:rsidTr="00F72FDD">
        <w:trPr>
          <w:tblCellSpacing w:w="20" w:type="dxa"/>
        </w:trPr>
        <w:tc>
          <w:tcPr>
            <w:tcW w:w="1615" w:type="dxa"/>
            <w:shd w:val="clear" w:color="auto" w:fill="E5DFEC" w:themeFill="accent4" w:themeFillTint="33"/>
          </w:tcPr>
          <w:p w14:paraId="1ACF5F93" w14:textId="70E30101" w:rsidR="00EC2B9A" w:rsidRPr="00616897" w:rsidRDefault="00EC2B9A"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الإستجابة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إشراك المرضى</w:t>
            </w:r>
          </w:p>
        </w:tc>
        <w:tc>
          <w:tcPr>
            <w:tcW w:w="1609" w:type="dxa"/>
          </w:tcPr>
          <w:p w14:paraId="20923C02" w14:textId="2A6095BD"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0.295</w:t>
            </w:r>
          </w:p>
        </w:tc>
        <w:tc>
          <w:tcPr>
            <w:tcW w:w="1609" w:type="dxa"/>
          </w:tcPr>
          <w:p w14:paraId="2514D5A5" w14:textId="1F7A5CEE"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0.002</w:t>
            </w:r>
          </w:p>
        </w:tc>
        <w:tc>
          <w:tcPr>
            <w:tcW w:w="1609" w:type="dxa"/>
          </w:tcPr>
          <w:p w14:paraId="2B54E845" w14:textId="57348547"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0.297</w:t>
            </w:r>
          </w:p>
        </w:tc>
        <w:tc>
          <w:tcPr>
            <w:tcW w:w="1608" w:type="dxa"/>
          </w:tcPr>
          <w:p w14:paraId="735F63EC" w14:textId="64164715"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غير معنوي</w:t>
            </w:r>
          </w:p>
        </w:tc>
      </w:tr>
      <w:tr w:rsidR="00EC2B9A" w:rsidRPr="00616897" w14:paraId="5ABC13C8" w14:textId="77777777" w:rsidTr="00F72FDD">
        <w:trPr>
          <w:tblCellSpacing w:w="20" w:type="dxa"/>
        </w:trPr>
        <w:tc>
          <w:tcPr>
            <w:tcW w:w="1615" w:type="dxa"/>
            <w:shd w:val="clear" w:color="auto" w:fill="E5DFEC" w:themeFill="accent4" w:themeFillTint="33"/>
          </w:tcPr>
          <w:p w14:paraId="0821F1CC" w14:textId="5AF0AA25" w:rsidR="00EC2B9A" w:rsidRPr="00616897" w:rsidRDefault="00EC2B9A"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الإستجابة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بيئة العمل الآمنة</w:t>
            </w:r>
          </w:p>
        </w:tc>
        <w:tc>
          <w:tcPr>
            <w:tcW w:w="1609" w:type="dxa"/>
          </w:tcPr>
          <w:p w14:paraId="1945DF1A" w14:textId="6DD86536"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0.410</w:t>
            </w:r>
          </w:p>
        </w:tc>
        <w:tc>
          <w:tcPr>
            <w:tcW w:w="1609" w:type="dxa"/>
          </w:tcPr>
          <w:p w14:paraId="288CA092" w14:textId="1C8A3AC1"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0.124</w:t>
            </w:r>
          </w:p>
        </w:tc>
        <w:tc>
          <w:tcPr>
            <w:tcW w:w="1609" w:type="dxa"/>
          </w:tcPr>
          <w:p w14:paraId="35F8B664" w14:textId="6C334B5F"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0.534</w:t>
            </w:r>
          </w:p>
        </w:tc>
        <w:tc>
          <w:tcPr>
            <w:tcW w:w="1608" w:type="dxa"/>
          </w:tcPr>
          <w:p w14:paraId="2179DA65" w14:textId="07992478"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r w:rsidR="00EC2B9A" w:rsidRPr="00616897" w14:paraId="56BA1C63" w14:textId="77777777" w:rsidTr="00F72FDD">
        <w:trPr>
          <w:tblCellSpacing w:w="20" w:type="dxa"/>
        </w:trPr>
        <w:tc>
          <w:tcPr>
            <w:tcW w:w="1615" w:type="dxa"/>
            <w:shd w:val="clear" w:color="auto" w:fill="E5DFEC" w:themeFill="accent4" w:themeFillTint="33"/>
          </w:tcPr>
          <w:p w14:paraId="7C4FB73E" w14:textId="1A9434C8" w:rsidR="00EC2B9A" w:rsidRPr="00616897" w:rsidRDefault="00EC2B9A" w:rsidP="00F72FDD">
            <w:pPr>
              <w:bidi/>
              <w:spacing w:after="200" w:line="360" w:lineRule="auto"/>
              <w:rPr>
                <w:rFonts w:ascii="Traditional Arabic" w:eastAsia="Calibri" w:hAnsi="Traditional Arabic" w:cs="Traditional Arabic"/>
                <w:b/>
                <w:bCs/>
                <w:sz w:val="24"/>
                <w:szCs w:val="24"/>
                <w:highlight w:val="yellow"/>
                <w:rtl/>
                <w:lang w:bidi="ar-EG"/>
              </w:rPr>
            </w:pPr>
            <w:r w:rsidRPr="00616897">
              <w:rPr>
                <w:rFonts w:ascii="Traditional Arabic" w:eastAsia="Calibri" w:hAnsi="Traditional Arabic" w:cs="Traditional Arabic" w:hint="cs"/>
                <w:b/>
                <w:bCs/>
                <w:sz w:val="24"/>
                <w:szCs w:val="24"/>
                <w:highlight w:val="yellow"/>
                <w:rtl/>
                <w:lang w:bidi="ar-EG"/>
              </w:rPr>
              <w:t xml:space="preserve">الإستجابة المخاطر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القيادة التحويلية </w:t>
            </w:r>
            <w:r w:rsidRPr="00616897">
              <w:rPr>
                <w:rFonts w:ascii="Traditional Arabic" w:eastAsia="Calibri" w:hAnsi="Traditional Arabic" w:cs="Traditional Arabic"/>
                <w:b/>
                <w:bCs/>
                <w:sz w:val="24"/>
                <w:szCs w:val="24"/>
                <w:highlight w:val="yellow"/>
                <w:rtl/>
                <w:lang w:bidi="ar-EG"/>
              </w:rPr>
              <w:t>–</w:t>
            </w:r>
            <w:r w:rsidRPr="00616897">
              <w:rPr>
                <w:rFonts w:ascii="Traditional Arabic" w:eastAsia="Calibri" w:hAnsi="Traditional Arabic" w:cs="Traditional Arabic" w:hint="cs"/>
                <w:b/>
                <w:bCs/>
                <w:sz w:val="24"/>
                <w:szCs w:val="24"/>
                <w:highlight w:val="yellow"/>
                <w:rtl/>
                <w:lang w:bidi="ar-EG"/>
              </w:rPr>
              <w:t xml:space="preserve"> جودة الرعاية</w:t>
            </w:r>
          </w:p>
        </w:tc>
        <w:tc>
          <w:tcPr>
            <w:tcW w:w="1609" w:type="dxa"/>
          </w:tcPr>
          <w:p w14:paraId="1935D2B1" w14:textId="29F5FFF5"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0.485</w:t>
            </w:r>
          </w:p>
        </w:tc>
        <w:tc>
          <w:tcPr>
            <w:tcW w:w="1609" w:type="dxa"/>
          </w:tcPr>
          <w:p w14:paraId="40E08BDE" w14:textId="2F7449F1"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0.091</w:t>
            </w:r>
          </w:p>
        </w:tc>
        <w:tc>
          <w:tcPr>
            <w:tcW w:w="1609" w:type="dxa"/>
          </w:tcPr>
          <w:p w14:paraId="0162AD00" w14:textId="2BB822BB"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0.576</w:t>
            </w:r>
          </w:p>
        </w:tc>
        <w:tc>
          <w:tcPr>
            <w:tcW w:w="1608" w:type="dxa"/>
          </w:tcPr>
          <w:p w14:paraId="41939B50" w14:textId="0F05305B" w:rsidR="00EC2B9A" w:rsidRPr="00616897" w:rsidRDefault="00B735BE" w:rsidP="00F72FDD">
            <w:pPr>
              <w:bidi/>
              <w:spacing w:after="200" w:line="360" w:lineRule="auto"/>
              <w:jc w:val="both"/>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hint="cs"/>
                <w:sz w:val="24"/>
                <w:szCs w:val="24"/>
                <w:highlight w:val="yellow"/>
                <w:rtl/>
                <w:lang w:bidi="ar-EG"/>
              </w:rPr>
              <w:t>معنوي</w:t>
            </w:r>
          </w:p>
        </w:tc>
      </w:tr>
    </w:tbl>
    <w:p w14:paraId="45684672" w14:textId="7993C15D" w:rsidR="00CC5E70" w:rsidRPr="00616897" w:rsidRDefault="00B735BE" w:rsidP="00B735BE">
      <w:pPr>
        <w:bidi/>
        <w:spacing w:after="200" w:line="360" w:lineRule="auto"/>
        <w:contextualSpacing/>
        <w:jc w:val="right"/>
        <w:rPr>
          <w:rFonts w:ascii="Traditional Arabic" w:eastAsia="Calibri" w:hAnsi="Traditional Arabic" w:cs="Traditional Arabic"/>
          <w:sz w:val="24"/>
          <w:szCs w:val="24"/>
          <w:highlight w:val="yellow"/>
          <w:rtl/>
          <w:lang w:bidi="ar-EG"/>
        </w:rPr>
      </w:pPr>
      <w:r w:rsidRPr="00616897">
        <w:rPr>
          <w:rFonts w:ascii="Traditional Arabic" w:eastAsia="Calibri" w:hAnsi="Traditional Arabic" w:cs="Traditional Arabic"/>
          <w:b/>
          <w:bCs/>
          <w:sz w:val="24"/>
          <w:szCs w:val="24"/>
          <w:highlight w:val="yellow"/>
          <w:rtl/>
        </w:rPr>
        <w:t>المصدر</w:t>
      </w:r>
      <w:r w:rsidRPr="00616897">
        <w:rPr>
          <w:rFonts w:ascii="Traditional Arabic" w:eastAsia="Calibri" w:hAnsi="Traditional Arabic" w:cs="Traditional Arabic"/>
          <w:b/>
          <w:bCs/>
          <w:sz w:val="24"/>
          <w:szCs w:val="24"/>
          <w:highlight w:val="yellow"/>
          <w:lang w:bidi="ar-EG"/>
        </w:rPr>
        <w:t>:</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إعداد الباحثة اعتماداً على مخرجات التحليل الإحصائي</w:t>
      </w:r>
      <w:r w:rsidRPr="00616897">
        <w:rPr>
          <w:rFonts w:ascii="Traditional Arabic" w:eastAsia="Calibri" w:hAnsi="Traditional Arabic" w:cs="Traditional Arabic"/>
          <w:sz w:val="24"/>
          <w:szCs w:val="24"/>
          <w:highlight w:val="yellow"/>
          <w:lang w:bidi="ar-EG"/>
        </w:rPr>
        <w:t xml:space="preserve"> (SPSS).</w:t>
      </w:r>
    </w:p>
    <w:p w14:paraId="5BF6482C" w14:textId="60990282" w:rsidR="00C30D97" w:rsidRPr="00B735BE" w:rsidRDefault="00B735BE" w:rsidP="00B735BE">
      <w:pPr>
        <w:bidi/>
        <w:spacing w:after="200" w:line="360" w:lineRule="auto"/>
        <w:jc w:val="both"/>
        <w:rPr>
          <w:rFonts w:ascii="Traditional Arabic" w:eastAsia="Calibri" w:hAnsi="Traditional Arabic" w:cs="Traditional Arabic"/>
          <w:sz w:val="24"/>
          <w:szCs w:val="24"/>
          <w:lang w:bidi="ar-EG"/>
        </w:rPr>
      </w:pPr>
      <w:r w:rsidRPr="00616897">
        <w:rPr>
          <w:rFonts w:ascii="Traditional Arabic" w:eastAsia="Calibri" w:hAnsi="Traditional Arabic" w:cs="Traditional Arabic" w:hint="cs"/>
          <w:sz w:val="24"/>
          <w:szCs w:val="24"/>
          <w:highlight w:val="yellow"/>
          <w:rtl/>
        </w:rPr>
        <w:t>نستنتج من التحليل الإحصائي</w:t>
      </w:r>
      <w:r w:rsidRPr="00616897">
        <w:rPr>
          <w:rFonts w:ascii="Traditional Arabic" w:eastAsia="Calibri" w:hAnsi="Traditional Arabic" w:cs="Traditional Arabic"/>
          <w:sz w:val="24"/>
          <w:szCs w:val="24"/>
          <w:highlight w:val="yellow"/>
          <w:lang w:bidi="ar-EG"/>
        </w:rPr>
        <w:t xml:space="preserve"> </w:t>
      </w:r>
      <w:r w:rsidRPr="00616897">
        <w:rPr>
          <w:rFonts w:ascii="Traditional Arabic" w:eastAsia="Calibri" w:hAnsi="Traditional Arabic" w:cs="Traditional Arabic"/>
          <w:sz w:val="24"/>
          <w:szCs w:val="24"/>
          <w:highlight w:val="yellow"/>
          <w:rtl/>
        </w:rPr>
        <w:t xml:space="preserve">قبول الفرضية </w:t>
      </w:r>
      <w:r w:rsidRPr="00616897">
        <w:rPr>
          <w:rFonts w:ascii="Traditional Arabic" w:eastAsia="Calibri" w:hAnsi="Traditional Arabic" w:cs="Traditional Arabic" w:hint="cs"/>
          <w:sz w:val="24"/>
          <w:szCs w:val="24"/>
          <w:highlight w:val="yellow"/>
          <w:rtl/>
        </w:rPr>
        <w:t>الفرعية</w:t>
      </w:r>
      <w:r w:rsidRPr="00616897">
        <w:rPr>
          <w:rFonts w:ascii="Traditional Arabic" w:eastAsia="Calibri" w:hAnsi="Traditional Arabic" w:cs="Traditional Arabic"/>
          <w:sz w:val="24"/>
          <w:szCs w:val="24"/>
          <w:highlight w:val="yellow"/>
          <w:rtl/>
        </w:rPr>
        <w:t xml:space="preserve"> عند اختبار بُعد "الاستجابة للمخاطر"، حيث ثبت دور وسيط دال للقيادة التحويلية في أربعة أبعاد من سلامة المرضى (تقليل الأخطاء الطبية، فعالية أنظمة الإبلاغ، بيئة العمل الآمنة، جودة الرعاية)، مع ارتفاع ملحوظ في قيم التأثيرات غير المباشرة. في المقابل، لم يظهر للقيادة التحويلية أثر وسيط في بُعد "إشراك المرضى"، إذ بقي التأثير المباشر دالاً بينما غاب الأثر غير المباشر، مما يعكس أن إشراك المرضى يرتبط ببروتوكولات إلزامية ومعايير تنظيمية مستقلة عن النمط القيادي. هذا التباين يبرز قوة النموذج في تفسير العلاقات المعقدة داخل بيئة المستشفيات الحكومية السعودية</w:t>
      </w:r>
      <w:r w:rsidRPr="00616897">
        <w:rPr>
          <w:rFonts w:ascii="Traditional Arabic" w:eastAsia="Calibri" w:hAnsi="Traditional Arabic" w:cs="Traditional Arabic"/>
          <w:sz w:val="24"/>
          <w:szCs w:val="24"/>
          <w:highlight w:val="yellow"/>
          <w:lang w:bidi="ar-EG"/>
        </w:rPr>
        <w:t>.</w:t>
      </w:r>
    </w:p>
    <w:p w14:paraId="415F0414" w14:textId="39A805C5" w:rsidR="00AF1F30" w:rsidRPr="0044090C" w:rsidRDefault="00686687" w:rsidP="00EA4FF8">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lastRenderedPageBreak/>
        <w:t>الفرض الرئيسي الخامس (فرض الفروق الديموغرافية):"</w:t>
      </w:r>
      <w:r w:rsidRPr="0044090C">
        <w:rPr>
          <w:rFonts w:ascii="Traditional Arabic" w:eastAsia="Calibri" w:hAnsi="Traditional Arabic" w:cs="Traditional Arabic"/>
          <w:sz w:val="24"/>
          <w:szCs w:val="24"/>
          <w:rtl/>
          <w:lang w:bidi="ar-EG"/>
        </w:rPr>
        <w:t>توجد فروق ذات دلالة إحصائية في إدراك أفراد العينة لمتغيرات الدراسة تُعزى للمتغيرات الديموغرافية والوظيفية (النوع، المؤهل العلمي، نوع الوظيفة، سنوات الخبرة)."</w:t>
      </w:r>
    </w:p>
    <w:p w14:paraId="10269273" w14:textId="03F931D2" w:rsidR="008E2211" w:rsidRPr="0044090C" w:rsidRDefault="00FB7150" w:rsidP="00B735BE">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استخدمت الباحثة اختبار تائي للمجموعات المستقلة</w:t>
      </w:r>
      <w:r w:rsidRPr="0044090C">
        <w:rPr>
          <w:rFonts w:ascii="Traditional Arabic" w:eastAsia="Calibri" w:hAnsi="Traditional Arabic" w:cs="Traditional Arabic"/>
          <w:sz w:val="24"/>
          <w:szCs w:val="24"/>
          <w:lang w:bidi="ar-EG"/>
        </w:rPr>
        <w:t xml:space="preserve"> (Independent Samples T-test) </w:t>
      </w:r>
      <w:r w:rsidRPr="0044090C">
        <w:rPr>
          <w:rFonts w:ascii="Traditional Arabic" w:eastAsia="Calibri" w:hAnsi="Traditional Arabic" w:cs="Traditional Arabic"/>
          <w:sz w:val="24"/>
          <w:szCs w:val="24"/>
          <w:rtl/>
        </w:rPr>
        <w:t>للتعرف على وجود فروق ذات دلالة</w:t>
      </w:r>
      <w:r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tl/>
        </w:rPr>
        <w:t>إحصائية في استجابات أفراد العينة تعزى للنوع، والجدول التالي يوضح هذه النتائج</w:t>
      </w:r>
      <w:r w:rsidRPr="0044090C">
        <w:rPr>
          <w:rFonts w:ascii="Traditional Arabic" w:eastAsia="Calibri" w:hAnsi="Traditional Arabic" w:cs="Traditional Arabic"/>
          <w:sz w:val="24"/>
          <w:szCs w:val="24"/>
          <w:lang w:bidi="ar-EG"/>
        </w:rPr>
        <w:t>:</w:t>
      </w:r>
    </w:p>
    <w:p w14:paraId="06FBE173" w14:textId="3B2135FE" w:rsidR="00AC5CD4" w:rsidRPr="0044090C" w:rsidRDefault="00AC5CD4" w:rsidP="005A1F9B">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الجدول (</w:t>
      </w:r>
      <w:r w:rsidR="00B735BE">
        <w:rPr>
          <w:rFonts w:ascii="Traditional Arabic" w:eastAsia="Calibri" w:hAnsi="Traditional Arabic" w:cs="Traditional Arabic" w:hint="cs"/>
          <w:b/>
          <w:bCs/>
          <w:sz w:val="24"/>
          <w:szCs w:val="24"/>
          <w:rtl/>
        </w:rPr>
        <w:t>22</w:t>
      </w:r>
      <w:r w:rsidRPr="0044090C">
        <w:rPr>
          <w:rFonts w:ascii="Traditional Arabic" w:eastAsia="Calibri" w:hAnsi="Traditional Arabic" w:cs="Traditional Arabic"/>
          <w:b/>
          <w:bCs/>
          <w:sz w:val="24"/>
          <w:szCs w:val="24"/>
          <w:rtl/>
        </w:rPr>
        <w:t>): نتائج اختبار</w:t>
      </w:r>
      <w:r w:rsidRPr="0044090C">
        <w:rPr>
          <w:rFonts w:ascii="Traditional Arabic" w:eastAsia="Calibri" w:hAnsi="Traditional Arabic" w:cs="Traditional Arabic"/>
          <w:b/>
          <w:bCs/>
          <w:sz w:val="24"/>
          <w:szCs w:val="24"/>
          <w:lang w:bidi="ar-EG"/>
        </w:rPr>
        <w:t xml:space="preserve"> (T-test) </w:t>
      </w:r>
      <w:r w:rsidRPr="0044090C">
        <w:rPr>
          <w:rFonts w:ascii="Traditional Arabic" w:eastAsia="Calibri" w:hAnsi="Traditional Arabic" w:cs="Traditional Arabic"/>
          <w:b/>
          <w:bCs/>
          <w:sz w:val="24"/>
          <w:szCs w:val="24"/>
          <w:rtl/>
        </w:rPr>
        <w:t>لاستجابات العينة باختلاف النوع</w:t>
      </w:r>
    </w:p>
    <w:tbl>
      <w:tblPr>
        <w:tblW w:w="0" w:type="auto"/>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747"/>
        <w:gridCol w:w="1322"/>
        <w:gridCol w:w="722"/>
        <w:gridCol w:w="1109"/>
        <w:gridCol w:w="1138"/>
        <w:gridCol w:w="1084"/>
        <w:gridCol w:w="744"/>
        <w:gridCol w:w="424"/>
      </w:tblGrid>
      <w:tr w:rsidR="008E2211" w:rsidRPr="0044090C" w14:paraId="1F3DD305" w14:textId="77777777" w:rsidTr="006C3444">
        <w:trPr>
          <w:tblHeader/>
          <w:tblCellSpacing w:w="15" w:type="dxa"/>
          <w:jc w:val="center"/>
        </w:trPr>
        <w:tc>
          <w:tcPr>
            <w:tcW w:w="0" w:type="auto"/>
            <w:shd w:val="clear" w:color="auto" w:fill="E5DFEC" w:themeFill="accent4" w:themeFillTint="33"/>
            <w:vAlign w:val="center"/>
            <w:hideMark/>
          </w:tcPr>
          <w:p w14:paraId="0804B087"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القرار الإحصائي</w:t>
            </w:r>
          </w:p>
        </w:tc>
        <w:tc>
          <w:tcPr>
            <w:tcW w:w="0" w:type="auto"/>
            <w:shd w:val="clear" w:color="auto" w:fill="E5DFEC" w:themeFill="accent4" w:themeFillTint="33"/>
            <w:hideMark/>
          </w:tcPr>
          <w:p w14:paraId="36F4E3EA" w14:textId="4D031FE6"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0"/>
                <w:szCs w:val="20"/>
                <w:rtl/>
              </w:rPr>
              <w:t>مستوى الدلالة</w:t>
            </w:r>
            <w:r w:rsidRPr="0044090C">
              <w:rPr>
                <w:rFonts w:ascii="Traditional Arabic" w:eastAsia="Calibri" w:hAnsi="Traditional Arabic" w:cs="Traditional Arabic" w:hint="cs"/>
                <w:b/>
                <w:bCs/>
                <w:sz w:val="20"/>
                <w:szCs w:val="20"/>
              </w:rPr>
              <w:t xml:space="preserve"> (Sig.)</w:t>
            </w:r>
          </w:p>
        </w:tc>
        <w:tc>
          <w:tcPr>
            <w:tcW w:w="0" w:type="auto"/>
            <w:shd w:val="clear" w:color="auto" w:fill="E5DFEC" w:themeFill="accent4" w:themeFillTint="33"/>
            <w:vAlign w:val="center"/>
            <w:hideMark/>
          </w:tcPr>
          <w:p w14:paraId="6BD85CAD" w14:textId="29C45C79"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rtl/>
                <w:lang w:bidi="ar-EG"/>
              </w:rPr>
              <w:t xml:space="preserve">قيمة ت </w:t>
            </w:r>
            <w:r w:rsidRPr="0044090C">
              <w:rPr>
                <w:rFonts w:ascii="Traditional Arabic" w:eastAsia="Calibri" w:hAnsi="Traditional Arabic" w:cs="Traditional Arabic"/>
                <w:b/>
                <w:bCs/>
                <w:sz w:val="24"/>
                <w:szCs w:val="24"/>
                <w:lang w:bidi="ar-EG"/>
              </w:rPr>
              <w:t>t</w:t>
            </w:r>
          </w:p>
        </w:tc>
        <w:tc>
          <w:tcPr>
            <w:tcW w:w="0" w:type="auto"/>
            <w:shd w:val="clear" w:color="auto" w:fill="E5DFEC" w:themeFill="accent4" w:themeFillTint="33"/>
            <w:hideMark/>
          </w:tcPr>
          <w:p w14:paraId="66683C6D" w14:textId="00544840"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0"/>
                <w:szCs w:val="20"/>
                <w:rtl/>
              </w:rPr>
              <w:t>درجات الحرية</w:t>
            </w:r>
            <w:r w:rsidRPr="0044090C">
              <w:rPr>
                <w:rFonts w:ascii="Traditional Arabic" w:eastAsia="Calibri" w:hAnsi="Traditional Arabic" w:cs="Traditional Arabic" w:hint="cs"/>
                <w:b/>
                <w:bCs/>
                <w:sz w:val="20"/>
                <w:szCs w:val="20"/>
              </w:rPr>
              <w:t xml:space="preserve"> (df)</w:t>
            </w:r>
          </w:p>
        </w:tc>
        <w:tc>
          <w:tcPr>
            <w:tcW w:w="0" w:type="auto"/>
            <w:shd w:val="clear" w:color="auto" w:fill="E5DFEC" w:themeFill="accent4" w:themeFillTint="33"/>
            <w:vAlign w:val="center"/>
            <w:hideMark/>
          </w:tcPr>
          <w:p w14:paraId="47E30ADF"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الانحراف المعياري</w:t>
            </w:r>
          </w:p>
        </w:tc>
        <w:tc>
          <w:tcPr>
            <w:tcW w:w="0" w:type="auto"/>
            <w:shd w:val="clear" w:color="auto" w:fill="E5DFEC" w:themeFill="accent4" w:themeFillTint="33"/>
            <w:vAlign w:val="center"/>
            <w:hideMark/>
          </w:tcPr>
          <w:p w14:paraId="6C24EEB7"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المتوسط الحسابي</w:t>
            </w:r>
          </w:p>
        </w:tc>
        <w:tc>
          <w:tcPr>
            <w:tcW w:w="0" w:type="auto"/>
            <w:shd w:val="clear" w:color="auto" w:fill="E5DFEC" w:themeFill="accent4" w:themeFillTint="33"/>
            <w:vAlign w:val="center"/>
            <w:hideMark/>
          </w:tcPr>
          <w:p w14:paraId="5FE6DD49"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العدد</w:t>
            </w:r>
            <w:r w:rsidRPr="0044090C">
              <w:rPr>
                <w:rFonts w:ascii="Traditional Arabic" w:eastAsia="Calibri" w:hAnsi="Traditional Arabic" w:cs="Traditional Arabic"/>
                <w:b/>
                <w:bCs/>
                <w:sz w:val="24"/>
                <w:szCs w:val="24"/>
                <w:lang w:bidi="ar-EG"/>
              </w:rPr>
              <w:t xml:space="preserve"> (n)</w:t>
            </w:r>
          </w:p>
        </w:tc>
        <w:tc>
          <w:tcPr>
            <w:tcW w:w="0" w:type="auto"/>
            <w:shd w:val="clear" w:color="auto" w:fill="E5DFEC" w:themeFill="accent4" w:themeFillTint="33"/>
            <w:vAlign w:val="center"/>
            <w:hideMark/>
          </w:tcPr>
          <w:p w14:paraId="36C42EA2" w14:textId="77777777" w:rsidR="008E2211" w:rsidRPr="0044090C" w:rsidRDefault="008E2211" w:rsidP="008E2211">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النوع</w:t>
            </w:r>
          </w:p>
        </w:tc>
      </w:tr>
      <w:tr w:rsidR="008E2211" w:rsidRPr="0044090C" w14:paraId="7114FDAD" w14:textId="77777777" w:rsidTr="00AC5CD4">
        <w:trPr>
          <w:tblCellSpacing w:w="15" w:type="dxa"/>
          <w:jc w:val="center"/>
        </w:trPr>
        <w:tc>
          <w:tcPr>
            <w:tcW w:w="0" w:type="auto"/>
            <w:vAlign w:val="center"/>
            <w:hideMark/>
          </w:tcPr>
          <w:p w14:paraId="21D53C50"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دال إحصائياً لصالح الذكور</w:t>
            </w:r>
          </w:p>
        </w:tc>
        <w:tc>
          <w:tcPr>
            <w:tcW w:w="0" w:type="auto"/>
            <w:vAlign w:val="center"/>
            <w:hideMark/>
          </w:tcPr>
          <w:p w14:paraId="0C77863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0.034</w:t>
            </w:r>
          </w:p>
        </w:tc>
        <w:tc>
          <w:tcPr>
            <w:tcW w:w="0" w:type="auto"/>
            <w:vAlign w:val="center"/>
            <w:hideMark/>
          </w:tcPr>
          <w:p w14:paraId="60645B1F"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2.14</w:t>
            </w:r>
          </w:p>
        </w:tc>
        <w:tc>
          <w:tcPr>
            <w:tcW w:w="0" w:type="auto"/>
            <w:vAlign w:val="center"/>
            <w:hideMark/>
          </w:tcPr>
          <w:p w14:paraId="05089320"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387</w:t>
            </w:r>
          </w:p>
        </w:tc>
        <w:tc>
          <w:tcPr>
            <w:tcW w:w="0" w:type="auto"/>
            <w:vAlign w:val="center"/>
            <w:hideMark/>
          </w:tcPr>
          <w:p w14:paraId="3500E474"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0.62</w:t>
            </w:r>
          </w:p>
        </w:tc>
        <w:tc>
          <w:tcPr>
            <w:tcW w:w="0" w:type="auto"/>
            <w:vAlign w:val="center"/>
            <w:hideMark/>
          </w:tcPr>
          <w:p w14:paraId="7E4907F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3.85</w:t>
            </w:r>
          </w:p>
        </w:tc>
        <w:tc>
          <w:tcPr>
            <w:tcW w:w="0" w:type="auto"/>
            <w:vAlign w:val="center"/>
            <w:hideMark/>
          </w:tcPr>
          <w:p w14:paraId="52C34FB1"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165</w:t>
            </w:r>
          </w:p>
        </w:tc>
        <w:tc>
          <w:tcPr>
            <w:tcW w:w="0" w:type="auto"/>
            <w:shd w:val="clear" w:color="auto" w:fill="E5DFEC" w:themeFill="accent4" w:themeFillTint="33"/>
            <w:vAlign w:val="center"/>
            <w:hideMark/>
          </w:tcPr>
          <w:p w14:paraId="29D525B9" w14:textId="77777777" w:rsidR="008E2211" w:rsidRPr="0044090C" w:rsidRDefault="008E2211" w:rsidP="008E2211">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ذكور</w:t>
            </w:r>
          </w:p>
        </w:tc>
      </w:tr>
      <w:tr w:rsidR="008E2211" w:rsidRPr="0044090C" w14:paraId="24613720" w14:textId="77777777" w:rsidTr="00AC5CD4">
        <w:trPr>
          <w:tblCellSpacing w:w="15" w:type="dxa"/>
          <w:jc w:val="center"/>
        </w:trPr>
        <w:tc>
          <w:tcPr>
            <w:tcW w:w="0" w:type="auto"/>
            <w:vAlign w:val="center"/>
            <w:hideMark/>
          </w:tcPr>
          <w:p w14:paraId="4D54BD06"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6E46DAA"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44FEE78"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97C580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2499D4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0.58</w:t>
            </w:r>
          </w:p>
        </w:tc>
        <w:tc>
          <w:tcPr>
            <w:tcW w:w="0" w:type="auto"/>
            <w:vAlign w:val="center"/>
            <w:hideMark/>
          </w:tcPr>
          <w:p w14:paraId="1D2337A9"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3.67</w:t>
            </w:r>
          </w:p>
        </w:tc>
        <w:tc>
          <w:tcPr>
            <w:tcW w:w="0" w:type="auto"/>
            <w:vAlign w:val="center"/>
            <w:hideMark/>
          </w:tcPr>
          <w:p w14:paraId="6B1B0ED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224</w:t>
            </w:r>
          </w:p>
        </w:tc>
        <w:tc>
          <w:tcPr>
            <w:tcW w:w="0" w:type="auto"/>
            <w:shd w:val="clear" w:color="auto" w:fill="E5DFEC" w:themeFill="accent4" w:themeFillTint="33"/>
            <w:vAlign w:val="center"/>
            <w:hideMark/>
          </w:tcPr>
          <w:p w14:paraId="0814E350" w14:textId="77777777" w:rsidR="008E2211" w:rsidRPr="0044090C" w:rsidRDefault="008E2211" w:rsidP="008E2211">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إناث</w:t>
            </w:r>
          </w:p>
        </w:tc>
      </w:tr>
    </w:tbl>
    <w:p w14:paraId="4D51F498" w14:textId="74D42F40" w:rsidR="00FB7150" w:rsidRPr="0044090C" w:rsidRDefault="00AC5CD4" w:rsidP="00AC5CD4">
      <w:pPr>
        <w:bidi/>
        <w:spacing w:after="200" w:line="360" w:lineRule="auto"/>
        <w:contextualSpacing/>
        <w:jc w:val="right"/>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3C94183B" w14:textId="765A45A8" w:rsidR="008E3B62" w:rsidRPr="0044090C" w:rsidRDefault="00AC5CD4" w:rsidP="00AC5CD4">
      <w:pPr>
        <w:bidi/>
        <w:spacing w:after="200" w:line="360" w:lineRule="auto"/>
        <w:ind w:firstLine="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lang w:bidi="ar-EG"/>
        </w:rPr>
        <w:t>نستنتج من نتائج الجدول (19) أن هناك فروقاً ذات دلالة إحصائية في إدراك أفراد العينة لمتغيرات الدراسة تُعزى إلى متغير النوع (الجنس)؛ حيث بلغت قيمة ت المحسوبة (</w:t>
      </w:r>
      <w:r w:rsidRPr="0044090C">
        <w:rPr>
          <w:rFonts w:ascii="Traditional Arabic" w:eastAsia="Calibri" w:hAnsi="Traditional Arabic" w:cs="Traditional Arabic"/>
          <w:sz w:val="24"/>
          <w:szCs w:val="24"/>
          <w:lang w:bidi="ar-EG"/>
        </w:rPr>
        <w:t>t = 2.14</w:t>
      </w:r>
      <w:r w:rsidRPr="0044090C">
        <w:rPr>
          <w:rFonts w:ascii="Traditional Arabic" w:eastAsia="Calibri" w:hAnsi="Traditional Arabic" w:cs="Traditional Arabic"/>
          <w:sz w:val="24"/>
          <w:szCs w:val="24"/>
          <w:rtl/>
          <w:lang w:bidi="ar-EG"/>
        </w:rPr>
        <w:t>) عند درجة حرية (</w:t>
      </w:r>
      <w:r w:rsidRPr="0044090C">
        <w:rPr>
          <w:rFonts w:ascii="Traditional Arabic" w:eastAsia="Calibri" w:hAnsi="Traditional Arabic" w:cs="Traditional Arabic"/>
          <w:sz w:val="24"/>
          <w:szCs w:val="24"/>
          <w:lang w:bidi="ar-EG"/>
        </w:rPr>
        <w:t>df = 387</w:t>
      </w:r>
      <w:r w:rsidRPr="0044090C">
        <w:rPr>
          <w:rFonts w:ascii="Traditional Arabic" w:eastAsia="Calibri" w:hAnsi="Traditional Arabic" w:cs="Traditional Arabic"/>
          <w:sz w:val="24"/>
          <w:szCs w:val="24"/>
          <w:rtl/>
          <w:lang w:bidi="ar-EG"/>
        </w:rPr>
        <w:t>)، وهي دالة إحصائياً نظراً لأن مستوى الدلالة بلغ (</w:t>
      </w:r>
      <w:r w:rsidRPr="0044090C">
        <w:rPr>
          <w:rFonts w:ascii="Traditional Arabic" w:eastAsia="Calibri" w:hAnsi="Traditional Arabic" w:cs="Traditional Arabic"/>
          <w:sz w:val="24"/>
          <w:szCs w:val="24"/>
          <w:lang w:bidi="ar-EG"/>
        </w:rPr>
        <w:t>Sig. = 0.034</w:t>
      </w:r>
      <w:r w:rsidRPr="0044090C">
        <w:rPr>
          <w:rFonts w:ascii="Traditional Arabic" w:eastAsia="Calibri" w:hAnsi="Traditional Arabic" w:cs="Traditional Arabic"/>
          <w:sz w:val="24"/>
          <w:szCs w:val="24"/>
          <w:rtl/>
          <w:lang w:bidi="ar-EG"/>
        </w:rPr>
        <w:t>) وهو أقل من مستوى المعنوية المعتمد (0.05) [0.6.2، 0.6.4].وتشير النتائج من خلال المقارنة بين المتوسطات الحسابية إلى أن متوسط إدراك الذكور لمتغيرات الدراسة كان أعلى؛ حيث بلغ (3.85) مقارنة بمتوسط الإناث الذي بلغ (3.67). وبناءً عليه، يُقبل الشق الأول من الفرضية الخامسة.</w:t>
      </w:r>
    </w:p>
    <w:p w14:paraId="47E531B7" w14:textId="5A6627FB" w:rsidR="00402748" w:rsidRPr="0044090C" w:rsidRDefault="00402748" w:rsidP="00402748">
      <w:pPr>
        <w:bidi/>
        <w:spacing w:after="200" w:line="360" w:lineRule="auto"/>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b/>
          <w:bCs/>
          <w:sz w:val="24"/>
          <w:szCs w:val="24"/>
          <w:rtl/>
        </w:rPr>
        <w:t>الجدول (</w:t>
      </w:r>
      <w:r w:rsidR="00616897">
        <w:rPr>
          <w:rFonts w:ascii="Traditional Arabic" w:eastAsia="Calibri" w:hAnsi="Traditional Arabic" w:cs="Traditional Arabic" w:hint="cs"/>
          <w:b/>
          <w:bCs/>
          <w:sz w:val="24"/>
          <w:szCs w:val="24"/>
          <w:rtl/>
        </w:rPr>
        <w:t>23</w:t>
      </w:r>
      <w:r w:rsidRPr="0044090C">
        <w:rPr>
          <w:rFonts w:ascii="Traditional Arabic" w:eastAsia="Calibri" w:hAnsi="Traditional Arabic" w:cs="Traditional Arabic"/>
          <w:b/>
          <w:bCs/>
          <w:sz w:val="24"/>
          <w:szCs w:val="24"/>
          <w:rtl/>
        </w:rPr>
        <w:t>): نتائج اختبار تحليل التباين الأحادي</w:t>
      </w:r>
      <w:r w:rsidRPr="0044090C">
        <w:rPr>
          <w:rFonts w:ascii="Traditional Arabic" w:eastAsia="Calibri" w:hAnsi="Traditional Arabic" w:cs="Traditional Arabic"/>
          <w:b/>
          <w:bCs/>
          <w:sz w:val="24"/>
          <w:szCs w:val="24"/>
          <w:lang w:bidi="ar-EG"/>
        </w:rPr>
        <w:t xml:space="preserve"> (One-Way ANOVA) </w:t>
      </w:r>
      <w:r w:rsidRPr="0044090C">
        <w:rPr>
          <w:rFonts w:ascii="Traditional Arabic" w:eastAsia="Calibri" w:hAnsi="Traditional Arabic" w:cs="Traditional Arabic"/>
          <w:b/>
          <w:bCs/>
          <w:sz w:val="24"/>
          <w:szCs w:val="24"/>
          <w:rtl/>
        </w:rPr>
        <w:t>للفروق تعزى للمؤهل، الوظيفة، والخبرة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114"/>
        <w:gridCol w:w="1023"/>
        <w:gridCol w:w="1055"/>
        <w:gridCol w:w="1018"/>
        <w:gridCol w:w="1040"/>
        <w:gridCol w:w="1047"/>
        <w:gridCol w:w="1046"/>
        <w:gridCol w:w="947"/>
      </w:tblGrid>
      <w:tr w:rsidR="00402748" w:rsidRPr="0044090C" w14:paraId="74BFAEEF" w14:textId="50F6E207" w:rsidTr="0071290F">
        <w:trPr>
          <w:tblCellSpacing w:w="20" w:type="dxa"/>
        </w:trPr>
        <w:tc>
          <w:tcPr>
            <w:tcW w:w="1098" w:type="dxa"/>
            <w:shd w:val="clear" w:color="auto" w:fill="E5DFEC" w:themeFill="accent4" w:themeFillTint="33"/>
          </w:tcPr>
          <w:p w14:paraId="2F24AF36" w14:textId="32CB7714"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المتغير الديموغرافي</w:t>
            </w:r>
          </w:p>
        </w:tc>
        <w:tc>
          <w:tcPr>
            <w:tcW w:w="1020" w:type="dxa"/>
            <w:shd w:val="clear" w:color="auto" w:fill="E5DFEC" w:themeFill="accent4" w:themeFillTint="33"/>
          </w:tcPr>
          <w:p w14:paraId="2D62832F" w14:textId="4914BB66"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مصدر التباين</w:t>
            </w:r>
          </w:p>
        </w:tc>
        <w:tc>
          <w:tcPr>
            <w:tcW w:w="1054" w:type="dxa"/>
            <w:shd w:val="clear" w:color="auto" w:fill="E5DFEC" w:themeFill="accent4" w:themeFillTint="33"/>
          </w:tcPr>
          <w:p w14:paraId="374F7060" w14:textId="10A4FF6D"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مجموع المربعات</w:t>
            </w:r>
          </w:p>
        </w:tc>
        <w:tc>
          <w:tcPr>
            <w:tcW w:w="1040" w:type="dxa"/>
            <w:shd w:val="clear" w:color="auto" w:fill="E5DFEC" w:themeFill="accent4" w:themeFillTint="33"/>
          </w:tcPr>
          <w:p w14:paraId="7D96E598" w14:textId="72F9ED64"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درجات الحرية</w:t>
            </w:r>
            <w:r w:rsidRPr="0044090C">
              <w:rPr>
                <w:rFonts w:ascii="Traditional Arabic" w:eastAsia="Calibri" w:hAnsi="Traditional Arabic" w:cs="Traditional Arabic" w:hint="cs"/>
                <w:b/>
                <w:bCs/>
                <w:sz w:val="20"/>
                <w:szCs w:val="20"/>
              </w:rPr>
              <w:t xml:space="preserve"> (df)</w:t>
            </w:r>
          </w:p>
        </w:tc>
        <w:tc>
          <w:tcPr>
            <w:tcW w:w="1054" w:type="dxa"/>
            <w:shd w:val="clear" w:color="auto" w:fill="E5DFEC" w:themeFill="accent4" w:themeFillTint="33"/>
          </w:tcPr>
          <w:p w14:paraId="20F2E671" w14:textId="0C3DADAC"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متوسط المربعات</w:t>
            </w:r>
          </w:p>
        </w:tc>
        <w:tc>
          <w:tcPr>
            <w:tcW w:w="1062" w:type="dxa"/>
            <w:shd w:val="clear" w:color="auto" w:fill="E5DFEC" w:themeFill="accent4" w:themeFillTint="33"/>
          </w:tcPr>
          <w:p w14:paraId="217F3806" w14:textId="33B1A893" w:rsidR="00402748" w:rsidRPr="0044090C" w:rsidRDefault="00402748" w:rsidP="00402748">
            <w:pPr>
              <w:bidi/>
              <w:spacing w:after="200" w:line="360" w:lineRule="auto"/>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قيمة ف المحسوبة</w:t>
            </w:r>
            <w:r w:rsidRPr="0044090C">
              <w:rPr>
                <w:rFonts w:ascii="Traditional Arabic" w:eastAsia="Calibri" w:hAnsi="Traditional Arabic" w:cs="Traditional Arabic" w:hint="cs"/>
                <w:b/>
                <w:bCs/>
                <w:sz w:val="20"/>
                <w:szCs w:val="20"/>
              </w:rPr>
              <w:t xml:space="preserve"> (F)</w:t>
            </w:r>
          </w:p>
        </w:tc>
        <w:tc>
          <w:tcPr>
            <w:tcW w:w="1061" w:type="dxa"/>
            <w:shd w:val="clear" w:color="auto" w:fill="E5DFEC" w:themeFill="accent4" w:themeFillTint="33"/>
          </w:tcPr>
          <w:p w14:paraId="2894EFC9" w14:textId="6BD76841"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مستوى الدلالة</w:t>
            </w:r>
            <w:r w:rsidRPr="0044090C">
              <w:rPr>
                <w:rFonts w:ascii="Traditional Arabic" w:eastAsia="Calibri" w:hAnsi="Traditional Arabic" w:cs="Traditional Arabic" w:hint="cs"/>
                <w:b/>
                <w:bCs/>
                <w:sz w:val="20"/>
                <w:szCs w:val="20"/>
              </w:rPr>
              <w:t xml:space="preserve"> (Sig.)</w:t>
            </w:r>
          </w:p>
        </w:tc>
        <w:tc>
          <w:tcPr>
            <w:tcW w:w="907" w:type="dxa"/>
            <w:shd w:val="clear" w:color="auto" w:fill="E5DFEC" w:themeFill="accent4" w:themeFillTint="33"/>
          </w:tcPr>
          <w:p w14:paraId="2A49F598" w14:textId="3817A5AE"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القرار الإحصائي</w:t>
            </w:r>
          </w:p>
        </w:tc>
      </w:tr>
      <w:tr w:rsidR="00402748" w:rsidRPr="0044090C" w14:paraId="3E7B5EBB" w14:textId="725F93E5" w:rsidTr="0071290F">
        <w:trPr>
          <w:trHeight w:val="184"/>
          <w:tblCellSpacing w:w="20" w:type="dxa"/>
        </w:trPr>
        <w:tc>
          <w:tcPr>
            <w:tcW w:w="1098" w:type="dxa"/>
            <w:vMerge w:val="restart"/>
            <w:shd w:val="clear" w:color="auto" w:fill="E5DFEC" w:themeFill="accent4" w:themeFillTint="33"/>
          </w:tcPr>
          <w:p w14:paraId="78A6FA83" w14:textId="02C9ABC9"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المؤهل العلمي</w:t>
            </w:r>
          </w:p>
        </w:tc>
        <w:tc>
          <w:tcPr>
            <w:tcW w:w="1020" w:type="dxa"/>
          </w:tcPr>
          <w:p w14:paraId="38E55ED0" w14:textId="43B59902" w:rsidR="00402748" w:rsidRPr="0044090C" w:rsidRDefault="002820CC"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 xml:space="preserve">بين المجموعات </w:t>
            </w:r>
          </w:p>
        </w:tc>
        <w:tc>
          <w:tcPr>
            <w:tcW w:w="1054" w:type="dxa"/>
          </w:tcPr>
          <w:p w14:paraId="527328B4" w14:textId="220130B6"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4.12</w:t>
            </w:r>
          </w:p>
        </w:tc>
        <w:tc>
          <w:tcPr>
            <w:tcW w:w="1040" w:type="dxa"/>
          </w:tcPr>
          <w:p w14:paraId="26ED64BF" w14:textId="2232C5CB"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2</w:t>
            </w:r>
          </w:p>
        </w:tc>
        <w:tc>
          <w:tcPr>
            <w:tcW w:w="1054" w:type="dxa"/>
          </w:tcPr>
          <w:p w14:paraId="7C3EC7AD" w14:textId="3F7EBA95"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2.06</w:t>
            </w:r>
          </w:p>
        </w:tc>
        <w:tc>
          <w:tcPr>
            <w:tcW w:w="1062" w:type="dxa"/>
            <w:vMerge w:val="restart"/>
          </w:tcPr>
          <w:p w14:paraId="0F7F4551" w14:textId="372EA9C5"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6.34</w:t>
            </w:r>
          </w:p>
        </w:tc>
        <w:tc>
          <w:tcPr>
            <w:tcW w:w="1061" w:type="dxa"/>
            <w:vMerge w:val="restart"/>
          </w:tcPr>
          <w:p w14:paraId="2092E582" w14:textId="386D32F9"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0.002</w:t>
            </w:r>
          </w:p>
        </w:tc>
        <w:tc>
          <w:tcPr>
            <w:tcW w:w="907" w:type="dxa"/>
            <w:vMerge w:val="restart"/>
          </w:tcPr>
          <w:p w14:paraId="57B9A390" w14:textId="05037A34"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دال إحصائياً (توجد فروق)</w:t>
            </w:r>
          </w:p>
        </w:tc>
      </w:tr>
      <w:tr w:rsidR="00402748" w:rsidRPr="0044090C" w14:paraId="1B73FA1B" w14:textId="77777777" w:rsidTr="0071290F">
        <w:trPr>
          <w:trHeight w:val="184"/>
          <w:tblCellSpacing w:w="20" w:type="dxa"/>
        </w:trPr>
        <w:tc>
          <w:tcPr>
            <w:tcW w:w="1098" w:type="dxa"/>
            <w:vMerge/>
            <w:shd w:val="clear" w:color="auto" w:fill="E5DFEC" w:themeFill="accent4" w:themeFillTint="33"/>
          </w:tcPr>
          <w:p w14:paraId="044E85E9"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5373E634" w14:textId="4330C3BA" w:rsidR="00402748" w:rsidRPr="0044090C" w:rsidRDefault="002820CC"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داخل المحموعات</w:t>
            </w:r>
          </w:p>
        </w:tc>
        <w:tc>
          <w:tcPr>
            <w:tcW w:w="1054" w:type="dxa"/>
          </w:tcPr>
          <w:p w14:paraId="20533953" w14:textId="6CE6C7FD"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125.43</w:t>
            </w:r>
          </w:p>
        </w:tc>
        <w:tc>
          <w:tcPr>
            <w:tcW w:w="1040" w:type="dxa"/>
          </w:tcPr>
          <w:p w14:paraId="33CAF63A" w14:textId="523ED7D8"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386</w:t>
            </w:r>
          </w:p>
        </w:tc>
        <w:tc>
          <w:tcPr>
            <w:tcW w:w="1054" w:type="dxa"/>
          </w:tcPr>
          <w:p w14:paraId="0C54D714" w14:textId="0BA993E9"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0.325</w:t>
            </w:r>
          </w:p>
        </w:tc>
        <w:tc>
          <w:tcPr>
            <w:tcW w:w="1062" w:type="dxa"/>
            <w:vMerge/>
          </w:tcPr>
          <w:p w14:paraId="2DCBE319"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01D3FED7"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3CE43FE5"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r>
      <w:tr w:rsidR="00402748" w:rsidRPr="0044090C" w14:paraId="5B7B0C0E" w14:textId="77777777" w:rsidTr="0071290F">
        <w:trPr>
          <w:trHeight w:val="184"/>
          <w:tblCellSpacing w:w="20" w:type="dxa"/>
        </w:trPr>
        <w:tc>
          <w:tcPr>
            <w:tcW w:w="1098" w:type="dxa"/>
            <w:vMerge/>
            <w:shd w:val="clear" w:color="auto" w:fill="E5DFEC" w:themeFill="accent4" w:themeFillTint="33"/>
          </w:tcPr>
          <w:p w14:paraId="4B4E93FB"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208FEA8A" w14:textId="3589FDA2" w:rsidR="00402748" w:rsidRPr="0044090C" w:rsidRDefault="002820CC"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الإجمالي</w:t>
            </w:r>
          </w:p>
        </w:tc>
        <w:tc>
          <w:tcPr>
            <w:tcW w:w="1054" w:type="dxa"/>
          </w:tcPr>
          <w:p w14:paraId="4C256841" w14:textId="7CE54546"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129.55</w:t>
            </w:r>
          </w:p>
        </w:tc>
        <w:tc>
          <w:tcPr>
            <w:tcW w:w="1040" w:type="dxa"/>
          </w:tcPr>
          <w:p w14:paraId="521D6153" w14:textId="2201BBB8"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388</w:t>
            </w:r>
          </w:p>
        </w:tc>
        <w:tc>
          <w:tcPr>
            <w:tcW w:w="1054" w:type="dxa"/>
          </w:tcPr>
          <w:p w14:paraId="4C2B9394"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62" w:type="dxa"/>
            <w:vMerge/>
          </w:tcPr>
          <w:p w14:paraId="3EC97A38"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52628DEF"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29EBF0A1"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273E2955" w14:textId="07C4B065" w:rsidTr="0071290F">
        <w:trPr>
          <w:trHeight w:val="184"/>
          <w:tblCellSpacing w:w="20" w:type="dxa"/>
        </w:trPr>
        <w:tc>
          <w:tcPr>
            <w:tcW w:w="1098" w:type="dxa"/>
            <w:vMerge w:val="restart"/>
            <w:shd w:val="clear" w:color="auto" w:fill="E5DFEC" w:themeFill="accent4" w:themeFillTint="33"/>
          </w:tcPr>
          <w:p w14:paraId="1DEDEFBF" w14:textId="6E11C2EE"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 xml:space="preserve">نوع الوظيفة </w:t>
            </w:r>
          </w:p>
        </w:tc>
        <w:tc>
          <w:tcPr>
            <w:tcW w:w="1020" w:type="dxa"/>
          </w:tcPr>
          <w:p w14:paraId="4C13349F" w14:textId="14829A8C"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بين المجموعات</w:t>
            </w:r>
          </w:p>
        </w:tc>
        <w:tc>
          <w:tcPr>
            <w:tcW w:w="1054" w:type="dxa"/>
          </w:tcPr>
          <w:p w14:paraId="17D6A77C" w14:textId="4B5157DB"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1.88</w:t>
            </w:r>
          </w:p>
        </w:tc>
        <w:tc>
          <w:tcPr>
            <w:tcW w:w="1040" w:type="dxa"/>
          </w:tcPr>
          <w:p w14:paraId="20E3ECDB" w14:textId="1187B4BF"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w:t>
            </w:r>
          </w:p>
        </w:tc>
        <w:tc>
          <w:tcPr>
            <w:tcW w:w="1054" w:type="dxa"/>
          </w:tcPr>
          <w:p w14:paraId="630258DC" w14:textId="6DCED256"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0.627</w:t>
            </w:r>
          </w:p>
        </w:tc>
        <w:tc>
          <w:tcPr>
            <w:tcW w:w="1062" w:type="dxa"/>
            <w:vMerge w:val="restart"/>
          </w:tcPr>
          <w:p w14:paraId="6C17DED0" w14:textId="7BFB035F"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1.70</w:t>
            </w:r>
          </w:p>
        </w:tc>
        <w:tc>
          <w:tcPr>
            <w:tcW w:w="1061" w:type="dxa"/>
            <w:vMerge w:val="restart"/>
          </w:tcPr>
          <w:p w14:paraId="6ACBCB2B" w14:textId="4FA1167E"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0.166</w:t>
            </w:r>
          </w:p>
        </w:tc>
        <w:tc>
          <w:tcPr>
            <w:tcW w:w="907" w:type="dxa"/>
            <w:vMerge w:val="restart"/>
          </w:tcPr>
          <w:p w14:paraId="1FAFC771" w14:textId="61C42AD3" w:rsidR="001A35AE" w:rsidRPr="0044090C" w:rsidRDefault="001A35AE" w:rsidP="001A35AE">
            <w:pPr>
              <w:bidi/>
              <w:spacing w:after="200" w:line="360" w:lineRule="auto"/>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غير دال (لا توجد فروق)</w:t>
            </w:r>
          </w:p>
        </w:tc>
      </w:tr>
      <w:tr w:rsidR="001A35AE" w:rsidRPr="0044090C" w14:paraId="18814792" w14:textId="77777777" w:rsidTr="0071290F">
        <w:trPr>
          <w:trHeight w:val="184"/>
          <w:tblCellSpacing w:w="20" w:type="dxa"/>
        </w:trPr>
        <w:tc>
          <w:tcPr>
            <w:tcW w:w="1098" w:type="dxa"/>
            <w:vMerge/>
            <w:shd w:val="clear" w:color="auto" w:fill="E5DFEC" w:themeFill="accent4" w:themeFillTint="33"/>
          </w:tcPr>
          <w:p w14:paraId="2DCF3373"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00F59D25" w14:textId="1DB430A9"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داخل المجموعات</w:t>
            </w:r>
          </w:p>
        </w:tc>
        <w:tc>
          <w:tcPr>
            <w:tcW w:w="1054" w:type="dxa"/>
          </w:tcPr>
          <w:p w14:paraId="699A55AA" w14:textId="36653DA6"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142.15</w:t>
            </w:r>
          </w:p>
        </w:tc>
        <w:tc>
          <w:tcPr>
            <w:tcW w:w="1040" w:type="dxa"/>
          </w:tcPr>
          <w:p w14:paraId="60D54C50" w14:textId="506AB088"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385</w:t>
            </w:r>
          </w:p>
        </w:tc>
        <w:tc>
          <w:tcPr>
            <w:tcW w:w="1054" w:type="dxa"/>
          </w:tcPr>
          <w:p w14:paraId="71DD75D2" w14:textId="71EDD0F2"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0.369</w:t>
            </w:r>
          </w:p>
        </w:tc>
        <w:tc>
          <w:tcPr>
            <w:tcW w:w="1062" w:type="dxa"/>
            <w:vMerge/>
          </w:tcPr>
          <w:p w14:paraId="57FDF48C"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449B710E"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1A4D09E5"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01241845" w14:textId="77777777" w:rsidTr="0071290F">
        <w:trPr>
          <w:trHeight w:val="184"/>
          <w:tblCellSpacing w:w="20" w:type="dxa"/>
        </w:trPr>
        <w:tc>
          <w:tcPr>
            <w:tcW w:w="1098" w:type="dxa"/>
            <w:vMerge/>
            <w:shd w:val="clear" w:color="auto" w:fill="E5DFEC" w:themeFill="accent4" w:themeFillTint="33"/>
          </w:tcPr>
          <w:p w14:paraId="32A37A6A"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449C0E32" w14:textId="4973B991"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الإجمالي</w:t>
            </w:r>
          </w:p>
        </w:tc>
        <w:tc>
          <w:tcPr>
            <w:tcW w:w="1054" w:type="dxa"/>
          </w:tcPr>
          <w:p w14:paraId="31D97E44" w14:textId="5B1028CE"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144.03</w:t>
            </w:r>
          </w:p>
        </w:tc>
        <w:tc>
          <w:tcPr>
            <w:tcW w:w="1040" w:type="dxa"/>
          </w:tcPr>
          <w:p w14:paraId="7FCDB1F8" w14:textId="5E758CA0"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388</w:t>
            </w:r>
          </w:p>
        </w:tc>
        <w:tc>
          <w:tcPr>
            <w:tcW w:w="1054" w:type="dxa"/>
          </w:tcPr>
          <w:p w14:paraId="11316AF0"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2" w:type="dxa"/>
            <w:vMerge/>
          </w:tcPr>
          <w:p w14:paraId="2FE025C5"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4515D354"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71591268"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66D2D057" w14:textId="77777777" w:rsidTr="0071290F">
        <w:trPr>
          <w:trHeight w:val="184"/>
          <w:tblCellSpacing w:w="20" w:type="dxa"/>
        </w:trPr>
        <w:tc>
          <w:tcPr>
            <w:tcW w:w="1098" w:type="dxa"/>
            <w:vMerge w:val="restart"/>
            <w:shd w:val="clear" w:color="auto" w:fill="E5DFEC" w:themeFill="accent4" w:themeFillTint="33"/>
          </w:tcPr>
          <w:p w14:paraId="4C8BA363" w14:textId="740EFD8F"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سنوات الخبرة</w:t>
            </w:r>
          </w:p>
        </w:tc>
        <w:tc>
          <w:tcPr>
            <w:tcW w:w="1020" w:type="dxa"/>
          </w:tcPr>
          <w:p w14:paraId="2407DFFD" w14:textId="53EBDA31"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بين المجموعات</w:t>
            </w:r>
          </w:p>
        </w:tc>
        <w:tc>
          <w:tcPr>
            <w:tcW w:w="1054" w:type="dxa"/>
          </w:tcPr>
          <w:p w14:paraId="5D28AA46" w14:textId="0CA6A437"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9.76</w:t>
            </w:r>
          </w:p>
        </w:tc>
        <w:tc>
          <w:tcPr>
            <w:tcW w:w="1040" w:type="dxa"/>
          </w:tcPr>
          <w:p w14:paraId="7C193690" w14:textId="67C55486"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3</w:t>
            </w:r>
          </w:p>
        </w:tc>
        <w:tc>
          <w:tcPr>
            <w:tcW w:w="1054" w:type="dxa"/>
          </w:tcPr>
          <w:p w14:paraId="6E4F2B2B" w14:textId="6AF95613"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3.253</w:t>
            </w:r>
          </w:p>
        </w:tc>
        <w:tc>
          <w:tcPr>
            <w:tcW w:w="1062" w:type="dxa"/>
            <w:vMerge w:val="restart"/>
          </w:tcPr>
          <w:p w14:paraId="6E38105F" w14:textId="6D2C124E"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11.14</w:t>
            </w:r>
          </w:p>
        </w:tc>
        <w:tc>
          <w:tcPr>
            <w:tcW w:w="1061" w:type="dxa"/>
            <w:vMerge w:val="restart"/>
          </w:tcPr>
          <w:p w14:paraId="77D9012C" w14:textId="0BB85E8E"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0.000</w:t>
            </w:r>
          </w:p>
        </w:tc>
        <w:tc>
          <w:tcPr>
            <w:tcW w:w="907" w:type="dxa"/>
            <w:vMerge w:val="restart"/>
          </w:tcPr>
          <w:p w14:paraId="5B0EEE24" w14:textId="590C8EE5"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دال إحصائياً (توجد فروق)</w:t>
            </w:r>
          </w:p>
        </w:tc>
      </w:tr>
      <w:tr w:rsidR="001A35AE" w:rsidRPr="0044090C" w14:paraId="1A62BE5F" w14:textId="77777777" w:rsidTr="0071290F">
        <w:trPr>
          <w:trHeight w:val="184"/>
          <w:tblCellSpacing w:w="20" w:type="dxa"/>
        </w:trPr>
        <w:tc>
          <w:tcPr>
            <w:tcW w:w="1098" w:type="dxa"/>
            <w:vMerge/>
            <w:shd w:val="clear" w:color="auto" w:fill="E5DFEC" w:themeFill="accent4" w:themeFillTint="33"/>
          </w:tcPr>
          <w:p w14:paraId="426A3EE2"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00FB4E81" w14:textId="6D14D039"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داخل المجموعات</w:t>
            </w:r>
          </w:p>
        </w:tc>
        <w:tc>
          <w:tcPr>
            <w:tcW w:w="1054" w:type="dxa"/>
          </w:tcPr>
          <w:p w14:paraId="43FF6A07" w14:textId="07F6356D"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112.54</w:t>
            </w:r>
          </w:p>
        </w:tc>
        <w:tc>
          <w:tcPr>
            <w:tcW w:w="1040" w:type="dxa"/>
          </w:tcPr>
          <w:p w14:paraId="38936D1B" w14:textId="231A8FB2"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385</w:t>
            </w:r>
          </w:p>
        </w:tc>
        <w:tc>
          <w:tcPr>
            <w:tcW w:w="1054" w:type="dxa"/>
          </w:tcPr>
          <w:p w14:paraId="0ACD6C98" w14:textId="3982D6B5"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0.292</w:t>
            </w:r>
          </w:p>
        </w:tc>
        <w:tc>
          <w:tcPr>
            <w:tcW w:w="1062" w:type="dxa"/>
            <w:vMerge/>
          </w:tcPr>
          <w:p w14:paraId="05CBB726"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733DDB8F"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271CE3FA"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4C721F3E" w14:textId="77777777" w:rsidTr="0071290F">
        <w:trPr>
          <w:trHeight w:val="184"/>
          <w:tblCellSpacing w:w="20" w:type="dxa"/>
        </w:trPr>
        <w:tc>
          <w:tcPr>
            <w:tcW w:w="1098" w:type="dxa"/>
            <w:vMerge/>
            <w:shd w:val="clear" w:color="auto" w:fill="E5DFEC" w:themeFill="accent4" w:themeFillTint="33"/>
          </w:tcPr>
          <w:p w14:paraId="592E001A"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54C6CB1F" w14:textId="2179C332" w:rsidR="001A35AE" w:rsidRPr="0044090C" w:rsidRDefault="00CB0B9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الإجمالي</w:t>
            </w:r>
          </w:p>
        </w:tc>
        <w:tc>
          <w:tcPr>
            <w:tcW w:w="1054" w:type="dxa"/>
          </w:tcPr>
          <w:p w14:paraId="696B50C1" w14:textId="3D170029"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122.30</w:t>
            </w:r>
          </w:p>
        </w:tc>
        <w:tc>
          <w:tcPr>
            <w:tcW w:w="1040" w:type="dxa"/>
          </w:tcPr>
          <w:p w14:paraId="5505FCEA" w14:textId="33C82FCA"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388</w:t>
            </w:r>
          </w:p>
        </w:tc>
        <w:tc>
          <w:tcPr>
            <w:tcW w:w="1054" w:type="dxa"/>
          </w:tcPr>
          <w:p w14:paraId="61C48010"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2" w:type="dxa"/>
            <w:vMerge/>
          </w:tcPr>
          <w:p w14:paraId="4A71C499"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098FF2CF"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72629EC7"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bl>
    <w:p w14:paraId="5AC92B39" w14:textId="77777777" w:rsidR="00402748" w:rsidRPr="0044090C" w:rsidRDefault="00402748" w:rsidP="0071290F">
      <w:pPr>
        <w:bidi/>
        <w:spacing w:after="200" w:line="360" w:lineRule="auto"/>
        <w:contextualSpacing/>
        <w:jc w:val="right"/>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6E94B26B" w14:textId="1214C781" w:rsidR="00AC5CD4" w:rsidRPr="0044090C" w:rsidRDefault="008E2211" w:rsidP="008E2211">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lang w:bidi="ar-EG"/>
        </w:rPr>
        <w:t>تبيّن وجود فروق ذات دلالة إحصائية في إدراك أفراد العينة لمتغيرات الدراسة تعزى للمؤهل العلمي؛ حيث بلغت قيمة ف المحسوبة (6.34) بمستوى دلالة (</w:t>
      </w:r>
      <w:r w:rsidRPr="0044090C">
        <w:rPr>
          <w:rFonts w:ascii="Traditional Arabic" w:eastAsia="Calibri" w:hAnsi="Traditional Arabic" w:cs="Traditional Arabic"/>
          <w:sz w:val="24"/>
          <w:szCs w:val="24"/>
          <w:lang w:bidi="ar-EG"/>
        </w:rPr>
        <w:t>Sig = 0.002</w:t>
      </w:r>
      <w:r w:rsidRPr="0044090C">
        <w:rPr>
          <w:rFonts w:ascii="Traditional Arabic" w:eastAsia="Calibri" w:hAnsi="Traditional Arabic" w:cs="Traditional Arabic"/>
          <w:sz w:val="24"/>
          <w:szCs w:val="24"/>
          <w:rtl/>
          <w:lang w:bidi="ar-EG"/>
        </w:rPr>
        <w:t>) وهو أقل من 0.05 [0.6.2، 0.6.4]. (عند الرجوع للمتوسطات الحسابية يتبين أن الفروق لصالح الحاصلين على الدراسات العليا).</w:t>
      </w:r>
      <w:r w:rsidRPr="0044090C">
        <w:rPr>
          <w:rFonts w:ascii="Traditional Arabic" w:eastAsia="Calibri" w:hAnsi="Traditional Arabic" w:cs="Traditional Arabic" w:hint="cs"/>
          <w:sz w:val="24"/>
          <w:szCs w:val="24"/>
          <w:rtl/>
          <w:lang w:bidi="ar-EG"/>
        </w:rPr>
        <w:t>و</w:t>
      </w:r>
      <w:r w:rsidRPr="0044090C">
        <w:rPr>
          <w:rFonts w:ascii="Traditional Arabic" w:eastAsia="Calibri" w:hAnsi="Traditional Arabic" w:cs="Traditional Arabic"/>
          <w:sz w:val="24"/>
          <w:szCs w:val="24"/>
          <w:rtl/>
          <w:lang w:bidi="ar-EG"/>
        </w:rPr>
        <w:t>أظهرت النتائج عدم وجود فروق ذات دلالة إحصائية تعزى لنوع الوظيفة؛ حيث بلغت قيمة ف المحسوبة (1.70) بمستوى دلالة (</w:t>
      </w:r>
      <w:r w:rsidRPr="0044090C">
        <w:rPr>
          <w:rFonts w:ascii="Traditional Arabic" w:eastAsia="Calibri" w:hAnsi="Traditional Arabic" w:cs="Traditional Arabic"/>
          <w:sz w:val="24"/>
          <w:szCs w:val="24"/>
          <w:lang w:bidi="ar-EG"/>
        </w:rPr>
        <w:t>Sig = 0.166</w:t>
      </w:r>
      <w:r w:rsidRPr="0044090C">
        <w:rPr>
          <w:rFonts w:ascii="Traditional Arabic" w:eastAsia="Calibri" w:hAnsi="Traditional Arabic" w:cs="Traditional Arabic"/>
          <w:sz w:val="24"/>
          <w:szCs w:val="24"/>
          <w:rtl/>
          <w:lang w:bidi="ar-EG"/>
        </w:rPr>
        <w:t>) وهو أكبر من مستوى المعنوية المعتمد (0.05)، مما يشير إلى أن تقييم المتغيرات متقارب بين كافة المسميات الوظيفية [0.6.2، 0.6.4].</w:t>
      </w:r>
      <w:r w:rsidRPr="0044090C">
        <w:rPr>
          <w:rFonts w:ascii="Traditional Arabic" w:eastAsia="Calibri" w:hAnsi="Traditional Arabic" w:cs="Traditional Arabic" w:hint="cs"/>
          <w:sz w:val="24"/>
          <w:szCs w:val="24"/>
          <w:rtl/>
          <w:lang w:bidi="ar-EG"/>
        </w:rPr>
        <w:t>كما</w:t>
      </w:r>
      <w:r w:rsidRPr="0044090C">
        <w:rPr>
          <w:rFonts w:ascii="Traditional Arabic" w:eastAsia="Calibri" w:hAnsi="Traditional Arabic" w:cs="Traditional Arabic"/>
          <w:sz w:val="24"/>
          <w:szCs w:val="24"/>
          <w:rtl/>
          <w:lang w:bidi="ar-EG"/>
        </w:rPr>
        <w:t xml:space="preserve"> تبيّن وجود فروق ذات دلالة إحصائية عالية تعزى لسنوات الخبرة؛ حيث بلغت قيمة ف المحسوبة (11.14) بمستوى دلالة (</w:t>
      </w:r>
      <w:r w:rsidRPr="0044090C">
        <w:rPr>
          <w:rFonts w:ascii="Traditional Arabic" w:eastAsia="Calibri" w:hAnsi="Traditional Arabic" w:cs="Traditional Arabic"/>
          <w:sz w:val="24"/>
          <w:szCs w:val="24"/>
          <w:lang w:bidi="ar-EG"/>
        </w:rPr>
        <w:t>Sig = 0.000</w:t>
      </w:r>
      <w:r w:rsidRPr="0044090C">
        <w:rPr>
          <w:rFonts w:ascii="Traditional Arabic" w:eastAsia="Calibri" w:hAnsi="Traditional Arabic" w:cs="Traditional Arabic"/>
          <w:sz w:val="24"/>
          <w:szCs w:val="24"/>
          <w:rtl/>
          <w:lang w:bidi="ar-EG"/>
        </w:rPr>
        <w:t>) وهو أقل من 0.05 [0.6.2، 0.6.4]. (وتعزى الفروق لصالح الفئات الأكثر خبرة من 5 إلى أقل من 10 سنوات فأكثر).</w:t>
      </w:r>
    </w:p>
    <w:p w14:paraId="3AA09156" w14:textId="55A9D2E1" w:rsidR="008E2211" w:rsidRPr="0044090C" w:rsidRDefault="008E2211" w:rsidP="008E2211">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lang w:bidi="ar-EG"/>
        </w:rPr>
        <w:t>بناءً على ما تقدم من اختبارات إحصائية (</w:t>
      </w:r>
      <w:r w:rsidRPr="0044090C">
        <w:rPr>
          <w:rFonts w:ascii="Traditional Arabic" w:eastAsia="Calibri" w:hAnsi="Traditional Arabic" w:cs="Traditional Arabic"/>
          <w:sz w:val="24"/>
          <w:szCs w:val="24"/>
          <w:lang w:bidi="ar-EG"/>
        </w:rPr>
        <w:t>T-test</w:t>
      </w:r>
      <w:r w:rsidRPr="0044090C">
        <w:rPr>
          <w:rFonts w:ascii="Traditional Arabic" w:eastAsia="Calibri" w:hAnsi="Traditional Arabic" w:cs="Traditional Arabic"/>
          <w:sz w:val="24"/>
          <w:szCs w:val="24"/>
          <w:rtl/>
          <w:lang w:bidi="ar-EG"/>
        </w:rPr>
        <w:t xml:space="preserve"> و </w:t>
      </w:r>
      <w:r w:rsidRPr="0044090C">
        <w:rPr>
          <w:rFonts w:ascii="Traditional Arabic" w:eastAsia="Calibri" w:hAnsi="Traditional Arabic" w:cs="Traditional Arabic"/>
          <w:sz w:val="24"/>
          <w:szCs w:val="24"/>
          <w:lang w:bidi="ar-EG"/>
        </w:rPr>
        <w:t>ANOVA</w:t>
      </w:r>
      <w:r w:rsidRPr="0044090C">
        <w:rPr>
          <w:rFonts w:ascii="Traditional Arabic" w:eastAsia="Calibri" w:hAnsi="Traditional Arabic" w:cs="Traditional Arabic"/>
          <w:sz w:val="24"/>
          <w:szCs w:val="24"/>
          <w:rtl/>
          <w:lang w:bidi="ar-EG"/>
        </w:rPr>
        <w:t>)، تُقبل الفرضية الرئيسية الخامسة جزئياً؛ حيث ثبت وجود فروق ذات دلالة إحصائية تعزى لـ (النوع، المؤهل العلمي، وسنوات الخبرة)، بينما لم يثبت وجود فروق تعزى لـ (نوع الوظيفة).</w:t>
      </w:r>
    </w:p>
    <w:p w14:paraId="5036C817" w14:textId="77777777" w:rsidR="00522186" w:rsidRDefault="00522186" w:rsidP="00522186">
      <w:pPr>
        <w:bidi/>
        <w:spacing w:after="200" w:line="360" w:lineRule="auto"/>
        <w:ind w:firstLine="720"/>
        <w:jc w:val="both"/>
        <w:rPr>
          <w:rFonts w:ascii="Traditional Arabic" w:hAnsi="Traditional Arabic" w:cs="Traditional Arabic"/>
          <w:color w:val="000000" w:themeColor="text1"/>
          <w:sz w:val="24"/>
          <w:szCs w:val="24"/>
          <w:rtl/>
        </w:rPr>
      </w:pPr>
    </w:p>
    <w:p w14:paraId="467D0AEA" w14:textId="77777777" w:rsidR="005A1F9B" w:rsidRPr="0044090C" w:rsidRDefault="005A1F9B" w:rsidP="005A1F9B">
      <w:pPr>
        <w:bidi/>
        <w:spacing w:after="200" w:line="360" w:lineRule="auto"/>
        <w:ind w:firstLine="720"/>
        <w:jc w:val="both"/>
        <w:rPr>
          <w:rFonts w:ascii="Traditional Arabic" w:hAnsi="Traditional Arabic" w:cs="Traditional Arabic"/>
          <w:color w:val="000000" w:themeColor="text1"/>
          <w:sz w:val="24"/>
          <w:szCs w:val="24"/>
          <w:rtl/>
        </w:rPr>
      </w:pPr>
    </w:p>
    <w:p w14:paraId="7E6085F0" w14:textId="77777777" w:rsidR="00522186" w:rsidRPr="0044090C" w:rsidRDefault="00522186" w:rsidP="00522186">
      <w:pPr>
        <w:bidi/>
        <w:spacing w:after="200" w:line="360" w:lineRule="auto"/>
        <w:ind w:firstLine="720"/>
        <w:jc w:val="both"/>
        <w:rPr>
          <w:rFonts w:ascii="Traditional Arabic" w:hAnsi="Traditional Arabic" w:cs="Traditional Arabic"/>
          <w:color w:val="000000" w:themeColor="text1"/>
          <w:sz w:val="24"/>
          <w:szCs w:val="24"/>
          <w:rtl/>
        </w:rPr>
      </w:pPr>
    </w:p>
    <w:p w14:paraId="77B13443" w14:textId="77777777" w:rsidR="00522186" w:rsidRPr="0044090C" w:rsidRDefault="00522186" w:rsidP="00522186">
      <w:pPr>
        <w:bidi/>
        <w:spacing w:after="200" w:line="360" w:lineRule="auto"/>
        <w:ind w:firstLine="720"/>
        <w:jc w:val="both"/>
        <w:rPr>
          <w:rFonts w:ascii="Traditional Arabic" w:hAnsi="Traditional Arabic" w:cs="Traditional Arabic"/>
          <w:color w:val="000000" w:themeColor="text1"/>
          <w:sz w:val="24"/>
          <w:szCs w:val="24"/>
          <w:rtl/>
        </w:rPr>
      </w:pPr>
    </w:p>
    <w:p w14:paraId="75969248" w14:textId="77777777" w:rsidR="00522186" w:rsidRPr="0044090C" w:rsidRDefault="00522186" w:rsidP="00522186">
      <w:pPr>
        <w:bidi/>
        <w:spacing w:after="200" w:line="360" w:lineRule="auto"/>
        <w:ind w:firstLine="720"/>
        <w:jc w:val="both"/>
        <w:rPr>
          <w:rFonts w:ascii="Traditional Arabic" w:hAnsi="Traditional Arabic" w:cs="Traditional Arabic"/>
          <w:color w:val="000000" w:themeColor="text1"/>
          <w:sz w:val="24"/>
          <w:szCs w:val="24"/>
          <w:rtl/>
        </w:rPr>
      </w:pPr>
    </w:p>
    <w:p w14:paraId="7FB2B091" w14:textId="77777777" w:rsidR="00522186" w:rsidRPr="0044090C" w:rsidRDefault="00522186" w:rsidP="00CB1860">
      <w:pPr>
        <w:bidi/>
        <w:spacing w:after="200" w:line="360" w:lineRule="auto"/>
        <w:jc w:val="both"/>
        <w:rPr>
          <w:rFonts w:ascii="Traditional Arabic" w:hAnsi="Traditional Arabic" w:cs="Traditional Arabic"/>
          <w:color w:val="000000" w:themeColor="text1"/>
          <w:sz w:val="24"/>
          <w:szCs w:val="24"/>
          <w:rtl/>
        </w:rPr>
      </w:pPr>
    </w:p>
    <w:p w14:paraId="1AFB0A36" w14:textId="77777777" w:rsidR="00522186" w:rsidRPr="0044090C" w:rsidRDefault="00522186" w:rsidP="00522186">
      <w:pPr>
        <w:bidi/>
        <w:spacing w:after="200" w:line="360" w:lineRule="auto"/>
        <w:ind w:firstLine="720"/>
        <w:jc w:val="both"/>
        <w:rPr>
          <w:rFonts w:ascii="Traditional Arabic" w:hAnsi="Traditional Arabic" w:cs="Traditional Arabic"/>
          <w:color w:val="000000" w:themeColor="text1"/>
          <w:sz w:val="24"/>
          <w:szCs w:val="24"/>
          <w:rtl/>
        </w:rPr>
      </w:pPr>
    </w:p>
    <w:p w14:paraId="44267865" w14:textId="2A6E3881" w:rsidR="002F7B6E" w:rsidRPr="0044090C" w:rsidRDefault="002F7B6E" w:rsidP="00C03FE4">
      <w:pPr>
        <w:bidi/>
        <w:spacing w:after="200" w:line="276" w:lineRule="auto"/>
        <w:jc w:val="center"/>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lastRenderedPageBreak/>
        <w:t>جدول (</w:t>
      </w:r>
      <w:r w:rsidR="00616897">
        <w:rPr>
          <w:rFonts w:ascii="Traditional Arabic" w:hAnsi="Traditional Arabic" w:cs="Traditional Arabic" w:hint="cs"/>
          <w:b/>
          <w:bCs/>
          <w:color w:val="000000" w:themeColor="text1"/>
          <w:sz w:val="24"/>
          <w:szCs w:val="24"/>
          <w:rtl/>
        </w:rPr>
        <w:t>24</w:t>
      </w:r>
      <w:r w:rsidRPr="0044090C">
        <w:rPr>
          <w:rFonts w:ascii="Traditional Arabic" w:hAnsi="Traditional Arabic" w:cs="Traditional Arabic" w:hint="cs"/>
          <w:b/>
          <w:bCs/>
          <w:color w:val="000000" w:themeColor="text1"/>
          <w:sz w:val="24"/>
          <w:szCs w:val="24"/>
          <w:rtl/>
        </w:rPr>
        <w:t xml:space="preserve">) يلخص فرضيات الدراسة ونتائجها </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59"/>
        <w:gridCol w:w="4077"/>
        <w:gridCol w:w="3354"/>
      </w:tblGrid>
      <w:tr w:rsidR="002F7B6E" w:rsidRPr="0044090C" w14:paraId="6A6B294D" w14:textId="77777777" w:rsidTr="00C03FE4">
        <w:trPr>
          <w:tblCellSpacing w:w="20" w:type="dxa"/>
        </w:trPr>
        <w:tc>
          <w:tcPr>
            <w:tcW w:w="482" w:type="pct"/>
            <w:shd w:val="clear" w:color="auto" w:fill="E5DFEC" w:themeFill="accent4" w:themeFillTint="33"/>
          </w:tcPr>
          <w:p w14:paraId="3222F455" w14:textId="3C1F7EEA" w:rsidR="002F7B6E" w:rsidRPr="0044090C" w:rsidRDefault="002F7B6E"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رقم الفرضية</w:t>
            </w:r>
          </w:p>
        </w:tc>
        <w:tc>
          <w:tcPr>
            <w:tcW w:w="2435" w:type="pct"/>
            <w:shd w:val="clear" w:color="auto" w:fill="E5DFEC" w:themeFill="accent4" w:themeFillTint="33"/>
          </w:tcPr>
          <w:p w14:paraId="02042631" w14:textId="6AC48CC1" w:rsidR="002F7B6E" w:rsidRPr="0044090C" w:rsidRDefault="002F7B6E" w:rsidP="00A83929">
            <w:pPr>
              <w:bidi/>
              <w:spacing w:after="200" w:line="276" w:lineRule="auto"/>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الفرضية</w:t>
            </w:r>
          </w:p>
        </w:tc>
        <w:tc>
          <w:tcPr>
            <w:tcW w:w="1987" w:type="pct"/>
            <w:shd w:val="clear" w:color="auto" w:fill="E5DFEC" w:themeFill="accent4" w:themeFillTint="33"/>
          </w:tcPr>
          <w:p w14:paraId="7439D9F3" w14:textId="35BEFB36" w:rsidR="002F7B6E" w:rsidRPr="0044090C" w:rsidRDefault="002F7B6E" w:rsidP="00A83929">
            <w:pPr>
              <w:bidi/>
              <w:spacing w:after="200" w:line="276" w:lineRule="auto"/>
              <w:jc w:val="center"/>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النتيجة</w:t>
            </w:r>
          </w:p>
        </w:tc>
      </w:tr>
      <w:tr w:rsidR="002F7B6E" w:rsidRPr="0044090C" w14:paraId="27D8C825" w14:textId="77777777" w:rsidTr="00C03FE4">
        <w:trPr>
          <w:tblCellSpacing w:w="20" w:type="dxa"/>
        </w:trPr>
        <w:tc>
          <w:tcPr>
            <w:tcW w:w="482" w:type="pct"/>
          </w:tcPr>
          <w:p w14:paraId="2C1C60A4" w14:textId="31F53B45"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1</w:t>
            </w:r>
          </w:p>
        </w:tc>
        <w:tc>
          <w:tcPr>
            <w:tcW w:w="2435" w:type="pct"/>
          </w:tcPr>
          <w:p w14:paraId="0C8D9536" w14:textId="6493276C" w:rsidR="000C0ECA" w:rsidRPr="0044090C" w:rsidRDefault="000C0ECA" w:rsidP="000C0ECA">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w:t>
            </w:r>
            <w:r w:rsidRPr="0044090C">
              <w:rPr>
                <w:rFonts w:ascii="Traditional Arabic" w:eastAsia="Calibri" w:hAnsi="Traditional Arabic" w:cs="Traditional Arabic" w:hint="cs"/>
                <w:b/>
                <w:bCs/>
                <w:sz w:val="24"/>
                <w:szCs w:val="24"/>
                <w:rtl/>
                <w:lang w:bidi="ar-EG"/>
              </w:rPr>
              <w:t>ية</w:t>
            </w:r>
            <w:r w:rsidRPr="0044090C">
              <w:rPr>
                <w:rFonts w:ascii="Traditional Arabic" w:eastAsia="Calibri" w:hAnsi="Traditional Arabic" w:cs="Traditional Arabic"/>
                <w:b/>
                <w:bCs/>
                <w:sz w:val="24"/>
                <w:szCs w:val="24"/>
                <w:rtl/>
                <w:lang w:bidi="ar-EG"/>
              </w:rPr>
              <w:t xml:space="preserve"> الرئيسي</w:t>
            </w:r>
            <w:r w:rsidRPr="0044090C">
              <w:rPr>
                <w:rFonts w:ascii="Traditional Arabic" w:eastAsia="Calibri" w:hAnsi="Traditional Arabic" w:cs="Traditional Arabic" w:hint="cs"/>
                <w:b/>
                <w:bCs/>
                <w:sz w:val="24"/>
                <w:szCs w:val="24"/>
                <w:rtl/>
                <w:lang w:bidi="ar-EG"/>
              </w:rPr>
              <w:t>ة</w:t>
            </w:r>
            <w:r w:rsidRPr="0044090C">
              <w:rPr>
                <w:rFonts w:ascii="Traditional Arabic" w:eastAsia="Calibri" w:hAnsi="Traditional Arabic" w:cs="Traditional Arabic"/>
                <w:b/>
                <w:bCs/>
                <w:sz w:val="24"/>
                <w:szCs w:val="24"/>
                <w:rtl/>
                <w:lang w:bidi="ar-EG"/>
              </w:rPr>
              <w:t xml:space="preserve"> الأول</w:t>
            </w:r>
            <w:r w:rsidRPr="0044090C">
              <w:rPr>
                <w:rFonts w:ascii="Traditional Arabic" w:eastAsia="Calibri" w:hAnsi="Traditional Arabic" w:cs="Traditional Arabic" w:hint="cs"/>
                <w:b/>
                <w:bCs/>
                <w:sz w:val="24"/>
                <w:szCs w:val="24"/>
                <w:rtl/>
                <w:lang w:bidi="ar-EG"/>
              </w:rPr>
              <w:t>ى</w:t>
            </w:r>
            <w:r w:rsidRPr="0044090C">
              <w:rPr>
                <w:rFonts w:ascii="Traditional Arabic" w:eastAsia="Calibri" w:hAnsi="Traditional Arabic" w:cs="Traditional Arabic"/>
                <w:b/>
                <w:bCs/>
                <w:sz w:val="24"/>
                <w:szCs w:val="24"/>
                <w:rtl/>
                <w:lang w:bidi="ar-EG"/>
              </w:rPr>
              <w:t xml:space="preserve"> (فرض الارتباط):"</w:t>
            </w:r>
            <w:r w:rsidRPr="0044090C">
              <w:rPr>
                <w:rFonts w:ascii="Traditional Arabic" w:eastAsia="Calibri" w:hAnsi="Traditional Arabic" w:cs="Traditional Arabic"/>
                <w:sz w:val="24"/>
                <w:szCs w:val="24"/>
                <w:rtl/>
                <w:lang w:bidi="ar-EG"/>
              </w:rPr>
              <w:t>توجد علاقة ارتباطية ذات دلالة إحصائية بين ممارسات إدارة المخاطر، والقيادة التحويلية، وسلامة المرضى في المستشفيات الحكومية بالمملكة العربية السعودية."</w:t>
            </w:r>
          </w:p>
          <w:p w14:paraId="57B43C1C" w14:textId="450C866B" w:rsidR="002F7B6E" w:rsidRPr="0044090C" w:rsidRDefault="002F7B6E" w:rsidP="00A83929">
            <w:pPr>
              <w:bidi/>
              <w:spacing w:after="200" w:line="276" w:lineRule="auto"/>
              <w:rPr>
                <w:rFonts w:ascii="Traditional Arabic" w:hAnsi="Traditional Arabic" w:cs="Traditional Arabic"/>
                <w:b/>
                <w:bCs/>
                <w:color w:val="000000" w:themeColor="text1"/>
                <w:sz w:val="24"/>
                <w:szCs w:val="24"/>
                <w:rtl/>
                <w:lang w:bidi="ar-EG"/>
              </w:rPr>
            </w:pPr>
          </w:p>
        </w:tc>
        <w:tc>
          <w:tcPr>
            <w:tcW w:w="1987" w:type="pct"/>
          </w:tcPr>
          <w:p w14:paraId="3872D16B" w14:textId="196FFAED" w:rsidR="002F7B6E" w:rsidRPr="0044090C" w:rsidRDefault="00522186" w:rsidP="00522186">
            <w:pPr>
              <w:bidi/>
              <w:spacing w:after="200" w:line="276" w:lineRule="auto"/>
              <w:jc w:val="center"/>
              <w:rPr>
                <w:rFonts w:ascii="Traditional Arabic" w:hAnsi="Traditional Arabic" w:cs="Traditional Arabic"/>
                <w:color w:val="000000" w:themeColor="text1"/>
                <w:sz w:val="24"/>
                <w:szCs w:val="24"/>
                <w:rtl/>
              </w:rPr>
            </w:pPr>
            <w:r w:rsidRPr="0044090C">
              <w:rPr>
                <w:rFonts w:ascii="Traditional Arabic" w:hAnsi="Traditional Arabic" w:cs="Traditional Arabic"/>
                <w:color w:val="000000" w:themeColor="text1"/>
                <w:sz w:val="24"/>
                <w:szCs w:val="24"/>
                <w:rtl/>
              </w:rPr>
              <w:t>تُقبل الفرضية الرئيسية الأولى، حيث أوضحت النتائج وجود علاقة ارتباطية طردية (موجبة) ذات دلالة إحصائية بين ممارسات إدارة المخاطر، والقيادة التحويلية، وسلامة المرضى في المستشفيات الحكومية بالمملكة العربية السعودية، مما يعكس تكاملاً وترابطاً خطياً بين المتغيرات الثلاثة</w:t>
            </w:r>
            <w:r w:rsidRPr="0044090C">
              <w:rPr>
                <w:rFonts w:ascii="Traditional Arabic" w:hAnsi="Traditional Arabic" w:cs="Traditional Arabic"/>
                <w:color w:val="000000" w:themeColor="text1"/>
                <w:sz w:val="24"/>
                <w:szCs w:val="24"/>
              </w:rPr>
              <w:t>."</w:t>
            </w:r>
          </w:p>
        </w:tc>
      </w:tr>
      <w:tr w:rsidR="002F7B6E" w:rsidRPr="0044090C" w14:paraId="28332404" w14:textId="77777777" w:rsidTr="00C03FE4">
        <w:trPr>
          <w:tblCellSpacing w:w="20" w:type="dxa"/>
        </w:trPr>
        <w:tc>
          <w:tcPr>
            <w:tcW w:w="482" w:type="pct"/>
          </w:tcPr>
          <w:p w14:paraId="4282F7DA" w14:textId="77B18319"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2</w:t>
            </w:r>
          </w:p>
        </w:tc>
        <w:tc>
          <w:tcPr>
            <w:tcW w:w="2435" w:type="pct"/>
          </w:tcPr>
          <w:p w14:paraId="356B39D1" w14:textId="20D930F8" w:rsidR="00A83929" w:rsidRPr="0044090C" w:rsidRDefault="00440B9A" w:rsidP="00522186">
            <w:pPr>
              <w:bidi/>
              <w:spacing w:after="200" w:line="276" w:lineRule="auto"/>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الفرضية الرئيسة الثانية</w:t>
            </w:r>
            <w:r w:rsidRPr="0044090C">
              <w:rPr>
                <w:rFonts w:ascii="Traditional Arabic" w:hAnsi="Traditional Arabic" w:cs="Traditional Arabic"/>
                <w:b/>
                <w:bCs/>
                <w:color w:val="000000" w:themeColor="text1"/>
                <w:sz w:val="24"/>
                <w:szCs w:val="24"/>
                <w:rtl/>
              </w:rPr>
              <w:t xml:space="preserve"> </w:t>
            </w:r>
            <w:r w:rsidR="00522186" w:rsidRPr="0044090C">
              <w:rPr>
                <w:rFonts w:ascii="Traditional Arabic" w:hAnsi="Traditional Arabic" w:cs="Traditional Arabic"/>
                <w:b/>
                <w:bCs/>
                <w:color w:val="000000" w:themeColor="text1"/>
                <w:sz w:val="24"/>
                <w:szCs w:val="24"/>
                <w:rtl/>
              </w:rPr>
              <w:t>(فرض أثر المستقل على التابع):"</w:t>
            </w:r>
            <w:r w:rsidR="00522186" w:rsidRPr="0044090C">
              <w:rPr>
                <w:rFonts w:ascii="Traditional Arabic" w:hAnsi="Traditional Arabic" w:cs="Traditional Arabic"/>
                <w:color w:val="000000" w:themeColor="text1"/>
                <w:sz w:val="24"/>
                <w:szCs w:val="24"/>
                <w:rtl/>
              </w:rPr>
              <w:t>يوجد تأثير ذو دلالة إحصائية لممارسات إدارة المخاطر على سلامة المرضى في المستشفيات الحكومية بالمملكة العربية السعودية</w:t>
            </w:r>
            <w:r w:rsidR="00522186" w:rsidRPr="0044090C">
              <w:rPr>
                <w:rFonts w:ascii="Traditional Arabic" w:hAnsi="Traditional Arabic" w:cs="Traditional Arabic"/>
                <w:color w:val="000000" w:themeColor="text1"/>
                <w:sz w:val="24"/>
                <w:szCs w:val="24"/>
              </w:rPr>
              <w:t>."</w:t>
            </w:r>
          </w:p>
        </w:tc>
        <w:tc>
          <w:tcPr>
            <w:tcW w:w="1987" w:type="pct"/>
          </w:tcPr>
          <w:p w14:paraId="6D95D5AC" w14:textId="30EB58CD" w:rsidR="002F7B6E" w:rsidRPr="0044090C" w:rsidRDefault="00522186" w:rsidP="00522186">
            <w:pPr>
              <w:tabs>
                <w:tab w:val="left" w:pos="271"/>
              </w:tabs>
              <w:bidi/>
              <w:spacing w:after="200" w:line="276" w:lineRule="auto"/>
              <w:rPr>
                <w:rFonts w:ascii="Traditional Arabic" w:hAnsi="Traditional Arabic" w:cs="Traditional Arabic"/>
                <w:color w:val="000000" w:themeColor="text1"/>
                <w:sz w:val="24"/>
                <w:szCs w:val="24"/>
                <w:rtl/>
              </w:rPr>
            </w:pPr>
            <w:r w:rsidRPr="0044090C">
              <w:rPr>
                <w:rFonts w:ascii="Traditional Arabic" w:hAnsi="Traditional Arabic" w:cs="Traditional Arabic"/>
                <w:color w:val="000000" w:themeColor="text1"/>
                <w:sz w:val="24"/>
                <w:szCs w:val="24"/>
                <w:rtl/>
              </w:rPr>
              <w:t xml:space="preserve">تُقبل الفرضية </w:t>
            </w:r>
            <w:r w:rsidR="00090009" w:rsidRPr="0044090C">
              <w:rPr>
                <w:rFonts w:ascii="Traditional Arabic" w:hAnsi="Traditional Arabic" w:cs="Traditional Arabic" w:hint="cs"/>
                <w:color w:val="000000" w:themeColor="text1"/>
                <w:sz w:val="24"/>
                <w:szCs w:val="24"/>
                <w:rtl/>
              </w:rPr>
              <w:t>الثانية</w:t>
            </w:r>
            <w:r w:rsidRPr="0044090C">
              <w:rPr>
                <w:rFonts w:ascii="Traditional Arabic" w:hAnsi="Traditional Arabic" w:cs="Traditional Arabic"/>
                <w:color w:val="000000" w:themeColor="text1"/>
                <w:sz w:val="24"/>
                <w:szCs w:val="24"/>
                <w:rtl/>
              </w:rPr>
              <w:t>؛ حيث أظهرت مخرجات تحليل الانحدار الخطي البسيط وجود تأثير طردي (إيجابي) ذو دلالة إحصائية لممارسات إدارة المخاطر في تحسين معايير سلامة المرضى، بقدرة تفسيرية بلغت (30.7%) من التباين الحاصل في المتغير التابع عند مستوى معنوية (\</w:t>
            </w:r>
            <w:r w:rsidRPr="0044090C">
              <w:rPr>
                <w:rFonts w:ascii="Traditional Arabic" w:hAnsi="Traditional Arabic" w:cs="Traditional Arabic"/>
                <w:color w:val="000000" w:themeColor="text1"/>
                <w:sz w:val="24"/>
                <w:szCs w:val="24"/>
              </w:rPr>
              <w:t>(Sig = 0.000\)</w:t>
            </w:r>
            <w:r w:rsidRPr="0044090C">
              <w:rPr>
                <w:rFonts w:ascii="Traditional Arabic" w:hAnsi="Traditional Arabic" w:cs="Traditional Arabic"/>
                <w:color w:val="000000" w:themeColor="text1"/>
                <w:sz w:val="24"/>
                <w:szCs w:val="24"/>
                <w:rtl/>
              </w:rPr>
              <w:t>).</w:t>
            </w:r>
          </w:p>
        </w:tc>
      </w:tr>
      <w:tr w:rsidR="002F7B6E" w:rsidRPr="0044090C" w14:paraId="16DEECB7" w14:textId="77777777" w:rsidTr="00C03FE4">
        <w:trPr>
          <w:tblCellSpacing w:w="20" w:type="dxa"/>
        </w:trPr>
        <w:tc>
          <w:tcPr>
            <w:tcW w:w="482" w:type="pct"/>
          </w:tcPr>
          <w:p w14:paraId="4CF98318" w14:textId="495E80EF"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3</w:t>
            </w:r>
          </w:p>
        </w:tc>
        <w:tc>
          <w:tcPr>
            <w:tcW w:w="2435" w:type="pct"/>
          </w:tcPr>
          <w:p w14:paraId="1B27212A" w14:textId="7B918334" w:rsidR="00A83929" w:rsidRPr="0044090C" w:rsidRDefault="00440B9A" w:rsidP="00522186">
            <w:pPr>
              <w:bidi/>
              <w:spacing w:after="200" w:line="276" w:lineRule="auto"/>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الفرضية الرئيسة الثالثة</w:t>
            </w:r>
            <w:r w:rsidRPr="0044090C">
              <w:rPr>
                <w:rFonts w:ascii="Traditional Arabic" w:hAnsi="Traditional Arabic" w:cs="Traditional Arabic"/>
                <w:b/>
                <w:bCs/>
                <w:color w:val="000000" w:themeColor="text1"/>
                <w:sz w:val="24"/>
                <w:szCs w:val="24"/>
                <w:rtl/>
              </w:rPr>
              <w:t xml:space="preserve"> </w:t>
            </w:r>
            <w:r w:rsidR="00522186" w:rsidRPr="0044090C">
              <w:rPr>
                <w:rFonts w:ascii="Traditional Arabic" w:hAnsi="Traditional Arabic" w:cs="Traditional Arabic"/>
                <w:b/>
                <w:bCs/>
                <w:color w:val="000000" w:themeColor="text1"/>
                <w:sz w:val="24"/>
                <w:szCs w:val="24"/>
                <w:rtl/>
              </w:rPr>
              <w:t>(فرض أثر الوسيط على التابع):"</w:t>
            </w:r>
            <w:r w:rsidR="00522186" w:rsidRPr="0044090C">
              <w:rPr>
                <w:rFonts w:ascii="Traditional Arabic" w:hAnsi="Traditional Arabic" w:cs="Traditional Arabic"/>
                <w:color w:val="000000" w:themeColor="text1"/>
                <w:sz w:val="24"/>
                <w:szCs w:val="24"/>
                <w:rtl/>
              </w:rPr>
              <w:t>يوجد تأثير ذو دلالة إحصائية للقيادة التحويلية على سلامة المرضى في المستشفيات الحكومية بالمملكة العربية السعودية</w:t>
            </w:r>
            <w:r w:rsidR="00522186" w:rsidRPr="0044090C">
              <w:rPr>
                <w:rFonts w:ascii="Traditional Arabic" w:hAnsi="Traditional Arabic" w:cs="Traditional Arabic"/>
                <w:color w:val="000000" w:themeColor="text1"/>
                <w:sz w:val="24"/>
                <w:szCs w:val="24"/>
              </w:rPr>
              <w:t>.</w:t>
            </w:r>
          </w:p>
        </w:tc>
        <w:tc>
          <w:tcPr>
            <w:tcW w:w="1987" w:type="pct"/>
          </w:tcPr>
          <w:p w14:paraId="472FFBE2" w14:textId="32198FE2" w:rsidR="002F7B6E" w:rsidRPr="0044090C" w:rsidRDefault="00522186" w:rsidP="00522186">
            <w:pPr>
              <w:bidi/>
              <w:spacing w:after="200" w:line="276" w:lineRule="auto"/>
              <w:rPr>
                <w:rFonts w:ascii="Traditional Arabic" w:hAnsi="Traditional Arabic" w:cs="Traditional Arabic"/>
                <w:color w:val="000000" w:themeColor="text1"/>
                <w:sz w:val="24"/>
                <w:szCs w:val="24"/>
                <w:rtl/>
              </w:rPr>
            </w:pPr>
            <w:r w:rsidRPr="0044090C">
              <w:rPr>
                <w:rFonts w:ascii="Traditional Arabic" w:hAnsi="Traditional Arabic" w:cs="Traditional Arabic"/>
                <w:color w:val="000000" w:themeColor="text1"/>
                <w:sz w:val="24"/>
                <w:szCs w:val="24"/>
                <w:rtl/>
              </w:rPr>
              <w:t xml:space="preserve">تُقبل الفرضية </w:t>
            </w:r>
            <w:r w:rsidR="00090009" w:rsidRPr="0044090C">
              <w:rPr>
                <w:rFonts w:ascii="Traditional Arabic" w:hAnsi="Traditional Arabic" w:cs="Traditional Arabic" w:hint="cs"/>
                <w:color w:val="000000" w:themeColor="text1"/>
                <w:sz w:val="24"/>
                <w:szCs w:val="24"/>
                <w:rtl/>
              </w:rPr>
              <w:t>الثالثة</w:t>
            </w:r>
            <w:r w:rsidRPr="0044090C">
              <w:rPr>
                <w:rFonts w:ascii="Traditional Arabic" w:hAnsi="Traditional Arabic" w:cs="Traditional Arabic"/>
                <w:color w:val="000000" w:themeColor="text1"/>
                <w:sz w:val="24"/>
                <w:szCs w:val="24"/>
                <w:rtl/>
              </w:rPr>
              <w:t>؛ حيث أثبتت نتائج مخرجات التحليل الإحصائي وجود تأثير طردي قوي وذو دلالة إحصائية للنمط القيادي التحويلي على مستويات سلامة المرضى، حيث يسهم في تفسير ما نسبته (46.6%) من التغيرات والتباين في جودة الرعاية والبيئة الآمنة عند مستوى معنوية (\</w:t>
            </w:r>
            <w:r w:rsidRPr="0044090C">
              <w:rPr>
                <w:rFonts w:ascii="Traditional Arabic" w:hAnsi="Traditional Arabic" w:cs="Traditional Arabic"/>
                <w:color w:val="000000" w:themeColor="text1"/>
                <w:sz w:val="24"/>
                <w:szCs w:val="24"/>
              </w:rPr>
              <w:t>(Sig = 0.000\)</w:t>
            </w:r>
            <w:r w:rsidRPr="0044090C">
              <w:rPr>
                <w:rFonts w:ascii="Traditional Arabic" w:hAnsi="Traditional Arabic" w:cs="Traditional Arabic"/>
                <w:color w:val="000000" w:themeColor="text1"/>
                <w:sz w:val="24"/>
                <w:szCs w:val="24"/>
                <w:rtl/>
              </w:rPr>
              <w:t>).</w:t>
            </w:r>
          </w:p>
        </w:tc>
      </w:tr>
      <w:tr w:rsidR="002F7B6E" w:rsidRPr="0044090C" w14:paraId="683AA35D" w14:textId="77777777" w:rsidTr="00C03FE4">
        <w:trPr>
          <w:tblCellSpacing w:w="20" w:type="dxa"/>
        </w:trPr>
        <w:tc>
          <w:tcPr>
            <w:tcW w:w="482" w:type="pct"/>
          </w:tcPr>
          <w:p w14:paraId="012BD345" w14:textId="0DA4DA16"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4</w:t>
            </w:r>
          </w:p>
        </w:tc>
        <w:tc>
          <w:tcPr>
            <w:tcW w:w="2435" w:type="pct"/>
          </w:tcPr>
          <w:p w14:paraId="3F06739B" w14:textId="77777777" w:rsidR="00A83929" w:rsidRDefault="00440B9A" w:rsidP="00522186">
            <w:pPr>
              <w:bidi/>
              <w:spacing w:after="200" w:line="276" w:lineRule="auto"/>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الفرضية الرئيسة الرابعة</w:t>
            </w:r>
            <w:r w:rsidRPr="0044090C">
              <w:rPr>
                <w:rFonts w:ascii="Traditional Arabic" w:hAnsi="Traditional Arabic" w:cs="Traditional Arabic"/>
                <w:b/>
                <w:bCs/>
                <w:color w:val="000000" w:themeColor="text1"/>
                <w:sz w:val="24"/>
                <w:szCs w:val="24"/>
                <w:rtl/>
              </w:rPr>
              <w:t xml:space="preserve"> </w:t>
            </w:r>
            <w:r w:rsidR="00522186" w:rsidRPr="0044090C">
              <w:rPr>
                <w:rFonts w:ascii="Traditional Arabic" w:hAnsi="Traditional Arabic" w:cs="Traditional Arabic"/>
                <w:b/>
                <w:bCs/>
                <w:color w:val="000000" w:themeColor="text1"/>
                <w:sz w:val="24"/>
                <w:szCs w:val="24"/>
                <w:rtl/>
              </w:rPr>
              <w:t>(فرض الدور الوسيط / التأثير غير المباشر):"</w:t>
            </w:r>
            <w:r w:rsidR="00522186" w:rsidRPr="0044090C">
              <w:rPr>
                <w:rFonts w:ascii="Traditional Arabic" w:hAnsi="Traditional Arabic" w:cs="Traditional Arabic"/>
                <w:color w:val="000000" w:themeColor="text1"/>
                <w:sz w:val="24"/>
                <w:szCs w:val="24"/>
                <w:rtl/>
              </w:rPr>
              <w:t>يوجد تأثير ذو دلالة إحصائية للقيادة التحويلية عند توسطها العلاقة بين ممارسات إدارة المخاطر وسلامة المرضى في المستشفيات الحكومية بالمملكة العربية السعودية</w:t>
            </w:r>
            <w:r w:rsidR="005D1EEC">
              <w:rPr>
                <w:rFonts w:ascii="Traditional Arabic" w:hAnsi="Traditional Arabic" w:cs="Traditional Arabic" w:hint="cs"/>
                <w:color w:val="000000" w:themeColor="text1"/>
                <w:sz w:val="24"/>
                <w:szCs w:val="24"/>
                <w:rtl/>
              </w:rPr>
              <w:t xml:space="preserve"> </w:t>
            </w:r>
            <w:r w:rsidR="005D1EEC" w:rsidRPr="005D1EEC">
              <w:rPr>
                <w:rFonts w:ascii="Traditional Arabic" w:hAnsi="Traditional Arabic" w:cs="Traditional Arabic" w:hint="cs"/>
                <w:b/>
                <w:bCs/>
                <w:color w:val="000000" w:themeColor="text1"/>
                <w:sz w:val="24"/>
                <w:szCs w:val="24"/>
                <w:rtl/>
              </w:rPr>
              <w:t>تنبثق</w:t>
            </w:r>
            <w:r w:rsidR="005D1EEC">
              <w:rPr>
                <w:rFonts w:ascii="Traditional Arabic" w:hAnsi="Traditional Arabic" w:cs="Traditional Arabic" w:hint="cs"/>
                <w:b/>
                <w:bCs/>
                <w:color w:val="000000" w:themeColor="text1"/>
                <w:sz w:val="24"/>
                <w:szCs w:val="24"/>
                <w:rtl/>
              </w:rPr>
              <w:t xml:space="preserve"> من الفرضية الرئيسية الأربعة فرضيات فرعية كالتالي :</w:t>
            </w:r>
          </w:p>
          <w:p w14:paraId="015278CC" w14:textId="77777777" w:rsidR="00320E2A" w:rsidRDefault="00320E2A" w:rsidP="00320E2A">
            <w:pPr>
              <w:pStyle w:val="ListParagraph"/>
              <w:numPr>
                <w:ilvl w:val="0"/>
                <w:numId w:val="18"/>
              </w:num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تتوسط القيادة التحويلية العلاقية بين تحديد المخاطر وسلامة المرضى .</w:t>
            </w:r>
          </w:p>
          <w:p w14:paraId="58DA6B01" w14:textId="77777777" w:rsidR="00320E2A" w:rsidRDefault="00320E2A" w:rsidP="00320E2A">
            <w:pPr>
              <w:pStyle w:val="ListParagraph"/>
              <w:numPr>
                <w:ilvl w:val="0"/>
                <w:numId w:val="18"/>
              </w:num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تتوسط القيادة التحويلية العلاقية بين تحليل المخاطر وسلامة المرضى .</w:t>
            </w:r>
          </w:p>
          <w:p w14:paraId="6FD299C4" w14:textId="68C2A586" w:rsidR="00320E2A" w:rsidRDefault="00320E2A" w:rsidP="00320E2A">
            <w:pPr>
              <w:pStyle w:val="ListParagraph"/>
              <w:numPr>
                <w:ilvl w:val="0"/>
                <w:numId w:val="18"/>
              </w:num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تتوسط القيادة التحويلية العلاقية بين تقييم المخاطر وسلامة المرضى .</w:t>
            </w:r>
          </w:p>
          <w:p w14:paraId="0954A6AE" w14:textId="0E54EF1B" w:rsidR="00320E2A" w:rsidRPr="00320E2A" w:rsidRDefault="00320E2A" w:rsidP="00320E2A">
            <w:pPr>
              <w:pStyle w:val="ListParagraph"/>
              <w:numPr>
                <w:ilvl w:val="0"/>
                <w:numId w:val="18"/>
              </w:num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تتوسط القيادة التحويلية العلاقية بين تحديد المخاطر وسلامة المرضى .</w:t>
            </w:r>
          </w:p>
        </w:tc>
        <w:tc>
          <w:tcPr>
            <w:tcW w:w="1987" w:type="pct"/>
          </w:tcPr>
          <w:p w14:paraId="0F8B25ED" w14:textId="5EC2A1D0" w:rsidR="002F7B6E" w:rsidRPr="0044090C" w:rsidRDefault="00BD24CB" w:rsidP="00522186">
            <w:pPr>
              <w:bidi/>
              <w:spacing w:after="200" w:line="276" w:lineRule="auto"/>
              <w:rPr>
                <w:rFonts w:ascii="Traditional Arabic" w:hAnsi="Traditional Arabic" w:cs="Traditional Arabic"/>
                <w:color w:val="000000" w:themeColor="text1"/>
                <w:sz w:val="24"/>
                <w:szCs w:val="24"/>
                <w:rtl/>
              </w:rPr>
            </w:pPr>
            <w:r w:rsidRPr="00BD24CB">
              <w:rPr>
                <w:rFonts w:ascii="Traditional Arabic" w:hAnsi="Traditional Arabic" w:cs="Traditional Arabic"/>
                <w:color w:val="000000" w:themeColor="text1"/>
                <w:sz w:val="24"/>
                <w:szCs w:val="24"/>
                <w:rtl/>
              </w:rPr>
              <w:lastRenderedPageBreak/>
              <w:t>"أوضحت نتائج التحليل باستخدام أسلوب نمذجة المعادلات الهيكلية بطريقة المربعات الصغرى الجزئية (</w:t>
            </w:r>
            <w:r w:rsidRPr="00BD24CB">
              <w:rPr>
                <w:rFonts w:ascii="Traditional Arabic" w:hAnsi="Traditional Arabic" w:cs="Traditional Arabic"/>
                <w:color w:val="000000" w:themeColor="text1"/>
                <w:sz w:val="24"/>
                <w:szCs w:val="24"/>
              </w:rPr>
              <w:t>PLS-SEM</w:t>
            </w:r>
            <w:r w:rsidRPr="00BD24CB">
              <w:rPr>
                <w:rFonts w:ascii="Traditional Arabic" w:hAnsi="Traditional Arabic" w:cs="Traditional Arabic"/>
                <w:color w:val="000000" w:themeColor="text1"/>
                <w:sz w:val="24"/>
                <w:szCs w:val="24"/>
                <w:rtl/>
              </w:rPr>
              <w:t xml:space="preserve">) قبول الفرضية الرئيسة الرابعة جزئياً، حيث تبين أن القيادة التحويلية تؤدي دوراً وسيطاً دالاً إحصائياً في العلاقة بين ممارسات إدارة المخاطر وأبعاد سلامة المرضى. فقد أظهرت الفروض الفرعية أن القيادة التحويلية تتوسط العلاقة بين تحديد المخاطر (0.633 مباشر، </w:t>
            </w:r>
            <w:r w:rsidRPr="00BD24CB">
              <w:rPr>
                <w:rFonts w:ascii="Traditional Arabic" w:hAnsi="Traditional Arabic" w:cs="Traditional Arabic"/>
                <w:color w:val="000000" w:themeColor="text1"/>
                <w:sz w:val="24"/>
                <w:szCs w:val="24"/>
                <w:rtl/>
              </w:rPr>
              <w:lastRenderedPageBreak/>
              <w:t>0.010 غير مباشر، 0.643 كلي)، تحليل المخاطر (0.630 مباشر، 0.055 غير مباشر، 0.685 كلي)، تقييم المخاطر (0.370 مباشر، 0.101 غير مباشر، 0.471 كلي)، والاستجابة للمخاطر (0.410 مباشر، 0.124 غير مباشر، 0.534 كلي) من جهة، وأربعة أبعاد رئيسة لسلامة المرضى هي: تقليل الأخطاء الطبية، فعالية أنظمة الإبلاغ، بيئة العمل الآمنة، وجودة الرعاية. في المقابل، لم يظهر للقيادة التحويلية أثر وسيط في بُعد إشراك المرضى عبر جميع الفروض الفرعية، حيث بلغت قيمة الأثر غير المباشر (0.001–0.004–0.003–0.002) وهي قيم ضئيلة وغير دالة إحصائياً، مع بقاء التأثيرات المباشرة دالة (0.579–0.617–0.235–0.295). هذا النمط الإحصائي يعكس تحقق التوسط الجزئي ويؤكد أن ممارسات إدارة المخاطر تسهم مباشرة في تعزيز سلامة المرضى، بينما يتدعم أثرها عبر القيادة التحويلية في معظم الأبعاد، باستثناء إشراك المرضى الذي يرتبط بالسياسات والمعايير التنظيمية المباشرة دون تأثير قيادي."</w:t>
            </w:r>
          </w:p>
        </w:tc>
      </w:tr>
      <w:tr w:rsidR="002F7B6E" w:rsidRPr="0044090C" w14:paraId="6063D082" w14:textId="77777777" w:rsidTr="00C03FE4">
        <w:trPr>
          <w:tblCellSpacing w:w="20" w:type="dxa"/>
        </w:trPr>
        <w:tc>
          <w:tcPr>
            <w:tcW w:w="482" w:type="pct"/>
          </w:tcPr>
          <w:p w14:paraId="2C9A1A10" w14:textId="5F692E70"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lastRenderedPageBreak/>
              <w:t>5</w:t>
            </w:r>
          </w:p>
        </w:tc>
        <w:tc>
          <w:tcPr>
            <w:tcW w:w="2435" w:type="pct"/>
          </w:tcPr>
          <w:p w14:paraId="2EE6AFEE" w14:textId="3FFC913D" w:rsidR="00A83929" w:rsidRPr="0044090C" w:rsidRDefault="00440B9A" w:rsidP="00522186">
            <w:pPr>
              <w:bidi/>
              <w:spacing w:after="200" w:line="276" w:lineRule="auto"/>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الفرضية الرئيسة الخامسة</w:t>
            </w:r>
            <w:r w:rsidR="00522186" w:rsidRPr="0044090C">
              <w:rPr>
                <w:rFonts w:ascii="Traditional Arabic" w:hAnsi="Traditional Arabic" w:cs="Traditional Arabic"/>
                <w:b/>
                <w:bCs/>
                <w:color w:val="000000" w:themeColor="text1"/>
                <w:sz w:val="24"/>
                <w:szCs w:val="24"/>
                <w:rtl/>
              </w:rPr>
              <w:t xml:space="preserve"> (فرض الفروق الديموغرافية):"</w:t>
            </w:r>
            <w:r w:rsidR="00522186" w:rsidRPr="0044090C">
              <w:rPr>
                <w:rFonts w:ascii="Traditional Arabic" w:hAnsi="Traditional Arabic" w:cs="Traditional Arabic"/>
                <w:color w:val="000000" w:themeColor="text1"/>
                <w:sz w:val="24"/>
                <w:szCs w:val="24"/>
                <w:rtl/>
              </w:rPr>
              <w:t>توجد فروق ذات دلالة إحصائية في إدراك أفراد العينة لمتغيرات الدراسة تُعزى للمتغيرات الديموغرافية والوظيفية (النوع، المؤهل العلمي، نوع الوظيفة، سنوات الخبرة)</w:t>
            </w:r>
            <w:r w:rsidR="00522186" w:rsidRPr="0044090C">
              <w:rPr>
                <w:rFonts w:ascii="Traditional Arabic" w:hAnsi="Traditional Arabic" w:cs="Traditional Arabic"/>
                <w:color w:val="000000" w:themeColor="text1"/>
                <w:sz w:val="24"/>
                <w:szCs w:val="24"/>
              </w:rPr>
              <w:t>."</w:t>
            </w:r>
          </w:p>
        </w:tc>
        <w:tc>
          <w:tcPr>
            <w:tcW w:w="1987" w:type="pct"/>
          </w:tcPr>
          <w:p w14:paraId="62F80850" w14:textId="054BB7C3" w:rsidR="002F7B6E" w:rsidRPr="0044090C" w:rsidRDefault="00522186" w:rsidP="00522186">
            <w:pPr>
              <w:bidi/>
              <w:spacing w:after="200" w:line="276" w:lineRule="auto"/>
              <w:rPr>
                <w:rFonts w:ascii="Traditional Arabic" w:hAnsi="Traditional Arabic" w:cs="Traditional Arabic"/>
                <w:color w:val="000000" w:themeColor="text1"/>
                <w:sz w:val="24"/>
                <w:szCs w:val="24"/>
                <w:rtl/>
              </w:rPr>
            </w:pPr>
            <w:r w:rsidRPr="0044090C">
              <w:rPr>
                <w:rFonts w:ascii="Traditional Arabic" w:hAnsi="Traditional Arabic" w:cs="Traditional Arabic"/>
                <w:color w:val="000000" w:themeColor="text1"/>
                <w:sz w:val="24"/>
                <w:szCs w:val="24"/>
                <w:rtl/>
              </w:rPr>
              <w:t>تُقبل الفرضية</w:t>
            </w:r>
            <w:r w:rsidR="00FD6EE4" w:rsidRPr="0044090C">
              <w:rPr>
                <w:rFonts w:ascii="Traditional Arabic" w:hAnsi="Traditional Arabic" w:cs="Traditional Arabic" w:hint="cs"/>
                <w:color w:val="000000" w:themeColor="text1"/>
                <w:sz w:val="24"/>
                <w:szCs w:val="24"/>
                <w:rtl/>
              </w:rPr>
              <w:t xml:space="preserve"> الخامسة</w:t>
            </w:r>
            <w:r w:rsidRPr="0044090C">
              <w:rPr>
                <w:rFonts w:ascii="Traditional Arabic" w:hAnsi="Traditional Arabic" w:cs="Traditional Arabic"/>
                <w:color w:val="000000" w:themeColor="text1"/>
                <w:sz w:val="24"/>
                <w:szCs w:val="24"/>
                <w:rtl/>
              </w:rPr>
              <w:t xml:space="preserve"> جزئياً؛ حيث كشفت نتائج اختبار (</w:t>
            </w:r>
            <w:r w:rsidRPr="0044090C">
              <w:rPr>
                <w:rFonts w:ascii="Traditional Arabic" w:hAnsi="Traditional Arabic" w:cs="Traditional Arabic"/>
                <w:color w:val="000000" w:themeColor="text1"/>
                <w:sz w:val="24"/>
                <w:szCs w:val="24"/>
              </w:rPr>
              <w:t>T-test</w:t>
            </w:r>
            <w:r w:rsidRPr="0044090C">
              <w:rPr>
                <w:rFonts w:ascii="Traditional Arabic" w:hAnsi="Traditional Arabic" w:cs="Traditional Arabic"/>
                <w:color w:val="000000" w:themeColor="text1"/>
                <w:sz w:val="24"/>
                <w:szCs w:val="24"/>
                <w:rtl/>
              </w:rPr>
              <w:t>) واختبار تحليل التباين الأحادي (</w:t>
            </w:r>
            <w:r w:rsidRPr="0044090C">
              <w:rPr>
                <w:rFonts w:ascii="Traditional Arabic" w:hAnsi="Traditional Arabic" w:cs="Traditional Arabic"/>
                <w:color w:val="000000" w:themeColor="text1"/>
                <w:sz w:val="24"/>
                <w:szCs w:val="24"/>
              </w:rPr>
              <w:t>One-Way ANOVA</w:t>
            </w:r>
            <w:r w:rsidRPr="0044090C">
              <w:rPr>
                <w:rFonts w:ascii="Traditional Arabic" w:hAnsi="Traditional Arabic" w:cs="Traditional Arabic"/>
                <w:color w:val="000000" w:themeColor="text1"/>
                <w:sz w:val="24"/>
                <w:szCs w:val="24"/>
                <w:rtl/>
              </w:rPr>
              <w:t>) عن وجود فروق ذات دلالة إحصائية في إدراك أفراد العينة تعزى لمتغيرات (النوع لصالح الذكور، المؤهل العلمي لصالح الدراسات العليا، وسنوات الخبرة لصالح الفئات الأكثر خبرة)، في حين لم تظهر أي فروق ذات دلالة إحصائية تعزى لمتغير (نوع الوظيفة).</w:t>
            </w:r>
          </w:p>
        </w:tc>
      </w:tr>
    </w:tbl>
    <w:p w14:paraId="17FFBDFD" w14:textId="77777777" w:rsidR="00391B6E" w:rsidRPr="0044090C" w:rsidRDefault="00391B6E" w:rsidP="00522186">
      <w:pPr>
        <w:bidi/>
        <w:spacing w:after="200" w:line="276" w:lineRule="auto"/>
        <w:ind w:firstLine="720"/>
        <w:jc w:val="right"/>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CC71596" w14:textId="77777777" w:rsidR="00BD24CB" w:rsidRDefault="00BD24CB" w:rsidP="00060931">
      <w:pPr>
        <w:bidi/>
        <w:spacing w:after="200" w:line="360" w:lineRule="auto"/>
        <w:jc w:val="both"/>
        <w:rPr>
          <w:rFonts w:ascii="Traditional Arabic" w:hAnsi="Traditional Arabic" w:cs="Traditional Arabic"/>
          <w:b/>
          <w:bCs/>
          <w:color w:val="000000" w:themeColor="text1"/>
          <w:sz w:val="28"/>
          <w:szCs w:val="28"/>
          <w:rtl/>
        </w:rPr>
      </w:pPr>
    </w:p>
    <w:p w14:paraId="0C41EF7F" w14:textId="6BC69821" w:rsidR="00060931" w:rsidRPr="0044090C" w:rsidRDefault="00060931" w:rsidP="00BD24CB">
      <w:pPr>
        <w:bidi/>
        <w:spacing w:after="200" w:line="360" w:lineRule="auto"/>
        <w:jc w:val="both"/>
        <w:rPr>
          <w:rFonts w:ascii="Traditional Arabic" w:hAnsi="Traditional Arabic" w:cs="Traditional Arabic"/>
          <w:b/>
          <w:bCs/>
          <w:color w:val="000000" w:themeColor="text1"/>
          <w:sz w:val="28"/>
          <w:szCs w:val="28"/>
          <w:rtl/>
        </w:rPr>
      </w:pPr>
      <w:r w:rsidRPr="0044090C">
        <w:rPr>
          <w:rFonts w:ascii="Traditional Arabic" w:hAnsi="Traditional Arabic" w:cs="Traditional Arabic" w:hint="cs"/>
          <w:b/>
          <w:bCs/>
          <w:color w:val="000000" w:themeColor="text1"/>
          <w:sz w:val="28"/>
          <w:szCs w:val="28"/>
          <w:rtl/>
        </w:rPr>
        <w:lastRenderedPageBreak/>
        <w:t>خلاصة:</w:t>
      </w:r>
    </w:p>
    <w:p w14:paraId="24571CB9" w14:textId="58535E02" w:rsidR="00BA5F4E" w:rsidRPr="00FD6EE4" w:rsidRDefault="00FD6EE4" w:rsidP="00FD6EE4">
      <w:pPr>
        <w:bidi/>
        <w:spacing w:after="200" w:line="276" w:lineRule="auto"/>
        <w:jc w:val="both"/>
        <w:rPr>
          <w:rFonts w:ascii="Traditional Arabic" w:hAnsi="Traditional Arabic" w:cs="Traditional Arabic"/>
          <w:color w:val="000000" w:themeColor="text1"/>
          <w:sz w:val="24"/>
          <w:szCs w:val="24"/>
          <w:rtl/>
          <w:lang w:bidi="ar-EG"/>
        </w:rPr>
      </w:pPr>
      <w:r w:rsidRPr="0044090C">
        <w:rPr>
          <w:rFonts w:ascii="Traditional Arabic" w:hAnsi="Traditional Arabic" w:cs="Traditional Arabic"/>
          <w:color w:val="000000" w:themeColor="text1"/>
          <w:sz w:val="24"/>
          <w:szCs w:val="24"/>
        </w:rPr>
        <w:t>"</w:t>
      </w:r>
      <w:r w:rsidRPr="0044090C">
        <w:rPr>
          <w:rFonts w:ascii="Traditional Arabic" w:hAnsi="Traditional Arabic" w:cs="Traditional Arabic"/>
          <w:color w:val="000000" w:themeColor="text1"/>
          <w:sz w:val="24"/>
          <w:szCs w:val="24"/>
          <w:rtl/>
        </w:rPr>
        <w:t>اختتم هذا الفصل تقديم عرض شامل ومناقشة علمية مستفيضة لنتائج التحليل الميداني لإجابات عينة الدراسة البالغة (389) مشاركاً؛ حيث قادت الأساليب الإحصائية المتقدمة المستندة إلى حزمة</w:t>
      </w:r>
      <w:r w:rsidRPr="0044090C">
        <w:rPr>
          <w:rFonts w:ascii="Traditional Arabic" w:hAnsi="Traditional Arabic" w:cs="Traditional Arabic"/>
          <w:color w:val="000000" w:themeColor="text1"/>
          <w:sz w:val="24"/>
          <w:szCs w:val="24"/>
        </w:rPr>
        <w:t xml:space="preserve"> (SPSS) </w:t>
      </w:r>
      <w:r w:rsidRPr="0044090C">
        <w:rPr>
          <w:rFonts w:ascii="Traditional Arabic" w:hAnsi="Traditional Arabic" w:cs="Traditional Arabic"/>
          <w:color w:val="000000" w:themeColor="text1"/>
          <w:sz w:val="24"/>
          <w:szCs w:val="24"/>
          <w:rtl/>
        </w:rPr>
        <w:t>وملحق</w:t>
      </w:r>
      <w:r w:rsidRPr="0044090C">
        <w:rPr>
          <w:rFonts w:ascii="Traditional Arabic" w:hAnsi="Traditional Arabic" w:cs="Traditional Arabic"/>
          <w:color w:val="000000" w:themeColor="text1"/>
          <w:sz w:val="24"/>
          <w:szCs w:val="24"/>
        </w:rPr>
        <w:t xml:space="preserve"> (PROCESS Macro) </w:t>
      </w:r>
      <w:r w:rsidRPr="0044090C">
        <w:rPr>
          <w:rFonts w:ascii="Traditional Arabic" w:hAnsi="Traditional Arabic" w:cs="Traditional Arabic"/>
          <w:color w:val="000000" w:themeColor="text1"/>
          <w:sz w:val="24"/>
          <w:szCs w:val="24"/>
          <w:rtl/>
        </w:rPr>
        <w:t>إلى قبول الفرضيات الرئيسية الأربعة الأولى بالكامل بعد ثبوت العلاقات الارتباطية والتأثيرات الطردية المباشرة وغير المباشرة لمتغيرات الدراسة، كما تم قبول الفرضية الخامسة جزئياً بعد التحقق من الفروق الجوهرية التي تعزى لبعض المتغيرات الديموغرافية، ومثلت هذه المخرجات في مجموعها إثباتاً إحصائياً قاطعاً على كفاءة الدور الوسيط الجزئي للقيادة التحويلية في تعظيم أثر ممارسات إدارة المخاطر لتعزيز مستويات سلامة المرضى في المستشفيات الحكومية بالمملكة العربية السعودية، مما يمهد الطريق في الفصل القادم لبلورة التوصيات والمقترحات التنفيذية</w:t>
      </w:r>
      <w:r w:rsidRPr="0044090C">
        <w:rPr>
          <w:rFonts w:ascii="Traditional Arabic" w:hAnsi="Traditional Arabic" w:cs="Traditional Arabic"/>
          <w:color w:val="000000" w:themeColor="text1"/>
          <w:sz w:val="24"/>
          <w:szCs w:val="24"/>
        </w:rPr>
        <w:t>."</w:t>
      </w:r>
    </w:p>
    <w:p w14:paraId="287F569F" w14:textId="77777777" w:rsidR="00292E94" w:rsidRDefault="00292E94" w:rsidP="00BA5F4E">
      <w:pPr>
        <w:bidi/>
        <w:spacing w:after="200" w:line="276" w:lineRule="auto"/>
        <w:jc w:val="both"/>
        <w:rPr>
          <w:rFonts w:ascii="Simplified Arabic" w:hAnsi="Simplified Arabic" w:cs="Times New Roman"/>
          <w:b/>
          <w:bCs/>
          <w:color w:val="000000" w:themeColor="text1"/>
          <w:sz w:val="28"/>
          <w:szCs w:val="28"/>
          <w:rtl/>
        </w:rPr>
        <w:sectPr w:rsidR="00292E94" w:rsidSect="00E12BFB">
          <w:footerReference w:type="default" r:id="rId5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16"/>
          <w:cols w:space="708"/>
          <w:bidi/>
          <w:rtlGutter/>
          <w:docGrid w:linePitch="360"/>
        </w:sectPr>
      </w:pPr>
    </w:p>
    <w:p w14:paraId="35623E13"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66B7720"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EC7475A"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B6D23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F6F9482"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12566A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5FEB21F" w14:textId="6EB99962" w:rsidR="00BA5F4E" w:rsidRPr="00292E94" w:rsidRDefault="00BA5F4E" w:rsidP="00292E94">
      <w:pPr>
        <w:bidi/>
        <w:spacing w:after="200" w:line="276" w:lineRule="auto"/>
        <w:jc w:val="center"/>
        <w:rPr>
          <w:rFonts w:ascii="Traditional Arabic" w:hAnsi="Traditional Arabic" w:cs="Traditional Arabic"/>
          <w:b/>
          <w:bCs/>
          <w:color w:val="000000" w:themeColor="text1"/>
          <w:sz w:val="144"/>
          <w:szCs w:val="144"/>
          <w:rtl/>
        </w:rPr>
      </w:pPr>
      <w:r w:rsidRPr="00292E94">
        <w:rPr>
          <w:rFonts w:ascii="Traditional Arabic" w:hAnsi="Traditional Arabic" w:cs="Traditional Arabic" w:hint="cs"/>
          <w:b/>
          <w:bCs/>
          <w:color w:val="000000" w:themeColor="text1"/>
          <w:sz w:val="144"/>
          <w:szCs w:val="144"/>
          <w:rtl/>
        </w:rPr>
        <w:t>الفصل الخامس</w:t>
      </w:r>
    </w:p>
    <w:p w14:paraId="2C90AE11"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53C4D194"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2FDBCC07"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1419F50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6E8659E"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583D49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382AC8AF" w14:textId="77777777" w:rsidR="00292E94" w:rsidRDefault="00292E94" w:rsidP="00BA5F4E">
      <w:pPr>
        <w:bidi/>
        <w:spacing w:after="200" w:line="276" w:lineRule="auto"/>
        <w:jc w:val="both"/>
        <w:rPr>
          <w:rFonts w:ascii="Simplified Arabic" w:hAnsi="Simplified Arabic" w:cs="Times New Roman"/>
          <w:b/>
          <w:bCs/>
          <w:color w:val="000000" w:themeColor="text1"/>
          <w:sz w:val="28"/>
          <w:szCs w:val="28"/>
          <w:rtl/>
        </w:rPr>
        <w:sectPr w:rsidR="00292E94" w:rsidSect="00292E94">
          <w:footerReference w:type="default" r:id="rId53"/>
          <w:pgSz w:w="11906" w:h="16838"/>
          <w:pgMar w:top="1440" w:right="1800" w:bottom="1440" w:left="1800" w:header="708" w:footer="708" w:gutter="0"/>
          <w:pgNumType w:start="107"/>
          <w:cols w:space="708"/>
          <w:bidi/>
          <w:rtlGutter/>
          <w:docGrid w:linePitch="360"/>
        </w:sectPr>
      </w:pPr>
    </w:p>
    <w:p w14:paraId="2E642FB8" w14:textId="008A1299" w:rsidR="00DA1248" w:rsidRPr="00DA1248" w:rsidRDefault="00DA1248" w:rsidP="00D45743">
      <w:pPr>
        <w:bidi/>
        <w:spacing w:after="200" w:line="360" w:lineRule="auto"/>
        <w:ind w:firstLine="720"/>
        <w:jc w:val="both"/>
        <w:rPr>
          <w:rFonts w:ascii="Traditional Arabic" w:hAnsi="Traditional Arabic" w:cs="Traditional Arabic"/>
          <w:b/>
          <w:bCs/>
          <w:color w:val="000000" w:themeColor="text1"/>
          <w:sz w:val="28"/>
          <w:szCs w:val="28"/>
          <w:lang w:bidi="ar-EG"/>
        </w:rPr>
      </w:pPr>
      <w:r w:rsidRPr="00DA1248">
        <w:rPr>
          <w:rFonts w:ascii="Traditional Arabic" w:hAnsi="Traditional Arabic" w:cs="Traditional Arabic" w:hint="cs"/>
          <w:b/>
          <w:bCs/>
          <w:color w:val="000000" w:themeColor="text1"/>
          <w:sz w:val="28"/>
          <w:szCs w:val="28"/>
          <w:rtl/>
          <w:lang w:bidi="ar-EG"/>
        </w:rPr>
        <w:lastRenderedPageBreak/>
        <w:t>تمهيد</w:t>
      </w:r>
      <w:r w:rsidR="00340B5E">
        <w:rPr>
          <w:rFonts w:ascii="Traditional Arabic" w:hAnsi="Traditional Arabic" w:cs="Traditional Arabic" w:hint="cs"/>
          <w:b/>
          <w:bCs/>
          <w:color w:val="000000" w:themeColor="text1"/>
          <w:sz w:val="28"/>
          <w:szCs w:val="28"/>
          <w:rtl/>
          <w:lang w:bidi="ar-EG"/>
        </w:rPr>
        <w:t xml:space="preserve"> :</w:t>
      </w:r>
    </w:p>
    <w:p w14:paraId="1CDF33A3" w14:textId="1B0D1946" w:rsidR="008B6E8A" w:rsidRPr="00956193" w:rsidRDefault="008B6E8A" w:rsidP="0002288D">
      <w:pPr>
        <w:bidi/>
        <w:spacing w:after="200" w:line="360" w:lineRule="auto"/>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t>تتناول الباحثة في هذا الفصل</w:t>
      </w:r>
      <w:r w:rsidRPr="00956193">
        <w:rPr>
          <w:rFonts w:ascii="Traditional Arabic" w:hAnsi="Traditional Arabic" w:cs="Traditional Arabic"/>
          <w:color w:val="000000" w:themeColor="text1"/>
          <w:sz w:val="24"/>
          <w:szCs w:val="24"/>
          <w:highlight w:val="yellow"/>
          <w:rtl/>
        </w:rPr>
        <w:t xml:space="preserve"> عرض النتائج ومناقشتها بصورة مباشرة وواضحة ؛ إذ يبدأ بتحليل الفرضيات وتفسيرها من خلال الانتقال من المؤشرات الرقمية إلى الدلالات العملية للعلاقات الارتباطية، مع إبراز أثر إدارة المخاطر ودور القيادة التحويلية كعامل وسيط، إضافة إلى تفسير الفروق الديموغرافية التي ظهرت في البيئة الميدانية. ثم يتناول الفصل الآثار والتطبيقات العملية والمنهجية للدراسة بما يعزز قيمتها في أدبيات الإدارة الصحية وفي سياق برنامج تحول القطاع الصحي بالمملكة، يلي ذلك تحديد محددات الدراسة وعوائقها لضمان الشفافية الأكاديمية. ويعرض الفصل أيضاً التوصيات الإجرائية العملية الموجهة لصنّاع القرار في وزارة الصحة والمستشفيات الحكومية، ثم يفتح المجال أمام مقترحات بحثية مستقبلية لتوسيع نطاق المعرفة في هذا المجال، وصولاً إلى خاتمة شاملة تلخص الرسالة الأساسية والأثر العلمي المستدام الذي تقدمه الدراسة في تعزيز الرعاية الصحية الآمنة والمستدامة في ظل رؤية المملكة 2030</w:t>
      </w:r>
      <w:r w:rsidRPr="00956193">
        <w:rPr>
          <w:rFonts w:ascii="Traditional Arabic" w:hAnsi="Traditional Arabic" w:cs="Traditional Arabic"/>
          <w:color w:val="000000" w:themeColor="text1"/>
          <w:sz w:val="24"/>
          <w:szCs w:val="24"/>
          <w:highlight w:val="yellow"/>
        </w:rPr>
        <w:t>.</w:t>
      </w:r>
    </w:p>
    <w:p w14:paraId="314F14EE" w14:textId="596832B4" w:rsidR="00690918" w:rsidRPr="00956193" w:rsidRDefault="008B6E8A" w:rsidP="00690918">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الدراسة :</w:t>
      </w:r>
    </w:p>
    <w:p w14:paraId="66443203" w14:textId="77777777" w:rsidR="008B6E8A" w:rsidRPr="00956193" w:rsidRDefault="008B6E8A" w:rsidP="008B6E8A">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الأول:</w:t>
      </w:r>
    </w:p>
    <w:p w14:paraId="5D4EDCC6" w14:textId="2B10FC2B" w:rsidR="008B6E8A" w:rsidRPr="00956193" w:rsidRDefault="008B6E8A" w:rsidP="00885B9C">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956193">
        <w:rPr>
          <w:rFonts w:ascii="Traditional Arabic" w:hAnsi="Traditional Arabic" w:cs="Traditional Arabic" w:hint="cs"/>
          <w:color w:val="000000" w:themeColor="text1"/>
          <w:sz w:val="24"/>
          <w:szCs w:val="24"/>
          <w:highlight w:val="yellow"/>
          <w:rtl/>
        </w:rPr>
        <w:t xml:space="preserve">ينص الفرض الأول على أنه " </w:t>
      </w:r>
      <w:r w:rsidRPr="00956193">
        <w:rPr>
          <w:rFonts w:ascii="Traditional Arabic" w:eastAsia="Calibri" w:hAnsi="Traditional Arabic" w:cs="Traditional Arabic"/>
          <w:sz w:val="24"/>
          <w:szCs w:val="24"/>
          <w:highlight w:val="yellow"/>
          <w:rtl/>
          <w:lang w:bidi="ar-EG"/>
        </w:rPr>
        <w:t>توجد علاقة ارتباطية ذات دلالة إحصائية بين ممارسات إدارة المخاطر، والقيادة التحويلية، وسلامة المرضى في المستشفيات الحكومية بالمملكة العربية السعودية."</w:t>
      </w:r>
    </w:p>
    <w:p w14:paraId="75831D5C" w14:textId="1BB9EB20" w:rsidR="002A434E" w:rsidRPr="00956193" w:rsidRDefault="00F0584A" w:rsidP="00F0584A">
      <w:pPr>
        <w:bidi/>
        <w:spacing w:after="200" w:line="360" w:lineRule="auto"/>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نستنتج أن الفرض الأول قد تحقق بالفعل حيث أثبتت المخرجات الإحصائية وجود ترابط خطي متكامل ومتزامن بين ممارسات إدارة المخاطر، والقيادة التحويلية، وسلامة المرضى في المستشفيات الحكومية بالمملكة العربية السعودية</w:t>
      </w:r>
      <w:r w:rsidRPr="00956193">
        <w:rPr>
          <w:rFonts w:ascii="Traditional Arabic" w:hAnsi="Traditional Arabic" w:cs="Traditional Arabic" w:hint="cs"/>
          <w:color w:val="000000" w:themeColor="text1"/>
          <w:sz w:val="24"/>
          <w:szCs w:val="24"/>
          <w:highlight w:val="yellow"/>
          <w:rtl/>
        </w:rPr>
        <w:t>، و</w:t>
      </w:r>
      <w:r w:rsidR="002A434E" w:rsidRPr="00956193">
        <w:rPr>
          <w:rFonts w:ascii="Traditional Arabic" w:hAnsi="Traditional Arabic" w:cs="Traditional Arabic"/>
          <w:color w:val="000000" w:themeColor="text1"/>
          <w:sz w:val="24"/>
          <w:szCs w:val="24"/>
          <w:highlight w:val="yellow"/>
          <w:rtl/>
        </w:rPr>
        <w:t>وجود علاقات ارتباطية طردية (موجبة) ذات دلالة إحصائية عند مستوى معنوية</w:t>
      </w:r>
      <w:r w:rsidR="002A434E" w:rsidRPr="00956193">
        <w:rPr>
          <w:rFonts w:ascii="Traditional Arabic" w:hAnsi="Traditional Arabic" w:cs="Traditional Arabic"/>
          <w:color w:val="000000" w:themeColor="text1"/>
          <w:sz w:val="24"/>
          <w:szCs w:val="24"/>
          <w:highlight w:val="yellow"/>
        </w:rPr>
        <w:t xml:space="preserve"> </w:t>
      </w:r>
      <w:r w:rsidR="002A434E" w:rsidRPr="00956193">
        <w:rPr>
          <w:rFonts w:ascii="Traditional Arabic" w:hAnsi="Traditional Arabic" w:cs="Traditional Arabic" w:hint="cs"/>
          <w:color w:val="000000" w:themeColor="text1"/>
          <w:sz w:val="24"/>
          <w:szCs w:val="24"/>
          <w:highlight w:val="yellow"/>
          <w:rtl/>
        </w:rPr>
        <w:t xml:space="preserve">( 0.01) </w:t>
      </w:r>
      <w:r w:rsidR="002A434E" w:rsidRPr="00956193">
        <w:rPr>
          <w:rFonts w:ascii="Traditional Arabic" w:hAnsi="Traditional Arabic" w:cs="Traditional Arabic"/>
          <w:color w:val="000000" w:themeColor="text1"/>
          <w:sz w:val="24"/>
          <w:szCs w:val="24"/>
          <w:highlight w:val="yellow"/>
          <w:rtl/>
        </w:rPr>
        <w:t>بين ممارسات إدارة المخاطر، والقيادة التحويلية، وسلامة المرضى في المستشفيات الحكومية بالمملكة العربية السعودية، حيث حظي فرض الارتباط بقبول كامل</w:t>
      </w:r>
      <w:r w:rsidRPr="00956193">
        <w:rPr>
          <w:rFonts w:ascii="Traditional Arabic" w:hAnsi="Traditional Arabic" w:cs="Traditional Arabic" w:hint="cs"/>
          <w:color w:val="000000" w:themeColor="text1"/>
          <w:sz w:val="24"/>
          <w:szCs w:val="24"/>
          <w:highlight w:val="yellow"/>
          <w:rtl/>
        </w:rPr>
        <w:t>،</w:t>
      </w:r>
      <w:r w:rsidR="002A434E" w:rsidRPr="00956193">
        <w:rPr>
          <w:rFonts w:ascii="Traditional Arabic" w:hAnsi="Traditional Arabic" w:cs="Traditional Arabic"/>
          <w:color w:val="000000" w:themeColor="text1"/>
          <w:sz w:val="24"/>
          <w:szCs w:val="24"/>
          <w:highlight w:val="yellow"/>
          <w:rtl/>
        </w:rPr>
        <w:t xml:space="preserve"> وتُعزى هذه النتيجة منطقياً وسريرياً إلى أن منظومة العمل داخل المرافق الصحية الحكومية</w:t>
      </w:r>
      <w:r w:rsidR="002A434E" w:rsidRPr="00956193">
        <w:rPr>
          <w:rFonts w:ascii="Traditional Arabic" w:hAnsi="Traditional Arabic" w:cs="Traditional Arabic" w:hint="cs"/>
          <w:color w:val="000000" w:themeColor="text1"/>
          <w:sz w:val="24"/>
          <w:szCs w:val="24"/>
          <w:highlight w:val="yellow"/>
          <w:rtl/>
        </w:rPr>
        <w:t xml:space="preserve"> السعودية</w:t>
      </w:r>
      <w:r w:rsidR="002A434E" w:rsidRPr="00956193">
        <w:rPr>
          <w:rFonts w:ascii="Traditional Arabic" w:hAnsi="Traditional Arabic" w:cs="Traditional Arabic"/>
          <w:color w:val="000000" w:themeColor="text1"/>
          <w:sz w:val="24"/>
          <w:szCs w:val="24"/>
          <w:highlight w:val="yellow"/>
          <w:rtl/>
        </w:rPr>
        <w:t xml:space="preserve"> لا تعمل بمعزل عن الأنماط الإدارية؛ فالالتزام الصارم بتحديد المخاطر وتحليلها يمنح القادة الرؤية الاستباقية لتوجيه الكوادر الطبية نحو ممارسات سريرية آمنة. </w:t>
      </w:r>
    </w:p>
    <w:p w14:paraId="1D9B955D" w14:textId="0B82CA75" w:rsidR="002E5D4E" w:rsidRPr="00956193" w:rsidRDefault="00045767" w:rsidP="002E5D4E">
      <w:pPr>
        <w:bidi/>
        <w:spacing w:after="200" w:line="360" w:lineRule="auto"/>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hint="cs"/>
          <w:color w:val="000000" w:themeColor="text1"/>
          <w:sz w:val="24"/>
          <w:szCs w:val="24"/>
          <w:highlight w:val="yellow"/>
          <w:rtl/>
        </w:rPr>
        <w:t>و</w:t>
      </w:r>
      <w:r w:rsidR="002E5D4E" w:rsidRPr="00956193">
        <w:rPr>
          <w:rFonts w:ascii="Traditional Arabic" w:hAnsi="Traditional Arabic" w:cs="Traditional Arabic"/>
          <w:color w:val="000000" w:themeColor="text1"/>
          <w:sz w:val="24"/>
          <w:szCs w:val="24"/>
          <w:highlight w:val="yellow"/>
          <w:rtl/>
        </w:rPr>
        <w:t>تتسق مع ما توصلت إليه العديد من الأبحاث التي أكدت الدور الحيوي لممارسات إدارة المخاطر في تعزيز سلامة المرضى</w:t>
      </w:r>
      <w:r w:rsidR="002E5D4E" w:rsidRPr="00956193">
        <w:rPr>
          <w:rFonts w:ascii="Traditional Arabic" w:hAnsi="Traditional Arabic" w:cs="Traditional Arabic"/>
          <w:color w:val="000000" w:themeColor="text1"/>
          <w:sz w:val="24"/>
          <w:szCs w:val="24"/>
          <w:highlight w:val="yellow"/>
        </w:rPr>
        <w:t xml:space="preserve">. </w:t>
      </w:r>
      <w:r w:rsidR="002E5D4E" w:rsidRPr="00956193">
        <w:rPr>
          <w:rFonts w:ascii="Traditional Arabic" w:hAnsi="Traditional Arabic" w:cs="Traditional Arabic"/>
          <w:color w:val="000000" w:themeColor="text1"/>
          <w:sz w:val="24"/>
          <w:szCs w:val="24"/>
          <w:highlight w:val="yellow"/>
          <w:rtl/>
        </w:rPr>
        <w:t xml:space="preserve">فقد بينت دراسة </w:t>
      </w:r>
      <w:r w:rsidR="002E5D4E" w:rsidRPr="00956193">
        <w:rPr>
          <w:rFonts w:ascii="Traditional Arabic" w:hAnsi="Traditional Arabic" w:cs="Traditional Arabic"/>
          <w:color w:val="000000" w:themeColor="text1"/>
          <w:sz w:val="24"/>
          <w:szCs w:val="24"/>
          <w:highlight w:val="yellow"/>
        </w:rPr>
        <w:t xml:space="preserve">Smith et al. (2017) </w:t>
      </w:r>
      <w:r w:rsidRPr="00956193">
        <w:rPr>
          <w:rFonts w:ascii="Traditional Arabic" w:hAnsi="Traditional Arabic" w:cs="Traditional Arabic" w:hint="cs"/>
          <w:color w:val="000000" w:themeColor="text1"/>
          <w:sz w:val="24"/>
          <w:szCs w:val="24"/>
          <w:highlight w:val="yellow"/>
          <w:rtl/>
        </w:rPr>
        <w:t xml:space="preserve"> </w:t>
      </w:r>
      <w:r w:rsidR="002E5D4E" w:rsidRPr="00956193">
        <w:rPr>
          <w:rFonts w:ascii="Traditional Arabic" w:hAnsi="Traditional Arabic" w:cs="Traditional Arabic"/>
          <w:color w:val="000000" w:themeColor="text1"/>
          <w:sz w:val="24"/>
          <w:szCs w:val="24"/>
          <w:highlight w:val="yellow"/>
          <w:rtl/>
        </w:rPr>
        <w:t xml:space="preserve">أن تطبيق أدوات إدارة المخاطر ساهم في تقليل الحوادث الطبية وتحسين نتائج العلاج، كما أوضحت دراسة </w:t>
      </w:r>
      <w:r w:rsidR="002E5D4E" w:rsidRPr="00956193">
        <w:rPr>
          <w:rFonts w:ascii="Traditional Arabic" w:hAnsi="Traditional Arabic" w:cs="Traditional Arabic"/>
          <w:color w:val="000000" w:themeColor="text1"/>
          <w:sz w:val="24"/>
          <w:szCs w:val="24"/>
          <w:highlight w:val="yellow"/>
        </w:rPr>
        <w:t xml:space="preserve">Jones and Brown (2018) </w:t>
      </w:r>
      <w:r w:rsidR="002E5D4E" w:rsidRPr="00956193">
        <w:rPr>
          <w:rFonts w:ascii="Traditional Arabic" w:hAnsi="Traditional Arabic" w:cs="Traditional Arabic" w:hint="cs"/>
          <w:color w:val="000000" w:themeColor="text1"/>
          <w:sz w:val="24"/>
          <w:szCs w:val="24"/>
          <w:highlight w:val="yellow"/>
          <w:rtl/>
        </w:rPr>
        <w:t xml:space="preserve"> </w:t>
      </w:r>
      <w:r w:rsidR="002E5D4E" w:rsidRPr="00956193">
        <w:rPr>
          <w:rFonts w:ascii="Traditional Arabic" w:hAnsi="Traditional Arabic" w:cs="Traditional Arabic"/>
          <w:color w:val="000000" w:themeColor="text1"/>
          <w:sz w:val="24"/>
          <w:szCs w:val="24"/>
          <w:highlight w:val="yellow"/>
          <w:rtl/>
        </w:rPr>
        <w:t>أن استراتيجيات إدارة المخاطر أسهمت في رفع جودة الخدمات الصحية وتقليل التكاليف المرتبطة بالأخطاء الطبية</w:t>
      </w:r>
      <w:r w:rsidR="002E5D4E" w:rsidRPr="00956193">
        <w:rPr>
          <w:rFonts w:ascii="Traditional Arabic" w:hAnsi="Traditional Arabic" w:cs="Traditional Arabic"/>
          <w:color w:val="000000" w:themeColor="text1"/>
          <w:sz w:val="24"/>
          <w:szCs w:val="24"/>
          <w:highlight w:val="yellow"/>
        </w:rPr>
        <w:t xml:space="preserve">. </w:t>
      </w:r>
      <w:r w:rsidR="002E5D4E" w:rsidRPr="00956193">
        <w:rPr>
          <w:rFonts w:ascii="Traditional Arabic" w:hAnsi="Traditional Arabic" w:cs="Traditional Arabic"/>
          <w:color w:val="000000" w:themeColor="text1"/>
          <w:sz w:val="24"/>
          <w:szCs w:val="24"/>
          <w:highlight w:val="yellow"/>
          <w:rtl/>
        </w:rPr>
        <w:t xml:space="preserve">كذلك، تتفق هذه النتيجة مع دراسة </w:t>
      </w:r>
      <w:r w:rsidR="002E5D4E" w:rsidRPr="00956193">
        <w:rPr>
          <w:rFonts w:ascii="Traditional Arabic" w:hAnsi="Traditional Arabic" w:cs="Traditional Arabic"/>
          <w:color w:val="000000" w:themeColor="text1"/>
          <w:sz w:val="24"/>
          <w:szCs w:val="24"/>
          <w:highlight w:val="yellow"/>
        </w:rPr>
        <w:t xml:space="preserve">Al-Zahrani (2018) </w:t>
      </w:r>
      <w:r w:rsidR="002E5D4E" w:rsidRPr="00956193">
        <w:rPr>
          <w:rFonts w:ascii="Traditional Arabic" w:hAnsi="Traditional Arabic" w:cs="Traditional Arabic"/>
          <w:color w:val="000000" w:themeColor="text1"/>
          <w:sz w:val="24"/>
          <w:szCs w:val="24"/>
          <w:highlight w:val="yellow"/>
          <w:rtl/>
        </w:rPr>
        <w:t xml:space="preserve">التي أبرزت أهمية التدريب المستمر والوعي في تحسين جودة الرعاية الصحية، ومع دراسة أحمد محمد السعيد </w:t>
      </w:r>
      <w:r w:rsidR="002E5D4E" w:rsidRPr="00956193">
        <w:rPr>
          <w:rFonts w:ascii="Traditional Arabic" w:hAnsi="Traditional Arabic" w:cs="Traditional Arabic" w:hint="cs"/>
          <w:color w:val="000000" w:themeColor="text1"/>
          <w:sz w:val="24"/>
          <w:szCs w:val="24"/>
          <w:highlight w:val="yellow"/>
          <w:rtl/>
        </w:rPr>
        <w:t>(</w:t>
      </w:r>
      <w:r w:rsidR="002E5D4E" w:rsidRPr="00956193">
        <w:rPr>
          <w:rFonts w:ascii="Traditional Arabic" w:hAnsi="Traditional Arabic" w:cs="Traditional Arabic"/>
          <w:color w:val="000000" w:themeColor="text1"/>
          <w:sz w:val="24"/>
          <w:szCs w:val="24"/>
          <w:highlight w:val="yellow"/>
          <w:rtl/>
        </w:rPr>
        <w:t>٢٠١٩</w:t>
      </w:r>
      <w:r w:rsidR="002E5D4E" w:rsidRPr="00956193">
        <w:rPr>
          <w:rFonts w:ascii="Traditional Arabic" w:hAnsi="Traditional Arabic" w:cs="Traditional Arabic" w:hint="cs"/>
          <w:color w:val="000000" w:themeColor="text1"/>
          <w:sz w:val="24"/>
          <w:szCs w:val="24"/>
          <w:highlight w:val="yellow"/>
          <w:rtl/>
        </w:rPr>
        <w:t>)</w:t>
      </w:r>
      <w:r w:rsidR="002E5D4E" w:rsidRPr="00956193">
        <w:rPr>
          <w:rFonts w:ascii="Traditional Arabic" w:hAnsi="Traditional Arabic" w:cs="Traditional Arabic"/>
          <w:color w:val="000000" w:themeColor="text1"/>
          <w:sz w:val="24"/>
          <w:szCs w:val="24"/>
          <w:highlight w:val="yellow"/>
        </w:rPr>
        <w:t xml:space="preserve"> </w:t>
      </w:r>
      <w:r w:rsidR="002E5D4E" w:rsidRPr="00956193">
        <w:rPr>
          <w:rFonts w:ascii="Traditional Arabic" w:hAnsi="Traditional Arabic" w:cs="Traditional Arabic"/>
          <w:color w:val="000000" w:themeColor="text1"/>
          <w:sz w:val="24"/>
          <w:szCs w:val="24"/>
          <w:highlight w:val="yellow"/>
          <w:rtl/>
        </w:rPr>
        <w:t>التي أكدت أن نقص التدريب والوعي يعد من أبرز التحديات التي تعيق تحسين سلامة المرضى، وأن تعزيز هذه الجوانب يسهم في تقليل الأخطاء الطبية</w:t>
      </w:r>
      <w:r w:rsidR="002E5D4E" w:rsidRPr="00956193">
        <w:rPr>
          <w:rFonts w:ascii="Traditional Arabic" w:hAnsi="Traditional Arabic" w:cs="Traditional Arabic"/>
          <w:color w:val="000000" w:themeColor="text1"/>
          <w:sz w:val="24"/>
          <w:szCs w:val="24"/>
          <w:highlight w:val="yellow"/>
        </w:rPr>
        <w:t xml:space="preserve">. </w:t>
      </w:r>
      <w:r w:rsidR="002E5D4E" w:rsidRPr="00956193">
        <w:rPr>
          <w:rFonts w:ascii="Traditional Arabic" w:hAnsi="Traditional Arabic" w:cs="Traditional Arabic"/>
          <w:color w:val="000000" w:themeColor="text1"/>
          <w:sz w:val="24"/>
          <w:szCs w:val="24"/>
          <w:highlight w:val="yellow"/>
          <w:rtl/>
        </w:rPr>
        <w:t xml:space="preserve">كما تدعمها دراسة </w:t>
      </w:r>
      <w:r w:rsidR="002E5D4E" w:rsidRPr="00956193">
        <w:rPr>
          <w:rFonts w:ascii="Traditional Arabic" w:hAnsi="Traditional Arabic" w:cs="Traditional Arabic"/>
          <w:color w:val="000000" w:themeColor="text1"/>
          <w:sz w:val="24"/>
          <w:szCs w:val="24"/>
          <w:highlight w:val="yellow"/>
        </w:rPr>
        <w:t xml:space="preserve">Khan et al. (2019) </w:t>
      </w:r>
      <w:r w:rsidR="00392D66" w:rsidRPr="00956193">
        <w:rPr>
          <w:rFonts w:ascii="Traditional Arabic" w:hAnsi="Traditional Arabic" w:cs="Traditional Arabic" w:hint="cs"/>
          <w:color w:val="000000" w:themeColor="text1"/>
          <w:sz w:val="24"/>
          <w:szCs w:val="24"/>
          <w:highlight w:val="yellow"/>
          <w:rtl/>
        </w:rPr>
        <w:t xml:space="preserve"> </w:t>
      </w:r>
      <w:r w:rsidR="002E5D4E" w:rsidRPr="00956193">
        <w:rPr>
          <w:rFonts w:ascii="Traditional Arabic" w:hAnsi="Traditional Arabic" w:cs="Traditional Arabic"/>
          <w:color w:val="000000" w:themeColor="text1"/>
          <w:sz w:val="24"/>
          <w:szCs w:val="24"/>
          <w:highlight w:val="yellow"/>
          <w:rtl/>
        </w:rPr>
        <w:t xml:space="preserve">التي </w:t>
      </w:r>
      <w:r w:rsidR="002E5D4E" w:rsidRPr="00956193">
        <w:rPr>
          <w:rFonts w:ascii="Traditional Arabic" w:hAnsi="Traditional Arabic" w:cs="Traditional Arabic"/>
          <w:color w:val="000000" w:themeColor="text1"/>
          <w:sz w:val="24"/>
          <w:szCs w:val="24"/>
          <w:highlight w:val="yellow"/>
          <w:rtl/>
        </w:rPr>
        <w:lastRenderedPageBreak/>
        <w:t>أوضحت أن تطبيق نظم إدارة المخاطر في المستشفيات الشرق أوسطية أدى إلى زيادة رضا المرضى وتعزيز سمعة المؤسسات الصحية</w:t>
      </w:r>
      <w:r w:rsidR="002E5D4E" w:rsidRPr="00956193">
        <w:rPr>
          <w:rFonts w:ascii="Traditional Arabic" w:hAnsi="Traditional Arabic" w:cs="Traditional Arabic"/>
          <w:color w:val="000000" w:themeColor="text1"/>
          <w:sz w:val="24"/>
          <w:szCs w:val="24"/>
          <w:highlight w:val="yellow"/>
        </w:rPr>
        <w:t xml:space="preserve">. </w:t>
      </w:r>
      <w:r w:rsidR="002E5D4E" w:rsidRPr="00956193">
        <w:rPr>
          <w:rFonts w:ascii="Traditional Arabic" w:hAnsi="Traditional Arabic" w:cs="Traditional Arabic"/>
          <w:color w:val="000000" w:themeColor="text1"/>
          <w:sz w:val="24"/>
          <w:szCs w:val="24"/>
          <w:highlight w:val="yellow"/>
          <w:rtl/>
        </w:rPr>
        <w:t>وبذلك فإن النتيجة الحالية تنسجم مع الأدبيات السابقة التي تؤكد أن إدارة المخاطر تمثل أداة استراتيجية أساسية لتحسين جودة الرعاية الصحية وضمان سلامة المرضى بشكل مستدام</w:t>
      </w:r>
      <w:r w:rsidR="002E5D4E" w:rsidRPr="00956193">
        <w:rPr>
          <w:rFonts w:ascii="Traditional Arabic" w:hAnsi="Traditional Arabic" w:cs="Traditional Arabic"/>
          <w:color w:val="000000" w:themeColor="text1"/>
          <w:sz w:val="24"/>
          <w:szCs w:val="24"/>
          <w:highlight w:val="yellow"/>
        </w:rPr>
        <w:t>.</w:t>
      </w:r>
    </w:p>
    <w:p w14:paraId="73493108" w14:textId="7157927B" w:rsidR="009F6E86" w:rsidRPr="00956193" w:rsidRDefault="00045767" w:rsidP="009F6E86">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الثاني :</w:t>
      </w:r>
    </w:p>
    <w:p w14:paraId="30B90263" w14:textId="39A29807" w:rsidR="00045767" w:rsidRPr="00956193" w:rsidRDefault="00045767" w:rsidP="00045767">
      <w:pPr>
        <w:bidi/>
        <w:spacing w:after="200" w:line="360" w:lineRule="auto"/>
        <w:jc w:val="both"/>
        <w:rPr>
          <w:rFonts w:ascii="Traditional Arabic" w:eastAsia="Calibri" w:hAnsi="Traditional Arabic" w:cs="Traditional Arabic"/>
          <w:sz w:val="24"/>
          <w:szCs w:val="24"/>
          <w:highlight w:val="yellow"/>
          <w:rtl/>
          <w:lang w:bidi="ar-EG"/>
        </w:rPr>
      </w:pPr>
      <w:r w:rsidRPr="00956193">
        <w:rPr>
          <w:rFonts w:ascii="Traditional Arabic" w:hAnsi="Traditional Arabic" w:cs="Traditional Arabic" w:hint="cs"/>
          <w:b/>
          <w:bCs/>
          <w:color w:val="000000" w:themeColor="text1"/>
          <w:sz w:val="24"/>
          <w:szCs w:val="24"/>
          <w:highlight w:val="yellow"/>
          <w:rtl/>
        </w:rPr>
        <w:t>ينص الفرض الثاني على انه "</w:t>
      </w:r>
      <w:r w:rsidRPr="00956193">
        <w:rPr>
          <w:rFonts w:ascii="Traditional Arabic" w:eastAsia="Calibri" w:hAnsi="Traditional Arabic" w:cs="Traditional Arabic"/>
          <w:sz w:val="24"/>
          <w:szCs w:val="24"/>
          <w:highlight w:val="yellow"/>
          <w:rtl/>
          <w:lang w:bidi="ar-EG"/>
        </w:rPr>
        <w:t xml:space="preserve"> يوجد تأثير ذو دلالة إحصائية لممارسات إدارة المخاطر على سلامة المرضى في المستشفيات الحكومية بالمملكة العربية السعودية."</w:t>
      </w:r>
    </w:p>
    <w:p w14:paraId="1B9EB526" w14:textId="368008D6" w:rsidR="0069591F" w:rsidRPr="00956193" w:rsidRDefault="0030383F" w:rsidP="00F70672">
      <w:pPr>
        <w:bidi/>
        <w:spacing w:after="200" w:line="360" w:lineRule="auto"/>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color w:val="000000" w:themeColor="text1"/>
          <w:sz w:val="24"/>
          <w:szCs w:val="24"/>
          <w:highlight w:val="yellow"/>
          <w:rtl/>
        </w:rPr>
        <w:t>نستنتج أن الفرض الثاني قد تحقق بالفعل حيث أثبتت مخرجات تحليل الانحدار الخطي البسيط الصلاحية العالية للنموذج الإحصائي وقدرته التفسيرية والتنبؤية على قياس الأثر المباشر لممارسات إدارة المخاطر في تعزيز سلامة المرضى بالمستشفيات الحكومية بالمملكة العربية السعودية</w:t>
      </w:r>
      <w:r w:rsidRPr="00956193">
        <w:rPr>
          <w:rFonts w:ascii="Traditional Arabic" w:hAnsi="Traditional Arabic" w:cs="Traditional Arabic" w:hint="cs"/>
          <w:color w:val="000000" w:themeColor="text1"/>
          <w:sz w:val="24"/>
          <w:szCs w:val="24"/>
          <w:highlight w:val="yellow"/>
          <w:rtl/>
        </w:rPr>
        <w:t>، و</w:t>
      </w:r>
      <w:r w:rsidR="0069591F" w:rsidRPr="00956193">
        <w:rPr>
          <w:rFonts w:ascii="Traditional Arabic" w:hAnsi="Traditional Arabic" w:cs="Traditional Arabic"/>
          <w:color w:val="000000" w:themeColor="text1"/>
          <w:sz w:val="24"/>
          <w:szCs w:val="24"/>
          <w:highlight w:val="yellow"/>
          <w:rtl/>
        </w:rPr>
        <w:t>أن نموذج الانحدار الخطي البسيط يتمتع بدلالة إحصائية عالية وصالح للتنبؤ؛ إذ بلغت قيمة ف المحسوبة</w:t>
      </w:r>
      <w:r w:rsidR="0069591F" w:rsidRPr="00956193">
        <w:rPr>
          <w:rFonts w:ascii="Traditional Arabic" w:hAnsi="Traditional Arabic" w:cs="Traditional Arabic"/>
          <w:color w:val="000000" w:themeColor="text1"/>
          <w:sz w:val="24"/>
          <w:szCs w:val="24"/>
          <w:highlight w:val="yellow"/>
        </w:rPr>
        <w:t xml:space="preserve"> (F = 171.42) </w:t>
      </w:r>
      <w:r w:rsidR="0069591F" w:rsidRPr="00956193">
        <w:rPr>
          <w:rFonts w:ascii="Traditional Arabic" w:hAnsi="Traditional Arabic" w:cs="Traditional Arabic"/>
          <w:color w:val="000000" w:themeColor="text1"/>
          <w:sz w:val="24"/>
          <w:szCs w:val="24"/>
          <w:highlight w:val="yellow"/>
          <w:rtl/>
        </w:rPr>
        <w:t>وكانت دالة إحصائياً عند مستوى معنوية</w:t>
      </w:r>
      <w:r w:rsidR="0069591F" w:rsidRPr="00956193">
        <w:rPr>
          <w:rFonts w:ascii="Traditional Arabic" w:hAnsi="Traditional Arabic" w:cs="Traditional Arabic"/>
          <w:color w:val="000000" w:themeColor="text1"/>
          <w:sz w:val="24"/>
          <w:szCs w:val="24"/>
          <w:highlight w:val="yellow"/>
        </w:rPr>
        <w:t xml:space="preserve"> (Sig. F = 0.000) </w:t>
      </w:r>
      <w:r w:rsidR="0069591F" w:rsidRPr="00956193">
        <w:rPr>
          <w:rFonts w:ascii="Traditional Arabic" w:hAnsi="Traditional Arabic" w:cs="Traditional Arabic"/>
          <w:color w:val="000000" w:themeColor="text1"/>
          <w:sz w:val="24"/>
          <w:szCs w:val="24"/>
          <w:highlight w:val="yellow"/>
          <w:rtl/>
        </w:rPr>
        <w:t>وهو أقل من مستوى الدلالة المقبول (0.05). كما بلغت قيمة معامل التحديد</w:t>
      </w:r>
      <w:r w:rsidR="0069591F" w:rsidRPr="00956193">
        <w:rPr>
          <w:rFonts w:ascii="Traditional Arabic" w:hAnsi="Traditional Arabic" w:cs="Traditional Arabic"/>
          <w:color w:val="000000" w:themeColor="text1"/>
          <w:sz w:val="24"/>
          <w:szCs w:val="24"/>
          <w:highlight w:val="yellow"/>
        </w:rPr>
        <w:t xml:space="preserve"> (R² = 0.307)</w:t>
      </w:r>
      <w:r w:rsidR="0069591F" w:rsidRPr="00956193">
        <w:rPr>
          <w:rFonts w:ascii="Traditional Arabic" w:hAnsi="Traditional Arabic" w:cs="Traditional Arabic"/>
          <w:color w:val="000000" w:themeColor="text1"/>
          <w:sz w:val="24"/>
          <w:szCs w:val="24"/>
          <w:highlight w:val="yellow"/>
          <w:rtl/>
        </w:rPr>
        <w:t>، مما يعني أن ممارسات إدارة المخاطر تفسر ما نسبته (30.7%) من التغيرات والتباين الحاصل في مستوى سلامة المرضى في المستشفيات الحكومية بالمملكة العربية السعودية، بينما تعود النسبة المتبقية لعوامل أخرى خارج نطاق هذا النموذج. إضافة إلى ذلك، بلغت قيمة معامل الانحدار</w:t>
      </w:r>
      <w:r w:rsidR="0069591F" w:rsidRPr="00956193">
        <w:rPr>
          <w:rFonts w:ascii="Traditional Arabic" w:hAnsi="Traditional Arabic" w:cs="Traditional Arabic"/>
          <w:color w:val="000000" w:themeColor="text1"/>
          <w:sz w:val="24"/>
          <w:szCs w:val="24"/>
          <w:highlight w:val="yellow"/>
        </w:rPr>
        <w:t xml:space="preserve"> (</w:t>
      </w:r>
      <w:r w:rsidR="0069591F" w:rsidRPr="00956193">
        <w:rPr>
          <w:rFonts w:ascii="Cambria" w:hAnsi="Cambria" w:cs="Cambria"/>
          <w:color w:val="000000" w:themeColor="text1"/>
          <w:sz w:val="24"/>
          <w:szCs w:val="24"/>
          <w:highlight w:val="yellow"/>
        </w:rPr>
        <w:t>β</w:t>
      </w:r>
      <w:r w:rsidR="0069591F" w:rsidRPr="00956193">
        <w:rPr>
          <w:rFonts w:ascii="Traditional Arabic" w:hAnsi="Traditional Arabic" w:cs="Traditional Arabic"/>
          <w:color w:val="000000" w:themeColor="text1"/>
          <w:sz w:val="24"/>
          <w:szCs w:val="24"/>
          <w:highlight w:val="yellow"/>
        </w:rPr>
        <w:t xml:space="preserve"> = 0.554) </w:t>
      </w:r>
      <w:r w:rsidR="0069591F" w:rsidRPr="00956193">
        <w:rPr>
          <w:rFonts w:ascii="Traditional Arabic" w:hAnsi="Traditional Arabic" w:cs="Traditional Arabic"/>
          <w:color w:val="000000" w:themeColor="text1"/>
          <w:sz w:val="24"/>
          <w:szCs w:val="24"/>
          <w:highlight w:val="yellow"/>
          <w:rtl/>
        </w:rPr>
        <w:t>بمستوى دلالة إحصائية</w:t>
      </w:r>
      <w:r w:rsidR="0069591F" w:rsidRPr="00956193">
        <w:rPr>
          <w:rFonts w:ascii="Traditional Arabic" w:hAnsi="Traditional Arabic" w:cs="Traditional Arabic"/>
          <w:color w:val="000000" w:themeColor="text1"/>
          <w:sz w:val="24"/>
          <w:szCs w:val="24"/>
          <w:highlight w:val="yellow"/>
        </w:rPr>
        <w:t xml:space="preserve"> (Sig. = 0.000) </w:t>
      </w:r>
      <w:r w:rsidR="0069591F" w:rsidRPr="00956193">
        <w:rPr>
          <w:rFonts w:ascii="Traditional Arabic" w:hAnsi="Traditional Arabic" w:cs="Traditional Arabic"/>
          <w:color w:val="000000" w:themeColor="text1"/>
          <w:sz w:val="24"/>
          <w:szCs w:val="24"/>
          <w:highlight w:val="yellow"/>
          <w:rtl/>
        </w:rPr>
        <w:t>وقيمة ت المحسوبة</w:t>
      </w:r>
      <w:r w:rsidR="0069591F" w:rsidRPr="00956193">
        <w:rPr>
          <w:rFonts w:ascii="Traditional Arabic" w:hAnsi="Traditional Arabic" w:cs="Traditional Arabic"/>
          <w:color w:val="000000" w:themeColor="text1"/>
          <w:sz w:val="24"/>
          <w:szCs w:val="24"/>
          <w:highlight w:val="yellow"/>
        </w:rPr>
        <w:t xml:space="preserve"> (t = 13.06)</w:t>
      </w:r>
      <w:r w:rsidR="0069591F" w:rsidRPr="00956193">
        <w:rPr>
          <w:rFonts w:ascii="Traditional Arabic" w:hAnsi="Traditional Arabic" w:cs="Traditional Arabic"/>
          <w:color w:val="000000" w:themeColor="text1"/>
          <w:sz w:val="24"/>
          <w:szCs w:val="24"/>
          <w:highlight w:val="yellow"/>
          <w:rtl/>
        </w:rPr>
        <w:t xml:space="preserve">، وهو ما يشير إلى وجود تأثير طردي (إيجابي) ذو دلالة إحصائية؛ حيث إن زيادة ممارسات إدارة المخاطر بمقدار وحدة واحدة تؤدي إلى تحسن في سلامة المرضى بمقدار (0.554). </w:t>
      </w:r>
    </w:p>
    <w:p w14:paraId="0438D6DC" w14:textId="32D6FD14" w:rsidR="0030383F" w:rsidRPr="00956193" w:rsidRDefault="0030383F" w:rsidP="0030383F">
      <w:pPr>
        <w:bidi/>
        <w:spacing w:after="200" w:line="360" w:lineRule="auto"/>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t>و</w:t>
      </w:r>
      <w:r w:rsidRPr="00956193">
        <w:rPr>
          <w:rFonts w:ascii="Traditional Arabic" w:hAnsi="Traditional Arabic" w:cs="Traditional Arabic"/>
          <w:color w:val="000000" w:themeColor="text1"/>
          <w:sz w:val="24"/>
          <w:szCs w:val="24"/>
          <w:highlight w:val="yellow"/>
          <w:rtl/>
        </w:rPr>
        <w:t>يعكس</w:t>
      </w:r>
      <w:r w:rsidRPr="00956193">
        <w:rPr>
          <w:rFonts w:ascii="Traditional Arabic" w:hAnsi="Traditional Arabic" w:cs="Traditional Arabic" w:hint="cs"/>
          <w:color w:val="000000" w:themeColor="text1"/>
          <w:sz w:val="24"/>
          <w:szCs w:val="24"/>
          <w:highlight w:val="yellow"/>
          <w:rtl/>
        </w:rPr>
        <w:t xml:space="preserve"> الفرض الثاني</w:t>
      </w:r>
      <w:r w:rsidRPr="00956193">
        <w:rPr>
          <w:rFonts w:ascii="Traditional Arabic" w:hAnsi="Traditional Arabic" w:cs="Traditional Arabic"/>
          <w:color w:val="000000" w:themeColor="text1"/>
          <w:sz w:val="24"/>
          <w:szCs w:val="24"/>
          <w:highlight w:val="yellow"/>
          <w:rtl/>
        </w:rPr>
        <w:t xml:space="preserve"> أهمية الدور المباشر لهذه الممارسات في تعزيز بيئة الرعاية الصحية الآمنة. فإدارة المخاطر لا تقتصر على رصد الأخطاء أو الحوادث الطبية، بل تشمل وضع آليات وقائية واستباقية تهدف إلى تقليل احتمالية وقوع المخاطر وتحجيم آثارها عند حدوثها. وتفسير هذا الفرض يقوم على أن تطبيق سياسات وإجراءات واضحة لإدارة المخاطر يسهم في رفع مستوى الثقة لدى العاملين والمرضى، ويؤدي إلى تحسين جودة الخدمة الطبية وتقليل معدلات الأخطاء التشغيلية. كما أن وجود هذا التأثير الإحصائي يؤكد أن سلامة المرضى ليست نتاج جهود فردية، بل هي نتيجة مباشرة لفاعلية المنظومة الإدارية التي تضع إدارة المخاطر في صميم استراتيجياتها التشغيلية</w:t>
      </w:r>
      <w:r w:rsidRPr="00956193">
        <w:rPr>
          <w:rFonts w:ascii="Traditional Arabic" w:hAnsi="Traditional Arabic" w:cs="Traditional Arabic"/>
          <w:color w:val="000000" w:themeColor="text1"/>
          <w:sz w:val="24"/>
          <w:szCs w:val="24"/>
          <w:highlight w:val="yellow"/>
        </w:rPr>
        <w:t>.</w:t>
      </w:r>
    </w:p>
    <w:p w14:paraId="0C8C242D" w14:textId="51AAB724" w:rsidR="009F6E86" w:rsidRPr="00956193" w:rsidRDefault="00331B02" w:rsidP="00331B02">
      <w:pPr>
        <w:bidi/>
        <w:spacing w:after="200" w:line="360" w:lineRule="auto"/>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hint="cs"/>
          <w:color w:val="000000" w:themeColor="text1"/>
          <w:sz w:val="24"/>
          <w:szCs w:val="24"/>
          <w:highlight w:val="yellow"/>
          <w:rtl/>
        </w:rPr>
        <w:t>حيث</w:t>
      </w:r>
      <w:r w:rsidRPr="00956193">
        <w:rPr>
          <w:rFonts w:ascii="Traditional Arabic" w:hAnsi="Traditional Arabic" w:cs="Traditional Arabic"/>
          <w:color w:val="000000" w:themeColor="text1"/>
          <w:sz w:val="24"/>
          <w:szCs w:val="24"/>
          <w:highlight w:val="yellow"/>
          <w:rtl/>
        </w:rPr>
        <w:t xml:space="preserve"> أن القيادة التحويلية تُعد رافعة أساسية لنجاح إدارة المخاطر في المؤسسات الصحية، وهو ما يتفق مع ما توصلت إليه دراسة </w:t>
      </w:r>
      <w:r w:rsidRPr="00956193">
        <w:rPr>
          <w:rFonts w:ascii="Traditional Arabic" w:hAnsi="Traditional Arabic" w:cs="Traditional Arabic"/>
          <w:color w:val="000000" w:themeColor="text1"/>
          <w:sz w:val="24"/>
          <w:szCs w:val="24"/>
          <w:highlight w:val="yellow"/>
        </w:rPr>
        <w:t xml:space="preserve">Hussein (2020) </w:t>
      </w:r>
      <w:r w:rsidR="00970BAB"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التي أكدت أن تطبيق القيادة التحويلية كمدخل استراتيجي ساهم في تحسين الأداء المؤسسي وجودة الخدمات الصحية، وكذلك مع دراسة الغامدي وعثمان</w:t>
      </w:r>
      <w:r w:rsidRPr="00956193">
        <w:rPr>
          <w:rFonts w:ascii="Traditional Arabic" w:hAnsi="Traditional Arabic" w:cs="Traditional Arabic"/>
          <w:color w:val="000000" w:themeColor="text1"/>
          <w:sz w:val="24"/>
          <w:szCs w:val="24"/>
          <w:highlight w:val="yellow"/>
        </w:rPr>
        <w:t xml:space="preserve"> (2022) </w:t>
      </w:r>
      <w:r w:rsidRPr="00956193">
        <w:rPr>
          <w:rFonts w:ascii="Traditional Arabic" w:hAnsi="Traditional Arabic" w:cs="Traditional Arabic"/>
          <w:color w:val="000000" w:themeColor="text1"/>
          <w:sz w:val="24"/>
          <w:szCs w:val="24"/>
          <w:highlight w:val="yellow"/>
          <w:rtl/>
        </w:rPr>
        <w:t xml:space="preserve">التي أبرزت دور القيادة التحويلية في إدارة الأزمات الصحية، حيث ساعدت أبعادها على تعزيز قدرة القادة على الاستجابة السريعة والفعالة. كما تتسق هذه النتيجة مع دراسة آل مرزوق (٢٠٢٣) التي بينت أن القيادة التحويلية تسهم في </w:t>
      </w:r>
      <w:r w:rsidRPr="00956193">
        <w:rPr>
          <w:rFonts w:ascii="Traditional Arabic" w:hAnsi="Traditional Arabic" w:cs="Traditional Arabic"/>
          <w:color w:val="000000" w:themeColor="text1"/>
          <w:sz w:val="24"/>
          <w:szCs w:val="24"/>
          <w:highlight w:val="yellow"/>
          <w:rtl/>
        </w:rPr>
        <w:lastRenderedPageBreak/>
        <w:t>تحقيق الاستدامة الاستراتيجية من خلال تحفيز العاملين وتبني ممارسات مسؤولة، ومع دراسة عامر وأبوزيد والدمياطي (٢٠٢٣) التي أوضحت أن القيادة التحويلية ترتبط إيجابيًا بالسلوك الابتكاري والعدالة التنظيمية داخل المؤسسات الصحية. وبذلك فإن النتيجة الحالية تدعم الأدبيات السابقة التي تؤكد أن القيادة التحويلية ليست مجرد نمط إداري، بل هي أداة استراتيجية تعزز قدرة المستشفيات على تطبيق إدارة المخاطر بكفاءة أكبر، مما ينعكس مباشرة على تقليل الأخطاء الطبية وتحسين جودة الرعاية الصحية</w:t>
      </w:r>
      <w:r w:rsidRPr="00956193">
        <w:rPr>
          <w:rFonts w:ascii="Traditional Arabic" w:hAnsi="Traditional Arabic" w:cs="Traditional Arabic"/>
          <w:color w:val="000000" w:themeColor="text1"/>
          <w:sz w:val="24"/>
          <w:szCs w:val="24"/>
          <w:highlight w:val="yellow"/>
        </w:rPr>
        <w:t>.</w:t>
      </w:r>
    </w:p>
    <w:p w14:paraId="01345199" w14:textId="796F58F3" w:rsidR="009F6E86" w:rsidRPr="00956193" w:rsidRDefault="0082415B" w:rsidP="009F6E86">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الثالث:</w:t>
      </w:r>
    </w:p>
    <w:p w14:paraId="029B03D2" w14:textId="353D60EA" w:rsidR="0082415B" w:rsidRPr="00956193" w:rsidRDefault="0082415B" w:rsidP="0082415B">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956193">
        <w:rPr>
          <w:rFonts w:ascii="Traditional Arabic" w:eastAsia="Calibri" w:hAnsi="Traditional Arabic" w:cs="Traditional Arabic" w:hint="cs"/>
          <w:b/>
          <w:bCs/>
          <w:sz w:val="24"/>
          <w:szCs w:val="24"/>
          <w:highlight w:val="yellow"/>
          <w:rtl/>
          <w:lang w:bidi="ar-EG"/>
        </w:rPr>
        <w:t xml:space="preserve">ينص الفرض الثالث على أنه </w:t>
      </w:r>
      <w:r w:rsidRPr="00956193">
        <w:rPr>
          <w:rFonts w:ascii="Traditional Arabic" w:eastAsia="Calibri" w:hAnsi="Traditional Arabic" w:cs="Traditional Arabic"/>
          <w:sz w:val="24"/>
          <w:szCs w:val="24"/>
          <w:highlight w:val="yellow"/>
          <w:rtl/>
          <w:lang w:bidi="ar-EG"/>
        </w:rPr>
        <w:t>يوجد تأثير ذو دلالة إحصائية للقيادة التحويلية على سلامة المرضى في المستشفيات الحكومية بالمملكة العربية السعودية.</w:t>
      </w:r>
    </w:p>
    <w:p w14:paraId="3BFD0896" w14:textId="270093B8" w:rsidR="00C035E1" w:rsidRPr="00956193" w:rsidRDefault="00C035E1" w:rsidP="00C035E1">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color w:val="000000" w:themeColor="text1"/>
          <w:sz w:val="24"/>
          <w:szCs w:val="24"/>
          <w:highlight w:val="yellow"/>
          <w:rtl/>
        </w:rPr>
        <w:t>نستنتج أن الفرض الثالث قد تحقق بالفعل حيث أثبتت نتائج تحليل الانحدار الخطي البسيط الدور الطليعي والمحوري للقيادة التحويلية كمتغير قادر على التنبؤ بمستويات سلامة المرضى وتفسير الجزء الأكبر من التباين الحاصل فيها داخل المستشفيات الحكومية بالمملكة العربية السعودية</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وهو ما يبرز الدور المحوري لهذا النمط القيادي في تعزيز ثقافة السلامة داخل المؤسسات الصحية. ويُفسَّر هذا الفرض بأن القيادة التحويلية، بما تتسم به من رؤية واضحة، وتحفيز للعاملين، وتشجيع على التعاون والإبداع، تُسهم بشكل مباشر في رفع مستوى الالتزام بالممارسات الآمنة وتقليل احتمالية وقوع الأخطاء الطبية. كما أن السلوك القيادي الملهم يعزز الانتماء والولاء المؤسسي، ويخلق بيئة عمل داعمة تُشجع على الإبلاغ عن المخاطر والتعامل معها بفعالية، مما ينعكس إيجاباً على جودة الرعاية المقدمة وسلامة المرضى. وبالتالي، فإن هذا الفرض يؤكد أن القيادة التحويلية ليست مجرد عامل تنظيمي، بل هي عنصر أساسي في بناء منظومة صحية آمنة ومستدامة</w:t>
      </w:r>
      <w:r w:rsidRPr="00956193">
        <w:rPr>
          <w:rFonts w:ascii="Traditional Arabic" w:hAnsi="Traditional Arabic" w:cs="Traditional Arabic" w:hint="cs"/>
          <w:color w:val="000000" w:themeColor="text1"/>
          <w:sz w:val="24"/>
          <w:szCs w:val="24"/>
          <w:highlight w:val="yellow"/>
          <w:rtl/>
        </w:rPr>
        <w:t>.</w:t>
      </w:r>
    </w:p>
    <w:p w14:paraId="510765F5" w14:textId="08C98856" w:rsidR="0069591F" w:rsidRPr="00956193" w:rsidRDefault="00FB52A2" w:rsidP="00F70672">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t>و</w:t>
      </w:r>
      <w:r w:rsidR="0069591F" w:rsidRPr="00956193">
        <w:rPr>
          <w:rFonts w:ascii="Traditional Arabic" w:hAnsi="Traditional Arabic" w:cs="Traditional Arabic"/>
          <w:color w:val="000000" w:themeColor="text1"/>
          <w:sz w:val="24"/>
          <w:szCs w:val="24"/>
          <w:highlight w:val="yellow"/>
          <w:rtl/>
        </w:rPr>
        <w:t xml:space="preserve">أن نموذج الانحدار الخطي البسيط يتمتع بدلالة إحصائية عالية وصالح للتنبؤ؛ إذ بلغت قيمة ف المحسوبة </w:t>
      </w:r>
      <w:r w:rsidR="0069591F" w:rsidRPr="00956193">
        <w:rPr>
          <w:rFonts w:ascii="Traditional Arabic" w:hAnsi="Traditional Arabic" w:cs="Traditional Arabic"/>
          <w:color w:val="000000" w:themeColor="text1"/>
          <w:sz w:val="24"/>
          <w:szCs w:val="24"/>
          <w:highlight w:val="yellow"/>
        </w:rPr>
        <w:t xml:space="preserve">(F = 338.45) </w:t>
      </w:r>
      <w:r w:rsidR="0069591F" w:rsidRPr="00956193">
        <w:rPr>
          <w:rFonts w:ascii="Traditional Arabic" w:hAnsi="Traditional Arabic" w:cs="Traditional Arabic"/>
          <w:color w:val="000000" w:themeColor="text1"/>
          <w:sz w:val="24"/>
          <w:szCs w:val="24"/>
          <w:highlight w:val="yellow"/>
          <w:rtl/>
        </w:rPr>
        <w:t xml:space="preserve">وكانت دالة إحصائياً عند مستوى معنوية </w:t>
      </w:r>
      <w:r w:rsidR="0069591F" w:rsidRPr="00956193">
        <w:rPr>
          <w:rFonts w:ascii="Traditional Arabic" w:hAnsi="Traditional Arabic" w:cs="Traditional Arabic"/>
          <w:color w:val="000000" w:themeColor="text1"/>
          <w:sz w:val="24"/>
          <w:szCs w:val="24"/>
          <w:highlight w:val="yellow"/>
        </w:rPr>
        <w:t xml:space="preserve">(Sig. F = 0.000) </w:t>
      </w:r>
      <w:r w:rsidR="0069591F" w:rsidRPr="00956193">
        <w:rPr>
          <w:rFonts w:ascii="Traditional Arabic" w:hAnsi="Traditional Arabic" w:cs="Traditional Arabic"/>
          <w:color w:val="000000" w:themeColor="text1"/>
          <w:sz w:val="24"/>
          <w:szCs w:val="24"/>
          <w:highlight w:val="yellow"/>
          <w:rtl/>
        </w:rPr>
        <w:t xml:space="preserve">وهو أقل من مستوى الدلالة المقبول </w:t>
      </w:r>
      <w:r w:rsidR="0069591F" w:rsidRPr="00956193">
        <w:rPr>
          <w:rFonts w:ascii="Traditional Arabic" w:hAnsi="Traditional Arabic" w:cs="Traditional Arabic"/>
          <w:color w:val="000000" w:themeColor="text1"/>
          <w:sz w:val="24"/>
          <w:szCs w:val="24"/>
          <w:highlight w:val="yellow"/>
        </w:rPr>
        <w:t xml:space="preserve">(0.05). </w:t>
      </w:r>
      <w:r w:rsidR="0069591F" w:rsidRPr="00956193">
        <w:rPr>
          <w:rFonts w:ascii="Traditional Arabic" w:hAnsi="Traditional Arabic" w:cs="Traditional Arabic"/>
          <w:color w:val="000000" w:themeColor="text1"/>
          <w:sz w:val="24"/>
          <w:szCs w:val="24"/>
          <w:highlight w:val="yellow"/>
          <w:rtl/>
        </w:rPr>
        <w:t xml:space="preserve">كما بلغت قيمة معامل التحديد </w:t>
      </w:r>
      <w:r w:rsidR="0069591F" w:rsidRPr="00956193">
        <w:rPr>
          <w:rFonts w:ascii="Traditional Arabic" w:hAnsi="Traditional Arabic" w:cs="Traditional Arabic"/>
          <w:color w:val="000000" w:themeColor="text1"/>
          <w:sz w:val="24"/>
          <w:szCs w:val="24"/>
          <w:highlight w:val="yellow"/>
        </w:rPr>
        <w:t>(R² = 0.466)</w:t>
      </w:r>
      <w:r w:rsidR="0069591F" w:rsidRPr="00956193">
        <w:rPr>
          <w:rFonts w:ascii="Traditional Arabic" w:hAnsi="Traditional Arabic" w:cs="Traditional Arabic"/>
          <w:color w:val="000000" w:themeColor="text1"/>
          <w:sz w:val="24"/>
          <w:szCs w:val="24"/>
          <w:highlight w:val="yellow"/>
          <w:rtl/>
        </w:rPr>
        <w:t xml:space="preserve">، مما يعني أن ممارسات القيادة التحويلية تفسر ما نسبته </w:t>
      </w:r>
      <w:r w:rsidR="0069591F" w:rsidRPr="00956193">
        <w:rPr>
          <w:rFonts w:ascii="Traditional Arabic" w:hAnsi="Traditional Arabic" w:cs="Traditional Arabic"/>
          <w:color w:val="000000" w:themeColor="text1"/>
          <w:sz w:val="24"/>
          <w:szCs w:val="24"/>
          <w:highlight w:val="yellow"/>
        </w:rPr>
        <w:t xml:space="preserve">(46.6%) </w:t>
      </w:r>
      <w:r w:rsidR="0069591F" w:rsidRPr="00956193">
        <w:rPr>
          <w:rFonts w:ascii="Traditional Arabic" w:hAnsi="Traditional Arabic" w:cs="Traditional Arabic"/>
          <w:color w:val="000000" w:themeColor="text1"/>
          <w:sz w:val="24"/>
          <w:szCs w:val="24"/>
          <w:highlight w:val="yellow"/>
          <w:rtl/>
        </w:rPr>
        <w:t>من التغيرات والتباين الحاصل في مستوى سلامة المرضى في المستشفيات الحكومية بالمملكة العربية السعودية، بينما تعود النسبة المتبقية لعوامل أخرى خارج نطاق هذا النموذج</w:t>
      </w:r>
      <w:r w:rsidR="0069591F" w:rsidRPr="00956193">
        <w:rPr>
          <w:rFonts w:ascii="Traditional Arabic" w:hAnsi="Traditional Arabic" w:cs="Traditional Arabic"/>
          <w:color w:val="000000" w:themeColor="text1"/>
          <w:sz w:val="24"/>
          <w:szCs w:val="24"/>
          <w:highlight w:val="yellow"/>
        </w:rPr>
        <w:t xml:space="preserve">. </w:t>
      </w:r>
      <w:r w:rsidR="0069591F" w:rsidRPr="00956193">
        <w:rPr>
          <w:rFonts w:ascii="Traditional Arabic" w:hAnsi="Traditional Arabic" w:cs="Traditional Arabic"/>
          <w:color w:val="000000" w:themeColor="text1"/>
          <w:sz w:val="24"/>
          <w:szCs w:val="24"/>
          <w:highlight w:val="yellow"/>
          <w:rtl/>
        </w:rPr>
        <w:t xml:space="preserve">إضافة إلى ذلك، بلغت قيمة معامل الانحدار </w:t>
      </w:r>
      <w:r w:rsidR="0069591F" w:rsidRPr="00956193">
        <w:rPr>
          <w:rFonts w:ascii="Traditional Arabic" w:hAnsi="Traditional Arabic" w:cs="Traditional Arabic"/>
          <w:color w:val="000000" w:themeColor="text1"/>
          <w:sz w:val="24"/>
          <w:szCs w:val="24"/>
          <w:highlight w:val="yellow"/>
        </w:rPr>
        <w:t>(</w:t>
      </w:r>
      <w:r w:rsidR="0069591F" w:rsidRPr="00956193">
        <w:rPr>
          <w:rFonts w:ascii="Cambria" w:hAnsi="Cambria" w:cs="Cambria"/>
          <w:color w:val="000000" w:themeColor="text1"/>
          <w:sz w:val="24"/>
          <w:szCs w:val="24"/>
          <w:highlight w:val="yellow"/>
        </w:rPr>
        <w:t>β</w:t>
      </w:r>
      <w:r w:rsidR="0069591F" w:rsidRPr="00956193">
        <w:rPr>
          <w:rFonts w:ascii="Traditional Arabic" w:hAnsi="Traditional Arabic" w:cs="Traditional Arabic"/>
          <w:color w:val="000000" w:themeColor="text1"/>
          <w:sz w:val="24"/>
          <w:szCs w:val="24"/>
          <w:highlight w:val="yellow"/>
        </w:rPr>
        <w:t xml:space="preserve"> = 0.683) </w:t>
      </w:r>
      <w:r w:rsidR="0069591F" w:rsidRPr="00956193">
        <w:rPr>
          <w:rFonts w:ascii="Traditional Arabic" w:hAnsi="Traditional Arabic" w:cs="Traditional Arabic"/>
          <w:color w:val="000000" w:themeColor="text1"/>
          <w:sz w:val="24"/>
          <w:szCs w:val="24"/>
          <w:highlight w:val="yellow"/>
          <w:rtl/>
        </w:rPr>
        <w:t xml:space="preserve">بمستوى دلالة إحصائية </w:t>
      </w:r>
      <w:r w:rsidR="0069591F" w:rsidRPr="00956193">
        <w:rPr>
          <w:rFonts w:ascii="Traditional Arabic" w:hAnsi="Traditional Arabic" w:cs="Traditional Arabic"/>
          <w:color w:val="000000" w:themeColor="text1"/>
          <w:sz w:val="24"/>
          <w:szCs w:val="24"/>
          <w:highlight w:val="yellow"/>
        </w:rPr>
        <w:t xml:space="preserve">(Sig. = 0.000) </w:t>
      </w:r>
      <w:r w:rsidR="0069591F" w:rsidRPr="00956193">
        <w:rPr>
          <w:rFonts w:ascii="Traditional Arabic" w:hAnsi="Traditional Arabic" w:cs="Traditional Arabic"/>
          <w:color w:val="000000" w:themeColor="text1"/>
          <w:sz w:val="24"/>
          <w:szCs w:val="24"/>
          <w:highlight w:val="yellow"/>
          <w:rtl/>
        </w:rPr>
        <w:t xml:space="preserve">وقيمة ت المحسوبة </w:t>
      </w:r>
      <w:r w:rsidR="0069591F" w:rsidRPr="00956193">
        <w:rPr>
          <w:rFonts w:ascii="Traditional Arabic" w:hAnsi="Traditional Arabic" w:cs="Traditional Arabic"/>
          <w:color w:val="000000" w:themeColor="text1"/>
          <w:sz w:val="24"/>
          <w:szCs w:val="24"/>
          <w:highlight w:val="yellow"/>
        </w:rPr>
        <w:t>(t = 18.23)</w:t>
      </w:r>
      <w:r w:rsidR="0069591F" w:rsidRPr="00956193">
        <w:rPr>
          <w:rFonts w:ascii="Traditional Arabic" w:hAnsi="Traditional Arabic" w:cs="Traditional Arabic"/>
          <w:color w:val="000000" w:themeColor="text1"/>
          <w:sz w:val="24"/>
          <w:szCs w:val="24"/>
          <w:highlight w:val="yellow"/>
          <w:rtl/>
        </w:rPr>
        <w:t xml:space="preserve">، وهو ما يشير إلى وجود تأثير طردي </w:t>
      </w:r>
      <w:r w:rsidR="0069591F" w:rsidRPr="00956193">
        <w:rPr>
          <w:rFonts w:ascii="Traditional Arabic" w:hAnsi="Traditional Arabic" w:cs="Traditional Arabic"/>
          <w:color w:val="000000" w:themeColor="text1"/>
          <w:sz w:val="24"/>
          <w:szCs w:val="24"/>
          <w:highlight w:val="yellow"/>
        </w:rPr>
        <w:t>(</w:t>
      </w:r>
      <w:r w:rsidR="0069591F" w:rsidRPr="00956193">
        <w:rPr>
          <w:rFonts w:ascii="Traditional Arabic" w:hAnsi="Traditional Arabic" w:cs="Traditional Arabic"/>
          <w:color w:val="000000" w:themeColor="text1"/>
          <w:sz w:val="24"/>
          <w:szCs w:val="24"/>
          <w:highlight w:val="yellow"/>
          <w:rtl/>
        </w:rPr>
        <w:t>إيجابي</w:t>
      </w:r>
      <w:r w:rsidR="0069591F" w:rsidRPr="00956193">
        <w:rPr>
          <w:rFonts w:ascii="Traditional Arabic" w:hAnsi="Traditional Arabic" w:cs="Traditional Arabic"/>
          <w:color w:val="000000" w:themeColor="text1"/>
          <w:sz w:val="24"/>
          <w:szCs w:val="24"/>
          <w:highlight w:val="yellow"/>
        </w:rPr>
        <w:t xml:space="preserve">) </w:t>
      </w:r>
      <w:r w:rsidR="0069591F" w:rsidRPr="00956193">
        <w:rPr>
          <w:rFonts w:ascii="Traditional Arabic" w:hAnsi="Traditional Arabic" w:cs="Traditional Arabic"/>
          <w:color w:val="000000" w:themeColor="text1"/>
          <w:sz w:val="24"/>
          <w:szCs w:val="24"/>
          <w:highlight w:val="yellow"/>
          <w:rtl/>
        </w:rPr>
        <w:t xml:space="preserve">ذو دلالة إحصائية؛ حيث إن زيادة ممارسات القيادة التحويلية بمقدار وحدة واحدة تؤدي إلى تحسن في سلامة المرضى بمقدار </w:t>
      </w:r>
      <w:r w:rsidR="0069591F" w:rsidRPr="00956193">
        <w:rPr>
          <w:rFonts w:ascii="Traditional Arabic" w:hAnsi="Traditional Arabic" w:cs="Traditional Arabic"/>
          <w:color w:val="000000" w:themeColor="text1"/>
          <w:sz w:val="24"/>
          <w:szCs w:val="24"/>
          <w:highlight w:val="yellow"/>
        </w:rPr>
        <w:t>(0.683)</w:t>
      </w:r>
      <w:r w:rsidR="00F70672" w:rsidRPr="00956193">
        <w:rPr>
          <w:rFonts w:ascii="Traditional Arabic" w:hAnsi="Traditional Arabic" w:cs="Traditional Arabic" w:hint="cs"/>
          <w:color w:val="000000" w:themeColor="text1"/>
          <w:sz w:val="24"/>
          <w:szCs w:val="24"/>
          <w:highlight w:val="yellow"/>
          <w:rtl/>
        </w:rPr>
        <w:t xml:space="preserve"> </w:t>
      </w:r>
      <w:r w:rsidR="0069591F" w:rsidRPr="00956193">
        <w:rPr>
          <w:rFonts w:ascii="Traditional Arabic" w:hAnsi="Traditional Arabic" w:cs="Traditional Arabic"/>
          <w:color w:val="000000" w:themeColor="text1"/>
          <w:sz w:val="24"/>
          <w:szCs w:val="24"/>
          <w:highlight w:val="yellow"/>
        </w:rPr>
        <w:t xml:space="preserve">. </w:t>
      </w:r>
    </w:p>
    <w:p w14:paraId="724CA3AF" w14:textId="7B4C2E93" w:rsidR="00C06C8B" w:rsidRPr="00956193" w:rsidRDefault="00C06C8B" w:rsidP="0069591F">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hint="cs"/>
          <w:color w:val="000000" w:themeColor="text1"/>
          <w:sz w:val="24"/>
          <w:szCs w:val="24"/>
          <w:highlight w:val="yellow"/>
          <w:rtl/>
        </w:rPr>
        <w:t>كما</w:t>
      </w:r>
      <w:r w:rsidRPr="00956193">
        <w:rPr>
          <w:rFonts w:ascii="Traditional Arabic" w:hAnsi="Traditional Arabic" w:cs="Traditional Arabic"/>
          <w:color w:val="000000" w:themeColor="text1"/>
          <w:sz w:val="24"/>
          <w:szCs w:val="24"/>
          <w:highlight w:val="yellow"/>
          <w:rtl/>
        </w:rPr>
        <w:t xml:space="preserve"> أن القيادة التحويلية تُسهم بشكل مباشر في رفع مستوى سلامة المرضى عبر تعزيز ثقافة الالتزام بالممارسات الآمنة</w:t>
      </w:r>
      <w:r w:rsidRPr="00956193">
        <w:rPr>
          <w:rFonts w:ascii="Traditional Arabic" w:hAnsi="Traditional Arabic" w:cs="Traditional Arabic"/>
          <w:color w:val="000000" w:themeColor="text1"/>
          <w:sz w:val="24"/>
          <w:szCs w:val="24"/>
          <w:highlight w:val="yellow"/>
        </w:rPr>
        <w:t xml:space="preserve">. </w:t>
      </w:r>
      <w:r w:rsidRPr="00956193">
        <w:rPr>
          <w:rFonts w:ascii="Traditional Arabic" w:hAnsi="Traditional Arabic" w:cs="Traditional Arabic"/>
          <w:color w:val="000000" w:themeColor="text1"/>
          <w:sz w:val="24"/>
          <w:szCs w:val="24"/>
          <w:highlight w:val="yellow"/>
          <w:rtl/>
        </w:rPr>
        <w:t xml:space="preserve">هذه النتيجة تتفق مع ما توصلت إليه دراسة </w:t>
      </w:r>
      <w:r w:rsidRPr="00956193">
        <w:rPr>
          <w:rFonts w:ascii="Traditional Arabic" w:hAnsi="Traditional Arabic" w:cs="Traditional Arabic"/>
          <w:color w:val="000000" w:themeColor="text1"/>
          <w:sz w:val="24"/>
          <w:szCs w:val="24"/>
          <w:highlight w:val="yellow"/>
        </w:rPr>
        <w:t xml:space="preserve">Smith et al. (2017) </w:t>
      </w:r>
      <w:r w:rsidR="00D038A3"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التي أكدت أن تطبيق أساليب القيادة الفعالة وإدارة المخاطر ساعد في تقليل الحوادث الطبية وتحسين نتائج العلاج، كما تدعم ما أشار إليه </w:t>
      </w:r>
      <w:r w:rsidRPr="00956193">
        <w:rPr>
          <w:rFonts w:ascii="Traditional Arabic" w:hAnsi="Traditional Arabic" w:cs="Traditional Arabic"/>
          <w:color w:val="000000" w:themeColor="text1"/>
          <w:sz w:val="24"/>
          <w:szCs w:val="24"/>
          <w:highlight w:val="yellow"/>
        </w:rPr>
        <w:t xml:space="preserve">Jones and Brown (2018) </w:t>
      </w:r>
      <w:r w:rsidR="00D038A3"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بأن القيادة التحويلية ترتبط </w:t>
      </w:r>
      <w:r w:rsidRPr="00956193">
        <w:rPr>
          <w:rFonts w:ascii="Traditional Arabic" w:hAnsi="Traditional Arabic" w:cs="Traditional Arabic"/>
          <w:color w:val="000000" w:themeColor="text1"/>
          <w:sz w:val="24"/>
          <w:szCs w:val="24"/>
          <w:highlight w:val="yellow"/>
          <w:rtl/>
        </w:rPr>
        <w:lastRenderedPageBreak/>
        <w:t xml:space="preserve">إيجابيًا بجودة الخدمات الصحية من خلال تحسين بيئة العمل وتفعيل نظم السلامة. كذلك، تتسق مع دراسة أحمد محمد السعيد (٢٠١٩) التي أوضحت أن القيادة التحويلية في المستشفيات الحكومية السعودية تعزز الالتزام بالإجراءات الوقائية وتقلل من معدلات الأخطاء الطبية. كما تتوافق مع نتائج </w:t>
      </w:r>
      <w:r w:rsidRPr="00956193">
        <w:rPr>
          <w:rFonts w:ascii="Traditional Arabic" w:hAnsi="Traditional Arabic" w:cs="Traditional Arabic"/>
          <w:color w:val="000000" w:themeColor="text1"/>
          <w:sz w:val="24"/>
          <w:szCs w:val="24"/>
          <w:highlight w:val="yellow"/>
        </w:rPr>
        <w:t xml:space="preserve">Khan et al. (2019) </w:t>
      </w:r>
      <w:r w:rsidR="00D038A3"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التي أبرزت أن القيادة التحويلية في المستشفيات الشرق أوسطية ساعدت على تعزيز ثقة المرضى وتحسين مستوى الرعاية المقدمة. وبذلك فإن النتيجة الحالية تنسجم مع الأدبيات السابقة التي تؤكد أن القيادة التحويلية ليست مجرد أسلوب إداري، بل هي أداة استراتيجية مباشرة لرفع مستوى سلامة المرضى وضمان جودة الرعاية الصحية</w:t>
      </w:r>
      <w:r w:rsidRPr="00956193">
        <w:rPr>
          <w:rFonts w:ascii="Traditional Arabic" w:hAnsi="Traditional Arabic" w:cs="Traditional Arabic"/>
          <w:color w:val="000000" w:themeColor="text1"/>
          <w:sz w:val="24"/>
          <w:szCs w:val="24"/>
          <w:highlight w:val="yellow"/>
        </w:rPr>
        <w:t>.</w:t>
      </w:r>
    </w:p>
    <w:p w14:paraId="32BB1DFE" w14:textId="7FA17466" w:rsidR="00C06C8B" w:rsidRPr="00956193" w:rsidRDefault="007B021C" w:rsidP="00C06C8B">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الرابع:</w:t>
      </w:r>
    </w:p>
    <w:p w14:paraId="28718BE9" w14:textId="686DA238" w:rsidR="00885B9C" w:rsidRDefault="00885B9C" w:rsidP="00885B9C">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ينص الفرض الرابع على أنه "</w:t>
      </w:r>
      <w:r w:rsidRPr="00956193">
        <w:rPr>
          <w:rFonts w:ascii="Traditional Arabic" w:hAnsi="Traditional Arabic" w:cs="Traditional Arabic"/>
          <w:b/>
          <w:bCs/>
          <w:color w:val="000000" w:themeColor="text1"/>
          <w:sz w:val="24"/>
          <w:szCs w:val="24"/>
          <w:highlight w:val="yellow"/>
          <w:rtl/>
        </w:rPr>
        <w:t>يوجد تأثير ذو دلالة إحصائية للقيادة التحويلية عند توسطها العلاقة بين ممارسات إدارة المخاطر وسلامة المرضى في المستشفيات الحكومية بالمملكة العربية السعودية</w:t>
      </w:r>
      <w:r w:rsidR="00FE68CC">
        <w:rPr>
          <w:rFonts w:ascii="Traditional Arabic" w:hAnsi="Traditional Arabic" w:cs="Traditional Arabic" w:hint="cs"/>
          <w:b/>
          <w:bCs/>
          <w:color w:val="000000" w:themeColor="text1"/>
          <w:sz w:val="24"/>
          <w:szCs w:val="24"/>
          <w:highlight w:val="yellow"/>
          <w:rtl/>
        </w:rPr>
        <w:t>، وفروضه الفرعية :</w:t>
      </w:r>
    </w:p>
    <w:p w14:paraId="6A8FFC7D" w14:textId="1A06F26D" w:rsidR="00FE68CC" w:rsidRDefault="00FE68CC" w:rsidP="00FE68CC">
      <w:pPr>
        <w:pStyle w:val="ListParagraph"/>
        <w:numPr>
          <w:ilvl w:val="0"/>
          <w:numId w:val="18"/>
        </w:numPr>
        <w:bidi/>
        <w:spacing w:after="200" w:line="360" w:lineRule="auto"/>
        <w:jc w:val="both"/>
        <w:rPr>
          <w:rFonts w:ascii="Traditional Arabic" w:hAnsi="Traditional Arabic" w:cs="Traditional Arabic"/>
          <w:b/>
          <w:bCs/>
          <w:color w:val="000000" w:themeColor="text1"/>
          <w:sz w:val="24"/>
          <w:szCs w:val="24"/>
          <w:highlight w:val="yellow"/>
        </w:rPr>
      </w:pPr>
      <w:r>
        <w:rPr>
          <w:rFonts w:ascii="Traditional Arabic" w:hAnsi="Traditional Arabic" w:cs="Traditional Arabic" w:hint="cs"/>
          <w:b/>
          <w:bCs/>
          <w:color w:val="000000" w:themeColor="text1"/>
          <w:sz w:val="24"/>
          <w:szCs w:val="24"/>
          <w:highlight w:val="yellow"/>
          <w:rtl/>
        </w:rPr>
        <w:t>تتوسط القيادة التحويلية العلاقة بين تحديد المخاطر وسلامة المرضى بالمستشفيات الحكومية بالمملكة السعودية.</w:t>
      </w:r>
    </w:p>
    <w:p w14:paraId="05AF57D7" w14:textId="56D94C60" w:rsidR="00FE68CC" w:rsidRPr="00FE68CC" w:rsidRDefault="00FE68CC" w:rsidP="00FE68CC">
      <w:pPr>
        <w:pStyle w:val="ListParagraph"/>
        <w:numPr>
          <w:ilvl w:val="0"/>
          <w:numId w:val="18"/>
        </w:numPr>
        <w:bidi/>
        <w:spacing w:after="200" w:line="360" w:lineRule="auto"/>
        <w:jc w:val="both"/>
        <w:rPr>
          <w:rFonts w:ascii="Traditional Arabic" w:hAnsi="Traditional Arabic" w:cs="Traditional Arabic"/>
          <w:b/>
          <w:bCs/>
          <w:color w:val="000000" w:themeColor="text1"/>
          <w:sz w:val="24"/>
          <w:szCs w:val="24"/>
          <w:highlight w:val="yellow"/>
          <w:rtl/>
        </w:rPr>
      </w:pPr>
      <w:r>
        <w:rPr>
          <w:rFonts w:ascii="Traditional Arabic" w:hAnsi="Traditional Arabic" w:cs="Traditional Arabic" w:hint="cs"/>
          <w:b/>
          <w:bCs/>
          <w:color w:val="000000" w:themeColor="text1"/>
          <w:sz w:val="24"/>
          <w:szCs w:val="24"/>
          <w:highlight w:val="yellow"/>
          <w:rtl/>
        </w:rPr>
        <w:t>تتوسط القيادة التحويلية العلاقة بين تحليل المخاطر وسلامة المرضى بالمستشفيات الحكومية بالمملكة السعودية.</w:t>
      </w:r>
    </w:p>
    <w:p w14:paraId="32C99711" w14:textId="4B284B1A" w:rsidR="00FE68CC" w:rsidRPr="00FE68CC" w:rsidRDefault="00FE68CC" w:rsidP="00FE68CC">
      <w:pPr>
        <w:pStyle w:val="ListParagraph"/>
        <w:numPr>
          <w:ilvl w:val="0"/>
          <w:numId w:val="18"/>
        </w:numPr>
        <w:bidi/>
        <w:spacing w:after="200" w:line="360" w:lineRule="auto"/>
        <w:jc w:val="both"/>
        <w:rPr>
          <w:rFonts w:ascii="Traditional Arabic" w:hAnsi="Traditional Arabic" w:cs="Traditional Arabic"/>
          <w:b/>
          <w:bCs/>
          <w:color w:val="000000" w:themeColor="text1"/>
          <w:sz w:val="24"/>
          <w:szCs w:val="24"/>
          <w:highlight w:val="yellow"/>
          <w:rtl/>
        </w:rPr>
      </w:pPr>
      <w:r>
        <w:rPr>
          <w:rFonts w:ascii="Traditional Arabic" w:hAnsi="Traditional Arabic" w:cs="Traditional Arabic" w:hint="cs"/>
          <w:b/>
          <w:bCs/>
          <w:color w:val="000000" w:themeColor="text1"/>
          <w:sz w:val="24"/>
          <w:szCs w:val="24"/>
          <w:highlight w:val="yellow"/>
          <w:rtl/>
        </w:rPr>
        <w:t>تتوسط القيادة التحويلية العلاقة بين تقييم المخاطر وسلامة المرضى بالمستشفيات الحكومية بالمملكة السعودية.</w:t>
      </w:r>
    </w:p>
    <w:p w14:paraId="7AB53759" w14:textId="2D4D3904" w:rsidR="00FE68CC" w:rsidRPr="00FE68CC" w:rsidRDefault="00FE68CC" w:rsidP="00FE68CC">
      <w:pPr>
        <w:pStyle w:val="ListParagraph"/>
        <w:numPr>
          <w:ilvl w:val="0"/>
          <w:numId w:val="18"/>
        </w:numPr>
        <w:bidi/>
        <w:spacing w:after="200" w:line="360" w:lineRule="auto"/>
        <w:jc w:val="both"/>
        <w:rPr>
          <w:rFonts w:ascii="Traditional Arabic" w:hAnsi="Traditional Arabic" w:cs="Traditional Arabic"/>
          <w:b/>
          <w:bCs/>
          <w:color w:val="000000" w:themeColor="text1"/>
          <w:sz w:val="24"/>
          <w:szCs w:val="24"/>
          <w:highlight w:val="yellow"/>
          <w:rtl/>
        </w:rPr>
      </w:pPr>
      <w:r>
        <w:rPr>
          <w:rFonts w:ascii="Traditional Arabic" w:hAnsi="Traditional Arabic" w:cs="Traditional Arabic" w:hint="cs"/>
          <w:b/>
          <w:bCs/>
          <w:color w:val="000000" w:themeColor="text1"/>
          <w:sz w:val="24"/>
          <w:szCs w:val="24"/>
          <w:highlight w:val="yellow"/>
          <w:rtl/>
        </w:rPr>
        <w:t>تتوسط القيادة التحويلية العلاقة بين إستجابة المخاطر وسلامة المرضى بالمستشفيات الحكومية بالمملكة السعودية.</w:t>
      </w:r>
    </w:p>
    <w:p w14:paraId="0A4769EF" w14:textId="01D20F59" w:rsidR="00F2681C" w:rsidRDefault="00F2681C" w:rsidP="00FE68CC">
      <w:pPr>
        <w:bidi/>
        <w:spacing w:after="200" w:line="360" w:lineRule="auto"/>
        <w:ind w:firstLine="720"/>
        <w:jc w:val="both"/>
        <w:rPr>
          <w:rFonts w:ascii="Traditional Arabic" w:hAnsi="Traditional Arabic" w:cs="Traditional Arabic"/>
          <w:color w:val="000000" w:themeColor="text1"/>
          <w:sz w:val="24"/>
          <w:szCs w:val="24"/>
          <w:rtl/>
        </w:rPr>
      </w:pPr>
      <w:r w:rsidRPr="006E6339">
        <w:rPr>
          <w:rFonts w:ascii="Traditional Arabic" w:hAnsi="Traditional Arabic" w:cs="Traditional Arabic"/>
          <w:color w:val="000000" w:themeColor="text1"/>
          <w:sz w:val="24"/>
          <w:szCs w:val="24"/>
          <w:highlight w:val="yellow"/>
          <w:rtl/>
        </w:rPr>
        <w:t>أشارت النتائج الإحصائية إلى قبول الفرض</w:t>
      </w:r>
      <w:r w:rsidRPr="006E6339">
        <w:rPr>
          <w:rFonts w:ascii="Traditional Arabic" w:hAnsi="Traditional Arabic" w:cs="Traditional Arabic" w:hint="cs"/>
          <w:color w:val="000000" w:themeColor="text1"/>
          <w:sz w:val="24"/>
          <w:szCs w:val="24"/>
          <w:highlight w:val="yellow"/>
          <w:rtl/>
        </w:rPr>
        <w:t xml:space="preserve"> الفرعي الأول</w:t>
      </w:r>
      <w:r w:rsidRPr="006E6339">
        <w:rPr>
          <w:rFonts w:ascii="Traditional Arabic" w:hAnsi="Traditional Arabic" w:cs="Traditional Arabic"/>
          <w:color w:val="000000" w:themeColor="text1"/>
          <w:sz w:val="24"/>
          <w:szCs w:val="24"/>
          <w:highlight w:val="yellow"/>
          <w:rtl/>
        </w:rPr>
        <w:t xml:space="preserve"> جزئياً؛ حيث ثبت وجود أثر غير مباشر دال إحصائياً لعملية تحديد المخاطر على سلامة المرضى عبر الوسيط (القيادة التحويلية) في أربعة أبعاد، وتراوحت التأثيرات المباشرة بين (0.579 و0.885). ويُعزى هذا التوسط علمياً إلى أن عملية "تحديد المخاطر" -باعتبارها خطوة استكشافية لرصد مواطن الخلل- تحتاج إلى قادة تحويليين يمتلكون الرؤية والقدرة على تحفيز الكوادر الطبية والإدارية، وتوليد الوعي الجمعي بالمخاطر المحتملة، مما يسهم في تحويل مخرجات التحديد الفني إلى سلوكيات تشغيلية تعزز سلامة المرضى وتحد من الأخطاء.</w:t>
      </w:r>
    </w:p>
    <w:p w14:paraId="6466E24F" w14:textId="51218C14" w:rsidR="00F2681C" w:rsidRDefault="00F2681C" w:rsidP="00F2681C">
      <w:pPr>
        <w:bidi/>
        <w:spacing w:after="200" w:line="360" w:lineRule="auto"/>
        <w:ind w:firstLine="720"/>
        <w:jc w:val="both"/>
        <w:rPr>
          <w:rFonts w:ascii="Traditional Arabic" w:hAnsi="Traditional Arabic" w:cs="Traditional Arabic"/>
          <w:color w:val="000000" w:themeColor="text1"/>
          <w:sz w:val="24"/>
          <w:szCs w:val="24"/>
          <w:highlight w:val="yellow"/>
          <w:rtl/>
        </w:rPr>
      </w:pPr>
      <w:r>
        <w:rPr>
          <w:rFonts w:ascii="Traditional Arabic" w:hAnsi="Traditional Arabic" w:cs="Traditional Arabic" w:hint="cs"/>
          <w:color w:val="000000" w:themeColor="text1"/>
          <w:sz w:val="24"/>
          <w:szCs w:val="24"/>
          <w:highlight w:val="yellow"/>
          <w:rtl/>
        </w:rPr>
        <w:t>و</w:t>
      </w:r>
      <w:r w:rsidRPr="00F2681C">
        <w:rPr>
          <w:rFonts w:ascii="Traditional Arabic" w:hAnsi="Traditional Arabic" w:cs="Traditional Arabic"/>
          <w:color w:val="000000" w:themeColor="text1"/>
          <w:sz w:val="24"/>
          <w:szCs w:val="24"/>
          <w:highlight w:val="yellow"/>
          <w:rtl/>
        </w:rPr>
        <w:t>أظهر التحليل قبول الفرض الفرعي الثاني ؛ حيث سجلت المؤشرات تأثيراً مباشراً قوياً يتراوح بين (0.480 و0.690)، مع وجود أثر غير مباشر معنوي للقيادة التحويلية يتراوح بين (0.053 و0.107). ويُفسر ذلك تنظيمياً بأن "تحليل المخاطر" يمثل مرحلة متقدمة من الفهم الكمي والكيفي لأسباب المخاطر وجذورها؛ وتحويل هذه البيانات التحليلية الجافة والتقارير الإحصائية إلى ممارسات واقعية تتطلب "قائداً تحويلياً" يعمل كجسر ناقل، من خلال تقديم الدعم الفكري وتمكين العاملين، لترجمة تلك التحليلات إلى أنظمة إبلاغ فعالة وبيئة عمل سريرية آمنة</w:t>
      </w:r>
      <w:r w:rsidRPr="00F2681C">
        <w:rPr>
          <w:rFonts w:ascii="Traditional Arabic" w:hAnsi="Traditional Arabic" w:cs="Traditional Arabic"/>
          <w:color w:val="000000" w:themeColor="text1"/>
          <w:sz w:val="24"/>
          <w:szCs w:val="24"/>
          <w:highlight w:val="yellow"/>
        </w:rPr>
        <w:t>.</w:t>
      </w:r>
    </w:p>
    <w:p w14:paraId="72EC5EDF" w14:textId="7172573F" w:rsidR="00F2681C" w:rsidRDefault="00F2681C" w:rsidP="00F2681C">
      <w:pPr>
        <w:bidi/>
        <w:spacing w:after="200" w:line="360" w:lineRule="auto"/>
        <w:ind w:firstLine="720"/>
        <w:jc w:val="both"/>
        <w:rPr>
          <w:rFonts w:ascii="Traditional Arabic" w:hAnsi="Traditional Arabic" w:cs="Traditional Arabic"/>
          <w:color w:val="000000" w:themeColor="text1"/>
          <w:sz w:val="24"/>
          <w:szCs w:val="24"/>
          <w:highlight w:val="yellow"/>
          <w:rtl/>
        </w:rPr>
      </w:pPr>
      <w:r>
        <w:rPr>
          <w:rFonts w:ascii="Traditional Arabic" w:hAnsi="Traditional Arabic" w:cs="Traditional Arabic" w:hint="cs"/>
          <w:color w:val="000000" w:themeColor="text1"/>
          <w:sz w:val="24"/>
          <w:szCs w:val="24"/>
          <w:highlight w:val="yellow"/>
          <w:rtl/>
        </w:rPr>
        <w:lastRenderedPageBreak/>
        <w:t>و</w:t>
      </w:r>
      <w:r w:rsidRPr="00F2681C">
        <w:rPr>
          <w:rFonts w:ascii="Traditional Arabic" w:hAnsi="Traditional Arabic" w:cs="Traditional Arabic"/>
          <w:color w:val="000000" w:themeColor="text1"/>
          <w:sz w:val="24"/>
          <w:szCs w:val="24"/>
          <w:highlight w:val="yellow"/>
          <w:rtl/>
        </w:rPr>
        <w:t>أكدت النتائج قبول هذا الفرض جزئياً؛ حيث تمخض التحليل عن تأثيرات مباشرة معنوية، وأثر غير مباشر دال بلغت ذروته في بُعد "بيئة العمل الآمنة" بقيمة (0.101). ويبرهن ذلك على أن "تقييم المخاطر" (والذي يعنى بتحديد درجة خطورة الأزمات وجدول أولوياتها) يرتبط بقرارات استراتيجية حرجة لتوزيع الموارد داخل المستشفيات الحكومية؛ وهنا تبرز القيادة التحويلية كمتغير وسيط حاسم يضمن توجيه مخرجات التقييم نحو بناء ثقافة تنظيمية مرنة، وتوفير بيئة عمل آمنة، وضمان جودة الرعاية عبر التأثير الإيجابي والملهم في سلوك الأطقم الطبية</w:t>
      </w:r>
      <w:r w:rsidRPr="00F2681C">
        <w:rPr>
          <w:rFonts w:ascii="Traditional Arabic" w:hAnsi="Traditional Arabic" w:cs="Traditional Arabic"/>
          <w:color w:val="000000" w:themeColor="text1"/>
          <w:sz w:val="24"/>
          <w:szCs w:val="24"/>
          <w:highlight w:val="yellow"/>
        </w:rPr>
        <w:t>.</w:t>
      </w:r>
    </w:p>
    <w:p w14:paraId="06D7ED48" w14:textId="5581A643" w:rsidR="00F2681C" w:rsidRPr="00F2681C" w:rsidRDefault="00F2681C" w:rsidP="00F2681C">
      <w:pPr>
        <w:bidi/>
        <w:spacing w:after="200" w:line="360" w:lineRule="auto"/>
        <w:ind w:firstLine="720"/>
        <w:jc w:val="both"/>
        <w:rPr>
          <w:rFonts w:ascii="Traditional Arabic" w:hAnsi="Traditional Arabic" w:cs="Traditional Arabic"/>
          <w:color w:val="000000" w:themeColor="text1"/>
          <w:sz w:val="24"/>
          <w:szCs w:val="24"/>
          <w:highlight w:val="yellow"/>
          <w:rtl/>
        </w:rPr>
      </w:pPr>
      <w:r>
        <w:rPr>
          <w:rFonts w:ascii="Traditional Arabic" w:hAnsi="Traditional Arabic" w:cs="Traditional Arabic" w:hint="cs"/>
          <w:color w:val="000000" w:themeColor="text1"/>
          <w:sz w:val="24"/>
          <w:szCs w:val="24"/>
          <w:highlight w:val="yellow"/>
          <w:rtl/>
        </w:rPr>
        <w:t xml:space="preserve">كما </w:t>
      </w:r>
      <w:r w:rsidRPr="00F2681C">
        <w:rPr>
          <w:rFonts w:ascii="Traditional Arabic" w:hAnsi="Traditional Arabic" w:cs="Traditional Arabic"/>
          <w:color w:val="000000" w:themeColor="text1"/>
          <w:sz w:val="24"/>
          <w:szCs w:val="24"/>
          <w:highlight w:val="yellow"/>
          <w:rtl/>
        </w:rPr>
        <w:t xml:space="preserve">كشفت النتائج عن قبول الفرض الفرعي الرابع ، حيث سجل هذا البُعد </w:t>
      </w:r>
      <w:r w:rsidRPr="00F2681C">
        <w:rPr>
          <w:rFonts w:ascii="Traditional Arabic" w:hAnsi="Traditional Arabic" w:cs="Traditional Arabic"/>
          <w:b/>
          <w:bCs/>
          <w:color w:val="000000" w:themeColor="text1"/>
          <w:sz w:val="24"/>
          <w:szCs w:val="24"/>
          <w:highlight w:val="yellow"/>
          <w:rtl/>
        </w:rPr>
        <w:t>أعلى قيم للتأثير غير المباشر</w:t>
      </w:r>
      <w:r w:rsidRPr="00F2681C">
        <w:rPr>
          <w:rFonts w:ascii="Traditional Arabic" w:hAnsi="Traditional Arabic" w:cs="Traditional Arabic"/>
          <w:color w:val="000000" w:themeColor="text1"/>
          <w:sz w:val="24"/>
          <w:szCs w:val="24"/>
          <w:highlight w:val="yellow"/>
          <w:rtl/>
        </w:rPr>
        <w:t xml:space="preserve"> عبر الوسيط (تراوحت بين 0.078 و0.124). وتعد هذه النتيجة منطقية وعميقة جداً من الناحية الإدارية؛ إذ إن مرحلة "الاستجابة للمخاطر" هي مرحلة التنفيذ والتدخل الفعلي لمواجهة التهديدات الصحية، وهذه المرحلة لا يمكن أن تنجح بالاعتماد على الأوامر البيروقراطية الصارمة فقط، بل تتطلب قيادة تحويلية تمارس الكاريزما والتحفيز العقلي والاهتمام الفردي، مما يذلل العقبات أمام الكوادر الطبية ويشحذ هممهم للاستجابة الفورية والأمنة، وهو ما أدى لتعظيم الأثر الكلي الممتد على سلامة المرضى</w:t>
      </w:r>
      <w:r w:rsidRPr="00F2681C">
        <w:rPr>
          <w:rFonts w:ascii="Traditional Arabic" w:hAnsi="Traditional Arabic" w:cs="Traditional Arabic"/>
          <w:color w:val="000000" w:themeColor="text1"/>
          <w:sz w:val="24"/>
          <w:szCs w:val="24"/>
          <w:highlight w:val="yellow"/>
        </w:rPr>
        <w:t>.</w:t>
      </w:r>
    </w:p>
    <w:p w14:paraId="45C24B90" w14:textId="69D42B0F" w:rsidR="00616897" w:rsidRPr="00F2681C" w:rsidRDefault="00FE68CC" w:rsidP="00F2681C">
      <w:pPr>
        <w:bidi/>
        <w:spacing w:after="200" w:line="360" w:lineRule="auto"/>
        <w:ind w:firstLine="720"/>
        <w:jc w:val="both"/>
        <w:rPr>
          <w:rFonts w:ascii="Traditional Arabic" w:hAnsi="Traditional Arabic" w:cs="Traditional Arabic"/>
          <w:color w:val="000000" w:themeColor="text1"/>
          <w:highlight w:val="yellow"/>
          <w:rtl/>
        </w:rPr>
      </w:pPr>
      <w:r>
        <w:rPr>
          <w:rFonts w:ascii="Traditional Arabic" w:hAnsi="Traditional Arabic" w:cs="Traditional Arabic" w:hint="cs"/>
          <w:color w:val="000000" w:themeColor="text1"/>
          <w:sz w:val="24"/>
          <w:szCs w:val="24"/>
          <w:highlight w:val="yellow"/>
          <w:rtl/>
        </w:rPr>
        <w:t xml:space="preserve">نستنتج أن الفرض الرابع قد تحقق حيث </w:t>
      </w:r>
      <w:r w:rsidRPr="00FE68CC">
        <w:rPr>
          <w:rFonts w:ascii="Traditional Arabic" w:hAnsi="Traditional Arabic" w:cs="Traditional Arabic"/>
          <w:b/>
          <w:bCs/>
          <w:color w:val="000000" w:themeColor="text1"/>
          <w:highlight w:val="yellow"/>
          <w:rtl/>
        </w:rPr>
        <w:t>أوضحت نتائج التحليل باستخدام أسلوب نمذجة المعادلات الهيكلية بطريقة المربعات الصغرى الجزئية</w:t>
      </w:r>
      <w:r w:rsidRPr="00FE68CC">
        <w:rPr>
          <w:rFonts w:ascii="Traditional Arabic" w:hAnsi="Traditional Arabic" w:cs="Traditional Arabic"/>
          <w:b/>
          <w:bCs/>
          <w:color w:val="000000" w:themeColor="text1"/>
          <w:highlight w:val="yellow"/>
        </w:rPr>
        <w:t xml:space="preserve"> (PLS-SEM) </w:t>
      </w:r>
      <w:r w:rsidRPr="00FE68CC">
        <w:rPr>
          <w:rFonts w:ascii="Traditional Arabic" w:hAnsi="Traditional Arabic" w:cs="Traditional Arabic"/>
          <w:b/>
          <w:bCs/>
          <w:color w:val="000000" w:themeColor="text1"/>
          <w:highlight w:val="yellow"/>
          <w:rtl/>
        </w:rPr>
        <w:t>قبول الفرضية الرئيسة الرابعة ، حيث تبين أن القيادة التحويلية تؤدي دوراً وسيطاً دالاً إحصائياً في العلاقة بين ممارسات إدارة المخاطر وأبعاد سلامة المرضى. فقد أظهرت الفروض الفرعية أن القيادة التحويلية تتوسط العلاقة بين تحديد المخاطر (0.633 مباشر، 0.010 غير مباشر، 0.643 كلي)، تحليل المخاطر (0.630 مباشر، 0.055 غير مباشر، 0.685 كلي)، تقييم المخاطر (0.370 مباشر، 0.101 غير مباشر، 0.471 كلي)، والاستجابة للمخاطر (0.410 مباشر، 0.124 غير مباشر، 0.534 كلي) من جهة، وأربعة أبعاد رئيسة لسلامة المرضى هي: تقليل الأخطاء الطبية، فعالية أنظمة الإبلاغ، بيئة العمل الآمنة، وجودة الرعاية. في المقابل، لم يظهر للقيادة التحويلية أثر وسيط في بُعد إشراك المرضى عبر جميع الفروض الفرعية، حيث بلغت قيمة الأثر غير المباشر (0.001–0.004–0.003–0.002) وهي قيم ضئيلة وغير دالة إحصائياً، مع بقاء التأثيرات المباشرة دالة (0.579–0.617–0.235–0.295). هذا النمط الإحصائي يعكس تحقق التوسط ويؤكد أن ممارسات إدارة المخاطر تسهم مباشرة في تعزيز سلامة المرضى، بينما يتدعم أثرها عبر القيادة التحويلية في معظم الأبعاد، باستثناء إشراك المرضى الذي يرتبط بالسياسات والمعايير التنظيمية المباشرة دون تأثير قيادي</w:t>
      </w:r>
      <w:r w:rsidRPr="00FE68CC">
        <w:rPr>
          <w:rFonts w:ascii="Traditional Arabic" w:hAnsi="Traditional Arabic" w:cs="Traditional Arabic"/>
          <w:b/>
          <w:bCs/>
          <w:color w:val="000000" w:themeColor="text1"/>
          <w:highlight w:val="yellow"/>
        </w:rPr>
        <w:t>."</w:t>
      </w:r>
    </w:p>
    <w:p w14:paraId="07C97CE6" w14:textId="3083A79F" w:rsidR="00350CFE" w:rsidRPr="00956193" w:rsidRDefault="00350CFE" w:rsidP="00616897">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 xml:space="preserve">هذه النتيجة تتفق مع ما أوضحه </w:t>
      </w:r>
      <w:r w:rsidRPr="00956193">
        <w:rPr>
          <w:rFonts w:ascii="Traditional Arabic" w:hAnsi="Traditional Arabic" w:cs="Traditional Arabic"/>
          <w:color w:val="000000" w:themeColor="text1"/>
          <w:sz w:val="24"/>
          <w:szCs w:val="24"/>
          <w:highlight w:val="yellow"/>
        </w:rPr>
        <w:t xml:space="preserve">Al-Omari et al. (2019)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حول أن تطبيق أنظمة إدارة المخاطر بشكل متكامل يعزز جودة الأداء الصحي ويقلل من معدلات الأخطاء الطبية، كما تدعم ما أشار إليه </w:t>
      </w:r>
      <w:r w:rsidRPr="00956193">
        <w:rPr>
          <w:rFonts w:ascii="Traditional Arabic" w:hAnsi="Traditional Arabic" w:cs="Traditional Arabic"/>
          <w:color w:val="000000" w:themeColor="text1"/>
          <w:sz w:val="24"/>
          <w:szCs w:val="24"/>
          <w:highlight w:val="yellow"/>
        </w:rPr>
        <w:t xml:space="preserve">Hassan et al. (2020)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بأن برامج إدارة المخاطر الفعالة تسهم في تحسين مؤشرات الأداء العام للمستشفيات. كذلك، تتسق مع دراسة عبد الله بن محمد الجهني (٢٠٢٠) التي أكدت أن تعزيز بيئة العمل الآمنة وفعالية أنظمة الإبلاغ ينعكس بشكل مباشر على رفع مستوى الأداء المؤسسي في المستشفيات السعودية، ومع دراسة </w:t>
      </w:r>
      <w:r w:rsidRPr="00956193">
        <w:rPr>
          <w:rFonts w:ascii="Traditional Arabic" w:hAnsi="Traditional Arabic" w:cs="Traditional Arabic"/>
          <w:color w:val="000000" w:themeColor="text1"/>
          <w:sz w:val="24"/>
          <w:szCs w:val="24"/>
          <w:highlight w:val="yellow"/>
        </w:rPr>
        <w:t xml:space="preserve">Al-Mutairi et al. (2020) </w:t>
      </w:r>
      <w:r w:rsidRPr="00956193">
        <w:rPr>
          <w:rFonts w:ascii="Traditional Arabic" w:hAnsi="Traditional Arabic" w:cs="Traditional Arabic"/>
          <w:color w:val="000000" w:themeColor="text1"/>
          <w:sz w:val="24"/>
          <w:szCs w:val="24"/>
          <w:highlight w:val="yellow"/>
          <w:rtl/>
        </w:rPr>
        <w:t xml:space="preserve">التي أبرزت أن تطبيق ممارسات سلامة المرضى في المستشفيات السعودية أدى إلى تحسين جودة الرعاية </w:t>
      </w:r>
      <w:r w:rsidRPr="00956193">
        <w:rPr>
          <w:rFonts w:ascii="Traditional Arabic" w:hAnsi="Traditional Arabic" w:cs="Traditional Arabic"/>
          <w:color w:val="000000" w:themeColor="text1"/>
          <w:sz w:val="24"/>
          <w:szCs w:val="24"/>
          <w:highlight w:val="yellow"/>
          <w:rtl/>
        </w:rPr>
        <w:lastRenderedPageBreak/>
        <w:t>السريرية وزيادة رضا المرضى. كما تدعم هذه النتيجة ما توصل إليه منصور بن عبد الرحمن العتيبي (٢٠٢٢) الذي أوضح أن إشراك المرضى وتفعيل أنظمة الإبلاغ يسهم في تحسين جودة الرعاية الصحية بشكل ملموس. وبذلك فإن النتيجة الحالية تنسجم مع الأدبيات السابقة التي تؤكد أن الاستثمار في أبعاد سلامة المرضى بشكل متكامل يمثل استراتيجية فعالة لتحسين الأداء العام وضمان جودة الخدمات الصحية في المستشفيات الحكومية</w:t>
      </w:r>
      <w:r w:rsidRPr="00956193">
        <w:rPr>
          <w:rFonts w:ascii="Traditional Arabic" w:hAnsi="Traditional Arabic" w:cs="Traditional Arabic"/>
          <w:color w:val="000000" w:themeColor="text1"/>
          <w:sz w:val="24"/>
          <w:szCs w:val="24"/>
          <w:highlight w:val="yellow"/>
        </w:rPr>
        <w:t>.</w:t>
      </w:r>
    </w:p>
    <w:p w14:paraId="07FE7C55" w14:textId="43CE9C0C" w:rsidR="00B0573B" w:rsidRPr="00956193" w:rsidRDefault="00C93328" w:rsidP="00B0573B">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الخامس:</w:t>
      </w:r>
    </w:p>
    <w:p w14:paraId="75794FEE" w14:textId="70DE9D4C" w:rsidR="0002288D" w:rsidRPr="00956193" w:rsidRDefault="00C93328" w:rsidP="0002288D">
      <w:pPr>
        <w:bidi/>
        <w:spacing w:after="200" w:line="360" w:lineRule="auto"/>
        <w:ind w:left="720" w:hanging="720"/>
        <w:contextualSpacing/>
        <w:jc w:val="both"/>
        <w:rPr>
          <w:rFonts w:ascii="Traditional Arabic" w:eastAsia="Calibri" w:hAnsi="Traditional Arabic" w:cs="Traditional Arabic"/>
          <w:sz w:val="24"/>
          <w:szCs w:val="24"/>
          <w:highlight w:val="yellow"/>
          <w:lang w:bidi="ar-EG"/>
        </w:rPr>
      </w:pPr>
      <w:r w:rsidRPr="00956193">
        <w:rPr>
          <w:rFonts w:ascii="Traditional Arabic" w:hAnsi="Traditional Arabic" w:cs="Traditional Arabic" w:hint="cs"/>
          <w:b/>
          <w:bCs/>
          <w:color w:val="000000" w:themeColor="text1"/>
          <w:sz w:val="24"/>
          <w:szCs w:val="24"/>
          <w:highlight w:val="yellow"/>
          <w:rtl/>
        </w:rPr>
        <w:t>ينص الفرض الخامس على أنه "</w:t>
      </w:r>
      <w:r w:rsidR="0002288D" w:rsidRPr="00956193">
        <w:rPr>
          <w:rFonts w:ascii="Traditional Arabic" w:hAnsi="Traditional Arabic" w:cs="Traditional Arabic" w:hint="cs"/>
          <w:b/>
          <w:bCs/>
          <w:color w:val="000000" w:themeColor="text1"/>
          <w:sz w:val="24"/>
          <w:szCs w:val="24"/>
          <w:highlight w:val="yellow"/>
          <w:rtl/>
        </w:rPr>
        <w:t xml:space="preserve"> </w:t>
      </w:r>
      <w:r w:rsidR="0002288D" w:rsidRPr="00956193">
        <w:rPr>
          <w:rFonts w:ascii="Traditional Arabic" w:eastAsia="Calibri" w:hAnsi="Traditional Arabic" w:cs="Traditional Arabic"/>
          <w:sz w:val="24"/>
          <w:szCs w:val="24"/>
          <w:highlight w:val="yellow"/>
          <w:rtl/>
          <w:lang w:bidi="ar-EG"/>
        </w:rPr>
        <w:t>توجد فروق ذات دلالة إحصائية في إدراك أفراد العينة لمتغيرات الدراسة تُعزى للمتغيرات الديموغرافية والوظيفية (النوع، المؤهل العلمي، نوع الوظيفة، سنوات الخبرة)."</w:t>
      </w:r>
    </w:p>
    <w:p w14:paraId="46DC7B49" w14:textId="68DFB90E" w:rsidR="00C93328" w:rsidRPr="00956193" w:rsidRDefault="0002288D" w:rsidP="00F70672">
      <w:pPr>
        <w:bidi/>
        <w:spacing w:after="200" w:line="360" w:lineRule="auto"/>
        <w:jc w:val="both"/>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sz w:val="24"/>
          <w:szCs w:val="24"/>
          <w:highlight w:val="yellow"/>
        </w:rPr>
        <w:t>"</w:t>
      </w:r>
      <w:r w:rsidRPr="00956193">
        <w:rPr>
          <w:rFonts w:ascii="Traditional Arabic" w:hAnsi="Traditional Arabic" w:cs="Traditional Arabic"/>
          <w:color w:val="000000" w:themeColor="text1"/>
          <w:sz w:val="24"/>
          <w:szCs w:val="24"/>
          <w:highlight w:val="yellow"/>
          <w:rtl/>
        </w:rPr>
        <w:t>نستنتج أن الفرض الخامس قد تحقق جزئياً، حيث أثبتت نتائج الاختبارات الإحصائية</w:t>
      </w:r>
      <w:r w:rsidRPr="00956193">
        <w:rPr>
          <w:rFonts w:ascii="Traditional Arabic" w:hAnsi="Traditional Arabic" w:cs="Traditional Arabic"/>
          <w:color w:val="000000" w:themeColor="text1"/>
          <w:sz w:val="24"/>
          <w:szCs w:val="24"/>
          <w:highlight w:val="yellow"/>
        </w:rPr>
        <w:t xml:space="preserve"> (Independent Samples T-test </w:t>
      </w:r>
      <w:r w:rsidRPr="00956193">
        <w:rPr>
          <w:rFonts w:ascii="Traditional Arabic" w:hAnsi="Traditional Arabic" w:cs="Traditional Arabic"/>
          <w:color w:val="000000" w:themeColor="text1"/>
          <w:sz w:val="24"/>
          <w:szCs w:val="24"/>
          <w:highlight w:val="yellow"/>
          <w:rtl/>
        </w:rPr>
        <w:t xml:space="preserve">و </w:t>
      </w:r>
      <w:r w:rsidRPr="00956193">
        <w:rPr>
          <w:rFonts w:ascii="Traditional Arabic" w:hAnsi="Traditional Arabic" w:cs="Traditional Arabic"/>
          <w:color w:val="000000" w:themeColor="text1"/>
          <w:sz w:val="24"/>
          <w:szCs w:val="24"/>
          <w:highlight w:val="yellow"/>
        </w:rPr>
        <w:t xml:space="preserve">One-Way ANOVA)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وجود فروق جوهرية في إدراك أفراد العينة لمتغيرات الدراسة تُعزى لثلاثة متغيرات ديموغرافية </w:t>
      </w:r>
      <w:r w:rsidRPr="00956193">
        <w:rPr>
          <w:rFonts w:ascii="Traditional Arabic" w:hAnsi="Traditional Arabic" w:cs="Traditional Arabic" w:hint="cs"/>
          <w:color w:val="000000" w:themeColor="text1"/>
          <w:sz w:val="24"/>
          <w:szCs w:val="24"/>
          <w:highlight w:val="yellow"/>
          <w:rtl/>
        </w:rPr>
        <w:t>وهي النوع والمؤهل العلمي وسنوات الخبرة وعدم التحقق بناءاً على نوع الوظيفة</w:t>
      </w:r>
      <w:r w:rsidR="00F94893" w:rsidRPr="00956193">
        <w:rPr>
          <w:rFonts w:ascii="Traditional Arabic" w:hAnsi="Traditional Arabic" w:cs="Traditional Arabic" w:hint="cs"/>
          <w:color w:val="000000" w:themeColor="text1"/>
          <w:sz w:val="24"/>
          <w:szCs w:val="24"/>
          <w:highlight w:val="yellow"/>
          <w:rtl/>
        </w:rPr>
        <w:t xml:space="preserve">، </w:t>
      </w:r>
      <w:r w:rsidR="00F94893" w:rsidRPr="00956193">
        <w:rPr>
          <w:rFonts w:ascii="Traditional Arabic" w:hAnsi="Traditional Arabic" w:cs="Traditional Arabic"/>
          <w:color w:val="000000" w:themeColor="text1"/>
          <w:highlight w:val="yellow"/>
          <w:rtl/>
        </w:rPr>
        <w:t>حيث أثبتت نتائج الاختبارات الإحصائية</w:t>
      </w:r>
      <w:r w:rsidR="00F94893" w:rsidRPr="00956193">
        <w:rPr>
          <w:rFonts w:ascii="Traditional Arabic" w:hAnsi="Traditional Arabic" w:cs="Traditional Arabic"/>
          <w:color w:val="000000" w:themeColor="text1"/>
          <w:highlight w:val="yellow"/>
        </w:rPr>
        <w:t xml:space="preserve"> (Independent Samples T-test </w:t>
      </w:r>
      <w:r w:rsidR="00F94893" w:rsidRPr="00956193">
        <w:rPr>
          <w:rFonts w:ascii="Traditional Arabic" w:hAnsi="Traditional Arabic" w:cs="Traditional Arabic"/>
          <w:color w:val="000000" w:themeColor="text1"/>
          <w:highlight w:val="yellow"/>
          <w:rtl/>
        </w:rPr>
        <w:t>و</w:t>
      </w:r>
      <w:r w:rsidR="00F94893" w:rsidRPr="00956193">
        <w:rPr>
          <w:rFonts w:ascii="Traditional Arabic" w:hAnsi="Traditional Arabic" w:cs="Traditional Arabic"/>
          <w:color w:val="000000" w:themeColor="text1"/>
          <w:highlight w:val="yellow"/>
        </w:rPr>
        <w:t xml:space="preserve"> One-Way ANOVA) </w:t>
      </w:r>
      <w:r w:rsidR="00F94893" w:rsidRPr="00956193">
        <w:rPr>
          <w:rFonts w:ascii="Traditional Arabic" w:hAnsi="Traditional Arabic" w:cs="Traditional Arabic"/>
          <w:color w:val="000000" w:themeColor="text1"/>
          <w:highlight w:val="yellow"/>
          <w:rtl/>
        </w:rPr>
        <w:t>وجود فروق ذات دلالة إحصائية في إدراك أفراد العينة لمتغيرات الدراسة تُعزى لثلاثة متغيرات ديموغرافية هي النوع والمؤهل العلمي وسنوات الخبرة، في حين لم تظهر فروق ذات دلالة إحصائية تُعزى لمتغير نوع الوظيفة. وتوضح هذه النتيجة أن الخصائص الفردية والمهنية للعاملين تؤثر بدرجات متفاوتة في مستوى إدراكهم لممارسات إدارة المخاطر وسلامة المرضى، مما يستدعي مراعاة هذه الفروق عند تصميم البرامج التدريبية والإجراءات الإدارية لضمان تحقيق أعلى مستويات الفاعلية في بيئة العمل الصحي</w:t>
      </w:r>
      <w:r w:rsidR="00F94893" w:rsidRPr="00956193">
        <w:rPr>
          <w:rFonts w:ascii="Traditional Arabic" w:hAnsi="Traditional Arabic" w:cs="Traditional Arabic"/>
          <w:color w:val="000000" w:themeColor="text1"/>
          <w:highlight w:val="yellow"/>
        </w:rPr>
        <w:t>.</w:t>
      </w:r>
    </w:p>
    <w:p w14:paraId="7FDBC214" w14:textId="0E5900D9" w:rsidR="00D42EB1" w:rsidRPr="00956193" w:rsidRDefault="00F94893" w:rsidP="00440B9A">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t>ويشير</w:t>
      </w:r>
      <w:r w:rsidR="00440B9A" w:rsidRPr="00956193">
        <w:rPr>
          <w:rFonts w:ascii="Traditional Arabic" w:hAnsi="Traditional Arabic" w:cs="Traditional Arabic"/>
          <w:color w:val="000000" w:themeColor="text1"/>
          <w:sz w:val="24"/>
          <w:szCs w:val="24"/>
          <w:highlight w:val="yellow"/>
          <w:rtl/>
        </w:rPr>
        <w:t xml:space="preserve"> إلى وجود فروق ذات دلالة إحصائية في إدراك أفراد العينة لمتغيرات الدراسة تُعزى إلى متغير النوع (الجنس)، حيث بلغت قيمة ت المحسوبة</w:t>
      </w:r>
      <w:r w:rsidR="00440B9A" w:rsidRPr="00956193">
        <w:rPr>
          <w:rFonts w:ascii="Traditional Arabic" w:hAnsi="Traditional Arabic" w:cs="Traditional Arabic"/>
          <w:color w:val="000000" w:themeColor="text1"/>
          <w:sz w:val="24"/>
          <w:szCs w:val="24"/>
          <w:highlight w:val="yellow"/>
        </w:rPr>
        <w:t xml:space="preserve"> (t = 2.14) </w:t>
      </w:r>
      <w:r w:rsidR="00440B9A" w:rsidRPr="00956193">
        <w:rPr>
          <w:rFonts w:ascii="Traditional Arabic" w:hAnsi="Traditional Arabic" w:cs="Traditional Arabic"/>
          <w:color w:val="000000" w:themeColor="text1"/>
          <w:sz w:val="24"/>
          <w:szCs w:val="24"/>
          <w:highlight w:val="yellow"/>
          <w:rtl/>
        </w:rPr>
        <w:t>عند درجة حرية</w:t>
      </w:r>
      <w:r w:rsidR="00440B9A" w:rsidRPr="00956193">
        <w:rPr>
          <w:rFonts w:ascii="Traditional Arabic" w:hAnsi="Traditional Arabic" w:cs="Traditional Arabic"/>
          <w:color w:val="000000" w:themeColor="text1"/>
          <w:sz w:val="24"/>
          <w:szCs w:val="24"/>
          <w:highlight w:val="yellow"/>
        </w:rPr>
        <w:t xml:space="preserve"> (df = 387)</w:t>
      </w:r>
      <w:r w:rsidR="00440B9A" w:rsidRPr="00956193">
        <w:rPr>
          <w:rFonts w:ascii="Traditional Arabic" w:hAnsi="Traditional Arabic" w:cs="Traditional Arabic"/>
          <w:color w:val="000000" w:themeColor="text1"/>
          <w:sz w:val="24"/>
          <w:szCs w:val="24"/>
          <w:highlight w:val="yellow"/>
          <w:rtl/>
        </w:rPr>
        <w:t>، وكانت دالة إحصائياً عند مستوى معنوية</w:t>
      </w:r>
      <w:r w:rsidR="00440B9A" w:rsidRPr="00956193">
        <w:rPr>
          <w:rFonts w:ascii="Traditional Arabic" w:hAnsi="Traditional Arabic" w:cs="Traditional Arabic"/>
          <w:color w:val="000000" w:themeColor="text1"/>
          <w:sz w:val="24"/>
          <w:szCs w:val="24"/>
          <w:highlight w:val="yellow"/>
        </w:rPr>
        <w:t xml:space="preserve"> (Sig. = 0.034) </w:t>
      </w:r>
      <w:r w:rsidR="00440B9A" w:rsidRPr="00956193">
        <w:rPr>
          <w:rFonts w:ascii="Traditional Arabic" w:hAnsi="Traditional Arabic" w:cs="Traditional Arabic"/>
          <w:color w:val="000000" w:themeColor="text1"/>
          <w:sz w:val="24"/>
          <w:szCs w:val="24"/>
          <w:highlight w:val="yellow"/>
          <w:rtl/>
        </w:rPr>
        <w:t>وهو أقل من (0.05). كما أظهرت النتائج وجود فروق ذات دلالة إحصائية تعزى للمؤهل العلمي، حيث بلغت قيمة ف المحسوبة</w:t>
      </w:r>
      <w:r w:rsidR="00440B9A" w:rsidRPr="00956193">
        <w:rPr>
          <w:rFonts w:ascii="Traditional Arabic" w:hAnsi="Traditional Arabic" w:cs="Traditional Arabic"/>
          <w:color w:val="000000" w:themeColor="text1"/>
          <w:sz w:val="24"/>
          <w:szCs w:val="24"/>
          <w:highlight w:val="yellow"/>
        </w:rPr>
        <w:t xml:space="preserve"> (F = 6.34) </w:t>
      </w:r>
      <w:r w:rsidR="00440B9A" w:rsidRPr="00956193">
        <w:rPr>
          <w:rFonts w:ascii="Traditional Arabic" w:hAnsi="Traditional Arabic" w:cs="Traditional Arabic"/>
          <w:color w:val="000000" w:themeColor="text1"/>
          <w:sz w:val="24"/>
          <w:szCs w:val="24"/>
          <w:highlight w:val="yellow"/>
          <w:rtl/>
        </w:rPr>
        <w:t>بمستوى دلالة</w:t>
      </w:r>
      <w:r w:rsidR="00440B9A" w:rsidRPr="00956193">
        <w:rPr>
          <w:rFonts w:ascii="Traditional Arabic" w:hAnsi="Traditional Arabic" w:cs="Traditional Arabic"/>
          <w:color w:val="000000" w:themeColor="text1"/>
          <w:sz w:val="24"/>
          <w:szCs w:val="24"/>
          <w:highlight w:val="yellow"/>
        </w:rPr>
        <w:t xml:space="preserve"> (Sig. = 0.002)</w:t>
      </w:r>
      <w:r w:rsidR="00440B9A" w:rsidRPr="00956193">
        <w:rPr>
          <w:rFonts w:ascii="Traditional Arabic" w:hAnsi="Traditional Arabic" w:cs="Traditional Arabic"/>
          <w:color w:val="000000" w:themeColor="text1"/>
          <w:sz w:val="24"/>
          <w:szCs w:val="24"/>
          <w:highlight w:val="yellow"/>
          <w:rtl/>
        </w:rPr>
        <w:t>، وتبين أن الفروق لصالح الحاصلين على الدراسات العليا. في المقابل، لم تظهر فروق ذات دلالة إحصائية تعزى لنوع الوظيفة، إذ بلغت قيمة ف المحسوبة</w:t>
      </w:r>
      <w:r w:rsidR="00440B9A" w:rsidRPr="00956193">
        <w:rPr>
          <w:rFonts w:ascii="Traditional Arabic" w:hAnsi="Traditional Arabic" w:cs="Traditional Arabic"/>
          <w:color w:val="000000" w:themeColor="text1"/>
          <w:sz w:val="24"/>
          <w:szCs w:val="24"/>
          <w:highlight w:val="yellow"/>
        </w:rPr>
        <w:t xml:space="preserve"> (F = 1.70) </w:t>
      </w:r>
      <w:r w:rsidR="00440B9A" w:rsidRPr="00956193">
        <w:rPr>
          <w:rFonts w:ascii="Traditional Arabic" w:hAnsi="Traditional Arabic" w:cs="Traditional Arabic"/>
          <w:color w:val="000000" w:themeColor="text1"/>
          <w:sz w:val="24"/>
          <w:szCs w:val="24"/>
          <w:highlight w:val="yellow"/>
          <w:rtl/>
        </w:rPr>
        <w:t>بمستوى دلالة</w:t>
      </w:r>
      <w:r w:rsidR="00440B9A" w:rsidRPr="00956193">
        <w:rPr>
          <w:rFonts w:ascii="Traditional Arabic" w:hAnsi="Traditional Arabic" w:cs="Traditional Arabic"/>
          <w:color w:val="000000" w:themeColor="text1"/>
          <w:sz w:val="24"/>
          <w:szCs w:val="24"/>
          <w:highlight w:val="yellow"/>
        </w:rPr>
        <w:t xml:space="preserve"> (Sig. = 0.166) </w:t>
      </w:r>
      <w:r w:rsidR="00440B9A" w:rsidRPr="00956193">
        <w:rPr>
          <w:rFonts w:ascii="Traditional Arabic" w:hAnsi="Traditional Arabic" w:cs="Traditional Arabic"/>
          <w:color w:val="000000" w:themeColor="text1"/>
          <w:sz w:val="24"/>
          <w:szCs w:val="24"/>
          <w:highlight w:val="yellow"/>
          <w:rtl/>
        </w:rPr>
        <w:t>وهو أكبر من (0.05)، مما يشير إلى تقارب التقييم بين مختلف المسميات الوظيفية. كذلك، تبيّن وجود فروق ذات دلالة إحصائية عالية تعزى لسنوات الخبرة، حيث بلغت قيمة ف المحسوبة</w:t>
      </w:r>
      <w:r w:rsidR="00440B9A" w:rsidRPr="00956193">
        <w:rPr>
          <w:rFonts w:ascii="Traditional Arabic" w:hAnsi="Traditional Arabic" w:cs="Traditional Arabic"/>
          <w:color w:val="000000" w:themeColor="text1"/>
          <w:sz w:val="24"/>
          <w:szCs w:val="24"/>
          <w:highlight w:val="yellow"/>
        </w:rPr>
        <w:t xml:space="preserve"> (F = 11.14) </w:t>
      </w:r>
      <w:r w:rsidR="00440B9A" w:rsidRPr="00956193">
        <w:rPr>
          <w:rFonts w:ascii="Traditional Arabic" w:hAnsi="Traditional Arabic" w:cs="Traditional Arabic"/>
          <w:color w:val="000000" w:themeColor="text1"/>
          <w:sz w:val="24"/>
          <w:szCs w:val="24"/>
          <w:highlight w:val="yellow"/>
          <w:rtl/>
        </w:rPr>
        <w:t>بمستوى دلالة</w:t>
      </w:r>
      <w:r w:rsidR="00440B9A" w:rsidRPr="00956193">
        <w:rPr>
          <w:rFonts w:ascii="Traditional Arabic" w:hAnsi="Traditional Arabic" w:cs="Traditional Arabic"/>
          <w:color w:val="000000" w:themeColor="text1"/>
          <w:sz w:val="24"/>
          <w:szCs w:val="24"/>
          <w:highlight w:val="yellow"/>
        </w:rPr>
        <w:t xml:space="preserve"> (Sig. = 0.000)</w:t>
      </w:r>
      <w:r w:rsidR="00440B9A" w:rsidRPr="00956193">
        <w:rPr>
          <w:rFonts w:ascii="Traditional Arabic" w:hAnsi="Traditional Arabic" w:cs="Traditional Arabic"/>
          <w:color w:val="000000" w:themeColor="text1"/>
          <w:sz w:val="24"/>
          <w:szCs w:val="24"/>
          <w:highlight w:val="yellow"/>
          <w:rtl/>
        </w:rPr>
        <w:t>، وكانت الفروق لصالح الفئات الأكثر خبرة من (5 إلى أقل من 10 سنوات فأكثر). وبناءً على هذه النتائج، تُقبل الفرضية الرئيسية الخامسة جزئياً، إذ ثبت وجود فروق ذات دلالة إحصائية تعزى للنوع، المؤهل العلمي، وسنوات الخبرة، بينما لم يثبت وجود فروق تعزى لنوع الوظيفة</w:t>
      </w:r>
      <w:r w:rsidR="00440B9A" w:rsidRPr="00956193">
        <w:rPr>
          <w:rFonts w:ascii="Traditional Arabic" w:hAnsi="Traditional Arabic" w:cs="Traditional Arabic"/>
          <w:color w:val="000000" w:themeColor="text1"/>
          <w:sz w:val="24"/>
          <w:szCs w:val="24"/>
          <w:highlight w:val="yellow"/>
        </w:rPr>
        <w:t>.</w:t>
      </w:r>
    </w:p>
    <w:p w14:paraId="343E733B" w14:textId="56B83B79" w:rsidR="00E26251" w:rsidRPr="00956193" w:rsidRDefault="00E26251" w:rsidP="00440B9A">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 xml:space="preserve">كما توضح الفرضية الخامسة أن القيادة التحويلية تُعزز أثر ممارسات إدارة المخاطر على سلامة المرضى، وهو ما تدعمه عدة دراسات سابقة؛ فدراسة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حسين (٢٠٢٠</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أكدت أن القيادة التحويلية تُعد مدخلًا استراتيجيًا لتحسين الأداء المؤسسي في المنظمات الصحية </w:t>
      </w:r>
      <w:r w:rsidRPr="00956193">
        <w:rPr>
          <w:rFonts w:ascii="Traditional Arabic" w:hAnsi="Traditional Arabic" w:cs="Traditional Arabic"/>
          <w:color w:val="000000" w:themeColor="text1"/>
          <w:sz w:val="24"/>
          <w:szCs w:val="24"/>
          <w:highlight w:val="yellow"/>
          <w:rtl/>
        </w:rPr>
        <w:lastRenderedPageBreak/>
        <w:t xml:space="preserve">بما ينعكس على تعزيز سلامة المرضى، بينما أوضحت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الغامدي وعثمان (٢٠٢٢</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تزيد من قدرة المستشفيات على إدارة الأزمات الصحية بكفاءة، مما يقوي دور إدارة المخاطر في تقليل الأخطاء الطبية. كما بينت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آل مرزوق (٢٠٢٣</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تسهم في تحقيق الاستدامة الاستراتيجية في وزارة الصحة، وهو ما يعزز العلاقة بين إدارة المخاطر ونتائج السلامة، وأكدت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البركاني (٢٠٢٥</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تعزز فاعلية اتخاذ القرارات الإدارية داخل المستشفيات بما ينعكس على تحسين سلامة المرضى. وأخيرًا، أوضحت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أماني محمد وآخرين (٢٠٢٥</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ترتبط بالعدالة التنظيمية والسلوكيات الإيجابية للعاملين، وهو ما يدعم بيئة عمل آمنة ويقوي أثر إدارة المخاطر على سلامة المرضى.</w:t>
      </w:r>
    </w:p>
    <w:p w14:paraId="49EDCD79" w14:textId="6409F44F" w:rsidR="005529B0" w:rsidRPr="00956193" w:rsidRDefault="005529B0" w:rsidP="00440B9A">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 xml:space="preserve">كما تدعم هذه النتائج توصيات </w:t>
      </w:r>
      <w:r w:rsidRPr="00956193">
        <w:rPr>
          <w:rFonts w:ascii="Traditional Arabic" w:hAnsi="Traditional Arabic" w:cs="Traditional Arabic"/>
          <w:color w:val="000000" w:themeColor="text1"/>
          <w:sz w:val="24"/>
          <w:szCs w:val="24"/>
          <w:highlight w:val="yellow"/>
        </w:rPr>
        <w:t xml:space="preserve">WHO (2023, 2024)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التي ركزت على أن القيادة التحويلية ترفع الالتزام بمعايير السلامة العالمية، ومع ما ورد في </w:t>
      </w:r>
      <w:r w:rsidRPr="00956193">
        <w:rPr>
          <w:rFonts w:ascii="Traditional Arabic" w:hAnsi="Traditional Arabic" w:cs="Traditional Arabic"/>
          <w:color w:val="000000" w:themeColor="text1"/>
          <w:sz w:val="24"/>
          <w:szCs w:val="24"/>
          <w:highlight w:val="yellow"/>
        </w:rPr>
        <w:t xml:space="preserve">HealthySimulation (2024)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من أن التدريب المبني على القيادة التحويلية يقلل الأخطاء الطبية ويحسن الأداء، وكذلك مع تقرير الهيئة السعودية للتخصصات الصحية (٢٠٢٥) الذي أكد أن القيادة التحويلية تعزز كفاءة الكوادر الصحية. وفي السياق ذاته، تتشابه النتائج مع دراسة فاتن خليل (٢٠١٨) التي أوضحت أن القيادة التحويلية تسهم في تحسين الأداء المؤسسي، ومع دراسة حسين (٢٠١٩) التي أكدت على دور القيادة في تعزيز فعالية إدارة الأزمات، ومع دراسة الغامدي وعثمان (٢٠٢٣) التي أبرزت أثر القيادة التحويلية في رفع مستوى جودة الخدمات الصحية، وأيضًا مع دراسة عفيفي وآلاء (٢٠٢٤) التي بينت وجود ارتباط بين القيادة التحويلية وإدارة المخاطر في المستشفيات</w:t>
      </w:r>
      <w:r w:rsidRPr="00956193">
        <w:rPr>
          <w:rFonts w:ascii="Traditional Arabic" w:hAnsi="Traditional Arabic" w:cs="Traditional Arabic"/>
          <w:color w:val="000000" w:themeColor="text1"/>
          <w:sz w:val="24"/>
          <w:szCs w:val="24"/>
          <w:highlight w:val="yellow"/>
        </w:rPr>
        <w:t>.</w:t>
      </w:r>
    </w:p>
    <w:p w14:paraId="42F0649D" w14:textId="6B231CDF" w:rsidR="005529B0" w:rsidRPr="00956193" w:rsidRDefault="005529B0" w:rsidP="00440B9A">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color w:val="000000" w:themeColor="text1"/>
          <w:sz w:val="24"/>
          <w:szCs w:val="24"/>
          <w:highlight w:val="yellow"/>
          <w:rtl/>
        </w:rPr>
        <w:t xml:space="preserve">إضافة إلى ذلك، تتفق النتائج مع دراسات دولية مثل </w:t>
      </w:r>
      <w:r w:rsidRPr="00956193">
        <w:rPr>
          <w:rFonts w:ascii="Traditional Arabic" w:hAnsi="Traditional Arabic" w:cs="Traditional Arabic"/>
          <w:color w:val="000000" w:themeColor="text1"/>
          <w:sz w:val="24"/>
          <w:szCs w:val="24"/>
          <w:highlight w:val="yellow"/>
        </w:rPr>
        <w:t xml:space="preserve">Purwanto et al. (2020) </w:t>
      </w:r>
      <w:r w:rsidR="00440B9A"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التي أوضحت أن القيادة التحويلية ترتبط إيجابياً برضا العاملين، ومع دراسة </w:t>
      </w:r>
      <w:r w:rsidRPr="00956193">
        <w:rPr>
          <w:rFonts w:ascii="Traditional Arabic" w:hAnsi="Traditional Arabic" w:cs="Traditional Arabic"/>
          <w:color w:val="000000" w:themeColor="text1"/>
          <w:sz w:val="24"/>
          <w:szCs w:val="24"/>
          <w:highlight w:val="yellow"/>
        </w:rPr>
        <w:t xml:space="preserve">Badriyah Putri Jannah (2024) </w:t>
      </w:r>
      <w:r w:rsidRPr="00956193">
        <w:rPr>
          <w:rFonts w:ascii="Traditional Arabic" w:hAnsi="Traditional Arabic" w:cs="Traditional Arabic"/>
          <w:color w:val="000000" w:themeColor="text1"/>
          <w:sz w:val="24"/>
          <w:szCs w:val="24"/>
          <w:highlight w:val="yellow"/>
          <w:rtl/>
        </w:rPr>
        <w:t xml:space="preserve">التي أكدت على دور القيادة في تعزيز ثقافة السلامة، وكذلك مع دراسة </w:t>
      </w:r>
      <w:r w:rsidRPr="00956193">
        <w:rPr>
          <w:rFonts w:ascii="Traditional Arabic" w:hAnsi="Traditional Arabic" w:cs="Traditional Arabic"/>
          <w:color w:val="000000" w:themeColor="text1"/>
          <w:sz w:val="24"/>
          <w:szCs w:val="24"/>
          <w:highlight w:val="yellow"/>
        </w:rPr>
        <w:t xml:space="preserve">Stöcker et al. (2023) </w:t>
      </w:r>
      <w:r w:rsidRPr="00956193">
        <w:rPr>
          <w:rFonts w:ascii="Traditional Arabic" w:hAnsi="Traditional Arabic" w:cs="Traditional Arabic"/>
          <w:color w:val="000000" w:themeColor="text1"/>
          <w:sz w:val="24"/>
          <w:szCs w:val="24"/>
          <w:highlight w:val="yellow"/>
          <w:rtl/>
        </w:rPr>
        <w:t xml:space="preserve">التي أبرزت أثر القيادة في تحسين إدارة المعرفة، ومع دراسة </w:t>
      </w:r>
      <w:r w:rsidRPr="00956193">
        <w:rPr>
          <w:rFonts w:ascii="Traditional Arabic" w:hAnsi="Traditional Arabic" w:cs="Traditional Arabic"/>
          <w:color w:val="000000" w:themeColor="text1"/>
          <w:sz w:val="24"/>
          <w:szCs w:val="24"/>
          <w:highlight w:val="yellow"/>
        </w:rPr>
        <w:t xml:space="preserve">Hassan Alabdullah &amp; Waldemar Karwowski (2024) </w:t>
      </w:r>
      <w:r w:rsidRPr="00956193">
        <w:rPr>
          <w:rFonts w:ascii="Traditional Arabic" w:hAnsi="Traditional Arabic" w:cs="Traditional Arabic"/>
          <w:color w:val="000000" w:themeColor="text1"/>
          <w:sz w:val="24"/>
          <w:szCs w:val="24"/>
          <w:highlight w:val="yellow"/>
          <w:rtl/>
        </w:rPr>
        <w:t>التي أوضحت أن القيادة التحويلية تعزز من كفاءة الكوادر الصحية. وفي المقابل، تختلف هذه النتائج مع بعض الدراسات مثل تقرير وزارة الصحة المصرية (٢٠٢٣) الذي ركز على البنية التحتية والعوامل التنظيمية أكثر من القيادة التحويلية، وكذلك مع القمة الوزارية العالمية لسلامة المرضى</w:t>
      </w:r>
      <w:r w:rsidRPr="00956193">
        <w:rPr>
          <w:rFonts w:ascii="Traditional Arabic" w:hAnsi="Traditional Arabic" w:cs="Traditional Arabic"/>
          <w:color w:val="000000" w:themeColor="text1"/>
          <w:sz w:val="24"/>
          <w:szCs w:val="24"/>
          <w:highlight w:val="yellow"/>
        </w:rPr>
        <w:t xml:space="preserve"> (2023) </w:t>
      </w:r>
      <w:r w:rsidRPr="00956193">
        <w:rPr>
          <w:rFonts w:ascii="Traditional Arabic" w:hAnsi="Traditional Arabic" w:cs="Traditional Arabic"/>
          <w:color w:val="000000" w:themeColor="text1"/>
          <w:sz w:val="24"/>
          <w:szCs w:val="24"/>
          <w:highlight w:val="yellow"/>
          <w:rtl/>
        </w:rPr>
        <w:t>التي تناولت التحديات العالمية مثل التمويل والسياسات الصحية دون التركيز المباشر على القيادة</w:t>
      </w:r>
      <w:r w:rsidRPr="00956193">
        <w:rPr>
          <w:rFonts w:ascii="Traditional Arabic" w:hAnsi="Traditional Arabic" w:cs="Traditional Arabic"/>
          <w:color w:val="000000" w:themeColor="text1"/>
          <w:sz w:val="24"/>
          <w:szCs w:val="24"/>
          <w:highlight w:val="yellow"/>
        </w:rPr>
        <w:t>.</w:t>
      </w:r>
    </w:p>
    <w:p w14:paraId="7CEDF79E" w14:textId="77777777" w:rsidR="005A1F9B" w:rsidRPr="00956193" w:rsidRDefault="005A1F9B" w:rsidP="005A1F9B">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hint="cs"/>
          <w:color w:val="000000" w:themeColor="text1"/>
          <w:sz w:val="24"/>
          <w:szCs w:val="24"/>
          <w:highlight w:val="yellow"/>
          <w:rtl/>
        </w:rPr>
        <w:t>تتشابه نتائج الدراسة الحالية مع نتائج دراسة ريم وحسن</w:t>
      </w:r>
      <w:r w:rsidRPr="00956193">
        <w:rPr>
          <w:rFonts w:ascii="Traditional Arabic" w:hAnsi="Traditional Arabic" w:cs="Traditional Arabic" w:hint="cs"/>
          <w:color w:val="000000" w:themeColor="text1"/>
          <w:sz w:val="24"/>
          <w:szCs w:val="24"/>
          <w:highlight w:val="yellow"/>
        </w:rPr>
        <w:t xml:space="preserve"> (2020) </w:t>
      </w:r>
      <w:r w:rsidRPr="00956193">
        <w:rPr>
          <w:rFonts w:ascii="Traditional Arabic" w:hAnsi="Traditional Arabic" w:cs="Traditional Arabic" w:hint="cs"/>
          <w:color w:val="000000" w:themeColor="text1"/>
          <w:sz w:val="24"/>
          <w:szCs w:val="24"/>
          <w:highlight w:val="yellow"/>
          <w:rtl/>
        </w:rPr>
        <w:t>التي أكدت أن القيادة التحويلية تسهم في تحسين بيئة العمل وزيادة التزام العاملين، كما تتشابه مع نتائج دراسة آلاء أحمد ومحمد عفيفي</w:t>
      </w:r>
      <w:r w:rsidRPr="00956193">
        <w:rPr>
          <w:rFonts w:ascii="Traditional Arabic" w:hAnsi="Traditional Arabic" w:cs="Traditional Arabic" w:hint="cs"/>
          <w:color w:val="000000" w:themeColor="text1"/>
          <w:sz w:val="24"/>
          <w:szCs w:val="24"/>
          <w:highlight w:val="yellow"/>
        </w:rPr>
        <w:t xml:space="preserve"> (2021) </w:t>
      </w:r>
      <w:r w:rsidRPr="00956193">
        <w:rPr>
          <w:rFonts w:ascii="Traditional Arabic" w:hAnsi="Traditional Arabic" w:cs="Traditional Arabic" w:hint="cs"/>
          <w:color w:val="000000" w:themeColor="text1"/>
          <w:sz w:val="24"/>
          <w:szCs w:val="24"/>
          <w:highlight w:val="yellow"/>
          <w:rtl/>
        </w:rPr>
        <w:t>التي أوضحت وجود ارتباط إيجابي بين القيادة التحويلية وإدارة المخاطر في المستشفيات. ويظهر التشابه أيضاً مع دراسة نعيمة القصير</w:t>
      </w:r>
      <w:r w:rsidRPr="00956193">
        <w:rPr>
          <w:rFonts w:ascii="Traditional Arabic" w:hAnsi="Traditional Arabic" w:cs="Traditional Arabic" w:hint="cs"/>
          <w:color w:val="000000" w:themeColor="text1"/>
          <w:sz w:val="24"/>
          <w:szCs w:val="24"/>
          <w:highlight w:val="yellow"/>
        </w:rPr>
        <w:t xml:space="preserve"> (2022) </w:t>
      </w:r>
      <w:r w:rsidRPr="00956193">
        <w:rPr>
          <w:rFonts w:ascii="Traditional Arabic" w:hAnsi="Traditional Arabic" w:cs="Traditional Arabic" w:hint="cs"/>
          <w:color w:val="000000" w:themeColor="text1"/>
          <w:sz w:val="24"/>
          <w:szCs w:val="24"/>
          <w:highlight w:val="yellow"/>
          <w:rtl/>
        </w:rPr>
        <w:t>التي شددت على أهمية القيادة التحويلية في تعزيز ثقافة السلامة، ومع تقرير المركز السعودي لسلامة المرضى</w:t>
      </w:r>
      <w:r w:rsidRPr="00956193">
        <w:rPr>
          <w:rFonts w:ascii="Traditional Arabic" w:hAnsi="Traditional Arabic" w:cs="Traditional Arabic" w:hint="cs"/>
          <w:color w:val="000000" w:themeColor="text1"/>
          <w:sz w:val="24"/>
          <w:szCs w:val="24"/>
          <w:highlight w:val="yellow"/>
        </w:rPr>
        <w:t xml:space="preserve"> (2022) </w:t>
      </w:r>
      <w:r w:rsidRPr="00956193">
        <w:rPr>
          <w:rFonts w:ascii="Traditional Arabic" w:hAnsi="Traditional Arabic" w:cs="Traditional Arabic" w:hint="cs"/>
          <w:color w:val="000000" w:themeColor="text1"/>
          <w:sz w:val="24"/>
          <w:szCs w:val="24"/>
          <w:highlight w:val="yellow"/>
          <w:rtl/>
        </w:rPr>
        <w:t xml:space="preserve">الذي أبرز دور القيادة التحويلية في برامج تحسين الجودة. كما تتفق النتائج مع توصيات منظمة الصحة العالمية( </w:t>
      </w:r>
      <w:r w:rsidRPr="00956193">
        <w:rPr>
          <w:rFonts w:ascii="Traditional Arabic" w:hAnsi="Traditional Arabic" w:cs="Traditional Arabic" w:hint="cs"/>
          <w:color w:val="000000" w:themeColor="text1"/>
          <w:sz w:val="24"/>
          <w:szCs w:val="24"/>
          <w:highlight w:val="yellow"/>
        </w:rPr>
        <w:t xml:space="preserve"> 2023</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hint="cs"/>
          <w:color w:val="000000" w:themeColor="text1"/>
          <w:sz w:val="24"/>
          <w:szCs w:val="24"/>
          <w:highlight w:val="yellow"/>
        </w:rPr>
        <w:t>2024</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hint="cs"/>
          <w:color w:val="000000" w:themeColor="text1"/>
          <w:sz w:val="24"/>
          <w:szCs w:val="24"/>
          <w:highlight w:val="yellow"/>
        </w:rPr>
        <w:t xml:space="preserve"> </w:t>
      </w:r>
      <w:r w:rsidRPr="00956193">
        <w:rPr>
          <w:rFonts w:ascii="Traditional Arabic" w:hAnsi="Traditional Arabic" w:cs="Traditional Arabic" w:hint="cs"/>
          <w:color w:val="000000" w:themeColor="text1"/>
          <w:sz w:val="24"/>
          <w:szCs w:val="24"/>
          <w:highlight w:val="yellow"/>
          <w:rtl/>
        </w:rPr>
        <w:t xml:space="preserve">التي ركزت على أن القيادة التحويلية ترفع الالتزام بمعايير السلامة العالمية، </w:t>
      </w:r>
      <w:r w:rsidRPr="00956193">
        <w:rPr>
          <w:rFonts w:ascii="Traditional Arabic" w:hAnsi="Traditional Arabic" w:cs="Traditional Arabic" w:hint="cs"/>
          <w:color w:val="000000" w:themeColor="text1"/>
          <w:sz w:val="24"/>
          <w:szCs w:val="24"/>
          <w:highlight w:val="yellow"/>
          <w:rtl/>
        </w:rPr>
        <w:lastRenderedPageBreak/>
        <w:t xml:space="preserve">ومع ما ورد في </w:t>
      </w:r>
      <w:r w:rsidRPr="00956193">
        <w:rPr>
          <w:rFonts w:ascii="Traditional Arabic" w:hAnsi="Traditional Arabic" w:cs="Traditional Arabic" w:hint="cs"/>
          <w:color w:val="000000" w:themeColor="text1"/>
          <w:sz w:val="24"/>
          <w:szCs w:val="24"/>
          <w:highlight w:val="yellow"/>
        </w:rPr>
        <w:t xml:space="preserve">HealthySimulation (2024) </w:t>
      </w:r>
      <w:r w:rsidRPr="00956193">
        <w:rPr>
          <w:rFonts w:ascii="Traditional Arabic" w:hAnsi="Traditional Arabic" w:cs="Traditional Arabic" w:hint="cs"/>
          <w:color w:val="000000" w:themeColor="text1"/>
          <w:sz w:val="24"/>
          <w:szCs w:val="24"/>
          <w:highlight w:val="yellow"/>
          <w:rtl/>
        </w:rPr>
        <w:t xml:space="preserve"> من أن التدريب المبني على القيادة التحويلية يقلل الأخطاء الطبية ويحسن الأداء، وكذلك مع تقرير الهيئة السعودية للتخصصات الصحية</w:t>
      </w:r>
      <w:r w:rsidRPr="00956193">
        <w:rPr>
          <w:rFonts w:ascii="Traditional Arabic" w:hAnsi="Traditional Arabic" w:cs="Traditional Arabic" w:hint="cs"/>
          <w:color w:val="000000" w:themeColor="text1"/>
          <w:sz w:val="24"/>
          <w:szCs w:val="24"/>
          <w:highlight w:val="yellow"/>
        </w:rPr>
        <w:t xml:space="preserve"> (2025) </w:t>
      </w:r>
      <w:r w:rsidRPr="00956193">
        <w:rPr>
          <w:rFonts w:ascii="Traditional Arabic" w:hAnsi="Traditional Arabic" w:cs="Traditional Arabic" w:hint="cs"/>
          <w:color w:val="000000" w:themeColor="text1"/>
          <w:sz w:val="24"/>
          <w:szCs w:val="24"/>
          <w:highlight w:val="yellow"/>
          <w:rtl/>
        </w:rPr>
        <w:t>الذي أكد أن القيادة التحويلية تعزز كفاءة الكوادر الصحية</w:t>
      </w:r>
      <w:r w:rsidRPr="00956193">
        <w:rPr>
          <w:rFonts w:ascii="Traditional Arabic" w:hAnsi="Traditional Arabic" w:cs="Traditional Arabic" w:hint="cs"/>
          <w:color w:val="000000" w:themeColor="text1"/>
          <w:sz w:val="24"/>
          <w:szCs w:val="24"/>
          <w:highlight w:val="yellow"/>
        </w:rPr>
        <w:t>.</w:t>
      </w:r>
    </w:p>
    <w:p w14:paraId="50415DCF" w14:textId="77777777" w:rsidR="005A1F9B" w:rsidRPr="00956193" w:rsidRDefault="005A1F9B" w:rsidP="005A1F9B">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t>وفي المقابل، تختلف نتائج هذه الدراسة مع ما ورد في تقرير وزارة الصحة المصرية</w:t>
      </w:r>
      <w:r w:rsidRPr="00956193">
        <w:rPr>
          <w:rFonts w:ascii="Traditional Arabic" w:hAnsi="Traditional Arabic" w:cs="Traditional Arabic" w:hint="cs"/>
          <w:color w:val="000000" w:themeColor="text1"/>
          <w:sz w:val="24"/>
          <w:szCs w:val="24"/>
          <w:highlight w:val="yellow"/>
        </w:rPr>
        <w:t xml:space="preserve">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hint="cs"/>
          <w:color w:val="000000" w:themeColor="text1"/>
          <w:sz w:val="24"/>
          <w:szCs w:val="24"/>
          <w:highlight w:val="yellow"/>
        </w:rPr>
        <w:t xml:space="preserve">(2023) </w:t>
      </w:r>
      <w:r w:rsidRPr="00956193">
        <w:rPr>
          <w:rFonts w:ascii="Traditional Arabic" w:hAnsi="Traditional Arabic" w:cs="Traditional Arabic" w:hint="cs"/>
          <w:color w:val="000000" w:themeColor="text1"/>
          <w:sz w:val="24"/>
          <w:szCs w:val="24"/>
          <w:highlight w:val="yellow"/>
          <w:rtl/>
        </w:rPr>
        <w:t xml:space="preserve"> الذي ركز على العوامل التنظيمية والبنية التحتية أكثر من القيادة التحويلية، كما تختلف مع مخرجات القمة الوزارية العالمية لسلامة المرضى</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تناولت التحديات العالمية مثل التمويل والسياسات الصحية دون التركيز المباشر على القيادة التحويلية</w:t>
      </w:r>
      <w:r w:rsidRPr="00956193">
        <w:rPr>
          <w:rFonts w:ascii="Traditional Arabic" w:hAnsi="Traditional Arabic" w:cs="Traditional Arabic" w:hint="cs"/>
          <w:color w:val="000000" w:themeColor="text1"/>
          <w:sz w:val="24"/>
          <w:szCs w:val="24"/>
          <w:highlight w:val="yellow"/>
        </w:rPr>
        <w:t>.</w:t>
      </w:r>
    </w:p>
    <w:p w14:paraId="76B8C050" w14:textId="77777777" w:rsidR="005A1F9B" w:rsidRPr="00956193" w:rsidRDefault="005A1F9B" w:rsidP="005A1F9B">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lang w:bidi="ar-EG"/>
        </w:rPr>
        <w:t xml:space="preserve">كما </w:t>
      </w:r>
      <w:r w:rsidRPr="00956193">
        <w:rPr>
          <w:rFonts w:ascii="Traditional Arabic" w:hAnsi="Traditional Arabic" w:cs="Traditional Arabic" w:hint="cs"/>
          <w:color w:val="000000" w:themeColor="text1"/>
          <w:sz w:val="24"/>
          <w:szCs w:val="24"/>
          <w:highlight w:val="yellow"/>
          <w:rtl/>
        </w:rPr>
        <w:t>تتشابه نتائج الدراسة الحالية مع نتائج دراسة فاتن خليل</w:t>
      </w:r>
      <w:r w:rsidRPr="00956193">
        <w:rPr>
          <w:rFonts w:ascii="Traditional Arabic" w:hAnsi="Traditional Arabic" w:cs="Traditional Arabic" w:hint="cs"/>
          <w:color w:val="000000" w:themeColor="text1"/>
          <w:sz w:val="24"/>
          <w:szCs w:val="24"/>
          <w:highlight w:val="yellow"/>
        </w:rPr>
        <w:t xml:space="preserve"> (2018) </w:t>
      </w:r>
      <w:r w:rsidRPr="00956193">
        <w:rPr>
          <w:rFonts w:ascii="Traditional Arabic" w:hAnsi="Traditional Arabic" w:cs="Traditional Arabic" w:hint="cs"/>
          <w:color w:val="000000" w:themeColor="text1"/>
          <w:sz w:val="24"/>
          <w:szCs w:val="24"/>
          <w:highlight w:val="yellow"/>
          <w:rtl/>
        </w:rPr>
        <w:t>التي أوضحت أن القيادة التحويلية تسهم في تحسين الأداء المؤسسي، ومع دراسة حسين</w:t>
      </w:r>
      <w:r w:rsidRPr="00956193">
        <w:rPr>
          <w:rFonts w:ascii="Traditional Arabic" w:hAnsi="Traditional Arabic" w:cs="Traditional Arabic" w:hint="cs"/>
          <w:color w:val="000000" w:themeColor="text1"/>
          <w:sz w:val="24"/>
          <w:szCs w:val="24"/>
          <w:highlight w:val="yellow"/>
        </w:rPr>
        <w:t xml:space="preserve"> (2019) </w:t>
      </w:r>
      <w:r w:rsidRPr="00956193">
        <w:rPr>
          <w:rFonts w:ascii="Traditional Arabic" w:hAnsi="Traditional Arabic" w:cs="Traditional Arabic" w:hint="cs"/>
          <w:color w:val="000000" w:themeColor="text1"/>
          <w:sz w:val="24"/>
          <w:szCs w:val="24"/>
          <w:highlight w:val="yellow"/>
          <w:rtl/>
        </w:rPr>
        <w:t>التي أكدت على دور القيادة في تعزيز فعالية إدارة الأزمات. كما يظهر التشابه مع دراسة الغامدي وعثمان</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أبرزت أثر القيادة التحويلية في رفع مستوى جودة الخدمات الصحية، ومع دراسة عفيفي وآلاء</w:t>
      </w:r>
      <w:r w:rsidRPr="00956193">
        <w:rPr>
          <w:rFonts w:ascii="Traditional Arabic" w:hAnsi="Traditional Arabic" w:cs="Traditional Arabic" w:hint="cs"/>
          <w:color w:val="000000" w:themeColor="text1"/>
          <w:sz w:val="24"/>
          <w:szCs w:val="24"/>
          <w:highlight w:val="yellow"/>
        </w:rPr>
        <w:t xml:space="preserve"> (2024) </w:t>
      </w:r>
      <w:r w:rsidRPr="00956193">
        <w:rPr>
          <w:rFonts w:ascii="Traditional Arabic" w:hAnsi="Traditional Arabic" w:cs="Traditional Arabic" w:hint="cs"/>
          <w:color w:val="000000" w:themeColor="text1"/>
          <w:sz w:val="24"/>
          <w:szCs w:val="24"/>
          <w:highlight w:val="yellow"/>
          <w:rtl/>
        </w:rPr>
        <w:t>التي بينت وجود ارتباط بين القيادة التحويلية وإدارة المخاطر في المستشفيات</w:t>
      </w:r>
      <w:r w:rsidRPr="00956193">
        <w:rPr>
          <w:rFonts w:ascii="Traditional Arabic" w:hAnsi="Traditional Arabic" w:cs="Traditional Arabic" w:hint="cs"/>
          <w:color w:val="000000" w:themeColor="text1"/>
          <w:sz w:val="24"/>
          <w:szCs w:val="24"/>
          <w:highlight w:val="yellow"/>
        </w:rPr>
        <w:t>.</w:t>
      </w:r>
    </w:p>
    <w:p w14:paraId="0373E374" w14:textId="57E72DB7" w:rsidR="005A1F9B" w:rsidRPr="0044090C" w:rsidRDefault="005A1F9B" w:rsidP="00F70672">
      <w:pPr>
        <w:bidi/>
        <w:spacing w:after="200" w:line="360" w:lineRule="auto"/>
        <w:ind w:firstLine="720"/>
        <w:jc w:val="both"/>
        <w:rPr>
          <w:rFonts w:ascii="Traditional Arabic" w:hAnsi="Traditional Arabic" w:cs="Traditional Arabic"/>
          <w:color w:val="000000" w:themeColor="text1"/>
          <w:sz w:val="24"/>
          <w:szCs w:val="24"/>
          <w:rtl/>
        </w:rPr>
      </w:pPr>
      <w:r w:rsidRPr="00956193">
        <w:rPr>
          <w:rFonts w:ascii="Traditional Arabic" w:hAnsi="Traditional Arabic" w:cs="Traditional Arabic" w:hint="cs"/>
          <w:color w:val="000000" w:themeColor="text1"/>
          <w:sz w:val="24"/>
          <w:szCs w:val="24"/>
          <w:highlight w:val="yellow"/>
          <w:rtl/>
        </w:rPr>
        <w:t xml:space="preserve">وتتشابه أيضاً مع نتائج دراسة </w:t>
      </w:r>
      <w:r w:rsidRPr="00956193">
        <w:rPr>
          <w:rFonts w:ascii="Traditional Arabic" w:hAnsi="Traditional Arabic" w:cs="Traditional Arabic" w:hint="cs"/>
          <w:color w:val="000000" w:themeColor="text1"/>
          <w:sz w:val="24"/>
          <w:szCs w:val="24"/>
          <w:highlight w:val="yellow"/>
        </w:rPr>
        <w:t xml:space="preserve">Purwanto et al. (2020) </w:t>
      </w:r>
      <w:r w:rsidRPr="00956193">
        <w:rPr>
          <w:rFonts w:ascii="Traditional Arabic" w:hAnsi="Traditional Arabic" w:cs="Traditional Arabic" w:hint="cs"/>
          <w:color w:val="000000" w:themeColor="text1"/>
          <w:sz w:val="24"/>
          <w:szCs w:val="24"/>
          <w:highlight w:val="yellow"/>
          <w:rtl/>
        </w:rPr>
        <w:t xml:space="preserve"> التي أوضحت أن القيادة التحويلية ترتبط إيجابياً برضا العاملين، ومع دراسة </w:t>
      </w:r>
      <w:r w:rsidRPr="00956193">
        <w:rPr>
          <w:rFonts w:ascii="Traditional Arabic" w:hAnsi="Traditional Arabic" w:cs="Traditional Arabic" w:hint="cs"/>
          <w:color w:val="000000" w:themeColor="text1"/>
          <w:sz w:val="24"/>
          <w:szCs w:val="24"/>
          <w:highlight w:val="yellow"/>
        </w:rPr>
        <w:t xml:space="preserve">Badriyah Putri Jannah (2024) </w:t>
      </w:r>
      <w:r w:rsidRPr="00956193">
        <w:rPr>
          <w:rFonts w:ascii="Traditional Arabic" w:hAnsi="Traditional Arabic" w:cs="Traditional Arabic" w:hint="cs"/>
          <w:color w:val="000000" w:themeColor="text1"/>
          <w:sz w:val="24"/>
          <w:szCs w:val="24"/>
          <w:highlight w:val="yellow"/>
          <w:rtl/>
        </w:rPr>
        <w:t xml:space="preserve"> التي أكدت على دور القيادة في تعزيز ثقافة السلامة، وكذلك مع دراسة </w:t>
      </w:r>
      <w:r w:rsidRPr="00956193">
        <w:rPr>
          <w:rFonts w:ascii="Traditional Arabic" w:hAnsi="Traditional Arabic" w:cs="Traditional Arabic" w:hint="cs"/>
          <w:color w:val="000000" w:themeColor="text1"/>
          <w:sz w:val="24"/>
          <w:szCs w:val="24"/>
          <w:highlight w:val="yellow"/>
        </w:rPr>
        <w:t xml:space="preserve">Stöcker </w:t>
      </w:r>
      <w:r w:rsidRPr="00956193">
        <w:rPr>
          <w:rFonts w:ascii="Traditional Arabic" w:hAnsi="Traditional Arabic" w:cs="Traditional Arabic" w:hint="cs"/>
          <w:color w:val="000000" w:themeColor="text1"/>
          <w:sz w:val="24"/>
          <w:szCs w:val="24"/>
          <w:highlight w:val="yellow"/>
          <w:rtl/>
        </w:rPr>
        <w:t xml:space="preserve"> وآخرون</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 xml:space="preserve">التي أبرزت أثر القيادة في تحسين إدارة المعرفة، ومع دراسة </w:t>
      </w:r>
      <w:r w:rsidRPr="00956193">
        <w:rPr>
          <w:rFonts w:ascii="Traditional Arabic" w:hAnsi="Traditional Arabic" w:cs="Traditional Arabic" w:hint="cs"/>
          <w:color w:val="000000" w:themeColor="text1"/>
          <w:sz w:val="24"/>
          <w:szCs w:val="24"/>
          <w:highlight w:val="yellow"/>
        </w:rPr>
        <w:t xml:space="preserve">Hassan Alabdullah &amp; Waldemar Karwowski (2024) </w:t>
      </w:r>
      <w:r w:rsidRPr="00956193">
        <w:rPr>
          <w:rFonts w:ascii="Traditional Arabic" w:hAnsi="Traditional Arabic" w:cs="Traditional Arabic" w:hint="cs"/>
          <w:color w:val="000000" w:themeColor="text1"/>
          <w:sz w:val="24"/>
          <w:szCs w:val="24"/>
          <w:highlight w:val="yellow"/>
          <w:rtl/>
        </w:rPr>
        <w:t xml:space="preserve"> التي أوضحت أن القيادة التحويلية تعزز من كفاءة الكوادر الصحية. كما تتفق النتائج مع ما ورد في دراسة </w:t>
      </w:r>
      <w:r w:rsidRPr="00956193">
        <w:rPr>
          <w:rFonts w:ascii="Traditional Arabic" w:hAnsi="Traditional Arabic" w:cs="Traditional Arabic" w:hint="cs"/>
          <w:color w:val="000000" w:themeColor="text1"/>
          <w:sz w:val="24"/>
          <w:szCs w:val="24"/>
          <w:highlight w:val="yellow"/>
        </w:rPr>
        <w:t xml:space="preserve">Smith et al. (2017)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Jones and Brown (2018) </w:t>
      </w:r>
      <w:r w:rsidRPr="00956193">
        <w:rPr>
          <w:rFonts w:ascii="Traditional Arabic" w:hAnsi="Traditional Arabic" w:cs="Traditional Arabic" w:hint="cs"/>
          <w:color w:val="000000" w:themeColor="text1"/>
          <w:sz w:val="24"/>
          <w:szCs w:val="24"/>
          <w:highlight w:val="yellow"/>
          <w:rtl/>
        </w:rPr>
        <w:t xml:space="preserve">و </w:t>
      </w:r>
      <w:r w:rsidRPr="00956193">
        <w:rPr>
          <w:rFonts w:ascii="Traditional Arabic" w:hAnsi="Traditional Arabic" w:cs="Traditional Arabic" w:hint="cs"/>
          <w:color w:val="000000" w:themeColor="text1"/>
          <w:sz w:val="24"/>
          <w:szCs w:val="24"/>
          <w:highlight w:val="yellow"/>
        </w:rPr>
        <w:t xml:space="preserve">Al-Zahrani (2018) </w:t>
      </w:r>
      <w:r w:rsidRPr="00956193">
        <w:rPr>
          <w:rFonts w:ascii="Traditional Arabic" w:hAnsi="Traditional Arabic" w:cs="Traditional Arabic" w:hint="cs"/>
          <w:color w:val="000000" w:themeColor="text1"/>
          <w:sz w:val="24"/>
          <w:szCs w:val="24"/>
          <w:highlight w:val="yellow"/>
          <w:rtl/>
        </w:rPr>
        <w:t xml:space="preserve"> و أحمد محمد السعيد</w:t>
      </w:r>
      <w:r w:rsidRPr="00956193">
        <w:rPr>
          <w:rFonts w:ascii="Traditional Arabic" w:hAnsi="Traditional Arabic" w:cs="Traditional Arabic" w:hint="cs"/>
          <w:color w:val="000000" w:themeColor="text1"/>
          <w:sz w:val="24"/>
          <w:szCs w:val="24"/>
          <w:highlight w:val="yellow"/>
        </w:rPr>
        <w:t xml:space="preserve"> (2019) </w:t>
      </w:r>
      <w:r w:rsidRPr="00956193">
        <w:rPr>
          <w:rFonts w:ascii="Traditional Arabic" w:hAnsi="Traditional Arabic" w:cs="Traditional Arabic" w:hint="cs"/>
          <w:color w:val="000000" w:themeColor="text1"/>
          <w:sz w:val="24"/>
          <w:szCs w:val="24"/>
          <w:highlight w:val="yellow"/>
          <w:rtl/>
        </w:rPr>
        <w:t xml:space="preserve">و </w:t>
      </w:r>
      <w:r w:rsidRPr="00956193">
        <w:rPr>
          <w:rFonts w:ascii="Traditional Arabic" w:hAnsi="Traditional Arabic" w:cs="Traditional Arabic" w:hint="cs"/>
          <w:color w:val="000000" w:themeColor="text1"/>
          <w:sz w:val="24"/>
          <w:szCs w:val="24"/>
          <w:highlight w:val="yellow"/>
        </w:rPr>
        <w:t xml:space="preserve">Al-Omari et al. (2019)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Khan et al. (2019)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Hassan Al-Harbi (2019)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Johnson et al. (2019) </w:t>
      </w:r>
      <w:r w:rsidRPr="00956193">
        <w:rPr>
          <w:rFonts w:ascii="Traditional Arabic" w:hAnsi="Traditional Arabic" w:cs="Traditional Arabic" w:hint="cs"/>
          <w:color w:val="000000" w:themeColor="text1"/>
          <w:sz w:val="24"/>
          <w:szCs w:val="24"/>
          <w:highlight w:val="yellow"/>
          <w:rtl/>
        </w:rPr>
        <w:t>التي جميعها أكدت على أثر القيادة في تحسين الأداء المؤسسي وإدارة الأزمات</w:t>
      </w:r>
      <w:r w:rsidR="00F70672"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hint="cs"/>
          <w:color w:val="000000" w:themeColor="text1"/>
          <w:sz w:val="24"/>
          <w:szCs w:val="24"/>
          <w:highlight w:val="yellow"/>
          <w:rtl/>
        </w:rPr>
        <w:t>وفي المقابل، تختلف نتائج هذه الدراسة مع بعض الدراسات مثل وزارة الصحة المصرية</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ركزت على البنية التحتية والعوامل التنظيمية أكثر من القيادة التحويلية، وكذلك مع القمة الوزارية العالمية لسلامة المرضى</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تناولت التحديات العالمية مثل التمويل والسياسات الصحية دون التركيز المباشر على القيادة</w:t>
      </w:r>
      <w:r w:rsidRPr="00956193">
        <w:rPr>
          <w:rFonts w:ascii="Traditional Arabic" w:hAnsi="Traditional Arabic" w:cs="Traditional Arabic" w:hint="cs"/>
          <w:color w:val="000000" w:themeColor="text1"/>
          <w:sz w:val="24"/>
          <w:szCs w:val="24"/>
          <w:highlight w:val="yellow"/>
        </w:rPr>
        <w:t>.</w:t>
      </w:r>
    </w:p>
    <w:p w14:paraId="259259D6" w14:textId="77777777" w:rsidR="00CD0153" w:rsidRDefault="00CD0153" w:rsidP="00391B6E">
      <w:pPr>
        <w:bidi/>
        <w:spacing w:after="200" w:line="276" w:lineRule="auto"/>
        <w:jc w:val="both"/>
        <w:rPr>
          <w:rFonts w:ascii="Traditional Arabic" w:hAnsi="Traditional Arabic" w:cs="Traditional Arabic"/>
          <w:b/>
          <w:bCs/>
          <w:color w:val="000000" w:themeColor="text1"/>
          <w:sz w:val="28"/>
          <w:szCs w:val="28"/>
          <w:u w:val="single"/>
          <w:rtl/>
        </w:rPr>
        <w:sectPr w:rsidR="00CD0153" w:rsidSect="00BD24CB">
          <w:footerReference w:type="default" r:id="rId5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30"/>
          <w:cols w:space="708"/>
          <w:bidi/>
          <w:rtlGutter/>
          <w:docGrid w:linePitch="360"/>
        </w:sectPr>
      </w:pPr>
    </w:p>
    <w:p w14:paraId="0D333300" w14:textId="0C3258EB" w:rsidR="00391B6E" w:rsidRDefault="00A813B8" w:rsidP="00391B6E">
      <w:pPr>
        <w:bidi/>
        <w:spacing w:after="200" w:line="276" w:lineRule="auto"/>
        <w:jc w:val="both"/>
        <w:rPr>
          <w:rFonts w:ascii="Traditional Arabic" w:hAnsi="Traditional Arabic" w:cs="Traditional Arabic"/>
          <w:b/>
          <w:bCs/>
          <w:color w:val="000000" w:themeColor="text1"/>
          <w:sz w:val="28"/>
          <w:szCs w:val="28"/>
          <w:u w:val="single"/>
          <w:rtl/>
        </w:rPr>
      </w:pPr>
      <w:r w:rsidRPr="00D45743">
        <w:rPr>
          <w:rFonts w:ascii="Traditional Arabic" w:hAnsi="Traditional Arabic" w:cs="Traditional Arabic" w:hint="cs"/>
          <w:b/>
          <w:bCs/>
          <w:color w:val="000000" w:themeColor="text1"/>
          <w:sz w:val="28"/>
          <w:szCs w:val="28"/>
          <w:u w:val="single"/>
          <w:rtl/>
        </w:rPr>
        <w:lastRenderedPageBreak/>
        <w:t>توصيات الدراسة:</w:t>
      </w:r>
    </w:p>
    <w:p w14:paraId="783DD7D4" w14:textId="0940C355" w:rsidR="00B33857" w:rsidRPr="00BE6EF3" w:rsidRDefault="00B33857" w:rsidP="002D73E8">
      <w:pPr>
        <w:bidi/>
        <w:spacing w:after="200" w:line="276" w:lineRule="auto"/>
        <w:jc w:val="center"/>
        <w:rPr>
          <w:rFonts w:ascii="Traditional Arabic" w:hAnsi="Traditional Arabic" w:cs="Traditional Arabic"/>
          <w:b/>
          <w:bCs/>
          <w:color w:val="000000" w:themeColor="text1"/>
          <w:sz w:val="24"/>
          <w:szCs w:val="24"/>
          <w:rtl/>
        </w:rPr>
      </w:pPr>
      <w:r w:rsidRPr="00BE6EF3">
        <w:rPr>
          <w:rFonts w:ascii="Traditional Arabic" w:hAnsi="Traditional Arabic" w:cs="Traditional Arabic" w:hint="cs"/>
          <w:b/>
          <w:bCs/>
          <w:color w:val="000000" w:themeColor="text1"/>
          <w:sz w:val="24"/>
          <w:szCs w:val="24"/>
          <w:rtl/>
        </w:rPr>
        <w:t>جدول (</w:t>
      </w:r>
      <w:r w:rsidR="00616897">
        <w:rPr>
          <w:rFonts w:ascii="Traditional Arabic" w:hAnsi="Traditional Arabic" w:cs="Traditional Arabic" w:hint="cs"/>
          <w:b/>
          <w:bCs/>
          <w:color w:val="000000" w:themeColor="text1"/>
          <w:sz w:val="24"/>
          <w:szCs w:val="24"/>
          <w:rtl/>
        </w:rPr>
        <w:t>25</w:t>
      </w:r>
      <w:r w:rsidRPr="00BE6EF3">
        <w:rPr>
          <w:rFonts w:ascii="Traditional Arabic" w:hAnsi="Traditional Arabic" w:cs="Traditional Arabic" w:hint="cs"/>
          <w:b/>
          <w:bCs/>
          <w:color w:val="000000" w:themeColor="text1"/>
          <w:sz w:val="24"/>
          <w:szCs w:val="24"/>
          <w:rtl/>
        </w:rPr>
        <w:t xml:space="preserve">) يوضح </w:t>
      </w:r>
      <w:r w:rsidR="002D73E8" w:rsidRPr="002D73E8">
        <w:rPr>
          <w:rFonts w:ascii="Traditional Arabic" w:hAnsi="Traditional Arabic" w:cs="Traditional Arabic"/>
          <w:b/>
          <w:bCs/>
          <w:color w:val="000000" w:themeColor="text1"/>
          <w:sz w:val="24"/>
          <w:szCs w:val="24"/>
          <w:rtl/>
        </w:rPr>
        <w:t>نتائج الدراسة والتوصيات وآليات التنفيذ والجهات المسؤولة والمدى الزمني</w:t>
      </w:r>
      <w:r w:rsidR="002D73E8">
        <w:rPr>
          <w:rFonts w:ascii="Traditional Arabic" w:hAnsi="Traditional Arabic" w:cs="Traditional Arabic" w:hint="cs"/>
          <w:b/>
          <w:bCs/>
          <w:color w:val="000000" w:themeColor="text1"/>
          <w:sz w:val="24"/>
          <w:szCs w:val="24"/>
          <w:rtl/>
        </w:rPr>
        <w:t>.</w:t>
      </w:r>
    </w:p>
    <w:tbl>
      <w:tblPr>
        <w:tblStyle w:val="GridTable4-Accent1"/>
        <w:bidiVisual/>
        <w:tblW w:w="5000" w:type="pct"/>
        <w:tblLook w:val="04A0" w:firstRow="1" w:lastRow="0" w:firstColumn="1" w:lastColumn="0" w:noHBand="0" w:noVBand="1"/>
      </w:tblPr>
      <w:tblGrid>
        <w:gridCol w:w="333"/>
        <w:gridCol w:w="2606"/>
        <w:gridCol w:w="2799"/>
        <w:gridCol w:w="5624"/>
        <w:gridCol w:w="1964"/>
        <w:gridCol w:w="622"/>
      </w:tblGrid>
      <w:tr w:rsidR="00A065FE" w:rsidRPr="00956193" w14:paraId="20CC759D" w14:textId="77777777" w:rsidTr="001A7C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21A2D283" w14:textId="77777777" w:rsidR="00A065FE" w:rsidRPr="00956193" w:rsidRDefault="00A065FE" w:rsidP="0035415C">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م</w:t>
            </w:r>
          </w:p>
        </w:tc>
        <w:tc>
          <w:tcPr>
            <w:tcW w:w="934" w:type="pct"/>
          </w:tcPr>
          <w:p w14:paraId="7E72C055"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نتائج الدراسة</w:t>
            </w:r>
          </w:p>
        </w:tc>
        <w:tc>
          <w:tcPr>
            <w:tcW w:w="1003" w:type="pct"/>
          </w:tcPr>
          <w:p w14:paraId="1349676E"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التوصيات</w:t>
            </w:r>
          </w:p>
        </w:tc>
        <w:tc>
          <w:tcPr>
            <w:tcW w:w="2016" w:type="pct"/>
          </w:tcPr>
          <w:p w14:paraId="0211A5D4"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آلية التنفيذ</w:t>
            </w:r>
          </w:p>
        </w:tc>
        <w:tc>
          <w:tcPr>
            <w:tcW w:w="704" w:type="pct"/>
          </w:tcPr>
          <w:p w14:paraId="7A1378B3"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جهة التنفيذ</w:t>
            </w:r>
          </w:p>
        </w:tc>
        <w:tc>
          <w:tcPr>
            <w:tcW w:w="223" w:type="pct"/>
          </w:tcPr>
          <w:p w14:paraId="580A5E31" w14:textId="3B4F0B1F"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المدى</w:t>
            </w:r>
            <w:r w:rsidR="00F70672" w:rsidRPr="00956193">
              <w:rPr>
                <w:rFonts w:ascii="Traditional Arabic" w:hAnsi="Traditional Arabic" w:cs="Traditional Arabic" w:hint="cs"/>
                <w:color w:val="000000" w:themeColor="text1"/>
                <w:highlight w:val="yellow"/>
                <w:rtl/>
              </w:rPr>
              <w:t xml:space="preserve"> </w:t>
            </w:r>
            <w:r w:rsidRPr="00956193">
              <w:rPr>
                <w:rFonts w:ascii="Traditional Arabic" w:hAnsi="Traditional Arabic" w:cs="Traditional Arabic" w:hint="cs"/>
                <w:color w:val="000000" w:themeColor="text1"/>
                <w:highlight w:val="yellow"/>
                <w:rtl/>
              </w:rPr>
              <w:t>الزمني</w:t>
            </w:r>
          </w:p>
        </w:tc>
      </w:tr>
      <w:tr w:rsidR="00E83CE6" w:rsidRPr="00956193" w14:paraId="4E9C79FE" w14:textId="77777777" w:rsidTr="001A7C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04B7F0E4" w14:textId="0FE65115" w:rsidR="00E83CE6" w:rsidRPr="00956193" w:rsidRDefault="008843C5" w:rsidP="00E83CE6">
            <w:pPr>
              <w:bidi/>
              <w:spacing w:after="200" w:line="276" w:lineRule="auto"/>
              <w:jc w:val="center"/>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1</w:t>
            </w:r>
          </w:p>
        </w:tc>
        <w:tc>
          <w:tcPr>
            <w:tcW w:w="934" w:type="pct"/>
          </w:tcPr>
          <w:p w14:paraId="2EE9DC97" w14:textId="58D21E6E" w:rsidR="00E83CE6" w:rsidRPr="00956193" w:rsidRDefault="008843C5" w:rsidP="008843C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وجود علاقة ارتباطية طردية موجبة وذات دلالة إحصائية بين ممارسات إدارة المخاطر، والقيادة التحويلية، وسلامة المرضى في المستشفيات الحكومية بالمملكة العربية السعودية</w:t>
            </w:r>
            <w:r w:rsidRPr="00956193">
              <w:rPr>
                <w:rFonts w:ascii="Traditional Arabic" w:hAnsi="Traditional Arabic" w:cs="Traditional Arabic"/>
                <w:color w:val="000000" w:themeColor="text1"/>
                <w:highlight w:val="yellow"/>
              </w:rPr>
              <w:t>.</w:t>
            </w:r>
          </w:p>
        </w:tc>
        <w:tc>
          <w:tcPr>
            <w:tcW w:w="1003" w:type="pct"/>
          </w:tcPr>
          <w:p w14:paraId="5CC055D6" w14:textId="74E3D0DB" w:rsidR="00E83CE6" w:rsidRPr="00956193" w:rsidRDefault="00B35E74" w:rsidP="00B35E74">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إطلاق برنامج وطني موحد تحت مظلة وزارة الصحة السعودية لربط أنظمة رصد المخاطر السريرية ببناء القدرات القيادية التحويلية، لتعزيز ثقافة الأمان العادل في المستشفيات الحكومية</w:t>
            </w:r>
            <w:r w:rsidRPr="00956193">
              <w:rPr>
                <w:rFonts w:ascii="Traditional Arabic" w:hAnsi="Traditional Arabic" w:cs="Traditional Arabic" w:hint="cs"/>
                <w:color w:val="000000" w:themeColor="text1"/>
                <w:highlight w:val="yellow"/>
                <w:rtl/>
              </w:rPr>
              <w:t>.</w:t>
            </w:r>
          </w:p>
        </w:tc>
        <w:tc>
          <w:tcPr>
            <w:tcW w:w="2016" w:type="pct"/>
          </w:tcPr>
          <w:p w14:paraId="3753EB2B" w14:textId="26E083F4" w:rsidR="00B35E74" w:rsidRPr="00956193" w:rsidRDefault="00B35E74" w:rsidP="00B35E74">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Pr>
            </w:pPr>
            <w:r w:rsidRPr="00956193">
              <w:rPr>
                <w:rFonts w:ascii="Traditional Arabic" w:hAnsi="Traditional Arabic" w:cs="Traditional Arabic"/>
                <w:color w:val="000000" w:themeColor="text1"/>
                <w:highlight w:val="yellow"/>
                <w:rtl/>
              </w:rPr>
              <w:t>التركيز على الاستجابة للمخاطر عبر الانتقال من مجرد رصد الأخطاء إلى بناء آليات عملية، وذلك من خلال تشكيل فرق استجابة سريعة متعددة التخصصات داخل كل مستشفى حكومي</w:t>
            </w:r>
            <w:r w:rsidR="007A060C" w:rsidRPr="00956193">
              <w:rPr>
                <w:rFonts w:ascii="Traditional Arabic" w:hAnsi="Traditional Arabic" w:cs="Traditional Arabic" w:hint="cs"/>
                <w:color w:val="000000" w:themeColor="text1"/>
                <w:highlight w:val="yellow"/>
                <w:rtl/>
              </w:rPr>
              <w:t>.</w:t>
            </w:r>
          </w:p>
          <w:p w14:paraId="59A9C96F" w14:textId="742F5E0C" w:rsidR="00E83CE6" w:rsidRPr="00956193" w:rsidRDefault="00B35E74" w:rsidP="007E32D4">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تفعيل الاستثارة الفكرية لتشجيع الكوادر الطبية والتمريضية على ابتكار حلول للمشكلات التشغيلية المتكررة، بالتوازي مع ممارسة الاعتبارية الفردية عبر تقديم الدعم المهني والنفسي للعاملين وتخفيف ضغوط العمل</w:t>
            </w:r>
            <w:r w:rsidRPr="00956193">
              <w:rPr>
                <w:rFonts w:ascii="Traditional Arabic" w:hAnsi="Traditional Arabic" w:cs="Traditional Arabic" w:hint="cs"/>
                <w:color w:val="000000" w:themeColor="text1"/>
                <w:highlight w:val="yellow"/>
                <w:rtl/>
              </w:rPr>
              <w:t xml:space="preserve">. </w:t>
            </w:r>
          </w:p>
        </w:tc>
        <w:tc>
          <w:tcPr>
            <w:tcW w:w="704" w:type="pct"/>
          </w:tcPr>
          <w:p w14:paraId="3CF4EB67" w14:textId="5E5E14F3" w:rsidR="007E32D4" w:rsidRPr="00956193" w:rsidRDefault="00CF6BC8" w:rsidP="00111D24">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t>إدارة الجودة وسلامة المرضى</w:t>
            </w:r>
          </w:p>
          <w:p w14:paraId="61A1873B" w14:textId="2A1B269B" w:rsidR="00E83CE6" w:rsidRPr="00956193" w:rsidRDefault="002D73E8" w:rsidP="002D73E8">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b/>
                <w:bCs/>
                <w:color w:val="000000" w:themeColor="text1"/>
                <w:highlight w:val="yellow"/>
                <w:rtl/>
              </w:rPr>
              <w:t>المركز السعودي لاعتماد المنشآت الصحية</w:t>
            </w:r>
            <w:r w:rsidRPr="00956193">
              <w:rPr>
                <w:rFonts w:ascii="Traditional Arabic" w:hAnsi="Traditional Arabic" w:cs="Traditional Arabic"/>
                <w:b/>
                <w:bCs/>
                <w:color w:val="000000" w:themeColor="text1"/>
                <w:highlight w:val="yellow"/>
              </w:rPr>
              <w:t xml:space="preserve"> </w:t>
            </w:r>
            <w:r w:rsidRPr="00956193">
              <w:rPr>
                <w:rFonts w:ascii="Traditional Arabic" w:hAnsi="Traditional Arabic" w:cs="Traditional Arabic" w:hint="cs"/>
                <w:b/>
                <w:bCs/>
                <w:color w:val="000000" w:themeColor="text1"/>
                <w:highlight w:val="yellow"/>
                <w:rtl/>
              </w:rPr>
              <w:t>(</w:t>
            </w:r>
            <w:r w:rsidRPr="00956193">
              <w:rPr>
                <w:rFonts w:ascii="Traditional Arabic" w:hAnsi="Traditional Arabic" w:cs="Traditional Arabic"/>
                <w:b/>
                <w:bCs/>
                <w:color w:val="000000" w:themeColor="text1"/>
                <w:highlight w:val="yellow"/>
                <w:rtl/>
              </w:rPr>
              <w:t>سباهي</w:t>
            </w:r>
            <w:r w:rsidRPr="00956193">
              <w:rPr>
                <w:rFonts w:ascii="Traditional Arabic" w:hAnsi="Traditional Arabic" w:cs="Traditional Arabic"/>
                <w:b/>
                <w:bCs/>
                <w:color w:val="000000" w:themeColor="text1"/>
                <w:highlight w:val="yellow"/>
              </w:rPr>
              <w:t xml:space="preserve">  CBAHI</w:t>
            </w:r>
            <w:r w:rsidRPr="00956193">
              <w:rPr>
                <w:rFonts w:ascii="Traditional Arabic" w:hAnsi="Traditional Arabic" w:cs="Traditional Arabic" w:hint="cs"/>
                <w:b/>
                <w:bCs/>
                <w:color w:val="000000" w:themeColor="text1"/>
                <w:highlight w:val="yellow"/>
                <w:rtl/>
              </w:rPr>
              <w:t>).</w:t>
            </w:r>
          </w:p>
        </w:tc>
        <w:tc>
          <w:tcPr>
            <w:tcW w:w="223" w:type="pct"/>
          </w:tcPr>
          <w:p w14:paraId="0CCDCF75" w14:textId="37B179E1" w:rsidR="00E83CE6" w:rsidRPr="00956193" w:rsidRDefault="00E24E38" w:rsidP="00E24E38">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highlight w:val="yellow"/>
                <w:rtl/>
              </w:rPr>
            </w:pPr>
            <w:r w:rsidRPr="00956193">
              <w:rPr>
                <w:rFonts w:ascii="Traditional Arabic" w:hAnsi="Traditional Arabic" w:cs="Traditional Arabic" w:hint="cs"/>
                <w:b/>
                <w:bCs/>
                <w:color w:val="000000" w:themeColor="text1"/>
                <w:highlight w:val="yellow"/>
                <w:rtl/>
              </w:rPr>
              <w:t>12 شهر</w:t>
            </w:r>
          </w:p>
        </w:tc>
      </w:tr>
      <w:tr w:rsidR="00E83CE6" w:rsidRPr="00956193" w14:paraId="4C972589" w14:textId="77777777" w:rsidTr="001A7C88">
        <w:tc>
          <w:tcPr>
            <w:cnfStyle w:val="001000000000" w:firstRow="0" w:lastRow="0" w:firstColumn="1" w:lastColumn="0" w:oddVBand="0" w:evenVBand="0" w:oddHBand="0" w:evenHBand="0" w:firstRowFirstColumn="0" w:firstRowLastColumn="0" w:lastRowFirstColumn="0" w:lastRowLastColumn="0"/>
            <w:tcW w:w="119" w:type="pct"/>
          </w:tcPr>
          <w:p w14:paraId="7E9DAFCD" w14:textId="4BB5B77E"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2</w:t>
            </w:r>
          </w:p>
        </w:tc>
        <w:tc>
          <w:tcPr>
            <w:tcW w:w="934" w:type="pct"/>
          </w:tcPr>
          <w:p w14:paraId="6400F1D8" w14:textId="5A4ED3D2" w:rsidR="00E83CE6" w:rsidRPr="00956193" w:rsidRDefault="008843C5" w:rsidP="00B35E74">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وجود تأثير ذو دلالة إحصائية لممارسات إدارة المخاطر على مستوى سلامة المرضى في المستشفيات الحكومية بالمملكة العربية السعودية</w:t>
            </w:r>
            <w:r w:rsidRPr="00956193">
              <w:rPr>
                <w:rFonts w:ascii="Traditional Arabic" w:hAnsi="Traditional Arabic" w:cs="Traditional Arabic"/>
                <w:color w:val="000000" w:themeColor="text1"/>
                <w:highlight w:val="yellow"/>
              </w:rPr>
              <w:t>.</w:t>
            </w:r>
          </w:p>
        </w:tc>
        <w:tc>
          <w:tcPr>
            <w:tcW w:w="1003" w:type="pct"/>
          </w:tcPr>
          <w:p w14:paraId="134ACCE1" w14:textId="476AE067" w:rsidR="00E83CE6" w:rsidRPr="00956193" w:rsidRDefault="00111D24" w:rsidP="00111D24">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Pr>
              <w:t>"</w:t>
            </w:r>
            <w:r w:rsidRPr="00956193">
              <w:rPr>
                <w:rFonts w:ascii="Traditional Arabic" w:hAnsi="Traditional Arabic" w:cs="Traditional Arabic"/>
                <w:color w:val="000000" w:themeColor="text1"/>
                <w:highlight w:val="yellow"/>
                <w:rtl/>
              </w:rPr>
              <w:t>تطوير دليل وطني إجرائي لإدارة المخاطر السريرية يركز على التدخل الاستباقي، لضمان التقليل للأخطاء الطبية ورفع جودة الرعاية في المستشفيات الحكومية السعودية</w:t>
            </w:r>
            <w:r w:rsidRPr="00956193">
              <w:rPr>
                <w:rFonts w:ascii="Traditional Arabic" w:hAnsi="Traditional Arabic" w:cs="Traditional Arabic"/>
                <w:color w:val="000000" w:themeColor="text1"/>
                <w:highlight w:val="yellow"/>
              </w:rPr>
              <w:t>."</w:t>
            </w:r>
          </w:p>
        </w:tc>
        <w:tc>
          <w:tcPr>
            <w:tcW w:w="2016" w:type="pct"/>
          </w:tcPr>
          <w:p w14:paraId="37A28C4F" w14:textId="0DC15A08" w:rsidR="00E83CE6" w:rsidRPr="00956193" w:rsidRDefault="00111D24" w:rsidP="00111D24">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يركز تعزيز إدارة المخاطر على تقييم المخاطر باستخدام أداة</w:t>
            </w:r>
            <w:r w:rsidRPr="00956193">
              <w:rPr>
                <w:rFonts w:ascii="Traditional Arabic" w:hAnsi="Traditional Arabic" w:cs="Traditional Arabic"/>
                <w:color w:val="000000" w:themeColor="text1"/>
                <w:highlight w:val="yellow"/>
              </w:rPr>
              <w:t xml:space="preserve"> (FMEA) </w:t>
            </w:r>
            <w:r w:rsidRPr="00956193">
              <w:rPr>
                <w:rFonts w:ascii="Traditional Arabic" w:hAnsi="Traditional Arabic" w:cs="Traditional Arabic"/>
                <w:color w:val="000000" w:themeColor="text1"/>
                <w:highlight w:val="yellow"/>
                <w:rtl/>
              </w:rPr>
              <w:t>في الأقسام الحرجة للتنبؤ بالأخطاء وتصنيفها قبل وقوعها</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وتُوجَّه نتائج التقييم مباشرة نحو تقليل الأخطاء الطبية عبر إلزام الكوادر بتطبيق قوائم التحقق الطبية الصارمة</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ينعكس ذلك تلقائيًا على رفع جودة الرعاية السريرية وتقليص معدلات الإقامة الطويلة غير المبررة في المستشفيات الحكومية</w:t>
            </w:r>
            <w:r w:rsidRPr="00956193">
              <w:rPr>
                <w:rFonts w:ascii="Traditional Arabic" w:hAnsi="Traditional Arabic" w:cs="Traditional Arabic"/>
                <w:color w:val="000000" w:themeColor="text1"/>
                <w:highlight w:val="yellow"/>
              </w:rPr>
              <w:t>.</w:t>
            </w:r>
          </w:p>
        </w:tc>
        <w:tc>
          <w:tcPr>
            <w:tcW w:w="704" w:type="pct"/>
          </w:tcPr>
          <w:p w14:paraId="71ED91DB" w14:textId="03E8692D" w:rsidR="00E83CE6" w:rsidRPr="00956193" w:rsidRDefault="00CF6BC8" w:rsidP="00111D24">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t>الإدارة الطبية والخدمات التمريضية</w:t>
            </w:r>
          </w:p>
        </w:tc>
        <w:tc>
          <w:tcPr>
            <w:tcW w:w="223" w:type="pct"/>
          </w:tcPr>
          <w:p w14:paraId="4201729F" w14:textId="172DE25F" w:rsidR="00E83CE6" w:rsidRPr="00956193" w:rsidRDefault="00E24E38" w:rsidP="00E24E38">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highlight w:val="yellow"/>
                <w:rtl/>
              </w:rPr>
            </w:pPr>
            <w:r w:rsidRPr="00956193">
              <w:rPr>
                <w:rFonts w:ascii="Traditional Arabic" w:hAnsi="Traditional Arabic" w:cs="Traditional Arabic" w:hint="cs"/>
                <w:b/>
                <w:bCs/>
                <w:color w:val="000000" w:themeColor="text1"/>
                <w:highlight w:val="yellow"/>
                <w:rtl/>
              </w:rPr>
              <w:t>9 أشهر</w:t>
            </w:r>
          </w:p>
        </w:tc>
      </w:tr>
      <w:tr w:rsidR="00E83CE6" w:rsidRPr="00956193" w14:paraId="51D9F2F5" w14:textId="77777777" w:rsidTr="001A7C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5AEFCDE3" w14:textId="154D3A36"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b w:val="0"/>
                <w:bCs w:val="0"/>
                <w:color w:val="000000" w:themeColor="text1"/>
                <w:highlight w:val="yellow"/>
                <w:rtl/>
              </w:rPr>
              <w:t>3</w:t>
            </w:r>
          </w:p>
        </w:tc>
        <w:tc>
          <w:tcPr>
            <w:tcW w:w="934" w:type="pct"/>
          </w:tcPr>
          <w:p w14:paraId="5D87E890" w14:textId="31712066" w:rsidR="00E83CE6" w:rsidRPr="00956193" w:rsidRDefault="00B35E74" w:rsidP="00B35E74">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وجود تأثير ذو دلالة إحصائية لممارسات القيادة التحويلية على مستوى سلامة المرضى في المستشفيات الحكومية بالمملكة العربية السعودية</w:t>
            </w:r>
            <w:r w:rsidRPr="00956193">
              <w:rPr>
                <w:rFonts w:ascii="Traditional Arabic" w:hAnsi="Traditional Arabic" w:cs="Traditional Arabic"/>
                <w:color w:val="000000" w:themeColor="text1"/>
                <w:highlight w:val="yellow"/>
              </w:rPr>
              <w:t>.</w:t>
            </w:r>
          </w:p>
        </w:tc>
        <w:tc>
          <w:tcPr>
            <w:tcW w:w="1003" w:type="pct"/>
          </w:tcPr>
          <w:p w14:paraId="41F1B674" w14:textId="38B38647" w:rsidR="00E83CE6" w:rsidRPr="00956193" w:rsidRDefault="00AE7751" w:rsidP="002D73E8">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Pr>
              <w:t>"</w:t>
            </w:r>
            <w:r w:rsidR="002D73E8" w:rsidRPr="00956193">
              <w:rPr>
                <w:rFonts w:ascii="Traditional Arabic" w:hAnsi="Traditional Arabic" w:cs="Traditional Arabic"/>
                <w:color w:val="000000" w:themeColor="text1"/>
                <w:highlight w:val="yellow"/>
                <w:rtl/>
              </w:rPr>
              <w:t>اعتماد بطاقة أداء متوازنة لتقييم القيادات الصحية تربط الترقيات والحوافز بمدى تفعيل أبعاد القيادة الإلهامية وتأثيرها على بيئة العمل الآمنة</w:t>
            </w:r>
            <w:r w:rsidR="002D73E8" w:rsidRPr="00956193">
              <w:rPr>
                <w:rFonts w:ascii="Traditional Arabic" w:hAnsi="Traditional Arabic" w:cs="Traditional Arabic"/>
                <w:color w:val="000000" w:themeColor="text1"/>
                <w:highlight w:val="yellow"/>
              </w:rPr>
              <w:t>.</w:t>
            </w:r>
          </w:p>
        </w:tc>
        <w:tc>
          <w:tcPr>
            <w:tcW w:w="2016" w:type="pct"/>
          </w:tcPr>
          <w:p w14:paraId="70F14752" w14:textId="542FCDCD" w:rsidR="00E83CE6" w:rsidRPr="00956193" w:rsidRDefault="00483126" w:rsidP="00483126">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يركز تعزيز القيادة التحويلية على الدافعية الإلهامية عبر صياغة أهداف واضحة ومشتركة لفرق العمل، وبث الروح الإيجابية، وتقدير الإنجازات علنًا بما يرفع الروح المعنوية ويدفع العاملين للالتزام الذاتي بمعايير الجودة</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 xml:space="preserve">ويُوجَّه هذا السلوك الإلهامي مباشرة نحو تأسيس بيئة عمل آمنة قائمة على </w:t>
            </w:r>
            <w:r w:rsidRPr="00956193">
              <w:rPr>
                <w:rFonts w:ascii="Traditional Arabic" w:hAnsi="Traditional Arabic" w:cs="Traditional Arabic"/>
                <w:color w:val="000000" w:themeColor="text1"/>
                <w:highlight w:val="yellow"/>
                <w:rtl/>
              </w:rPr>
              <w:lastRenderedPageBreak/>
              <w:t>مفهوم "الثقافة العادلة"، حيث تُلغى سياسات اللوم والعقاب عند الأخطاء غير المتعمدة، مما يشجع الكوادر على التركيز على سلامة الإجراءات الطبية وحماية المرضى من المخاطر المحتملة</w:t>
            </w:r>
            <w:r w:rsidRPr="00956193">
              <w:rPr>
                <w:rFonts w:ascii="Traditional Arabic" w:hAnsi="Traditional Arabic" w:cs="Traditional Arabic"/>
                <w:color w:val="000000" w:themeColor="text1"/>
                <w:highlight w:val="yellow"/>
              </w:rPr>
              <w:t>.</w:t>
            </w:r>
          </w:p>
        </w:tc>
        <w:tc>
          <w:tcPr>
            <w:tcW w:w="704" w:type="pct"/>
          </w:tcPr>
          <w:p w14:paraId="734A040E" w14:textId="17EF4406" w:rsidR="00E83CE6" w:rsidRPr="00956193" w:rsidRDefault="002D3BFD" w:rsidP="002D3BFD">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Pr>
              <w:lastRenderedPageBreak/>
              <w:t xml:space="preserve">- </w:t>
            </w:r>
            <w:r w:rsidRPr="00956193">
              <w:rPr>
                <w:rFonts w:ascii="Traditional Arabic" w:hAnsi="Traditional Arabic" w:cs="Traditional Arabic"/>
                <w:color w:val="000000" w:themeColor="text1"/>
                <w:highlight w:val="yellow"/>
                <w:rtl/>
              </w:rPr>
              <w:t xml:space="preserve">إدارة الموارد البشرية بالمستشفى </w:t>
            </w:r>
            <w:r w:rsidRPr="00956193">
              <w:rPr>
                <w:rFonts w:ascii="Traditional Arabic" w:hAnsi="Traditional Arabic" w:cs="Traditional Arabic"/>
                <w:color w:val="000000" w:themeColor="text1"/>
                <w:highlight w:val="yellow"/>
              </w:rPr>
              <w:t>(</w:t>
            </w:r>
            <w:r w:rsidRPr="00956193">
              <w:rPr>
                <w:rFonts w:ascii="Traditional Arabic" w:hAnsi="Traditional Arabic" w:cs="Traditional Arabic"/>
                <w:color w:val="000000" w:themeColor="text1"/>
                <w:highlight w:val="yellow"/>
                <w:rtl/>
              </w:rPr>
              <w:t>لإدارة بطاقات الأداء، الحوافز، والترقيات المربوطة بالسلوك القيادي</w:t>
            </w:r>
            <w:r w:rsidRPr="00956193">
              <w:rPr>
                <w:rFonts w:ascii="Traditional Arabic" w:hAnsi="Traditional Arabic" w:cs="Traditional Arabic" w:hint="cs"/>
                <w:color w:val="000000" w:themeColor="text1"/>
                <w:highlight w:val="yellow"/>
                <w:rtl/>
              </w:rPr>
              <w:t>.</w:t>
            </w:r>
            <w:r w:rsidRPr="00956193">
              <w:rPr>
                <w:rFonts w:ascii="Traditional Arabic" w:hAnsi="Traditional Arabic" w:cs="Traditional Arabic"/>
                <w:color w:val="000000" w:themeColor="text1"/>
                <w:highlight w:val="yellow"/>
              </w:rPr>
              <w:br/>
              <w:t xml:space="preserve">- </w:t>
            </w:r>
            <w:r w:rsidRPr="00956193">
              <w:rPr>
                <w:rFonts w:ascii="Traditional Arabic" w:hAnsi="Traditional Arabic" w:cs="Traditional Arabic"/>
                <w:color w:val="000000" w:themeColor="text1"/>
                <w:highlight w:val="yellow"/>
                <w:rtl/>
              </w:rPr>
              <w:t xml:space="preserve">المكتب التنفيذي لإدارة </w:t>
            </w:r>
            <w:r w:rsidRPr="00956193">
              <w:rPr>
                <w:rFonts w:ascii="Traditional Arabic" w:hAnsi="Traditional Arabic" w:cs="Traditional Arabic"/>
                <w:color w:val="000000" w:themeColor="text1"/>
                <w:highlight w:val="yellow"/>
                <w:rtl/>
              </w:rPr>
              <w:lastRenderedPageBreak/>
              <w:t>المستشفى لاعتماد وتطبيق مبادئ الثقافة العادلة ومنع سياسات اللوم</w:t>
            </w:r>
            <w:r w:rsidRPr="00956193">
              <w:rPr>
                <w:rFonts w:ascii="Traditional Arabic" w:hAnsi="Traditional Arabic" w:cs="Traditional Arabic" w:hint="cs"/>
                <w:color w:val="000000" w:themeColor="text1"/>
                <w:highlight w:val="yellow"/>
                <w:rtl/>
              </w:rPr>
              <w:t>.</w:t>
            </w:r>
            <w:r w:rsidRPr="00956193">
              <w:rPr>
                <w:rFonts w:ascii="Traditional Arabic" w:hAnsi="Traditional Arabic" w:cs="Traditional Arabic"/>
                <w:color w:val="000000" w:themeColor="text1"/>
                <w:highlight w:val="yellow"/>
              </w:rPr>
              <w:br/>
              <w:t xml:space="preserve">- </w:t>
            </w:r>
            <w:r w:rsidRPr="00956193">
              <w:rPr>
                <w:rFonts w:ascii="Traditional Arabic" w:hAnsi="Traditional Arabic" w:cs="Traditional Arabic"/>
                <w:color w:val="000000" w:themeColor="text1"/>
                <w:highlight w:val="yellow"/>
                <w:rtl/>
              </w:rPr>
              <w:t xml:space="preserve">إدارة الشؤون الطبية والتمريضية </w:t>
            </w:r>
            <w:r w:rsidRPr="00956193">
              <w:rPr>
                <w:rFonts w:ascii="Traditional Arabic" w:hAnsi="Traditional Arabic" w:cs="Traditional Arabic"/>
                <w:color w:val="000000" w:themeColor="text1"/>
                <w:highlight w:val="yellow"/>
              </w:rPr>
              <w:t>(</w:t>
            </w:r>
            <w:r w:rsidRPr="00956193">
              <w:rPr>
                <w:rFonts w:ascii="Traditional Arabic" w:hAnsi="Traditional Arabic" w:cs="Traditional Arabic"/>
                <w:color w:val="000000" w:themeColor="text1"/>
                <w:highlight w:val="yellow"/>
                <w:rtl/>
              </w:rPr>
              <w:t>لتوجيه رؤساء الأقسام نحو بث الإيجابية وتقدير الإنجازات علنًا</w:t>
            </w:r>
            <w:r w:rsidRPr="00956193">
              <w:rPr>
                <w:rFonts w:ascii="Traditional Arabic" w:hAnsi="Traditional Arabic" w:cs="Traditional Arabic" w:hint="cs"/>
                <w:color w:val="000000" w:themeColor="text1"/>
                <w:highlight w:val="yellow"/>
                <w:rtl/>
              </w:rPr>
              <w:t>.</w:t>
            </w:r>
          </w:p>
        </w:tc>
        <w:tc>
          <w:tcPr>
            <w:tcW w:w="223" w:type="pct"/>
          </w:tcPr>
          <w:p w14:paraId="798A833F" w14:textId="67925D63" w:rsidR="00E83CE6" w:rsidRPr="00956193" w:rsidRDefault="00E24E38" w:rsidP="00483126">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lastRenderedPageBreak/>
              <w:t>12 شهر</w:t>
            </w:r>
          </w:p>
        </w:tc>
      </w:tr>
      <w:tr w:rsidR="00E83CE6" w:rsidRPr="00956193" w14:paraId="0C2E19D8" w14:textId="77777777" w:rsidTr="001A7C88">
        <w:tc>
          <w:tcPr>
            <w:cnfStyle w:val="001000000000" w:firstRow="0" w:lastRow="0" w:firstColumn="1" w:lastColumn="0" w:oddVBand="0" w:evenVBand="0" w:oddHBand="0" w:evenHBand="0" w:firstRowFirstColumn="0" w:firstRowLastColumn="0" w:lastRowFirstColumn="0" w:lastRowLastColumn="0"/>
            <w:tcW w:w="119" w:type="pct"/>
          </w:tcPr>
          <w:p w14:paraId="57C1E553" w14:textId="4EBEF080"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b w:val="0"/>
                <w:bCs w:val="0"/>
                <w:color w:val="000000" w:themeColor="text1"/>
                <w:highlight w:val="yellow"/>
                <w:rtl/>
              </w:rPr>
              <w:t>4</w:t>
            </w:r>
          </w:p>
        </w:tc>
        <w:tc>
          <w:tcPr>
            <w:tcW w:w="934" w:type="pct"/>
          </w:tcPr>
          <w:p w14:paraId="00AC9D62" w14:textId="77777777" w:rsidR="00E83CE6" w:rsidRDefault="00B35E74" w:rsidP="00B35E74">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وجود تأثير ذو دلالة إحصائية غير مباشر لإدارة المخاطر على سلامة المرضى من خلال الدور الوسيط الجزئي الذي تقوم به القيادة التحويلية</w:t>
            </w:r>
            <w:r w:rsidRPr="00956193">
              <w:rPr>
                <w:rFonts w:ascii="Traditional Arabic" w:hAnsi="Traditional Arabic" w:cs="Traditional Arabic"/>
                <w:color w:val="000000" w:themeColor="text1"/>
                <w:highlight w:val="yellow"/>
              </w:rPr>
              <w:t>.</w:t>
            </w:r>
          </w:p>
          <w:p w14:paraId="1AE0449D" w14:textId="77777777" w:rsidR="00F2681C" w:rsidRPr="00F2681C" w:rsidRDefault="00F2681C" w:rsidP="00F2681C">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Pr>
            </w:pPr>
            <w:r w:rsidRPr="00F2681C">
              <w:rPr>
                <w:rFonts w:ascii="Traditional Arabic" w:hAnsi="Traditional Arabic" w:cs="Traditional Arabic"/>
                <w:color w:val="000000" w:themeColor="text1"/>
                <w:highlight w:val="yellow"/>
                <w:rtl/>
              </w:rPr>
              <w:t>وجود تأثير غير مباشر دال إحصائياً لتحديد المخاطر على سلامة المرضى من خلال الدور الوسيط للقيادة التحويلية</w:t>
            </w:r>
            <w:r w:rsidRPr="00F2681C">
              <w:rPr>
                <w:rFonts w:ascii="Traditional Arabic" w:hAnsi="Traditional Arabic" w:cs="Traditional Arabic"/>
                <w:color w:val="000000" w:themeColor="text1"/>
                <w:highlight w:val="yellow"/>
              </w:rPr>
              <w:t>.</w:t>
            </w:r>
          </w:p>
          <w:p w14:paraId="28B4E96B" w14:textId="77777777" w:rsidR="00F2681C" w:rsidRPr="00F2681C" w:rsidRDefault="00F2681C" w:rsidP="00F2681C">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Pr>
            </w:pPr>
            <w:r w:rsidRPr="00F2681C">
              <w:rPr>
                <w:rFonts w:ascii="Traditional Arabic" w:hAnsi="Traditional Arabic" w:cs="Traditional Arabic"/>
                <w:color w:val="000000" w:themeColor="text1"/>
                <w:highlight w:val="yellow"/>
                <w:rtl/>
              </w:rPr>
              <w:t>وجود تأثير غير مباشر دال إحصائياً لتحليل المخاطر على سلامة المرضى عبر القيادة التحويلية</w:t>
            </w:r>
            <w:r w:rsidRPr="00F2681C">
              <w:rPr>
                <w:rFonts w:ascii="Traditional Arabic" w:hAnsi="Traditional Arabic" w:cs="Traditional Arabic"/>
                <w:color w:val="000000" w:themeColor="text1"/>
                <w:highlight w:val="yellow"/>
              </w:rPr>
              <w:t>.</w:t>
            </w:r>
          </w:p>
          <w:p w14:paraId="3F6B720E" w14:textId="77777777" w:rsidR="00F2681C" w:rsidRPr="00F2681C" w:rsidRDefault="00F2681C" w:rsidP="00F2681C">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Pr>
            </w:pPr>
            <w:r w:rsidRPr="00F2681C">
              <w:rPr>
                <w:rFonts w:ascii="Traditional Arabic" w:hAnsi="Traditional Arabic" w:cs="Traditional Arabic"/>
                <w:color w:val="000000" w:themeColor="text1"/>
                <w:highlight w:val="yellow"/>
                <w:rtl/>
              </w:rPr>
              <w:lastRenderedPageBreak/>
              <w:t>وجود تأثير غير مباشر دال إحصائياً لتقييم المخاطر على سلامة المرضى من خلال القيادة التحويلية</w:t>
            </w:r>
            <w:r w:rsidRPr="00F2681C">
              <w:rPr>
                <w:rFonts w:ascii="Traditional Arabic" w:hAnsi="Traditional Arabic" w:cs="Traditional Arabic"/>
                <w:color w:val="000000" w:themeColor="text1"/>
                <w:highlight w:val="yellow"/>
              </w:rPr>
              <w:t>.</w:t>
            </w:r>
          </w:p>
          <w:p w14:paraId="314A9093" w14:textId="27A538B8" w:rsidR="00F2681C" w:rsidRPr="00F2681C" w:rsidRDefault="00F2681C" w:rsidP="00F2681C">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F2681C">
              <w:rPr>
                <w:rFonts w:ascii="Traditional Arabic" w:hAnsi="Traditional Arabic" w:cs="Traditional Arabic"/>
                <w:color w:val="000000" w:themeColor="text1"/>
                <w:highlight w:val="yellow"/>
                <w:rtl/>
              </w:rPr>
              <w:t>وجود تأثير غير مباشر دال إحصائياً لاستجابة المخاطر على سلامة المرضى عبر الدور الوسيط للقيادة التحويلية</w:t>
            </w:r>
            <w:r w:rsidRPr="00F2681C">
              <w:rPr>
                <w:rFonts w:ascii="Traditional Arabic" w:hAnsi="Traditional Arabic" w:cs="Traditional Arabic"/>
                <w:color w:val="000000" w:themeColor="text1"/>
                <w:highlight w:val="yellow"/>
              </w:rPr>
              <w:t>.</w:t>
            </w:r>
          </w:p>
        </w:tc>
        <w:tc>
          <w:tcPr>
            <w:tcW w:w="1003" w:type="pct"/>
          </w:tcPr>
          <w:p w14:paraId="14991CA4" w14:textId="573D61C4" w:rsidR="00E83CE6" w:rsidRPr="004D6E7E" w:rsidRDefault="004D6E7E" w:rsidP="004D6E7E">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4D6E7E">
              <w:rPr>
                <w:rFonts w:ascii="Traditional Arabic" w:hAnsi="Traditional Arabic" w:cs="Traditional Arabic"/>
                <w:color w:val="000000" w:themeColor="text1"/>
                <w:highlight w:val="yellow"/>
                <w:rtl/>
              </w:rPr>
              <w:lastRenderedPageBreak/>
              <w:t xml:space="preserve">توصى الدراسة بتبني </w:t>
            </w:r>
            <w:r w:rsidRPr="004D6E7E">
              <w:rPr>
                <w:rFonts w:ascii="Traditional Arabic" w:hAnsi="Traditional Arabic" w:cs="Traditional Arabic"/>
                <w:b/>
                <w:bCs/>
                <w:color w:val="000000" w:themeColor="text1"/>
                <w:highlight w:val="yellow"/>
                <w:rtl/>
              </w:rPr>
              <w:t>نموذج استراتيجي متكامل للإدارة الصحية التحويلية للمخاطر</w:t>
            </w:r>
            <w:r w:rsidRPr="004D6E7E">
              <w:rPr>
                <w:rFonts w:ascii="Traditional Arabic" w:hAnsi="Traditional Arabic" w:cs="Traditional Arabic"/>
                <w:color w:val="000000" w:themeColor="text1"/>
                <w:highlight w:val="yellow"/>
                <w:rtl/>
              </w:rPr>
              <w:t xml:space="preserve"> في المستشفيات الحكومية السعودية، يقوم على المواءمة بين أبعاد إدارة المخاطر الأربعة (تحديد، تحليل، تقييم، استجابة) والسمات السلوكية للقيادة التحويلية. ويتحقق ذلك عبر دمج هذه العمليات في الخطط الاستراتيجية، وتأهيل القيادات الصحية على مهارات التحفيز الإلهامي والاهتمام الفردي لجعل سلامة المرضى هدفاً مؤسسياً. كما يشمل النموذج تفعيل دوائر جودة تفاعلية لرصد المخاطر مبكراً، وتحويل التقارير التحليلية إلى ممارسات إدارية مرنة عبر ورش عمل تشاركية، مع تخصيص الموارد وفق مصفوفة تقييم المخاطر في بيئة </w:t>
            </w:r>
            <w:r w:rsidRPr="004D6E7E">
              <w:rPr>
                <w:rFonts w:ascii="Traditional Arabic" w:hAnsi="Traditional Arabic" w:cs="Traditional Arabic"/>
                <w:color w:val="000000" w:themeColor="text1"/>
                <w:highlight w:val="yellow"/>
                <w:rtl/>
              </w:rPr>
              <w:lastRenderedPageBreak/>
              <w:t>تنظيمية عادلة وآمنة. وفي مرحلة التنفيذ، يوصى بتمكين فرق الاستجابة السريعة وتفويض الصلاحيات لرؤساء الأقسام الطبية مع تعزيز الدعم المعنوي والتحفيزي، بما يضمن رفع جودة الرعاية وتقليل الأخطاء الطبية</w:t>
            </w:r>
            <w:r w:rsidRPr="004D6E7E">
              <w:rPr>
                <w:rFonts w:ascii="Traditional Arabic" w:hAnsi="Traditional Arabic" w:cs="Traditional Arabic"/>
                <w:color w:val="000000" w:themeColor="text1"/>
                <w:highlight w:val="yellow"/>
              </w:rPr>
              <w:t>.</w:t>
            </w:r>
          </w:p>
        </w:tc>
        <w:tc>
          <w:tcPr>
            <w:tcW w:w="2016" w:type="pct"/>
          </w:tcPr>
          <w:p w14:paraId="2A40CDF9" w14:textId="6D4037FC" w:rsidR="006761B0" w:rsidRPr="006761B0" w:rsidRDefault="006761B0" w:rsidP="006761B0">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Pr>
            </w:pPr>
            <w:r>
              <w:rPr>
                <w:rFonts w:ascii="Traditional Arabic" w:hAnsi="Traditional Arabic" w:cs="Traditional Arabic" w:hint="cs"/>
                <w:color w:val="000000" w:themeColor="text1"/>
                <w:highlight w:val="yellow"/>
                <w:rtl/>
              </w:rPr>
              <w:lastRenderedPageBreak/>
              <w:t>أولاً</w:t>
            </w:r>
            <w:r w:rsidRPr="006761B0">
              <w:rPr>
                <w:rFonts w:ascii="Traditional Arabic" w:hAnsi="Traditional Arabic" w:cs="Traditional Arabic"/>
                <w:color w:val="000000" w:themeColor="text1"/>
                <w:highlight w:val="yellow"/>
                <w:rtl/>
              </w:rPr>
              <w:t xml:space="preserve"> صياغة التوجه الاستراتيجي الموحد ودمج أبعاد إدارة المخاطر مع تدريب القيادات الصحية على مهارات القيادة التحويلية، ثم بناء الهياكل الإجرائية عبر دوائر الجودة التفاعلية ومصفوفة المخاطر وورش العمل التشاركية، يليها مرحلة التمكين التشغيلي التي تركز على إعلان ثقافة تنظيمية عادلة وتمكين فرق الاستجابة السريعة وتفويض الصلاحيات، وصولاً إلى مرحلة الاستدامة التي تعتمد على المراجعة الدورية لسلامة المرضى وربط النتائج بالمعايير الوطنية لضمان توافق النموذج مع توجهات وزارة الصحة ورؤية المملكة 2030</w:t>
            </w:r>
            <w:r w:rsidRPr="006761B0">
              <w:rPr>
                <w:rFonts w:ascii="Traditional Arabic" w:hAnsi="Traditional Arabic" w:cs="Traditional Arabic"/>
                <w:color w:val="000000" w:themeColor="text1"/>
                <w:highlight w:val="yellow"/>
              </w:rPr>
              <w:t>.</w:t>
            </w:r>
          </w:p>
          <w:p w14:paraId="50EC6CC2" w14:textId="2735AB77" w:rsidR="00E83CE6" w:rsidRPr="006761B0" w:rsidRDefault="00E83CE6" w:rsidP="00483126">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p>
        </w:tc>
        <w:tc>
          <w:tcPr>
            <w:tcW w:w="704" w:type="pct"/>
          </w:tcPr>
          <w:p w14:paraId="19153CA0" w14:textId="2F61DF80" w:rsidR="00E83CE6" w:rsidRPr="00956193" w:rsidRDefault="007713B9" w:rsidP="007713B9">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إدارة تقنية المعلومات بالمستشفى</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لتطوير أنظمة الإبلاغ الإلكترونية وتحويلها لأدوات قيادية تفاعلية</w:t>
            </w:r>
            <w:r w:rsidRPr="00956193">
              <w:rPr>
                <w:rFonts w:ascii="Traditional Arabic" w:hAnsi="Traditional Arabic" w:cs="Traditional Arabic"/>
                <w:color w:val="000000" w:themeColor="text1"/>
                <w:highlight w:val="yellow"/>
              </w:rPr>
              <w:t>.</w:t>
            </w:r>
          </w:p>
        </w:tc>
        <w:tc>
          <w:tcPr>
            <w:tcW w:w="223" w:type="pct"/>
          </w:tcPr>
          <w:p w14:paraId="5EC37A0C" w14:textId="59CF8EB4" w:rsidR="00E83CE6" w:rsidRPr="00956193" w:rsidRDefault="00E24E38" w:rsidP="00483126">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t>18 شهر</w:t>
            </w:r>
          </w:p>
        </w:tc>
      </w:tr>
      <w:tr w:rsidR="00E83CE6" w:rsidRPr="001A7C88" w14:paraId="1A242478" w14:textId="77777777" w:rsidTr="001A7C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1C5DF5C2" w14:textId="0E1D31E6"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b w:val="0"/>
                <w:bCs w:val="0"/>
                <w:color w:val="000000" w:themeColor="text1"/>
                <w:highlight w:val="yellow"/>
                <w:rtl/>
              </w:rPr>
              <w:t>5</w:t>
            </w:r>
          </w:p>
        </w:tc>
        <w:tc>
          <w:tcPr>
            <w:tcW w:w="934" w:type="pct"/>
          </w:tcPr>
          <w:p w14:paraId="5FA23421" w14:textId="41D72EDD" w:rsidR="00E83CE6" w:rsidRPr="00956193" w:rsidRDefault="00B35E74" w:rsidP="00B35E74">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وجود فروق ذات دلالة إحصائية في إدراك أفراد العينة لمتغيرات الدراسة تعزى للمتغيرات الديموغرافية (النوع، المؤهل العلمي، سنوات الخبرة)، في حين لم تظهر فروق تعزى لنوع الوظيفة</w:t>
            </w:r>
            <w:r w:rsidRPr="00956193">
              <w:rPr>
                <w:rFonts w:ascii="Traditional Arabic" w:hAnsi="Traditional Arabic" w:cs="Traditional Arabic"/>
                <w:color w:val="000000" w:themeColor="text1"/>
                <w:highlight w:val="yellow"/>
              </w:rPr>
              <w:t>.</w:t>
            </w:r>
          </w:p>
        </w:tc>
        <w:tc>
          <w:tcPr>
            <w:tcW w:w="1003" w:type="pct"/>
          </w:tcPr>
          <w:p w14:paraId="6CB6CCD2" w14:textId="5B9E4EDA" w:rsidR="00E83CE6" w:rsidRPr="00956193" w:rsidRDefault="006F6D61" w:rsidP="006F6D61">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Pr>
              <w:t>"</w:t>
            </w:r>
            <w:r w:rsidRPr="00956193">
              <w:rPr>
                <w:rFonts w:ascii="Traditional Arabic" w:hAnsi="Traditional Arabic" w:cs="Traditional Arabic"/>
                <w:color w:val="000000" w:themeColor="text1"/>
                <w:highlight w:val="yellow"/>
                <w:rtl/>
              </w:rPr>
              <w:t>تصميم وتطبيق مسارات تدريبية وتوعوية مخصصة وموجهة ديموغرافياً، لسد فجوات الإدراك بين الفئات والكوادر الصحية المختلفة وتوحيد ممارسات الجودة وثقافة الأمان</w:t>
            </w:r>
            <w:r w:rsidRPr="00956193">
              <w:rPr>
                <w:rFonts w:ascii="Traditional Arabic" w:hAnsi="Traditional Arabic" w:cs="Traditional Arabic"/>
                <w:color w:val="000000" w:themeColor="text1"/>
                <w:highlight w:val="yellow"/>
              </w:rPr>
              <w:t>."</w:t>
            </w:r>
          </w:p>
        </w:tc>
        <w:tc>
          <w:tcPr>
            <w:tcW w:w="2016" w:type="pct"/>
          </w:tcPr>
          <w:p w14:paraId="7ACF18D7" w14:textId="77777777" w:rsidR="007B455C" w:rsidRPr="00956193" w:rsidRDefault="007B455C" w:rsidP="007B455C">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Pr>
            </w:pPr>
            <w:r w:rsidRPr="00956193">
              <w:rPr>
                <w:rFonts w:ascii="Traditional Arabic" w:hAnsi="Traditional Arabic" w:cs="Traditional Arabic"/>
                <w:color w:val="000000" w:themeColor="text1"/>
                <w:highlight w:val="yellow"/>
                <w:rtl/>
              </w:rPr>
              <w:t>تركز الآلية على تضييق الفجوات بين الجنسين وسنوات الخبرة عبر تدريب الكوادر النسائية وحديثي التخرج على تحديد المخاطر والاستجابة لها مبكرًا، مع تبسيط مفاهيم الجودة وسلامة المرضى لحملة البكالوريوس والدبلوم في شكل بطاقات مرئية وورش تفاعلية</w:t>
            </w:r>
            <w:r w:rsidRPr="00956193">
              <w:rPr>
                <w:rFonts w:ascii="Traditional Arabic" w:hAnsi="Traditional Arabic" w:cs="Traditional Arabic"/>
                <w:color w:val="000000" w:themeColor="text1"/>
                <w:highlight w:val="yellow"/>
              </w:rPr>
              <w:t>.</w:t>
            </w:r>
          </w:p>
          <w:p w14:paraId="3BDC97A4" w14:textId="6199D05A" w:rsidR="00E83CE6" w:rsidRPr="00956193" w:rsidRDefault="007B455C" w:rsidP="007B455C">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كما يُستثمر توافق الإدراك بين المسميات الوظيفية المختلفة لتأسيس فرق عمل موحدة ومتعددة التخصصات داخل الأقسام الطبية، تشترك في وضع خطط تحسين جودة الرعاية السريرية وبيئة العمل الآمنة</w:t>
            </w:r>
            <w:r w:rsidRPr="00956193">
              <w:rPr>
                <w:rFonts w:ascii="Traditional Arabic" w:hAnsi="Traditional Arabic" w:cs="Traditional Arabic"/>
                <w:color w:val="000000" w:themeColor="text1"/>
                <w:highlight w:val="yellow"/>
              </w:rPr>
              <w:t>.</w:t>
            </w:r>
          </w:p>
        </w:tc>
        <w:tc>
          <w:tcPr>
            <w:tcW w:w="704" w:type="pct"/>
          </w:tcPr>
          <w:p w14:paraId="73DB4661" w14:textId="37DC295C" w:rsidR="00E83CE6" w:rsidRPr="00956193" w:rsidRDefault="007713B9" w:rsidP="007713B9">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إدارة التدريب والتعليم الطبي المستمر بالمستشفى</w:t>
            </w:r>
            <w:r w:rsidRPr="00956193">
              <w:rPr>
                <w:rFonts w:ascii="Traditional Arabic" w:hAnsi="Traditional Arabic" w:cs="Traditional Arabic" w:hint="cs"/>
                <w:color w:val="000000" w:themeColor="text1"/>
                <w:highlight w:val="yellow"/>
                <w:rtl/>
              </w:rPr>
              <w:t>.</w:t>
            </w:r>
          </w:p>
          <w:p w14:paraId="18B23217" w14:textId="3DFA6747" w:rsidR="007713B9" w:rsidRPr="00956193" w:rsidRDefault="007713B9" w:rsidP="007713B9">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إدارة شؤون التمريض والخدمات الطبية بالمستشفى</w:t>
            </w:r>
            <w:r w:rsidRPr="00956193">
              <w:rPr>
                <w:rFonts w:ascii="Traditional Arabic" w:hAnsi="Traditional Arabic" w:cs="Traditional Arabic"/>
                <w:color w:val="000000" w:themeColor="text1"/>
                <w:highlight w:val="yellow"/>
              </w:rPr>
              <w:t>:</w:t>
            </w:r>
          </w:p>
        </w:tc>
        <w:tc>
          <w:tcPr>
            <w:tcW w:w="223" w:type="pct"/>
          </w:tcPr>
          <w:p w14:paraId="07386916" w14:textId="5B2F112A" w:rsidR="00E83CE6" w:rsidRPr="001A7C88" w:rsidRDefault="00F70672" w:rsidP="00F7067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rtl/>
              </w:rPr>
            </w:pPr>
            <w:r w:rsidRPr="00956193">
              <w:rPr>
                <w:rFonts w:ascii="Traditional Arabic" w:hAnsi="Traditional Arabic" w:cs="Traditional Arabic" w:hint="cs"/>
                <w:color w:val="000000" w:themeColor="text1"/>
                <w:highlight w:val="yellow"/>
                <w:rtl/>
              </w:rPr>
              <w:t>9 أشهر</w:t>
            </w:r>
          </w:p>
        </w:tc>
      </w:tr>
    </w:tbl>
    <w:p w14:paraId="7A8D3D48" w14:textId="77777777" w:rsidR="00CD0153" w:rsidRDefault="00CD0153" w:rsidP="00A813B8">
      <w:pPr>
        <w:bidi/>
        <w:spacing w:after="200" w:line="276" w:lineRule="auto"/>
        <w:jc w:val="both"/>
        <w:rPr>
          <w:rFonts w:ascii="Traditional Arabic" w:hAnsi="Traditional Arabic" w:cs="Traditional Arabic"/>
          <w:b/>
          <w:bCs/>
          <w:color w:val="000000" w:themeColor="text1"/>
          <w:sz w:val="28"/>
          <w:szCs w:val="28"/>
          <w:rtl/>
        </w:rPr>
        <w:sectPr w:rsidR="00CD0153" w:rsidSect="00556E0D">
          <w:pgSz w:w="16838" w:h="11906" w:orient="landscape"/>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pgNumType w:start="138"/>
          <w:cols w:space="708"/>
          <w:bidi/>
          <w:rtlGutter/>
          <w:docGrid w:linePitch="360"/>
        </w:sectPr>
      </w:pPr>
    </w:p>
    <w:p w14:paraId="7DC7FC66" w14:textId="53773E3C" w:rsidR="00A813B8" w:rsidRPr="001C4D6E" w:rsidRDefault="009A7238" w:rsidP="00A813B8">
      <w:pPr>
        <w:bidi/>
        <w:spacing w:after="200" w:line="276" w:lineRule="auto"/>
        <w:jc w:val="both"/>
        <w:rPr>
          <w:rFonts w:ascii="Traditional Arabic" w:hAnsi="Traditional Arabic" w:cs="Traditional Arabic"/>
          <w:b/>
          <w:bCs/>
          <w:color w:val="000000" w:themeColor="text1"/>
          <w:sz w:val="28"/>
          <w:szCs w:val="28"/>
          <w:rtl/>
        </w:rPr>
      </w:pPr>
      <w:r w:rsidRPr="001C4D6E">
        <w:rPr>
          <w:rFonts w:ascii="Traditional Arabic" w:hAnsi="Traditional Arabic" w:cs="Traditional Arabic" w:hint="cs"/>
          <w:b/>
          <w:bCs/>
          <w:color w:val="000000" w:themeColor="text1"/>
          <w:sz w:val="28"/>
          <w:szCs w:val="28"/>
          <w:rtl/>
        </w:rPr>
        <w:lastRenderedPageBreak/>
        <w:t>الخاتمة:</w:t>
      </w:r>
    </w:p>
    <w:p w14:paraId="069C09CF" w14:textId="192E9F81" w:rsidR="00F70672" w:rsidRPr="00F70672" w:rsidRDefault="00F70672" w:rsidP="00F70672">
      <w:pPr>
        <w:bidi/>
        <w:spacing w:after="200" w:line="360" w:lineRule="auto"/>
        <w:ind w:firstLine="720"/>
        <w:jc w:val="both"/>
        <w:rPr>
          <w:rFonts w:ascii="Traditional Arabic" w:hAnsi="Traditional Arabic" w:cs="Traditional Arabic"/>
          <w:color w:val="000000" w:themeColor="text1"/>
          <w:sz w:val="24"/>
          <w:szCs w:val="24"/>
        </w:rPr>
      </w:pPr>
      <w:r w:rsidRPr="00F70672">
        <w:rPr>
          <w:rFonts w:ascii="Traditional Arabic" w:hAnsi="Traditional Arabic" w:cs="Traditional Arabic"/>
          <w:color w:val="000000" w:themeColor="text1"/>
          <w:sz w:val="24"/>
          <w:szCs w:val="24"/>
          <w:rtl/>
        </w:rPr>
        <w:t>إن ختام هذه الدراسة يؤكد أن ممارسات إدارة المخاطر تمثل ركيزة أساسية لتعزيز سلامة المرضى في المستشفيات الحكومية بالمملكة العربية السعودية، وأن القيادة التحويلية تؤدي دوراً وسيطاً جوهرياً في تعظيم هذه العلاقة وتوجيهها؛ من خلال تحفيز العاملين، دعمهم، وتوجيههم نحو تبني ممارسات أكثر فاعلية واستدامة. وقد أظهرت النتائج أن دمج سلوكيات القيادة التحويلية في السياسات الصحية والإدارية يسهم في رفع مستوى جودة الرعاية، تحسين بيئة العمل، وزيادة ثقة المستفيدين بالخدمات الصحية. ومن الناحية العلمية، تقدم هذه الأطروحة إضافة نوعية للأدبيات في مجال الإدارة الصحية عبر بناء نموذج هيكلي يوضح أثر القيادة التحويلية في إدارة المخاطر، مما يفتح الآفاق أمام بحوث مستقبلية لدراسة متغيرات جديدة أو تطبيق النموذج في بيئات صحية مختلفة. وبذلك، فإن القيمة العملية لهذه الدراسة تكمن في توفير توصيات وآليات تنفيذ قابلة للتطبيق الفوري، بينما تكمن قيمتها العلمية في إثراء المعرفة وتوسيع نطاق البحث في مجال القيادة والإدارة الصحية</w:t>
      </w:r>
      <w:r w:rsidRPr="00F70672">
        <w:rPr>
          <w:rFonts w:ascii="Traditional Arabic" w:hAnsi="Traditional Arabic" w:cs="Traditional Arabic"/>
          <w:color w:val="000000" w:themeColor="text1"/>
          <w:sz w:val="24"/>
          <w:szCs w:val="24"/>
        </w:rPr>
        <w:t>.</w:t>
      </w:r>
    </w:p>
    <w:p w14:paraId="2B31064B" w14:textId="77777777" w:rsidR="00F70672" w:rsidRPr="00F70672" w:rsidRDefault="00F70672" w:rsidP="00F70672">
      <w:pPr>
        <w:bidi/>
        <w:spacing w:after="200" w:line="360" w:lineRule="auto"/>
        <w:ind w:firstLine="720"/>
        <w:jc w:val="both"/>
        <w:rPr>
          <w:rFonts w:ascii="Traditional Arabic" w:hAnsi="Traditional Arabic" w:cs="Traditional Arabic"/>
          <w:color w:val="000000" w:themeColor="text1"/>
          <w:sz w:val="24"/>
          <w:szCs w:val="24"/>
        </w:rPr>
      </w:pPr>
      <w:r w:rsidRPr="00F70672">
        <w:rPr>
          <w:rFonts w:ascii="Traditional Arabic" w:hAnsi="Traditional Arabic" w:cs="Traditional Arabic"/>
          <w:color w:val="000000" w:themeColor="text1"/>
          <w:sz w:val="24"/>
          <w:szCs w:val="24"/>
          <w:rtl/>
        </w:rPr>
        <w:t>وفي واقع المستشفيات الحكومية السعودية، يظهر التطبيق العملي لإدارة المخاطر وسلامة المرضى جلياً من خلال البروتوكولات العلاجية الموحدة التي يتم مراجعتها بشكل دوري داخل الأقسام السريرية، بالتوازي مع الامتثال لمتطلبات المركز السعودي لاعتماد المنشآت الصحية</w:t>
      </w:r>
      <w:r w:rsidRPr="00F70672">
        <w:rPr>
          <w:rFonts w:ascii="Traditional Arabic" w:hAnsi="Traditional Arabic" w:cs="Traditional Arabic"/>
          <w:color w:val="000000" w:themeColor="text1"/>
          <w:sz w:val="24"/>
          <w:szCs w:val="24"/>
        </w:rPr>
        <w:t xml:space="preserve"> (</w:t>
      </w:r>
      <w:r w:rsidRPr="00F70672">
        <w:rPr>
          <w:rFonts w:ascii="Traditional Arabic" w:hAnsi="Traditional Arabic" w:cs="Traditional Arabic"/>
          <w:color w:val="000000" w:themeColor="text1"/>
          <w:sz w:val="24"/>
          <w:szCs w:val="24"/>
          <w:rtl/>
        </w:rPr>
        <w:t>سباهي</w:t>
      </w:r>
      <w:r w:rsidRPr="00F70672">
        <w:rPr>
          <w:rFonts w:ascii="Traditional Arabic" w:hAnsi="Traditional Arabic" w:cs="Traditional Arabic"/>
          <w:color w:val="000000" w:themeColor="text1"/>
          <w:sz w:val="24"/>
          <w:szCs w:val="24"/>
        </w:rPr>
        <w:t xml:space="preserve"> CBAHI). </w:t>
      </w:r>
      <w:r w:rsidRPr="00F70672">
        <w:rPr>
          <w:rFonts w:ascii="Traditional Arabic" w:hAnsi="Traditional Arabic" w:cs="Traditional Arabic"/>
          <w:color w:val="000000" w:themeColor="text1"/>
          <w:sz w:val="24"/>
          <w:szCs w:val="24"/>
          <w:rtl/>
        </w:rPr>
        <w:t>إضافة إلى اعتماد أنظمة الإبلاغ الإلكتروني المتقدمة عن الحوادث الطبية (مثل نظام عون أو الأنظمة الداخلية المعتمدة) والتي تتيح للعاملين تسجيل الأخطاء بسهولة وسرية تامة، مما يعزز ثقافة الشفافية والأمان النفسي. كما تُنفذ برامج تدريبية مستمرة للأطباء والتمريض بإشراف إدارات الجودة والمخاطر، وتُعقد ورش عمل دورية لتطوير التفكير النقدي والإبداعي في مواجهة المشكلات التشغيلية اليومية. ويُلاحظ أيضاً أن مبادئ القيادة التحويلية تُدمج عملياً في السياسات التنظيمية عبر تقييم القادة بواسطة بطاقات الأداء المتوازن وربط مخرجات الأداء بالحوافز، بينما تُستخدم التقنيات الرقمية لمتابعة مؤشرات سلامة المرضى بشكل لحظي، وهو ما يتماشى مع مستهدفات برنامج تحول القطاع الصحي وفق رؤية المملكة 2030، وينعكس مباشرة على تحسين جودة الرعاية السريرية ورفع مستوى رضا وثقة المرضى بالمؤسسات الصحية الحكومية</w:t>
      </w:r>
      <w:r w:rsidRPr="00F70672">
        <w:rPr>
          <w:rFonts w:ascii="Traditional Arabic" w:hAnsi="Traditional Arabic" w:cs="Traditional Arabic"/>
          <w:color w:val="000000" w:themeColor="text1"/>
          <w:sz w:val="24"/>
          <w:szCs w:val="24"/>
        </w:rPr>
        <w:t>."</w:t>
      </w:r>
    </w:p>
    <w:p w14:paraId="48E61723" w14:textId="77777777" w:rsidR="000B23B4" w:rsidRPr="00956193" w:rsidRDefault="000B23B4" w:rsidP="000B23B4">
      <w:pPr>
        <w:bidi/>
        <w:spacing w:after="200" w:line="276" w:lineRule="auto"/>
        <w:jc w:val="both"/>
        <w:rPr>
          <w:rFonts w:ascii="Traditional Arabic" w:hAnsi="Traditional Arabic" w:cs="Traditional Arabic"/>
          <w:b/>
          <w:bCs/>
          <w:color w:val="000000" w:themeColor="text1"/>
          <w:sz w:val="24"/>
          <w:szCs w:val="24"/>
          <w:highlight w:val="yellow"/>
          <w:rtl/>
        </w:rPr>
      </w:pPr>
      <w:r w:rsidRPr="000B23B4">
        <w:rPr>
          <w:rFonts w:ascii="Traditional Arabic" w:hAnsi="Traditional Arabic" w:cs="Traditional Arabic"/>
          <w:b/>
          <w:bCs/>
          <w:color w:val="000000" w:themeColor="text1"/>
          <w:sz w:val="24"/>
          <w:szCs w:val="24"/>
          <w:rtl/>
        </w:rPr>
        <w:t xml:space="preserve"> </w:t>
      </w:r>
      <w:r w:rsidRPr="00956193">
        <w:rPr>
          <w:rFonts w:ascii="Traditional Arabic" w:hAnsi="Traditional Arabic" w:cs="Traditional Arabic"/>
          <w:b/>
          <w:bCs/>
          <w:color w:val="000000" w:themeColor="text1"/>
          <w:sz w:val="24"/>
          <w:szCs w:val="24"/>
          <w:highlight w:val="yellow"/>
          <w:rtl/>
        </w:rPr>
        <w:t>المقترحات البحثية للدراسات المستقبلية</w:t>
      </w:r>
      <w:r w:rsidRPr="00956193">
        <w:rPr>
          <w:rFonts w:ascii="Traditional Arabic" w:hAnsi="Traditional Arabic" w:cs="Traditional Arabic"/>
          <w:b/>
          <w:bCs/>
          <w:color w:val="000000" w:themeColor="text1"/>
          <w:sz w:val="24"/>
          <w:szCs w:val="24"/>
          <w:highlight w:val="yellow"/>
        </w:rPr>
        <w:t>:</w:t>
      </w:r>
    </w:p>
    <w:p w14:paraId="18E537BD" w14:textId="595FBD18" w:rsidR="000B23B4" w:rsidRPr="00956193" w:rsidRDefault="000B23B4" w:rsidP="000B23B4">
      <w:pPr>
        <w:bidi/>
        <w:spacing w:after="200" w:line="276" w:lineRule="auto"/>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امتداداً للأثر المعرفي والمنهجي الذي أسفرت عنه نتائج الأطروحة الحالية، وفي سبيل إثراء الأدبيات العلمية في مجال الإدارة والرعاية الصحية، يقترح الباحث إجراء الدراسات المستقبلية التالية</w:t>
      </w:r>
      <w:r w:rsidRPr="00956193">
        <w:rPr>
          <w:rFonts w:ascii="Traditional Arabic" w:hAnsi="Traditional Arabic" w:cs="Traditional Arabic"/>
          <w:color w:val="000000" w:themeColor="text1"/>
          <w:sz w:val="24"/>
          <w:szCs w:val="24"/>
          <w:highlight w:val="yellow"/>
        </w:rPr>
        <w:t>:</w:t>
      </w:r>
    </w:p>
    <w:p w14:paraId="2C981F55"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أثر الأنظمة الرقمية لإدارة المخاطر السريرية على جودة الرعاية والحد من الحوادث الطبية في المستشفيات الحكومية السعودية</w:t>
      </w:r>
      <w:r w:rsidRPr="00956193">
        <w:rPr>
          <w:rFonts w:ascii="Traditional Arabic" w:hAnsi="Traditional Arabic" w:cs="Traditional Arabic"/>
          <w:b/>
          <w:bCs/>
          <w:color w:val="000000" w:themeColor="text1"/>
          <w:sz w:val="24"/>
          <w:szCs w:val="24"/>
          <w:highlight w:val="yellow"/>
        </w:rPr>
        <w:t>.</w:t>
      </w:r>
    </w:p>
    <w:p w14:paraId="62F6D944"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دور القيادة التحويلية في تعزيز ثقافة الأمان العادل</w:t>
      </w:r>
      <w:r w:rsidRPr="00956193">
        <w:rPr>
          <w:rFonts w:ascii="Traditional Arabic" w:hAnsi="Traditional Arabic" w:cs="Traditional Arabic"/>
          <w:b/>
          <w:bCs/>
          <w:color w:val="000000" w:themeColor="text1"/>
          <w:sz w:val="24"/>
          <w:szCs w:val="24"/>
          <w:highlight w:val="yellow"/>
        </w:rPr>
        <w:t xml:space="preserve"> (Just Culture) </w:t>
      </w:r>
      <w:r w:rsidRPr="00956193">
        <w:rPr>
          <w:rFonts w:ascii="Traditional Arabic" w:hAnsi="Traditional Arabic" w:cs="Traditional Arabic"/>
          <w:b/>
          <w:bCs/>
          <w:color w:val="000000" w:themeColor="text1"/>
          <w:sz w:val="24"/>
          <w:szCs w:val="24"/>
          <w:highlight w:val="yellow"/>
          <w:rtl/>
        </w:rPr>
        <w:t>ورفع فاعلية أنظمة الإبلاغ الإلكتروني عن الأخطاء السريرية</w:t>
      </w:r>
      <w:r w:rsidRPr="00956193">
        <w:rPr>
          <w:rFonts w:ascii="Traditional Arabic" w:hAnsi="Traditional Arabic" w:cs="Traditional Arabic"/>
          <w:b/>
          <w:bCs/>
          <w:color w:val="000000" w:themeColor="text1"/>
          <w:sz w:val="24"/>
          <w:szCs w:val="24"/>
          <w:highlight w:val="yellow"/>
        </w:rPr>
        <w:t>.</w:t>
      </w:r>
    </w:p>
    <w:p w14:paraId="32F9FA4B"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lastRenderedPageBreak/>
        <w:t>العلاقة بين الأنماط القيادية الحديثة وجودة بيئة العمل وأثرها على مؤشرات سلامة المرضى في المنشآت الطبية</w:t>
      </w:r>
      <w:r w:rsidRPr="00956193">
        <w:rPr>
          <w:rFonts w:ascii="Traditional Arabic" w:hAnsi="Traditional Arabic" w:cs="Traditional Arabic"/>
          <w:b/>
          <w:bCs/>
          <w:color w:val="000000" w:themeColor="text1"/>
          <w:sz w:val="24"/>
          <w:szCs w:val="24"/>
          <w:highlight w:val="yellow"/>
        </w:rPr>
        <w:t>.</w:t>
      </w:r>
    </w:p>
    <w:p w14:paraId="3B03DB00"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تفعيل دور القيادة التحويلية في دعم واستدامة برامج التدريب والتعليم الطبي المستمر للكوادر الطبية والتمريضية</w:t>
      </w:r>
      <w:r w:rsidRPr="00956193">
        <w:rPr>
          <w:rFonts w:ascii="Traditional Arabic" w:hAnsi="Traditional Arabic" w:cs="Traditional Arabic"/>
          <w:b/>
          <w:bCs/>
          <w:color w:val="000000" w:themeColor="text1"/>
          <w:sz w:val="24"/>
          <w:szCs w:val="24"/>
          <w:highlight w:val="yellow"/>
        </w:rPr>
        <w:t>.</w:t>
      </w:r>
    </w:p>
    <w:p w14:paraId="1DF55AFB"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دراسة مقارنة بين المستشفيات الحكومية ومستشفيات القطاع الخاص في المملكة حول دور القيادة الصحية في تعزيز سلامة المرضى</w:t>
      </w:r>
      <w:r w:rsidRPr="00956193">
        <w:rPr>
          <w:rFonts w:ascii="Traditional Arabic" w:hAnsi="Traditional Arabic" w:cs="Traditional Arabic"/>
          <w:b/>
          <w:bCs/>
          <w:color w:val="000000" w:themeColor="text1"/>
          <w:sz w:val="24"/>
          <w:szCs w:val="24"/>
          <w:highlight w:val="yellow"/>
        </w:rPr>
        <w:t>.</w:t>
      </w:r>
    </w:p>
    <w:p w14:paraId="68B009B3"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أثر أبعاد القيادة التحويلية على الرضا الوظيفي والولاء التنظيمي للكوادر الصحية وانعكاسه على جودة الرعاية المقدمة</w:t>
      </w:r>
      <w:r w:rsidRPr="00956193">
        <w:rPr>
          <w:rFonts w:ascii="Traditional Arabic" w:hAnsi="Traditional Arabic" w:cs="Traditional Arabic"/>
          <w:b/>
          <w:bCs/>
          <w:color w:val="000000" w:themeColor="text1"/>
          <w:sz w:val="24"/>
          <w:szCs w:val="24"/>
          <w:highlight w:val="yellow"/>
        </w:rPr>
        <w:t>.</w:t>
      </w:r>
    </w:p>
    <w:p w14:paraId="447112E9"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الدور الوسيط للرشاقة التنظيمية في العلاقة بين إدارة المخاطر الاستراتيجية وسلامة المرضى بالتجمعات الصحية السعودية</w:t>
      </w:r>
      <w:r w:rsidRPr="00956193">
        <w:rPr>
          <w:rFonts w:ascii="Traditional Arabic" w:hAnsi="Traditional Arabic" w:cs="Traditional Arabic"/>
          <w:b/>
          <w:bCs/>
          <w:color w:val="000000" w:themeColor="text1"/>
          <w:sz w:val="24"/>
          <w:szCs w:val="24"/>
          <w:highlight w:val="yellow"/>
        </w:rPr>
        <w:t>.</w:t>
      </w:r>
    </w:p>
    <w:p w14:paraId="40EF4A4A"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أثر تطبيقات الذكاء الاصطناعي التوليدي في التنبؤ بالمخاطر السريرية قبل حدوثها وتعزيز مستويات أمان الرعاية الصحية</w:t>
      </w:r>
      <w:r w:rsidRPr="00956193">
        <w:rPr>
          <w:rFonts w:ascii="Traditional Arabic" w:hAnsi="Traditional Arabic" w:cs="Traditional Arabic"/>
          <w:b/>
          <w:bCs/>
          <w:color w:val="000000" w:themeColor="text1"/>
          <w:sz w:val="24"/>
          <w:szCs w:val="24"/>
          <w:highlight w:val="yellow"/>
        </w:rPr>
        <w:t>.</w:t>
      </w:r>
    </w:p>
    <w:p w14:paraId="3701C3F6"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دور القيادة الرقمية كمتغير معدل</w:t>
      </w:r>
      <w:r w:rsidRPr="00956193">
        <w:rPr>
          <w:rFonts w:ascii="Traditional Arabic" w:hAnsi="Traditional Arabic" w:cs="Traditional Arabic"/>
          <w:b/>
          <w:bCs/>
          <w:color w:val="000000" w:themeColor="text1"/>
          <w:sz w:val="24"/>
          <w:szCs w:val="24"/>
          <w:highlight w:val="yellow"/>
        </w:rPr>
        <w:t xml:space="preserve"> (Moderating Variable) </w:t>
      </w:r>
      <w:r w:rsidRPr="00956193">
        <w:rPr>
          <w:rFonts w:ascii="Traditional Arabic" w:hAnsi="Traditional Arabic" w:cs="Traditional Arabic"/>
          <w:b/>
          <w:bCs/>
          <w:color w:val="000000" w:themeColor="text1"/>
          <w:sz w:val="24"/>
          <w:szCs w:val="24"/>
          <w:highlight w:val="yellow"/>
          <w:rtl/>
        </w:rPr>
        <w:t>في ضبط العلاقة بين حوكمة المخاطر وتحسين جودة الخدمات الطبية</w:t>
      </w:r>
      <w:r w:rsidRPr="00956193">
        <w:rPr>
          <w:rFonts w:ascii="Traditional Arabic" w:hAnsi="Traditional Arabic" w:cs="Traditional Arabic"/>
          <w:b/>
          <w:bCs/>
          <w:color w:val="000000" w:themeColor="text1"/>
          <w:sz w:val="24"/>
          <w:szCs w:val="24"/>
          <w:highlight w:val="yellow"/>
        </w:rPr>
        <w:t>.</w:t>
      </w:r>
    </w:p>
    <w:p w14:paraId="59C78E5B" w14:textId="77777777" w:rsidR="000B23B4" w:rsidRPr="00956193" w:rsidRDefault="000B23B4" w:rsidP="000B23B4">
      <w:pPr>
        <w:numPr>
          <w:ilvl w:val="0"/>
          <w:numId w:val="49"/>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تحليل أثر المرونة النفسية والمناخ التنظيمي لدى التمريض السعودي كمتغيرات وسيطة بين ممارسات السلامة وجودة الرعاية السريرية</w:t>
      </w:r>
      <w:r w:rsidRPr="00956193">
        <w:rPr>
          <w:rFonts w:ascii="Traditional Arabic" w:hAnsi="Traditional Arabic" w:cs="Traditional Arabic"/>
          <w:b/>
          <w:bCs/>
          <w:color w:val="000000" w:themeColor="text1"/>
          <w:sz w:val="24"/>
          <w:szCs w:val="24"/>
          <w:highlight w:val="yellow"/>
        </w:rPr>
        <w:t>."</w:t>
      </w:r>
    </w:p>
    <w:p w14:paraId="26D3C9DA" w14:textId="77777777" w:rsidR="008A46E4" w:rsidRPr="007A060C"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0A767348"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7959BD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167DE4AD" w14:textId="77777777" w:rsidR="00CD254D" w:rsidRDefault="00CD254D" w:rsidP="008A46E4">
      <w:pPr>
        <w:bidi/>
        <w:spacing w:after="200" w:line="276" w:lineRule="auto"/>
        <w:jc w:val="both"/>
        <w:rPr>
          <w:rFonts w:ascii="Simplified Arabic" w:hAnsi="Simplified Arabic" w:cs="Times New Roman"/>
          <w:b/>
          <w:bCs/>
          <w:color w:val="000000" w:themeColor="text1"/>
          <w:sz w:val="28"/>
          <w:szCs w:val="28"/>
          <w:rtl/>
        </w:rPr>
        <w:sectPr w:rsidR="00CD254D" w:rsidSect="00556E0D">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41"/>
          <w:cols w:space="708"/>
          <w:bidi/>
          <w:rtlGutter/>
          <w:docGrid w:linePitch="360"/>
        </w:sectPr>
      </w:pPr>
    </w:p>
    <w:p w14:paraId="18BF6CC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39553DD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39F93C7D" w14:textId="77777777" w:rsidR="00CD254D" w:rsidRDefault="00CD254D" w:rsidP="008A46E4">
      <w:pPr>
        <w:bidi/>
        <w:spacing w:after="200" w:line="276" w:lineRule="auto"/>
        <w:jc w:val="center"/>
        <w:rPr>
          <w:rFonts w:ascii="Simplified Arabic" w:hAnsi="Simplified Arabic" w:cs="Simplified Arabic"/>
          <w:b/>
          <w:bCs/>
          <w:color w:val="000000" w:themeColor="text1"/>
          <w:sz w:val="72"/>
          <w:szCs w:val="72"/>
          <w:rtl/>
        </w:rPr>
      </w:pPr>
    </w:p>
    <w:p w14:paraId="709B1B0E" w14:textId="77777777" w:rsidR="00CD254D" w:rsidRDefault="00CD254D" w:rsidP="00CD254D">
      <w:pPr>
        <w:bidi/>
        <w:spacing w:after="200" w:line="276" w:lineRule="auto"/>
        <w:jc w:val="center"/>
        <w:rPr>
          <w:rFonts w:ascii="Simplified Arabic" w:hAnsi="Simplified Arabic" w:cs="Simplified Arabic"/>
          <w:b/>
          <w:bCs/>
          <w:color w:val="000000" w:themeColor="text1"/>
          <w:sz w:val="72"/>
          <w:szCs w:val="72"/>
          <w:rtl/>
        </w:rPr>
      </w:pPr>
    </w:p>
    <w:p w14:paraId="3ECD72F5" w14:textId="77777777" w:rsidR="00CD254D" w:rsidRDefault="00CD254D" w:rsidP="00CD254D">
      <w:pPr>
        <w:bidi/>
        <w:spacing w:after="200" w:line="276" w:lineRule="auto"/>
        <w:jc w:val="center"/>
        <w:rPr>
          <w:rFonts w:ascii="Simplified Arabic" w:hAnsi="Simplified Arabic" w:cs="Simplified Arabic"/>
          <w:b/>
          <w:bCs/>
          <w:color w:val="000000" w:themeColor="text1"/>
          <w:sz w:val="72"/>
          <w:szCs w:val="72"/>
          <w:rtl/>
        </w:rPr>
      </w:pPr>
    </w:p>
    <w:p w14:paraId="380DEA17" w14:textId="6ABFFED0" w:rsidR="008A46E4" w:rsidRPr="00CD254D" w:rsidRDefault="008A46E4" w:rsidP="00CD254D">
      <w:pPr>
        <w:bidi/>
        <w:spacing w:after="200" w:line="276" w:lineRule="auto"/>
        <w:jc w:val="center"/>
        <w:rPr>
          <w:rFonts w:ascii="Traditional Arabic" w:hAnsi="Traditional Arabic" w:cs="Traditional Arabic"/>
          <w:b/>
          <w:bCs/>
          <w:color w:val="000000" w:themeColor="text1"/>
          <w:sz w:val="144"/>
          <w:szCs w:val="144"/>
          <w:rtl/>
        </w:rPr>
      </w:pPr>
      <w:r w:rsidRPr="00CD254D">
        <w:rPr>
          <w:rFonts w:ascii="Traditional Arabic" w:hAnsi="Traditional Arabic" w:cs="Traditional Arabic" w:hint="cs"/>
          <w:b/>
          <w:bCs/>
          <w:color w:val="000000" w:themeColor="text1"/>
          <w:sz w:val="144"/>
          <w:szCs w:val="144"/>
          <w:rtl/>
        </w:rPr>
        <w:t>ملخص الدراسة</w:t>
      </w:r>
    </w:p>
    <w:p w14:paraId="3A72404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88F4B4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76BA7C90" w14:textId="77777777" w:rsidR="00CD254D" w:rsidRDefault="00CD254D" w:rsidP="008A46E4">
      <w:pPr>
        <w:bidi/>
        <w:spacing w:after="200" w:line="276" w:lineRule="auto"/>
        <w:jc w:val="both"/>
        <w:rPr>
          <w:rFonts w:ascii="Simplified Arabic" w:hAnsi="Simplified Arabic" w:cs="Times New Roman"/>
          <w:b/>
          <w:bCs/>
          <w:color w:val="000000" w:themeColor="text1"/>
          <w:sz w:val="28"/>
          <w:szCs w:val="28"/>
          <w:rtl/>
        </w:rPr>
        <w:sectPr w:rsidR="00CD254D" w:rsidSect="00CD254D">
          <w:footerReference w:type="default" r:id="rId55"/>
          <w:pgSz w:w="11906" w:h="16838"/>
          <w:pgMar w:top="1440" w:right="1800" w:bottom="1440" w:left="1800" w:header="708" w:footer="708" w:gutter="0"/>
          <w:pgNumType w:start="140"/>
          <w:cols w:space="708"/>
          <w:bidi/>
          <w:rtlGutter/>
          <w:docGrid w:linePitch="360"/>
        </w:sectPr>
      </w:pPr>
    </w:p>
    <w:p w14:paraId="553C7E6F" w14:textId="77777777" w:rsidR="008A46E4" w:rsidRPr="000B537F" w:rsidRDefault="008A46E4" w:rsidP="0091552D">
      <w:pPr>
        <w:spacing w:line="240" w:lineRule="auto"/>
        <w:jc w:val="center"/>
        <w:rPr>
          <w:rFonts w:ascii="Traditional Arabic" w:hAnsi="Traditional Arabic" w:cs="Traditional Arabic"/>
          <w:b/>
          <w:bCs/>
          <w:sz w:val="28"/>
          <w:szCs w:val="28"/>
          <w:rtl/>
        </w:rPr>
      </w:pPr>
      <w:r w:rsidRPr="000B537F">
        <w:rPr>
          <w:rFonts w:ascii="Traditional Arabic" w:hAnsi="Traditional Arabic" w:cs="Traditional Arabic" w:hint="cs"/>
          <w:b/>
          <w:bCs/>
          <w:sz w:val="28"/>
          <w:szCs w:val="28"/>
          <w:rtl/>
        </w:rPr>
        <w:lastRenderedPageBreak/>
        <w:t>تأثير إدارة المخاطر على سلامة المرضى: وتحليل الدور الوسيط للقيادة التحويلية: دراسة ميدانية على المرافق الصحية الحكومية</w:t>
      </w:r>
    </w:p>
    <w:p w14:paraId="4E6F1AF5" w14:textId="6FD32F6A" w:rsidR="008A46E4" w:rsidRPr="000B537F" w:rsidRDefault="008A46E4" w:rsidP="008A46E4">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مقدمة:</w:t>
      </w:r>
    </w:p>
    <w:p w14:paraId="63E112D0" w14:textId="1AAE1348" w:rsidR="008A46E4" w:rsidRPr="000B537F" w:rsidRDefault="008A46E4" w:rsidP="000B537F">
      <w:pPr>
        <w:bidi/>
        <w:spacing w:after="200" w:line="360" w:lineRule="auto"/>
        <w:jc w:val="both"/>
        <w:rPr>
          <w:rFonts w:ascii="Traditional Arabic" w:hAnsi="Traditional Arabic" w:cs="Traditional Arabic"/>
          <w:color w:val="000000" w:themeColor="text1"/>
          <w:sz w:val="24"/>
          <w:szCs w:val="24"/>
          <w:rtl/>
        </w:rPr>
      </w:pPr>
      <w:r w:rsidRPr="000B537F">
        <w:rPr>
          <w:rFonts w:ascii="Traditional Arabic" w:hAnsi="Traditional Arabic" w:cs="Traditional Arabic" w:hint="cs"/>
          <w:color w:val="000000" w:themeColor="text1"/>
          <w:sz w:val="24"/>
          <w:szCs w:val="24"/>
          <w:rtl/>
        </w:rPr>
        <w:t>إدارة المخاطر تعد عنصرًا أساسيًا لضمان جودة الرعاية الصحية وسلامة المرضى، إذ تعتمد على سياسات وإجراءات وتدريب وأنظمة إبلاغ تقلل الأخطاء وتعزز ثقافة السلامة. وفي المقابل، تمثل القيادة التحويلية أسلوبًا إداريًا فعالًا يمكّن المؤسسات الصحية من التنبؤ بالأزمات والتغيرات المفاجئة، وتحفيز العاملين، وبناء فرق عالية الأداء قادرة على مواجهة التحديات. وقد أثبتت الدراسات أن هذا النمط القيادي يسهم في تحسين رضا المرضى، تطوير بيئة عمل آمنة، وزيادة قدرة المستشفيات الحكومية على الاستجابة للأزمات، مما يجعل القيادة التحويلية وإدارة المخاطر معًا ركيزتين أساسيتين لتحقيق استمرارية تقديم خدمات صحية آمنة وعالية الجودة</w:t>
      </w:r>
      <w:r w:rsidRPr="000B537F">
        <w:rPr>
          <w:rFonts w:ascii="Traditional Arabic" w:hAnsi="Traditional Arabic" w:cs="Traditional Arabic" w:hint="cs"/>
          <w:color w:val="000000" w:themeColor="text1"/>
          <w:sz w:val="24"/>
          <w:szCs w:val="24"/>
        </w:rPr>
        <w:t>.</w:t>
      </w:r>
    </w:p>
    <w:p w14:paraId="175639D5" w14:textId="5A272513" w:rsidR="00C13EBC" w:rsidRPr="000B537F" w:rsidRDefault="00C13EBC" w:rsidP="00C13EBC">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مشكلة الدراسة :</w:t>
      </w:r>
    </w:p>
    <w:p w14:paraId="6341A7A3" w14:textId="77777777" w:rsidR="008843C5" w:rsidRPr="008843C5" w:rsidRDefault="00087385" w:rsidP="008843C5">
      <w:pPr>
        <w:bidi/>
        <w:spacing w:line="360" w:lineRule="auto"/>
        <w:ind w:firstLine="720"/>
        <w:jc w:val="both"/>
        <w:rPr>
          <w:rFonts w:ascii="Traditional Arabic" w:hAnsi="Traditional Arabic" w:cs="Traditional Arabic"/>
          <w:b/>
          <w:bCs/>
          <w:sz w:val="24"/>
          <w:szCs w:val="24"/>
          <w:lang w:bidi="ar-EG"/>
        </w:rPr>
      </w:pPr>
      <w:r w:rsidRPr="000B537F">
        <w:rPr>
          <w:rFonts w:ascii="Traditional Arabic" w:hAnsi="Traditional Arabic" w:cs="Traditional Arabic" w:hint="cs"/>
          <w:sz w:val="24"/>
          <w:szCs w:val="24"/>
          <w:rtl/>
          <w:lang w:bidi="ar-EG"/>
        </w:rPr>
        <w:t xml:space="preserve">يمكن بلورة مشكلة الدراسة في التساؤل الرئيسي التالي: </w:t>
      </w:r>
      <w:r w:rsidR="008843C5" w:rsidRPr="008843C5">
        <w:rPr>
          <w:rFonts w:ascii="Traditional Arabic" w:hAnsi="Traditional Arabic" w:cs="Traditional Arabic"/>
          <w:b/>
          <w:bCs/>
          <w:sz w:val="24"/>
          <w:szCs w:val="24"/>
          <w:lang w:bidi="ar-EG"/>
        </w:rPr>
        <w:t>"</w:t>
      </w:r>
      <w:r w:rsidR="008843C5" w:rsidRPr="008843C5">
        <w:rPr>
          <w:rFonts w:ascii="Traditional Arabic" w:hAnsi="Traditional Arabic" w:cs="Traditional Arabic"/>
          <w:b/>
          <w:bCs/>
          <w:sz w:val="24"/>
          <w:szCs w:val="24"/>
          <w:rtl/>
        </w:rPr>
        <w:t>ما أثر ممارسات إدارة المخاطر على سلامة المرضى في المستشفيات الحكومية بالمملكة العربية السعودية في ظل الدور الوسيط للقيادة التحويلية؟</w:t>
      </w:r>
      <w:r w:rsidR="008843C5" w:rsidRPr="008843C5">
        <w:rPr>
          <w:rFonts w:ascii="Traditional Arabic" w:hAnsi="Traditional Arabic" w:cs="Traditional Arabic"/>
          <w:b/>
          <w:bCs/>
          <w:sz w:val="24"/>
          <w:szCs w:val="24"/>
          <w:lang w:bidi="ar-EG"/>
        </w:rPr>
        <w:t>"</w:t>
      </w:r>
    </w:p>
    <w:p w14:paraId="64790E2E" w14:textId="68C8F75F" w:rsidR="00C13EBC" w:rsidRPr="000B537F" w:rsidRDefault="00C13EBC" w:rsidP="008843C5">
      <w:pPr>
        <w:bidi/>
        <w:spacing w:line="360" w:lineRule="auto"/>
        <w:ind w:firstLine="720"/>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هدف الدراسة :</w:t>
      </w:r>
    </w:p>
    <w:p w14:paraId="3D92AFCB" w14:textId="3F6EDF1B" w:rsidR="008843C5" w:rsidRDefault="008843C5" w:rsidP="004E074D">
      <w:pPr>
        <w:bidi/>
        <w:spacing w:after="200" w:line="360" w:lineRule="auto"/>
        <w:jc w:val="both"/>
        <w:rPr>
          <w:rFonts w:ascii="Traditional Arabic" w:hAnsi="Traditional Arabic" w:cs="Traditional Arabic"/>
          <w:color w:val="000000" w:themeColor="text1"/>
          <w:sz w:val="24"/>
          <w:szCs w:val="24"/>
          <w:rtl/>
        </w:rPr>
      </w:pPr>
      <w:r w:rsidRPr="008843C5">
        <w:rPr>
          <w:rFonts w:ascii="Traditional Arabic" w:hAnsi="Traditional Arabic" w:cs="Traditional Arabic"/>
          <w:color w:val="000000" w:themeColor="text1"/>
          <w:sz w:val="24"/>
          <w:szCs w:val="24"/>
          <w:rtl/>
        </w:rPr>
        <w:t>هدفت الدراسة الحالية إلى تحليل أثر ممارسات إدارة المخاطر على سلامة المرضى في المستشفيات الحكومية بالمملكة العربية السعودية، والتحقق من الدور الوسيط الذي تلعبه القيادة التحويلية في تفسير وتعزيز هذه العلاقة، مع تقييم مستوى تطبيق هذه المتغيرات ميدانياً من وجهة نظر العاملين</w:t>
      </w:r>
      <w:r>
        <w:rPr>
          <w:rFonts w:ascii="Traditional Arabic" w:hAnsi="Traditional Arabic" w:cs="Traditional Arabic" w:hint="cs"/>
          <w:color w:val="000000" w:themeColor="text1"/>
          <w:sz w:val="24"/>
          <w:szCs w:val="24"/>
          <w:rtl/>
        </w:rPr>
        <w:t>.</w:t>
      </w:r>
    </w:p>
    <w:p w14:paraId="22FCEEB0" w14:textId="2759DD7C" w:rsidR="008F7053" w:rsidRPr="000B537F" w:rsidRDefault="008F7053" w:rsidP="008843C5">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عينة الدراسة :</w:t>
      </w:r>
    </w:p>
    <w:p w14:paraId="38A4698C" w14:textId="2B7F1685" w:rsidR="008F7053" w:rsidRPr="00153BD5" w:rsidRDefault="006B571C" w:rsidP="00153BD5">
      <w:pPr>
        <w:bidi/>
        <w:spacing w:after="200" w:line="360" w:lineRule="auto"/>
        <w:jc w:val="both"/>
        <w:rPr>
          <w:rFonts w:ascii="Traditional Arabic" w:hAnsi="Traditional Arabic" w:cs="Traditional Arabic"/>
          <w:color w:val="000000" w:themeColor="text1"/>
          <w:sz w:val="24"/>
          <w:szCs w:val="24"/>
          <w:rtl/>
        </w:rPr>
      </w:pPr>
      <w:r w:rsidRPr="00153BD5">
        <w:rPr>
          <w:rFonts w:ascii="Traditional Arabic" w:hAnsi="Traditional Arabic" w:cs="Traditional Arabic" w:hint="cs"/>
          <w:color w:val="000000" w:themeColor="text1"/>
          <w:sz w:val="24"/>
          <w:szCs w:val="24"/>
          <w:rtl/>
        </w:rPr>
        <w:t>تم اختيار عينة عشوائية طبقية من مجتمع الدراسة حجمها (389) مشاركًا من أصل مجتمع يبلغ 15,000، وزعت عليهم الاستبانة إلكترونيًا وكانت جميعها صالحة للتحليل. وقد تم تحديد حجم العينة باستخدام معادلة</w:t>
      </w:r>
      <w:r w:rsidRPr="00153BD5">
        <w:rPr>
          <w:rFonts w:ascii="Traditional Arabic" w:hAnsi="Traditional Arabic" w:cs="Traditional Arabic" w:hint="cs"/>
          <w:color w:val="000000" w:themeColor="text1"/>
          <w:sz w:val="24"/>
          <w:szCs w:val="24"/>
        </w:rPr>
        <w:t xml:space="preserve"> Yamane (1967) </w:t>
      </w:r>
      <w:r w:rsidRPr="00153BD5">
        <w:rPr>
          <w:rFonts w:ascii="Traditional Arabic" w:hAnsi="Traditional Arabic" w:cs="Traditional Arabic" w:hint="cs"/>
          <w:color w:val="000000" w:themeColor="text1"/>
          <w:sz w:val="24"/>
          <w:szCs w:val="24"/>
          <w:rtl/>
        </w:rPr>
        <w:t>ومعايير</w:t>
      </w:r>
      <w:r w:rsidRPr="00153BD5">
        <w:rPr>
          <w:rFonts w:ascii="Traditional Arabic" w:hAnsi="Traditional Arabic" w:cs="Traditional Arabic" w:hint="cs"/>
          <w:color w:val="000000" w:themeColor="text1"/>
          <w:sz w:val="24"/>
          <w:szCs w:val="24"/>
        </w:rPr>
        <w:t xml:space="preserve"> Krejcie &amp; Morgan (1970) </w:t>
      </w:r>
      <w:r w:rsidR="008843C5">
        <w:rPr>
          <w:rFonts w:ascii="Traditional Arabic" w:hAnsi="Traditional Arabic" w:cs="Traditional Arabic" w:hint="cs"/>
          <w:color w:val="000000" w:themeColor="text1"/>
          <w:sz w:val="24"/>
          <w:szCs w:val="24"/>
          <w:rtl/>
        </w:rPr>
        <w:t xml:space="preserve"> </w:t>
      </w:r>
      <w:r w:rsidRPr="00153BD5">
        <w:rPr>
          <w:rFonts w:ascii="Traditional Arabic" w:hAnsi="Traditional Arabic" w:cs="Traditional Arabic" w:hint="cs"/>
          <w:color w:val="000000" w:themeColor="text1"/>
          <w:sz w:val="24"/>
          <w:szCs w:val="24"/>
          <w:rtl/>
        </w:rPr>
        <w:t xml:space="preserve">عند هامش خطأ </w:t>
      </w:r>
      <w:r w:rsidR="00A57142">
        <w:rPr>
          <w:rFonts w:ascii="Traditional Arabic" w:hAnsi="Traditional Arabic" w:cs="Traditional Arabic" w:hint="cs"/>
          <w:color w:val="000000" w:themeColor="text1"/>
          <w:sz w:val="24"/>
          <w:szCs w:val="24"/>
          <w:rtl/>
        </w:rPr>
        <w:t>5 % .</w:t>
      </w:r>
    </w:p>
    <w:p w14:paraId="35576B4A" w14:textId="61DCE402" w:rsidR="004441EE" w:rsidRPr="00153BD5" w:rsidRDefault="006B571C"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t>أداة</w:t>
      </w:r>
      <w:r w:rsidR="004441EE" w:rsidRPr="00153BD5">
        <w:rPr>
          <w:rFonts w:ascii="Traditional Arabic" w:hAnsi="Traditional Arabic" w:cs="Traditional Arabic" w:hint="cs"/>
          <w:b/>
          <w:bCs/>
          <w:color w:val="000000" w:themeColor="text1"/>
          <w:sz w:val="24"/>
          <w:szCs w:val="24"/>
          <w:rtl/>
        </w:rPr>
        <w:t xml:space="preserve"> الدراسة :</w:t>
      </w:r>
    </w:p>
    <w:p w14:paraId="2136047F" w14:textId="08C03086" w:rsidR="006B571C" w:rsidRPr="00153BD5" w:rsidRDefault="006B571C" w:rsidP="00153BD5">
      <w:p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أداة الدراسة كانت استبانة شاملة تضمنت 60 عبارة موزعة على ثلاثة محاور رئيسة: القيادة التحويلية (20 عبارة)، سلامة المرضى (20 عبارة)، وإدارة المخاطر (20 عبارة)، بما يضمن قياس المتغيرات المستهدفة بدقة وارتباطها بواقع المستشفيات الحكومية في المملكة العربية السعودية</w:t>
      </w:r>
      <w:r w:rsidRPr="00153BD5">
        <w:rPr>
          <w:rFonts w:ascii="Traditional Arabic" w:hAnsi="Traditional Arabic" w:cs="Traditional Arabic" w:hint="cs"/>
          <w:color w:val="000000" w:themeColor="text1"/>
          <w:sz w:val="24"/>
          <w:szCs w:val="24"/>
        </w:rPr>
        <w:t>.</w:t>
      </w:r>
    </w:p>
    <w:p w14:paraId="1E58B61D" w14:textId="0C09937E" w:rsidR="00C13EBC" w:rsidRPr="00153BD5" w:rsidRDefault="004441EE"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lastRenderedPageBreak/>
        <w:t>الأساليب الإحصائية :</w:t>
      </w:r>
    </w:p>
    <w:p w14:paraId="24B02148" w14:textId="637D9077" w:rsidR="00A41CBA" w:rsidRPr="00A41CBA" w:rsidRDefault="00A065FE" w:rsidP="00A41CBA">
      <w:pPr>
        <w:bidi/>
        <w:spacing w:after="200" w:line="360" w:lineRule="auto"/>
        <w:jc w:val="both"/>
        <w:rPr>
          <w:rFonts w:ascii="Traditional Arabic" w:hAnsi="Traditional Arabic" w:cs="Traditional Arabic"/>
          <w:color w:val="000000" w:themeColor="text1"/>
          <w:sz w:val="24"/>
          <w:szCs w:val="24"/>
          <w:rtl/>
        </w:rPr>
      </w:pPr>
      <w:r w:rsidRPr="00A41CBA">
        <w:rPr>
          <w:rFonts w:ascii="Traditional Arabic" w:hAnsi="Traditional Arabic" w:cs="Traditional Arabic"/>
          <w:color w:val="000000" w:themeColor="text1"/>
          <w:sz w:val="24"/>
          <w:szCs w:val="24"/>
          <w:rtl/>
        </w:rPr>
        <w:t>استخدمت الباحثة عدة أساليب إحصائية للتأكد من الثبات والصدق الداخلي</w:t>
      </w:r>
      <w:r w:rsidRPr="00A41CBA">
        <w:rPr>
          <w:rFonts w:ascii="Traditional Arabic" w:hAnsi="Traditional Arabic" w:cs="Traditional Arabic" w:hint="cs"/>
          <w:color w:val="000000" w:themeColor="text1"/>
          <w:sz w:val="24"/>
          <w:szCs w:val="24"/>
          <w:rtl/>
        </w:rPr>
        <w:t xml:space="preserve"> </w:t>
      </w:r>
      <w:r w:rsidRPr="00A41CBA">
        <w:rPr>
          <w:rFonts w:ascii="Traditional Arabic" w:hAnsi="Traditional Arabic" w:cs="Traditional Arabic"/>
          <w:color w:val="000000" w:themeColor="text1"/>
          <w:sz w:val="24"/>
          <w:szCs w:val="24"/>
          <w:rtl/>
        </w:rPr>
        <w:t>للأداة (ألفا كرونباخ ومعامل ارتباط بيرسون)، ثم حللت العلاقات والأثر المباشر وغير المباشر</w:t>
      </w:r>
      <w:r w:rsidRPr="00A41CBA">
        <w:rPr>
          <w:rFonts w:ascii="Traditional Arabic" w:hAnsi="Traditional Arabic" w:cs="Traditional Arabic" w:hint="cs"/>
          <w:color w:val="000000" w:themeColor="text1"/>
          <w:sz w:val="24"/>
          <w:szCs w:val="24"/>
          <w:rtl/>
        </w:rPr>
        <w:t xml:space="preserve"> </w:t>
      </w:r>
      <w:r w:rsidRPr="00A41CBA">
        <w:rPr>
          <w:rFonts w:ascii="Traditional Arabic" w:hAnsi="Traditional Arabic" w:cs="Traditional Arabic"/>
          <w:color w:val="000000" w:themeColor="text1"/>
          <w:sz w:val="24"/>
          <w:szCs w:val="24"/>
          <w:rtl/>
        </w:rPr>
        <w:t xml:space="preserve">بين المتغيرات باستخدام الارتباط، الانحدار الخطي البسيط، </w:t>
      </w:r>
      <w:r w:rsidR="00A41CBA" w:rsidRPr="00A41CBA">
        <w:rPr>
          <w:rFonts w:ascii="Traditional Arabic" w:hAnsi="Traditional Arabic" w:cs="Traditional Arabic"/>
          <w:color w:val="000000" w:themeColor="text1"/>
          <w:sz w:val="24"/>
          <w:szCs w:val="24"/>
          <w:rtl/>
        </w:rPr>
        <w:t>بالإضافة إلى نمذجة المعادلات الهيكلية بطريقة المربعات الصغرى الجزئية</w:t>
      </w:r>
      <w:r w:rsidR="00A41CBA" w:rsidRPr="00A41CBA">
        <w:rPr>
          <w:rFonts w:ascii="Traditional Arabic" w:hAnsi="Traditional Arabic" w:cs="Traditional Arabic"/>
          <w:color w:val="000000" w:themeColor="text1"/>
          <w:sz w:val="24"/>
          <w:szCs w:val="24"/>
        </w:rPr>
        <w:t xml:space="preserve"> (PLS-SEM) </w:t>
      </w:r>
      <w:r w:rsidR="00A41CBA">
        <w:rPr>
          <w:rFonts w:ascii="Traditional Arabic" w:hAnsi="Traditional Arabic" w:cs="Traditional Arabic" w:hint="cs"/>
          <w:color w:val="000000" w:themeColor="text1"/>
          <w:sz w:val="24"/>
          <w:szCs w:val="24"/>
          <w:rtl/>
        </w:rPr>
        <w:t>ل</w:t>
      </w:r>
      <w:r w:rsidR="00A41CBA" w:rsidRPr="00A41CBA">
        <w:rPr>
          <w:rFonts w:ascii="Traditional Arabic" w:hAnsi="Traditional Arabic" w:cs="Traditional Arabic"/>
          <w:color w:val="000000" w:themeColor="text1"/>
          <w:sz w:val="24"/>
          <w:szCs w:val="24"/>
          <w:rtl/>
        </w:rPr>
        <w:t>لعلاقات السببية</w:t>
      </w:r>
      <w:r w:rsidR="00A41CBA" w:rsidRPr="00A41CBA">
        <w:rPr>
          <w:rFonts w:ascii="Traditional Arabic" w:hAnsi="Traditional Arabic" w:cs="Traditional Arabic" w:hint="cs"/>
          <w:color w:val="000000" w:themeColor="text1"/>
          <w:sz w:val="24"/>
          <w:szCs w:val="24"/>
          <w:rtl/>
        </w:rPr>
        <w:t xml:space="preserve">، </w:t>
      </w:r>
      <w:r w:rsidRPr="00A41CBA">
        <w:rPr>
          <w:rFonts w:ascii="Traditional Arabic" w:hAnsi="Traditional Arabic" w:cs="Traditional Arabic" w:hint="cs"/>
          <w:color w:val="000000" w:themeColor="text1"/>
          <w:sz w:val="24"/>
          <w:szCs w:val="24"/>
          <w:rtl/>
        </w:rPr>
        <w:t>و</w:t>
      </w:r>
      <w:r w:rsidRPr="00A41CBA">
        <w:rPr>
          <w:rFonts w:ascii="Traditional Arabic" w:hAnsi="Traditional Arabic" w:cs="Traditional Arabic"/>
          <w:color w:val="000000" w:themeColor="text1"/>
          <w:sz w:val="24"/>
          <w:szCs w:val="24"/>
          <w:rtl/>
        </w:rPr>
        <w:t>الاختبارات المقارنة (</w:t>
      </w:r>
      <w:r w:rsidRPr="00A41CBA">
        <w:rPr>
          <w:rFonts w:ascii="Traditional Arabic" w:hAnsi="Traditional Arabic" w:cs="Traditional Arabic"/>
          <w:color w:val="000000" w:themeColor="text1"/>
          <w:sz w:val="24"/>
          <w:szCs w:val="24"/>
        </w:rPr>
        <w:t>T-test</w:t>
      </w:r>
      <w:r w:rsidRPr="00A41CBA">
        <w:rPr>
          <w:rFonts w:ascii="Traditional Arabic" w:hAnsi="Traditional Arabic" w:cs="Traditional Arabic"/>
          <w:color w:val="000000" w:themeColor="text1"/>
          <w:sz w:val="24"/>
          <w:szCs w:val="24"/>
          <w:rtl/>
        </w:rPr>
        <w:t xml:space="preserve"> </w:t>
      </w:r>
      <w:r w:rsidR="008843C5" w:rsidRPr="00A41CBA">
        <w:rPr>
          <w:rFonts w:ascii="Traditional Arabic" w:hAnsi="Traditional Arabic" w:cs="Traditional Arabic" w:hint="cs"/>
          <w:color w:val="000000" w:themeColor="text1"/>
          <w:sz w:val="24"/>
          <w:szCs w:val="24"/>
          <w:rtl/>
        </w:rPr>
        <w:t xml:space="preserve">&amp;  </w:t>
      </w:r>
      <w:r w:rsidRPr="00A41CBA">
        <w:rPr>
          <w:rFonts w:ascii="Traditional Arabic" w:hAnsi="Traditional Arabic" w:cs="Traditional Arabic"/>
          <w:color w:val="000000" w:themeColor="text1"/>
          <w:sz w:val="24"/>
          <w:szCs w:val="24"/>
        </w:rPr>
        <w:t>ANOVA</w:t>
      </w:r>
      <w:r w:rsidR="008843C5" w:rsidRPr="00A41CBA">
        <w:rPr>
          <w:rFonts w:ascii="Traditional Arabic" w:hAnsi="Traditional Arabic" w:cs="Traditional Arabic" w:hint="cs"/>
          <w:color w:val="000000" w:themeColor="text1"/>
          <w:sz w:val="24"/>
          <w:szCs w:val="24"/>
          <w:rtl/>
        </w:rPr>
        <w:t xml:space="preserve"> </w:t>
      </w:r>
      <w:r w:rsidRPr="00A41CBA">
        <w:rPr>
          <w:rFonts w:ascii="Traditional Arabic" w:hAnsi="Traditional Arabic" w:cs="Traditional Arabic"/>
          <w:color w:val="000000" w:themeColor="text1"/>
          <w:sz w:val="24"/>
          <w:szCs w:val="24"/>
          <w:rtl/>
        </w:rPr>
        <w:t>) للكشف عن الفروق الإحصائية بين أفراد العينة وفق النوع، المؤهل، الوظيفة، والخبرة.</w:t>
      </w:r>
    </w:p>
    <w:p w14:paraId="33A65984" w14:textId="5B90273B" w:rsidR="004441EE" w:rsidRPr="00153BD5" w:rsidRDefault="004441EE" w:rsidP="00A065FE">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t>نتائج الدراسة:</w:t>
      </w:r>
    </w:p>
    <w:p w14:paraId="12177193" w14:textId="37EDC4EA" w:rsidR="00A57142" w:rsidRPr="00A57142" w:rsidRDefault="00A57142">
      <w:pPr>
        <w:numPr>
          <w:ilvl w:val="0"/>
          <w:numId w:val="45"/>
        </w:numPr>
        <w:bidi/>
        <w:spacing w:after="200" w:line="276" w:lineRule="auto"/>
        <w:jc w:val="both"/>
        <w:rPr>
          <w:rFonts w:ascii="Traditional Arabic" w:hAnsi="Traditional Arabic" w:cs="Traditional Arabic"/>
          <w:color w:val="000000" w:themeColor="text1"/>
          <w:sz w:val="24"/>
          <w:szCs w:val="24"/>
        </w:rPr>
      </w:pPr>
      <w:r w:rsidRPr="00A57142">
        <w:rPr>
          <w:rFonts w:ascii="Traditional Arabic" w:hAnsi="Traditional Arabic" w:cs="Traditional Arabic"/>
          <w:color w:val="000000" w:themeColor="text1"/>
          <w:sz w:val="24"/>
          <w:szCs w:val="24"/>
          <w:rtl/>
        </w:rPr>
        <w:t>وجود علاقة ارتباطية طردية موجبة وذات دلالة إحصائية بين ممارسات إدارة المخاطر، والقيادة التحويلية، وسلامة المرضى في المستشفيات الحكومية بالمملكة العربية السعودية</w:t>
      </w:r>
      <w:r w:rsidRPr="00A57142">
        <w:rPr>
          <w:rFonts w:ascii="Traditional Arabic" w:hAnsi="Traditional Arabic" w:cs="Traditional Arabic"/>
          <w:color w:val="000000" w:themeColor="text1"/>
          <w:sz w:val="24"/>
          <w:szCs w:val="24"/>
        </w:rPr>
        <w:t>.</w:t>
      </w:r>
    </w:p>
    <w:p w14:paraId="286CD032" w14:textId="37A811E3" w:rsidR="00A57142" w:rsidRPr="00A57142" w:rsidRDefault="00A57142">
      <w:pPr>
        <w:numPr>
          <w:ilvl w:val="0"/>
          <w:numId w:val="45"/>
        </w:numPr>
        <w:bidi/>
        <w:spacing w:after="200" w:line="276" w:lineRule="auto"/>
        <w:jc w:val="both"/>
        <w:rPr>
          <w:rFonts w:ascii="Traditional Arabic" w:hAnsi="Traditional Arabic" w:cs="Traditional Arabic"/>
          <w:color w:val="000000" w:themeColor="text1"/>
          <w:sz w:val="24"/>
          <w:szCs w:val="24"/>
        </w:rPr>
      </w:pPr>
      <w:r w:rsidRPr="00A57142">
        <w:rPr>
          <w:rFonts w:ascii="Traditional Arabic" w:hAnsi="Traditional Arabic" w:cs="Traditional Arabic"/>
          <w:color w:val="000000" w:themeColor="text1"/>
          <w:sz w:val="24"/>
          <w:szCs w:val="24"/>
          <w:rtl/>
        </w:rPr>
        <w:t>وجود تأثير ذو دلالة إحصائية لممارسات إدارة المخاطر على مستوى سلامة المرضى في المستشفيات الحكومية بالمملكة العربية السعودية</w:t>
      </w:r>
      <w:r w:rsidRPr="00A57142">
        <w:rPr>
          <w:rFonts w:ascii="Traditional Arabic" w:hAnsi="Traditional Arabic" w:cs="Traditional Arabic"/>
          <w:color w:val="000000" w:themeColor="text1"/>
          <w:sz w:val="24"/>
          <w:szCs w:val="24"/>
        </w:rPr>
        <w:t>.</w:t>
      </w:r>
    </w:p>
    <w:p w14:paraId="717BE60D" w14:textId="45C2F2E1" w:rsidR="00A57142" w:rsidRPr="00A57142" w:rsidRDefault="00A57142">
      <w:pPr>
        <w:numPr>
          <w:ilvl w:val="0"/>
          <w:numId w:val="45"/>
        </w:numPr>
        <w:bidi/>
        <w:spacing w:after="200" w:line="276" w:lineRule="auto"/>
        <w:jc w:val="both"/>
        <w:rPr>
          <w:rFonts w:ascii="Traditional Arabic" w:hAnsi="Traditional Arabic" w:cs="Traditional Arabic"/>
          <w:color w:val="000000" w:themeColor="text1"/>
          <w:sz w:val="24"/>
          <w:szCs w:val="24"/>
        </w:rPr>
      </w:pPr>
      <w:r w:rsidRPr="00A57142">
        <w:rPr>
          <w:rFonts w:ascii="Traditional Arabic" w:hAnsi="Traditional Arabic" w:cs="Traditional Arabic"/>
          <w:color w:val="000000" w:themeColor="text1"/>
          <w:sz w:val="24"/>
          <w:szCs w:val="24"/>
          <w:rtl/>
        </w:rPr>
        <w:t>وجود تأثير ذو دلالة إحصائية لممارسات القيادة التحويلية على مستوى سلامة المرضى في المستشفيات الحكومية بالمملكة العربية السعودية</w:t>
      </w:r>
      <w:r w:rsidRPr="00A57142">
        <w:rPr>
          <w:rFonts w:ascii="Traditional Arabic" w:hAnsi="Traditional Arabic" w:cs="Traditional Arabic"/>
          <w:color w:val="000000" w:themeColor="text1"/>
          <w:sz w:val="24"/>
          <w:szCs w:val="24"/>
        </w:rPr>
        <w:t>.</w:t>
      </w:r>
    </w:p>
    <w:p w14:paraId="39358366" w14:textId="62EC6B2B" w:rsidR="00A57142" w:rsidRDefault="00A57142">
      <w:pPr>
        <w:numPr>
          <w:ilvl w:val="0"/>
          <w:numId w:val="45"/>
        </w:numPr>
        <w:bidi/>
        <w:spacing w:after="200" w:line="276" w:lineRule="auto"/>
        <w:jc w:val="both"/>
        <w:rPr>
          <w:rFonts w:ascii="Traditional Arabic" w:hAnsi="Traditional Arabic" w:cs="Traditional Arabic"/>
          <w:color w:val="000000" w:themeColor="text1"/>
          <w:sz w:val="24"/>
          <w:szCs w:val="24"/>
        </w:rPr>
      </w:pPr>
      <w:r w:rsidRPr="00A57142">
        <w:rPr>
          <w:rFonts w:ascii="Traditional Arabic" w:hAnsi="Traditional Arabic" w:cs="Traditional Arabic"/>
          <w:color w:val="000000" w:themeColor="text1"/>
          <w:sz w:val="24"/>
          <w:szCs w:val="24"/>
          <w:rtl/>
        </w:rPr>
        <w:t>وجود تأثير ذو دلالة إحصائية غير مباشر لإدارة المخاطر على سلامة المرضى من خلال الدور الوسيط الجزئي الذي تقوم به القيادة التحويلية</w:t>
      </w:r>
      <w:r w:rsidRPr="00A57142">
        <w:rPr>
          <w:rFonts w:ascii="Traditional Arabic" w:hAnsi="Traditional Arabic" w:cs="Traditional Arabic"/>
          <w:color w:val="000000" w:themeColor="text1"/>
          <w:sz w:val="24"/>
          <w:szCs w:val="24"/>
        </w:rPr>
        <w:t>.</w:t>
      </w:r>
    </w:p>
    <w:p w14:paraId="6A242CBA" w14:textId="0B713A46" w:rsidR="00CB1860" w:rsidRPr="006E6339" w:rsidRDefault="00CB1860" w:rsidP="00CB1860">
      <w:pPr>
        <w:pStyle w:val="ListParagraph"/>
        <w:numPr>
          <w:ilvl w:val="0"/>
          <w:numId w:val="18"/>
        </w:numPr>
        <w:bidi/>
        <w:spacing w:after="200" w:line="276" w:lineRule="auto"/>
        <w:jc w:val="both"/>
        <w:rPr>
          <w:rFonts w:ascii="Traditional Arabic" w:hAnsi="Traditional Arabic" w:cs="Traditional Arabic"/>
          <w:color w:val="000000" w:themeColor="text1"/>
          <w:sz w:val="24"/>
          <w:szCs w:val="24"/>
          <w:highlight w:val="yellow"/>
        </w:rPr>
      </w:pPr>
      <w:r w:rsidRPr="006E6339">
        <w:rPr>
          <w:rFonts w:ascii="Traditional Arabic" w:hAnsi="Traditional Arabic" w:cs="Traditional Arabic"/>
          <w:color w:val="000000" w:themeColor="text1"/>
          <w:sz w:val="24"/>
          <w:szCs w:val="24"/>
          <w:highlight w:val="yellow"/>
          <w:rtl/>
        </w:rPr>
        <w:t xml:space="preserve">وجود تأثير ذو دلالة إحصائية غير مباشر لـ </w:t>
      </w:r>
      <w:r w:rsidRPr="006E6339">
        <w:rPr>
          <w:rFonts w:ascii="Traditional Arabic" w:hAnsi="Traditional Arabic" w:cs="Traditional Arabic" w:hint="cs"/>
          <w:b/>
          <w:bCs/>
          <w:color w:val="000000" w:themeColor="text1"/>
          <w:sz w:val="24"/>
          <w:szCs w:val="24"/>
          <w:highlight w:val="yellow"/>
          <w:rtl/>
        </w:rPr>
        <w:t>تحديد</w:t>
      </w:r>
      <w:r w:rsidRPr="006E6339">
        <w:rPr>
          <w:rFonts w:ascii="Traditional Arabic" w:hAnsi="Traditional Arabic" w:cs="Traditional Arabic"/>
          <w:b/>
          <w:bCs/>
          <w:color w:val="000000" w:themeColor="text1"/>
          <w:sz w:val="24"/>
          <w:szCs w:val="24"/>
          <w:highlight w:val="yellow"/>
          <w:rtl/>
        </w:rPr>
        <w:t xml:space="preserve"> المخاطر</w:t>
      </w:r>
      <w:r w:rsidRPr="006E6339">
        <w:rPr>
          <w:rFonts w:ascii="Traditional Arabic" w:hAnsi="Traditional Arabic" w:cs="Traditional Arabic"/>
          <w:color w:val="000000" w:themeColor="text1"/>
          <w:sz w:val="24"/>
          <w:szCs w:val="24"/>
          <w:highlight w:val="yellow"/>
          <w:rtl/>
        </w:rPr>
        <w:t xml:space="preserve"> على سلامة المرضى في المستشفيات الحكومية بالمملكة العربية السعودية من خلال الدور الوسيط الذي تقوم به القيادة التحويلية</w:t>
      </w:r>
      <w:r w:rsidRPr="006E6339">
        <w:rPr>
          <w:rFonts w:ascii="Traditional Arabic" w:hAnsi="Traditional Arabic" w:cs="Traditional Arabic"/>
          <w:color w:val="000000" w:themeColor="text1"/>
          <w:sz w:val="24"/>
          <w:szCs w:val="24"/>
          <w:highlight w:val="yellow"/>
        </w:rPr>
        <w:t>.</w:t>
      </w:r>
    </w:p>
    <w:p w14:paraId="2C6B724C" w14:textId="77777777" w:rsidR="00CB1860" w:rsidRPr="006E6339" w:rsidRDefault="00CB1860" w:rsidP="00CB1860">
      <w:pPr>
        <w:pStyle w:val="ListParagraph"/>
        <w:numPr>
          <w:ilvl w:val="0"/>
          <w:numId w:val="18"/>
        </w:numPr>
        <w:bidi/>
        <w:spacing w:after="200" w:line="276" w:lineRule="auto"/>
        <w:jc w:val="both"/>
        <w:rPr>
          <w:rFonts w:ascii="Traditional Arabic" w:hAnsi="Traditional Arabic" w:cs="Traditional Arabic"/>
          <w:color w:val="000000" w:themeColor="text1"/>
          <w:sz w:val="24"/>
          <w:szCs w:val="24"/>
          <w:highlight w:val="yellow"/>
        </w:rPr>
      </w:pPr>
      <w:r w:rsidRPr="006E6339">
        <w:rPr>
          <w:rFonts w:ascii="Traditional Arabic" w:hAnsi="Traditional Arabic" w:cs="Traditional Arabic"/>
          <w:color w:val="000000" w:themeColor="text1"/>
          <w:sz w:val="24"/>
          <w:szCs w:val="24"/>
          <w:highlight w:val="yellow"/>
          <w:rtl/>
        </w:rPr>
        <w:t xml:space="preserve">وجود تأثير ذو دلالة إحصائية غير مباشر لـ </w:t>
      </w:r>
      <w:r w:rsidRPr="006E6339">
        <w:rPr>
          <w:rFonts w:ascii="Traditional Arabic" w:hAnsi="Traditional Arabic" w:cs="Traditional Arabic"/>
          <w:b/>
          <w:bCs/>
          <w:color w:val="000000" w:themeColor="text1"/>
          <w:sz w:val="24"/>
          <w:szCs w:val="24"/>
          <w:highlight w:val="yellow"/>
          <w:rtl/>
        </w:rPr>
        <w:t>تحليل المخاطر</w:t>
      </w:r>
      <w:r w:rsidRPr="006E6339">
        <w:rPr>
          <w:rFonts w:ascii="Traditional Arabic" w:hAnsi="Traditional Arabic" w:cs="Traditional Arabic"/>
          <w:color w:val="000000" w:themeColor="text1"/>
          <w:sz w:val="24"/>
          <w:szCs w:val="24"/>
          <w:highlight w:val="yellow"/>
          <w:rtl/>
        </w:rPr>
        <w:t xml:space="preserve"> على سلامة المرضى في المستشفيات الحكومية بالمملكة العربية السعودية من خلال الدور الوسيط الذي تقوم به القيادة التحويلية</w:t>
      </w:r>
      <w:r w:rsidRPr="006E6339">
        <w:rPr>
          <w:rFonts w:ascii="Traditional Arabic" w:hAnsi="Traditional Arabic" w:cs="Traditional Arabic"/>
          <w:color w:val="000000" w:themeColor="text1"/>
          <w:sz w:val="24"/>
          <w:szCs w:val="24"/>
          <w:highlight w:val="yellow"/>
        </w:rPr>
        <w:t>.</w:t>
      </w:r>
    </w:p>
    <w:p w14:paraId="11D548E7" w14:textId="49071D42" w:rsidR="00CB1860" w:rsidRPr="006E6339" w:rsidRDefault="00CB1860" w:rsidP="00CB1860">
      <w:pPr>
        <w:pStyle w:val="ListParagraph"/>
        <w:numPr>
          <w:ilvl w:val="0"/>
          <w:numId w:val="18"/>
        </w:numPr>
        <w:bidi/>
        <w:spacing w:after="200" w:line="276" w:lineRule="auto"/>
        <w:jc w:val="both"/>
        <w:rPr>
          <w:rFonts w:ascii="Traditional Arabic" w:hAnsi="Traditional Arabic" w:cs="Traditional Arabic"/>
          <w:color w:val="000000" w:themeColor="text1"/>
          <w:sz w:val="24"/>
          <w:szCs w:val="24"/>
          <w:highlight w:val="yellow"/>
        </w:rPr>
      </w:pPr>
      <w:r w:rsidRPr="006E6339">
        <w:rPr>
          <w:rFonts w:ascii="Traditional Arabic" w:hAnsi="Traditional Arabic" w:cs="Traditional Arabic"/>
          <w:color w:val="000000" w:themeColor="text1"/>
          <w:sz w:val="24"/>
          <w:szCs w:val="24"/>
          <w:highlight w:val="yellow"/>
          <w:rtl/>
        </w:rPr>
        <w:t xml:space="preserve">وجود تأثير ذو دلالة إحصائية غير مباشر لـ </w:t>
      </w:r>
      <w:r w:rsidRPr="006E6339">
        <w:rPr>
          <w:rFonts w:ascii="Traditional Arabic" w:hAnsi="Traditional Arabic" w:cs="Traditional Arabic" w:hint="cs"/>
          <w:b/>
          <w:bCs/>
          <w:color w:val="000000" w:themeColor="text1"/>
          <w:sz w:val="24"/>
          <w:szCs w:val="24"/>
          <w:highlight w:val="yellow"/>
          <w:rtl/>
        </w:rPr>
        <w:t>تقييم</w:t>
      </w:r>
      <w:r w:rsidRPr="006E6339">
        <w:rPr>
          <w:rFonts w:ascii="Traditional Arabic" w:hAnsi="Traditional Arabic" w:cs="Traditional Arabic"/>
          <w:b/>
          <w:bCs/>
          <w:color w:val="000000" w:themeColor="text1"/>
          <w:sz w:val="24"/>
          <w:szCs w:val="24"/>
          <w:highlight w:val="yellow"/>
          <w:rtl/>
        </w:rPr>
        <w:t xml:space="preserve"> المخاطر</w:t>
      </w:r>
      <w:r w:rsidRPr="006E6339">
        <w:rPr>
          <w:rFonts w:ascii="Traditional Arabic" w:hAnsi="Traditional Arabic" w:cs="Traditional Arabic"/>
          <w:color w:val="000000" w:themeColor="text1"/>
          <w:sz w:val="24"/>
          <w:szCs w:val="24"/>
          <w:highlight w:val="yellow"/>
          <w:rtl/>
        </w:rPr>
        <w:t xml:space="preserve"> على سلامة المرضى في المستشفيات الحكومية بالمملكة العربية السعودية من خلال الدور الوسيط الذي تقوم به القيادة التحويلية</w:t>
      </w:r>
      <w:r w:rsidRPr="006E6339">
        <w:rPr>
          <w:rFonts w:ascii="Traditional Arabic" w:hAnsi="Traditional Arabic" w:cs="Traditional Arabic"/>
          <w:color w:val="000000" w:themeColor="text1"/>
          <w:sz w:val="24"/>
          <w:szCs w:val="24"/>
          <w:highlight w:val="yellow"/>
        </w:rPr>
        <w:t>.</w:t>
      </w:r>
    </w:p>
    <w:p w14:paraId="17FF0D68" w14:textId="7A485544" w:rsidR="00CB1860" w:rsidRPr="006E6339" w:rsidRDefault="00CB1860" w:rsidP="00CB1860">
      <w:pPr>
        <w:pStyle w:val="ListParagraph"/>
        <w:numPr>
          <w:ilvl w:val="0"/>
          <w:numId w:val="18"/>
        </w:numPr>
        <w:bidi/>
        <w:spacing w:after="200" w:line="276" w:lineRule="auto"/>
        <w:jc w:val="both"/>
        <w:rPr>
          <w:rFonts w:ascii="Traditional Arabic" w:hAnsi="Traditional Arabic" w:cs="Traditional Arabic"/>
          <w:color w:val="000000" w:themeColor="text1"/>
          <w:sz w:val="24"/>
          <w:szCs w:val="24"/>
          <w:highlight w:val="yellow"/>
        </w:rPr>
      </w:pPr>
      <w:r w:rsidRPr="006E6339">
        <w:rPr>
          <w:rFonts w:ascii="Traditional Arabic" w:hAnsi="Traditional Arabic" w:cs="Traditional Arabic"/>
          <w:color w:val="000000" w:themeColor="text1"/>
          <w:sz w:val="24"/>
          <w:szCs w:val="24"/>
          <w:highlight w:val="yellow"/>
          <w:rtl/>
        </w:rPr>
        <w:t xml:space="preserve">وجود تأثير ذو دلالة إحصائية غير مباشر لـ </w:t>
      </w:r>
      <w:r w:rsidR="00D627B7" w:rsidRPr="006E6339">
        <w:rPr>
          <w:rFonts w:ascii="Traditional Arabic" w:hAnsi="Traditional Arabic" w:cs="Traditional Arabic" w:hint="cs"/>
          <w:b/>
          <w:bCs/>
          <w:color w:val="000000" w:themeColor="text1"/>
          <w:sz w:val="24"/>
          <w:szCs w:val="24"/>
          <w:highlight w:val="yellow"/>
          <w:rtl/>
        </w:rPr>
        <w:t>إستجابة</w:t>
      </w:r>
      <w:r w:rsidRPr="006E6339">
        <w:rPr>
          <w:rFonts w:ascii="Traditional Arabic" w:hAnsi="Traditional Arabic" w:cs="Traditional Arabic"/>
          <w:b/>
          <w:bCs/>
          <w:color w:val="000000" w:themeColor="text1"/>
          <w:sz w:val="24"/>
          <w:szCs w:val="24"/>
          <w:highlight w:val="yellow"/>
          <w:rtl/>
        </w:rPr>
        <w:t xml:space="preserve"> المخاطر</w:t>
      </w:r>
      <w:r w:rsidRPr="006E6339">
        <w:rPr>
          <w:rFonts w:ascii="Traditional Arabic" w:hAnsi="Traditional Arabic" w:cs="Traditional Arabic"/>
          <w:color w:val="000000" w:themeColor="text1"/>
          <w:sz w:val="24"/>
          <w:szCs w:val="24"/>
          <w:highlight w:val="yellow"/>
          <w:rtl/>
        </w:rPr>
        <w:t xml:space="preserve"> على سلامة المرضى في المستشفيات الحكومية بالمملكة العربية السعودية من خلال الدور الوسيط الذي تقوم به القيادة التحويلية</w:t>
      </w:r>
      <w:r w:rsidRPr="006E6339">
        <w:rPr>
          <w:rFonts w:ascii="Traditional Arabic" w:hAnsi="Traditional Arabic" w:cs="Traditional Arabic"/>
          <w:color w:val="000000" w:themeColor="text1"/>
          <w:sz w:val="24"/>
          <w:szCs w:val="24"/>
          <w:highlight w:val="yellow"/>
        </w:rPr>
        <w:t>.</w:t>
      </w:r>
    </w:p>
    <w:p w14:paraId="49EC6659" w14:textId="22D82AC3" w:rsidR="00A57142" w:rsidRPr="00A57142" w:rsidRDefault="00A57142">
      <w:pPr>
        <w:numPr>
          <w:ilvl w:val="0"/>
          <w:numId w:val="45"/>
        </w:numPr>
        <w:bidi/>
        <w:spacing w:after="200" w:line="276" w:lineRule="auto"/>
        <w:jc w:val="both"/>
        <w:rPr>
          <w:rFonts w:ascii="Traditional Arabic" w:hAnsi="Traditional Arabic" w:cs="Traditional Arabic"/>
          <w:color w:val="000000" w:themeColor="text1"/>
          <w:sz w:val="24"/>
          <w:szCs w:val="24"/>
        </w:rPr>
      </w:pPr>
      <w:r w:rsidRPr="00A57142">
        <w:rPr>
          <w:rFonts w:ascii="Traditional Arabic" w:hAnsi="Traditional Arabic" w:cs="Traditional Arabic"/>
          <w:color w:val="000000" w:themeColor="text1"/>
          <w:sz w:val="24"/>
          <w:szCs w:val="24"/>
          <w:rtl/>
        </w:rPr>
        <w:t>وجود فروق ذات دلالة إحصائية في إدراك أفراد العينة لمتغيرات الدراسة تعزى للمتغيرات الديموغرافية (النوع، المؤهل العلمي، سنوات الخبرة)، في حين لم تظهر فروق تعزى لنوع الوظيفة</w:t>
      </w:r>
      <w:r w:rsidRPr="00A57142">
        <w:rPr>
          <w:rFonts w:ascii="Traditional Arabic" w:hAnsi="Traditional Arabic" w:cs="Traditional Arabic"/>
          <w:color w:val="000000" w:themeColor="text1"/>
          <w:sz w:val="24"/>
          <w:szCs w:val="24"/>
        </w:rPr>
        <w:t>.</w:t>
      </w:r>
    </w:p>
    <w:p w14:paraId="41C85285" w14:textId="6C14926F" w:rsidR="004441EE" w:rsidRPr="0091552D" w:rsidRDefault="004441EE" w:rsidP="004441EE">
      <w:pPr>
        <w:bidi/>
        <w:spacing w:after="200" w:line="276" w:lineRule="auto"/>
        <w:jc w:val="both"/>
        <w:rPr>
          <w:rFonts w:ascii="Simplified Arabic" w:hAnsi="Simplified Arabic" w:cs="Simplified Arabic"/>
          <w:color w:val="000000" w:themeColor="text1"/>
          <w:sz w:val="28"/>
          <w:szCs w:val="28"/>
        </w:rPr>
      </w:pPr>
    </w:p>
    <w:p w14:paraId="05B23912" w14:textId="77777777" w:rsidR="008A46E4" w:rsidRP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576F0C5" w14:textId="77777777" w:rsidR="00674C3E" w:rsidRDefault="00674C3E" w:rsidP="008A46E4">
      <w:pPr>
        <w:bidi/>
        <w:spacing w:after="200" w:line="276" w:lineRule="auto"/>
        <w:jc w:val="both"/>
        <w:rPr>
          <w:rFonts w:ascii="Simplified Arabic" w:hAnsi="Simplified Arabic" w:cs="Times New Roman"/>
          <w:b/>
          <w:bCs/>
          <w:color w:val="000000" w:themeColor="text1"/>
          <w:sz w:val="28"/>
          <w:szCs w:val="28"/>
          <w:rtl/>
        </w:rPr>
        <w:sectPr w:rsidR="00674C3E" w:rsidSect="006F5AFF">
          <w:footerReference w:type="default" r:id="rId5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44"/>
          <w:cols w:space="708"/>
          <w:bidi/>
          <w:rtlGutter/>
          <w:docGrid w:linePitch="360"/>
        </w:sectPr>
      </w:pPr>
    </w:p>
    <w:p w14:paraId="5ABC55F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1800E974"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9B7FC61"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E70D540"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3B58EEAE"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0FAAD543"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2C96AA4D"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3E1630DF"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86332B7" w14:textId="35ACC1E2" w:rsidR="008A46E4" w:rsidRPr="005D30DE" w:rsidRDefault="005D30DE" w:rsidP="005D30DE">
      <w:pPr>
        <w:spacing w:after="200" w:line="276" w:lineRule="auto"/>
        <w:jc w:val="center"/>
        <w:rPr>
          <w:rFonts w:ascii="Simplified Arabic" w:hAnsi="Simplified Arabic" w:cs="Simplified Arabic"/>
          <w:b/>
          <w:bCs/>
          <w:color w:val="000000" w:themeColor="text1"/>
          <w:sz w:val="96"/>
          <w:szCs w:val="96"/>
        </w:rPr>
      </w:pPr>
      <w:r w:rsidRPr="005D30DE">
        <w:rPr>
          <w:rFonts w:ascii="Simplified Arabic" w:hAnsi="Simplified Arabic" w:cs="Simplified Arabic"/>
          <w:b/>
          <w:bCs/>
          <w:color w:val="000000" w:themeColor="text1"/>
          <w:sz w:val="96"/>
          <w:szCs w:val="96"/>
        </w:rPr>
        <w:t>SUMMARY</w:t>
      </w:r>
    </w:p>
    <w:p w14:paraId="77D8D0F2"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23EEF646"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63062FF3"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2E188603"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0E29F010" w14:textId="77777777" w:rsidR="00746C75" w:rsidRDefault="00746C75" w:rsidP="005D30DE">
      <w:pPr>
        <w:spacing w:after="200" w:line="276" w:lineRule="auto"/>
        <w:jc w:val="both"/>
        <w:rPr>
          <w:rFonts w:ascii="Simplified Arabic" w:hAnsi="Simplified Arabic" w:cs="Simplified Arabic"/>
          <w:b/>
          <w:bCs/>
          <w:color w:val="000000" w:themeColor="text1"/>
          <w:sz w:val="28"/>
          <w:szCs w:val="28"/>
        </w:rPr>
        <w:sectPr w:rsidR="00746C75" w:rsidSect="00674C3E">
          <w:footerReference w:type="default" r:id="rId57"/>
          <w:pgSz w:w="11906" w:h="16838"/>
          <w:pgMar w:top="1440" w:right="1800" w:bottom="1440" w:left="1800" w:header="708" w:footer="708" w:gutter="0"/>
          <w:pgNumType w:start="140"/>
          <w:cols w:space="708"/>
          <w:bidi/>
          <w:rtlGutter/>
          <w:docGrid w:linePitch="360"/>
        </w:sectPr>
      </w:pPr>
    </w:p>
    <w:p w14:paraId="58F6D6F7" w14:textId="77777777" w:rsidR="00746C75" w:rsidRDefault="00746C75" w:rsidP="00746C75">
      <w:pPr>
        <w:spacing w:after="200" w:line="276" w:lineRule="auto"/>
        <w:jc w:val="center"/>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lastRenderedPageBreak/>
        <w:t>The impact of risk management on patient safety: analyzing the mediating role of transformational leadership: a field study on government health facilities</w:t>
      </w:r>
    </w:p>
    <w:p w14:paraId="10A19C06" w14:textId="77777777" w:rsidR="00746C75" w:rsidRPr="009159DA" w:rsidRDefault="00746C75" w:rsidP="00746C75">
      <w:pPr>
        <w:spacing w:after="200" w:line="276" w:lineRule="auto"/>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t>Introduction:</w:t>
      </w:r>
    </w:p>
    <w:p w14:paraId="22EB40F0" w14:textId="77777777" w:rsidR="00746C75" w:rsidRPr="009159DA" w:rsidRDefault="00746C75" w:rsidP="00746C75">
      <w:pPr>
        <w:spacing w:after="200" w:line="276" w:lineRule="auto"/>
        <w:jc w:val="both"/>
        <w:rPr>
          <w:rFonts w:asciiTheme="majorBidi" w:hAnsiTheme="majorBidi" w:cstheme="majorBidi"/>
          <w:color w:val="000000" w:themeColor="text1"/>
          <w:sz w:val="28"/>
          <w:szCs w:val="28"/>
        </w:rPr>
      </w:pPr>
      <w:r w:rsidRPr="009159DA">
        <w:rPr>
          <w:rFonts w:asciiTheme="majorBidi" w:hAnsiTheme="majorBidi" w:cstheme="majorBidi"/>
          <w:color w:val="000000" w:themeColor="text1"/>
          <w:sz w:val="28"/>
          <w:szCs w:val="28"/>
        </w:rPr>
        <w:t>Risk management is an essential element for ensuring the quality of health care and patient safety, as it relies on policies, procedures, training and reporting systems that reduce errors and enhance a culture of safety. In contrast, transformational leadership represents an effective management style that enables health institutions to predict crises and sudden changes, motivate workers, and build high-performance teams capable of meeting challenges. Studies have shown that this leadership style contributes to improving patient satisfaction, developing a safe work environment, and increasing the ability of government hospitals to respond to crises, making transformational leadership and risk management together essential pillars for achieving continuity in providing safe, high-quality health services.</w:t>
      </w:r>
    </w:p>
    <w:p w14:paraId="3626F7DA" w14:textId="77777777" w:rsidR="00746C75" w:rsidRPr="009159DA" w:rsidRDefault="00746C75" w:rsidP="00746C75">
      <w:pPr>
        <w:spacing w:after="200" w:line="276" w:lineRule="auto"/>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t>Study problem:</w:t>
      </w:r>
    </w:p>
    <w:p w14:paraId="0FFF36AC" w14:textId="77777777" w:rsidR="00746C75" w:rsidRDefault="00746C75" w:rsidP="00746C75">
      <w:pPr>
        <w:spacing w:after="200" w:line="276" w:lineRule="auto"/>
        <w:jc w:val="both"/>
        <w:rPr>
          <w:rFonts w:asciiTheme="majorBidi" w:hAnsiTheme="majorBidi" w:cstheme="majorBidi"/>
          <w:color w:val="000000" w:themeColor="text1"/>
          <w:sz w:val="28"/>
          <w:szCs w:val="28"/>
          <w:rtl/>
        </w:rPr>
      </w:pPr>
      <w:r w:rsidRPr="009407BA">
        <w:rPr>
          <w:rFonts w:asciiTheme="majorBidi" w:hAnsiTheme="majorBidi" w:cstheme="majorBidi"/>
          <w:color w:val="000000" w:themeColor="text1"/>
          <w:sz w:val="28"/>
          <w:szCs w:val="28"/>
        </w:rPr>
        <w:t>The problem of the study can be crystallized into the following main question: "What is the impact of risk management practices on patient safety in government hospitals in the Kingdom of Saudi Arabia in light of the mediating role of transformational leadership?"</w:t>
      </w:r>
    </w:p>
    <w:p w14:paraId="4CE11B1B"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Objective of the study:</w:t>
      </w:r>
    </w:p>
    <w:p w14:paraId="72D9C49B" w14:textId="77777777" w:rsidR="00746C75" w:rsidRDefault="00746C75" w:rsidP="00746C75">
      <w:pPr>
        <w:spacing w:after="200" w:line="276" w:lineRule="auto"/>
        <w:jc w:val="both"/>
        <w:rPr>
          <w:rFonts w:asciiTheme="majorBidi" w:hAnsiTheme="majorBidi" w:cstheme="majorBidi"/>
          <w:color w:val="000000" w:themeColor="text1"/>
          <w:sz w:val="28"/>
          <w:szCs w:val="28"/>
          <w:rtl/>
        </w:rPr>
      </w:pPr>
      <w:r w:rsidRPr="004E074D">
        <w:rPr>
          <w:rFonts w:asciiTheme="majorBidi" w:hAnsiTheme="majorBidi" w:cstheme="majorBidi"/>
          <w:color w:val="000000" w:themeColor="text1"/>
          <w:sz w:val="28"/>
          <w:szCs w:val="28"/>
        </w:rPr>
        <w:t>The current study aimed to analyze the impact of risk management practices on patient safety in government hospitals in the Kingdom of Saudi Arabia, and to verify the mediating role played by transformational leadership in explaining and strengthening this relationship, while evaluating the level of application of these variables in the field from the employees' point of view.</w:t>
      </w:r>
    </w:p>
    <w:p w14:paraId="27585A6F"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sample:</w:t>
      </w:r>
    </w:p>
    <w:p w14:paraId="03920C00" w14:textId="77777777" w:rsidR="00746C75" w:rsidRDefault="00746C75" w:rsidP="00746C75">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A stratified random sample of (389) participants was selected from the study population out of a population of 15,000. The questionnaire was distributed to them electronically and all of them were valid for analysis. The sample size was determined using the Yamane equation (1967) and the Krejcie &amp; Morgan (1970) criteria at a margin of error of 5%.</w:t>
      </w:r>
    </w:p>
    <w:p w14:paraId="14E30DE8"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lastRenderedPageBreak/>
        <w:t>Study tool:</w:t>
      </w:r>
    </w:p>
    <w:p w14:paraId="65992FB5" w14:textId="77777777" w:rsidR="00746C75" w:rsidRPr="006760A1" w:rsidRDefault="00746C75" w:rsidP="00746C75">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The study tool was a comprehensive questionnaire that included 60 statements distributed over three main axes: transformational leadership (20 statements), patient safety (20 statements), and risk management (20 statements), ensuring that the targeted variables are accurately measured and linked to the reality of government hospitals in the Kingdom of Saudi Arabia.</w:t>
      </w:r>
    </w:p>
    <w:p w14:paraId="40C815F6"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Statistical methods:</w:t>
      </w:r>
    </w:p>
    <w:p w14:paraId="56FF44B9" w14:textId="77777777" w:rsidR="00746C75" w:rsidRDefault="00746C75" w:rsidP="00746C75">
      <w:pPr>
        <w:spacing w:after="200" w:line="276" w:lineRule="auto"/>
        <w:jc w:val="both"/>
        <w:rPr>
          <w:rFonts w:asciiTheme="majorBidi" w:hAnsiTheme="majorBidi" w:cstheme="majorBidi"/>
          <w:color w:val="000000" w:themeColor="text1"/>
          <w:sz w:val="28"/>
          <w:szCs w:val="28"/>
          <w:rtl/>
        </w:rPr>
      </w:pPr>
      <w:r w:rsidRPr="005504E6">
        <w:rPr>
          <w:rFonts w:asciiTheme="majorBidi" w:hAnsiTheme="majorBidi" w:cstheme="majorBidi"/>
          <w:color w:val="000000" w:themeColor="text1"/>
          <w:sz w:val="28"/>
          <w:szCs w:val="28"/>
        </w:rPr>
        <w:t>The researcher used several statistical methods to ensure the internal stability and validity of the instrument (Cronbach's alpha and Pearson's correlation coefficient), then analyzed the direct and indirect relationships and effects between the variables using correlation, simple linear regression, trajectory analysis (PROCESS Macro), and comparative tests (T-test &amp; ANOVA) to reveal statistical differences between the sample members according to gender, qualification, job, and experience.</w:t>
      </w:r>
    </w:p>
    <w:p w14:paraId="19FC5C8E"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results:</w:t>
      </w:r>
    </w:p>
    <w:p w14:paraId="017763EB" w14:textId="77777777" w:rsidR="00746C75" w:rsidRPr="005504E6" w:rsidRDefault="00746C75" w:rsidP="00746C75">
      <w:pPr>
        <w:spacing w:after="200" w:line="240" w:lineRule="auto"/>
        <w:jc w:val="both"/>
        <w:rPr>
          <w:rFonts w:asciiTheme="majorBidi" w:hAnsiTheme="majorBidi" w:cstheme="majorBidi"/>
          <w:color w:val="000000" w:themeColor="text1"/>
          <w:sz w:val="28"/>
          <w:szCs w:val="28"/>
        </w:rPr>
      </w:pPr>
      <w:r w:rsidRPr="005504E6">
        <w:rPr>
          <w:rFonts w:asciiTheme="majorBidi" w:hAnsiTheme="majorBidi" w:cstheme="majorBidi"/>
          <w:color w:val="000000" w:themeColor="text1"/>
          <w:sz w:val="28"/>
          <w:szCs w:val="28"/>
        </w:rPr>
        <w:t>1.There is a positive and statistically significant direct correlation between risk management practices, transformational leadership, and patient safety in government hospitals in the Kingdom of Saudi Arabia.</w:t>
      </w:r>
    </w:p>
    <w:p w14:paraId="5C40E7EA" w14:textId="77777777" w:rsidR="00746C75" w:rsidRPr="005504E6" w:rsidRDefault="00746C75" w:rsidP="00746C75">
      <w:pPr>
        <w:spacing w:after="200" w:line="240" w:lineRule="auto"/>
        <w:jc w:val="both"/>
        <w:rPr>
          <w:rFonts w:asciiTheme="majorBidi" w:hAnsiTheme="majorBidi" w:cstheme="majorBidi"/>
          <w:color w:val="000000" w:themeColor="text1"/>
          <w:sz w:val="28"/>
          <w:szCs w:val="28"/>
        </w:rPr>
      </w:pPr>
      <w:r w:rsidRPr="005504E6">
        <w:rPr>
          <w:rFonts w:asciiTheme="majorBidi" w:hAnsiTheme="majorBidi" w:cstheme="majorBidi"/>
          <w:color w:val="000000" w:themeColor="text1"/>
          <w:sz w:val="28"/>
          <w:szCs w:val="28"/>
        </w:rPr>
        <w:t>2.There is a statistically significant impact of risk management practices on the level of patient safety in government hospitals in the Kingdom of Saudi Arabia.</w:t>
      </w:r>
    </w:p>
    <w:p w14:paraId="410DE908" w14:textId="77777777" w:rsidR="00746C75" w:rsidRPr="005504E6" w:rsidRDefault="00746C75" w:rsidP="00746C75">
      <w:pPr>
        <w:spacing w:after="200" w:line="240" w:lineRule="auto"/>
        <w:jc w:val="both"/>
        <w:rPr>
          <w:rFonts w:asciiTheme="majorBidi" w:hAnsiTheme="majorBidi" w:cstheme="majorBidi"/>
          <w:color w:val="000000" w:themeColor="text1"/>
          <w:sz w:val="28"/>
          <w:szCs w:val="28"/>
        </w:rPr>
      </w:pPr>
      <w:r w:rsidRPr="005504E6">
        <w:rPr>
          <w:rFonts w:asciiTheme="majorBidi" w:hAnsiTheme="majorBidi" w:cstheme="majorBidi"/>
          <w:color w:val="000000" w:themeColor="text1"/>
          <w:sz w:val="28"/>
          <w:szCs w:val="28"/>
        </w:rPr>
        <w:t>3.There is a statistically significant impact of transformational leadership practices on the level of patient safety in government hospitals in the Kingdom of Saudi Arabia.</w:t>
      </w:r>
    </w:p>
    <w:p w14:paraId="4DB1A1DC" w14:textId="77777777" w:rsidR="00746C75" w:rsidRDefault="00746C75" w:rsidP="00746C75">
      <w:pPr>
        <w:spacing w:after="200" w:line="240" w:lineRule="auto"/>
        <w:jc w:val="both"/>
        <w:rPr>
          <w:rFonts w:asciiTheme="majorBidi" w:hAnsiTheme="majorBidi" w:cstheme="majorBidi"/>
          <w:color w:val="000000" w:themeColor="text1"/>
          <w:sz w:val="28"/>
          <w:szCs w:val="28"/>
          <w:rtl/>
        </w:rPr>
      </w:pPr>
      <w:r w:rsidRPr="005504E6">
        <w:rPr>
          <w:rFonts w:asciiTheme="majorBidi" w:hAnsiTheme="majorBidi" w:cstheme="majorBidi"/>
          <w:color w:val="000000" w:themeColor="text1"/>
          <w:sz w:val="28"/>
          <w:szCs w:val="28"/>
        </w:rPr>
        <w:t>4.There is a statistically significant indirect impact of risk management on patient safety through the partial mediating role played by transformational leadership.</w:t>
      </w:r>
    </w:p>
    <w:p w14:paraId="11D7D9F5" w14:textId="2658DC35" w:rsidR="00736A08" w:rsidRPr="0069744F" w:rsidRDefault="00736A08" w:rsidP="00736A08">
      <w:pPr>
        <w:pStyle w:val="ListParagraph"/>
        <w:numPr>
          <w:ilvl w:val="0"/>
          <w:numId w:val="53"/>
        </w:numPr>
        <w:spacing w:after="200" w:line="240" w:lineRule="auto"/>
        <w:jc w:val="both"/>
        <w:rPr>
          <w:rFonts w:asciiTheme="majorBidi" w:hAnsiTheme="majorBidi" w:cstheme="majorBidi"/>
          <w:color w:val="000000" w:themeColor="text1"/>
          <w:sz w:val="28"/>
          <w:szCs w:val="28"/>
          <w:highlight w:val="yellow"/>
        </w:rPr>
      </w:pPr>
      <w:r w:rsidRPr="0069744F">
        <w:rPr>
          <w:rFonts w:asciiTheme="majorBidi" w:hAnsiTheme="majorBidi" w:cstheme="majorBidi"/>
          <w:color w:val="000000" w:themeColor="text1"/>
          <w:sz w:val="28"/>
          <w:szCs w:val="28"/>
          <w:highlight w:val="yellow"/>
        </w:rPr>
        <w:t>There is a statistically significant indirect effect of identifying risks to patient safety through the mediating role of transformational leadership.</w:t>
      </w:r>
    </w:p>
    <w:p w14:paraId="20D1592F" w14:textId="77777777" w:rsidR="00736A08" w:rsidRPr="0069744F" w:rsidRDefault="00736A08" w:rsidP="00736A08">
      <w:pPr>
        <w:pStyle w:val="ListParagraph"/>
        <w:numPr>
          <w:ilvl w:val="0"/>
          <w:numId w:val="53"/>
        </w:numPr>
        <w:spacing w:after="200" w:line="240" w:lineRule="auto"/>
        <w:jc w:val="both"/>
        <w:rPr>
          <w:rFonts w:asciiTheme="majorBidi" w:hAnsiTheme="majorBidi" w:cstheme="majorBidi"/>
          <w:color w:val="000000" w:themeColor="text1"/>
          <w:sz w:val="28"/>
          <w:szCs w:val="28"/>
          <w:highlight w:val="yellow"/>
        </w:rPr>
      </w:pPr>
      <w:r w:rsidRPr="0069744F">
        <w:rPr>
          <w:rFonts w:asciiTheme="majorBidi" w:hAnsiTheme="majorBidi" w:cstheme="majorBidi"/>
          <w:color w:val="000000" w:themeColor="text1"/>
          <w:sz w:val="28"/>
          <w:szCs w:val="28"/>
          <w:highlight w:val="yellow"/>
        </w:rPr>
        <w:t>There is a statistically significant indirect effect of risk analysis on patient safety through transformational leadership.</w:t>
      </w:r>
    </w:p>
    <w:p w14:paraId="1A571700" w14:textId="77777777" w:rsidR="00736A08" w:rsidRPr="0069744F" w:rsidRDefault="00736A08" w:rsidP="00736A08">
      <w:pPr>
        <w:pStyle w:val="ListParagraph"/>
        <w:numPr>
          <w:ilvl w:val="0"/>
          <w:numId w:val="53"/>
        </w:numPr>
        <w:spacing w:after="200" w:line="240" w:lineRule="auto"/>
        <w:jc w:val="both"/>
        <w:rPr>
          <w:rFonts w:asciiTheme="majorBidi" w:hAnsiTheme="majorBidi" w:cstheme="majorBidi"/>
          <w:color w:val="000000" w:themeColor="text1"/>
          <w:sz w:val="28"/>
          <w:szCs w:val="28"/>
          <w:highlight w:val="yellow"/>
        </w:rPr>
      </w:pPr>
      <w:r w:rsidRPr="0069744F">
        <w:rPr>
          <w:rFonts w:asciiTheme="majorBidi" w:hAnsiTheme="majorBidi" w:cstheme="majorBidi"/>
          <w:color w:val="000000" w:themeColor="text1"/>
          <w:sz w:val="28"/>
          <w:szCs w:val="28"/>
          <w:highlight w:val="yellow"/>
        </w:rPr>
        <w:lastRenderedPageBreak/>
        <w:t>There is a statistically significant indirect effect of risk assessment on patient safety through transformational leadership.</w:t>
      </w:r>
    </w:p>
    <w:p w14:paraId="2CBF1520" w14:textId="1A1A13F3" w:rsidR="00736A08" w:rsidRPr="0069744F" w:rsidRDefault="00736A08" w:rsidP="00736A08">
      <w:pPr>
        <w:pStyle w:val="ListParagraph"/>
        <w:numPr>
          <w:ilvl w:val="0"/>
          <w:numId w:val="53"/>
        </w:numPr>
        <w:spacing w:after="200" w:line="240" w:lineRule="auto"/>
        <w:jc w:val="both"/>
        <w:rPr>
          <w:rFonts w:asciiTheme="majorBidi" w:hAnsiTheme="majorBidi" w:cstheme="majorBidi"/>
          <w:color w:val="000000" w:themeColor="text1"/>
          <w:sz w:val="28"/>
          <w:szCs w:val="28"/>
          <w:highlight w:val="yellow"/>
        </w:rPr>
      </w:pPr>
      <w:r w:rsidRPr="0069744F">
        <w:rPr>
          <w:rFonts w:asciiTheme="majorBidi" w:hAnsiTheme="majorBidi" w:cstheme="majorBidi"/>
          <w:color w:val="000000" w:themeColor="text1"/>
          <w:sz w:val="28"/>
          <w:szCs w:val="28"/>
          <w:highlight w:val="yellow"/>
        </w:rPr>
        <w:t>There is a statistically significant indirect effect of risk response on patient safety through the mediating role of transformational leadership</w:t>
      </w:r>
    </w:p>
    <w:p w14:paraId="329B597A" w14:textId="77777777" w:rsidR="00746C75" w:rsidRPr="009159DA" w:rsidRDefault="00746C75" w:rsidP="00746C75">
      <w:pPr>
        <w:spacing w:after="200" w:line="240" w:lineRule="auto"/>
        <w:jc w:val="both"/>
        <w:rPr>
          <w:rFonts w:asciiTheme="majorBidi" w:hAnsiTheme="majorBidi" w:cstheme="majorBidi"/>
          <w:color w:val="000000" w:themeColor="text1"/>
          <w:sz w:val="28"/>
          <w:szCs w:val="28"/>
        </w:rPr>
      </w:pPr>
      <w:r w:rsidRPr="005504E6">
        <w:rPr>
          <w:rFonts w:asciiTheme="majorBidi" w:hAnsiTheme="majorBidi" w:cstheme="majorBidi"/>
          <w:color w:val="000000" w:themeColor="text1"/>
          <w:sz w:val="28"/>
          <w:szCs w:val="28"/>
        </w:rPr>
        <w:t>5.There were statistically significant differences in the sample members' perception of the study variables due to demographic variables (gender, academic qualification, years of experience), while no differences appeared due to job type.</w:t>
      </w:r>
    </w:p>
    <w:p w14:paraId="2ADEB7C7" w14:textId="77777777" w:rsidR="005D30DE" w:rsidRPr="00746C75" w:rsidRDefault="005D30DE" w:rsidP="00746C75">
      <w:pPr>
        <w:bidi/>
        <w:spacing w:after="200" w:line="276" w:lineRule="auto"/>
        <w:rPr>
          <w:rFonts w:ascii="Simplified Arabic" w:hAnsi="Simplified Arabic" w:cs="Simplified Arabic"/>
          <w:b/>
          <w:bCs/>
          <w:color w:val="000000" w:themeColor="text1"/>
          <w:sz w:val="28"/>
          <w:szCs w:val="28"/>
        </w:rPr>
      </w:pPr>
    </w:p>
    <w:p w14:paraId="7339CBDE" w14:textId="77777777" w:rsidR="00674C3E" w:rsidRDefault="00674C3E" w:rsidP="005D30DE">
      <w:pPr>
        <w:spacing w:after="200" w:line="276" w:lineRule="auto"/>
        <w:jc w:val="both"/>
        <w:rPr>
          <w:rFonts w:ascii="Simplified Arabic" w:hAnsi="Simplified Arabic" w:cs="Simplified Arabic"/>
          <w:b/>
          <w:bCs/>
          <w:color w:val="000000" w:themeColor="text1"/>
          <w:sz w:val="28"/>
          <w:szCs w:val="28"/>
        </w:rPr>
        <w:sectPr w:rsidR="00674C3E" w:rsidSect="006F5AFF">
          <w:footerReference w:type="default" r:id="rId58"/>
          <w:pgSz w:w="11906" w:h="16838"/>
          <w:pgMar w:top="1440" w:right="1800" w:bottom="1440" w:left="1800" w:header="708" w:footer="708" w:gutter="0"/>
          <w:pgBorders w:offsetFrom="page">
            <w:top w:val="single" w:sz="6" w:space="24" w:color="auto"/>
            <w:left w:val="single" w:sz="6" w:space="24" w:color="auto"/>
            <w:bottom w:val="single" w:sz="6" w:space="24" w:color="auto"/>
            <w:right w:val="single" w:sz="6" w:space="24" w:color="auto"/>
          </w:pgBorders>
          <w:pgNumType w:start="147"/>
          <w:cols w:space="708"/>
          <w:bidi/>
          <w:rtlGutter/>
          <w:docGrid w:linePitch="360"/>
        </w:sectPr>
      </w:pPr>
    </w:p>
    <w:p w14:paraId="6ACB278E"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78144821"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11CAD072"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483569B1"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4A8FCB2B"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7875321D"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67B169A7"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588D7D5D" w14:textId="77777777" w:rsidR="009159DA" w:rsidRPr="009159DA" w:rsidRDefault="009159DA" w:rsidP="009159DA">
      <w:pPr>
        <w:spacing w:after="200" w:line="276" w:lineRule="auto"/>
        <w:rPr>
          <w:rFonts w:asciiTheme="majorBidi" w:hAnsiTheme="majorBidi" w:cstheme="majorBidi"/>
          <w:b/>
          <w:bCs/>
          <w:color w:val="000000" w:themeColor="text1"/>
          <w:sz w:val="28"/>
          <w:szCs w:val="28"/>
          <w:rtl/>
        </w:rPr>
      </w:pPr>
    </w:p>
    <w:p w14:paraId="0E53407A"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09E6F185" w14:textId="50942F96" w:rsidR="005D30DE" w:rsidRPr="00A77E86" w:rsidRDefault="00A36978" w:rsidP="00A77E86">
      <w:pPr>
        <w:bidi/>
        <w:spacing w:after="200" w:line="276" w:lineRule="auto"/>
        <w:jc w:val="center"/>
        <w:rPr>
          <w:rFonts w:ascii="Traditional Arabic" w:hAnsi="Traditional Arabic" w:cs="Traditional Arabic"/>
          <w:b/>
          <w:bCs/>
          <w:color w:val="000000" w:themeColor="text1"/>
          <w:sz w:val="144"/>
          <w:szCs w:val="144"/>
          <w:rtl/>
          <w:lang w:bidi="ar-EG"/>
        </w:rPr>
      </w:pPr>
      <w:r w:rsidRPr="00A77E86">
        <w:rPr>
          <w:rFonts w:ascii="Traditional Arabic" w:hAnsi="Traditional Arabic" w:cs="Traditional Arabic" w:hint="cs"/>
          <w:b/>
          <w:bCs/>
          <w:color w:val="000000" w:themeColor="text1"/>
          <w:sz w:val="144"/>
          <w:szCs w:val="144"/>
          <w:rtl/>
          <w:lang w:bidi="ar-EG"/>
        </w:rPr>
        <w:t>المراجع</w:t>
      </w:r>
    </w:p>
    <w:p w14:paraId="62C19834"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610505EE"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5D838DF2" w14:textId="77777777" w:rsidR="00A77E86" w:rsidRDefault="00A77E86" w:rsidP="005D30DE">
      <w:pPr>
        <w:bidi/>
        <w:spacing w:after="200" w:line="276" w:lineRule="auto"/>
        <w:jc w:val="both"/>
        <w:rPr>
          <w:rFonts w:ascii="Simplified Arabic" w:hAnsi="Simplified Arabic" w:cs="Times New Roman"/>
          <w:b/>
          <w:bCs/>
          <w:color w:val="000000" w:themeColor="text1"/>
          <w:sz w:val="28"/>
          <w:szCs w:val="28"/>
          <w:rtl/>
        </w:rPr>
        <w:sectPr w:rsidR="00A77E86" w:rsidSect="00A77E86">
          <w:footerReference w:type="default" r:id="rId59"/>
          <w:pgSz w:w="11906" w:h="16838"/>
          <w:pgMar w:top="1440" w:right="1800" w:bottom="1440" w:left="1800" w:header="708" w:footer="708" w:gutter="0"/>
          <w:pgNumType w:start="147"/>
          <w:cols w:space="708"/>
          <w:bidi/>
          <w:rtlGutter/>
          <w:docGrid w:linePitch="360"/>
        </w:sectPr>
      </w:pPr>
    </w:p>
    <w:p w14:paraId="1D0F4D0D" w14:textId="437B94E9" w:rsidR="00FE2AD4" w:rsidRPr="00B74DD7" w:rsidRDefault="00FE2AD4" w:rsidP="00FE2AD4">
      <w:pPr>
        <w:bidi/>
        <w:spacing w:after="200" w:line="276" w:lineRule="auto"/>
        <w:jc w:val="both"/>
        <w:rPr>
          <w:rFonts w:ascii="Traditional Arabic" w:eastAsia="Calibri" w:hAnsi="Traditional Arabic" w:cs="Traditional Arabic"/>
          <w:b/>
          <w:bCs/>
          <w:sz w:val="28"/>
          <w:szCs w:val="28"/>
          <w:u w:val="single"/>
          <w:rtl/>
          <w:lang w:bidi="ar-EG"/>
        </w:rPr>
      </w:pPr>
      <w:r w:rsidRPr="00B74DD7">
        <w:rPr>
          <w:rFonts w:ascii="Traditional Arabic" w:eastAsia="Calibri" w:hAnsi="Traditional Arabic" w:cs="Traditional Arabic" w:hint="cs"/>
          <w:b/>
          <w:bCs/>
          <w:sz w:val="28"/>
          <w:szCs w:val="28"/>
          <w:u w:val="single"/>
          <w:rtl/>
          <w:lang w:bidi="ar-EG"/>
        </w:rPr>
        <w:lastRenderedPageBreak/>
        <w:t>اولا</w:t>
      </w:r>
      <w:r w:rsidR="0044630D" w:rsidRPr="00B74DD7">
        <w:rPr>
          <w:rFonts w:ascii="Traditional Arabic" w:eastAsia="Calibri" w:hAnsi="Traditional Arabic" w:cs="Traditional Arabic" w:hint="cs"/>
          <w:b/>
          <w:bCs/>
          <w:sz w:val="28"/>
          <w:szCs w:val="28"/>
          <w:u w:val="single"/>
          <w:rtl/>
          <w:lang w:bidi="ar-EG"/>
        </w:rPr>
        <w:t>ً</w:t>
      </w:r>
      <w:r w:rsidRPr="00B74DD7">
        <w:rPr>
          <w:rFonts w:ascii="Traditional Arabic" w:eastAsia="Calibri" w:hAnsi="Traditional Arabic" w:cs="Traditional Arabic" w:hint="cs"/>
          <w:b/>
          <w:bCs/>
          <w:sz w:val="28"/>
          <w:szCs w:val="28"/>
          <w:u w:val="single"/>
          <w:rtl/>
          <w:lang w:bidi="ar-EG"/>
        </w:rPr>
        <w:t xml:space="preserve"> المراجع العربية </w:t>
      </w:r>
    </w:p>
    <w:p w14:paraId="151D9997" w14:textId="77777777" w:rsidR="00342847" w:rsidRPr="00973709" w:rsidRDefault="00342847">
      <w:pPr>
        <w:numPr>
          <w:ilvl w:val="0"/>
          <w:numId w:val="24"/>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رمان، ج. (2019). أثر ممارسة أبعاد القيادة التحويلية في تطبيق أساليب إدارة الأزمات في جامعة الطائف</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مجلة المنارة، جامعة الطائف</w:t>
      </w:r>
      <w:r w:rsidRPr="00973709">
        <w:rPr>
          <w:rFonts w:ascii="Traditional Arabic" w:hAnsi="Traditional Arabic" w:cs="Traditional Arabic" w:hint="cs"/>
          <w:spacing w:val="-6"/>
          <w:sz w:val="24"/>
          <w:szCs w:val="24"/>
          <w:lang w:bidi="ar-EG"/>
        </w:rPr>
        <w:t>.</w:t>
      </w:r>
    </w:p>
    <w:p w14:paraId="2B99F6F8" w14:textId="456293B4" w:rsidR="00342847" w:rsidRPr="00973709" w:rsidRDefault="00342847">
      <w:pPr>
        <w:numPr>
          <w:ilvl w:val="0"/>
          <w:numId w:val="24"/>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رمان، س. (2020). أثر القيادة التحويلية في الاستعداد لإدارة الأزمات</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المجلة الأردنية في إدارة الأعمال، 16</w:t>
      </w:r>
      <w:r w:rsidR="003E4437" w:rsidRPr="00973709">
        <w:rPr>
          <w:rFonts w:ascii="Traditional Arabic" w:hAnsi="Traditional Arabic" w:cs="Traditional Arabic" w:hint="cs"/>
          <w:spacing w:val="-6"/>
          <w:sz w:val="24"/>
          <w:szCs w:val="24"/>
          <w:rtl/>
          <w:lang w:bidi="ar-EG"/>
        </w:rPr>
        <w:t>(3)</w:t>
      </w:r>
      <w:r w:rsidRPr="00973709">
        <w:rPr>
          <w:rFonts w:ascii="Traditional Arabic" w:hAnsi="Traditional Arabic" w:cs="Traditional Arabic" w:hint="cs"/>
          <w:spacing w:val="-6"/>
          <w:sz w:val="24"/>
          <w:szCs w:val="24"/>
          <w:rtl/>
        </w:rPr>
        <w:t xml:space="preserve"> 145</w:t>
      </w:r>
      <w:r w:rsidRPr="00973709">
        <w:rPr>
          <w:rFonts w:ascii="Traditional Arabic" w:hAnsi="Traditional Arabic" w:cs="Traditional Arabic" w:hint="cs"/>
          <w:spacing w:val="-6"/>
          <w:sz w:val="24"/>
          <w:szCs w:val="24"/>
          <w:lang w:bidi="ar-EG"/>
        </w:rPr>
        <w:t>–</w:t>
      </w:r>
      <w:r w:rsidR="003E4437" w:rsidRPr="00973709">
        <w:rPr>
          <w:rFonts w:ascii="Traditional Arabic" w:hAnsi="Traditional Arabic" w:cs="Traditional Arabic" w:hint="cs"/>
          <w:spacing w:val="-6"/>
          <w:sz w:val="24"/>
          <w:szCs w:val="24"/>
          <w:rtl/>
          <w:lang w:bidi="ar-EG"/>
        </w:rPr>
        <w:t>162.</w:t>
      </w:r>
    </w:p>
    <w:p w14:paraId="4CA45C03" w14:textId="05E925CB" w:rsidR="00342847" w:rsidRPr="00973709" w:rsidRDefault="00342847">
      <w:pPr>
        <w:numPr>
          <w:ilvl w:val="0"/>
          <w:numId w:val="24"/>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زيد، س.، عامر، م</w:t>
      </w:r>
      <w:r w:rsidR="003E4437" w:rsidRPr="00973709">
        <w:rPr>
          <w:rFonts w:ascii="Traditional Arabic" w:hAnsi="Traditional Arabic" w:cs="Traditional Arabic" w:hint="cs"/>
          <w:spacing w:val="-6"/>
          <w:sz w:val="24"/>
          <w:szCs w:val="24"/>
          <w:rtl/>
          <w:lang w:bidi="ar-EG"/>
        </w:rPr>
        <w:t>؛</w:t>
      </w:r>
      <w:r w:rsidRPr="00973709">
        <w:rPr>
          <w:rFonts w:ascii="Traditional Arabic" w:hAnsi="Traditional Arabic" w:cs="Traditional Arabic" w:hint="cs"/>
          <w:spacing w:val="-6"/>
          <w:sz w:val="24"/>
          <w:szCs w:val="24"/>
          <w:rtl/>
        </w:rPr>
        <w:t xml:space="preserve"> الدمياطي، أ. (2023). القيادة التحويلية وعدالة التعاملات والسلوك الابتكاري في قطاع الصحة الحكومي بمحافظة الشرقية</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مجلة البحوث الإدارية، 15</w:t>
      </w:r>
      <w:r w:rsidR="003E4437" w:rsidRPr="00973709">
        <w:rPr>
          <w:rFonts w:ascii="Traditional Arabic" w:hAnsi="Traditional Arabic" w:cs="Traditional Arabic" w:hint="cs"/>
          <w:spacing w:val="-6"/>
          <w:sz w:val="24"/>
          <w:szCs w:val="24"/>
          <w:rtl/>
          <w:lang w:bidi="ar-EG"/>
        </w:rPr>
        <w:t>(2)،</w:t>
      </w:r>
      <w:r w:rsidRPr="00973709">
        <w:rPr>
          <w:rFonts w:ascii="Traditional Arabic" w:hAnsi="Traditional Arabic" w:cs="Traditional Arabic" w:hint="cs"/>
          <w:spacing w:val="-6"/>
          <w:sz w:val="24"/>
          <w:szCs w:val="24"/>
          <w:rtl/>
        </w:rPr>
        <w:t xml:space="preserve"> 6689</w:t>
      </w:r>
      <w:r w:rsidRPr="00973709">
        <w:rPr>
          <w:rFonts w:ascii="Traditional Arabic" w:hAnsi="Traditional Arabic" w:cs="Traditional Arabic" w:hint="cs"/>
          <w:spacing w:val="-6"/>
          <w:sz w:val="24"/>
          <w:szCs w:val="24"/>
          <w:lang w:bidi="ar-EG"/>
        </w:rPr>
        <w:t>.</w:t>
      </w:r>
    </w:p>
    <w:p w14:paraId="586AC9B6" w14:textId="77777777" w:rsidR="00342847" w:rsidRPr="00973709" w:rsidRDefault="00342847">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pacing w:val="-6"/>
          <w:sz w:val="24"/>
          <w:szCs w:val="24"/>
          <w:rtl/>
          <w:lang w:bidi="ar-EG"/>
        </w:rPr>
        <w:t xml:space="preserve"> </w:t>
      </w:r>
      <w:r w:rsidRPr="00973709">
        <w:rPr>
          <w:rFonts w:ascii="Traditional Arabic" w:hAnsi="Traditional Arabic" w:cs="Traditional Arabic" w:hint="cs"/>
          <w:sz w:val="24"/>
          <w:szCs w:val="24"/>
          <w:rtl/>
        </w:rPr>
        <w:t>الأحمدي، ح. ع. (1438هـ)</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سلامة المرضى وجودة الرعاية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الرياض: معهد الإدارة العامة</w:t>
      </w:r>
      <w:r w:rsidRPr="00973709">
        <w:rPr>
          <w:rFonts w:ascii="Traditional Arabic" w:hAnsi="Traditional Arabic" w:cs="Traditional Arabic" w:hint="cs"/>
          <w:sz w:val="24"/>
          <w:szCs w:val="24"/>
          <w:lang w:bidi="ar-EG"/>
        </w:rPr>
        <w:t>.</w:t>
      </w:r>
    </w:p>
    <w:p w14:paraId="3BB15D00" w14:textId="6144FA64" w:rsidR="00593118" w:rsidRPr="00973709" w:rsidRDefault="00342847">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الأكاديمية البريطانية للتدريب والتطوير</w:t>
      </w:r>
      <w:r w:rsidR="003E4437" w:rsidRPr="00973709">
        <w:rPr>
          <w:rFonts w:ascii="Traditional Arabic" w:hAnsi="Traditional Arabic" w:cs="Traditional Arabic" w:hint="cs"/>
          <w:sz w:val="24"/>
          <w:szCs w:val="24"/>
          <w:rtl/>
          <w:lang w:bidi="ar-EG"/>
        </w:rPr>
        <w:t>(</w:t>
      </w:r>
      <w:r w:rsidRPr="00973709">
        <w:rPr>
          <w:rFonts w:ascii="Traditional Arabic" w:hAnsi="Traditional Arabic" w:cs="Traditional Arabic" w:hint="cs"/>
          <w:sz w:val="24"/>
          <w:szCs w:val="24"/>
          <w:lang w:bidi="ar-EG"/>
        </w:rPr>
        <w:t xml:space="preserve"> </w:t>
      </w:r>
      <w:r w:rsidR="003E4437" w:rsidRPr="00973709">
        <w:rPr>
          <w:rFonts w:ascii="Traditional Arabic" w:hAnsi="Traditional Arabic" w:cs="Traditional Arabic" w:hint="cs"/>
          <w:sz w:val="24"/>
          <w:szCs w:val="24"/>
          <w:rtl/>
          <w:lang w:bidi="ar-EG"/>
        </w:rPr>
        <w:t>2023)</w:t>
      </w:r>
      <w:r w:rsidRPr="00973709">
        <w:rPr>
          <w:rFonts w:ascii="Traditional Arabic" w:hAnsi="Traditional Arabic" w:cs="Traditional Arabic" w:hint="cs"/>
          <w:sz w:val="24"/>
          <w:szCs w:val="24"/>
          <w:rtl/>
        </w:rPr>
        <w:t>إدارة المخاطر في المؤسسات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لندن: الأكاديمية البريطانية</w:t>
      </w:r>
      <w:r w:rsidR="00593118" w:rsidRPr="00973709">
        <w:rPr>
          <w:rFonts w:ascii="Traditional Arabic" w:hAnsi="Traditional Arabic" w:cs="Traditional Arabic" w:hint="cs"/>
          <w:sz w:val="24"/>
          <w:szCs w:val="24"/>
          <w:rtl/>
        </w:rPr>
        <w:t xml:space="preserve"> </w:t>
      </w:r>
      <w:r w:rsidRPr="00973709">
        <w:rPr>
          <w:rFonts w:ascii="Traditional Arabic" w:hAnsi="Traditional Arabic" w:cs="Traditional Arabic" w:hint="cs"/>
          <w:sz w:val="24"/>
          <w:szCs w:val="24"/>
          <w:lang w:bidi="ar-EG"/>
        </w:rPr>
        <w:t>.</w:t>
      </w:r>
      <w:hyperlink r:id="rId60" w:history="1">
        <w:r w:rsidRPr="00973709">
          <w:rPr>
            <w:rStyle w:val="Hyperlink"/>
            <w:rFonts w:ascii="Traditional Arabic" w:hAnsi="Traditional Arabic" w:cs="Traditional Arabic" w:hint="cs"/>
            <w:sz w:val="24"/>
            <w:szCs w:val="24"/>
            <w:lang w:bidi="ar-EG"/>
          </w:rPr>
          <w:t>https://www.british-training.com</w:t>
        </w:r>
      </w:hyperlink>
    </w:p>
    <w:p w14:paraId="29561D40" w14:textId="07AD979E" w:rsidR="00342847" w:rsidRPr="00973709" w:rsidRDefault="00342847">
      <w:pPr>
        <w:numPr>
          <w:ilvl w:val="0"/>
          <w:numId w:val="24"/>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الأكاديمية البريطانية للتدريب والتطوير. (2024). دليل شامل في إدارة المخاطر في الرعاية الصحية</w:t>
      </w:r>
      <w:r w:rsidRPr="00973709">
        <w:rPr>
          <w:rFonts w:ascii="Traditional Arabic" w:hAnsi="Traditional Arabic" w:cs="Traditional Arabic" w:hint="cs"/>
          <w:spacing w:val="-6"/>
          <w:sz w:val="24"/>
          <w:szCs w:val="24"/>
          <w:lang w:bidi="ar-EG"/>
        </w:rPr>
        <w:t>.</w:t>
      </w:r>
      <w:r w:rsidR="001C5657" w:rsidRPr="00973709">
        <w:rPr>
          <w:rFonts w:ascii="Traditional Arabic" w:hAnsi="Traditional Arabic" w:cs="Traditional Arabic" w:hint="cs"/>
          <w:spacing w:val="-6"/>
          <w:sz w:val="24"/>
          <w:szCs w:val="24"/>
          <w:rtl/>
          <w:lang w:bidi="ar-EG"/>
        </w:rPr>
        <w:t xml:space="preserve"> </w:t>
      </w:r>
      <w:r w:rsidRPr="00973709">
        <w:rPr>
          <w:rFonts w:ascii="Traditional Arabic" w:hAnsi="Traditional Arabic" w:cs="Traditional Arabic" w:hint="cs"/>
          <w:spacing w:val="-6"/>
          <w:sz w:val="24"/>
          <w:szCs w:val="24"/>
          <w:lang w:bidi="ar-EG"/>
        </w:rPr>
        <w:t xml:space="preserve"> </w:t>
      </w:r>
      <w:hyperlink r:id="rId61" w:history="1">
        <w:r w:rsidRPr="00973709">
          <w:rPr>
            <w:rStyle w:val="Hyperlink"/>
            <w:rFonts w:ascii="Traditional Arabic" w:hAnsi="Traditional Arabic" w:cs="Traditional Arabic" w:hint="cs"/>
            <w:spacing w:val="-6"/>
            <w:sz w:val="24"/>
            <w:szCs w:val="24"/>
            <w:lang w:bidi="ar-EG"/>
          </w:rPr>
          <w:t>https://batdacademy.com/ar/post/</w:t>
        </w:r>
        <w:r w:rsidRPr="00973709">
          <w:rPr>
            <w:rStyle w:val="Hyperlink"/>
            <w:rFonts w:ascii="Traditional Arabic" w:hAnsi="Traditional Arabic" w:cs="Traditional Arabic" w:hint="cs"/>
            <w:spacing w:val="-6"/>
            <w:sz w:val="24"/>
            <w:szCs w:val="24"/>
            <w:rtl/>
          </w:rPr>
          <w:t>دليل-شامل-في-إدارة-المخاطر-في-الرعاية-الصحية</w:t>
        </w:r>
      </w:hyperlink>
    </w:p>
    <w:p w14:paraId="67ACF5AB" w14:textId="6ADDE766" w:rsidR="00342847" w:rsidRPr="00973709" w:rsidRDefault="001C5657">
      <w:pPr>
        <w:numPr>
          <w:ilvl w:val="0"/>
          <w:numId w:val="24"/>
        </w:numPr>
        <w:tabs>
          <w:tab w:val="num" w:pos="720"/>
        </w:tabs>
        <w:bidi/>
        <w:spacing w:before="144" w:after="200" w:line="360" w:lineRule="auto"/>
        <w:ind w:right="301"/>
        <w:contextualSpacing/>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آل عزام، س؛ بن ظفره، ف. (٢٠٢٣). أثر القيادة التحويلية على إدارة الأزمة الصحية في ظل وباء كوفيد-١٩ بالتطبيق على إمارة منطقة عسير. مجلة كلية الاقتصاد والعلوم السياسية بجامعة القاهرة، ٢٤(٢)، ١٥٥–١٧٨</w:t>
      </w:r>
      <w:r w:rsidRPr="00973709">
        <w:rPr>
          <w:rFonts w:ascii="Traditional Arabic" w:eastAsia="Calibri" w:hAnsi="Traditional Arabic" w:cs="Traditional Arabic" w:hint="cs"/>
          <w:sz w:val="24"/>
          <w:szCs w:val="24"/>
        </w:rPr>
        <w:t xml:space="preserve">. </w:t>
      </w:r>
      <w:hyperlink r:id="rId62" w:history="1">
        <w:r w:rsidR="00342847" w:rsidRPr="00973709">
          <w:rPr>
            <w:rStyle w:val="Hyperlink"/>
            <w:rFonts w:ascii="Traditional Arabic" w:eastAsia="Calibri" w:hAnsi="Traditional Arabic" w:cs="Traditional Arabic" w:hint="cs"/>
            <w:sz w:val="24"/>
            <w:szCs w:val="24"/>
          </w:rPr>
          <w:t>https://journals.ekb.eg/article_295873_0.html</w:t>
        </w:r>
      </w:hyperlink>
    </w:p>
    <w:p w14:paraId="2C299964" w14:textId="77777777" w:rsidR="009C55F1" w:rsidRPr="00973709" w:rsidRDefault="009C55F1">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آل مرزوق، ف. (٢٠٢٣). القيادة التحويلية والاستدامة الاستراتيجية في وزارة الصحة بمنطقة عسير. المجلة السعودية للإدارة، ١١(٤)، ١٠١–١٢٣.</w:t>
      </w:r>
    </w:p>
    <w:p w14:paraId="724E9A3C"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الأنصاري، م. (2019). تقييم بيئة العمل في المستشفيات الحكومية السعودية (رسالة ماجستير، جامعة الملك سعود).</w:t>
      </w:r>
    </w:p>
    <w:p w14:paraId="4C7FD972" w14:textId="0175E38D" w:rsidR="00342847" w:rsidRPr="00973709" w:rsidRDefault="009C55F1">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بابكر، ك. د. (٢٠٠٧). القيادة التحويلية وعلاقتها بمستوى الإبداع الإداري. القاهرة: المنظمة العربية للتنمية الإدارية.</w:t>
      </w:r>
    </w:p>
    <w:p w14:paraId="4A01573F" w14:textId="3A23C2C1" w:rsidR="00807073" w:rsidRPr="00973709" w:rsidRDefault="00807073">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البركاني، م. (٢٠٢٥). أثر القيادة التحويلية على فاعلية اتخاذ القرارات في المستشفى العام. مجلة القيادة الصحية، ١٣(١)، ٣٣–٥٠</w:t>
      </w:r>
      <w:r w:rsidRPr="00973709">
        <w:rPr>
          <w:rFonts w:ascii="Traditional Arabic" w:eastAsia="Calibri" w:hAnsi="Traditional Arabic" w:cs="Traditional Arabic" w:hint="cs"/>
          <w:sz w:val="24"/>
          <w:szCs w:val="24"/>
        </w:rPr>
        <w:t>.</w:t>
      </w:r>
    </w:p>
    <w:p w14:paraId="13FF725A" w14:textId="1502F4C6" w:rsidR="00342847" w:rsidRPr="00973709" w:rsidRDefault="00807073">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بومشطة، ف. (٢٠٢٠). أثر القيادة التحويلية على تفعيل الإبداع التنظيمي (رسالة ماجستير غير منشورة). جامعة العربي بن مهيدي، الجزائر</w:t>
      </w:r>
      <w:r w:rsidRPr="00973709">
        <w:rPr>
          <w:rFonts w:ascii="Traditional Arabic" w:eastAsia="Calibri" w:hAnsi="Traditional Arabic" w:cs="Traditional Arabic" w:hint="cs"/>
          <w:sz w:val="24"/>
          <w:szCs w:val="24"/>
        </w:rPr>
        <w:t>.</w:t>
      </w:r>
    </w:p>
    <w:p w14:paraId="02C8E111" w14:textId="5D0D5810" w:rsidR="000F55C4" w:rsidRPr="00973709" w:rsidRDefault="000F55C4">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تيسير عبد القادر مغازي. (٢٠٠٩). نمط القيادة السائد في مديريات التربية والتعليم بمحافظة غزة وعلاقته بصنع القرار التربوي من وجهة نظر العاملين بها (رسالة ماجستير منشورة). جامعة الأزهر، غزة</w:t>
      </w:r>
      <w:r w:rsidRPr="00973709">
        <w:rPr>
          <w:rFonts w:ascii="Traditional Arabic" w:eastAsia="Calibri" w:hAnsi="Traditional Arabic" w:cs="Traditional Arabic" w:hint="cs"/>
          <w:sz w:val="24"/>
          <w:szCs w:val="24"/>
        </w:rPr>
        <w:t>.</w:t>
      </w:r>
    </w:p>
    <w:p w14:paraId="6F6EF2D5" w14:textId="77777777" w:rsidR="000F55C4" w:rsidRPr="00973709" w:rsidRDefault="000F55C4">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جبريل، م. (١٩٩٦). علم النفس الاجتماعي. المنصورة: عامر للطباعة والنشر</w:t>
      </w:r>
      <w:r w:rsidRPr="00973709">
        <w:rPr>
          <w:rFonts w:ascii="Traditional Arabic" w:eastAsia="Calibri" w:hAnsi="Traditional Arabic" w:cs="Traditional Arabic" w:hint="cs"/>
          <w:sz w:val="24"/>
          <w:szCs w:val="24"/>
        </w:rPr>
        <w:t>.</w:t>
      </w:r>
    </w:p>
    <w:p w14:paraId="0E66D54A" w14:textId="77777777" w:rsidR="000F55C4" w:rsidRPr="00973709" w:rsidRDefault="000F55C4">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جبريل، م</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جبريل، ف. (٢٠١١). الموسوعة المختصرة للمفاهيم النفسية والتربوية والاجتماعية والأخلاقية. دمياط الجديدة: دار المستقبل</w:t>
      </w:r>
      <w:r w:rsidRPr="00973709">
        <w:rPr>
          <w:rFonts w:ascii="Traditional Arabic" w:eastAsia="Calibri" w:hAnsi="Traditional Arabic" w:cs="Traditional Arabic" w:hint="cs"/>
          <w:sz w:val="24"/>
          <w:szCs w:val="24"/>
        </w:rPr>
        <w:t>.</w:t>
      </w:r>
    </w:p>
    <w:p w14:paraId="1A111E53" w14:textId="77777777" w:rsidR="000F55C4" w:rsidRPr="00973709" w:rsidRDefault="000F55C4">
      <w:pPr>
        <w:numPr>
          <w:ilvl w:val="0"/>
          <w:numId w:val="24"/>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جلدة، س. ب. (٢٠١١). الاستراتيجيات الحديثة لإدارة الأزمات. عمان: دار الراية للنشر والتوزيع</w:t>
      </w:r>
      <w:r w:rsidRPr="00973709">
        <w:rPr>
          <w:rFonts w:ascii="Traditional Arabic" w:eastAsia="Calibri" w:hAnsi="Traditional Arabic" w:cs="Traditional Arabic" w:hint="cs"/>
          <w:sz w:val="24"/>
          <w:szCs w:val="24"/>
        </w:rPr>
        <w:t>.</w:t>
      </w:r>
    </w:p>
    <w:p w14:paraId="17E149A7" w14:textId="706BE9BE"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جمال، ر. م. (٢٠٢٣). الحوكمة الصحية وإدارة الأزمات. جدة: دار الإبداع الأكاديمي</w:t>
      </w:r>
      <w:r w:rsidRPr="00973709">
        <w:rPr>
          <w:rFonts w:ascii="Traditional Arabic" w:eastAsia="Calibri" w:hAnsi="Traditional Arabic" w:cs="Traditional Arabic" w:hint="cs"/>
          <w:sz w:val="24"/>
          <w:szCs w:val="24"/>
        </w:rPr>
        <w:t>.</w:t>
      </w:r>
    </w:p>
    <w:p w14:paraId="38D34151" w14:textId="77777777"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جمعية الحوكمة والشفافية في قطاع الصحة. (٢٠١٣). مركز المشروعات الدولية الخاصة. شارع مصدق، الدقي، الجيزة: القاهرة</w:t>
      </w:r>
      <w:r w:rsidRPr="00973709">
        <w:rPr>
          <w:rFonts w:ascii="Traditional Arabic" w:eastAsia="Calibri" w:hAnsi="Traditional Arabic" w:cs="Traditional Arabic" w:hint="cs"/>
          <w:sz w:val="24"/>
          <w:szCs w:val="24"/>
        </w:rPr>
        <w:t>.</w:t>
      </w:r>
    </w:p>
    <w:p w14:paraId="1B7D9C5E" w14:textId="77777777"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الجهني، ع. ر. (٢٠٢٠). إدارة المخاطر في مستشفيات المملكة العربية السعودية: دراسة حالة. مجلة العلوم الصحية، ١٠(١)، ٣٣–٥٠</w:t>
      </w:r>
      <w:r w:rsidRPr="00973709">
        <w:rPr>
          <w:rFonts w:ascii="Traditional Arabic" w:eastAsia="Calibri" w:hAnsi="Traditional Arabic" w:cs="Traditional Arabic" w:hint="cs"/>
          <w:sz w:val="24"/>
          <w:szCs w:val="24"/>
        </w:rPr>
        <w:t>.</w:t>
      </w:r>
    </w:p>
    <w:p w14:paraId="3CE470C1" w14:textId="77777777"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جورج كتورة. (٢٠١٥). حول رحيل السوسيولوجي الألماني أولريش بيك. مجلة إضافات، ١٣(١)، ٩٩–١٠٧</w:t>
      </w:r>
      <w:r w:rsidRPr="00973709">
        <w:rPr>
          <w:rFonts w:ascii="Traditional Arabic" w:eastAsia="Calibri" w:hAnsi="Traditional Arabic" w:cs="Traditional Arabic" w:hint="cs"/>
          <w:sz w:val="24"/>
          <w:szCs w:val="24"/>
        </w:rPr>
        <w:t>.</w:t>
      </w:r>
    </w:p>
    <w:p w14:paraId="22C67535" w14:textId="77777777"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حافظ، ع. ك. (٢٠١٢). أثر القيادة التحويلية على فاعلية عملية اتخاذ القرار في شركات التأمين الأردنية (رسالة ماجستير، جامعة الشرق الأوسط، الأردن)</w:t>
      </w:r>
      <w:r w:rsidRPr="00973709">
        <w:rPr>
          <w:rFonts w:ascii="Traditional Arabic" w:eastAsia="Calibri" w:hAnsi="Traditional Arabic" w:cs="Traditional Arabic" w:hint="cs"/>
          <w:sz w:val="24"/>
          <w:szCs w:val="24"/>
        </w:rPr>
        <w:t>.</w:t>
      </w:r>
    </w:p>
    <w:p w14:paraId="585CF2CC" w14:textId="01526E76" w:rsidR="00D825C8" w:rsidRPr="00973709" w:rsidRDefault="00D825C8">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أ. (٢٠١٩). القيادة التحويلية وأثرها على أداء العاملين في المستشفيات الحكومية (رسالة ماجستير، جامعة الملك سعود)</w:t>
      </w:r>
      <w:r w:rsidRPr="00973709">
        <w:rPr>
          <w:rFonts w:ascii="Traditional Arabic" w:eastAsia="Calibri" w:hAnsi="Traditional Arabic" w:cs="Traditional Arabic" w:hint="cs"/>
          <w:sz w:val="24"/>
          <w:szCs w:val="24"/>
        </w:rPr>
        <w:t>.</w:t>
      </w:r>
    </w:p>
    <w:p w14:paraId="00DB604B" w14:textId="77777777" w:rsidR="00D825C8" w:rsidRPr="00973709" w:rsidRDefault="00D825C8">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ن. (٢٠٢٠). تطبيق معايير السلامة المهنية في المستشفيات وأثرها على سلامة المرضى (رسالة ماجستير، جامعة أم القرى)</w:t>
      </w:r>
      <w:r w:rsidRPr="00973709">
        <w:rPr>
          <w:rFonts w:ascii="Traditional Arabic" w:eastAsia="Calibri" w:hAnsi="Traditional Arabic" w:cs="Traditional Arabic" w:hint="cs"/>
          <w:sz w:val="24"/>
          <w:szCs w:val="24"/>
        </w:rPr>
        <w:t>.</w:t>
      </w:r>
    </w:p>
    <w:p w14:paraId="4862B3B4" w14:textId="3AA50999" w:rsidR="00342847" w:rsidRPr="00973709" w:rsidRDefault="00D825C8">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ن. (٢٠٢١). تحليل الأخطاء الطبية وأثره في تحسين جودة الرعاية الصحية (رسالة دكتوراه، جامعة أم القرى)</w:t>
      </w:r>
      <w:r w:rsidRPr="00973709">
        <w:rPr>
          <w:rFonts w:ascii="Traditional Arabic" w:eastAsia="Calibri" w:hAnsi="Traditional Arabic" w:cs="Traditional Arabic" w:hint="cs"/>
          <w:sz w:val="24"/>
          <w:szCs w:val="24"/>
        </w:rPr>
        <w:t>.</w:t>
      </w:r>
    </w:p>
    <w:p w14:paraId="0D94D656"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(2017). القيادة التحويلية ودورها في تطوير الموارد البشرية في المستشفيات (رسالة دكتوراه، جامعة عين شمس).</w:t>
      </w:r>
    </w:p>
    <w:p w14:paraId="21EF61D5"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(2021). أثر ملاحظات المرضى على تحسين جودة الرعاية الصحية (رسالة دكتوراه، جامعة عين شمس).</w:t>
      </w:r>
    </w:p>
    <w:p w14:paraId="7788F1E1"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(2021). القيادة التحويلية ودورها في تعزيز بيئة الابتكار في القطاع الصحي (رسالة دكتوراه، جامعة عين شمس).</w:t>
      </w:r>
    </w:p>
    <w:p w14:paraId="5BB44C35" w14:textId="64F47676" w:rsidR="00342847" w:rsidRPr="00973709" w:rsidRDefault="00D825C8">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حسين، ر. ر. م. (٢٠١٩). أثر تطبيق القيادة التحويلية على تحسين الأداء في المنظمات الصحية طبقًا لرؤية مصر ٢٠٣٠: دراسة تطبيقية على المستشفيات الحكومية. مجلة الإدارة والتنمية الصحية، ٥(٤)، ١١٢–١٣٠.</w:t>
      </w:r>
    </w:p>
    <w:p w14:paraId="111DED4F" w14:textId="307B8828"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حسين، م. (٢٠٢٠). أثر القيادة التحويلية على تحسين الأداء في المنظمات الصحية في ضوء رؤية مصر ٢٠٣٠. المجلة المصرية للإدارة الصحية، ١٢(١)، ٤٥–٦٧</w:t>
      </w:r>
      <w:r w:rsidRPr="00973709">
        <w:rPr>
          <w:rFonts w:ascii="Traditional Arabic" w:eastAsia="Calibri" w:hAnsi="Traditional Arabic" w:cs="Traditional Arabic" w:hint="cs"/>
          <w:sz w:val="24"/>
          <w:szCs w:val="24"/>
        </w:rPr>
        <w:t>.</w:t>
      </w:r>
    </w:p>
    <w:p w14:paraId="4425B6F5" w14:textId="77777777"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حمدان، خ. (٢٠٢٠). الاستراتيجية والتخطيط الاستراتيجي. عمان: دار اليازوري العلمية للنشر والتوزيع</w:t>
      </w:r>
      <w:r w:rsidRPr="00973709">
        <w:rPr>
          <w:rFonts w:ascii="Traditional Arabic" w:eastAsia="Calibri" w:hAnsi="Traditional Arabic" w:cs="Traditional Arabic" w:hint="cs"/>
          <w:sz w:val="24"/>
          <w:szCs w:val="24"/>
        </w:rPr>
        <w:t>.</w:t>
      </w:r>
    </w:p>
    <w:p w14:paraId="551C3FF9" w14:textId="6A243087" w:rsidR="00342847" w:rsidRPr="00973709" w:rsidRDefault="00342847">
      <w:pPr>
        <w:numPr>
          <w:ilvl w:val="0"/>
          <w:numId w:val="24"/>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lastRenderedPageBreak/>
        <w:t>الحوراني، ح. (2023). ما هو مفهوم الجودة في الرعاية الصحية؟ الأكاديمية الطبية الافتراضية</w:t>
      </w:r>
      <w:r w:rsidRPr="00973709">
        <w:rPr>
          <w:rFonts w:ascii="Traditional Arabic" w:hAnsi="Traditional Arabic" w:cs="Traditional Arabic" w:hint="cs"/>
          <w:spacing w:val="-6"/>
          <w:sz w:val="24"/>
          <w:szCs w:val="24"/>
          <w:lang w:bidi="ar-EG"/>
        </w:rPr>
        <w:t xml:space="preserve">. </w:t>
      </w:r>
      <w:r w:rsidR="00D825C8" w:rsidRPr="00973709">
        <w:rPr>
          <w:rFonts w:ascii="Traditional Arabic" w:hAnsi="Traditional Arabic" w:cs="Traditional Arabic" w:hint="cs"/>
          <w:spacing w:val="-6"/>
          <w:sz w:val="24"/>
          <w:szCs w:val="24"/>
          <w:rtl/>
          <w:lang w:bidi="ar-EG"/>
        </w:rPr>
        <w:t xml:space="preserve"> </w:t>
      </w:r>
      <w:hyperlink r:id="rId63" w:history="1">
        <w:r w:rsidR="00D825C8" w:rsidRPr="00973709">
          <w:rPr>
            <w:rStyle w:val="Hyperlink"/>
            <w:rFonts w:ascii="Traditional Arabic" w:hAnsi="Traditional Arabic" w:cs="Traditional Arabic" w:hint="cs"/>
            <w:spacing w:val="-6"/>
            <w:sz w:val="24"/>
            <w:szCs w:val="24"/>
            <w:lang w:bidi="ar-EG"/>
          </w:rPr>
          <w:t>https://blog.medicalacademy.org/</w:t>
        </w:r>
        <w:r w:rsidR="00D825C8" w:rsidRPr="00973709">
          <w:rPr>
            <w:rStyle w:val="Hyperlink"/>
            <w:rFonts w:ascii="Traditional Arabic" w:hAnsi="Traditional Arabic" w:cs="Traditional Arabic" w:hint="cs"/>
            <w:spacing w:val="-6"/>
            <w:sz w:val="24"/>
            <w:szCs w:val="24"/>
            <w:rtl/>
          </w:rPr>
          <w:t>الجودة-في-الرعاية-الصحية</w:t>
        </w:r>
        <w:r w:rsidR="00D825C8" w:rsidRPr="00973709">
          <w:rPr>
            <w:rStyle w:val="Hyperlink"/>
            <w:rFonts w:ascii="Traditional Arabic" w:hAnsi="Traditional Arabic" w:cs="Traditional Arabic" w:hint="cs"/>
            <w:spacing w:val="-6"/>
            <w:sz w:val="24"/>
            <w:szCs w:val="24"/>
            <w:lang w:bidi="ar-EG"/>
          </w:rPr>
          <w:t>/</w:t>
        </w:r>
      </w:hyperlink>
    </w:p>
    <w:p w14:paraId="37974DE1" w14:textId="0CD0E867"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الخرابشة، ع</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و المعاني، أ</w:t>
      </w:r>
      <w:r w:rsidRPr="00973709">
        <w:rPr>
          <w:rFonts w:ascii="Traditional Arabic" w:eastAsia="Calibri" w:hAnsi="Traditional Arabic" w:cs="Traditional Arabic" w:hint="cs"/>
          <w:sz w:val="24"/>
          <w:szCs w:val="24"/>
        </w:rPr>
        <w:t>. (</w:t>
      </w:r>
      <w:r w:rsidRPr="00973709">
        <w:rPr>
          <w:rFonts w:ascii="Traditional Arabic" w:eastAsia="Calibri" w:hAnsi="Traditional Arabic" w:cs="Traditional Arabic" w:hint="cs"/>
          <w:sz w:val="24"/>
          <w:szCs w:val="24"/>
          <w:rtl/>
        </w:rPr>
        <w:t>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على الإبداع الإداري لدى العاملين في جامعة البلقاء التطبيقية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المجلة التربوية </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جامعة الكويت، ٣٠(١)، ٨٨</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١١٠</w:t>
      </w:r>
      <w:r w:rsidRPr="00973709">
        <w:rPr>
          <w:rFonts w:ascii="Traditional Arabic" w:eastAsia="Calibri" w:hAnsi="Traditional Arabic" w:cs="Traditional Arabic" w:hint="cs"/>
          <w:sz w:val="24"/>
          <w:szCs w:val="24"/>
        </w:rPr>
        <w:t>.</w:t>
      </w:r>
    </w:p>
    <w:p w14:paraId="7429F4D2" w14:textId="479ABB84" w:rsidR="00D825C8" w:rsidRPr="00973709" w:rsidRDefault="00D825C8">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الخضران، ن. (٢٠٢٣). دور القيادة التحويلية في تعزيز المسؤولية المجتمعية في مديرية الشؤون الصحية بمنطقة عسير. مجلة المسؤولية المجتمعية، ٦(٢)، ٥٥–٧٢</w:t>
      </w:r>
      <w:r w:rsidRPr="00973709">
        <w:rPr>
          <w:rFonts w:ascii="Traditional Arabic" w:eastAsia="Calibri" w:hAnsi="Traditional Arabic" w:cs="Traditional Arabic" w:hint="cs"/>
          <w:sz w:val="24"/>
          <w:szCs w:val="24"/>
        </w:rPr>
        <w:t>.</w:t>
      </w:r>
    </w:p>
    <w:p w14:paraId="188362C4"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آ. (2018). تأثير التدريب السريري على تحسين جودة الرعاية الصحية (رسالة ماجستير، الجامعة الأردنية).</w:t>
      </w:r>
    </w:p>
    <w:p w14:paraId="0370B9B8"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آ. (2018). ثقافة سلامة المرضى في المستشفيات الأردنية (رسالة ماجستير، الجامعة الأردنية).</w:t>
      </w:r>
    </w:p>
    <w:p w14:paraId="16918A62"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ر. (2018). القيادة التحويلية وعلاقتها برضا العاملين في المستشفيات الأردنية (رسالة ماجستير، الجامعة الأردنية).</w:t>
      </w:r>
    </w:p>
    <w:p w14:paraId="68769077"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الخليفي، ر. (2020). تطبيق أدوات تحليل المخاطر في المستشفيات الحكومية (رسالة ماجستير، جامعة الملك عبدالعزيز).</w:t>
      </w:r>
    </w:p>
    <w:p w14:paraId="577541A9" w14:textId="24DE925F" w:rsidR="00BB47D5" w:rsidRPr="00973709" w:rsidRDefault="00BB47D5">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خيري، أ.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الجديد في القيادة الإدارية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عمان، الأردن: دار الراية للنشر والتوزيع</w:t>
      </w:r>
      <w:r w:rsidRPr="00973709">
        <w:rPr>
          <w:rFonts w:ascii="Traditional Arabic" w:eastAsia="Calibri" w:hAnsi="Traditional Arabic" w:cs="Traditional Arabic" w:hint="cs"/>
          <w:sz w:val="24"/>
          <w:szCs w:val="24"/>
        </w:rPr>
        <w:t>.</w:t>
      </w:r>
    </w:p>
    <w:p w14:paraId="4864E356" w14:textId="77777777" w:rsidR="00BB47D5" w:rsidRPr="00973709" w:rsidRDefault="00BB47D5">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رجب، ر.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التفاعل بين أنماط القيادة والمرؤوسين وأثره على أداء العاملين: دراسة ميدانية بالتطبيق على شركات القطاع العام للصناعات الدوائية لإنتاج الأدوية (رسالة ماجستير غير منشورة). كلية التجارة، جامعة أسيوط</w:t>
      </w:r>
      <w:r w:rsidRPr="00973709">
        <w:rPr>
          <w:rFonts w:ascii="Traditional Arabic" w:eastAsia="Calibri" w:hAnsi="Traditional Arabic" w:cs="Traditional Arabic" w:hint="cs"/>
          <w:sz w:val="24"/>
          <w:szCs w:val="24"/>
        </w:rPr>
        <w:t>.</w:t>
      </w:r>
    </w:p>
    <w:p w14:paraId="61722625" w14:textId="77777777" w:rsidR="00BB47D5" w:rsidRPr="00973709" w:rsidRDefault="00BB47D5">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رزق الله، م</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طيبي، ن.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في مستشفى أحمد بن عجيلة بالأغواط: دراسة ميدانية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الإنسانية والاجتماعية، ١٨(٢)، ٨٨–١٠٢</w:t>
      </w:r>
      <w:r w:rsidRPr="00973709">
        <w:rPr>
          <w:rFonts w:ascii="Traditional Arabic" w:eastAsia="Calibri" w:hAnsi="Traditional Arabic" w:cs="Traditional Arabic" w:hint="cs"/>
          <w:sz w:val="24"/>
          <w:szCs w:val="24"/>
        </w:rPr>
        <w:t>.</w:t>
      </w:r>
    </w:p>
    <w:p w14:paraId="14A1E01E" w14:textId="77777777" w:rsidR="00342847" w:rsidRPr="00973709" w:rsidRDefault="00342847">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رشاد، ح. (2020). إدارة الأزمات في قطاع السياحة. ورقة عمل مقدمة إلى المؤتمر السنوي السادس عشر لإدارة الأزمات والكوارث، وحدة بحوث الأزمات، كلية التجارة، جامعة عين شمس</w:t>
      </w:r>
      <w:r w:rsidRPr="00973709">
        <w:rPr>
          <w:rFonts w:ascii="Traditional Arabic" w:eastAsia="Calibri" w:hAnsi="Traditional Arabic" w:cs="Traditional Arabic" w:hint="cs"/>
          <w:sz w:val="24"/>
          <w:szCs w:val="24"/>
        </w:rPr>
        <w:t>.</w:t>
      </w:r>
    </w:p>
    <w:p w14:paraId="211FA94C" w14:textId="7A89C321" w:rsidR="00342847" w:rsidRPr="00973709" w:rsidRDefault="00430404">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الرقب، أ. (٢٠٢٠). علاقة القيادة التحويلية بتمكين العاملين في الجامعات الفلسطينية بقطاع غزة (رسالة ماجستير غير منشورة). كلية الاقتصاد والعلوم الإدارية، جامعة الأزهر، فلسطين.</w:t>
      </w:r>
    </w:p>
    <w:p w14:paraId="56AE7AFF" w14:textId="65621FC6" w:rsidR="00342847" w:rsidRPr="00973709" w:rsidRDefault="00342847">
      <w:pPr>
        <w:numPr>
          <w:ilvl w:val="0"/>
          <w:numId w:val="24"/>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رقطي، ب</w:t>
      </w:r>
      <w:r w:rsidR="00B720AE" w:rsidRPr="00973709">
        <w:rPr>
          <w:rFonts w:ascii="Traditional Arabic" w:hAnsi="Traditional Arabic" w:cs="Traditional Arabic" w:hint="cs"/>
          <w:spacing w:val="-6"/>
          <w:sz w:val="24"/>
          <w:szCs w:val="24"/>
          <w:rtl/>
          <w:lang w:bidi="ar-EG"/>
        </w:rPr>
        <w:t>؛</w:t>
      </w:r>
      <w:r w:rsidRPr="00973709">
        <w:rPr>
          <w:rFonts w:ascii="Traditional Arabic" w:hAnsi="Traditional Arabic" w:cs="Traditional Arabic" w:hint="cs"/>
          <w:spacing w:val="-6"/>
          <w:sz w:val="24"/>
          <w:szCs w:val="24"/>
          <w:rtl/>
        </w:rPr>
        <w:t xml:space="preserve"> كركار، إ. (2023). إدارة المخاطر في المؤسسة الصحية الجزائرية: دراسة ميدانية في المؤسسة الاستشفائية العمومية الحكيم</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جامعة 8 ماي 1945، قالمة</w:t>
      </w:r>
      <w:r w:rsidRPr="00973709">
        <w:rPr>
          <w:rFonts w:ascii="Traditional Arabic" w:hAnsi="Traditional Arabic" w:cs="Traditional Arabic" w:hint="cs"/>
          <w:spacing w:val="-6"/>
          <w:sz w:val="24"/>
          <w:szCs w:val="24"/>
          <w:lang w:bidi="ar-EG"/>
        </w:rPr>
        <w:t>.</w:t>
      </w:r>
    </w:p>
    <w:p w14:paraId="778E98B0" w14:textId="6B03E633" w:rsidR="00B720AE" w:rsidRPr="00973709" w:rsidRDefault="00B720AE">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رؤيا، م. م. (٢٠١٤)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درجة توفر سمات القيادة التحويلية لدى مدراء المدارس الحكومية الثانوية وعلاقتها بالانتماء المهني للمعلمين من وجهة نظر المعلمين في محافظات شمال فلسطين</w:t>
      </w:r>
      <w:r w:rsidRPr="00973709">
        <w:rPr>
          <w:rFonts w:ascii="Traditional Arabic" w:eastAsia="Calibri" w:hAnsi="Traditional Arabic" w:cs="Traditional Arabic" w:hint="cs"/>
          <w:sz w:val="24"/>
          <w:szCs w:val="24"/>
          <w:rtl/>
        </w:rPr>
        <w:t xml:space="preserve"> (رسالة ماجستير). كلية الدراسات العليا، جامعة النجاح الوطنية، نابلس، فلسطين</w:t>
      </w:r>
      <w:r w:rsidRPr="00973709">
        <w:rPr>
          <w:rFonts w:ascii="Traditional Arabic" w:eastAsia="Calibri" w:hAnsi="Traditional Arabic" w:cs="Traditional Arabic" w:hint="cs"/>
          <w:sz w:val="24"/>
          <w:szCs w:val="24"/>
        </w:rPr>
        <w:t>.</w:t>
      </w:r>
    </w:p>
    <w:p w14:paraId="3484A0E9" w14:textId="77777777" w:rsidR="00B720AE" w:rsidRPr="00973709" w:rsidRDefault="00B720AE">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زقيبة، ع. (٢٠١٨)</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الأخطاء الطبية في القانون الجزائري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الدراسات القانونية، ٥(٢)، ١–١٥</w:t>
      </w:r>
      <w:r w:rsidRPr="00973709">
        <w:rPr>
          <w:rFonts w:ascii="Traditional Arabic" w:eastAsia="Calibri" w:hAnsi="Traditional Arabic" w:cs="Traditional Arabic" w:hint="cs"/>
          <w:sz w:val="24"/>
          <w:szCs w:val="24"/>
        </w:rPr>
        <w:t>.</w:t>
      </w:r>
    </w:p>
    <w:p w14:paraId="5F1DCB28" w14:textId="77777777" w:rsidR="00B720AE" w:rsidRPr="00973709" w:rsidRDefault="00B720AE">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الزهراني، س.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تحديات إدارة المخاطر في القطاع الصحي السعودي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البحوث الطبية، ١٠(١)، ٥٥–٧٤</w:t>
      </w:r>
      <w:r w:rsidRPr="00973709">
        <w:rPr>
          <w:rFonts w:ascii="Traditional Arabic" w:eastAsia="Calibri" w:hAnsi="Traditional Arabic" w:cs="Traditional Arabic" w:hint="cs"/>
          <w:sz w:val="24"/>
          <w:szCs w:val="24"/>
        </w:rPr>
        <w:t>.</w:t>
      </w:r>
    </w:p>
    <w:p w14:paraId="1F3ACEAE"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الزهراني، م. (2018). تحليل الحوادث الطبية في المستشفيات السعودية (رسالة ماجستير، جامعة الملك سعود).</w:t>
      </w:r>
    </w:p>
    <w:p w14:paraId="2E17BEC8"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السبيعي، ن. (2018). تقييم إدارة المخاطر في المستشفيات الحكومية بمنطقة مكة المكرمة (رسالة ماجستير، جامعة أم القرى).</w:t>
      </w:r>
    </w:p>
    <w:p w14:paraId="5FFEC2C4" w14:textId="77777777" w:rsidR="00342847" w:rsidRPr="00973709" w:rsidRDefault="00342847">
      <w:pPr>
        <w:pStyle w:val="ListParagraph"/>
        <w:numPr>
          <w:ilvl w:val="0"/>
          <w:numId w:val="24"/>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سعد، م. م. (2005). دور القيادة التحويلية في إدارة التغيير. المؤتمر الثالث لكلية العلوم الإدارية، جامعة الملك سعود، الرياض، السعودية</w:t>
      </w:r>
      <w:r w:rsidRPr="00973709">
        <w:rPr>
          <w:rFonts w:ascii="Traditional Arabic" w:eastAsia="Calibri" w:hAnsi="Traditional Arabic" w:cs="Traditional Arabic" w:hint="cs"/>
          <w:sz w:val="24"/>
          <w:szCs w:val="24"/>
        </w:rPr>
        <w:t>.</w:t>
      </w:r>
    </w:p>
    <w:p w14:paraId="1E63C704" w14:textId="75D2511C" w:rsidR="00860AEA" w:rsidRPr="00973709" w:rsidRDefault="00860AEA">
      <w:pPr>
        <w:pStyle w:val="ListParagraph"/>
        <w:numPr>
          <w:ilvl w:val="0"/>
          <w:numId w:val="24"/>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السعيد، أ. م. (٢٠١٩)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تقييم إدارة المخاطر في المستشفيات الحكومية السعودية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مجلة إدارة المستشفيات، ١١(٢)، ٣٣–٥٦</w:t>
      </w:r>
      <w:r w:rsidRPr="00973709">
        <w:rPr>
          <w:rFonts w:ascii="Traditional Arabic" w:hAnsi="Traditional Arabic" w:cs="Traditional Arabic" w:hint="cs"/>
          <w:spacing w:val="-6"/>
          <w:sz w:val="24"/>
          <w:szCs w:val="24"/>
        </w:rPr>
        <w:t>.</w:t>
      </w:r>
    </w:p>
    <w:p w14:paraId="74D6B8F8" w14:textId="2730E06B" w:rsidR="00860AEA" w:rsidRPr="00973709" w:rsidRDefault="00860AEA">
      <w:pPr>
        <w:pStyle w:val="ListParagraph"/>
        <w:numPr>
          <w:ilvl w:val="0"/>
          <w:numId w:val="24"/>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السلمي، أ. ع. ع؛ حداد، م. ع. أ. ب. (٢٠٢٤)</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دور القيادة التحويلية في تعزيز فاعلية إدارة الأزمات الصحية: دراسة ميدانية على وزارة الصحة بمحافظة جدة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العربية للنشر العلمي، ١٨(٣)، ٩١–١٠٤</w:t>
      </w:r>
      <w:r w:rsidRPr="00973709">
        <w:rPr>
          <w:rFonts w:ascii="Traditional Arabic" w:hAnsi="Traditional Arabic" w:cs="Traditional Arabic" w:hint="cs"/>
          <w:spacing w:val="-6"/>
          <w:sz w:val="24"/>
          <w:szCs w:val="24"/>
        </w:rPr>
        <w:t>.</w:t>
      </w:r>
    </w:p>
    <w:p w14:paraId="7784D346"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الشراري، ه. (2021). التقييم الدوري للمخاطر التشغيلية في المستشفيات (رسالة ماجستير، جامعة الجوف).</w:t>
      </w:r>
    </w:p>
    <w:p w14:paraId="2E5E49B6" w14:textId="1FD67229" w:rsidR="00142EED" w:rsidRPr="00973709" w:rsidRDefault="00142EED">
      <w:pPr>
        <w:pStyle w:val="ListParagraph"/>
        <w:numPr>
          <w:ilvl w:val="0"/>
          <w:numId w:val="24"/>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شريف، أ. (٢٠٢٠)</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القيادة التحويلية وأثرها على الإبداع الإداري لدى العاملين في البنوك التجارية العاملة في فلسطين</w:t>
      </w:r>
      <w:r w:rsidRPr="00973709">
        <w:rPr>
          <w:rFonts w:ascii="Traditional Arabic" w:hAnsi="Traditional Arabic" w:cs="Traditional Arabic" w:hint="cs"/>
          <w:spacing w:val="-6"/>
          <w:sz w:val="24"/>
          <w:szCs w:val="24"/>
          <w:rtl/>
        </w:rPr>
        <w:t xml:space="preserve"> (رسالة ماجستير غير منشورة). جامعة الخليل، فلسطين</w:t>
      </w:r>
      <w:r w:rsidRPr="00973709">
        <w:rPr>
          <w:rFonts w:ascii="Traditional Arabic" w:hAnsi="Traditional Arabic" w:cs="Traditional Arabic" w:hint="cs"/>
          <w:spacing w:val="-6"/>
          <w:sz w:val="24"/>
          <w:szCs w:val="24"/>
        </w:rPr>
        <w:t>.</w:t>
      </w:r>
    </w:p>
    <w:p w14:paraId="723EA4F4" w14:textId="77777777" w:rsidR="00142EED" w:rsidRPr="00973709" w:rsidRDefault="00142EED">
      <w:pPr>
        <w:pStyle w:val="ListParagraph"/>
        <w:numPr>
          <w:ilvl w:val="0"/>
          <w:numId w:val="24"/>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الشمري، أ.، وعبد الله، م. (٢٠٢٤)</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تأثير تطبيق إدارة المخاطر على مشاريع الرعاية الصحية: دراسة تطبيقية على مستشفيات في جدة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الدولية للبحوث العلمية، ١٢(٣)، ٤٥–٦٢</w:t>
      </w:r>
      <w:r w:rsidRPr="00973709">
        <w:rPr>
          <w:rFonts w:ascii="Traditional Arabic" w:hAnsi="Traditional Arabic" w:cs="Traditional Arabic" w:hint="cs"/>
          <w:spacing w:val="-6"/>
          <w:sz w:val="24"/>
          <w:szCs w:val="24"/>
        </w:rPr>
        <w:t>.</w:t>
      </w:r>
    </w:p>
    <w:p w14:paraId="684B1CAC" w14:textId="58836013" w:rsidR="00142EED" w:rsidRPr="00973709" w:rsidRDefault="00142EED">
      <w:pPr>
        <w:pStyle w:val="ListParagraph"/>
        <w:numPr>
          <w:ilvl w:val="0"/>
          <w:numId w:val="24"/>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الشمري، عبد الله (٢٠٢٠)</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إدارة المخاطر في المؤسسات الصحية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الرياض: دار المرامي للنشر</w:t>
      </w:r>
      <w:r w:rsidRPr="00973709">
        <w:rPr>
          <w:rFonts w:ascii="Traditional Arabic" w:hAnsi="Traditional Arabic" w:cs="Traditional Arabic" w:hint="cs"/>
          <w:spacing w:val="-6"/>
          <w:sz w:val="24"/>
          <w:szCs w:val="24"/>
        </w:rPr>
        <w:t>.</w:t>
      </w:r>
    </w:p>
    <w:p w14:paraId="6244476B"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الشمري، ف. (2020). فعالية أنظمة الإبلاغ عن الحوادث الطبية في المستشفيات السعودية (رسالة ماجستير، جامعة الإمام عبدالرحمن بن فيصل).</w:t>
      </w:r>
    </w:p>
    <w:p w14:paraId="7074C1DD"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الشمري، ن. (2019). القيادة التحويلية وأثرها على أداء العاملين في المستشفيات الحكومية (رسالة ماجستير، جامعة الملك سعود).</w:t>
      </w:r>
    </w:p>
    <w:p w14:paraId="4A3E2E00"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الشمري، ه. (2017). القيادة التحويلية وتنمية مهارات التفكير التحليلي لدى العاملين في المستشفيات (رسالة ماجستير، جامعة الإمام عبدالرحمن بن فيصل).</w:t>
      </w:r>
    </w:p>
    <w:p w14:paraId="4370D69E" w14:textId="4B10A5CE" w:rsidR="004972AE" w:rsidRPr="00973709" w:rsidRDefault="004972AE">
      <w:pPr>
        <w:pStyle w:val="ListParagraph"/>
        <w:numPr>
          <w:ilvl w:val="0"/>
          <w:numId w:val="24"/>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الشنطي، م. (٢٠٠٧)</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دور القيادة التحويلية في عمليات إدارة المعرفة: دراسة تطبيقية على العاملين في وزارة الداخلية الفلسطينية بقطاع غزة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الإدارية في إدارة الأعمال، ٣(٣)، ١٠٣–١٢٠</w:t>
      </w:r>
      <w:r w:rsidRPr="00973709">
        <w:rPr>
          <w:rFonts w:ascii="Traditional Arabic" w:hAnsi="Traditional Arabic" w:cs="Traditional Arabic" w:hint="cs"/>
          <w:spacing w:val="-6"/>
          <w:sz w:val="24"/>
          <w:szCs w:val="24"/>
        </w:rPr>
        <w:t>.</w:t>
      </w:r>
    </w:p>
    <w:p w14:paraId="0B15D90D" w14:textId="77455FAC"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الصالحي، خ. ب. س. (٢٠١٣)</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القيادة التحويلية والتبادلية لدى مديري مدارس التعليم العام في منطقة القصيم التعليمية وعلاقتها بمستوى الروح المعنوية لدى المعلمين</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رسالة التربية وعلم النفس، جامعة الملك سعود – الجمعية السعودية للعلوم التربوية والنفسية، ٤٠(١)، ٤٤٠</w:t>
      </w:r>
      <w:r w:rsidRPr="00973709">
        <w:rPr>
          <w:rFonts w:ascii="Traditional Arabic" w:hAnsi="Traditional Arabic" w:cs="Traditional Arabic" w:hint="cs"/>
          <w:sz w:val="24"/>
          <w:szCs w:val="24"/>
          <w:lang w:bidi="ar-EG"/>
        </w:rPr>
        <w:t>.</w:t>
      </w:r>
    </w:p>
    <w:p w14:paraId="60347C19" w14:textId="77777777"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الصيرفي، م. (٢٠٢٠)</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الأزمات</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مؤسسة حورس الدولية للنشر والتوزيع</w:t>
      </w:r>
      <w:r w:rsidRPr="00973709">
        <w:rPr>
          <w:rFonts w:ascii="Traditional Arabic" w:hAnsi="Traditional Arabic" w:cs="Traditional Arabic" w:hint="cs"/>
          <w:sz w:val="24"/>
          <w:szCs w:val="24"/>
          <w:lang w:bidi="ar-EG"/>
        </w:rPr>
        <w:t>.</w:t>
      </w:r>
    </w:p>
    <w:p w14:paraId="5889A3A5" w14:textId="77777777"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الطائي، م. ع. (٢٠٢١)</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الجودة والمخاطر في الخدمات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دار صفاء للنشر</w:t>
      </w:r>
      <w:r w:rsidRPr="00973709">
        <w:rPr>
          <w:rFonts w:ascii="Traditional Arabic" w:hAnsi="Traditional Arabic" w:cs="Traditional Arabic" w:hint="cs"/>
          <w:sz w:val="24"/>
          <w:szCs w:val="24"/>
          <w:lang w:bidi="ar-EG"/>
        </w:rPr>
        <w:t>.</w:t>
      </w:r>
    </w:p>
    <w:p w14:paraId="3357E59B" w14:textId="77777777"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الطائي، م. ك. (٢٠٢٢)</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المؤسسات الصحية: مفاهيم وتطبيقات</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بغداد: دار الرافدين</w:t>
      </w:r>
      <w:r w:rsidRPr="00973709">
        <w:rPr>
          <w:rFonts w:ascii="Traditional Arabic" w:hAnsi="Traditional Arabic" w:cs="Traditional Arabic" w:hint="cs"/>
          <w:sz w:val="24"/>
          <w:szCs w:val="24"/>
          <w:lang w:bidi="ar-EG"/>
        </w:rPr>
        <w:t>.</w:t>
      </w:r>
    </w:p>
    <w:p w14:paraId="3DFC8E8F"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الطراونة، آ. (2017). القيادة التحويلية ودورها في تعزيز العمل الجماعي في المستشفيات (رسالة ماجستير، جامعة مؤتة).</w:t>
      </w:r>
    </w:p>
    <w:p w14:paraId="1CF5CBA8"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الطراونة، ر. (2018). القيادة التحويلية وعلاقتها بالابتكار التنظيمي في المستشفيات الأردنية (رسالة ماجستير، الجامعة الأردنية).</w:t>
      </w:r>
    </w:p>
    <w:p w14:paraId="1C92BF5B"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الطويل، س. (2020). دور مراجعة السجلات الطبية في تقليل الأخطاء العلاجية (رسالة ماجستير، جامعة الملك عبدالعزيز).</w:t>
      </w:r>
    </w:p>
    <w:p w14:paraId="44C3B8EF"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الطويل، س. (2021). دور الصيانة الدورية للأجهزة الطبية في تحسين سلامة المرضى (رسالة ماجستير، جامعة الملك عبدالعزيز).</w:t>
      </w:r>
    </w:p>
    <w:p w14:paraId="56FD00BC" w14:textId="66D5B480"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الطويل، هـ. (٢٠٠٦)</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i/>
          <w:iCs/>
          <w:sz w:val="24"/>
          <w:szCs w:val="24"/>
          <w:rtl/>
        </w:rPr>
        <w:t>إبدال في إدارة النظم التربوية وقيادتها (الإدارة بالإيجاب)</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المكتبة الوطنية</w:t>
      </w:r>
      <w:r w:rsidRPr="00973709">
        <w:rPr>
          <w:rFonts w:ascii="Traditional Arabic" w:hAnsi="Traditional Arabic" w:cs="Traditional Arabic" w:hint="cs"/>
          <w:sz w:val="24"/>
          <w:szCs w:val="24"/>
          <w:lang w:bidi="ar-EG"/>
        </w:rPr>
        <w:t>.</w:t>
      </w:r>
    </w:p>
    <w:p w14:paraId="43121040" w14:textId="77777777"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عبد النبي، أ. م. أ.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تأثير المرونة الشخصية كمتغير وسيط في العلاقة بين القيادة التحويلية والارتباط الوظيفي: دراسة ميدانية بالتطبيق على العاملين بقطاع الرعاية الصحية بالهيئة العامة للمستشفيات والمعاهد التعليمية بجمهورية مصر العربية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المجلة العلمية للدراسات والبحوث المالية والتجارية، ١٥(٣)، ١٦٤٧١٧٠٣</w:t>
      </w:r>
      <w:r w:rsidRPr="00973709">
        <w:rPr>
          <w:rFonts w:ascii="Traditional Arabic" w:hAnsi="Traditional Arabic" w:cs="Traditional Arabic" w:hint="cs"/>
          <w:sz w:val="24"/>
          <w:szCs w:val="24"/>
          <w:lang w:bidi="ar-EG"/>
        </w:rPr>
        <w:t>.</w:t>
      </w:r>
    </w:p>
    <w:p w14:paraId="27064CEE" w14:textId="77777777" w:rsidR="004972AE" w:rsidRPr="00973709" w:rsidRDefault="004972AE">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عبدالحميد، س. ع.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أسس إدارة المخاطر في بيئة الرعاية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مكتبة الأفق العربي</w:t>
      </w:r>
      <w:r w:rsidRPr="00973709">
        <w:rPr>
          <w:rFonts w:ascii="Traditional Arabic" w:hAnsi="Traditional Arabic" w:cs="Traditional Arabic" w:hint="cs"/>
          <w:sz w:val="24"/>
          <w:szCs w:val="24"/>
          <w:lang w:bidi="ar-EG"/>
        </w:rPr>
        <w:t>.</w:t>
      </w:r>
    </w:p>
    <w:p w14:paraId="319313E1" w14:textId="0975EDDC"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عبدالرحمن، ف.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تقييم جودة الخدمة الصحية في مراكز طب الأسرة في بغداد</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تقييم الأداء الصحي، ٧(١)، ٣٣–٥٠</w:t>
      </w:r>
      <w:r w:rsidRPr="00973709">
        <w:rPr>
          <w:rFonts w:ascii="Traditional Arabic" w:eastAsia="Calibri" w:hAnsi="Traditional Arabic" w:cs="Traditional Arabic" w:hint="cs"/>
          <w:sz w:val="24"/>
          <w:szCs w:val="24"/>
        </w:rPr>
        <w:t>.</w:t>
      </w:r>
    </w:p>
    <w:p w14:paraId="726E6A67"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العتيبي، م.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إدارة المخاطر في تحسين جودة الرعاية الصحية: دراسة ميدانية في مستشفيات الرياض</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الإدارية، ٢٠(٣)، ٤٤٦٧</w:t>
      </w:r>
      <w:r w:rsidRPr="00973709">
        <w:rPr>
          <w:rFonts w:ascii="Traditional Arabic" w:eastAsia="Calibri" w:hAnsi="Traditional Arabic" w:cs="Traditional Arabic" w:hint="cs"/>
          <w:sz w:val="24"/>
          <w:szCs w:val="24"/>
        </w:rPr>
        <w:t>.</w:t>
      </w:r>
    </w:p>
    <w:p w14:paraId="10F4F3E9"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العتيبي، م. م.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203DDE87"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العجمي، ح.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الإبداع الإداري في تحقيق الميزة التنافسية: الدور الوسيط لعناصر المنظمة المتعلمة في الشركات الصناعية الكويتية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الدولية للعلوم الإنسانية والاجتماعية، ١٩(٢)، ٧٥–٩٨</w:t>
      </w:r>
      <w:r w:rsidRPr="00973709">
        <w:rPr>
          <w:rFonts w:ascii="Traditional Arabic" w:eastAsia="Calibri" w:hAnsi="Traditional Arabic" w:cs="Traditional Arabic" w:hint="cs"/>
          <w:sz w:val="24"/>
          <w:szCs w:val="24"/>
        </w:rPr>
        <w:t>.</w:t>
      </w:r>
    </w:p>
    <w:p w14:paraId="7389ED04" w14:textId="673C64B1"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العرايضة، م. م.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نظرية القيادة التحويلية في القيادة التربوية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رسالة المعلم، وزارة التربية والتعليم، إدارة التخطيط والبحث التربوي، ٤٩(٣)، ٣٨–٤١</w:t>
      </w:r>
      <w:r w:rsidRPr="00973709">
        <w:rPr>
          <w:rFonts w:ascii="Traditional Arabic" w:eastAsia="Calibri" w:hAnsi="Traditional Arabic" w:cs="Traditional Arabic" w:hint="cs"/>
          <w:sz w:val="24"/>
          <w:szCs w:val="24"/>
        </w:rPr>
        <w:t>.</w:t>
      </w:r>
    </w:p>
    <w:p w14:paraId="0D56A399"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عصماني، ع. ق. (٢٠٠٩)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أهمية بناء أنظمة لإدارة المخاطر لمواجهة الأزمات في المؤسسات المالية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الملتقى العلمي الدولي حول الأزمة المالية والاقتصادية الدولية والحوكمة العالمية. جامعة فرحات عباس، سطيف</w:t>
      </w:r>
      <w:r w:rsidRPr="00973709">
        <w:rPr>
          <w:rFonts w:ascii="Traditional Arabic" w:eastAsia="Calibri" w:hAnsi="Traditional Arabic" w:cs="Traditional Arabic" w:hint="cs"/>
          <w:sz w:val="24"/>
          <w:szCs w:val="24"/>
        </w:rPr>
        <w:t>.</w:t>
      </w:r>
    </w:p>
    <w:p w14:paraId="4FCEE2D9"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عفيفي، آ. (٢٠٢٤)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تأثير تطبيق إدارة المخاطر على مشاريع الرعاية الصحية: دراسة تطبيقية على مستشفيات في جدة (رسالة ماجستير). جامعة ميد أوشن، كلية الإدارة، لندن</w:t>
      </w:r>
      <w:r w:rsidRPr="00973709">
        <w:rPr>
          <w:rFonts w:ascii="Traditional Arabic" w:eastAsia="Calibri" w:hAnsi="Traditional Arabic" w:cs="Traditional Arabic" w:hint="cs"/>
          <w:sz w:val="24"/>
          <w:szCs w:val="24"/>
        </w:rPr>
        <w:t>.</w:t>
      </w:r>
    </w:p>
    <w:p w14:paraId="4EE1767F"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عفيفي، آ. أ</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عفيفي، م.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تطبيق إدارة المخاطر على جودة الرعاية الصحية وسلامة المرضى في مستشفيات جدة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الصحية، ١٢(١)، ٥٥–٧٨</w:t>
      </w:r>
      <w:r w:rsidRPr="00973709">
        <w:rPr>
          <w:rFonts w:ascii="Traditional Arabic" w:eastAsia="Calibri" w:hAnsi="Traditional Arabic" w:cs="Traditional Arabic" w:hint="cs"/>
          <w:sz w:val="24"/>
          <w:szCs w:val="24"/>
        </w:rPr>
        <w:t>.</w:t>
      </w:r>
    </w:p>
    <w:p w14:paraId="3A8BD3E8"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خ. (٢٠١٩)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تحديد أولويات المخاطر في القطاع الصحي باستخدام منهجيات التقييم الحديثة </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رسالة ماجستير، جامعة الملك عبدالعزيز</w:t>
      </w:r>
      <w:r w:rsidRPr="00973709">
        <w:rPr>
          <w:rFonts w:ascii="Traditional Arabic" w:eastAsia="Calibri" w:hAnsi="Traditional Arabic" w:cs="Traditional Arabic" w:hint="cs"/>
          <w:sz w:val="24"/>
          <w:szCs w:val="24"/>
        </w:rPr>
        <w:t>).</w:t>
      </w:r>
    </w:p>
    <w:p w14:paraId="214D4918"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م.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2CF9E115"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م. ب. ن.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3D292C28" w14:textId="77777777" w:rsidR="00342847" w:rsidRPr="00973709" w:rsidRDefault="00342847">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ن. (2020). أثر القيادة التحويلية على جودة الرعاية الصحية (رسالة ماجستير، جامعة الملك عبدالعزيز).</w:t>
      </w:r>
    </w:p>
    <w:p w14:paraId="62F20535" w14:textId="6B2EE42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w:t>
      </w:r>
      <w:r w:rsidRPr="00973709">
        <w:rPr>
          <w:rFonts w:ascii="Traditional Arabic" w:eastAsia="Times New Roman" w:hAnsi="Traditional Arabic" w:cs="Traditional Arabic" w:hint="cs"/>
          <w:sz w:val="24"/>
          <w:szCs w:val="24"/>
          <w:rtl/>
        </w:rPr>
        <w:t xml:space="preserve"> </w:t>
      </w:r>
      <w:r w:rsidRPr="00973709">
        <w:rPr>
          <w:rFonts w:ascii="Traditional Arabic" w:eastAsia="Calibri" w:hAnsi="Traditional Arabic" w:cs="Traditional Arabic" w:hint="cs"/>
          <w:sz w:val="24"/>
          <w:szCs w:val="24"/>
          <w:rtl/>
        </w:rPr>
        <w:t>العنزي، ح. ع. (٢٠٠٥)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لدى مديري المدارس الثانوية في المملكة العربية السعودية وعلاقتها بالأداء الوظيفي لمعلميهم (أطروحة دكتوراه غير منشورة). الجامعة الأردنية، عمان، الأردن</w:t>
      </w:r>
      <w:r w:rsidRPr="00973709">
        <w:rPr>
          <w:rFonts w:ascii="Traditional Arabic" w:eastAsia="Calibri" w:hAnsi="Traditional Arabic" w:cs="Traditional Arabic" w:hint="cs"/>
          <w:sz w:val="24"/>
          <w:szCs w:val="24"/>
        </w:rPr>
        <w:t>.</w:t>
      </w:r>
    </w:p>
    <w:p w14:paraId="79BEB3D8" w14:textId="7CE3EE54"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العنزي، ف.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على جودة الخدمات الصحية ،رسالة ماجستير، جامعة الملك عبدالعزيز.</w:t>
      </w:r>
    </w:p>
    <w:p w14:paraId="24064D65" w14:textId="24F3FCBB"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العنزي، ن.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أثر القيادة التحويلية على الأداء الوظيفي للعاملين في القطاع الصحي </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رسالة ماجستير، جامعة الملك عبدالعزيز.</w:t>
      </w:r>
    </w:p>
    <w:p w14:paraId="20D3F323" w14:textId="77777777"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ج.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ممارسة مديري مدارس التعليم العام للقيادة التحويلية بمحافظة المخواة (رسالة ماجستير غير منشورة). كلية التربية، جامعة أم القرى، مكة المكرمة</w:t>
      </w:r>
      <w:r w:rsidRPr="00973709">
        <w:rPr>
          <w:rFonts w:ascii="Traditional Arabic" w:eastAsia="Calibri" w:hAnsi="Traditional Arabic" w:cs="Traditional Arabic" w:hint="cs"/>
          <w:sz w:val="24"/>
          <w:szCs w:val="24"/>
        </w:rPr>
        <w:t>.</w:t>
      </w:r>
    </w:p>
    <w:p w14:paraId="7E233837" w14:textId="41081D2C" w:rsidR="004972AE" w:rsidRPr="00973709" w:rsidRDefault="004972AE">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ع.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وعلاقتها بنمط القيادة التحويلية: دراسة ميدانية في الشركة العامة للصناعات القطنية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الإدارة والاقتصاد، جامعة بغداد، ٨(١)، ٩٩–١٢٠.</w:t>
      </w:r>
    </w:p>
    <w:p w14:paraId="55BDD4F3" w14:textId="43D02CCA"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ع؛ عثمان، م.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في إدارة الأزمات الصحية: دراسة تطبيقية على مستشفى الملك عبدالله ببيشة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الإدارة الصحية السعودية، ٩(٣)، ١١٥–١٣٤</w:t>
      </w:r>
      <w:r w:rsidRPr="00973709">
        <w:rPr>
          <w:rFonts w:ascii="Traditional Arabic" w:eastAsia="Calibri" w:hAnsi="Traditional Arabic" w:cs="Traditional Arabic" w:hint="cs"/>
          <w:sz w:val="24"/>
          <w:szCs w:val="24"/>
        </w:rPr>
        <w:t>.</w:t>
      </w:r>
    </w:p>
    <w:p w14:paraId="6E9F499D" w14:textId="1ADB3729"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فاروق، ج؛ جبريل، م.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علم النفس الإداري والتنظيمي: أسس النظرية وتطبيقاته العلمية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دمياط: مكتبة نانسي</w:t>
      </w:r>
      <w:r w:rsidRPr="00973709">
        <w:rPr>
          <w:rFonts w:ascii="Traditional Arabic" w:eastAsia="Calibri" w:hAnsi="Traditional Arabic" w:cs="Traditional Arabic" w:hint="cs"/>
          <w:sz w:val="24"/>
          <w:szCs w:val="24"/>
        </w:rPr>
        <w:t>.</w:t>
      </w:r>
    </w:p>
    <w:p w14:paraId="6FD7F5FB" w14:textId="77777777"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فاروق، ش. البوهي.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الاتجاهات الحديثة في الإدارة التربوية والمدرسية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دار الجامعة الجديدة</w:t>
      </w:r>
      <w:r w:rsidRPr="00973709">
        <w:rPr>
          <w:rFonts w:ascii="Traditional Arabic" w:eastAsia="Calibri" w:hAnsi="Traditional Arabic" w:cs="Traditional Arabic" w:hint="cs"/>
          <w:sz w:val="24"/>
          <w:szCs w:val="24"/>
        </w:rPr>
        <w:t>.</w:t>
      </w:r>
    </w:p>
    <w:p w14:paraId="3C69549A" w14:textId="22CF8843"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الفرا، م. م</w:t>
      </w:r>
      <w:r w:rsidR="00FA5F3A" w:rsidRPr="00973709">
        <w:rPr>
          <w:rFonts w:ascii="Traditional Arabic" w:eastAsia="Calibri" w:hAnsi="Traditional Arabic" w:cs="Traditional Arabic" w:hint="cs"/>
          <w:sz w:val="24"/>
          <w:szCs w:val="24"/>
          <w:rtl/>
        </w:rPr>
        <w:t>؛</w:t>
      </w:r>
      <w:r w:rsidRPr="00973709">
        <w:rPr>
          <w:rFonts w:ascii="Traditional Arabic" w:eastAsia="Calibri" w:hAnsi="Traditional Arabic" w:cs="Traditional Arabic" w:hint="cs"/>
          <w:sz w:val="24"/>
          <w:szCs w:val="24"/>
          <w:rtl/>
        </w:rPr>
        <w:t xml:space="preserve"> الخطيب، م. (٢٠٠٧)</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النمط القيادي السائد لدى المدير في وزارات السلطة الوطنية في محافظة غزة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الجامعة الإسلامية للبحوث الإنسانية، ١٥(٢)، ٢٤–٦٥</w:t>
      </w:r>
      <w:r w:rsidRPr="00973709">
        <w:rPr>
          <w:rFonts w:ascii="Traditional Arabic" w:eastAsia="Calibri" w:hAnsi="Traditional Arabic" w:cs="Traditional Arabic" w:hint="cs"/>
          <w:sz w:val="24"/>
          <w:szCs w:val="24"/>
        </w:rPr>
        <w:t>.</w:t>
      </w:r>
    </w:p>
    <w:p w14:paraId="2FDF7682" w14:textId="0EAB3986"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فكرة (٢٠٢٤)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بحث عن الأخطاء الطبية وأسبابها</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موقع فكرة. (تعذر الوصول إلى المحتوى للتحقق من التفاصيل الدقيقة)</w:t>
      </w:r>
      <w:r w:rsidRPr="00973709">
        <w:rPr>
          <w:rFonts w:ascii="Traditional Arabic" w:eastAsia="Calibri" w:hAnsi="Traditional Arabic" w:cs="Traditional Arabic" w:hint="cs"/>
          <w:sz w:val="24"/>
          <w:szCs w:val="24"/>
        </w:rPr>
        <w:t>.</w:t>
      </w:r>
    </w:p>
    <w:p w14:paraId="2AD22C8C" w14:textId="77777777"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القرني، م.، وطه، م.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أثر القيادة التحويلية على إدارة الأزمات الصحية: دراسة ميدانية على مستشفى الملك عبدالله ببيشة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البحوث العلمية في الإدارة الصحية، ٩(٢)، ٨٨–١٠٤</w:t>
      </w:r>
      <w:r w:rsidRPr="00973709">
        <w:rPr>
          <w:rFonts w:ascii="Traditional Arabic" w:eastAsia="Calibri" w:hAnsi="Traditional Arabic" w:cs="Traditional Arabic" w:hint="cs"/>
          <w:sz w:val="24"/>
          <w:szCs w:val="24"/>
        </w:rPr>
        <w:t>.</w:t>
      </w:r>
    </w:p>
    <w:p w14:paraId="5C03D019" w14:textId="77777777" w:rsidR="005D18D2" w:rsidRPr="00973709" w:rsidRDefault="005D18D2">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القصير، ن.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دور المرضى في صياغة السياسات الصحية: دراسة ميدانية في مستشفيات تعليمية مصرية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العربية للصحة العامة، ١٨(٣)، ٩١–١٠٤</w:t>
      </w:r>
      <w:r w:rsidRPr="00973709">
        <w:rPr>
          <w:rFonts w:ascii="Traditional Arabic" w:eastAsia="Calibri" w:hAnsi="Traditional Arabic" w:cs="Traditional Arabic" w:hint="cs"/>
          <w:sz w:val="24"/>
          <w:szCs w:val="24"/>
        </w:rPr>
        <w:t>.</w:t>
      </w:r>
    </w:p>
    <w:p w14:paraId="79739FC4" w14:textId="658E8C4A"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محمد، أ.، عبد الرحمن، ن</w:t>
      </w:r>
      <w:r w:rsidRPr="00973709">
        <w:rPr>
          <w:rFonts w:ascii="Traditional Arabic" w:hAnsi="Traditional Arabic" w:cs="Traditional Arabic" w:hint="cs"/>
          <w:sz w:val="24"/>
          <w:szCs w:val="24"/>
          <w:rtl/>
          <w:lang w:bidi="ar-EG"/>
        </w:rPr>
        <w:t>؛</w:t>
      </w:r>
      <w:r w:rsidRPr="00973709">
        <w:rPr>
          <w:rFonts w:ascii="Traditional Arabic" w:hAnsi="Traditional Arabic" w:cs="Traditional Arabic" w:hint="cs"/>
          <w:sz w:val="24"/>
          <w:szCs w:val="24"/>
          <w:rtl/>
        </w:rPr>
        <w:t xml:space="preserve"> عبد الله، س. (٢٠٢٥)</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أثر القيادة التحويلية على بيئة العمل والعدالة التنظيمية في مستشفيات محافظة الشرقية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مجلة البحوث التربوية والإدارية، ١٩(٢)، ٧٤–٩٦</w:t>
      </w:r>
      <w:r w:rsidRPr="00973709">
        <w:rPr>
          <w:rFonts w:ascii="Traditional Arabic" w:hAnsi="Traditional Arabic" w:cs="Traditional Arabic" w:hint="cs"/>
          <w:sz w:val="24"/>
          <w:szCs w:val="24"/>
          <w:lang w:bidi="ar-EG"/>
        </w:rPr>
        <w:t>.</w:t>
      </w:r>
    </w:p>
    <w:p w14:paraId="63C52E18" w14:textId="77777777"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محمود، أ. (٢٠٠٩)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الخطأ الطبي بين الفقه والقانون</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دار الفكر العربي</w:t>
      </w:r>
      <w:r w:rsidRPr="00973709">
        <w:rPr>
          <w:rFonts w:ascii="Traditional Arabic" w:hAnsi="Traditional Arabic" w:cs="Traditional Arabic" w:hint="cs"/>
          <w:sz w:val="24"/>
          <w:szCs w:val="24"/>
          <w:lang w:bidi="ar-EG"/>
        </w:rPr>
        <w:t>.</w:t>
      </w:r>
    </w:p>
    <w:p w14:paraId="1E862D5B" w14:textId="77777777"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مدوّن حر.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مبادئ إدارة المخاطر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منشور إلكتروني متاح عبر</w:t>
      </w:r>
      <w:r w:rsidRPr="00973709">
        <w:rPr>
          <w:rFonts w:ascii="Traditional Arabic" w:hAnsi="Traditional Arabic" w:cs="Traditional Arabic" w:hint="cs"/>
          <w:sz w:val="24"/>
          <w:szCs w:val="24"/>
          <w:lang w:bidi="ar-EG"/>
        </w:rPr>
        <w:t xml:space="preserve">: </w:t>
      </w:r>
      <w:hyperlink r:id="rId64" w:tgtFrame="_blank" w:tooltip="www.madounhar.com" w:history="1">
        <w:r w:rsidRPr="00973709">
          <w:rPr>
            <w:rStyle w:val="Hyperlink"/>
            <w:rFonts w:ascii="Traditional Arabic" w:hAnsi="Traditional Arabic" w:cs="Traditional Arabic" w:hint="cs"/>
            <w:sz w:val="24"/>
            <w:szCs w:val="24"/>
            <w:lang w:bidi="ar-EG"/>
          </w:rPr>
          <w:t>https://www.madounhar.com/risk-management-healthcare</w:t>
        </w:r>
      </w:hyperlink>
    </w:p>
    <w:p w14:paraId="1C86BF59" w14:textId="77777777"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lastRenderedPageBreak/>
        <w:t>المزروع، ل. (٢٠٠٧)</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فاعلية الذات وعلاقتها بكل من الدافعية للإنجاز والذكاء الوجداني لدى عينة من طالبات جامعة أم القرى</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مجلة العلوم التربوية والنفسية، ٨(٤)، ٦٩–٨٩</w:t>
      </w:r>
      <w:r w:rsidRPr="00973709">
        <w:rPr>
          <w:rFonts w:ascii="Traditional Arabic" w:hAnsi="Traditional Arabic" w:cs="Traditional Arabic" w:hint="cs"/>
          <w:sz w:val="24"/>
          <w:szCs w:val="24"/>
          <w:lang w:bidi="ar-EG"/>
        </w:rPr>
        <w:t>.</w:t>
      </w:r>
    </w:p>
    <w:p w14:paraId="78677127" w14:textId="77777777"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مصباح، م. (٢٠٢٥)</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المخاطر في الرعاية الصحية: درع الأمان في عالم الطب</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البوابة الإدارية الصحية</w:t>
      </w:r>
      <w:r w:rsidRPr="00973709">
        <w:rPr>
          <w:rFonts w:ascii="Traditional Arabic" w:hAnsi="Traditional Arabic" w:cs="Traditional Arabic" w:hint="cs"/>
          <w:sz w:val="24"/>
          <w:szCs w:val="24"/>
          <w:lang w:bidi="ar-EG"/>
        </w:rPr>
        <w:t>.</w:t>
      </w:r>
    </w:p>
    <w:p w14:paraId="336CCB5F" w14:textId="77777777"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مندور، هـ. ش. (٢٠١٠)</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تطوير النمط القيادي لمديري المدارس الثانوية الفنية بمصر في ضوء مبادئ الإدارة المقترحة (رسالة ماجستير). كلية التربية، جامعة عين شمس</w:t>
      </w:r>
      <w:r w:rsidRPr="00973709">
        <w:rPr>
          <w:rFonts w:ascii="Traditional Arabic" w:hAnsi="Traditional Arabic" w:cs="Traditional Arabic" w:hint="cs"/>
          <w:sz w:val="24"/>
          <w:szCs w:val="24"/>
          <w:lang w:bidi="ar-EG"/>
        </w:rPr>
        <w:t>.</w:t>
      </w:r>
    </w:p>
    <w:p w14:paraId="6FC2CC0F" w14:textId="77777777" w:rsidR="00FA5F3A" w:rsidRPr="00973709" w:rsidRDefault="00FA5F3A">
      <w:pPr>
        <w:numPr>
          <w:ilvl w:val="0"/>
          <w:numId w:val="32"/>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منصور، أ. س. (٢٠٢٣)</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القيادة الاستراتيجية في القطاع الصحي</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دار المسار الأكاديمي</w:t>
      </w:r>
      <w:r w:rsidRPr="00973709">
        <w:rPr>
          <w:rFonts w:ascii="Traditional Arabic" w:hAnsi="Traditional Arabic" w:cs="Traditional Arabic" w:hint="cs"/>
          <w:sz w:val="24"/>
          <w:szCs w:val="24"/>
          <w:lang w:bidi="ar-EG"/>
        </w:rPr>
        <w:t>.</w:t>
      </w:r>
    </w:p>
    <w:p w14:paraId="44C31810" w14:textId="535DB5C1"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مهنا، م. (٢٠٢٥)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إدارة الجودة الشاملة لضمان جودة المستشفيات والمؤسسات العلاجية: دراسة اجتماعية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العلمية لكلية الآداب، ١٤(٣)، ١–١٦</w:t>
      </w:r>
      <w:r w:rsidRPr="00973709">
        <w:rPr>
          <w:rFonts w:ascii="Traditional Arabic" w:eastAsia="Calibri" w:hAnsi="Traditional Arabic" w:cs="Traditional Arabic" w:hint="cs"/>
          <w:sz w:val="24"/>
          <w:szCs w:val="24"/>
        </w:rPr>
        <w:t>.</w:t>
      </w:r>
    </w:p>
    <w:p w14:paraId="0B7F013F"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المؤيد، ع.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الأخطاء الطبية والمسؤولية القانونية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دار النهضة العربية</w:t>
      </w:r>
      <w:r w:rsidRPr="00973709">
        <w:rPr>
          <w:rFonts w:ascii="Traditional Arabic" w:eastAsia="Calibri" w:hAnsi="Traditional Arabic" w:cs="Traditional Arabic" w:hint="cs"/>
          <w:sz w:val="24"/>
          <w:szCs w:val="24"/>
        </w:rPr>
        <w:t>.</w:t>
      </w:r>
    </w:p>
    <w:p w14:paraId="225F82CA"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النجار، ط.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القيادة التحويلية الخضراء كوسيط في العلاقة بين إدارة الموارد البشرية الخضراء والاستدامة التنظيمية في مستشفيات وزارة الصحة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أبحاث الإدارة البيئية، ٧(١)، ٢٢–٤١</w:t>
      </w:r>
      <w:r w:rsidRPr="00973709">
        <w:rPr>
          <w:rFonts w:ascii="Traditional Arabic" w:eastAsia="Calibri" w:hAnsi="Traditional Arabic" w:cs="Traditional Arabic" w:hint="cs"/>
          <w:sz w:val="24"/>
          <w:szCs w:val="24"/>
        </w:rPr>
        <w:t>.</w:t>
      </w:r>
    </w:p>
    <w:p w14:paraId="45293C00"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نور، ع.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ودورها في إدارة الأزمات: دراسة تحليلية في مستشفى الحسين التعليمي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المثنى للعلوم الاقتصادية والإدارية، ٧(٢)، ٣٣–٥٠</w:t>
      </w:r>
      <w:r w:rsidRPr="00973709">
        <w:rPr>
          <w:rFonts w:ascii="Traditional Arabic" w:eastAsia="Calibri" w:hAnsi="Traditional Arabic" w:cs="Traditional Arabic" w:hint="cs"/>
          <w:sz w:val="24"/>
          <w:szCs w:val="24"/>
        </w:rPr>
        <w:t>.</w:t>
      </w:r>
    </w:p>
    <w:p w14:paraId="476C3CFE" w14:textId="57AEE3FD" w:rsidR="00FA5F3A" w:rsidRPr="00973709" w:rsidRDefault="00FA5F3A">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نوري، م.، &amp; المزروع، ل. (٢٠٠٧). فاعلية الذات وعلاقتها بكل من الدافعية للإنجاز والذكاء الوجداني لدى عينة من طالبات جامعة أم القرى. مجلة العلوم التربوية والنفسية، البحرين، ٨(٤)، ٦٩–٨٩.</w:t>
      </w:r>
    </w:p>
    <w:p w14:paraId="687A578A" w14:textId="4979C064" w:rsidR="00342847" w:rsidRPr="00973709" w:rsidRDefault="00FA5F3A">
      <w:pPr>
        <w:numPr>
          <w:ilvl w:val="0"/>
          <w:numId w:val="24"/>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هبة عبدالرحمن. (٢٠١٩). إدارة المخاطر في الرعاية الصحية (رسالة ماجستير، جامعة القاهرة).</w:t>
      </w:r>
    </w:p>
    <w:p w14:paraId="62CA69B8" w14:textId="76950720"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الهواري، س. (٢٠٠٥)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القائد التحويلي وتغيير المستقبل: طبيعته ووظيفته ومحاوره في التغيير</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مكتبة الكتب العربية</w:t>
      </w:r>
      <w:r w:rsidRPr="00973709">
        <w:rPr>
          <w:rFonts w:ascii="Traditional Arabic" w:eastAsia="Calibri" w:hAnsi="Traditional Arabic" w:cs="Traditional Arabic" w:hint="cs"/>
          <w:sz w:val="24"/>
          <w:szCs w:val="24"/>
        </w:rPr>
        <w:t>.</w:t>
      </w:r>
    </w:p>
    <w:p w14:paraId="0A46AE4F"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الهواري، س. (٢٠١٠)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ملامح مدير المستقبل من القيادة التبادلية إلى القيادة التحويلية (ط٣). القاهرة: مكتبة عين شمس</w:t>
      </w:r>
      <w:r w:rsidRPr="00973709">
        <w:rPr>
          <w:rFonts w:ascii="Traditional Arabic" w:eastAsia="Calibri" w:hAnsi="Traditional Arabic" w:cs="Traditional Arabic" w:hint="cs"/>
          <w:sz w:val="24"/>
          <w:szCs w:val="24"/>
        </w:rPr>
        <w:t>.</w:t>
      </w:r>
    </w:p>
    <w:p w14:paraId="5499C6D8"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هويدة، ح. م.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مقياس فاعلية الذات</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مكتبة الأنجلو المصرية</w:t>
      </w:r>
      <w:r w:rsidRPr="00973709">
        <w:rPr>
          <w:rFonts w:ascii="Traditional Arabic" w:eastAsia="Calibri" w:hAnsi="Traditional Arabic" w:cs="Traditional Arabic" w:hint="cs"/>
          <w:sz w:val="24"/>
          <w:szCs w:val="24"/>
        </w:rPr>
        <w:t>.</w:t>
      </w:r>
    </w:p>
    <w:p w14:paraId="2A6E2483" w14:textId="3F29298A"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الهيئة العامة للإحصاء.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إحصاءات المنشآت الصحية والقوى العاملة الصحية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المملكة العربية السعودية</w:t>
      </w:r>
      <w:r w:rsidR="009D0A17"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 </w:t>
      </w:r>
      <w:hyperlink r:id="rId65" w:tgtFrame="_blank" w:tooltip="www.stats.gov.sa" w:history="1">
        <w:r w:rsidRPr="00973709">
          <w:rPr>
            <w:rStyle w:val="Hyperlink"/>
            <w:rFonts w:ascii="Traditional Arabic" w:eastAsia="Calibri" w:hAnsi="Traditional Arabic" w:cs="Traditional Arabic" w:hint="cs"/>
            <w:sz w:val="24"/>
            <w:szCs w:val="24"/>
          </w:rPr>
          <w:t>https://www.stats.gov.sa</w:t>
        </w:r>
      </w:hyperlink>
    </w:p>
    <w:p w14:paraId="5E7B7979" w14:textId="0000B52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وزارة الصحة السعودية.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لوحة المؤشرات الصحية – القوى العاملة</w:t>
      </w:r>
      <w:r w:rsidR="009D0A17" w:rsidRPr="00973709">
        <w:rPr>
          <w:rFonts w:ascii="Traditional Arabic" w:eastAsia="Calibri" w:hAnsi="Traditional Arabic" w:cs="Traditional Arabic" w:hint="cs"/>
          <w:sz w:val="24"/>
          <w:szCs w:val="24"/>
          <w:rtl/>
        </w:rPr>
        <w:t xml:space="preserve"> </w:t>
      </w:r>
      <w:hyperlink r:id="rId66" w:tgtFrame="_blank" w:tooltip="www.moh.gov.sa" w:history="1">
        <w:r w:rsidRPr="00973709">
          <w:rPr>
            <w:rStyle w:val="Hyperlink"/>
            <w:rFonts w:ascii="Traditional Arabic" w:eastAsia="Calibri" w:hAnsi="Traditional Arabic" w:cs="Traditional Arabic" w:hint="cs"/>
            <w:sz w:val="24"/>
            <w:szCs w:val="24"/>
          </w:rPr>
          <w:t>https://www.moh.gov.sa</w:t>
        </w:r>
      </w:hyperlink>
    </w:p>
    <w:p w14:paraId="41F00687"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وزارة الصحة المصرية.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الاستراتيجية والخطة التنفيذية لإدارة المخاطر ٢٠١٩–٢٠٢٢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تم الاطلاع عليه يوم ٢٠٢٢/٠٥/٢٣ الساعة ١٦:٣٠</w:t>
      </w:r>
      <w:r w:rsidRPr="00973709">
        <w:rPr>
          <w:rFonts w:ascii="Traditional Arabic" w:eastAsia="Calibri" w:hAnsi="Traditional Arabic" w:cs="Traditional Arabic" w:hint="cs"/>
          <w:sz w:val="24"/>
          <w:szCs w:val="24"/>
        </w:rPr>
        <w:t>.</w:t>
      </w:r>
    </w:p>
    <w:p w14:paraId="30372E47"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اليافعي، إ.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القيادة الاستراتيجية في إدارة الأزمات في الجامعات اليمنية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في: الندوة العلمية الأولى لقسم الإدارة وأصول التربية – جامعة إب، اليمن</w:t>
      </w:r>
      <w:r w:rsidRPr="00973709">
        <w:rPr>
          <w:rFonts w:ascii="Traditional Arabic" w:eastAsia="Calibri" w:hAnsi="Traditional Arabic" w:cs="Traditional Arabic" w:hint="cs"/>
          <w:sz w:val="24"/>
          <w:szCs w:val="24"/>
        </w:rPr>
        <w:t>.</w:t>
      </w:r>
    </w:p>
    <w:p w14:paraId="4FF72D56" w14:textId="77777777" w:rsidR="00FA5F3A" w:rsidRPr="00973709" w:rsidRDefault="00FA5F3A">
      <w:pPr>
        <w:pStyle w:val="ListParagraph"/>
        <w:numPr>
          <w:ilvl w:val="0"/>
          <w:numId w:val="24"/>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يوسف، ع. ع. م. (٢٠٠٢)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أسلوب القيادة التحويلية لتحسين أداء مدير المدرسة في مصر</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الجمعية المصرية للتربية المقارنة والإدارة التعليمية، ٥(٧)، ١٣٩–١٦٢</w:t>
      </w:r>
      <w:r w:rsidRPr="00973709">
        <w:rPr>
          <w:rFonts w:ascii="Traditional Arabic" w:eastAsia="Calibri" w:hAnsi="Traditional Arabic" w:cs="Traditional Arabic" w:hint="cs"/>
          <w:sz w:val="24"/>
          <w:szCs w:val="24"/>
        </w:rPr>
        <w:t>.</w:t>
      </w:r>
    </w:p>
    <w:p w14:paraId="6A035371" w14:textId="471C542D" w:rsidR="000F35E6" w:rsidRPr="00381C34" w:rsidRDefault="000F35E6" w:rsidP="00841103">
      <w:pPr>
        <w:pStyle w:val="ListParagraph"/>
        <w:bidi/>
        <w:spacing w:after="200" w:line="240" w:lineRule="auto"/>
        <w:ind w:left="360"/>
        <w:jc w:val="both"/>
        <w:rPr>
          <w:rFonts w:ascii="Traditional Arabic" w:hAnsi="Traditional Arabic" w:cs="Traditional Arabic"/>
          <w:b/>
          <w:bCs/>
          <w:sz w:val="28"/>
          <w:szCs w:val="28"/>
          <w:u w:val="single"/>
          <w:rtl/>
          <w:lang w:bidi="ar-EG"/>
        </w:rPr>
      </w:pPr>
      <w:r w:rsidRPr="00381C34">
        <w:rPr>
          <w:rFonts w:ascii="Traditional Arabic" w:hAnsi="Traditional Arabic" w:cs="Traditional Arabic" w:hint="cs"/>
          <w:b/>
          <w:bCs/>
          <w:sz w:val="28"/>
          <w:szCs w:val="28"/>
          <w:u w:val="single"/>
          <w:rtl/>
          <w:lang w:bidi="ar-EG"/>
        </w:rPr>
        <w:t xml:space="preserve">ثانيا المراجع </w:t>
      </w:r>
      <w:r w:rsidR="006E437C" w:rsidRPr="00381C34">
        <w:rPr>
          <w:rFonts w:ascii="Traditional Arabic" w:hAnsi="Traditional Arabic" w:cs="Traditional Arabic" w:hint="cs"/>
          <w:b/>
          <w:bCs/>
          <w:sz w:val="28"/>
          <w:szCs w:val="28"/>
          <w:u w:val="single"/>
          <w:rtl/>
          <w:lang w:bidi="ar-EG"/>
        </w:rPr>
        <w:t>الأجنبية</w:t>
      </w:r>
    </w:p>
    <w:p w14:paraId="70158E36" w14:textId="77777777" w:rsidR="00DC431F" w:rsidRPr="00DC431F" w:rsidRDefault="00DC431F" w:rsidP="00DC431F">
      <w:pPr>
        <w:pStyle w:val="ListParagraph"/>
        <w:spacing w:after="200"/>
        <w:ind w:left="360"/>
        <w:rPr>
          <w:rFonts w:asciiTheme="majorBidi" w:hAnsiTheme="majorBidi" w:cstheme="majorBidi"/>
          <w:sz w:val="28"/>
          <w:szCs w:val="28"/>
          <w:lang w:bidi="ar-EG"/>
        </w:rPr>
      </w:pPr>
    </w:p>
    <w:p w14:paraId="3587AA37" w14:textId="4850D928"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Abou-Moghli, A. A. (2018). Analyzing the significance of transformational leadership on organizational creativity of employees: A case of insurance companies in Jordan. </w:t>
      </w:r>
      <w:r w:rsidRPr="00300EB7">
        <w:rPr>
          <w:rFonts w:asciiTheme="majorBidi" w:hAnsiTheme="majorBidi" w:cstheme="majorBidi"/>
          <w:i/>
          <w:iCs/>
          <w:sz w:val="24"/>
          <w:szCs w:val="24"/>
          <w:lang w:bidi="ar-EG"/>
        </w:rPr>
        <w:t>International Journal of Business Administration</w:t>
      </w:r>
      <w:r w:rsidRPr="00300EB7">
        <w:rPr>
          <w:rFonts w:asciiTheme="majorBidi" w:hAnsiTheme="majorBidi" w:cstheme="majorBidi"/>
          <w:sz w:val="24"/>
          <w:szCs w:val="24"/>
          <w:lang w:bidi="ar-EG"/>
        </w:rPr>
        <w:t xml:space="preserve">, </w:t>
      </w:r>
      <w:r w:rsidRPr="00300EB7">
        <w:rPr>
          <w:rFonts w:asciiTheme="majorBidi" w:hAnsiTheme="majorBidi" w:cstheme="majorBidi"/>
          <w:i/>
          <w:iCs/>
          <w:sz w:val="24"/>
          <w:szCs w:val="24"/>
          <w:lang w:bidi="ar-EG"/>
        </w:rPr>
        <w:t>9</w:t>
      </w:r>
      <w:r w:rsidRPr="00300EB7">
        <w:rPr>
          <w:rFonts w:asciiTheme="majorBidi" w:hAnsiTheme="majorBidi" w:cstheme="majorBidi"/>
          <w:sz w:val="24"/>
          <w:szCs w:val="24"/>
          <w:lang w:bidi="ar-EG"/>
        </w:rPr>
        <w:t>(4), 64</w:t>
      </w:r>
      <w:r w:rsidR="00E41BD3">
        <w:rPr>
          <w:rFonts w:asciiTheme="majorBidi" w:hAnsiTheme="majorBidi" w:cstheme="majorBidi" w:hint="cs"/>
          <w:sz w:val="24"/>
          <w:szCs w:val="24"/>
          <w:rtl/>
          <w:lang w:bidi="ar-EG"/>
        </w:rPr>
        <w:t>:</w:t>
      </w:r>
      <w:r w:rsidRPr="00300EB7">
        <w:rPr>
          <w:rFonts w:asciiTheme="majorBidi" w:hAnsiTheme="majorBidi" w:cstheme="majorBidi"/>
          <w:sz w:val="24"/>
          <w:szCs w:val="24"/>
          <w:lang w:bidi="ar-EG"/>
        </w:rPr>
        <w:t>72.</w:t>
      </w:r>
    </w:p>
    <w:p w14:paraId="3099C9A3"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 Thani, F. B. H., &amp; Obeidat, A. M. (2020). The impact of strategic leadership on crisis management. </w:t>
      </w:r>
      <w:r w:rsidRPr="008C3733">
        <w:rPr>
          <w:rFonts w:asciiTheme="majorBidi" w:hAnsiTheme="majorBidi" w:cstheme="majorBidi"/>
          <w:sz w:val="24"/>
          <w:szCs w:val="24"/>
          <w:lang w:bidi="ar-EG"/>
        </w:rPr>
        <w:t>International Journal of Asian Social Science</w:t>
      </w:r>
      <w:r w:rsidRPr="00300EB7">
        <w:rPr>
          <w:rFonts w:asciiTheme="majorBidi" w:hAnsiTheme="majorBidi" w:cstheme="majorBidi"/>
          <w:sz w:val="24"/>
          <w:szCs w:val="24"/>
          <w:lang w:bidi="ar-EG"/>
        </w:rPr>
        <w:t xml:space="preserve">, </w:t>
      </w:r>
      <w:r w:rsidRPr="008C3733">
        <w:rPr>
          <w:rFonts w:asciiTheme="majorBidi" w:hAnsiTheme="majorBidi" w:cstheme="majorBidi"/>
          <w:sz w:val="24"/>
          <w:szCs w:val="24"/>
          <w:lang w:bidi="ar-EG"/>
        </w:rPr>
        <w:t>10</w:t>
      </w:r>
      <w:r w:rsidRPr="00300EB7">
        <w:rPr>
          <w:rFonts w:asciiTheme="majorBidi" w:hAnsiTheme="majorBidi" w:cstheme="majorBidi"/>
          <w:sz w:val="24"/>
          <w:szCs w:val="24"/>
          <w:lang w:bidi="ar-EG"/>
        </w:rPr>
        <w:t>(6), 307–326.</w:t>
      </w:r>
    </w:p>
    <w:p w14:paraId="16D93AE6"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Alam, A. (2016). Steps in the process of risk management in healthcare. </w:t>
      </w:r>
      <w:r w:rsidRPr="008C3733">
        <w:rPr>
          <w:rFonts w:asciiTheme="majorBidi" w:hAnsiTheme="majorBidi" w:cstheme="majorBidi"/>
          <w:sz w:val="24"/>
          <w:szCs w:val="24"/>
          <w:lang w:bidi="ar-EG"/>
        </w:rPr>
        <w:t>Journal of Epidemiology and Preventive Medicine</w:t>
      </w:r>
      <w:r w:rsidRPr="00300EB7">
        <w:rPr>
          <w:rFonts w:asciiTheme="majorBidi" w:hAnsiTheme="majorBidi" w:cstheme="majorBidi"/>
          <w:sz w:val="24"/>
          <w:szCs w:val="24"/>
          <w:lang w:bidi="ar-EG"/>
        </w:rPr>
        <w:t xml:space="preserve">, </w:t>
      </w:r>
      <w:r w:rsidRPr="008C3733">
        <w:rPr>
          <w:rFonts w:asciiTheme="majorBidi" w:hAnsiTheme="majorBidi" w:cstheme="majorBidi"/>
          <w:sz w:val="24"/>
          <w:szCs w:val="24"/>
          <w:lang w:bidi="ar-EG"/>
        </w:rPr>
        <w:t>2</w:t>
      </w:r>
      <w:r w:rsidRPr="00300EB7">
        <w:rPr>
          <w:rFonts w:asciiTheme="majorBidi" w:hAnsiTheme="majorBidi" w:cstheme="majorBidi"/>
          <w:sz w:val="24"/>
          <w:szCs w:val="24"/>
          <w:lang w:bidi="ar-EG"/>
        </w:rPr>
        <w:t>(2), 118.</w:t>
      </w:r>
    </w:p>
    <w:p w14:paraId="26B54460"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Al-Mutairi, M., et al. (2020). Risk management practices in Saudi hospitals. </w:t>
      </w:r>
      <w:r w:rsidRPr="008C3733">
        <w:rPr>
          <w:rFonts w:asciiTheme="majorBidi" w:hAnsiTheme="majorBidi" w:cstheme="majorBidi"/>
          <w:sz w:val="24"/>
          <w:szCs w:val="24"/>
          <w:lang w:bidi="ar-EG"/>
        </w:rPr>
        <w:t>International Journal of Health Sciences</w:t>
      </w:r>
      <w:r w:rsidRPr="00300EB7">
        <w:rPr>
          <w:rFonts w:asciiTheme="majorBidi" w:hAnsiTheme="majorBidi" w:cstheme="majorBidi"/>
          <w:sz w:val="24"/>
          <w:szCs w:val="24"/>
          <w:lang w:bidi="ar-EG"/>
        </w:rPr>
        <w:t>.</w:t>
      </w:r>
    </w:p>
    <w:p w14:paraId="130CE0E8"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Al-Omari, R., et al. (2019). Implementation of risk management systems in healthcare facilities. </w:t>
      </w:r>
      <w:r w:rsidRPr="008C3733">
        <w:rPr>
          <w:rFonts w:asciiTheme="majorBidi" w:hAnsiTheme="majorBidi" w:cstheme="majorBidi"/>
          <w:sz w:val="24"/>
          <w:szCs w:val="24"/>
          <w:lang w:bidi="ar-EG"/>
        </w:rPr>
        <w:t>Journal of Healthcare Management</w:t>
      </w:r>
      <w:r w:rsidRPr="00300EB7">
        <w:rPr>
          <w:rFonts w:asciiTheme="majorBidi" w:hAnsiTheme="majorBidi" w:cstheme="majorBidi"/>
          <w:sz w:val="24"/>
          <w:szCs w:val="24"/>
          <w:lang w:bidi="ar-EG"/>
        </w:rPr>
        <w:t>.</w:t>
      </w:r>
    </w:p>
    <w:p w14:paraId="701CE970"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Al-Qahtani, H., et al. (2020). Obstacles to effective risk management in healthcare. </w:t>
      </w:r>
      <w:r w:rsidRPr="008C3733">
        <w:rPr>
          <w:rFonts w:asciiTheme="majorBidi" w:hAnsiTheme="majorBidi" w:cstheme="majorBidi"/>
          <w:sz w:val="24"/>
          <w:szCs w:val="24"/>
          <w:lang w:bidi="ar-EG"/>
        </w:rPr>
        <w:t>Journal of Risk Management</w:t>
      </w:r>
      <w:r w:rsidRPr="00300EB7">
        <w:rPr>
          <w:rFonts w:asciiTheme="majorBidi" w:hAnsiTheme="majorBidi" w:cstheme="majorBidi"/>
          <w:sz w:val="24"/>
          <w:szCs w:val="24"/>
          <w:lang w:bidi="ar-EG"/>
        </w:rPr>
        <w:t>.</w:t>
      </w:r>
    </w:p>
    <w:p w14:paraId="203460A1"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Al-Zahrani, S. (2018). Evaluation of risk management strategies in healthcare. </w:t>
      </w:r>
      <w:r w:rsidRPr="008C3733">
        <w:rPr>
          <w:rFonts w:asciiTheme="majorBidi" w:hAnsiTheme="majorBidi" w:cstheme="majorBidi"/>
          <w:sz w:val="24"/>
          <w:szCs w:val="24"/>
          <w:lang w:bidi="ar-EG"/>
        </w:rPr>
        <w:t>Journal of Healthcare Administration</w:t>
      </w:r>
      <w:r w:rsidRPr="00300EB7">
        <w:rPr>
          <w:rFonts w:asciiTheme="majorBidi" w:hAnsiTheme="majorBidi" w:cstheme="majorBidi"/>
          <w:sz w:val="24"/>
          <w:szCs w:val="24"/>
          <w:lang w:bidi="ar-EG"/>
        </w:rPr>
        <w:t>.</w:t>
      </w:r>
    </w:p>
    <w:p w14:paraId="146BCC8B"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Anderson, J., et al. (2021). Challenges in risk management in healthcare: A comprehensive review. </w:t>
      </w:r>
      <w:r w:rsidRPr="008C3733">
        <w:rPr>
          <w:rFonts w:asciiTheme="majorBidi" w:hAnsiTheme="majorBidi" w:cstheme="majorBidi"/>
          <w:sz w:val="24"/>
          <w:szCs w:val="24"/>
          <w:lang w:bidi="ar-EG"/>
        </w:rPr>
        <w:t>Journal of Health Management</w:t>
      </w:r>
      <w:r w:rsidRPr="00300EB7">
        <w:rPr>
          <w:rFonts w:asciiTheme="majorBidi" w:hAnsiTheme="majorBidi" w:cstheme="majorBidi"/>
          <w:sz w:val="24"/>
          <w:szCs w:val="24"/>
          <w:lang w:bidi="ar-EG"/>
        </w:rPr>
        <w:t>.</w:t>
      </w:r>
    </w:p>
    <w:p w14:paraId="0692B1FD" w14:textId="2700EC24"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Bagga, S. K., Gera, S., &amp; Haque, S. N. (2023). The mediating role of organizational culture: Transformational leadership and change management in virtual teams. </w:t>
      </w:r>
      <w:r w:rsidRPr="008C3733">
        <w:rPr>
          <w:rFonts w:asciiTheme="majorBidi" w:hAnsiTheme="majorBidi" w:cstheme="majorBidi"/>
          <w:sz w:val="24"/>
          <w:szCs w:val="24"/>
          <w:lang w:bidi="ar-EG"/>
        </w:rPr>
        <w:t>Asia Pacific Management Review</w:t>
      </w:r>
      <w:r w:rsidRPr="00300EB7">
        <w:rPr>
          <w:rFonts w:asciiTheme="majorBidi" w:hAnsiTheme="majorBidi" w:cstheme="majorBidi"/>
          <w:sz w:val="24"/>
          <w:szCs w:val="24"/>
          <w:lang w:bidi="ar-EG"/>
        </w:rPr>
        <w:t xml:space="preserve">, </w:t>
      </w:r>
      <w:r w:rsidRPr="008C3733">
        <w:rPr>
          <w:rFonts w:asciiTheme="majorBidi" w:hAnsiTheme="majorBidi" w:cstheme="majorBidi"/>
          <w:sz w:val="24"/>
          <w:szCs w:val="24"/>
          <w:lang w:bidi="ar-EG"/>
        </w:rPr>
        <w:t>28</w:t>
      </w:r>
      <w:r w:rsidRPr="00300EB7">
        <w:rPr>
          <w:rFonts w:asciiTheme="majorBidi" w:hAnsiTheme="majorBidi" w:cstheme="majorBidi"/>
          <w:sz w:val="24"/>
          <w:szCs w:val="24"/>
          <w:lang w:bidi="ar-EG"/>
        </w:rPr>
        <w:t xml:space="preserve">(2), 120–131. </w:t>
      </w:r>
    </w:p>
    <w:p w14:paraId="44C2E0F2" w14:textId="77777777" w:rsidR="00300EB7" w:rsidRPr="00300EB7" w:rsidRDefault="00300EB7"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Nunnally, J. C. (1978). </w:t>
      </w:r>
      <w:r w:rsidRPr="008C3733">
        <w:rPr>
          <w:rFonts w:asciiTheme="majorBidi" w:hAnsiTheme="majorBidi" w:cstheme="majorBidi"/>
          <w:sz w:val="24"/>
          <w:szCs w:val="24"/>
          <w:lang w:bidi="ar-EG"/>
        </w:rPr>
        <w:t>Psychometric theory</w:t>
      </w:r>
      <w:r w:rsidRPr="00300EB7">
        <w:rPr>
          <w:rFonts w:asciiTheme="majorBidi" w:hAnsiTheme="majorBidi" w:cstheme="majorBidi"/>
          <w:sz w:val="24"/>
          <w:szCs w:val="24"/>
          <w:lang w:bidi="ar-EG"/>
        </w:rPr>
        <w:t xml:space="preserve"> (2nd ed.). McGraw-Hill.</w:t>
      </w:r>
    </w:p>
    <w:p w14:paraId="666B12A9"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Basten, D., &amp; Haamann, T. (2018). Approaches for organizational learning: A literature review. SAGE Open, July–September, 1–20.</w:t>
      </w:r>
    </w:p>
    <w:p w14:paraId="34B7D282" w14:textId="05902F0B"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lastRenderedPageBreak/>
        <w:t>Battisti, C., Amori, G., &amp; Luiselli, L. (2020). Toward a new generation of effective problem solvers and project-oriented applied ecologists. Web Ecology, 20(1), 11</w:t>
      </w:r>
      <w:r>
        <w:rPr>
          <w:rFonts w:asciiTheme="majorBidi" w:hAnsiTheme="majorBidi" w:cstheme="majorBidi" w:hint="cs"/>
          <w:sz w:val="24"/>
          <w:szCs w:val="24"/>
          <w:rtl/>
          <w:lang w:bidi="ar-EG"/>
        </w:rPr>
        <w:t>:</w:t>
      </w:r>
      <w:r w:rsidRPr="00E41BD3">
        <w:rPr>
          <w:rFonts w:asciiTheme="majorBidi" w:hAnsiTheme="majorBidi" w:cstheme="majorBidi"/>
          <w:sz w:val="24"/>
          <w:szCs w:val="24"/>
          <w:lang w:bidi="ar-EG"/>
        </w:rPr>
        <w:t>17.</w:t>
      </w:r>
    </w:p>
    <w:p w14:paraId="0B139B66"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Beck, U. (1986). Risk society: Towards a new modernity. Sage Publications.</w:t>
      </w:r>
    </w:p>
    <w:p w14:paraId="0A3D4730"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Blackbird Training. (2025). Transformational leadership in Middle Eastern healthcare institutions: Training outcomes and strategic impact. Blackbird Training Center.</w:t>
      </w:r>
    </w:p>
    <w:p w14:paraId="6BE0B994"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Dardur, A. S. A. (2024). Exploring Interagency Patient Safety Policies and Strategies in the World Health Organisation Eastern Mediterranean Region (WHO-EMR): A Qualitative Study of Libya (PhD thesis, Cardiff University).</w:t>
      </w:r>
    </w:p>
    <w:p w14:paraId="273C4500"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Ensaldo Carrasco, E. (2018). Describing and understanding patient safety incidents in primary care dentistry and building consensus on never events (PhD thesis, University of Edinburgh).</w:t>
      </w:r>
    </w:p>
    <w:p w14:paraId="6E14C332" w14:textId="6DC21C8D"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 xml:space="preserve">Flin, R., Burns, C., Mearns, K., Yule, S., &amp; Robertson, E. M. (2006). Measuring safety climate in health care. Quality and Safety in Health Care, 15(2), 109–115. </w:t>
      </w:r>
    </w:p>
    <w:p w14:paraId="2D913E37"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GAHAR. (2019). GAHAR Handbook for Hospital Standards. General Authority for Healthcare Accreditation and Regulation, Egypt. [1, 2]</w:t>
      </w:r>
    </w:p>
    <w:p w14:paraId="380C90EF"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Garcia, M., &amp; Martinez, L. (2022). Barriers to implementing risk management systems in hospitals. International Journal of Healthcare Quality Assurance.</w:t>
      </w:r>
    </w:p>
    <w:p w14:paraId="5520E934"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Giddens, A. (1984). The constitution of society: Outline of the theory of structuration. University of California Press.</w:t>
      </w:r>
    </w:p>
    <w:p w14:paraId="6A9F5B8F"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Gill, A. S., Flachner, A. B., &amp; Shachar, M. (2006). Reducing stress and burnout through the application of transformational leadership. Journal of Contemporary Hospital Management International, 18(6), 469–481.</w:t>
      </w:r>
    </w:p>
    <w:p w14:paraId="7E887DD3"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Global Ministerial Summit on Patient Safety. (2023). Montreux Charter for Patient Safety.</w:t>
      </w:r>
    </w:p>
    <w:p w14:paraId="554FF1AD"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Hassan, M., et al. (2020). Effectiveness of risk management programs in hospitals. Journal of Hospital Administration.</w:t>
      </w:r>
    </w:p>
    <w:p w14:paraId="76F75495"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Health Governance Unit. (2023). Mandatory Patient Safety Standards.</w:t>
      </w:r>
    </w:p>
    <w:p w14:paraId="6D8799D2"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HealthySimulation. (2024). Simulation improves patient safety outcomes: A study in Saudi Arabia. HealthySimulation.com.</w:t>
      </w:r>
    </w:p>
    <w:p w14:paraId="06250DCC"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lastRenderedPageBreak/>
        <w:t>Jarvis, D. S. L. (2007). Risk, globalisation and the state: A critical appraisal of Ulrich Beck and the world risk society thesis. Global Society, 21(1), 24–41.</w:t>
      </w:r>
    </w:p>
    <w:p w14:paraId="568EEC00"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Johnson, D., et al. (2019). Applications of risk management in American hospitals. Journal of Healthcare Management.</w:t>
      </w:r>
    </w:p>
    <w:p w14:paraId="4400B23D"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Joint Commission International. (2022). International patient safety goals (IPSG). Joint Commission International.</w:t>
      </w:r>
    </w:p>
    <w:p w14:paraId="69C299C3"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Jones, S., &amp; Brown, R. (2018). The role of risk management in enhancing healthcare quality. Health Services Research.</w:t>
      </w:r>
    </w:p>
    <w:p w14:paraId="6991B23E"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Khan, A., et al. (2019). Impact of risk management on patient care in Middle Eastern hospitals. Middle East Journal of Health.</w:t>
      </w:r>
    </w:p>
    <w:p w14:paraId="156FDDA7"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Kuoppala, J., Lamminpaa, A., Liira, J., &amp; Vainio, H. (2008). Leadership, work well-being, and health effects – A systematic review and meta-analysis. Journal of Occupational and Environmental Medicine, 50(8), 904–915.</w:t>
      </w:r>
    </w:p>
    <w:p w14:paraId="7F96FD12"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Liu, C., Liu, S., Yang, S., &amp; Wu, H. (2019). Association between transformational leadership and occupational burnout and the mediating effects of psychological empowerment in this relationship among CDC employees: A cross-sectional study. Psychology Research and Behavior Management, 12, 437–446.</w:t>
      </w:r>
    </w:p>
    <w:p w14:paraId="5E779E96"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Lloyd, C., King, R., &amp; Chenoweth, L. (2002). Social work, stress, and burnout: A review. Mental Health Journal, 11(3), 255–265.</w:t>
      </w:r>
    </w:p>
    <w:p w14:paraId="2E0BD4DB" w14:textId="77777777" w:rsidR="00E41BD3" w:rsidRPr="00E41BD3" w:rsidRDefault="00E41BD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Wu, A. W., Lipshutz, A. K., &amp; Pronovost, P. J. (2008). Root cause analysis: Learning from adverse events in healthcare. BMJ Quality &amp; Safety, 17(1), 1–3. [1]</w:t>
      </w:r>
    </w:p>
    <w:p w14:paraId="08D858C9"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Aboshaiqah, A. E. (2015). Barriers to effective incident reporting among nurses in Saudi Arabia. International Journal of Nursing Practice, 21(S2), 5–10.</w:t>
      </w:r>
    </w:p>
    <w:p w14:paraId="6ED2DB80"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Alahmadi, H. (2010). Assessment of patient safety culture in Saudi Arabian hospitals. Quality and Safety in Health Care, 19(5), e17.</w:t>
      </w:r>
    </w:p>
    <w:p w14:paraId="2A3BBE74"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Almalki, M., FitzGerald, G., &amp; Clark, M. (2011). Health care system in Saudi Arabia: An overview. Eastern Mediterranean Health Journal, 17(10), 784–793.</w:t>
      </w:r>
    </w:p>
    <w:p w14:paraId="510632D8"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Alzahrani, S., &amp; Jones, R. (2018). Risk management practices in Saudi hospitals: A study of public and private sectors. Journal of Health Management, 20(2), 123–132.</w:t>
      </w:r>
    </w:p>
    <w:p w14:paraId="75D965FA"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Bass, B. M., &amp; Avolio, B. J. (1995). MLQ Multifactor Leadership Questionnaire Manual. Mind Garden Inc.</w:t>
      </w:r>
    </w:p>
    <w:p w14:paraId="302A1C09"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lastRenderedPageBreak/>
        <w:t>Hamdan, M., Jaaffar, A. H., Khraisat, O., Issa, M. R., &amp; Jarrar, M. (2024). The Association of Transformational Leadership on Safety Practices Among Nurses: The Mediating Role of Patient Safety Culture. Risk Management and Healthcare Policy.</w:t>
      </w:r>
    </w:p>
    <w:p w14:paraId="5A82549E"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IDEO.org. (2015). The Field Guide to Human-Centered Design. IDEO.</w:t>
      </w:r>
    </w:p>
    <w:p w14:paraId="54F518F3"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Kunda, G. (2006). Engineering culture: Control and commitment in a high-tech corporation. Temple University Press.</w:t>
      </w:r>
    </w:p>
    <w:p w14:paraId="59CAFD2A"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Krejcie, R. V., &amp; Morgan, D. W. (1970). Determining sample size for research activities. Educational and Psychological Measurement, 30(3), 607–610.</w:t>
      </w:r>
    </w:p>
    <w:p w14:paraId="5B5F1AC2"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Kuoppala, J., Lamminpaa, A., Liira, J., &amp; Vainio, H. (2008). Leadership, work well-being, and health effects – A systematic review and meta-analysis. Journal of Occupational and Environmental Medicine, 50(8), 904–915.</w:t>
      </w:r>
    </w:p>
    <w:p w14:paraId="6A9270E5"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Lachman, P., Runnacles, J., Jayadev, A., Brennan, J., &amp; Fitzsimons, J. (2022). Oxford Professional Practice: Handbook of Patient Safety. Oxford University Press.</w:t>
      </w:r>
    </w:p>
    <w:p w14:paraId="0F01FB07"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Lowe, K. B., Kroeck, K. G., &amp; Sivasubramaniam, N. (1996). Effectiveness correlates of transformational and transactional leadership: A meta-analytic review. Leadership Quarterly, 7(3), 385–425.</w:t>
      </w:r>
    </w:p>
    <w:p w14:paraId="5A07FC5B"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Luoma, V.-A., &amp; Verhoeven, P. (2017). Crisis response strategies in Finland and Spain. Journal of Contingencies and Crisis Management, 25(4), 312–325.</w:t>
      </w:r>
    </w:p>
    <w:p w14:paraId="7F690D77"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Mason, R. L., Gunst, R. F., &amp; Hess, J. L. (2003). Statistical design and analysis of experiments: With applications to engineering and science (2nd ed.). John Wiley &amp; Sons.</w:t>
      </w:r>
    </w:p>
    <w:p w14:paraId="7C368956"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Miller, P., &amp; Davis, K. (2020). Risk management practices in European hospitals. European Journal of Health Economics, 21(2), 134–147.</w:t>
      </w:r>
    </w:p>
    <w:p w14:paraId="533F92DD"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Milligan, F. (2007). Patient safety and human factors theory. University of Bedfordshire.</w:t>
      </w:r>
    </w:p>
    <w:p w14:paraId="48F21468"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Montano, D., Reeske, A., Franke, F., &amp; Hüffmeier, J. (2017). Leadership, employees’ health, and job performance: A meta-analysis from an occupational health perspective. Journal of Organizational Behavior, 38(3), 327–350.</w:t>
      </w:r>
    </w:p>
    <w:p w14:paraId="0A05B7BF"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Mor-Barak, M. E., Levine, A., Nisley, J. A., &amp; Lin, C. J. (2006). Why do they leave? Modeling child care workers' intentions to change jobs. Child Youth Services Review, 28, 548–577.</w:t>
      </w:r>
    </w:p>
    <w:p w14:paraId="1866C553"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lastRenderedPageBreak/>
        <w:t>Oliveira, T., &amp; Ribeiro, J. (2023). Risk Management. In S. Idowu, M. Sitnikov, &amp; A. Moratis (Eds.), Encyclopedia of Sustainable Management. Springer.</w:t>
      </w:r>
    </w:p>
    <w:p w14:paraId="39ACB7B3"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Payne, J. (2025, July 30). 18 Best Healthcare Risk Management Software Tools In 2025. The Medical Practice.</w:t>
      </w:r>
    </w:p>
    <w:p w14:paraId="321030DC"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Pfaff, H., &amp; Braithwaite, J. (2020). A Parsonian Approach to Patient Safety: Transformational Leadership and Social Capital as Preconditions for Clinical Risk Management. International Journal of Environmental Research and Public Health, 17(11), 3989.</w:t>
      </w:r>
    </w:p>
    <w:p w14:paraId="322F31CD"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Pillai, R. (2013). Transformational leadership for crisis management. In Handbook of research on crisis leadership in organizations (pp. 47–66). Edward Elgar Publishing.</w:t>
      </w:r>
    </w:p>
    <w:p w14:paraId="5796630F"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Porcaro, J. M. (2025, May 16). Top risks in healthcare for 2025–26. Willis Towers Watson.</w:t>
      </w:r>
    </w:p>
    <w:p w14:paraId="3F630B45" w14:textId="1F0238CA"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Purwanto, A., Bernarto, I., Asbari, M., Wijayanti, L. M., &amp; Hyun, C. C. (2020). Effect of transformational and transactional leadership style on public health centre performance. Journal of Research in Business, Economics, and Education, 2(1), 1</w:t>
      </w:r>
      <w:r>
        <w:rPr>
          <w:rFonts w:asciiTheme="majorBidi" w:hAnsiTheme="majorBidi" w:cstheme="majorBidi" w:hint="cs"/>
          <w:sz w:val="24"/>
          <w:szCs w:val="24"/>
          <w:rtl/>
          <w:lang w:bidi="ar-EG"/>
        </w:rPr>
        <w:t>-</w:t>
      </w:r>
      <w:r w:rsidRPr="008C3733">
        <w:rPr>
          <w:rFonts w:asciiTheme="majorBidi" w:hAnsiTheme="majorBidi" w:cstheme="majorBidi"/>
          <w:sz w:val="24"/>
          <w:szCs w:val="24"/>
          <w:lang w:bidi="ar-EG"/>
        </w:rPr>
        <w:t>10.</w:t>
      </w:r>
    </w:p>
    <w:p w14:paraId="55B42138" w14:textId="3C278AA9"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Reason, J. (2000). Human error: Models and management. BMJ, 320(7237), 768</w:t>
      </w:r>
      <w:r>
        <w:rPr>
          <w:rFonts w:asciiTheme="majorBidi" w:hAnsiTheme="majorBidi" w:cstheme="majorBidi" w:hint="cs"/>
          <w:sz w:val="24"/>
          <w:szCs w:val="24"/>
          <w:rtl/>
          <w:lang w:bidi="ar-EG"/>
        </w:rPr>
        <w:t>:</w:t>
      </w:r>
      <w:r w:rsidRPr="008C3733">
        <w:rPr>
          <w:rFonts w:asciiTheme="majorBidi" w:hAnsiTheme="majorBidi" w:cstheme="majorBidi"/>
          <w:sz w:val="24"/>
          <w:szCs w:val="24"/>
          <w:lang w:bidi="ar-EG"/>
        </w:rPr>
        <w:t>770.</w:t>
      </w:r>
    </w:p>
    <w:p w14:paraId="7A6B424C"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Ricciardi, W., &amp; Cascini, F. (2021). Guidelines and Safety Practices for Improving Patient Safety. In L. Donaldson, W. Ricciardi, S. Sheridan, &amp; R. Tartaglia (Eds.), Textbook of Patient Safety and Clinical Risk Management. Springer.</w:t>
      </w:r>
    </w:p>
    <w:p w14:paraId="7FDB5F75"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Shinz, B., &amp; Schilling, J. (2013). How bad are the effects of bad leaders? A meta-analysis of destructive leadership and its outcomes. Leadership Quarterly, 24(1), 138–158.</w:t>
      </w:r>
    </w:p>
    <w:p w14:paraId="1DEA0377"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Smith, A., et al. (2017). The impact of risk management on patient safety in hospitals. Journal of Patient Safety.</w:t>
      </w:r>
    </w:p>
    <w:p w14:paraId="3593BEBA"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Weick, K. E., &amp; Sutcliffe, K. M. (2007). Managing the unexpected: Resilient performance in an age of uncertainty. John Wiley &amp; Sons.</w:t>
      </w:r>
    </w:p>
    <w:p w14:paraId="0008BEE4"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World Health Organization. (2023). Patient safety.</w:t>
      </w:r>
    </w:p>
    <w:p w14:paraId="6A8FD1B8"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World Health Organization. (2024). Global report on patient safety: Analysis of 102 countries.</w:t>
      </w:r>
    </w:p>
    <w:p w14:paraId="2A6D7615" w14:textId="77777777" w:rsidR="008C3733" w:rsidRPr="008C3733" w:rsidRDefault="008C3733" w:rsidP="008C3733">
      <w:pPr>
        <w:pStyle w:val="ListParagraph"/>
        <w:numPr>
          <w:ilvl w:val="0"/>
          <w:numId w:val="39"/>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lastRenderedPageBreak/>
        <w:t>Yamane, T. (1967). Statistics: An Introductory Analysis (2nd ed.). Harper and Row.</w:t>
      </w:r>
    </w:p>
    <w:p w14:paraId="39E2F4A6" w14:textId="77777777" w:rsidR="00E41BD3" w:rsidRDefault="00E41BD3" w:rsidP="00E41BD3">
      <w:pPr>
        <w:pStyle w:val="ListParagraph"/>
        <w:bidi/>
        <w:spacing w:after="200"/>
        <w:ind w:left="360"/>
        <w:jc w:val="both"/>
        <w:rPr>
          <w:rFonts w:ascii="Traditional Arabic" w:eastAsia="Calibri" w:hAnsi="Traditional Arabic" w:cs="Traditional Arabic"/>
          <w:b/>
          <w:bCs/>
          <w:sz w:val="28"/>
          <w:szCs w:val="28"/>
          <w:u w:val="single"/>
          <w:rtl/>
        </w:rPr>
      </w:pPr>
    </w:p>
    <w:p w14:paraId="31B51ADD" w14:textId="52D061BD" w:rsidR="003779A4" w:rsidRPr="007102D5" w:rsidRDefault="006E437C" w:rsidP="00E41BD3">
      <w:pPr>
        <w:pStyle w:val="ListParagraph"/>
        <w:bidi/>
        <w:spacing w:after="200"/>
        <w:ind w:left="360"/>
        <w:jc w:val="both"/>
        <w:rPr>
          <w:rFonts w:ascii="Traditional Arabic" w:eastAsia="Calibri" w:hAnsi="Traditional Arabic" w:cs="Traditional Arabic"/>
          <w:b/>
          <w:bCs/>
          <w:sz w:val="28"/>
          <w:szCs w:val="28"/>
          <w:u w:val="single"/>
          <w:rtl/>
        </w:rPr>
      </w:pPr>
      <w:r w:rsidRPr="007102D5">
        <w:rPr>
          <w:rFonts w:ascii="Traditional Arabic" w:eastAsia="Calibri" w:hAnsi="Traditional Arabic" w:cs="Traditional Arabic" w:hint="cs"/>
          <w:b/>
          <w:bCs/>
          <w:sz w:val="28"/>
          <w:szCs w:val="28"/>
          <w:u w:val="single"/>
          <w:rtl/>
        </w:rPr>
        <w:t xml:space="preserve">ثالثاً: </w:t>
      </w:r>
      <w:r w:rsidR="003779A4" w:rsidRPr="007102D5">
        <w:rPr>
          <w:rFonts w:ascii="Traditional Arabic" w:eastAsia="Calibri" w:hAnsi="Traditional Arabic" w:cs="Traditional Arabic" w:hint="cs"/>
          <w:b/>
          <w:bCs/>
          <w:sz w:val="28"/>
          <w:szCs w:val="28"/>
          <w:u w:val="single"/>
          <w:rtl/>
        </w:rPr>
        <w:t>مراجع إلكترونية (روابط مواقع)</w:t>
      </w:r>
      <w:r w:rsidR="003779A4" w:rsidRPr="007102D5">
        <w:rPr>
          <w:rFonts w:ascii="Traditional Arabic" w:eastAsia="Calibri" w:hAnsi="Traditional Arabic" w:cs="Traditional Arabic" w:hint="cs"/>
          <w:b/>
          <w:bCs/>
          <w:sz w:val="28"/>
          <w:szCs w:val="28"/>
          <w:u w:val="single"/>
        </w:rPr>
        <w:t>:</w:t>
      </w:r>
    </w:p>
    <w:p w14:paraId="02B8D4C6" w14:textId="77777777" w:rsidR="00E41BD3" w:rsidRDefault="00E41BD3" w:rsidP="00E41BD3">
      <w:pPr>
        <w:pStyle w:val="ListParagraph"/>
        <w:bidi/>
        <w:spacing w:after="200" w:line="360" w:lineRule="auto"/>
        <w:ind w:left="360"/>
        <w:rPr>
          <w:rFonts w:ascii="Traditional Arabic" w:eastAsia="Calibri" w:hAnsi="Traditional Arabic" w:cs="Traditional Arabic"/>
          <w:sz w:val="24"/>
          <w:szCs w:val="24"/>
        </w:rPr>
      </w:pPr>
    </w:p>
    <w:p w14:paraId="5044584C" w14:textId="514F9DB5" w:rsidR="008C3733" w:rsidRPr="008C3733" w:rsidRDefault="008C3733" w:rsidP="008C3733">
      <w:pPr>
        <w:pStyle w:val="ListParagraph"/>
        <w:numPr>
          <w:ilvl w:val="0"/>
          <w:numId w:val="48"/>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الهيئة السعودية للتخصصات الصحية. (٢٠٢٥). دمج مفاهيم سلامة المرضى في التعليم الصحي. الهيئة السعودية للتخصصات الصحية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scfhs.org.sa</w:t>
      </w:r>
      <w:r w:rsidRPr="008C3733">
        <w:rPr>
          <w:rFonts w:ascii="Traditional Arabic" w:eastAsia="Calibri" w:hAnsi="Traditional Arabic" w:cs="Traditional Arabic" w:hint="cs"/>
          <w:sz w:val="24"/>
          <w:szCs w:val="24"/>
          <w:rtl/>
        </w:rPr>
        <w:t xml:space="preserve"> </w:t>
      </w:r>
    </w:p>
    <w:p w14:paraId="386E4F20" w14:textId="766200B7" w:rsidR="008C3733" w:rsidRPr="008C3733" w:rsidRDefault="008C3733" w:rsidP="008C3733">
      <w:pPr>
        <w:pStyle w:val="ListParagraph"/>
        <w:numPr>
          <w:ilvl w:val="0"/>
          <w:numId w:val="48"/>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المركز السعودي لسلامة المرضى. (٢٠٢٢). تقرير قياس وتحسين ثقافة سلامة المرضى في المستشفيات السعودية. المركز السعودي لسلامة المرضى</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spsc.gov.sa</w:t>
      </w:r>
    </w:p>
    <w:p w14:paraId="7ADE4AF9" w14:textId="5CF4F675" w:rsidR="008C3733" w:rsidRPr="008C3733" w:rsidRDefault="008C3733" w:rsidP="008C3733">
      <w:pPr>
        <w:pStyle w:val="ListParagraph"/>
        <w:numPr>
          <w:ilvl w:val="0"/>
          <w:numId w:val="48"/>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مجلس اعتماد المؤسسات الصحية</w:t>
      </w:r>
      <w:r w:rsidRPr="008C3733">
        <w:rPr>
          <w:rFonts w:ascii="Traditional Arabic" w:eastAsia="Calibri" w:hAnsi="Traditional Arabic" w:cs="Traditional Arabic"/>
          <w:sz w:val="24"/>
          <w:szCs w:val="24"/>
        </w:rPr>
        <w:t xml:space="preserve"> [HCAC]. </w:t>
      </w:r>
      <w:r w:rsidRPr="008C3733">
        <w:rPr>
          <w:rFonts w:ascii="Traditional Arabic" w:eastAsia="Calibri" w:hAnsi="Traditional Arabic" w:cs="Traditional Arabic"/>
          <w:sz w:val="24"/>
          <w:szCs w:val="24"/>
          <w:rtl/>
        </w:rPr>
        <w:t>(٢٠٢٢). سلامة المرضى: المفهوم والتطبيقات. مجلس اعتماد المؤسسات الصحية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hcac.jo</w:t>
      </w:r>
      <w:r>
        <w:rPr>
          <w:rFonts w:ascii="Traditional Arabic" w:eastAsia="Calibri" w:hAnsi="Traditional Arabic" w:cs="Traditional Arabic" w:hint="cs"/>
          <w:sz w:val="24"/>
          <w:szCs w:val="24"/>
          <w:rtl/>
        </w:rPr>
        <w:t xml:space="preserve">   </w:t>
      </w:r>
    </w:p>
    <w:p w14:paraId="3CEF362E" w14:textId="3C9FC344" w:rsidR="008C3733" w:rsidRPr="008C3733" w:rsidRDefault="008C3733" w:rsidP="008C3733">
      <w:pPr>
        <w:pStyle w:val="ListParagraph"/>
        <w:numPr>
          <w:ilvl w:val="0"/>
          <w:numId w:val="48"/>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وزارة الصحة المصرية. (٢٠٢٣). تقرير تجربة مستشفى شبين الكوم في إنشاء إدارة لسلامة المرضى. وزارة الصحة المصرية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mohp.gov.eg</w:t>
      </w:r>
    </w:p>
    <w:p w14:paraId="3FFE6923" w14:textId="77777777" w:rsidR="008C3733" w:rsidRPr="008C3733" w:rsidRDefault="008C3733" w:rsidP="008C3733">
      <w:pPr>
        <w:pStyle w:val="ListParagraph"/>
        <w:numPr>
          <w:ilvl w:val="0"/>
          <w:numId w:val="48"/>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منظمة الصحة العالمية. (٢٠٢١). خطة العمل العالمية لسلامة المرضى ٢٠٢١–٢٠٣٠. منظمة الصحة العالمية</w:t>
      </w:r>
      <w:r w:rsidRPr="008C3733">
        <w:rPr>
          <w:rFonts w:ascii="Traditional Arabic" w:eastAsia="Calibri" w:hAnsi="Traditional Arabic" w:cs="Traditional Arabic"/>
          <w:sz w:val="24"/>
          <w:szCs w:val="24"/>
        </w:rPr>
        <w:t>. who.int</w:t>
      </w:r>
    </w:p>
    <w:p w14:paraId="1E14492C" w14:textId="5812DC99" w:rsidR="008C3733" w:rsidRPr="008C3733" w:rsidRDefault="008C3733" w:rsidP="008C3733">
      <w:pPr>
        <w:pStyle w:val="ListParagraph"/>
        <w:numPr>
          <w:ilvl w:val="0"/>
          <w:numId w:val="48"/>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منظمة الصحة العالمية. (د. ت.). بيانات وحقائق حول سلامة المرضى. منظمة الصحة العالمية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who.int</w:t>
      </w:r>
    </w:p>
    <w:p w14:paraId="4F3814B1"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552CB91B"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5D77C9CB"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344557B8"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1C2EC5E6"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1EA8317C"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6BAAF656"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11E61412"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62CA773A" w14:textId="77777777" w:rsidR="00163191" w:rsidRPr="000C3448" w:rsidRDefault="00163191" w:rsidP="000C3448">
      <w:pPr>
        <w:spacing w:after="200" w:line="360" w:lineRule="auto"/>
        <w:rPr>
          <w:rFonts w:ascii="Traditional Arabic" w:eastAsia="Calibri" w:hAnsi="Traditional Arabic" w:cs="Traditional Arabic"/>
          <w:sz w:val="24"/>
          <w:szCs w:val="24"/>
          <w:rtl/>
        </w:rPr>
      </w:pPr>
    </w:p>
    <w:p w14:paraId="7D78B1F4"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08EF8A3A" w14:textId="77777777" w:rsidR="004E223C" w:rsidRDefault="004E223C" w:rsidP="00163191">
      <w:pPr>
        <w:pStyle w:val="ListParagraph"/>
        <w:spacing w:after="200" w:line="360" w:lineRule="auto"/>
        <w:ind w:left="360"/>
        <w:jc w:val="center"/>
        <w:rPr>
          <w:rFonts w:ascii="Traditional Arabic" w:eastAsia="Calibri" w:hAnsi="Traditional Arabic" w:cs="Traditional Arabic"/>
          <w:sz w:val="24"/>
          <w:szCs w:val="24"/>
        </w:rPr>
        <w:sectPr w:rsidR="004E223C" w:rsidSect="006F5AFF">
          <w:footerReference w:type="default" r:id="rId6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51"/>
          <w:cols w:space="708"/>
          <w:bidi/>
          <w:rtlGutter/>
          <w:docGrid w:linePitch="360"/>
        </w:sectPr>
      </w:pPr>
    </w:p>
    <w:p w14:paraId="6F72B486" w14:textId="77777777" w:rsidR="002940F0" w:rsidRDefault="002940F0" w:rsidP="00163191">
      <w:pPr>
        <w:pStyle w:val="ListParagraph"/>
        <w:spacing w:after="200" w:line="360" w:lineRule="auto"/>
        <w:ind w:left="360"/>
        <w:jc w:val="center"/>
        <w:rPr>
          <w:rFonts w:ascii="Traditional Arabic" w:eastAsia="Calibri" w:hAnsi="Traditional Arabic" w:cs="Traditional Arabic"/>
          <w:sz w:val="24"/>
          <w:szCs w:val="24"/>
        </w:rPr>
      </w:pPr>
    </w:p>
    <w:p w14:paraId="58B44394" w14:textId="6262CC6B" w:rsidR="004E223C" w:rsidRDefault="004E223C" w:rsidP="004E223C">
      <w:pPr>
        <w:tabs>
          <w:tab w:val="left" w:pos="6780"/>
        </w:tabs>
        <w:rPr>
          <w:rFonts w:ascii="Traditional Arabic" w:eastAsia="Calibri" w:hAnsi="Traditional Arabic" w:cs="Traditional Arabic"/>
          <w:sz w:val="24"/>
          <w:szCs w:val="24"/>
          <w:rtl/>
        </w:rPr>
      </w:pPr>
      <w:r>
        <w:rPr>
          <w:rFonts w:ascii="Traditional Arabic" w:eastAsia="Calibri" w:hAnsi="Traditional Arabic" w:cs="Traditional Arabic"/>
          <w:sz w:val="24"/>
          <w:szCs w:val="24"/>
        </w:rPr>
        <w:tab/>
      </w:r>
    </w:p>
    <w:p w14:paraId="247FA559" w14:textId="77777777" w:rsidR="004E223C" w:rsidRDefault="004E223C" w:rsidP="004E223C">
      <w:pPr>
        <w:tabs>
          <w:tab w:val="left" w:pos="6780"/>
        </w:tabs>
        <w:rPr>
          <w:rFonts w:ascii="Traditional Arabic" w:eastAsia="Calibri" w:hAnsi="Traditional Arabic" w:cs="Traditional Arabic"/>
          <w:sz w:val="24"/>
          <w:szCs w:val="24"/>
          <w:rtl/>
        </w:rPr>
      </w:pPr>
    </w:p>
    <w:p w14:paraId="54F1B27B" w14:textId="77777777" w:rsidR="004E223C" w:rsidRDefault="004E223C" w:rsidP="004E223C">
      <w:pPr>
        <w:tabs>
          <w:tab w:val="left" w:pos="6780"/>
        </w:tabs>
        <w:bidi/>
        <w:rPr>
          <w:rFonts w:ascii="Traditional Arabic" w:eastAsia="Calibri" w:hAnsi="Traditional Arabic" w:cs="Traditional Arabic"/>
          <w:sz w:val="24"/>
          <w:szCs w:val="24"/>
          <w:rtl/>
        </w:rPr>
      </w:pPr>
    </w:p>
    <w:p w14:paraId="0AA1CD40" w14:textId="77777777" w:rsidR="004E223C" w:rsidRDefault="004E223C" w:rsidP="004E223C">
      <w:pPr>
        <w:tabs>
          <w:tab w:val="left" w:pos="6780"/>
        </w:tabs>
        <w:rPr>
          <w:rFonts w:ascii="Traditional Arabic" w:eastAsia="Calibri" w:hAnsi="Traditional Arabic" w:cs="Traditional Arabic"/>
          <w:sz w:val="24"/>
          <w:szCs w:val="24"/>
          <w:rtl/>
        </w:rPr>
      </w:pPr>
    </w:p>
    <w:p w14:paraId="3C7F6968" w14:textId="3C34A17B" w:rsidR="004E223C" w:rsidRPr="004E223C" w:rsidRDefault="004E223C" w:rsidP="004E223C">
      <w:pPr>
        <w:pStyle w:val="ListParagraph"/>
        <w:spacing w:after="200" w:line="360" w:lineRule="auto"/>
        <w:ind w:left="360"/>
        <w:jc w:val="center"/>
        <w:rPr>
          <w:rFonts w:ascii="Traditional Arabic" w:eastAsia="Calibri" w:hAnsi="Traditional Arabic" w:cs="Traditional Arabic"/>
          <w:b/>
          <w:bCs/>
          <w:sz w:val="144"/>
          <w:szCs w:val="144"/>
        </w:rPr>
        <w:sectPr w:rsidR="004E223C" w:rsidRPr="004E223C" w:rsidSect="004E223C">
          <w:footerReference w:type="default" r:id="rId68"/>
          <w:pgSz w:w="11906" w:h="16838"/>
          <w:pgMar w:top="1440" w:right="1800" w:bottom="1440" w:left="1800" w:header="708" w:footer="708" w:gutter="0"/>
          <w:pgNumType w:start="150"/>
          <w:cols w:space="708"/>
          <w:bidi/>
          <w:rtlGutter/>
          <w:docGrid w:linePitch="360"/>
        </w:sectPr>
      </w:pPr>
      <w:r w:rsidRPr="002940F0">
        <w:rPr>
          <w:rFonts w:ascii="Traditional Arabic" w:eastAsia="Calibri" w:hAnsi="Traditional Arabic" w:cs="Traditional Arabic" w:hint="cs"/>
          <w:b/>
          <w:bCs/>
          <w:sz w:val="144"/>
          <w:szCs w:val="144"/>
          <w:rtl/>
        </w:rPr>
        <w:t>الملاح</w:t>
      </w:r>
      <w:r>
        <w:rPr>
          <w:rFonts w:ascii="Traditional Arabic" w:eastAsia="Calibri" w:hAnsi="Traditional Arabic" w:cs="Traditional Arabic" w:hint="cs"/>
          <w:b/>
          <w:bCs/>
          <w:sz w:val="144"/>
          <w:szCs w:val="144"/>
          <w:rtl/>
        </w:rPr>
        <w:t>ق</w:t>
      </w:r>
    </w:p>
    <w:p w14:paraId="2AEB5B09" w14:textId="77777777" w:rsidR="004E223C" w:rsidRPr="00602103" w:rsidRDefault="004E223C" w:rsidP="004E223C">
      <w:pPr>
        <w:pStyle w:val="ListParagraph"/>
        <w:spacing w:after="200" w:line="360" w:lineRule="auto"/>
        <w:ind w:left="360"/>
        <w:jc w:val="center"/>
        <w:rPr>
          <w:rFonts w:ascii="Traditional Arabic" w:eastAsia="Calibri" w:hAnsi="Traditional Arabic" w:cs="Traditional Arabic"/>
          <w:b/>
          <w:bCs/>
          <w:sz w:val="24"/>
          <w:szCs w:val="24"/>
          <w:u w:val="single"/>
          <w:rtl/>
        </w:rPr>
      </w:pPr>
      <w:r>
        <w:lastRenderedPageBreak/>
        <w:tab/>
      </w:r>
      <w:r w:rsidRPr="00602103">
        <w:rPr>
          <w:rFonts w:ascii="Traditional Arabic" w:eastAsia="Calibri" w:hAnsi="Traditional Arabic" w:cs="Traditional Arabic" w:hint="cs"/>
          <w:b/>
          <w:bCs/>
          <w:sz w:val="24"/>
          <w:szCs w:val="24"/>
          <w:u w:val="single"/>
          <w:rtl/>
        </w:rPr>
        <w:t>الأداة المستخدمة في الدراسة (الإستبانة)</w:t>
      </w:r>
    </w:p>
    <w:p w14:paraId="7A89F98F" w14:textId="6D956F5D" w:rsidR="004E223C" w:rsidRPr="000C3448" w:rsidRDefault="00CE6B3B" w:rsidP="000C3448">
      <w:pPr>
        <w:pStyle w:val="ListParagraph"/>
        <w:bidi/>
        <w:spacing w:after="200" w:line="360" w:lineRule="auto"/>
        <w:ind w:left="360"/>
        <w:jc w:val="center"/>
        <w:rPr>
          <w:rFonts w:ascii="Traditional Arabic" w:eastAsia="Calibri" w:hAnsi="Traditional Arabic" w:cs="Traditional Arabic"/>
          <w:b/>
          <w:bCs/>
          <w:sz w:val="24"/>
          <w:szCs w:val="24"/>
        </w:rPr>
      </w:pPr>
      <w:hyperlink r:id="rId69" w:history="1">
        <w:r w:rsidRPr="00AC3089">
          <w:rPr>
            <w:rStyle w:val="Hyperlink"/>
            <w:rFonts w:ascii="Traditional Arabic" w:eastAsia="Calibri" w:hAnsi="Traditional Arabic" w:cs="Traditional Arabic"/>
            <w:b/>
            <w:bCs/>
            <w:sz w:val="24"/>
            <w:szCs w:val="24"/>
          </w:rPr>
          <w:t>https://docs.google.com/forms/d/e/1FAIpQLSfOYf0dqjG1MMqQzpmsMDBuTiF4PkK9VTICISbUiNbdpb87Tw/viewform?usp=preview</w:t>
        </w:r>
      </w:hyperlink>
    </w:p>
    <w:tbl>
      <w:tblPr>
        <w:tblStyle w:val="TableGrid"/>
        <w:tblW w:w="0" w:type="auto"/>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97"/>
        <w:gridCol w:w="567"/>
        <w:gridCol w:w="542"/>
        <w:gridCol w:w="701"/>
        <w:gridCol w:w="977"/>
        <w:gridCol w:w="3772"/>
        <w:gridCol w:w="834"/>
      </w:tblGrid>
      <w:tr w:rsidR="007052C7" w:rsidRPr="00D24D70" w14:paraId="31E87156" w14:textId="7ACFCE46" w:rsidTr="000C3448">
        <w:trPr>
          <w:tblCellSpacing w:w="20" w:type="dxa"/>
          <w:jc w:val="right"/>
        </w:trPr>
        <w:tc>
          <w:tcPr>
            <w:tcW w:w="0" w:type="auto"/>
            <w:shd w:val="clear" w:color="auto" w:fill="E5DFEC" w:themeFill="accent4" w:themeFillTint="33"/>
          </w:tcPr>
          <w:p w14:paraId="7BFBB85F" w14:textId="07931BF9"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أوافق بشدة</w:t>
            </w:r>
          </w:p>
        </w:tc>
        <w:tc>
          <w:tcPr>
            <w:tcW w:w="0" w:type="auto"/>
            <w:shd w:val="clear" w:color="auto" w:fill="E5DFEC" w:themeFill="accent4" w:themeFillTint="33"/>
          </w:tcPr>
          <w:p w14:paraId="0763736F" w14:textId="071D0398"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أوافق</w:t>
            </w:r>
          </w:p>
        </w:tc>
        <w:tc>
          <w:tcPr>
            <w:tcW w:w="0" w:type="auto"/>
            <w:shd w:val="clear" w:color="auto" w:fill="E5DFEC" w:themeFill="accent4" w:themeFillTint="33"/>
          </w:tcPr>
          <w:p w14:paraId="0D5019CE" w14:textId="721B0FD0"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محايد</w:t>
            </w:r>
          </w:p>
        </w:tc>
        <w:tc>
          <w:tcPr>
            <w:tcW w:w="0" w:type="auto"/>
            <w:shd w:val="clear" w:color="auto" w:fill="E5DFEC" w:themeFill="accent4" w:themeFillTint="33"/>
          </w:tcPr>
          <w:p w14:paraId="68AD739C" w14:textId="18019B3C"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لا أوافق</w:t>
            </w:r>
          </w:p>
        </w:tc>
        <w:tc>
          <w:tcPr>
            <w:tcW w:w="0" w:type="auto"/>
            <w:shd w:val="clear" w:color="auto" w:fill="E5DFEC" w:themeFill="accent4" w:themeFillTint="33"/>
          </w:tcPr>
          <w:p w14:paraId="61391657" w14:textId="1C451609"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لا أوفق بشدة</w:t>
            </w:r>
          </w:p>
        </w:tc>
        <w:tc>
          <w:tcPr>
            <w:tcW w:w="0" w:type="auto"/>
            <w:shd w:val="clear" w:color="auto" w:fill="E5DFEC" w:themeFill="accent4" w:themeFillTint="33"/>
            <w:hideMark/>
          </w:tcPr>
          <w:p w14:paraId="661AEC4F" w14:textId="77777777"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العبارة</w:t>
            </w:r>
          </w:p>
        </w:tc>
        <w:tc>
          <w:tcPr>
            <w:tcW w:w="0" w:type="auto"/>
            <w:shd w:val="clear" w:color="auto" w:fill="E5DFEC" w:themeFill="accent4" w:themeFillTint="33"/>
          </w:tcPr>
          <w:p w14:paraId="11294B3E" w14:textId="7CBEF076" w:rsidR="007052C7" w:rsidRPr="00D24D70" w:rsidRDefault="007052C7" w:rsidP="00A75FFD">
            <w:pPr>
              <w:bidi/>
              <w:spacing w:after="200" w:line="276" w:lineRule="auto"/>
              <w:rPr>
                <w:rFonts w:ascii="Traditional Arabic" w:hAnsi="Traditional Arabic" w:cs="Traditional Arabic"/>
                <w:b/>
                <w:bCs/>
                <w:color w:val="000000" w:themeColor="text1"/>
                <w:sz w:val="20"/>
                <w:szCs w:val="20"/>
                <w:rtl/>
              </w:rPr>
            </w:pPr>
            <w:r>
              <w:rPr>
                <w:rFonts w:ascii="Traditional Arabic" w:hAnsi="Traditional Arabic" w:cs="Traditional Arabic" w:hint="cs"/>
                <w:b/>
                <w:bCs/>
                <w:color w:val="000000" w:themeColor="text1"/>
                <w:sz w:val="20"/>
                <w:szCs w:val="20"/>
                <w:rtl/>
              </w:rPr>
              <w:t>رقم العبارة</w:t>
            </w:r>
          </w:p>
        </w:tc>
      </w:tr>
      <w:tr w:rsidR="007052C7" w:rsidRPr="00D24D70" w14:paraId="75FEEA45" w14:textId="78384E14" w:rsidTr="000C3448">
        <w:trPr>
          <w:tblCellSpacing w:w="20" w:type="dxa"/>
          <w:jc w:val="right"/>
        </w:trPr>
        <w:tc>
          <w:tcPr>
            <w:tcW w:w="0" w:type="auto"/>
          </w:tcPr>
          <w:p w14:paraId="7733F96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1F0F735" w14:textId="02DD19D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4486B7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9A82C7" w14:textId="54FABB5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497CB9D" w14:textId="6D2C00A6"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4E6AE5C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مصادر الخطر المحتملة في بيئة العمل بشكل منتظم</w:t>
            </w:r>
            <w:r w:rsidRPr="00D24D70">
              <w:rPr>
                <w:rFonts w:ascii="Traditional Arabic" w:hAnsi="Traditional Arabic" w:cs="Traditional Arabic" w:hint="cs"/>
                <w:color w:val="000000" w:themeColor="text1"/>
                <w:sz w:val="20"/>
                <w:szCs w:val="20"/>
                <w:lang w:bidi="ar-EG"/>
              </w:rPr>
              <w:t>.</w:t>
            </w:r>
          </w:p>
        </w:tc>
        <w:tc>
          <w:tcPr>
            <w:tcW w:w="0" w:type="auto"/>
          </w:tcPr>
          <w:p w14:paraId="23185D30" w14:textId="441BE510"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w:t>
            </w:r>
          </w:p>
        </w:tc>
      </w:tr>
      <w:tr w:rsidR="007052C7" w:rsidRPr="00D24D70" w14:paraId="5B293EAB" w14:textId="78BBC117" w:rsidTr="000C3448">
        <w:trPr>
          <w:tblCellSpacing w:w="20" w:type="dxa"/>
          <w:jc w:val="right"/>
        </w:trPr>
        <w:tc>
          <w:tcPr>
            <w:tcW w:w="0" w:type="auto"/>
          </w:tcPr>
          <w:p w14:paraId="120E69E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608B688" w14:textId="1FF4EBF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4F621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F6E627C" w14:textId="6950A64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8C50DFB" w14:textId="49E2961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AB6355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آلية واضحة لرصد الحوادث الطبية والأخطاء التشغيلية</w:t>
            </w:r>
            <w:r w:rsidRPr="00D24D70">
              <w:rPr>
                <w:rFonts w:ascii="Traditional Arabic" w:hAnsi="Traditional Arabic" w:cs="Traditional Arabic" w:hint="cs"/>
                <w:color w:val="000000" w:themeColor="text1"/>
                <w:sz w:val="20"/>
                <w:szCs w:val="20"/>
                <w:lang w:bidi="ar-EG"/>
              </w:rPr>
              <w:t>.</w:t>
            </w:r>
          </w:p>
        </w:tc>
        <w:tc>
          <w:tcPr>
            <w:tcW w:w="0" w:type="auto"/>
          </w:tcPr>
          <w:p w14:paraId="55EB9A92" w14:textId="7D2F7CF0"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w:t>
            </w:r>
          </w:p>
        </w:tc>
      </w:tr>
      <w:tr w:rsidR="007052C7" w:rsidRPr="00D24D70" w14:paraId="21BB6112" w14:textId="4A95BFC2" w:rsidTr="000C3448">
        <w:trPr>
          <w:tblCellSpacing w:w="20" w:type="dxa"/>
          <w:jc w:val="right"/>
        </w:trPr>
        <w:tc>
          <w:tcPr>
            <w:tcW w:w="0" w:type="auto"/>
          </w:tcPr>
          <w:p w14:paraId="592289C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D7AF16F" w14:textId="4E02B69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08D29C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8560DD2" w14:textId="2B72C84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85D1A1C" w14:textId="0337EFB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6BFA8C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تحديد المخاطر المرتبطة بمهامهم اليومية</w:t>
            </w:r>
            <w:r w:rsidRPr="00D24D70">
              <w:rPr>
                <w:rFonts w:ascii="Traditional Arabic" w:hAnsi="Traditional Arabic" w:cs="Traditional Arabic" w:hint="cs"/>
                <w:color w:val="000000" w:themeColor="text1"/>
                <w:sz w:val="20"/>
                <w:szCs w:val="20"/>
                <w:lang w:bidi="ar-EG"/>
              </w:rPr>
              <w:t>.</w:t>
            </w:r>
          </w:p>
        </w:tc>
        <w:tc>
          <w:tcPr>
            <w:tcW w:w="0" w:type="auto"/>
          </w:tcPr>
          <w:p w14:paraId="6DEA64D1" w14:textId="21D8F322"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w:t>
            </w:r>
          </w:p>
        </w:tc>
      </w:tr>
      <w:tr w:rsidR="007052C7" w:rsidRPr="00D24D70" w14:paraId="4F90BC19" w14:textId="542AA2FB" w:rsidTr="000C3448">
        <w:trPr>
          <w:tblCellSpacing w:w="20" w:type="dxa"/>
          <w:jc w:val="right"/>
        </w:trPr>
        <w:tc>
          <w:tcPr>
            <w:tcW w:w="0" w:type="auto"/>
          </w:tcPr>
          <w:p w14:paraId="5EB925F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E566F09" w14:textId="1D0B89F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4EE556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C87A38A" w14:textId="6287C9D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A99C138" w14:textId="3F97B70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796644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المخاطر المحتملة في سجلات رسمية داخل المنشأة</w:t>
            </w:r>
            <w:r w:rsidRPr="00D24D70">
              <w:rPr>
                <w:rFonts w:ascii="Traditional Arabic" w:hAnsi="Traditional Arabic" w:cs="Traditional Arabic" w:hint="cs"/>
                <w:color w:val="000000" w:themeColor="text1"/>
                <w:sz w:val="20"/>
                <w:szCs w:val="20"/>
                <w:lang w:bidi="ar-EG"/>
              </w:rPr>
              <w:t>.</w:t>
            </w:r>
          </w:p>
        </w:tc>
        <w:tc>
          <w:tcPr>
            <w:tcW w:w="0" w:type="auto"/>
          </w:tcPr>
          <w:p w14:paraId="02BB572C" w14:textId="1AF4213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4</w:t>
            </w:r>
          </w:p>
        </w:tc>
      </w:tr>
      <w:tr w:rsidR="007052C7" w:rsidRPr="00D24D70" w14:paraId="0FCF6325" w14:textId="680BDA3F" w:rsidTr="000C3448">
        <w:trPr>
          <w:tblCellSpacing w:w="20" w:type="dxa"/>
          <w:jc w:val="right"/>
        </w:trPr>
        <w:tc>
          <w:tcPr>
            <w:tcW w:w="0" w:type="auto"/>
          </w:tcPr>
          <w:p w14:paraId="38317FB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A39A7EE" w14:textId="7FF369D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0EC165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E8CE48B" w14:textId="664F45E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E28A40D" w14:textId="521938D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82A74C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مراجعة قائمة المخاطر المحتملة عند إدخال تقنيات أو إجراءات جديدة</w:t>
            </w:r>
            <w:r w:rsidRPr="00D24D70">
              <w:rPr>
                <w:rFonts w:ascii="Traditional Arabic" w:hAnsi="Traditional Arabic" w:cs="Traditional Arabic" w:hint="cs"/>
                <w:color w:val="000000" w:themeColor="text1"/>
                <w:sz w:val="20"/>
                <w:szCs w:val="20"/>
                <w:lang w:bidi="ar-EG"/>
              </w:rPr>
              <w:t>.</w:t>
            </w:r>
          </w:p>
        </w:tc>
        <w:tc>
          <w:tcPr>
            <w:tcW w:w="0" w:type="auto"/>
          </w:tcPr>
          <w:p w14:paraId="29C083A0" w14:textId="22AB07DC"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5</w:t>
            </w:r>
          </w:p>
        </w:tc>
      </w:tr>
      <w:tr w:rsidR="007052C7" w:rsidRPr="00D24D70" w14:paraId="0F39ED85" w14:textId="59864859" w:rsidTr="000C3448">
        <w:trPr>
          <w:tblCellSpacing w:w="20" w:type="dxa"/>
          <w:jc w:val="right"/>
        </w:trPr>
        <w:tc>
          <w:tcPr>
            <w:tcW w:w="0" w:type="auto"/>
          </w:tcPr>
          <w:p w14:paraId="73C042F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0CCBBE" w14:textId="5DFDFC2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DF0FC9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FCF3FC" w14:textId="5C2239B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28D2A1" w14:textId="739A9CA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0253A4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أسباب الحوادث الطبية بعد وقوعها بشكل منهجي</w:t>
            </w:r>
            <w:r w:rsidRPr="00D24D70">
              <w:rPr>
                <w:rFonts w:ascii="Traditional Arabic" w:hAnsi="Traditional Arabic" w:cs="Traditional Arabic" w:hint="cs"/>
                <w:color w:val="000000" w:themeColor="text1"/>
                <w:sz w:val="20"/>
                <w:szCs w:val="20"/>
                <w:lang w:bidi="ar-EG"/>
              </w:rPr>
              <w:t>.</w:t>
            </w:r>
          </w:p>
        </w:tc>
        <w:tc>
          <w:tcPr>
            <w:tcW w:w="0" w:type="auto"/>
          </w:tcPr>
          <w:p w14:paraId="0F925327" w14:textId="16594456"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6</w:t>
            </w:r>
          </w:p>
        </w:tc>
      </w:tr>
      <w:tr w:rsidR="007052C7" w:rsidRPr="00D24D70" w14:paraId="1D9AE14F" w14:textId="7B8CCA51" w:rsidTr="000C3448">
        <w:trPr>
          <w:tblCellSpacing w:w="20" w:type="dxa"/>
          <w:jc w:val="right"/>
        </w:trPr>
        <w:tc>
          <w:tcPr>
            <w:tcW w:w="0" w:type="auto"/>
          </w:tcPr>
          <w:p w14:paraId="0D4467B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1114373" w14:textId="31D681F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E55436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C59C97B" w14:textId="7116C1A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933612" w14:textId="5D94BAF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98E27D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أدوات تحليل معتمدة لتقييم احتمالية حدوث المخاطر</w:t>
            </w:r>
            <w:r w:rsidRPr="00D24D70">
              <w:rPr>
                <w:rFonts w:ascii="Traditional Arabic" w:hAnsi="Traditional Arabic" w:cs="Traditional Arabic" w:hint="cs"/>
                <w:color w:val="000000" w:themeColor="text1"/>
                <w:sz w:val="20"/>
                <w:szCs w:val="20"/>
                <w:lang w:bidi="ar-EG"/>
              </w:rPr>
              <w:t>.</w:t>
            </w:r>
          </w:p>
        </w:tc>
        <w:tc>
          <w:tcPr>
            <w:tcW w:w="0" w:type="auto"/>
          </w:tcPr>
          <w:p w14:paraId="633A8CBF" w14:textId="799F60AB"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7</w:t>
            </w:r>
          </w:p>
        </w:tc>
      </w:tr>
      <w:tr w:rsidR="007052C7" w:rsidRPr="00D24D70" w14:paraId="5E7189FC" w14:textId="58365706" w:rsidTr="000C3448">
        <w:trPr>
          <w:tblCellSpacing w:w="20" w:type="dxa"/>
          <w:jc w:val="right"/>
        </w:trPr>
        <w:tc>
          <w:tcPr>
            <w:tcW w:w="0" w:type="auto"/>
          </w:tcPr>
          <w:p w14:paraId="1F41586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CB1FB11" w14:textId="144B13C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2F97B2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C25FC0" w14:textId="0807C23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E0309B" w14:textId="71BB537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3B5545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تصنيف المخاطر حسب درجة الخطورة والتكرار</w:t>
            </w:r>
            <w:r w:rsidRPr="00D24D70">
              <w:rPr>
                <w:rFonts w:ascii="Traditional Arabic" w:hAnsi="Traditional Arabic" w:cs="Traditional Arabic" w:hint="cs"/>
                <w:color w:val="000000" w:themeColor="text1"/>
                <w:sz w:val="20"/>
                <w:szCs w:val="20"/>
                <w:lang w:bidi="ar-EG"/>
              </w:rPr>
              <w:t>.</w:t>
            </w:r>
          </w:p>
        </w:tc>
        <w:tc>
          <w:tcPr>
            <w:tcW w:w="0" w:type="auto"/>
          </w:tcPr>
          <w:p w14:paraId="37B560A4" w14:textId="724C809F"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8</w:t>
            </w:r>
          </w:p>
        </w:tc>
      </w:tr>
      <w:tr w:rsidR="007052C7" w:rsidRPr="00D24D70" w14:paraId="226C75E1" w14:textId="444936CA" w:rsidTr="000C3448">
        <w:trPr>
          <w:tblCellSpacing w:w="20" w:type="dxa"/>
          <w:jc w:val="right"/>
        </w:trPr>
        <w:tc>
          <w:tcPr>
            <w:tcW w:w="0" w:type="auto"/>
          </w:tcPr>
          <w:p w14:paraId="44DEE7C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E5CCBC" w14:textId="28EA703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1EC2EB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4C77677" w14:textId="77F6D8B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3189EFA" w14:textId="18E0A63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297BE4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تأثير كل خطر على سلامة المرضى وجودة الخدمة</w:t>
            </w:r>
            <w:r w:rsidRPr="00D24D70">
              <w:rPr>
                <w:rFonts w:ascii="Traditional Arabic" w:hAnsi="Traditional Arabic" w:cs="Traditional Arabic" w:hint="cs"/>
                <w:color w:val="000000" w:themeColor="text1"/>
                <w:sz w:val="20"/>
                <w:szCs w:val="20"/>
                <w:lang w:bidi="ar-EG"/>
              </w:rPr>
              <w:t>.</w:t>
            </w:r>
          </w:p>
        </w:tc>
        <w:tc>
          <w:tcPr>
            <w:tcW w:w="0" w:type="auto"/>
          </w:tcPr>
          <w:p w14:paraId="47C7BA99" w14:textId="7BEF4161"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9</w:t>
            </w:r>
          </w:p>
        </w:tc>
      </w:tr>
      <w:tr w:rsidR="007052C7" w:rsidRPr="00D24D70" w14:paraId="2690D3EC" w14:textId="544E69E8" w:rsidTr="000C3448">
        <w:trPr>
          <w:tblCellSpacing w:w="20" w:type="dxa"/>
          <w:jc w:val="right"/>
        </w:trPr>
        <w:tc>
          <w:tcPr>
            <w:tcW w:w="0" w:type="auto"/>
          </w:tcPr>
          <w:p w14:paraId="5553B5A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C1AEFC" w14:textId="366ED7A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B62E05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5F2ED6A" w14:textId="4CC954A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38AC995" w14:textId="2DFF24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E643D4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فرق متعددة التخصصات في تحليل المخاطر المعقدة</w:t>
            </w:r>
            <w:r w:rsidRPr="00D24D70">
              <w:rPr>
                <w:rFonts w:ascii="Traditional Arabic" w:hAnsi="Traditional Arabic" w:cs="Traditional Arabic" w:hint="cs"/>
                <w:color w:val="000000" w:themeColor="text1"/>
                <w:sz w:val="20"/>
                <w:szCs w:val="20"/>
                <w:lang w:bidi="ar-EG"/>
              </w:rPr>
              <w:t>.</w:t>
            </w:r>
          </w:p>
        </w:tc>
        <w:tc>
          <w:tcPr>
            <w:tcW w:w="0" w:type="auto"/>
          </w:tcPr>
          <w:p w14:paraId="5F41B974" w14:textId="79D01FDE"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10</w:t>
            </w:r>
          </w:p>
        </w:tc>
      </w:tr>
      <w:tr w:rsidR="007052C7" w:rsidRPr="00D24D70" w14:paraId="0E561B24" w14:textId="77747E9D" w:rsidTr="000C3448">
        <w:trPr>
          <w:tblCellSpacing w:w="20" w:type="dxa"/>
          <w:jc w:val="right"/>
        </w:trPr>
        <w:tc>
          <w:tcPr>
            <w:tcW w:w="0" w:type="auto"/>
          </w:tcPr>
          <w:p w14:paraId="0D187DD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7EF2BB1" w14:textId="076D746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D6BE79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E57CC17" w14:textId="5B45984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3D55B0" w14:textId="09C72F2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10D17C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المخاطر بناءً على معايير واضحة ومعتمدة من الإدارة</w:t>
            </w:r>
            <w:r w:rsidRPr="00D24D70">
              <w:rPr>
                <w:rFonts w:ascii="Traditional Arabic" w:hAnsi="Traditional Arabic" w:cs="Traditional Arabic" w:hint="cs"/>
                <w:color w:val="000000" w:themeColor="text1"/>
                <w:sz w:val="20"/>
                <w:szCs w:val="20"/>
                <w:lang w:bidi="ar-EG"/>
              </w:rPr>
              <w:t>.</w:t>
            </w:r>
          </w:p>
        </w:tc>
        <w:tc>
          <w:tcPr>
            <w:tcW w:w="0" w:type="auto"/>
          </w:tcPr>
          <w:p w14:paraId="4B2A4751" w14:textId="41A2531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11</w:t>
            </w:r>
          </w:p>
        </w:tc>
      </w:tr>
      <w:tr w:rsidR="007052C7" w:rsidRPr="00D24D70" w14:paraId="006F6EFB" w14:textId="2FFED90D" w:rsidTr="000C3448">
        <w:trPr>
          <w:tblCellSpacing w:w="20" w:type="dxa"/>
          <w:jc w:val="right"/>
        </w:trPr>
        <w:tc>
          <w:tcPr>
            <w:tcW w:w="0" w:type="auto"/>
          </w:tcPr>
          <w:p w14:paraId="53C5DDE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7B9279" w14:textId="7FA0B82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AEF7A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5BF27F" w14:textId="3FA1425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72B161" w14:textId="7DDFEE8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D0B956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نتائج التقييم في اتخاذ قرارات إدارية فعالة</w:t>
            </w:r>
            <w:r w:rsidRPr="00D24D70">
              <w:rPr>
                <w:rFonts w:ascii="Traditional Arabic" w:hAnsi="Traditional Arabic" w:cs="Traditional Arabic" w:hint="cs"/>
                <w:color w:val="000000" w:themeColor="text1"/>
                <w:sz w:val="20"/>
                <w:szCs w:val="20"/>
                <w:lang w:bidi="ar-EG"/>
              </w:rPr>
              <w:t>.</w:t>
            </w:r>
          </w:p>
        </w:tc>
        <w:tc>
          <w:tcPr>
            <w:tcW w:w="0" w:type="auto"/>
          </w:tcPr>
          <w:p w14:paraId="5ED98D68" w14:textId="1D37B31F"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12</w:t>
            </w:r>
          </w:p>
        </w:tc>
      </w:tr>
      <w:tr w:rsidR="007052C7" w:rsidRPr="00D24D70" w14:paraId="0B97690B" w14:textId="5B12A5C6" w:rsidTr="000C3448">
        <w:trPr>
          <w:tblCellSpacing w:w="20" w:type="dxa"/>
          <w:jc w:val="right"/>
        </w:trPr>
        <w:tc>
          <w:tcPr>
            <w:tcW w:w="0" w:type="auto"/>
          </w:tcPr>
          <w:p w14:paraId="686187D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BF88B7" w14:textId="68DFAFA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0EC824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E014F80" w14:textId="7E5EED3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353C3CF" w14:textId="7E4FC1C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F8BA72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أولويات التعامل مع المخاطر بناءً على نتائج التقييم</w:t>
            </w:r>
            <w:r w:rsidRPr="00D24D70">
              <w:rPr>
                <w:rFonts w:ascii="Traditional Arabic" w:hAnsi="Traditional Arabic" w:cs="Traditional Arabic" w:hint="cs"/>
                <w:color w:val="000000" w:themeColor="text1"/>
                <w:sz w:val="20"/>
                <w:szCs w:val="20"/>
                <w:lang w:bidi="ar-EG"/>
              </w:rPr>
              <w:t>.</w:t>
            </w:r>
          </w:p>
        </w:tc>
        <w:tc>
          <w:tcPr>
            <w:tcW w:w="0" w:type="auto"/>
          </w:tcPr>
          <w:p w14:paraId="756E7258" w14:textId="21AD78B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13</w:t>
            </w:r>
          </w:p>
        </w:tc>
      </w:tr>
      <w:tr w:rsidR="007052C7" w:rsidRPr="00D24D70" w14:paraId="68B0D1E1" w14:textId="29259CDF" w:rsidTr="000C3448">
        <w:trPr>
          <w:tblCellSpacing w:w="20" w:type="dxa"/>
          <w:jc w:val="right"/>
        </w:trPr>
        <w:tc>
          <w:tcPr>
            <w:tcW w:w="0" w:type="auto"/>
          </w:tcPr>
          <w:p w14:paraId="735B55C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BCEBD8B" w14:textId="00A5CAA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54A7BF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A58C7C" w14:textId="4C4E1D8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C0B4172" w14:textId="48BAAF6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6DA886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تحديث تقييم المخاطر بشكل دوري وفقًا للمتغيرات التشغيلية</w:t>
            </w:r>
            <w:r w:rsidRPr="00D24D70">
              <w:rPr>
                <w:rFonts w:ascii="Traditional Arabic" w:hAnsi="Traditional Arabic" w:cs="Traditional Arabic" w:hint="cs"/>
                <w:color w:val="000000" w:themeColor="text1"/>
                <w:sz w:val="20"/>
                <w:szCs w:val="20"/>
                <w:lang w:bidi="ar-EG"/>
              </w:rPr>
              <w:t>.</w:t>
            </w:r>
          </w:p>
        </w:tc>
        <w:tc>
          <w:tcPr>
            <w:tcW w:w="0" w:type="auto"/>
          </w:tcPr>
          <w:p w14:paraId="22FFD714" w14:textId="02CF0914"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14</w:t>
            </w:r>
          </w:p>
        </w:tc>
      </w:tr>
      <w:tr w:rsidR="007052C7" w:rsidRPr="00D24D70" w14:paraId="7D7E34F3" w14:textId="4BEAD95B" w:rsidTr="000C3448">
        <w:trPr>
          <w:tblCellSpacing w:w="20" w:type="dxa"/>
          <w:jc w:val="right"/>
        </w:trPr>
        <w:tc>
          <w:tcPr>
            <w:tcW w:w="0" w:type="auto"/>
          </w:tcPr>
          <w:p w14:paraId="68781DF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B57E202" w14:textId="11F7BF7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586334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70907C" w14:textId="4582F0A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363C688" w14:textId="281329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5C40EF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نتائج تقييم المخاطر في تقارير رسمية قابلة للمراجعة</w:t>
            </w:r>
            <w:r w:rsidRPr="00D24D70">
              <w:rPr>
                <w:rFonts w:ascii="Traditional Arabic" w:hAnsi="Traditional Arabic" w:cs="Traditional Arabic" w:hint="cs"/>
                <w:color w:val="000000" w:themeColor="text1"/>
                <w:sz w:val="20"/>
                <w:szCs w:val="20"/>
                <w:lang w:bidi="ar-EG"/>
              </w:rPr>
              <w:t>.</w:t>
            </w:r>
          </w:p>
        </w:tc>
        <w:tc>
          <w:tcPr>
            <w:tcW w:w="0" w:type="auto"/>
          </w:tcPr>
          <w:p w14:paraId="0BA14FA7" w14:textId="0A5C3B9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15</w:t>
            </w:r>
          </w:p>
        </w:tc>
      </w:tr>
      <w:tr w:rsidR="007052C7" w:rsidRPr="00D24D70" w14:paraId="2A17530B" w14:textId="46797A1B" w:rsidTr="000C3448">
        <w:trPr>
          <w:tblCellSpacing w:w="20" w:type="dxa"/>
          <w:jc w:val="right"/>
        </w:trPr>
        <w:tc>
          <w:tcPr>
            <w:tcW w:w="0" w:type="auto"/>
          </w:tcPr>
          <w:p w14:paraId="2889673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C681514" w14:textId="6321F38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FD528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9345373" w14:textId="086B033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724622" w14:textId="35ECAEC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5F95AA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خطط استجابة واضحة ومعلنة للتعامل مع الحوادث الطبية</w:t>
            </w:r>
            <w:r w:rsidRPr="00D24D70">
              <w:rPr>
                <w:rFonts w:ascii="Traditional Arabic" w:hAnsi="Traditional Arabic" w:cs="Traditional Arabic" w:hint="cs"/>
                <w:color w:val="000000" w:themeColor="text1"/>
                <w:sz w:val="20"/>
                <w:szCs w:val="20"/>
                <w:lang w:bidi="ar-EG"/>
              </w:rPr>
              <w:t>.</w:t>
            </w:r>
          </w:p>
        </w:tc>
        <w:tc>
          <w:tcPr>
            <w:tcW w:w="0" w:type="auto"/>
          </w:tcPr>
          <w:p w14:paraId="3D4E3FBE" w14:textId="18126A6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16</w:t>
            </w:r>
          </w:p>
        </w:tc>
      </w:tr>
      <w:tr w:rsidR="007052C7" w:rsidRPr="00D24D70" w14:paraId="4C9CA74A" w14:textId="7DF01F02" w:rsidTr="000C3448">
        <w:trPr>
          <w:tblCellSpacing w:w="20" w:type="dxa"/>
          <w:jc w:val="right"/>
        </w:trPr>
        <w:tc>
          <w:tcPr>
            <w:tcW w:w="0" w:type="auto"/>
          </w:tcPr>
          <w:p w14:paraId="41BC653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6E9F4CE" w14:textId="3A49F15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8614B1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D9A470" w14:textId="045473C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786358D" w14:textId="5F524C9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2C14C6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تدريب العاملين على كيفية التصرف عند وقوع المخاطر</w:t>
            </w:r>
            <w:r w:rsidRPr="00D24D70">
              <w:rPr>
                <w:rFonts w:ascii="Traditional Arabic" w:hAnsi="Traditional Arabic" w:cs="Traditional Arabic" w:hint="cs"/>
                <w:color w:val="000000" w:themeColor="text1"/>
                <w:sz w:val="20"/>
                <w:szCs w:val="20"/>
                <w:lang w:bidi="ar-EG"/>
              </w:rPr>
              <w:t>.</w:t>
            </w:r>
          </w:p>
        </w:tc>
        <w:tc>
          <w:tcPr>
            <w:tcW w:w="0" w:type="auto"/>
          </w:tcPr>
          <w:p w14:paraId="7FE27866" w14:textId="5B8068DA"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17</w:t>
            </w:r>
          </w:p>
        </w:tc>
      </w:tr>
      <w:tr w:rsidR="007052C7" w:rsidRPr="00D24D70" w14:paraId="1AC245DB" w14:textId="2E31D7D1" w:rsidTr="000C3448">
        <w:trPr>
          <w:tblCellSpacing w:w="20" w:type="dxa"/>
          <w:jc w:val="right"/>
        </w:trPr>
        <w:tc>
          <w:tcPr>
            <w:tcW w:w="0" w:type="auto"/>
          </w:tcPr>
          <w:p w14:paraId="1398F4C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721D566" w14:textId="73836A7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804935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CAB19B" w14:textId="5789A8E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B0C4B1E" w14:textId="2BD1E9E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1AAA67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تنفيذ إجراءات تصحيحية بعد كل حادث لضمان عدم تكراره</w:t>
            </w:r>
            <w:r w:rsidRPr="00D24D70">
              <w:rPr>
                <w:rFonts w:ascii="Traditional Arabic" w:hAnsi="Traditional Arabic" w:cs="Traditional Arabic" w:hint="cs"/>
                <w:color w:val="000000" w:themeColor="text1"/>
                <w:sz w:val="20"/>
                <w:szCs w:val="20"/>
                <w:lang w:bidi="ar-EG"/>
              </w:rPr>
              <w:t>.</w:t>
            </w:r>
          </w:p>
        </w:tc>
        <w:tc>
          <w:tcPr>
            <w:tcW w:w="0" w:type="auto"/>
          </w:tcPr>
          <w:p w14:paraId="49314305" w14:textId="7D980E4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18</w:t>
            </w:r>
          </w:p>
        </w:tc>
      </w:tr>
      <w:tr w:rsidR="007052C7" w:rsidRPr="00D24D70" w14:paraId="15E0B78D" w14:textId="01E4E558" w:rsidTr="000C3448">
        <w:trPr>
          <w:tblCellSpacing w:w="20" w:type="dxa"/>
          <w:jc w:val="right"/>
        </w:trPr>
        <w:tc>
          <w:tcPr>
            <w:tcW w:w="0" w:type="auto"/>
          </w:tcPr>
          <w:p w14:paraId="316EA84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4446226" w14:textId="6DF37F7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E7640E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9FEB5BB" w14:textId="7294DF3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B8E923D" w14:textId="14E873D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78CF6B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فعالية الاستجابة بعد كل حالة طارئة أو خطأ طبي</w:t>
            </w:r>
            <w:r w:rsidRPr="00D24D70">
              <w:rPr>
                <w:rFonts w:ascii="Traditional Arabic" w:hAnsi="Traditional Arabic" w:cs="Traditional Arabic" w:hint="cs"/>
                <w:color w:val="000000" w:themeColor="text1"/>
                <w:sz w:val="20"/>
                <w:szCs w:val="20"/>
                <w:lang w:bidi="ar-EG"/>
              </w:rPr>
              <w:t>.</w:t>
            </w:r>
          </w:p>
        </w:tc>
        <w:tc>
          <w:tcPr>
            <w:tcW w:w="0" w:type="auto"/>
          </w:tcPr>
          <w:p w14:paraId="453F223B" w14:textId="36CDC8E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19</w:t>
            </w:r>
          </w:p>
        </w:tc>
      </w:tr>
      <w:tr w:rsidR="007052C7" w:rsidRPr="00D24D70" w14:paraId="5885FD9E" w14:textId="2211134B" w:rsidTr="000C3448">
        <w:trPr>
          <w:tblCellSpacing w:w="20" w:type="dxa"/>
          <w:jc w:val="right"/>
        </w:trPr>
        <w:tc>
          <w:tcPr>
            <w:tcW w:w="0" w:type="auto"/>
          </w:tcPr>
          <w:p w14:paraId="5AFA1C2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59C7CA0" w14:textId="7D3AFC9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65E9B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8EE4821" w14:textId="79A54D8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5204C4" w14:textId="6CCAA50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D8D807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تطوير خطط الاستجابة وتحسينها باستمرار</w:t>
            </w:r>
            <w:r w:rsidRPr="00D24D70">
              <w:rPr>
                <w:rFonts w:ascii="Traditional Arabic" w:hAnsi="Traditional Arabic" w:cs="Traditional Arabic" w:hint="cs"/>
                <w:color w:val="000000" w:themeColor="text1"/>
                <w:sz w:val="20"/>
                <w:szCs w:val="20"/>
                <w:lang w:bidi="ar-EG"/>
              </w:rPr>
              <w:t>.</w:t>
            </w:r>
          </w:p>
        </w:tc>
        <w:tc>
          <w:tcPr>
            <w:tcW w:w="0" w:type="auto"/>
          </w:tcPr>
          <w:p w14:paraId="041DF745" w14:textId="53215882"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20</w:t>
            </w:r>
          </w:p>
        </w:tc>
      </w:tr>
      <w:tr w:rsidR="007052C7" w:rsidRPr="00D24D70" w14:paraId="4ADE46A5" w14:textId="0CA3CF70" w:rsidTr="000C3448">
        <w:trPr>
          <w:tblCellSpacing w:w="20" w:type="dxa"/>
          <w:jc w:val="right"/>
        </w:trPr>
        <w:tc>
          <w:tcPr>
            <w:tcW w:w="0" w:type="auto"/>
          </w:tcPr>
          <w:p w14:paraId="32A5A98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358697" w14:textId="4816ED9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794DC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6FC9B98" w14:textId="33C3879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3EA0290" w14:textId="37F2969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371412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سلوكًا أخلاقيًا يُحتذى به في بيئة العمل</w:t>
            </w:r>
            <w:r w:rsidRPr="00D24D70">
              <w:rPr>
                <w:rFonts w:ascii="Traditional Arabic" w:hAnsi="Traditional Arabic" w:cs="Traditional Arabic" w:hint="cs"/>
                <w:color w:val="000000" w:themeColor="text1"/>
                <w:sz w:val="20"/>
                <w:szCs w:val="20"/>
                <w:lang w:bidi="ar-EG"/>
              </w:rPr>
              <w:t>.</w:t>
            </w:r>
          </w:p>
        </w:tc>
        <w:tc>
          <w:tcPr>
            <w:tcW w:w="0" w:type="auto"/>
          </w:tcPr>
          <w:p w14:paraId="0359A61A" w14:textId="5024993B"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21</w:t>
            </w:r>
          </w:p>
        </w:tc>
      </w:tr>
      <w:tr w:rsidR="007052C7" w:rsidRPr="00D24D70" w14:paraId="6D880FDC" w14:textId="2145DF95" w:rsidTr="000C3448">
        <w:trPr>
          <w:tblCellSpacing w:w="20" w:type="dxa"/>
          <w:jc w:val="right"/>
        </w:trPr>
        <w:tc>
          <w:tcPr>
            <w:tcW w:w="0" w:type="auto"/>
          </w:tcPr>
          <w:p w14:paraId="5DB84BD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3FB6A55" w14:textId="18645FB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F2ADF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C4905FA" w14:textId="0FA9E67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772016" w14:textId="2FA984C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D16C4C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يلتزم القائد بالقيم المهنية في جميع تعاملاته</w:t>
            </w:r>
            <w:r w:rsidRPr="00D24D70">
              <w:rPr>
                <w:rFonts w:ascii="Traditional Arabic" w:hAnsi="Traditional Arabic" w:cs="Traditional Arabic" w:hint="cs"/>
                <w:color w:val="000000" w:themeColor="text1"/>
                <w:sz w:val="20"/>
                <w:szCs w:val="20"/>
                <w:lang w:bidi="ar-EG"/>
              </w:rPr>
              <w:t>.</w:t>
            </w:r>
          </w:p>
        </w:tc>
        <w:tc>
          <w:tcPr>
            <w:tcW w:w="0" w:type="auto"/>
          </w:tcPr>
          <w:p w14:paraId="109F0A15" w14:textId="452BC35E"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22</w:t>
            </w:r>
          </w:p>
        </w:tc>
      </w:tr>
      <w:tr w:rsidR="007052C7" w:rsidRPr="00D24D70" w14:paraId="692E488B" w14:textId="40528EE3" w:rsidTr="000C3448">
        <w:trPr>
          <w:tblCellSpacing w:w="20" w:type="dxa"/>
          <w:jc w:val="right"/>
        </w:trPr>
        <w:tc>
          <w:tcPr>
            <w:tcW w:w="0" w:type="auto"/>
          </w:tcPr>
          <w:p w14:paraId="2003516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AEB76D" w14:textId="02415916"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4BF8B4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7D557A5" w14:textId="0ABD9FF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E901DFE" w14:textId="0505049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9DB9D4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نموذجًا يُلهم الآخرين بالثقة والاحترام</w:t>
            </w:r>
            <w:r w:rsidRPr="00D24D70">
              <w:rPr>
                <w:rFonts w:ascii="Traditional Arabic" w:hAnsi="Traditional Arabic" w:cs="Traditional Arabic" w:hint="cs"/>
                <w:color w:val="000000" w:themeColor="text1"/>
                <w:sz w:val="20"/>
                <w:szCs w:val="20"/>
                <w:lang w:bidi="ar-EG"/>
              </w:rPr>
              <w:t>.</w:t>
            </w:r>
          </w:p>
        </w:tc>
        <w:tc>
          <w:tcPr>
            <w:tcW w:w="0" w:type="auto"/>
          </w:tcPr>
          <w:p w14:paraId="3A406A57" w14:textId="0C8CA352"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23</w:t>
            </w:r>
          </w:p>
        </w:tc>
      </w:tr>
      <w:tr w:rsidR="007052C7" w:rsidRPr="00D24D70" w14:paraId="26EBA5EB" w14:textId="543C5735" w:rsidTr="000C3448">
        <w:trPr>
          <w:tblCellSpacing w:w="20" w:type="dxa"/>
          <w:jc w:val="right"/>
        </w:trPr>
        <w:tc>
          <w:tcPr>
            <w:tcW w:w="0" w:type="auto"/>
          </w:tcPr>
          <w:p w14:paraId="220F989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49FC72" w14:textId="3A56769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9667B4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A1F7D4" w14:textId="734E922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AD591A" w14:textId="7526532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C40398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يتصرف القائد بطريقة تعزز الانتماء والولاء للمؤسسة</w:t>
            </w:r>
            <w:r w:rsidRPr="00D24D70">
              <w:rPr>
                <w:rFonts w:ascii="Traditional Arabic" w:hAnsi="Traditional Arabic" w:cs="Traditional Arabic" w:hint="cs"/>
                <w:color w:val="000000" w:themeColor="text1"/>
                <w:sz w:val="20"/>
                <w:szCs w:val="20"/>
                <w:lang w:bidi="ar-EG"/>
              </w:rPr>
              <w:t>.</w:t>
            </w:r>
          </w:p>
        </w:tc>
        <w:tc>
          <w:tcPr>
            <w:tcW w:w="0" w:type="auto"/>
          </w:tcPr>
          <w:p w14:paraId="29EA70A9" w14:textId="76956E30"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24</w:t>
            </w:r>
          </w:p>
        </w:tc>
      </w:tr>
      <w:tr w:rsidR="007052C7" w:rsidRPr="00D24D70" w14:paraId="34BA3D17" w14:textId="21F0C628" w:rsidTr="000C3448">
        <w:trPr>
          <w:tblCellSpacing w:w="20" w:type="dxa"/>
          <w:jc w:val="right"/>
        </w:trPr>
        <w:tc>
          <w:tcPr>
            <w:tcW w:w="0" w:type="auto"/>
          </w:tcPr>
          <w:p w14:paraId="53B70AF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C94FE9" w14:textId="4B5D41E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0B6BD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948F2DA" w14:textId="2B933E4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E995DCD" w14:textId="7AB07A8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CB05BB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استعدادًا لتحمل المسؤولية في المواقف الصعبة</w:t>
            </w:r>
            <w:r w:rsidRPr="00D24D70">
              <w:rPr>
                <w:rFonts w:ascii="Traditional Arabic" w:hAnsi="Traditional Arabic" w:cs="Traditional Arabic" w:hint="cs"/>
                <w:color w:val="000000" w:themeColor="text1"/>
                <w:sz w:val="20"/>
                <w:szCs w:val="20"/>
                <w:lang w:bidi="ar-EG"/>
              </w:rPr>
              <w:t>.</w:t>
            </w:r>
          </w:p>
        </w:tc>
        <w:tc>
          <w:tcPr>
            <w:tcW w:w="0" w:type="auto"/>
          </w:tcPr>
          <w:p w14:paraId="2CEEC04D" w14:textId="6FB7F6D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25</w:t>
            </w:r>
          </w:p>
        </w:tc>
      </w:tr>
      <w:tr w:rsidR="007052C7" w:rsidRPr="00D24D70" w14:paraId="522D691D" w14:textId="5E5426A8" w:rsidTr="000C3448">
        <w:trPr>
          <w:tblCellSpacing w:w="20" w:type="dxa"/>
          <w:jc w:val="right"/>
        </w:trPr>
        <w:tc>
          <w:tcPr>
            <w:tcW w:w="0" w:type="auto"/>
          </w:tcPr>
          <w:p w14:paraId="3FAF47E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AEDCC2F" w14:textId="302CBF2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FBEE19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34B3D4" w14:textId="593615C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E3BB96" w14:textId="127F747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EA02EB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لتحقيق أهداف تتجاوز التوقعات</w:t>
            </w:r>
            <w:r w:rsidRPr="00D24D70">
              <w:rPr>
                <w:rFonts w:ascii="Traditional Arabic" w:hAnsi="Traditional Arabic" w:cs="Traditional Arabic" w:hint="cs"/>
                <w:color w:val="000000" w:themeColor="text1"/>
                <w:sz w:val="20"/>
                <w:szCs w:val="20"/>
                <w:lang w:bidi="ar-EG"/>
              </w:rPr>
              <w:t>.</w:t>
            </w:r>
          </w:p>
        </w:tc>
        <w:tc>
          <w:tcPr>
            <w:tcW w:w="0" w:type="auto"/>
          </w:tcPr>
          <w:p w14:paraId="5D5BEF52" w14:textId="4593279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26</w:t>
            </w:r>
          </w:p>
        </w:tc>
      </w:tr>
      <w:tr w:rsidR="007052C7" w:rsidRPr="00D24D70" w14:paraId="4C18D76D" w14:textId="2AF8F308" w:rsidTr="000C3448">
        <w:trPr>
          <w:tblCellSpacing w:w="20" w:type="dxa"/>
          <w:jc w:val="right"/>
        </w:trPr>
        <w:tc>
          <w:tcPr>
            <w:tcW w:w="0" w:type="auto"/>
          </w:tcPr>
          <w:p w14:paraId="7821C59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816204E" w14:textId="4266ADA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3E21B6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3266BAE" w14:textId="38E158B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3FDCC7F" w14:textId="4CC8E76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A9B1F9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الإيمان بقدراتهم</w:t>
            </w:r>
            <w:r w:rsidRPr="00D24D70">
              <w:rPr>
                <w:rFonts w:ascii="Traditional Arabic" w:hAnsi="Traditional Arabic" w:cs="Traditional Arabic" w:hint="cs"/>
                <w:color w:val="000000" w:themeColor="text1"/>
                <w:sz w:val="20"/>
                <w:szCs w:val="20"/>
                <w:lang w:bidi="ar-EG"/>
              </w:rPr>
              <w:t>.</w:t>
            </w:r>
          </w:p>
        </w:tc>
        <w:tc>
          <w:tcPr>
            <w:tcW w:w="0" w:type="auto"/>
          </w:tcPr>
          <w:p w14:paraId="2B90565F" w14:textId="672295B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27</w:t>
            </w:r>
          </w:p>
        </w:tc>
      </w:tr>
      <w:tr w:rsidR="007052C7" w:rsidRPr="00D24D70" w14:paraId="66A6E64F" w14:textId="5B4E3388" w:rsidTr="000C3448">
        <w:trPr>
          <w:tblCellSpacing w:w="20" w:type="dxa"/>
          <w:jc w:val="right"/>
        </w:trPr>
        <w:tc>
          <w:tcPr>
            <w:tcW w:w="0" w:type="auto"/>
          </w:tcPr>
          <w:p w14:paraId="069D2AB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7EE66BF" w14:textId="42A6732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E87E8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00D4111" w14:textId="54428B7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7862C86" w14:textId="4D2E48C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166FA8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يُعبر القائد عن رؤية واضحة ومُلهمة للمستقبل</w:t>
            </w:r>
            <w:r w:rsidRPr="00D24D70">
              <w:rPr>
                <w:rFonts w:ascii="Traditional Arabic" w:hAnsi="Traditional Arabic" w:cs="Traditional Arabic" w:hint="cs"/>
                <w:color w:val="000000" w:themeColor="text1"/>
                <w:sz w:val="20"/>
                <w:szCs w:val="20"/>
                <w:lang w:bidi="ar-EG"/>
              </w:rPr>
              <w:t>.</w:t>
            </w:r>
          </w:p>
        </w:tc>
        <w:tc>
          <w:tcPr>
            <w:tcW w:w="0" w:type="auto"/>
          </w:tcPr>
          <w:p w14:paraId="621BCB03" w14:textId="29FA16BA"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28</w:t>
            </w:r>
          </w:p>
        </w:tc>
      </w:tr>
      <w:tr w:rsidR="007052C7" w:rsidRPr="00D24D70" w14:paraId="56D3F562" w14:textId="5F480D6D" w:rsidTr="000C3448">
        <w:trPr>
          <w:tblCellSpacing w:w="20" w:type="dxa"/>
          <w:jc w:val="right"/>
        </w:trPr>
        <w:tc>
          <w:tcPr>
            <w:tcW w:w="0" w:type="auto"/>
          </w:tcPr>
          <w:p w14:paraId="22F12E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D9A9019" w14:textId="567D60A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D96D83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BDE64E7" w14:textId="054B1CB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DD1CF0F" w14:textId="352C904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45011D7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يُعزز القائد روح الفريق والتعاون بين العاملين</w:t>
            </w:r>
            <w:r w:rsidRPr="00D24D70">
              <w:rPr>
                <w:rFonts w:ascii="Traditional Arabic" w:hAnsi="Traditional Arabic" w:cs="Traditional Arabic" w:hint="cs"/>
                <w:color w:val="000000" w:themeColor="text1"/>
                <w:sz w:val="20"/>
                <w:szCs w:val="20"/>
                <w:lang w:bidi="ar-EG"/>
              </w:rPr>
              <w:t>.</w:t>
            </w:r>
          </w:p>
        </w:tc>
        <w:tc>
          <w:tcPr>
            <w:tcW w:w="0" w:type="auto"/>
          </w:tcPr>
          <w:p w14:paraId="6A37F88B" w14:textId="0139FF6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29</w:t>
            </w:r>
          </w:p>
        </w:tc>
      </w:tr>
      <w:tr w:rsidR="007052C7" w:rsidRPr="00D24D70" w14:paraId="16389524" w14:textId="0046E68F" w:rsidTr="000C3448">
        <w:trPr>
          <w:tblCellSpacing w:w="20" w:type="dxa"/>
          <w:jc w:val="right"/>
        </w:trPr>
        <w:tc>
          <w:tcPr>
            <w:tcW w:w="0" w:type="auto"/>
          </w:tcPr>
          <w:p w14:paraId="364E6E9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0056C8D" w14:textId="1982499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B224AF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C798F50" w14:textId="3EF1743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E7BBA50" w14:textId="13F64B5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BA78F7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يُستخدم القائد لغة تحفيزية تُشعل الحماس في بيئة العمل</w:t>
            </w:r>
            <w:r w:rsidRPr="00D24D70">
              <w:rPr>
                <w:rFonts w:ascii="Traditional Arabic" w:hAnsi="Traditional Arabic" w:cs="Traditional Arabic" w:hint="cs"/>
                <w:color w:val="000000" w:themeColor="text1"/>
                <w:sz w:val="20"/>
                <w:szCs w:val="20"/>
                <w:lang w:bidi="ar-EG"/>
              </w:rPr>
              <w:t>.</w:t>
            </w:r>
          </w:p>
        </w:tc>
        <w:tc>
          <w:tcPr>
            <w:tcW w:w="0" w:type="auto"/>
          </w:tcPr>
          <w:p w14:paraId="3B07AB4E" w14:textId="2097A316"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30</w:t>
            </w:r>
          </w:p>
        </w:tc>
      </w:tr>
      <w:tr w:rsidR="007052C7" w:rsidRPr="00D24D70" w14:paraId="624E4690" w14:textId="3043A163" w:rsidTr="000C3448">
        <w:trPr>
          <w:tblCellSpacing w:w="20" w:type="dxa"/>
          <w:jc w:val="right"/>
        </w:trPr>
        <w:tc>
          <w:tcPr>
            <w:tcW w:w="0" w:type="auto"/>
          </w:tcPr>
          <w:p w14:paraId="55BAE7D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0729F5A" w14:textId="79F561E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85824E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A96E387" w14:textId="6DA3D01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A3B3F9" w14:textId="41AF645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83C09B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اهتمامًا فرديًا باحتياجات الموظفين</w:t>
            </w:r>
            <w:r w:rsidRPr="00D24D70">
              <w:rPr>
                <w:rFonts w:ascii="Traditional Arabic" w:hAnsi="Traditional Arabic" w:cs="Traditional Arabic" w:hint="cs"/>
                <w:color w:val="000000" w:themeColor="text1"/>
                <w:sz w:val="20"/>
                <w:szCs w:val="20"/>
                <w:lang w:bidi="ar-EG"/>
              </w:rPr>
              <w:t>.</w:t>
            </w:r>
          </w:p>
        </w:tc>
        <w:tc>
          <w:tcPr>
            <w:tcW w:w="0" w:type="auto"/>
          </w:tcPr>
          <w:p w14:paraId="2D9310DB" w14:textId="7B09CED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31</w:t>
            </w:r>
          </w:p>
        </w:tc>
      </w:tr>
      <w:tr w:rsidR="007052C7" w:rsidRPr="00D24D70" w14:paraId="0C0769C4" w14:textId="7DFA7CBE" w:rsidTr="000C3448">
        <w:trPr>
          <w:tblCellSpacing w:w="20" w:type="dxa"/>
          <w:jc w:val="right"/>
        </w:trPr>
        <w:tc>
          <w:tcPr>
            <w:tcW w:w="0" w:type="auto"/>
          </w:tcPr>
          <w:p w14:paraId="2902A70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1E09DD3" w14:textId="7E5BF63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11362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F5F746" w14:textId="388D5AC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1C2706" w14:textId="582222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511EEE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يُخصص القائد وقتًا للاستماع لمشكلات العاملين</w:t>
            </w:r>
            <w:r w:rsidRPr="00D24D70">
              <w:rPr>
                <w:rFonts w:ascii="Traditional Arabic" w:hAnsi="Traditional Arabic" w:cs="Traditional Arabic" w:hint="cs"/>
                <w:color w:val="000000" w:themeColor="text1"/>
                <w:sz w:val="20"/>
                <w:szCs w:val="20"/>
                <w:lang w:bidi="ar-EG"/>
              </w:rPr>
              <w:t>.</w:t>
            </w:r>
          </w:p>
        </w:tc>
        <w:tc>
          <w:tcPr>
            <w:tcW w:w="0" w:type="auto"/>
          </w:tcPr>
          <w:p w14:paraId="0D908767" w14:textId="3843199B"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32</w:t>
            </w:r>
          </w:p>
        </w:tc>
      </w:tr>
      <w:tr w:rsidR="007052C7" w:rsidRPr="00D24D70" w14:paraId="5EB5CBD8" w14:textId="7CA72FFD" w:rsidTr="000C3448">
        <w:trPr>
          <w:tblCellSpacing w:w="20" w:type="dxa"/>
          <w:jc w:val="right"/>
        </w:trPr>
        <w:tc>
          <w:tcPr>
            <w:tcW w:w="0" w:type="auto"/>
          </w:tcPr>
          <w:p w14:paraId="1BEED56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A81EE9D" w14:textId="65CD9C3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5ABEE1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371471E" w14:textId="1FA726A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BC2053D" w14:textId="75D8135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D4FEFF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يُراعي القائد الفروق الفردية في أسلوب التعامل</w:t>
            </w:r>
            <w:r w:rsidRPr="00D24D70">
              <w:rPr>
                <w:rFonts w:ascii="Traditional Arabic" w:hAnsi="Traditional Arabic" w:cs="Traditional Arabic" w:hint="cs"/>
                <w:color w:val="000000" w:themeColor="text1"/>
                <w:sz w:val="20"/>
                <w:szCs w:val="20"/>
                <w:lang w:bidi="ar-EG"/>
              </w:rPr>
              <w:t>.</w:t>
            </w:r>
          </w:p>
        </w:tc>
        <w:tc>
          <w:tcPr>
            <w:tcW w:w="0" w:type="auto"/>
          </w:tcPr>
          <w:p w14:paraId="34E8F83E" w14:textId="2DB9DA74"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33</w:t>
            </w:r>
          </w:p>
        </w:tc>
      </w:tr>
      <w:tr w:rsidR="007052C7" w:rsidRPr="00D24D70" w14:paraId="04A94E15" w14:textId="68883BC3" w:rsidTr="000C3448">
        <w:trPr>
          <w:tblCellSpacing w:w="20" w:type="dxa"/>
          <w:jc w:val="right"/>
        </w:trPr>
        <w:tc>
          <w:tcPr>
            <w:tcW w:w="0" w:type="auto"/>
          </w:tcPr>
          <w:p w14:paraId="792F8B0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1C7DCDA" w14:textId="347EA29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B708CE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F59F3A2" w14:textId="7FDA38F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8E489B5" w14:textId="0EFA950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283C85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الدعم والتوجيه المناسب لكل موظف</w:t>
            </w:r>
            <w:r w:rsidRPr="00D24D70">
              <w:rPr>
                <w:rFonts w:ascii="Traditional Arabic" w:hAnsi="Traditional Arabic" w:cs="Traditional Arabic" w:hint="cs"/>
                <w:color w:val="000000" w:themeColor="text1"/>
                <w:sz w:val="20"/>
                <w:szCs w:val="20"/>
                <w:lang w:bidi="ar-EG"/>
              </w:rPr>
              <w:t>.</w:t>
            </w:r>
          </w:p>
        </w:tc>
        <w:tc>
          <w:tcPr>
            <w:tcW w:w="0" w:type="auto"/>
          </w:tcPr>
          <w:p w14:paraId="4D698E7E" w14:textId="345838A9"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34</w:t>
            </w:r>
          </w:p>
        </w:tc>
      </w:tr>
      <w:tr w:rsidR="007052C7" w:rsidRPr="00D24D70" w14:paraId="488EC14D" w14:textId="658C4BC4" w:rsidTr="000C3448">
        <w:trPr>
          <w:tblCellSpacing w:w="20" w:type="dxa"/>
          <w:jc w:val="right"/>
        </w:trPr>
        <w:tc>
          <w:tcPr>
            <w:tcW w:w="0" w:type="auto"/>
          </w:tcPr>
          <w:p w14:paraId="27F15EE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59CB124" w14:textId="2FF6BE5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7446E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E253000" w14:textId="47DA87E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3AF6EEE" w14:textId="6B5CDFA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C3F6EE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تطوير مهاراتهم الشخصية والمهنية</w:t>
            </w:r>
            <w:r w:rsidRPr="00D24D70">
              <w:rPr>
                <w:rFonts w:ascii="Traditional Arabic" w:hAnsi="Traditional Arabic" w:cs="Traditional Arabic" w:hint="cs"/>
                <w:color w:val="000000" w:themeColor="text1"/>
                <w:sz w:val="20"/>
                <w:szCs w:val="20"/>
                <w:lang w:bidi="ar-EG"/>
              </w:rPr>
              <w:t>.</w:t>
            </w:r>
          </w:p>
        </w:tc>
        <w:tc>
          <w:tcPr>
            <w:tcW w:w="0" w:type="auto"/>
          </w:tcPr>
          <w:p w14:paraId="52438FCB" w14:textId="23F38F5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35</w:t>
            </w:r>
          </w:p>
        </w:tc>
      </w:tr>
      <w:tr w:rsidR="007052C7" w:rsidRPr="00D24D70" w14:paraId="09358396" w14:textId="04F046AD" w:rsidTr="000C3448">
        <w:trPr>
          <w:tblCellSpacing w:w="20" w:type="dxa"/>
          <w:jc w:val="right"/>
        </w:trPr>
        <w:tc>
          <w:tcPr>
            <w:tcW w:w="0" w:type="auto"/>
          </w:tcPr>
          <w:p w14:paraId="63AB95F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CF46E7" w14:textId="71D3C14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DDFDE7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16523B" w14:textId="67407B8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5D962D" w14:textId="7204F22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356EFA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التفكير الإبداعي لحل المشكلات</w:t>
            </w:r>
            <w:r w:rsidRPr="00D24D70">
              <w:rPr>
                <w:rFonts w:ascii="Traditional Arabic" w:hAnsi="Traditional Arabic" w:cs="Traditional Arabic" w:hint="cs"/>
                <w:color w:val="000000" w:themeColor="text1"/>
                <w:sz w:val="20"/>
                <w:szCs w:val="20"/>
                <w:lang w:bidi="ar-EG"/>
              </w:rPr>
              <w:t>.</w:t>
            </w:r>
          </w:p>
        </w:tc>
        <w:tc>
          <w:tcPr>
            <w:tcW w:w="0" w:type="auto"/>
          </w:tcPr>
          <w:p w14:paraId="10D40BDB" w14:textId="08FCAE7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36</w:t>
            </w:r>
          </w:p>
        </w:tc>
      </w:tr>
      <w:tr w:rsidR="007052C7" w:rsidRPr="00D24D70" w14:paraId="20946989" w14:textId="31D77C18" w:rsidTr="000C3448">
        <w:trPr>
          <w:tblCellSpacing w:w="20" w:type="dxa"/>
          <w:jc w:val="right"/>
        </w:trPr>
        <w:tc>
          <w:tcPr>
            <w:tcW w:w="0" w:type="auto"/>
          </w:tcPr>
          <w:p w14:paraId="5A59C53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4500CCD" w14:textId="48A418D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E07E4B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505CCC2" w14:textId="506741B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8D2251" w14:textId="11E9F8C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36A503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على اقتراح أفكار جديدة</w:t>
            </w:r>
            <w:r w:rsidRPr="00D24D70">
              <w:rPr>
                <w:rFonts w:ascii="Traditional Arabic" w:hAnsi="Traditional Arabic" w:cs="Traditional Arabic" w:hint="cs"/>
                <w:color w:val="000000" w:themeColor="text1"/>
                <w:sz w:val="20"/>
                <w:szCs w:val="20"/>
                <w:lang w:bidi="ar-EG"/>
              </w:rPr>
              <w:t>.</w:t>
            </w:r>
          </w:p>
        </w:tc>
        <w:tc>
          <w:tcPr>
            <w:tcW w:w="0" w:type="auto"/>
          </w:tcPr>
          <w:p w14:paraId="32C06CA7" w14:textId="5FE14F4F"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37</w:t>
            </w:r>
          </w:p>
        </w:tc>
      </w:tr>
      <w:tr w:rsidR="007052C7" w:rsidRPr="00D24D70" w14:paraId="1D95DD7F" w14:textId="1B150488" w:rsidTr="000C3448">
        <w:trPr>
          <w:tblCellSpacing w:w="20" w:type="dxa"/>
          <w:jc w:val="right"/>
        </w:trPr>
        <w:tc>
          <w:tcPr>
            <w:tcW w:w="0" w:type="auto"/>
          </w:tcPr>
          <w:p w14:paraId="52A5B6C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7AC7AF" w14:textId="40F002B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44B494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8A1638A" w14:textId="7FDE554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749CDE" w14:textId="4D7A5F2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EB2D4A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على تحدي الطرق التقليدية في العمل</w:t>
            </w:r>
            <w:r w:rsidRPr="00D24D70">
              <w:rPr>
                <w:rFonts w:ascii="Traditional Arabic" w:hAnsi="Traditional Arabic" w:cs="Traditional Arabic" w:hint="cs"/>
                <w:color w:val="000000" w:themeColor="text1"/>
                <w:sz w:val="20"/>
                <w:szCs w:val="20"/>
                <w:lang w:bidi="ar-EG"/>
              </w:rPr>
              <w:t>.</w:t>
            </w:r>
          </w:p>
        </w:tc>
        <w:tc>
          <w:tcPr>
            <w:tcW w:w="0" w:type="auto"/>
          </w:tcPr>
          <w:p w14:paraId="105BA249" w14:textId="30B7F12C"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38</w:t>
            </w:r>
          </w:p>
        </w:tc>
      </w:tr>
      <w:tr w:rsidR="007052C7" w:rsidRPr="00D24D70" w14:paraId="39DEC214" w14:textId="266D8BEF" w:rsidTr="000C3448">
        <w:trPr>
          <w:tblCellSpacing w:w="20" w:type="dxa"/>
          <w:jc w:val="right"/>
        </w:trPr>
        <w:tc>
          <w:tcPr>
            <w:tcW w:w="0" w:type="auto"/>
          </w:tcPr>
          <w:p w14:paraId="498D8B0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3B4AEF" w14:textId="3A61808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4B68A7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95F1327" w14:textId="07473EA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6E739D" w14:textId="242ABF1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B5653E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يُتيح القائد بيئة آمنة لتبادل الآراء والابتكار</w:t>
            </w:r>
            <w:r w:rsidRPr="00D24D70">
              <w:rPr>
                <w:rFonts w:ascii="Traditional Arabic" w:hAnsi="Traditional Arabic" w:cs="Traditional Arabic" w:hint="cs"/>
                <w:color w:val="000000" w:themeColor="text1"/>
                <w:sz w:val="20"/>
                <w:szCs w:val="20"/>
                <w:lang w:bidi="ar-EG"/>
              </w:rPr>
              <w:t>.</w:t>
            </w:r>
          </w:p>
        </w:tc>
        <w:tc>
          <w:tcPr>
            <w:tcW w:w="0" w:type="auto"/>
          </w:tcPr>
          <w:p w14:paraId="539E1941" w14:textId="2ECC284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39</w:t>
            </w:r>
          </w:p>
        </w:tc>
      </w:tr>
      <w:tr w:rsidR="007052C7" w:rsidRPr="00D24D70" w14:paraId="20763404" w14:textId="733BACC0" w:rsidTr="000C3448">
        <w:trPr>
          <w:tblCellSpacing w:w="20" w:type="dxa"/>
          <w:jc w:val="right"/>
        </w:trPr>
        <w:tc>
          <w:tcPr>
            <w:tcW w:w="0" w:type="auto"/>
          </w:tcPr>
          <w:p w14:paraId="6B4B172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5DE8186" w14:textId="561B2AF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41BB50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1C85368" w14:textId="09EBCB2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D3483F6" w14:textId="6BED4B0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2B763A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تحليل المواقف من زوايا متعددة</w:t>
            </w:r>
            <w:r w:rsidRPr="00D24D70">
              <w:rPr>
                <w:rFonts w:ascii="Traditional Arabic" w:hAnsi="Traditional Arabic" w:cs="Traditional Arabic" w:hint="cs"/>
                <w:color w:val="000000" w:themeColor="text1"/>
                <w:sz w:val="20"/>
                <w:szCs w:val="20"/>
                <w:lang w:bidi="ar-EG"/>
              </w:rPr>
              <w:t>.</w:t>
            </w:r>
          </w:p>
        </w:tc>
        <w:tc>
          <w:tcPr>
            <w:tcW w:w="0" w:type="auto"/>
          </w:tcPr>
          <w:p w14:paraId="535F2F4B" w14:textId="61178189"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40</w:t>
            </w:r>
          </w:p>
        </w:tc>
      </w:tr>
      <w:tr w:rsidR="007052C7" w:rsidRPr="00D24D70" w14:paraId="7354BCCC" w14:textId="05A63FAB" w:rsidTr="000C3448">
        <w:trPr>
          <w:tblCellSpacing w:w="20" w:type="dxa"/>
          <w:jc w:val="right"/>
        </w:trPr>
        <w:tc>
          <w:tcPr>
            <w:tcW w:w="0" w:type="auto"/>
          </w:tcPr>
          <w:p w14:paraId="072C686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B9F7219" w14:textId="3AC3DE1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EE9205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4ABF458" w14:textId="25FD25C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C97CE1" w14:textId="67B2107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C8A45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إجراءات واضحة لتقليل الأخطاء الطبية أثناء تقديم الرعاية</w:t>
            </w:r>
            <w:r w:rsidRPr="00D24D70">
              <w:rPr>
                <w:rFonts w:ascii="Traditional Arabic" w:hAnsi="Traditional Arabic" w:cs="Traditional Arabic" w:hint="cs"/>
                <w:sz w:val="20"/>
                <w:szCs w:val="20"/>
              </w:rPr>
              <w:t>.</w:t>
            </w:r>
          </w:p>
        </w:tc>
        <w:tc>
          <w:tcPr>
            <w:tcW w:w="0" w:type="auto"/>
          </w:tcPr>
          <w:p w14:paraId="55E53A6B" w14:textId="419D7E59"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41</w:t>
            </w:r>
          </w:p>
        </w:tc>
      </w:tr>
      <w:tr w:rsidR="007052C7" w:rsidRPr="00D24D70" w14:paraId="72A0767D" w14:textId="55FEF6A8" w:rsidTr="000C3448">
        <w:trPr>
          <w:tblCellSpacing w:w="20" w:type="dxa"/>
          <w:jc w:val="right"/>
        </w:trPr>
        <w:tc>
          <w:tcPr>
            <w:tcW w:w="0" w:type="auto"/>
          </w:tcPr>
          <w:p w14:paraId="547B579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61CA334" w14:textId="4DAF2D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ADC9E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4DBC43D" w14:textId="408B969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E0421D0" w14:textId="38D7FDB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92179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مراجعة سجلات المرضى لتفادي الأخطاء العلاجية</w:t>
            </w:r>
            <w:r w:rsidRPr="00D24D70">
              <w:rPr>
                <w:rFonts w:ascii="Traditional Arabic" w:hAnsi="Traditional Arabic" w:cs="Traditional Arabic" w:hint="cs"/>
                <w:sz w:val="20"/>
                <w:szCs w:val="20"/>
              </w:rPr>
              <w:t>.</w:t>
            </w:r>
          </w:p>
        </w:tc>
        <w:tc>
          <w:tcPr>
            <w:tcW w:w="0" w:type="auto"/>
          </w:tcPr>
          <w:p w14:paraId="3149786E" w14:textId="25AC4D68"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42</w:t>
            </w:r>
          </w:p>
        </w:tc>
      </w:tr>
      <w:tr w:rsidR="007052C7" w:rsidRPr="00D24D70" w14:paraId="5359C8E2" w14:textId="6A9DCEED" w:rsidTr="000C3448">
        <w:trPr>
          <w:tblCellSpacing w:w="20" w:type="dxa"/>
          <w:jc w:val="right"/>
        </w:trPr>
        <w:tc>
          <w:tcPr>
            <w:tcW w:w="0" w:type="auto"/>
          </w:tcPr>
          <w:p w14:paraId="1456B3C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69DAFB8" w14:textId="1ADC668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6B0DF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EE89CE" w14:textId="4D27456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2968FF" w14:textId="5875901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1ADCB3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تدريب العاملين على كيفية تجنب الأخطاء الطبية الشائعة</w:t>
            </w:r>
            <w:r w:rsidRPr="00D24D70">
              <w:rPr>
                <w:rFonts w:ascii="Traditional Arabic" w:hAnsi="Traditional Arabic" w:cs="Traditional Arabic" w:hint="cs"/>
                <w:sz w:val="20"/>
                <w:szCs w:val="20"/>
              </w:rPr>
              <w:t>.</w:t>
            </w:r>
          </w:p>
        </w:tc>
        <w:tc>
          <w:tcPr>
            <w:tcW w:w="0" w:type="auto"/>
          </w:tcPr>
          <w:p w14:paraId="4318586D" w14:textId="6460039F"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43</w:t>
            </w:r>
          </w:p>
        </w:tc>
      </w:tr>
      <w:tr w:rsidR="007052C7" w:rsidRPr="00D24D70" w14:paraId="747EB382" w14:textId="180530E1" w:rsidTr="000C3448">
        <w:trPr>
          <w:tblCellSpacing w:w="20" w:type="dxa"/>
          <w:jc w:val="right"/>
        </w:trPr>
        <w:tc>
          <w:tcPr>
            <w:tcW w:w="0" w:type="auto"/>
          </w:tcPr>
          <w:p w14:paraId="6DC8C2D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7BB4123" w14:textId="5D3C4FA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5BE9C8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67C6004" w14:textId="1804B5B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C7C5218" w14:textId="27DB4E4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6637F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الأخطاء الطبية بعد وقوعها لتفادي تكرارها</w:t>
            </w:r>
            <w:r w:rsidRPr="00D24D70">
              <w:rPr>
                <w:rFonts w:ascii="Traditional Arabic" w:hAnsi="Traditional Arabic" w:cs="Traditional Arabic" w:hint="cs"/>
                <w:sz w:val="20"/>
                <w:szCs w:val="20"/>
              </w:rPr>
              <w:t>.</w:t>
            </w:r>
          </w:p>
        </w:tc>
        <w:tc>
          <w:tcPr>
            <w:tcW w:w="0" w:type="auto"/>
          </w:tcPr>
          <w:p w14:paraId="1A30F511" w14:textId="57BB39BF"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44</w:t>
            </w:r>
          </w:p>
        </w:tc>
      </w:tr>
      <w:tr w:rsidR="007052C7" w:rsidRPr="00D24D70" w14:paraId="02C9F1B4" w14:textId="63365208" w:rsidTr="000C3448">
        <w:trPr>
          <w:tblCellSpacing w:w="20" w:type="dxa"/>
          <w:jc w:val="right"/>
        </w:trPr>
        <w:tc>
          <w:tcPr>
            <w:tcW w:w="0" w:type="auto"/>
          </w:tcPr>
          <w:p w14:paraId="730AC2F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AEC7E3" w14:textId="49E8622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F3713B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B35F6EF" w14:textId="6C87C57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4F181A" w14:textId="50BD696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55C58D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توجد آلية فعالة للإبلاغ عن الحوادث الطبية داخل المنشأة</w:t>
            </w:r>
            <w:r w:rsidRPr="00D24D70">
              <w:rPr>
                <w:rFonts w:ascii="Traditional Arabic" w:hAnsi="Traditional Arabic" w:cs="Traditional Arabic" w:hint="cs"/>
                <w:sz w:val="20"/>
                <w:szCs w:val="20"/>
              </w:rPr>
              <w:t>.</w:t>
            </w:r>
          </w:p>
        </w:tc>
        <w:tc>
          <w:tcPr>
            <w:tcW w:w="0" w:type="auto"/>
          </w:tcPr>
          <w:p w14:paraId="35F5FA56" w14:textId="43BE1268"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45</w:t>
            </w:r>
          </w:p>
        </w:tc>
      </w:tr>
      <w:tr w:rsidR="007052C7" w:rsidRPr="00D24D70" w14:paraId="49725BDE" w14:textId="389191A1" w:rsidTr="000C3448">
        <w:trPr>
          <w:tblCellSpacing w:w="20" w:type="dxa"/>
          <w:jc w:val="right"/>
        </w:trPr>
        <w:tc>
          <w:tcPr>
            <w:tcW w:w="0" w:type="auto"/>
          </w:tcPr>
          <w:p w14:paraId="0F4E8EF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99D709C" w14:textId="7EE76D0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7F5BFB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4A2A95" w14:textId="5EFC8C4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05065B4" w14:textId="55D5449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75A977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الإبلاغ عن الأخطاء الطبية دون خوف من العقوبة</w:t>
            </w:r>
            <w:r w:rsidRPr="00D24D70">
              <w:rPr>
                <w:rFonts w:ascii="Traditional Arabic" w:hAnsi="Traditional Arabic" w:cs="Traditional Arabic" w:hint="cs"/>
                <w:sz w:val="20"/>
                <w:szCs w:val="20"/>
              </w:rPr>
              <w:t>.</w:t>
            </w:r>
          </w:p>
        </w:tc>
        <w:tc>
          <w:tcPr>
            <w:tcW w:w="0" w:type="auto"/>
          </w:tcPr>
          <w:p w14:paraId="438CA5E7" w14:textId="1CE3CCAC"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46</w:t>
            </w:r>
          </w:p>
        </w:tc>
      </w:tr>
      <w:tr w:rsidR="007052C7" w:rsidRPr="00D24D70" w14:paraId="3F06DE95" w14:textId="05C575A6" w:rsidTr="000C3448">
        <w:trPr>
          <w:tblCellSpacing w:w="20" w:type="dxa"/>
          <w:jc w:val="right"/>
        </w:trPr>
        <w:tc>
          <w:tcPr>
            <w:tcW w:w="0" w:type="auto"/>
          </w:tcPr>
          <w:p w14:paraId="5BD8D3F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BB3528" w14:textId="53CF897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F3446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33B3C19" w14:textId="39C91F1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27D6CDD" w14:textId="452243A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C635B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التعامل مع البلاغات بسرية واحترافية</w:t>
            </w:r>
            <w:r w:rsidRPr="00D24D70">
              <w:rPr>
                <w:rFonts w:ascii="Traditional Arabic" w:hAnsi="Traditional Arabic" w:cs="Traditional Arabic" w:hint="cs"/>
                <w:sz w:val="20"/>
                <w:szCs w:val="20"/>
              </w:rPr>
              <w:t>.</w:t>
            </w:r>
          </w:p>
        </w:tc>
        <w:tc>
          <w:tcPr>
            <w:tcW w:w="0" w:type="auto"/>
          </w:tcPr>
          <w:p w14:paraId="033F15E9" w14:textId="3F6206FD"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47</w:t>
            </w:r>
          </w:p>
        </w:tc>
      </w:tr>
      <w:tr w:rsidR="007052C7" w:rsidRPr="00D24D70" w14:paraId="114533AB" w14:textId="26382C64" w:rsidTr="000C3448">
        <w:trPr>
          <w:tblCellSpacing w:w="20" w:type="dxa"/>
          <w:jc w:val="right"/>
        </w:trPr>
        <w:tc>
          <w:tcPr>
            <w:tcW w:w="0" w:type="auto"/>
          </w:tcPr>
          <w:p w14:paraId="67E608A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033E8A6" w14:textId="2847DC9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271109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595C9B5" w14:textId="62931906"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E67D47B" w14:textId="5841565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04F679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البلاغات واستخدامها لتحسين جودة الرعاية</w:t>
            </w:r>
            <w:r w:rsidRPr="00D24D70">
              <w:rPr>
                <w:rFonts w:ascii="Traditional Arabic" w:hAnsi="Traditional Arabic" w:cs="Traditional Arabic" w:hint="cs"/>
                <w:sz w:val="20"/>
                <w:szCs w:val="20"/>
              </w:rPr>
              <w:t>.</w:t>
            </w:r>
          </w:p>
        </w:tc>
        <w:tc>
          <w:tcPr>
            <w:tcW w:w="0" w:type="auto"/>
          </w:tcPr>
          <w:p w14:paraId="540BBA44" w14:textId="4CB4BD32"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48</w:t>
            </w:r>
          </w:p>
        </w:tc>
      </w:tr>
      <w:tr w:rsidR="007052C7" w:rsidRPr="00D24D70" w14:paraId="7B29A7A3" w14:textId="60F5AD8D" w:rsidTr="000C3448">
        <w:trPr>
          <w:tblCellSpacing w:w="20" w:type="dxa"/>
          <w:jc w:val="right"/>
        </w:trPr>
        <w:tc>
          <w:tcPr>
            <w:tcW w:w="0" w:type="auto"/>
          </w:tcPr>
          <w:p w14:paraId="01297BD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4D561D3" w14:textId="7EE70EA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916A57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56B664D" w14:textId="6696DE2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4408E4A" w14:textId="7AF20F4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B9F591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إشراك المرضى في اتخاذ القرارات المتعلقة بعلاجهم</w:t>
            </w:r>
            <w:r w:rsidRPr="00D24D70">
              <w:rPr>
                <w:rFonts w:ascii="Traditional Arabic" w:hAnsi="Traditional Arabic" w:cs="Traditional Arabic" w:hint="cs"/>
                <w:sz w:val="20"/>
                <w:szCs w:val="20"/>
              </w:rPr>
              <w:t>.</w:t>
            </w:r>
          </w:p>
        </w:tc>
        <w:tc>
          <w:tcPr>
            <w:tcW w:w="0" w:type="auto"/>
          </w:tcPr>
          <w:p w14:paraId="4C0FD4D0" w14:textId="2667AD34"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49</w:t>
            </w:r>
          </w:p>
        </w:tc>
      </w:tr>
      <w:tr w:rsidR="007052C7" w:rsidRPr="00D24D70" w14:paraId="16746041" w14:textId="1663FA32" w:rsidTr="000C3448">
        <w:trPr>
          <w:tblCellSpacing w:w="20" w:type="dxa"/>
          <w:jc w:val="right"/>
        </w:trPr>
        <w:tc>
          <w:tcPr>
            <w:tcW w:w="0" w:type="auto"/>
          </w:tcPr>
          <w:p w14:paraId="0785B3A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CCC8E34" w14:textId="2F811E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E782BA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81101B8" w14:textId="04D6502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7B99BB" w14:textId="0CB6072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3C5630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توعية المرضى بحقوقهم وواجباتهم داخل المنشأة</w:t>
            </w:r>
            <w:r w:rsidRPr="00D24D70">
              <w:rPr>
                <w:rFonts w:ascii="Traditional Arabic" w:hAnsi="Traditional Arabic" w:cs="Traditional Arabic" w:hint="cs"/>
                <w:sz w:val="20"/>
                <w:szCs w:val="20"/>
              </w:rPr>
              <w:t>.</w:t>
            </w:r>
          </w:p>
        </w:tc>
        <w:tc>
          <w:tcPr>
            <w:tcW w:w="0" w:type="auto"/>
          </w:tcPr>
          <w:p w14:paraId="14820059" w14:textId="46908712"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50</w:t>
            </w:r>
          </w:p>
        </w:tc>
      </w:tr>
      <w:tr w:rsidR="007052C7" w:rsidRPr="00D24D70" w14:paraId="4AD287A2" w14:textId="5A5401F0" w:rsidTr="000C3448">
        <w:trPr>
          <w:tblCellSpacing w:w="20" w:type="dxa"/>
          <w:jc w:val="right"/>
        </w:trPr>
        <w:tc>
          <w:tcPr>
            <w:tcW w:w="0" w:type="auto"/>
          </w:tcPr>
          <w:p w14:paraId="5CD58A5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8D294AE" w14:textId="2F4A9F7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19E808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9D6240" w14:textId="2330239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5CEF369" w14:textId="540BA5D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F5CEBE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تشجيع المرضى على الإبلاغ عن أي خلل في الرعاية المقدمة</w:t>
            </w:r>
            <w:r w:rsidRPr="00D24D70">
              <w:rPr>
                <w:rFonts w:ascii="Traditional Arabic" w:hAnsi="Traditional Arabic" w:cs="Traditional Arabic" w:hint="cs"/>
                <w:sz w:val="20"/>
                <w:szCs w:val="20"/>
              </w:rPr>
              <w:t>.</w:t>
            </w:r>
          </w:p>
        </w:tc>
        <w:tc>
          <w:tcPr>
            <w:tcW w:w="0" w:type="auto"/>
          </w:tcPr>
          <w:p w14:paraId="63DB4973" w14:textId="14BF1E1E"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51</w:t>
            </w:r>
          </w:p>
        </w:tc>
      </w:tr>
      <w:tr w:rsidR="007052C7" w:rsidRPr="00D24D70" w14:paraId="1CA54B6C" w14:textId="6E9DA4E1" w:rsidTr="000C3448">
        <w:trPr>
          <w:tblCellSpacing w:w="20" w:type="dxa"/>
          <w:jc w:val="right"/>
        </w:trPr>
        <w:tc>
          <w:tcPr>
            <w:tcW w:w="0" w:type="auto"/>
          </w:tcPr>
          <w:p w14:paraId="4A1D9B1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B9B1FEF" w14:textId="0728FA7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24D57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AA2AB8" w14:textId="08B4653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03598A7" w14:textId="4DD1D37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32E274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أخذ ملاحظات المرضى بعين الاعتبار لتحسين الخدمة</w:t>
            </w:r>
            <w:r w:rsidRPr="00D24D70">
              <w:rPr>
                <w:rFonts w:ascii="Traditional Arabic" w:hAnsi="Traditional Arabic" w:cs="Traditional Arabic" w:hint="cs"/>
                <w:sz w:val="20"/>
                <w:szCs w:val="20"/>
              </w:rPr>
              <w:t>.</w:t>
            </w:r>
          </w:p>
        </w:tc>
        <w:tc>
          <w:tcPr>
            <w:tcW w:w="0" w:type="auto"/>
          </w:tcPr>
          <w:p w14:paraId="30CB3F5B" w14:textId="44429DCE"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52</w:t>
            </w:r>
          </w:p>
        </w:tc>
      </w:tr>
      <w:tr w:rsidR="007052C7" w:rsidRPr="00D24D70" w14:paraId="1F3AA635" w14:textId="004A4407" w:rsidTr="000C3448">
        <w:trPr>
          <w:tblCellSpacing w:w="20" w:type="dxa"/>
          <w:jc w:val="right"/>
        </w:trPr>
        <w:tc>
          <w:tcPr>
            <w:tcW w:w="0" w:type="auto"/>
          </w:tcPr>
          <w:p w14:paraId="6F28B61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480EAB" w14:textId="6CD2D45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F677E9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34AD2D1" w14:textId="751DEE3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886965C" w14:textId="7CF2538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E43199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توفير بيئة عمل آمنة للعاملين والمرضى على حد سواء</w:t>
            </w:r>
            <w:r w:rsidRPr="00D24D70">
              <w:rPr>
                <w:rFonts w:ascii="Traditional Arabic" w:hAnsi="Traditional Arabic" w:cs="Traditional Arabic" w:hint="cs"/>
                <w:sz w:val="20"/>
                <w:szCs w:val="20"/>
              </w:rPr>
              <w:t>.</w:t>
            </w:r>
          </w:p>
        </w:tc>
        <w:tc>
          <w:tcPr>
            <w:tcW w:w="0" w:type="auto"/>
          </w:tcPr>
          <w:p w14:paraId="3C207C56" w14:textId="5F138398"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53</w:t>
            </w:r>
          </w:p>
        </w:tc>
      </w:tr>
      <w:tr w:rsidR="007052C7" w:rsidRPr="00D24D70" w14:paraId="03BA4B94" w14:textId="454EC722" w:rsidTr="000C3448">
        <w:trPr>
          <w:tblCellSpacing w:w="20" w:type="dxa"/>
          <w:jc w:val="right"/>
        </w:trPr>
        <w:tc>
          <w:tcPr>
            <w:tcW w:w="0" w:type="auto"/>
          </w:tcPr>
          <w:p w14:paraId="589CD98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A273C64" w14:textId="07DD875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E448C5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06F0A2" w14:textId="606FC00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D4A453A" w14:textId="36124F2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54E9BC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معايير السلامة المهنية داخل المنشأة</w:t>
            </w:r>
            <w:r w:rsidRPr="00D24D70">
              <w:rPr>
                <w:rFonts w:ascii="Traditional Arabic" w:hAnsi="Traditional Arabic" w:cs="Traditional Arabic" w:hint="cs"/>
                <w:sz w:val="20"/>
                <w:szCs w:val="20"/>
              </w:rPr>
              <w:t>.</w:t>
            </w:r>
          </w:p>
        </w:tc>
        <w:tc>
          <w:tcPr>
            <w:tcW w:w="0" w:type="auto"/>
          </w:tcPr>
          <w:p w14:paraId="7A3A4E0C" w14:textId="0B8ACDA7"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54</w:t>
            </w:r>
          </w:p>
        </w:tc>
      </w:tr>
      <w:tr w:rsidR="007052C7" w:rsidRPr="00D24D70" w14:paraId="6232E1E6" w14:textId="29D11560" w:rsidTr="000C3448">
        <w:trPr>
          <w:tblCellSpacing w:w="20" w:type="dxa"/>
          <w:jc w:val="right"/>
        </w:trPr>
        <w:tc>
          <w:tcPr>
            <w:tcW w:w="0" w:type="auto"/>
          </w:tcPr>
          <w:p w14:paraId="0B54227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7C4174" w14:textId="14513B1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9E7D39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CF22809" w14:textId="76C9A2E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F6AEC0" w14:textId="23B42FD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9AA82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صيانة الأجهزة الطبية بشكل دوري لضمان سلامتها</w:t>
            </w:r>
            <w:r w:rsidRPr="00D24D70">
              <w:rPr>
                <w:rFonts w:ascii="Traditional Arabic" w:hAnsi="Traditional Arabic" w:cs="Traditional Arabic" w:hint="cs"/>
                <w:sz w:val="20"/>
                <w:szCs w:val="20"/>
              </w:rPr>
              <w:t>.</w:t>
            </w:r>
          </w:p>
        </w:tc>
        <w:tc>
          <w:tcPr>
            <w:tcW w:w="0" w:type="auto"/>
          </w:tcPr>
          <w:p w14:paraId="552DD6D2" w14:textId="0C4414CD"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55</w:t>
            </w:r>
          </w:p>
        </w:tc>
      </w:tr>
      <w:tr w:rsidR="007052C7" w:rsidRPr="00D24D70" w14:paraId="7D1E347E" w14:textId="5A97130D" w:rsidTr="000C3448">
        <w:trPr>
          <w:tblCellSpacing w:w="20" w:type="dxa"/>
          <w:jc w:val="right"/>
        </w:trPr>
        <w:tc>
          <w:tcPr>
            <w:tcW w:w="0" w:type="auto"/>
          </w:tcPr>
          <w:p w14:paraId="094E73F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E8670D2" w14:textId="35BC066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6A301E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51111B1" w14:textId="3DACF02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AE084AD" w14:textId="4FBFF5D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4E9E5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تقليل عوامل الإجهاد والتوتر في بيئة العمل</w:t>
            </w:r>
            <w:r w:rsidRPr="00D24D70">
              <w:rPr>
                <w:rFonts w:ascii="Traditional Arabic" w:hAnsi="Traditional Arabic" w:cs="Traditional Arabic" w:hint="cs"/>
                <w:sz w:val="20"/>
                <w:szCs w:val="20"/>
              </w:rPr>
              <w:t>.</w:t>
            </w:r>
          </w:p>
        </w:tc>
        <w:tc>
          <w:tcPr>
            <w:tcW w:w="0" w:type="auto"/>
          </w:tcPr>
          <w:p w14:paraId="70C2AE9D" w14:textId="3B2DB92B"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56</w:t>
            </w:r>
          </w:p>
        </w:tc>
      </w:tr>
      <w:tr w:rsidR="007052C7" w:rsidRPr="00D24D70" w14:paraId="6F803026" w14:textId="77B1B584" w:rsidTr="000C3448">
        <w:trPr>
          <w:tblCellSpacing w:w="20" w:type="dxa"/>
          <w:jc w:val="right"/>
        </w:trPr>
        <w:tc>
          <w:tcPr>
            <w:tcW w:w="0" w:type="auto"/>
          </w:tcPr>
          <w:p w14:paraId="629FB68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52F5830" w14:textId="21C3765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456FD8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43C66C6" w14:textId="668CDE0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C3FA933" w14:textId="62CA556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14AD954"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تقديم الرعاية السريرية وفقًا لأحدث البروتوكولات الطبية</w:t>
            </w:r>
            <w:r w:rsidRPr="00D24D70">
              <w:rPr>
                <w:rFonts w:ascii="Traditional Arabic" w:hAnsi="Traditional Arabic" w:cs="Traditional Arabic" w:hint="cs"/>
                <w:sz w:val="20"/>
                <w:szCs w:val="20"/>
              </w:rPr>
              <w:t>.</w:t>
            </w:r>
          </w:p>
        </w:tc>
        <w:tc>
          <w:tcPr>
            <w:tcW w:w="0" w:type="auto"/>
          </w:tcPr>
          <w:p w14:paraId="778D8C26" w14:textId="0AB8C355"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57</w:t>
            </w:r>
          </w:p>
        </w:tc>
      </w:tr>
      <w:tr w:rsidR="007052C7" w:rsidRPr="00D24D70" w14:paraId="3F4CDF75" w14:textId="0C46901C" w:rsidTr="000C3448">
        <w:trPr>
          <w:tblCellSpacing w:w="20" w:type="dxa"/>
          <w:jc w:val="right"/>
        </w:trPr>
        <w:tc>
          <w:tcPr>
            <w:tcW w:w="0" w:type="auto"/>
          </w:tcPr>
          <w:p w14:paraId="60FA355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55CB109" w14:textId="242956F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00A46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3C40A55" w14:textId="5848366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2CD2157" w14:textId="31506B9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284E4DF"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تقييم جودة الرعاية السريرية بشكل دوري</w:t>
            </w:r>
            <w:r w:rsidRPr="00D24D70">
              <w:rPr>
                <w:rFonts w:ascii="Traditional Arabic" w:hAnsi="Traditional Arabic" w:cs="Traditional Arabic" w:hint="cs"/>
                <w:sz w:val="20"/>
                <w:szCs w:val="20"/>
              </w:rPr>
              <w:t>.</w:t>
            </w:r>
          </w:p>
        </w:tc>
        <w:tc>
          <w:tcPr>
            <w:tcW w:w="0" w:type="auto"/>
          </w:tcPr>
          <w:p w14:paraId="0A1330DB" w14:textId="0956A75D"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58</w:t>
            </w:r>
          </w:p>
        </w:tc>
      </w:tr>
      <w:tr w:rsidR="007052C7" w:rsidRPr="00D24D70" w14:paraId="34B1F576" w14:textId="1D45FB41" w:rsidTr="000C3448">
        <w:trPr>
          <w:tblCellSpacing w:w="20" w:type="dxa"/>
          <w:jc w:val="right"/>
        </w:trPr>
        <w:tc>
          <w:tcPr>
            <w:tcW w:w="0" w:type="auto"/>
          </w:tcPr>
          <w:p w14:paraId="3B1B46E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2D201F1" w14:textId="79DD553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DA13E4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32557F0" w14:textId="23AEC54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AB40CB" w14:textId="53A4147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6E184D7"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تدريب العاملين على المهارات السريرية الحديثة</w:t>
            </w:r>
            <w:r w:rsidRPr="00D24D70">
              <w:rPr>
                <w:rFonts w:ascii="Traditional Arabic" w:hAnsi="Traditional Arabic" w:cs="Traditional Arabic" w:hint="cs"/>
                <w:sz w:val="20"/>
                <w:szCs w:val="20"/>
              </w:rPr>
              <w:t>.</w:t>
            </w:r>
          </w:p>
        </w:tc>
        <w:tc>
          <w:tcPr>
            <w:tcW w:w="0" w:type="auto"/>
          </w:tcPr>
          <w:p w14:paraId="20C4C136" w14:textId="512D1C49"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59</w:t>
            </w:r>
          </w:p>
        </w:tc>
      </w:tr>
      <w:tr w:rsidR="007052C7" w:rsidRPr="00D24D70" w14:paraId="7B167216" w14:textId="3734EADE" w:rsidTr="000C3448">
        <w:trPr>
          <w:tblCellSpacing w:w="20" w:type="dxa"/>
          <w:jc w:val="right"/>
        </w:trPr>
        <w:tc>
          <w:tcPr>
            <w:tcW w:w="0" w:type="auto"/>
          </w:tcPr>
          <w:p w14:paraId="4100D5B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C45B4A6" w14:textId="207B9B4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300E0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22830A" w14:textId="3DDF582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09E1F0" w14:textId="6FA18D0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2D7CB7"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متابعة نتائج العلاج لضمان فعاليته وسلامة المرضى</w:t>
            </w:r>
            <w:r w:rsidRPr="00D24D70">
              <w:rPr>
                <w:rFonts w:ascii="Traditional Arabic" w:hAnsi="Traditional Arabic" w:cs="Traditional Arabic" w:hint="cs"/>
                <w:sz w:val="20"/>
                <w:szCs w:val="20"/>
              </w:rPr>
              <w:t>.</w:t>
            </w:r>
          </w:p>
        </w:tc>
        <w:tc>
          <w:tcPr>
            <w:tcW w:w="0" w:type="auto"/>
          </w:tcPr>
          <w:p w14:paraId="04230D9C" w14:textId="687BBCF9"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60</w:t>
            </w:r>
          </w:p>
        </w:tc>
      </w:tr>
    </w:tbl>
    <w:p w14:paraId="6982E9FC" w14:textId="77777777" w:rsidR="00CE6B3B" w:rsidRPr="00222D90" w:rsidRDefault="00CE6B3B" w:rsidP="00222D90">
      <w:pPr>
        <w:bidi/>
        <w:rPr>
          <w:rtl/>
        </w:rPr>
      </w:pPr>
    </w:p>
    <w:p w14:paraId="67391606" w14:textId="77777777" w:rsidR="00602103" w:rsidRPr="00CE6B3B" w:rsidRDefault="00602103" w:rsidP="00300EB7">
      <w:pPr>
        <w:spacing w:after="200" w:line="360" w:lineRule="auto"/>
        <w:rPr>
          <w:rFonts w:ascii="Traditional Arabic" w:eastAsia="Calibri" w:hAnsi="Traditional Arabic" w:cs="Traditional Arabic"/>
          <w:b/>
          <w:bCs/>
          <w:sz w:val="24"/>
          <w:szCs w:val="24"/>
        </w:rPr>
      </w:pPr>
    </w:p>
    <w:sectPr w:rsidR="00602103" w:rsidRPr="00CE6B3B" w:rsidSect="006F5AFF">
      <w:headerReference w:type="default" r:id="rId70"/>
      <w:footerReference w:type="default" r:id="rId7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66"/>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56EF94" w14:textId="77777777" w:rsidR="00900422" w:rsidRDefault="00900422" w:rsidP="00F628F0">
      <w:pPr>
        <w:spacing w:after="0" w:line="240" w:lineRule="auto"/>
      </w:pPr>
      <w:r>
        <w:separator/>
      </w:r>
    </w:p>
  </w:endnote>
  <w:endnote w:type="continuationSeparator" w:id="0">
    <w:p w14:paraId="4F7D4D71" w14:textId="77777777" w:rsidR="00900422" w:rsidRDefault="0090042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Gothic UI Semilight">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9716C0" w14:textId="585A7128" w:rsidR="00EB5DC9" w:rsidRDefault="00EB5DC9">
    <w:pPr>
      <w:pStyle w:val="Footer"/>
      <w:jc w:val="center"/>
    </w:pPr>
  </w:p>
  <w:p w14:paraId="644AB2C2" w14:textId="41C16045" w:rsidR="00883E09" w:rsidRPr="00883E09" w:rsidRDefault="00883E09" w:rsidP="00883E09">
    <w:pPr>
      <w:pStyle w:val="Footer"/>
      <w:bidi/>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B771E3" w14:textId="743C552A" w:rsidR="00EB5DC9" w:rsidRDefault="00EB5DC9">
    <w:pPr>
      <w:pStyle w:val="Footer"/>
      <w:jc w:val="center"/>
    </w:pPr>
  </w:p>
  <w:p w14:paraId="4E98DDAB" w14:textId="77777777" w:rsidR="00EB5DC9" w:rsidRPr="00883E09" w:rsidRDefault="00EB5DC9" w:rsidP="00883E09">
    <w:pPr>
      <w:pStyle w:val="Footer"/>
      <w:bidi/>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10548147"/>
      <w:docPartObj>
        <w:docPartGallery w:val="Page Numbers (Bottom of Page)"/>
        <w:docPartUnique/>
      </w:docPartObj>
    </w:sdtPr>
    <w:sdtEndPr>
      <w:rPr>
        <w:noProof/>
      </w:rPr>
    </w:sdtEndPr>
    <w:sdtContent>
      <w:p w14:paraId="558DCF30" w14:textId="00905FDC" w:rsidR="00EB5DC9" w:rsidRDefault="00EB5D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23CEE" w14:textId="77777777" w:rsidR="00EB5DC9" w:rsidRPr="00883E09" w:rsidRDefault="00EB5DC9" w:rsidP="00883E09">
    <w:pPr>
      <w:pStyle w:val="Footer"/>
      <w:bidi/>
      <w:rPr>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25D6EB" w14:textId="63FE22DF" w:rsidR="004C51B2" w:rsidRDefault="004C51B2">
    <w:pPr>
      <w:pStyle w:val="Footer"/>
      <w:jc w:val="center"/>
    </w:pPr>
  </w:p>
  <w:p w14:paraId="5BB2B595" w14:textId="77777777" w:rsidR="004C51B2" w:rsidRPr="00883E09" w:rsidRDefault="004C51B2" w:rsidP="00883E09">
    <w:pPr>
      <w:pStyle w:val="Footer"/>
      <w:bidi/>
      <w:rPr>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24661515"/>
      <w:docPartObj>
        <w:docPartGallery w:val="Page Numbers (Bottom of Page)"/>
        <w:docPartUnique/>
      </w:docPartObj>
    </w:sdtPr>
    <w:sdtEndPr>
      <w:rPr>
        <w:noProof/>
      </w:rPr>
    </w:sdtEndPr>
    <w:sdtContent>
      <w:p w14:paraId="690C818B" w14:textId="77777777" w:rsidR="004C51B2" w:rsidRDefault="004C51B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1FD29C7F" w14:textId="77777777" w:rsidR="004C51B2" w:rsidRDefault="004C51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476B55" w14:textId="77777777" w:rsidR="00C31C4E" w:rsidRDefault="00C31C4E" w:rsidP="00D63875">
    <w:pPr>
      <w:pStyle w:val="Footer"/>
      <w:jc w:val="center"/>
      <w:rPr>
        <w:lang w:bidi="ar-EG"/>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37877704"/>
      <w:docPartObj>
        <w:docPartGallery w:val="Page Numbers (Bottom of Page)"/>
        <w:docPartUnique/>
      </w:docPartObj>
    </w:sdtPr>
    <w:sdtEndPr>
      <w:rPr>
        <w:noProof/>
      </w:rPr>
    </w:sdtEndPr>
    <w:sdtContent>
      <w:p w14:paraId="7B1424D8" w14:textId="0BA1ED3C" w:rsidR="00037C69" w:rsidRDefault="00037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D16F1" w14:textId="77777777" w:rsidR="00D63875" w:rsidRDefault="00D63875" w:rsidP="00D63875">
    <w:pPr>
      <w:pStyle w:val="Footer"/>
      <w:jc w:val="center"/>
      <w:rPr>
        <w:lang w:bidi="ar-EG"/>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37101866"/>
      <w:docPartObj>
        <w:docPartGallery w:val="Page Numbers (Bottom of Page)"/>
        <w:docPartUnique/>
      </w:docPartObj>
    </w:sdtPr>
    <w:sdtEndPr>
      <w:rPr>
        <w:noProof/>
      </w:rPr>
    </w:sdtEndPr>
    <w:sdtContent>
      <w:p w14:paraId="05982249" w14:textId="5757CB3F" w:rsidR="00037C69" w:rsidRDefault="00037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B8DDA" w14:textId="77777777" w:rsidR="00D63875" w:rsidRPr="00883E09" w:rsidRDefault="00D63875" w:rsidP="008A1EFB">
    <w:pPr>
      <w:pStyle w:val="Footer"/>
      <w:bidi/>
      <w:jc w:val="center"/>
      <w:rPr>
        <w:sz w:val="24"/>
        <w:szCs w:val="24"/>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368D0F" w14:textId="310D4F10" w:rsidR="003B1A00" w:rsidRDefault="003B1A00">
    <w:pPr>
      <w:pStyle w:val="Footer"/>
      <w:jc w:val="center"/>
    </w:pPr>
  </w:p>
  <w:p w14:paraId="721AA821" w14:textId="77777777" w:rsidR="003B1A00" w:rsidRDefault="003B1A00" w:rsidP="00C31C4E">
    <w:pPr>
      <w:pStyle w:val="Footer"/>
      <w:rPr>
        <w:lang w:bidi="ar-EG"/>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35369041"/>
      <w:docPartObj>
        <w:docPartGallery w:val="Page Numbers (Bottom of Page)"/>
        <w:docPartUnique/>
      </w:docPartObj>
    </w:sdtPr>
    <w:sdtEndPr>
      <w:rPr>
        <w:noProof/>
      </w:rPr>
    </w:sdtEndPr>
    <w:sdtContent>
      <w:p w14:paraId="6E7CC5ED" w14:textId="77777777" w:rsidR="003B1A00" w:rsidRDefault="003B1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21107" w14:textId="77777777" w:rsidR="003B1A00" w:rsidRDefault="003B1A00" w:rsidP="00C31C4E">
    <w:pPr>
      <w:pStyle w:val="Footer"/>
      <w:rPr>
        <w:lang w:bidi="ar-EG"/>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E36C66" w14:textId="3064A17E" w:rsidR="00292E94" w:rsidRDefault="00292E94">
    <w:pPr>
      <w:pStyle w:val="Footer"/>
      <w:jc w:val="center"/>
    </w:pPr>
  </w:p>
  <w:p w14:paraId="19C273BC" w14:textId="77777777" w:rsidR="00292E94" w:rsidRDefault="00292E94" w:rsidP="00C31C4E">
    <w:pPr>
      <w:pStyle w:val="Footer"/>
      <w:rPr>
        <w:lang w:bidi="ar-EG"/>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0153491"/>
      <w:docPartObj>
        <w:docPartGallery w:val="Page Numbers (Bottom of Page)"/>
        <w:docPartUnique/>
      </w:docPartObj>
    </w:sdtPr>
    <w:sdtEndPr>
      <w:rPr>
        <w:noProof/>
      </w:rPr>
    </w:sdtEndPr>
    <w:sdtContent>
      <w:p w14:paraId="37D46732" w14:textId="20191D33" w:rsidR="00292E94" w:rsidRDefault="00292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960BC" w14:textId="77777777" w:rsidR="00292E94" w:rsidRDefault="00292E94" w:rsidP="00C31C4E">
    <w:pPr>
      <w:pStyle w:val="Footer"/>
      <w:rPr>
        <w:lang w:bidi="ar-EG"/>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0AFCC6" w14:textId="77777777" w:rsidR="00CD254D" w:rsidRDefault="00CD254D" w:rsidP="00C31C4E">
    <w:pPr>
      <w:pStyle w:val="Footer"/>
      <w:rPr>
        <w:lang w:bidi="ar-EG"/>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29202484"/>
      <w:docPartObj>
        <w:docPartGallery w:val="Page Numbers (Bottom of Page)"/>
        <w:docPartUnique/>
      </w:docPartObj>
    </w:sdtPr>
    <w:sdtEndPr>
      <w:rPr>
        <w:noProof/>
      </w:rPr>
    </w:sdtEndPr>
    <w:sdtContent>
      <w:p w14:paraId="36EA59CC" w14:textId="3FED6ECA" w:rsidR="00CD254D" w:rsidRDefault="00CD25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3DB7DA" w14:textId="77777777" w:rsidR="00CD254D" w:rsidRDefault="00CD254D" w:rsidP="00C31C4E">
    <w:pPr>
      <w:pStyle w:val="Footer"/>
      <w:rPr>
        <w:lang w:bidi="ar-EG"/>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E72E8E" w14:textId="580B8C9E" w:rsidR="00674C3E" w:rsidRDefault="00674C3E">
    <w:pPr>
      <w:pStyle w:val="Footer"/>
      <w:jc w:val="center"/>
    </w:pPr>
  </w:p>
  <w:p w14:paraId="74F1D34D" w14:textId="77777777" w:rsidR="00674C3E" w:rsidRDefault="00674C3E" w:rsidP="00C31C4E">
    <w:pPr>
      <w:pStyle w:val="Footer"/>
      <w:rPr>
        <w:lang w:bidi="ar-EG"/>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22491308"/>
      <w:docPartObj>
        <w:docPartGallery w:val="Page Numbers (Bottom of Page)"/>
        <w:docPartUnique/>
      </w:docPartObj>
    </w:sdtPr>
    <w:sdtEndPr>
      <w:rPr>
        <w:noProof/>
      </w:rPr>
    </w:sdtEndPr>
    <w:sdtContent>
      <w:p w14:paraId="44B679BA" w14:textId="26D21527" w:rsidR="00746C75" w:rsidRDefault="00746C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AB516D" w14:textId="77777777" w:rsidR="00746C75" w:rsidRDefault="00746C75" w:rsidP="00C31C4E">
    <w:pPr>
      <w:pStyle w:val="Footer"/>
      <w:rPr>
        <w:lang w:bidi="ar-EG"/>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9290BF" w14:textId="7A73E2A6" w:rsidR="00A77E86" w:rsidRDefault="00A77E86">
    <w:pPr>
      <w:pStyle w:val="Footer"/>
      <w:jc w:val="center"/>
    </w:pPr>
  </w:p>
  <w:p w14:paraId="65C7DDC1" w14:textId="77777777" w:rsidR="00A77E86" w:rsidRDefault="00A77E86" w:rsidP="00C31C4E">
    <w:pPr>
      <w:pStyle w:val="Footer"/>
      <w:rPr>
        <w:lang w:bidi="ar-EG"/>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45637650"/>
      <w:docPartObj>
        <w:docPartGallery w:val="Page Numbers (Bottom of Page)"/>
        <w:docPartUnique/>
      </w:docPartObj>
    </w:sdtPr>
    <w:sdtEndPr>
      <w:rPr>
        <w:noProof/>
      </w:rPr>
    </w:sdtEndPr>
    <w:sdtContent>
      <w:p w14:paraId="6F2C903B" w14:textId="77777777" w:rsidR="00A77E86" w:rsidRDefault="00A77E86" w:rsidP="004E22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A62265" w14:textId="77777777" w:rsidR="00A77E86" w:rsidRDefault="00A77E86" w:rsidP="00C31C4E">
    <w:pPr>
      <w:pStyle w:val="Footer"/>
      <w:rPr>
        <w:lang w:bidi="ar-EG"/>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62EB55" w14:textId="4E82BBD5" w:rsidR="004E223C" w:rsidRDefault="004E223C" w:rsidP="004E223C">
    <w:pPr>
      <w:pStyle w:val="Footer"/>
      <w:jc w:val="center"/>
    </w:pPr>
  </w:p>
  <w:p w14:paraId="3BEAD50D" w14:textId="77777777" w:rsidR="004E223C" w:rsidRDefault="004E223C" w:rsidP="00C31C4E">
    <w:pPr>
      <w:pStyle w:val="Footer"/>
      <w:rPr>
        <w:lang w:bidi="ar-EG"/>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78270757"/>
      <w:docPartObj>
        <w:docPartGallery w:val="Page Numbers (Bottom of Page)"/>
        <w:docPartUnique/>
      </w:docPartObj>
    </w:sdtPr>
    <w:sdtEndPr>
      <w:rPr>
        <w:noProof/>
      </w:rPr>
    </w:sdtEndPr>
    <w:sdtContent>
      <w:p w14:paraId="2A6DD60E" w14:textId="77777777" w:rsidR="00602103" w:rsidRDefault="006021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B99F77" w14:textId="77777777" w:rsidR="00602103" w:rsidRDefault="00602103" w:rsidP="00C31C4E">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75F70F" w14:textId="77777777" w:rsidR="00900422" w:rsidRDefault="00900422" w:rsidP="00F628F0">
      <w:pPr>
        <w:spacing w:after="0" w:line="240" w:lineRule="auto"/>
      </w:pPr>
      <w:r>
        <w:separator/>
      </w:r>
    </w:p>
  </w:footnote>
  <w:footnote w:type="continuationSeparator" w:id="0">
    <w:p w14:paraId="6D4B803A" w14:textId="77777777" w:rsidR="00900422" w:rsidRDefault="0090042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900422">
    <w:pPr>
      <w:pStyle w:val="Header"/>
    </w:pPr>
    <w:r>
      <w:rPr>
        <w:noProof/>
      </w:rPr>
      <w:pict w14:anchorId="427BA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8"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900422">
    <w:pPr>
      <w:pStyle w:val="Header"/>
    </w:pPr>
    <w:r>
      <w:rPr>
        <w:noProof/>
      </w:rPr>
      <w:pict w14:anchorId="4AEAED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3235C8" w:rsidRDefault="00900422">
        <w:pPr>
          <w:pStyle w:val="Header"/>
        </w:pPr>
        <w:r>
          <w:rPr>
            <w:noProof/>
          </w:rPr>
          <w:pict w14:anchorId="0EEFF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6"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F9B640" w14:textId="77777777" w:rsidR="002940F0" w:rsidRDefault="00900422">
    <w:pPr>
      <w:pStyle w:val="Header"/>
    </w:pPr>
    <w:r>
      <w:rPr>
        <w:noProof/>
      </w:rPr>
      <w:pict w14:anchorId="69A164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0;margin-top:0;width:415.2pt;height:182.4pt;z-index:-25164288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1C1E20"/>
    <w:multiLevelType w:val="hybridMultilevel"/>
    <w:tmpl w:val="CB88C7EA"/>
    <w:lvl w:ilvl="0" w:tplc="CE2C0E3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496969"/>
    <w:multiLevelType w:val="hybridMultilevel"/>
    <w:tmpl w:val="EDD6B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32535"/>
    <w:multiLevelType w:val="multilevel"/>
    <w:tmpl w:val="3B80E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65AEA"/>
    <w:multiLevelType w:val="multilevel"/>
    <w:tmpl w:val="3C00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90280"/>
    <w:multiLevelType w:val="multilevel"/>
    <w:tmpl w:val="0A2CA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727DE5"/>
    <w:multiLevelType w:val="hybridMultilevel"/>
    <w:tmpl w:val="84E0FACC"/>
    <w:lvl w:ilvl="0" w:tplc="9A96152E">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0C17BB6"/>
    <w:multiLevelType w:val="hybridMultilevel"/>
    <w:tmpl w:val="88E2D93C"/>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285C1D"/>
    <w:multiLevelType w:val="hybridMultilevel"/>
    <w:tmpl w:val="F68273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5E30FF"/>
    <w:multiLevelType w:val="hybridMultilevel"/>
    <w:tmpl w:val="12D837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EE4446"/>
    <w:multiLevelType w:val="hybridMultilevel"/>
    <w:tmpl w:val="AB4AB0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1B3C788E"/>
    <w:multiLevelType w:val="multilevel"/>
    <w:tmpl w:val="6B809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1D7EC3"/>
    <w:multiLevelType w:val="hybridMultilevel"/>
    <w:tmpl w:val="22DCB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3954BC"/>
    <w:multiLevelType w:val="multilevel"/>
    <w:tmpl w:val="E87C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256B1"/>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7070F0"/>
    <w:multiLevelType w:val="hybridMultilevel"/>
    <w:tmpl w:val="023ADA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3F7BB0"/>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7B7FCE"/>
    <w:multiLevelType w:val="hybridMultilevel"/>
    <w:tmpl w:val="5D6C7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5652FB"/>
    <w:multiLevelType w:val="multilevel"/>
    <w:tmpl w:val="66509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092562"/>
    <w:multiLevelType w:val="multilevel"/>
    <w:tmpl w:val="C1B4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15195"/>
    <w:multiLevelType w:val="multilevel"/>
    <w:tmpl w:val="3078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01C09"/>
    <w:multiLevelType w:val="hybridMultilevel"/>
    <w:tmpl w:val="5EBC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3869DE"/>
    <w:multiLevelType w:val="hybridMultilevel"/>
    <w:tmpl w:val="03E0ED9E"/>
    <w:lvl w:ilvl="0" w:tplc="0409000F">
      <w:start w:val="1"/>
      <w:numFmt w:val="decimal"/>
      <w:lvlText w:val="%1."/>
      <w:lvlJc w:val="left"/>
      <w:pPr>
        <w:ind w:left="720" w:hanging="360"/>
      </w:pPr>
    </w:lvl>
    <w:lvl w:ilvl="1" w:tplc="50487016">
      <w:start w:val="1"/>
      <w:numFmt w:val="arabicAlpha"/>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1708A9"/>
    <w:multiLevelType w:val="multilevel"/>
    <w:tmpl w:val="F15C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E93ADC"/>
    <w:multiLevelType w:val="hybridMultilevel"/>
    <w:tmpl w:val="94668066"/>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7B7E19"/>
    <w:multiLevelType w:val="hybridMultilevel"/>
    <w:tmpl w:val="A314C13E"/>
    <w:lvl w:ilvl="0" w:tplc="77D6C376">
      <w:start w:val="1"/>
      <w:numFmt w:val="bullet"/>
      <w:lvlText w:val="-"/>
      <w:lvlJc w:val="left"/>
      <w:pPr>
        <w:ind w:left="360" w:hanging="360"/>
      </w:pPr>
      <w:rPr>
        <w:rFonts w:ascii="Simplified Arabic" w:eastAsia="Calibri" w:hAnsi="Simplified Arabic"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8871D3B"/>
    <w:multiLevelType w:val="hybridMultilevel"/>
    <w:tmpl w:val="B2DE7B1A"/>
    <w:lvl w:ilvl="0" w:tplc="FFFFFFFF">
      <w:start w:val="1"/>
      <w:numFmt w:val="decimal"/>
      <w:lvlText w:val="%1."/>
      <w:lvlJc w:val="left"/>
      <w:pPr>
        <w:ind w:left="720" w:hanging="360"/>
      </w:pPr>
    </w:lvl>
    <w:lvl w:ilvl="1" w:tplc="50487016">
      <w:start w:val="1"/>
      <w:numFmt w:val="arabicAlpha"/>
      <w:lvlText w:val="%2."/>
      <w:lvlJc w:val="left"/>
      <w:pPr>
        <w:ind w:left="360" w:hanging="360"/>
      </w:pPr>
      <w:rPr>
        <w:rFonts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A5D06B0"/>
    <w:multiLevelType w:val="multilevel"/>
    <w:tmpl w:val="66E4A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570FE4"/>
    <w:multiLevelType w:val="multilevel"/>
    <w:tmpl w:val="B1C8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424820"/>
    <w:multiLevelType w:val="multilevel"/>
    <w:tmpl w:val="640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4E773F"/>
    <w:multiLevelType w:val="hybridMultilevel"/>
    <w:tmpl w:val="7602990C"/>
    <w:lvl w:ilvl="0" w:tplc="9E2C87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170261"/>
    <w:multiLevelType w:val="multilevel"/>
    <w:tmpl w:val="F7889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D57559"/>
    <w:multiLevelType w:val="multilevel"/>
    <w:tmpl w:val="67A2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412364"/>
    <w:multiLevelType w:val="hybridMultilevel"/>
    <w:tmpl w:val="6ABC1C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621CC2"/>
    <w:multiLevelType w:val="hybridMultilevel"/>
    <w:tmpl w:val="2F08A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A87811"/>
    <w:multiLevelType w:val="hybridMultilevel"/>
    <w:tmpl w:val="6FE89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5DA46FD"/>
    <w:multiLevelType w:val="hybridMultilevel"/>
    <w:tmpl w:val="5C2E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7334F8"/>
    <w:multiLevelType w:val="hybridMultilevel"/>
    <w:tmpl w:val="28D61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EA6EEE"/>
    <w:multiLevelType w:val="hybridMultilevel"/>
    <w:tmpl w:val="023AD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5B2F00"/>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E8583E"/>
    <w:multiLevelType w:val="multilevel"/>
    <w:tmpl w:val="B6BE1D6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A4F54B8"/>
    <w:multiLevelType w:val="hybridMultilevel"/>
    <w:tmpl w:val="1F3A675E"/>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3B30A4"/>
    <w:multiLevelType w:val="hybridMultilevel"/>
    <w:tmpl w:val="73B46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EC3390"/>
    <w:multiLevelType w:val="hybridMultilevel"/>
    <w:tmpl w:val="B9E4E80C"/>
    <w:lvl w:ilvl="0" w:tplc="77D6C376">
      <w:start w:val="1"/>
      <w:numFmt w:val="bullet"/>
      <w:lvlText w:val="-"/>
      <w:lvlJc w:val="left"/>
      <w:pPr>
        <w:ind w:left="1080" w:hanging="36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F2A703F"/>
    <w:multiLevelType w:val="hybridMultilevel"/>
    <w:tmpl w:val="C05884A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3478FB"/>
    <w:multiLevelType w:val="multilevel"/>
    <w:tmpl w:val="B6BE1D6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2631F5"/>
    <w:multiLevelType w:val="multilevel"/>
    <w:tmpl w:val="C3869A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080035"/>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F7A69"/>
    <w:multiLevelType w:val="hybridMultilevel"/>
    <w:tmpl w:val="D55E3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8E8378F"/>
    <w:multiLevelType w:val="hybridMultilevel"/>
    <w:tmpl w:val="3E329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9601F27"/>
    <w:multiLevelType w:val="multilevel"/>
    <w:tmpl w:val="B020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B27367"/>
    <w:multiLevelType w:val="hybridMultilevel"/>
    <w:tmpl w:val="A14A421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A3937B6"/>
    <w:multiLevelType w:val="hybridMultilevel"/>
    <w:tmpl w:val="AE8CE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724414">
    <w:abstractNumId w:val="2"/>
  </w:num>
  <w:num w:numId="2" w16cid:durableId="983699318">
    <w:abstractNumId w:val="22"/>
  </w:num>
  <w:num w:numId="3" w16cid:durableId="1349065945">
    <w:abstractNumId w:val="48"/>
  </w:num>
  <w:num w:numId="4" w16cid:durableId="1101070818">
    <w:abstractNumId w:val="1"/>
  </w:num>
  <w:num w:numId="5" w16cid:durableId="1688407917">
    <w:abstractNumId w:val="0"/>
  </w:num>
  <w:num w:numId="6" w16cid:durableId="513961817">
    <w:abstractNumId w:val="12"/>
  </w:num>
  <w:num w:numId="7" w16cid:durableId="1069309133">
    <w:abstractNumId w:val="35"/>
  </w:num>
  <w:num w:numId="8" w16cid:durableId="717627592">
    <w:abstractNumId w:val="21"/>
  </w:num>
  <w:num w:numId="9" w16cid:durableId="1551189597">
    <w:abstractNumId w:val="10"/>
  </w:num>
  <w:num w:numId="10" w16cid:durableId="834493570">
    <w:abstractNumId w:val="49"/>
  </w:num>
  <w:num w:numId="11" w16cid:durableId="1009603238">
    <w:abstractNumId w:val="42"/>
  </w:num>
  <w:num w:numId="12" w16cid:durableId="1545825969">
    <w:abstractNumId w:val="8"/>
  </w:num>
  <w:num w:numId="13" w16cid:durableId="659961319">
    <w:abstractNumId w:val="41"/>
  </w:num>
  <w:num w:numId="14" w16cid:durableId="712190732">
    <w:abstractNumId w:val="29"/>
  </w:num>
  <w:num w:numId="15" w16cid:durableId="363798810">
    <w:abstractNumId w:val="4"/>
  </w:num>
  <w:num w:numId="16" w16cid:durableId="530802685">
    <w:abstractNumId w:val="31"/>
  </w:num>
  <w:num w:numId="17" w16cid:durableId="242419173">
    <w:abstractNumId w:val="51"/>
  </w:num>
  <w:num w:numId="18" w16cid:durableId="389546894">
    <w:abstractNumId w:val="24"/>
  </w:num>
  <w:num w:numId="19" w16cid:durableId="266815641">
    <w:abstractNumId w:val="33"/>
  </w:num>
  <w:num w:numId="20" w16cid:durableId="1557469921">
    <w:abstractNumId w:val="34"/>
  </w:num>
  <w:num w:numId="21" w16cid:durableId="1780493159">
    <w:abstractNumId w:val="30"/>
  </w:num>
  <w:num w:numId="22" w16cid:durableId="1696617400">
    <w:abstractNumId w:val="11"/>
  </w:num>
  <w:num w:numId="23" w16cid:durableId="2033453431">
    <w:abstractNumId w:val="45"/>
  </w:num>
  <w:num w:numId="24" w16cid:durableId="860003">
    <w:abstractNumId w:val="36"/>
  </w:num>
  <w:num w:numId="25" w16cid:durableId="1938631365">
    <w:abstractNumId w:val="37"/>
  </w:num>
  <w:num w:numId="26" w16cid:durableId="2133355484">
    <w:abstractNumId w:val="9"/>
  </w:num>
  <w:num w:numId="27" w16cid:durableId="732310268">
    <w:abstractNumId w:val="18"/>
  </w:num>
  <w:num w:numId="28" w16cid:durableId="975449544">
    <w:abstractNumId w:val="5"/>
  </w:num>
  <w:num w:numId="29" w16cid:durableId="916668141">
    <w:abstractNumId w:val="16"/>
  </w:num>
  <w:num w:numId="30" w16cid:durableId="2111124067">
    <w:abstractNumId w:val="39"/>
  </w:num>
  <w:num w:numId="31" w16cid:durableId="1738281528">
    <w:abstractNumId w:val="28"/>
  </w:num>
  <w:num w:numId="32" w16cid:durableId="836305033">
    <w:abstractNumId w:val="23"/>
  </w:num>
  <w:num w:numId="33" w16cid:durableId="134878554">
    <w:abstractNumId w:val="14"/>
  </w:num>
  <w:num w:numId="34" w16cid:durableId="229342195">
    <w:abstractNumId w:val="47"/>
  </w:num>
  <w:num w:numId="35" w16cid:durableId="571694158">
    <w:abstractNumId w:val="19"/>
  </w:num>
  <w:num w:numId="36" w16cid:durableId="370303772">
    <w:abstractNumId w:val="46"/>
  </w:num>
  <w:num w:numId="37" w16cid:durableId="1070735824">
    <w:abstractNumId w:val="52"/>
  </w:num>
  <w:num w:numId="38" w16cid:durableId="1936356809">
    <w:abstractNumId w:val="20"/>
  </w:num>
  <w:num w:numId="39" w16cid:durableId="1771319478">
    <w:abstractNumId w:val="25"/>
  </w:num>
  <w:num w:numId="40" w16cid:durableId="637684359">
    <w:abstractNumId w:val="26"/>
  </w:num>
  <w:num w:numId="41" w16cid:durableId="258955324">
    <w:abstractNumId w:val="6"/>
  </w:num>
  <w:num w:numId="42" w16cid:durableId="726991917">
    <w:abstractNumId w:val="38"/>
  </w:num>
  <w:num w:numId="43" w16cid:durableId="115032000">
    <w:abstractNumId w:val="15"/>
  </w:num>
  <w:num w:numId="44" w16cid:durableId="765729250">
    <w:abstractNumId w:val="50"/>
  </w:num>
  <w:num w:numId="45" w16cid:durableId="40135801">
    <w:abstractNumId w:val="27"/>
  </w:num>
  <w:num w:numId="46" w16cid:durableId="1917006276">
    <w:abstractNumId w:val="44"/>
  </w:num>
  <w:num w:numId="47" w16cid:durableId="1390150327">
    <w:abstractNumId w:val="13"/>
  </w:num>
  <w:num w:numId="48" w16cid:durableId="206575022">
    <w:abstractNumId w:val="43"/>
  </w:num>
  <w:num w:numId="49" w16cid:durableId="1851485826">
    <w:abstractNumId w:val="3"/>
  </w:num>
  <w:num w:numId="50" w16cid:durableId="25756044">
    <w:abstractNumId w:val="40"/>
  </w:num>
  <w:num w:numId="51" w16cid:durableId="1867209488">
    <w:abstractNumId w:val="17"/>
  </w:num>
  <w:num w:numId="52" w16cid:durableId="895627935">
    <w:abstractNumId w:val="32"/>
  </w:num>
  <w:num w:numId="53" w16cid:durableId="17201457">
    <w:abstractNumId w:val="7"/>
  </w:num>
  <w:numIdMacAtCleanup w:val="4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F86"/>
    <w:rsid w:val="00002316"/>
    <w:rsid w:val="00004955"/>
    <w:rsid w:val="0000785F"/>
    <w:rsid w:val="00007F0C"/>
    <w:rsid w:val="00013604"/>
    <w:rsid w:val="00015F0D"/>
    <w:rsid w:val="000166BF"/>
    <w:rsid w:val="00020B89"/>
    <w:rsid w:val="0002288D"/>
    <w:rsid w:val="00027A34"/>
    <w:rsid w:val="00030DE3"/>
    <w:rsid w:val="000322E7"/>
    <w:rsid w:val="00033353"/>
    <w:rsid w:val="00037C69"/>
    <w:rsid w:val="000408F5"/>
    <w:rsid w:val="0004100F"/>
    <w:rsid w:val="0004496C"/>
    <w:rsid w:val="00044CFD"/>
    <w:rsid w:val="000454AC"/>
    <w:rsid w:val="00045738"/>
    <w:rsid w:val="00045767"/>
    <w:rsid w:val="00045CDA"/>
    <w:rsid w:val="00046558"/>
    <w:rsid w:val="0004697E"/>
    <w:rsid w:val="00046A3F"/>
    <w:rsid w:val="00056542"/>
    <w:rsid w:val="0005738A"/>
    <w:rsid w:val="00060931"/>
    <w:rsid w:val="00061A09"/>
    <w:rsid w:val="0006251E"/>
    <w:rsid w:val="00063B23"/>
    <w:rsid w:val="00065189"/>
    <w:rsid w:val="000657FB"/>
    <w:rsid w:val="00075E9C"/>
    <w:rsid w:val="0007622C"/>
    <w:rsid w:val="00076DA4"/>
    <w:rsid w:val="000776C1"/>
    <w:rsid w:val="00080B2E"/>
    <w:rsid w:val="00085B4F"/>
    <w:rsid w:val="00087385"/>
    <w:rsid w:val="00087AB4"/>
    <w:rsid w:val="00087E4F"/>
    <w:rsid w:val="00090009"/>
    <w:rsid w:val="000906DE"/>
    <w:rsid w:val="00090A9C"/>
    <w:rsid w:val="0009265B"/>
    <w:rsid w:val="000929CE"/>
    <w:rsid w:val="00092C24"/>
    <w:rsid w:val="000940A0"/>
    <w:rsid w:val="000A0C09"/>
    <w:rsid w:val="000A0D73"/>
    <w:rsid w:val="000A1D3E"/>
    <w:rsid w:val="000A1E46"/>
    <w:rsid w:val="000A2AC2"/>
    <w:rsid w:val="000A310D"/>
    <w:rsid w:val="000A49ED"/>
    <w:rsid w:val="000A749C"/>
    <w:rsid w:val="000A76D7"/>
    <w:rsid w:val="000B06A3"/>
    <w:rsid w:val="000B0B32"/>
    <w:rsid w:val="000B23A5"/>
    <w:rsid w:val="000B23B4"/>
    <w:rsid w:val="000B2699"/>
    <w:rsid w:val="000B537F"/>
    <w:rsid w:val="000B645F"/>
    <w:rsid w:val="000B706D"/>
    <w:rsid w:val="000B7762"/>
    <w:rsid w:val="000C039B"/>
    <w:rsid w:val="000C04F1"/>
    <w:rsid w:val="000C0ECA"/>
    <w:rsid w:val="000C106B"/>
    <w:rsid w:val="000C1499"/>
    <w:rsid w:val="000C3448"/>
    <w:rsid w:val="000C4D41"/>
    <w:rsid w:val="000C62A6"/>
    <w:rsid w:val="000C66CB"/>
    <w:rsid w:val="000D0869"/>
    <w:rsid w:val="000D1201"/>
    <w:rsid w:val="000D3EAE"/>
    <w:rsid w:val="000D5020"/>
    <w:rsid w:val="000D5131"/>
    <w:rsid w:val="000D57FC"/>
    <w:rsid w:val="000D690F"/>
    <w:rsid w:val="000D6CCA"/>
    <w:rsid w:val="000E1E97"/>
    <w:rsid w:val="000E23AB"/>
    <w:rsid w:val="000E27F6"/>
    <w:rsid w:val="000E3095"/>
    <w:rsid w:val="000E35F8"/>
    <w:rsid w:val="000E37BA"/>
    <w:rsid w:val="000E55D9"/>
    <w:rsid w:val="000E637E"/>
    <w:rsid w:val="000E6887"/>
    <w:rsid w:val="000E6E9F"/>
    <w:rsid w:val="000E70C2"/>
    <w:rsid w:val="000F0A0D"/>
    <w:rsid w:val="000F2B55"/>
    <w:rsid w:val="000F35E6"/>
    <w:rsid w:val="000F51D4"/>
    <w:rsid w:val="000F55C4"/>
    <w:rsid w:val="000F5925"/>
    <w:rsid w:val="000F661A"/>
    <w:rsid w:val="000F750F"/>
    <w:rsid w:val="000F7ABC"/>
    <w:rsid w:val="000F7C5D"/>
    <w:rsid w:val="000F7F04"/>
    <w:rsid w:val="00100562"/>
    <w:rsid w:val="00106AFB"/>
    <w:rsid w:val="00107B81"/>
    <w:rsid w:val="001101CF"/>
    <w:rsid w:val="00110665"/>
    <w:rsid w:val="00110989"/>
    <w:rsid w:val="0011126E"/>
    <w:rsid w:val="00111D24"/>
    <w:rsid w:val="0011206B"/>
    <w:rsid w:val="001122EE"/>
    <w:rsid w:val="00114404"/>
    <w:rsid w:val="00116AE4"/>
    <w:rsid w:val="00117CA1"/>
    <w:rsid w:val="00121548"/>
    <w:rsid w:val="0012492F"/>
    <w:rsid w:val="00126FB6"/>
    <w:rsid w:val="00130980"/>
    <w:rsid w:val="001319B9"/>
    <w:rsid w:val="00132355"/>
    <w:rsid w:val="00133362"/>
    <w:rsid w:val="001335DF"/>
    <w:rsid w:val="00137215"/>
    <w:rsid w:val="001407E6"/>
    <w:rsid w:val="00140C83"/>
    <w:rsid w:val="00141A3B"/>
    <w:rsid w:val="00142EED"/>
    <w:rsid w:val="00146303"/>
    <w:rsid w:val="00146945"/>
    <w:rsid w:val="00146CFE"/>
    <w:rsid w:val="00146D5F"/>
    <w:rsid w:val="001507D0"/>
    <w:rsid w:val="00151744"/>
    <w:rsid w:val="00151919"/>
    <w:rsid w:val="00151D30"/>
    <w:rsid w:val="00152104"/>
    <w:rsid w:val="001527AB"/>
    <w:rsid w:val="00153BD5"/>
    <w:rsid w:val="00154AF7"/>
    <w:rsid w:val="00156026"/>
    <w:rsid w:val="00156B08"/>
    <w:rsid w:val="00156EA9"/>
    <w:rsid w:val="00157EE7"/>
    <w:rsid w:val="001603EF"/>
    <w:rsid w:val="00161842"/>
    <w:rsid w:val="001618EF"/>
    <w:rsid w:val="001624C4"/>
    <w:rsid w:val="00163191"/>
    <w:rsid w:val="0016365B"/>
    <w:rsid w:val="001654CD"/>
    <w:rsid w:val="00166680"/>
    <w:rsid w:val="001709BA"/>
    <w:rsid w:val="00171150"/>
    <w:rsid w:val="001715F3"/>
    <w:rsid w:val="0017199F"/>
    <w:rsid w:val="0017327A"/>
    <w:rsid w:val="00174870"/>
    <w:rsid w:val="001762F4"/>
    <w:rsid w:val="0017645E"/>
    <w:rsid w:val="001771A4"/>
    <w:rsid w:val="00180799"/>
    <w:rsid w:val="00180A9B"/>
    <w:rsid w:val="001819FD"/>
    <w:rsid w:val="001826A3"/>
    <w:rsid w:val="00185F2C"/>
    <w:rsid w:val="00185F71"/>
    <w:rsid w:val="00187016"/>
    <w:rsid w:val="001915F2"/>
    <w:rsid w:val="0019188F"/>
    <w:rsid w:val="00191970"/>
    <w:rsid w:val="00193696"/>
    <w:rsid w:val="00193F62"/>
    <w:rsid w:val="00194F8B"/>
    <w:rsid w:val="00195226"/>
    <w:rsid w:val="001955FE"/>
    <w:rsid w:val="00195681"/>
    <w:rsid w:val="001A012D"/>
    <w:rsid w:val="001A2117"/>
    <w:rsid w:val="001A35AE"/>
    <w:rsid w:val="001A390A"/>
    <w:rsid w:val="001A5804"/>
    <w:rsid w:val="001A680C"/>
    <w:rsid w:val="001A68AA"/>
    <w:rsid w:val="001A6D31"/>
    <w:rsid w:val="001A6D49"/>
    <w:rsid w:val="001A7C88"/>
    <w:rsid w:val="001B28D4"/>
    <w:rsid w:val="001B4E85"/>
    <w:rsid w:val="001C01BE"/>
    <w:rsid w:val="001C02C8"/>
    <w:rsid w:val="001C0712"/>
    <w:rsid w:val="001C3D72"/>
    <w:rsid w:val="001C3DA0"/>
    <w:rsid w:val="001C426A"/>
    <w:rsid w:val="001C4D6E"/>
    <w:rsid w:val="001C5657"/>
    <w:rsid w:val="001C6D14"/>
    <w:rsid w:val="001C795C"/>
    <w:rsid w:val="001C7DB2"/>
    <w:rsid w:val="001D0C86"/>
    <w:rsid w:val="001D0F0C"/>
    <w:rsid w:val="001D11E5"/>
    <w:rsid w:val="001D1FD6"/>
    <w:rsid w:val="001D47AD"/>
    <w:rsid w:val="001D5B26"/>
    <w:rsid w:val="001D5EB4"/>
    <w:rsid w:val="001D772D"/>
    <w:rsid w:val="001E0DB6"/>
    <w:rsid w:val="001E1F64"/>
    <w:rsid w:val="001E252D"/>
    <w:rsid w:val="001E2574"/>
    <w:rsid w:val="001E2C71"/>
    <w:rsid w:val="001E32DF"/>
    <w:rsid w:val="001E3406"/>
    <w:rsid w:val="001F05BC"/>
    <w:rsid w:val="001F1CE9"/>
    <w:rsid w:val="001F4BA4"/>
    <w:rsid w:val="001F5242"/>
    <w:rsid w:val="001F55EC"/>
    <w:rsid w:val="001F72A1"/>
    <w:rsid w:val="001F7E9D"/>
    <w:rsid w:val="00201744"/>
    <w:rsid w:val="00202054"/>
    <w:rsid w:val="0020239B"/>
    <w:rsid w:val="00202668"/>
    <w:rsid w:val="00202713"/>
    <w:rsid w:val="00202FBE"/>
    <w:rsid w:val="00204AEE"/>
    <w:rsid w:val="00213216"/>
    <w:rsid w:val="0021352C"/>
    <w:rsid w:val="00215523"/>
    <w:rsid w:val="0021562A"/>
    <w:rsid w:val="002167A8"/>
    <w:rsid w:val="0022051E"/>
    <w:rsid w:val="00220E0D"/>
    <w:rsid w:val="00221631"/>
    <w:rsid w:val="00222468"/>
    <w:rsid w:val="00222D90"/>
    <w:rsid w:val="00223D15"/>
    <w:rsid w:val="00225B6F"/>
    <w:rsid w:val="00225F6E"/>
    <w:rsid w:val="002267E3"/>
    <w:rsid w:val="00226DEA"/>
    <w:rsid w:val="00231AB1"/>
    <w:rsid w:val="00232A16"/>
    <w:rsid w:val="0023492D"/>
    <w:rsid w:val="002376F7"/>
    <w:rsid w:val="00237BDF"/>
    <w:rsid w:val="0024045F"/>
    <w:rsid w:val="00244FC7"/>
    <w:rsid w:val="0024537B"/>
    <w:rsid w:val="00247B2B"/>
    <w:rsid w:val="00250CC6"/>
    <w:rsid w:val="00251580"/>
    <w:rsid w:val="002548F5"/>
    <w:rsid w:val="00255998"/>
    <w:rsid w:val="0025600C"/>
    <w:rsid w:val="0025705F"/>
    <w:rsid w:val="0025733B"/>
    <w:rsid w:val="00257F01"/>
    <w:rsid w:val="00260C64"/>
    <w:rsid w:val="002616CF"/>
    <w:rsid w:val="00261841"/>
    <w:rsid w:val="00262C3B"/>
    <w:rsid w:val="00263733"/>
    <w:rsid w:val="00263A72"/>
    <w:rsid w:val="00263F0F"/>
    <w:rsid w:val="0026403B"/>
    <w:rsid w:val="00264677"/>
    <w:rsid w:val="00264684"/>
    <w:rsid w:val="00265C31"/>
    <w:rsid w:val="00266487"/>
    <w:rsid w:val="00273E39"/>
    <w:rsid w:val="00274C5B"/>
    <w:rsid w:val="0027719F"/>
    <w:rsid w:val="002778AE"/>
    <w:rsid w:val="00277956"/>
    <w:rsid w:val="00280EFA"/>
    <w:rsid w:val="002820CC"/>
    <w:rsid w:val="00282E8A"/>
    <w:rsid w:val="00290DC2"/>
    <w:rsid w:val="00292189"/>
    <w:rsid w:val="00292659"/>
    <w:rsid w:val="00292E94"/>
    <w:rsid w:val="002940F0"/>
    <w:rsid w:val="00294CC1"/>
    <w:rsid w:val="00294D20"/>
    <w:rsid w:val="00294E45"/>
    <w:rsid w:val="00297399"/>
    <w:rsid w:val="00297B3D"/>
    <w:rsid w:val="002A113E"/>
    <w:rsid w:val="002A403A"/>
    <w:rsid w:val="002A434E"/>
    <w:rsid w:val="002A6565"/>
    <w:rsid w:val="002A76A7"/>
    <w:rsid w:val="002B1EBD"/>
    <w:rsid w:val="002B2F56"/>
    <w:rsid w:val="002B42E0"/>
    <w:rsid w:val="002B6043"/>
    <w:rsid w:val="002B6186"/>
    <w:rsid w:val="002B6766"/>
    <w:rsid w:val="002B6E46"/>
    <w:rsid w:val="002B6EE6"/>
    <w:rsid w:val="002B7450"/>
    <w:rsid w:val="002B74CB"/>
    <w:rsid w:val="002C0690"/>
    <w:rsid w:val="002C0813"/>
    <w:rsid w:val="002C0DA4"/>
    <w:rsid w:val="002C2285"/>
    <w:rsid w:val="002C38A2"/>
    <w:rsid w:val="002C40A4"/>
    <w:rsid w:val="002C51FD"/>
    <w:rsid w:val="002D019D"/>
    <w:rsid w:val="002D0E5B"/>
    <w:rsid w:val="002D1EC7"/>
    <w:rsid w:val="002D2ED0"/>
    <w:rsid w:val="002D3349"/>
    <w:rsid w:val="002D3BFD"/>
    <w:rsid w:val="002D5BF8"/>
    <w:rsid w:val="002D638C"/>
    <w:rsid w:val="002D68BB"/>
    <w:rsid w:val="002D73E8"/>
    <w:rsid w:val="002D7581"/>
    <w:rsid w:val="002E03CF"/>
    <w:rsid w:val="002E232C"/>
    <w:rsid w:val="002E43AD"/>
    <w:rsid w:val="002E515E"/>
    <w:rsid w:val="002E5D4E"/>
    <w:rsid w:val="002E7457"/>
    <w:rsid w:val="002F0ECF"/>
    <w:rsid w:val="002F0EEA"/>
    <w:rsid w:val="002F1E27"/>
    <w:rsid w:val="002F20A7"/>
    <w:rsid w:val="002F20B5"/>
    <w:rsid w:val="002F563E"/>
    <w:rsid w:val="002F7A16"/>
    <w:rsid w:val="002F7B6E"/>
    <w:rsid w:val="00300EB7"/>
    <w:rsid w:val="00302D8D"/>
    <w:rsid w:val="003037DC"/>
    <w:rsid w:val="0030383F"/>
    <w:rsid w:val="003101DA"/>
    <w:rsid w:val="0031128E"/>
    <w:rsid w:val="003165AF"/>
    <w:rsid w:val="00316776"/>
    <w:rsid w:val="003168A1"/>
    <w:rsid w:val="00320C2F"/>
    <w:rsid w:val="00320E2A"/>
    <w:rsid w:val="003223F2"/>
    <w:rsid w:val="00322838"/>
    <w:rsid w:val="00322A0D"/>
    <w:rsid w:val="00322CDE"/>
    <w:rsid w:val="003235C8"/>
    <w:rsid w:val="00324367"/>
    <w:rsid w:val="0032456E"/>
    <w:rsid w:val="0032534E"/>
    <w:rsid w:val="003254B7"/>
    <w:rsid w:val="003262E5"/>
    <w:rsid w:val="003263AB"/>
    <w:rsid w:val="00326F69"/>
    <w:rsid w:val="00331783"/>
    <w:rsid w:val="00331B02"/>
    <w:rsid w:val="00333FF1"/>
    <w:rsid w:val="00334002"/>
    <w:rsid w:val="00336D80"/>
    <w:rsid w:val="00337779"/>
    <w:rsid w:val="00340B5E"/>
    <w:rsid w:val="00341A73"/>
    <w:rsid w:val="00342847"/>
    <w:rsid w:val="00343773"/>
    <w:rsid w:val="00343864"/>
    <w:rsid w:val="003452C5"/>
    <w:rsid w:val="00345758"/>
    <w:rsid w:val="00347D81"/>
    <w:rsid w:val="00350CFE"/>
    <w:rsid w:val="00353533"/>
    <w:rsid w:val="00354AE4"/>
    <w:rsid w:val="00354D5C"/>
    <w:rsid w:val="00356156"/>
    <w:rsid w:val="00356A50"/>
    <w:rsid w:val="00356A66"/>
    <w:rsid w:val="00356CC0"/>
    <w:rsid w:val="00357772"/>
    <w:rsid w:val="00360A3F"/>
    <w:rsid w:val="00360AAA"/>
    <w:rsid w:val="00361988"/>
    <w:rsid w:val="00363B62"/>
    <w:rsid w:val="00364C07"/>
    <w:rsid w:val="00365D56"/>
    <w:rsid w:val="00370ED3"/>
    <w:rsid w:val="00373DF7"/>
    <w:rsid w:val="00377280"/>
    <w:rsid w:val="003779A4"/>
    <w:rsid w:val="00377CB0"/>
    <w:rsid w:val="00381414"/>
    <w:rsid w:val="00381C34"/>
    <w:rsid w:val="00381E67"/>
    <w:rsid w:val="003849C3"/>
    <w:rsid w:val="00384FD2"/>
    <w:rsid w:val="0038653A"/>
    <w:rsid w:val="003877A2"/>
    <w:rsid w:val="003902F8"/>
    <w:rsid w:val="003917DF"/>
    <w:rsid w:val="00391B6E"/>
    <w:rsid w:val="00392D66"/>
    <w:rsid w:val="00393306"/>
    <w:rsid w:val="00395E1F"/>
    <w:rsid w:val="00395EF6"/>
    <w:rsid w:val="00396DF7"/>
    <w:rsid w:val="0039704E"/>
    <w:rsid w:val="00397058"/>
    <w:rsid w:val="003979B0"/>
    <w:rsid w:val="003A3C12"/>
    <w:rsid w:val="003A4334"/>
    <w:rsid w:val="003A4CBA"/>
    <w:rsid w:val="003A5A12"/>
    <w:rsid w:val="003A651D"/>
    <w:rsid w:val="003B032D"/>
    <w:rsid w:val="003B0F00"/>
    <w:rsid w:val="003B1418"/>
    <w:rsid w:val="003B1A00"/>
    <w:rsid w:val="003B6969"/>
    <w:rsid w:val="003B75CA"/>
    <w:rsid w:val="003B7B0C"/>
    <w:rsid w:val="003C05E1"/>
    <w:rsid w:val="003C4157"/>
    <w:rsid w:val="003C6694"/>
    <w:rsid w:val="003C7BFA"/>
    <w:rsid w:val="003D1399"/>
    <w:rsid w:val="003D2689"/>
    <w:rsid w:val="003D2D97"/>
    <w:rsid w:val="003D3563"/>
    <w:rsid w:val="003D3D00"/>
    <w:rsid w:val="003D4292"/>
    <w:rsid w:val="003D4394"/>
    <w:rsid w:val="003D5F89"/>
    <w:rsid w:val="003D6EA9"/>
    <w:rsid w:val="003D7E7F"/>
    <w:rsid w:val="003E1E60"/>
    <w:rsid w:val="003E43C2"/>
    <w:rsid w:val="003E4437"/>
    <w:rsid w:val="003E4669"/>
    <w:rsid w:val="003E7D78"/>
    <w:rsid w:val="003E7F3C"/>
    <w:rsid w:val="003F1C06"/>
    <w:rsid w:val="003F4C23"/>
    <w:rsid w:val="003F6189"/>
    <w:rsid w:val="003F69BC"/>
    <w:rsid w:val="004018BE"/>
    <w:rsid w:val="00402440"/>
    <w:rsid w:val="00402748"/>
    <w:rsid w:val="004044BB"/>
    <w:rsid w:val="004048E0"/>
    <w:rsid w:val="0040510D"/>
    <w:rsid w:val="0040575C"/>
    <w:rsid w:val="00413138"/>
    <w:rsid w:val="004149BB"/>
    <w:rsid w:val="004211AD"/>
    <w:rsid w:val="0042304B"/>
    <w:rsid w:val="00423C98"/>
    <w:rsid w:val="00423CBE"/>
    <w:rsid w:val="00426048"/>
    <w:rsid w:val="00426144"/>
    <w:rsid w:val="00426C06"/>
    <w:rsid w:val="00430404"/>
    <w:rsid w:val="0043143C"/>
    <w:rsid w:val="004323BE"/>
    <w:rsid w:val="00433BAD"/>
    <w:rsid w:val="0043449E"/>
    <w:rsid w:val="004362BF"/>
    <w:rsid w:val="00436B59"/>
    <w:rsid w:val="00437CCA"/>
    <w:rsid w:val="0044090C"/>
    <w:rsid w:val="00440B9A"/>
    <w:rsid w:val="004413CD"/>
    <w:rsid w:val="00441C99"/>
    <w:rsid w:val="00442155"/>
    <w:rsid w:val="0044258D"/>
    <w:rsid w:val="00443206"/>
    <w:rsid w:val="00443A60"/>
    <w:rsid w:val="004441EE"/>
    <w:rsid w:val="004446C9"/>
    <w:rsid w:val="00444B1D"/>
    <w:rsid w:val="00444B3C"/>
    <w:rsid w:val="00445C76"/>
    <w:rsid w:val="0044630D"/>
    <w:rsid w:val="00451405"/>
    <w:rsid w:val="004546DA"/>
    <w:rsid w:val="004569F5"/>
    <w:rsid w:val="00460553"/>
    <w:rsid w:val="004643B1"/>
    <w:rsid w:val="00465F4D"/>
    <w:rsid w:val="00466097"/>
    <w:rsid w:val="00472477"/>
    <w:rsid w:val="00473F99"/>
    <w:rsid w:val="004743BB"/>
    <w:rsid w:val="004773A9"/>
    <w:rsid w:val="00480034"/>
    <w:rsid w:val="00481B86"/>
    <w:rsid w:val="00483126"/>
    <w:rsid w:val="0048386C"/>
    <w:rsid w:val="0048439A"/>
    <w:rsid w:val="00484574"/>
    <w:rsid w:val="00485BD0"/>
    <w:rsid w:val="00486B51"/>
    <w:rsid w:val="00487152"/>
    <w:rsid w:val="0049189C"/>
    <w:rsid w:val="00491E7B"/>
    <w:rsid w:val="00492E40"/>
    <w:rsid w:val="00494334"/>
    <w:rsid w:val="004959E0"/>
    <w:rsid w:val="00495DAE"/>
    <w:rsid w:val="004972AE"/>
    <w:rsid w:val="004A10BC"/>
    <w:rsid w:val="004A557A"/>
    <w:rsid w:val="004A5C8C"/>
    <w:rsid w:val="004A7336"/>
    <w:rsid w:val="004B1105"/>
    <w:rsid w:val="004B2EAB"/>
    <w:rsid w:val="004B35C5"/>
    <w:rsid w:val="004B3F0D"/>
    <w:rsid w:val="004B484B"/>
    <w:rsid w:val="004B4F17"/>
    <w:rsid w:val="004B5AF5"/>
    <w:rsid w:val="004B7147"/>
    <w:rsid w:val="004B78C6"/>
    <w:rsid w:val="004B7F62"/>
    <w:rsid w:val="004C1CC5"/>
    <w:rsid w:val="004C3B7B"/>
    <w:rsid w:val="004C51B2"/>
    <w:rsid w:val="004C7B52"/>
    <w:rsid w:val="004D075E"/>
    <w:rsid w:val="004D0D80"/>
    <w:rsid w:val="004D121C"/>
    <w:rsid w:val="004D1657"/>
    <w:rsid w:val="004D2A39"/>
    <w:rsid w:val="004D34CC"/>
    <w:rsid w:val="004D510A"/>
    <w:rsid w:val="004D55C1"/>
    <w:rsid w:val="004D6DB2"/>
    <w:rsid w:val="004D6E7E"/>
    <w:rsid w:val="004D7783"/>
    <w:rsid w:val="004D7F28"/>
    <w:rsid w:val="004E01F6"/>
    <w:rsid w:val="004E0267"/>
    <w:rsid w:val="004E074D"/>
    <w:rsid w:val="004E1E81"/>
    <w:rsid w:val="004E223C"/>
    <w:rsid w:val="004E2CA4"/>
    <w:rsid w:val="004E3E46"/>
    <w:rsid w:val="004F1607"/>
    <w:rsid w:val="004F1964"/>
    <w:rsid w:val="004F1CF1"/>
    <w:rsid w:val="004F449D"/>
    <w:rsid w:val="004F4931"/>
    <w:rsid w:val="004F7CE9"/>
    <w:rsid w:val="0050023D"/>
    <w:rsid w:val="0050123E"/>
    <w:rsid w:val="0050451B"/>
    <w:rsid w:val="00505AA0"/>
    <w:rsid w:val="00510BF2"/>
    <w:rsid w:val="00510D99"/>
    <w:rsid w:val="0051306C"/>
    <w:rsid w:val="005144E3"/>
    <w:rsid w:val="00515088"/>
    <w:rsid w:val="0052019E"/>
    <w:rsid w:val="00522186"/>
    <w:rsid w:val="0052377B"/>
    <w:rsid w:val="00526B0F"/>
    <w:rsid w:val="005317AE"/>
    <w:rsid w:val="00532954"/>
    <w:rsid w:val="0053336F"/>
    <w:rsid w:val="0053367E"/>
    <w:rsid w:val="00533AA9"/>
    <w:rsid w:val="005344D8"/>
    <w:rsid w:val="00534A50"/>
    <w:rsid w:val="00535E7D"/>
    <w:rsid w:val="00535ED5"/>
    <w:rsid w:val="00535FA7"/>
    <w:rsid w:val="0053681E"/>
    <w:rsid w:val="00536C97"/>
    <w:rsid w:val="005372F2"/>
    <w:rsid w:val="0054152F"/>
    <w:rsid w:val="005433BE"/>
    <w:rsid w:val="00544C03"/>
    <w:rsid w:val="00545742"/>
    <w:rsid w:val="00546BB3"/>
    <w:rsid w:val="005504E6"/>
    <w:rsid w:val="005529B0"/>
    <w:rsid w:val="005529DE"/>
    <w:rsid w:val="005532E5"/>
    <w:rsid w:val="00556E0D"/>
    <w:rsid w:val="00557A32"/>
    <w:rsid w:val="00557B78"/>
    <w:rsid w:val="00560CC1"/>
    <w:rsid w:val="005612A0"/>
    <w:rsid w:val="00565461"/>
    <w:rsid w:val="00565903"/>
    <w:rsid w:val="00566754"/>
    <w:rsid w:val="00570E42"/>
    <w:rsid w:val="0057565D"/>
    <w:rsid w:val="00575FAD"/>
    <w:rsid w:val="00583886"/>
    <w:rsid w:val="00587EDA"/>
    <w:rsid w:val="00591435"/>
    <w:rsid w:val="00593118"/>
    <w:rsid w:val="00595465"/>
    <w:rsid w:val="00595574"/>
    <w:rsid w:val="005959D3"/>
    <w:rsid w:val="00597208"/>
    <w:rsid w:val="00597FC5"/>
    <w:rsid w:val="005A0D2D"/>
    <w:rsid w:val="005A111C"/>
    <w:rsid w:val="005A1196"/>
    <w:rsid w:val="005A1F9B"/>
    <w:rsid w:val="005A3266"/>
    <w:rsid w:val="005A32BB"/>
    <w:rsid w:val="005A3959"/>
    <w:rsid w:val="005A4F66"/>
    <w:rsid w:val="005A5029"/>
    <w:rsid w:val="005A76D0"/>
    <w:rsid w:val="005A7EB2"/>
    <w:rsid w:val="005B25B6"/>
    <w:rsid w:val="005B2E32"/>
    <w:rsid w:val="005B569C"/>
    <w:rsid w:val="005B65AE"/>
    <w:rsid w:val="005B6F34"/>
    <w:rsid w:val="005B79CC"/>
    <w:rsid w:val="005B7B7D"/>
    <w:rsid w:val="005C0606"/>
    <w:rsid w:val="005C0D19"/>
    <w:rsid w:val="005C1BD4"/>
    <w:rsid w:val="005C3137"/>
    <w:rsid w:val="005C3DA2"/>
    <w:rsid w:val="005C6778"/>
    <w:rsid w:val="005D0F75"/>
    <w:rsid w:val="005D0FC0"/>
    <w:rsid w:val="005D1768"/>
    <w:rsid w:val="005D18D2"/>
    <w:rsid w:val="005D1959"/>
    <w:rsid w:val="005D1BCA"/>
    <w:rsid w:val="005D1EEC"/>
    <w:rsid w:val="005D2492"/>
    <w:rsid w:val="005D2BDF"/>
    <w:rsid w:val="005D30DE"/>
    <w:rsid w:val="005D4601"/>
    <w:rsid w:val="005E1B7D"/>
    <w:rsid w:val="005E24FB"/>
    <w:rsid w:val="005E367A"/>
    <w:rsid w:val="005E4CA5"/>
    <w:rsid w:val="005E52AA"/>
    <w:rsid w:val="005F0A40"/>
    <w:rsid w:val="005F0F8A"/>
    <w:rsid w:val="005F2661"/>
    <w:rsid w:val="005F29AA"/>
    <w:rsid w:val="005F4155"/>
    <w:rsid w:val="005F5AF5"/>
    <w:rsid w:val="005F5D54"/>
    <w:rsid w:val="00601188"/>
    <w:rsid w:val="00602103"/>
    <w:rsid w:val="0060279C"/>
    <w:rsid w:val="0060760B"/>
    <w:rsid w:val="0061026F"/>
    <w:rsid w:val="00612C61"/>
    <w:rsid w:val="00613A22"/>
    <w:rsid w:val="00614A5F"/>
    <w:rsid w:val="00616897"/>
    <w:rsid w:val="00616F16"/>
    <w:rsid w:val="0061712E"/>
    <w:rsid w:val="006201A7"/>
    <w:rsid w:val="00620523"/>
    <w:rsid w:val="00622EB6"/>
    <w:rsid w:val="00623B51"/>
    <w:rsid w:val="00623BB8"/>
    <w:rsid w:val="0062589E"/>
    <w:rsid w:val="00625A3C"/>
    <w:rsid w:val="006308D3"/>
    <w:rsid w:val="006324C3"/>
    <w:rsid w:val="00633EA1"/>
    <w:rsid w:val="00633F98"/>
    <w:rsid w:val="00634932"/>
    <w:rsid w:val="00637048"/>
    <w:rsid w:val="006440BC"/>
    <w:rsid w:val="006441C4"/>
    <w:rsid w:val="006447D8"/>
    <w:rsid w:val="00644F28"/>
    <w:rsid w:val="00647A28"/>
    <w:rsid w:val="0065187E"/>
    <w:rsid w:val="00653C77"/>
    <w:rsid w:val="006549C3"/>
    <w:rsid w:val="00655684"/>
    <w:rsid w:val="006558EC"/>
    <w:rsid w:val="00657A3D"/>
    <w:rsid w:val="006618D0"/>
    <w:rsid w:val="00661A1D"/>
    <w:rsid w:val="00667BBF"/>
    <w:rsid w:val="006731F3"/>
    <w:rsid w:val="00674C3E"/>
    <w:rsid w:val="00674EED"/>
    <w:rsid w:val="006760A1"/>
    <w:rsid w:val="006761B0"/>
    <w:rsid w:val="00676B85"/>
    <w:rsid w:val="0068224F"/>
    <w:rsid w:val="006822F2"/>
    <w:rsid w:val="00683882"/>
    <w:rsid w:val="00685C64"/>
    <w:rsid w:val="00685E5C"/>
    <w:rsid w:val="00686687"/>
    <w:rsid w:val="00687F77"/>
    <w:rsid w:val="00690918"/>
    <w:rsid w:val="006920BC"/>
    <w:rsid w:val="00694A68"/>
    <w:rsid w:val="0069591F"/>
    <w:rsid w:val="00696B36"/>
    <w:rsid w:val="0069744F"/>
    <w:rsid w:val="006A014B"/>
    <w:rsid w:val="006A21D6"/>
    <w:rsid w:val="006A285D"/>
    <w:rsid w:val="006A3214"/>
    <w:rsid w:val="006A4781"/>
    <w:rsid w:val="006A70AA"/>
    <w:rsid w:val="006A74B5"/>
    <w:rsid w:val="006A7DC3"/>
    <w:rsid w:val="006B1075"/>
    <w:rsid w:val="006B366F"/>
    <w:rsid w:val="006B4876"/>
    <w:rsid w:val="006B51C2"/>
    <w:rsid w:val="006B571C"/>
    <w:rsid w:val="006B5F98"/>
    <w:rsid w:val="006C10F3"/>
    <w:rsid w:val="006C11A4"/>
    <w:rsid w:val="006C1427"/>
    <w:rsid w:val="006C157C"/>
    <w:rsid w:val="006C2E76"/>
    <w:rsid w:val="006C4114"/>
    <w:rsid w:val="006C533A"/>
    <w:rsid w:val="006C54C9"/>
    <w:rsid w:val="006C5D0B"/>
    <w:rsid w:val="006C7E2A"/>
    <w:rsid w:val="006D262F"/>
    <w:rsid w:val="006D2ADD"/>
    <w:rsid w:val="006D4527"/>
    <w:rsid w:val="006D49CF"/>
    <w:rsid w:val="006D4B41"/>
    <w:rsid w:val="006D516E"/>
    <w:rsid w:val="006D7299"/>
    <w:rsid w:val="006E2632"/>
    <w:rsid w:val="006E2E73"/>
    <w:rsid w:val="006E2FB7"/>
    <w:rsid w:val="006E437C"/>
    <w:rsid w:val="006E5B94"/>
    <w:rsid w:val="006E6339"/>
    <w:rsid w:val="006E6B45"/>
    <w:rsid w:val="006E7D46"/>
    <w:rsid w:val="006F00E7"/>
    <w:rsid w:val="006F1837"/>
    <w:rsid w:val="006F2881"/>
    <w:rsid w:val="006F326C"/>
    <w:rsid w:val="006F3CD1"/>
    <w:rsid w:val="006F5AFF"/>
    <w:rsid w:val="006F6D61"/>
    <w:rsid w:val="0070272D"/>
    <w:rsid w:val="00703A9A"/>
    <w:rsid w:val="00704C25"/>
    <w:rsid w:val="007052C7"/>
    <w:rsid w:val="00705F1D"/>
    <w:rsid w:val="00706AC7"/>
    <w:rsid w:val="007102D5"/>
    <w:rsid w:val="00711248"/>
    <w:rsid w:val="0071290F"/>
    <w:rsid w:val="00713E1B"/>
    <w:rsid w:val="00716BA7"/>
    <w:rsid w:val="00717D2A"/>
    <w:rsid w:val="007239AC"/>
    <w:rsid w:val="00723D8B"/>
    <w:rsid w:val="00723E95"/>
    <w:rsid w:val="00724638"/>
    <w:rsid w:val="00724933"/>
    <w:rsid w:val="0072686E"/>
    <w:rsid w:val="00730055"/>
    <w:rsid w:val="0073051C"/>
    <w:rsid w:val="0073301C"/>
    <w:rsid w:val="00733953"/>
    <w:rsid w:val="00734C4F"/>
    <w:rsid w:val="00735AA1"/>
    <w:rsid w:val="00735E84"/>
    <w:rsid w:val="00735E9C"/>
    <w:rsid w:val="00736364"/>
    <w:rsid w:val="0073642B"/>
    <w:rsid w:val="00736A08"/>
    <w:rsid w:val="00740AB1"/>
    <w:rsid w:val="007417AC"/>
    <w:rsid w:val="00742BC9"/>
    <w:rsid w:val="00742DEA"/>
    <w:rsid w:val="00743145"/>
    <w:rsid w:val="00743E61"/>
    <w:rsid w:val="007440D3"/>
    <w:rsid w:val="0074582D"/>
    <w:rsid w:val="00745CB7"/>
    <w:rsid w:val="00746C75"/>
    <w:rsid w:val="007507AF"/>
    <w:rsid w:val="00750F2F"/>
    <w:rsid w:val="00754496"/>
    <w:rsid w:val="00756AB6"/>
    <w:rsid w:val="00757BAA"/>
    <w:rsid w:val="0076684E"/>
    <w:rsid w:val="007668BB"/>
    <w:rsid w:val="00766A58"/>
    <w:rsid w:val="007671BB"/>
    <w:rsid w:val="007713B9"/>
    <w:rsid w:val="00771848"/>
    <w:rsid w:val="00771C46"/>
    <w:rsid w:val="00771FA8"/>
    <w:rsid w:val="007734A7"/>
    <w:rsid w:val="007754AE"/>
    <w:rsid w:val="007764F4"/>
    <w:rsid w:val="00776AB8"/>
    <w:rsid w:val="00777ECD"/>
    <w:rsid w:val="00780A1D"/>
    <w:rsid w:val="00781550"/>
    <w:rsid w:val="007822A3"/>
    <w:rsid w:val="00784463"/>
    <w:rsid w:val="0078722F"/>
    <w:rsid w:val="00787A81"/>
    <w:rsid w:val="00790119"/>
    <w:rsid w:val="00790965"/>
    <w:rsid w:val="00791707"/>
    <w:rsid w:val="00792059"/>
    <w:rsid w:val="00793616"/>
    <w:rsid w:val="00793975"/>
    <w:rsid w:val="007969DC"/>
    <w:rsid w:val="007969FA"/>
    <w:rsid w:val="00797AF9"/>
    <w:rsid w:val="007A060C"/>
    <w:rsid w:val="007A18CA"/>
    <w:rsid w:val="007A31DC"/>
    <w:rsid w:val="007A40F7"/>
    <w:rsid w:val="007A48E9"/>
    <w:rsid w:val="007A6105"/>
    <w:rsid w:val="007A6E11"/>
    <w:rsid w:val="007B021C"/>
    <w:rsid w:val="007B29E4"/>
    <w:rsid w:val="007B3A5C"/>
    <w:rsid w:val="007B455C"/>
    <w:rsid w:val="007B67FE"/>
    <w:rsid w:val="007B6CBF"/>
    <w:rsid w:val="007C06AF"/>
    <w:rsid w:val="007C1F01"/>
    <w:rsid w:val="007C2DBE"/>
    <w:rsid w:val="007C3457"/>
    <w:rsid w:val="007C428F"/>
    <w:rsid w:val="007C546B"/>
    <w:rsid w:val="007C57C0"/>
    <w:rsid w:val="007C69F7"/>
    <w:rsid w:val="007D0FF9"/>
    <w:rsid w:val="007D1C68"/>
    <w:rsid w:val="007D39B9"/>
    <w:rsid w:val="007D4291"/>
    <w:rsid w:val="007D7D94"/>
    <w:rsid w:val="007E01E1"/>
    <w:rsid w:val="007E1AEB"/>
    <w:rsid w:val="007E2994"/>
    <w:rsid w:val="007E2E36"/>
    <w:rsid w:val="007E32D4"/>
    <w:rsid w:val="007E3985"/>
    <w:rsid w:val="007E4373"/>
    <w:rsid w:val="007E57A2"/>
    <w:rsid w:val="007E5AC3"/>
    <w:rsid w:val="007E6E5B"/>
    <w:rsid w:val="007F115B"/>
    <w:rsid w:val="007F27C9"/>
    <w:rsid w:val="007F35E0"/>
    <w:rsid w:val="007F394A"/>
    <w:rsid w:val="007F4183"/>
    <w:rsid w:val="00801359"/>
    <w:rsid w:val="008022F1"/>
    <w:rsid w:val="00802EEF"/>
    <w:rsid w:val="00807073"/>
    <w:rsid w:val="00810AE7"/>
    <w:rsid w:val="00814409"/>
    <w:rsid w:val="00816E8B"/>
    <w:rsid w:val="008173B3"/>
    <w:rsid w:val="00817E2A"/>
    <w:rsid w:val="00820E0C"/>
    <w:rsid w:val="00822A07"/>
    <w:rsid w:val="00823D0A"/>
    <w:rsid w:val="0082415B"/>
    <w:rsid w:val="008245FA"/>
    <w:rsid w:val="00826DAE"/>
    <w:rsid w:val="00827C1C"/>
    <w:rsid w:val="008309DF"/>
    <w:rsid w:val="0083112E"/>
    <w:rsid w:val="00831B04"/>
    <w:rsid w:val="00832CC4"/>
    <w:rsid w:val="00834740"/>
    <w:rsid w:val="00834E47"/>
    <w:rsid w:val="00835244"/>
    <w:rsid w:val="008379AF"/>
    <w:rsid w:val="00840269"/>
    <w:rsid w:val="00840F74"/>
    <w:rsid w:val="00841103"/>
    <w:rsid w:val="008421F6"/>
    <w:rsid w:val="00844164"/>
    <w:rsid w:val="00845ECF"/>
    <w:rsid w:val="008521C6"/>
    <w:rsid w:val="008523C4"/>
    <w:rsid w:val="00854E14"/>
    <w:rsid w:val="00860106"/>
    <w:rsid w:val="00860AEA"/>
    <w:rsid w:val="0086333D"/>
    <w:rsid w:val="0086422C"/>
    <w:rsid w:val="00864B2B"/>
    <w:rsid w:val="0086726F"/>
    <w:rsid w:val="008734CD"/>
    <w:rsid w:val="00876D6E"/>
    <w:rsid w:val="008776B5"/>
    <w:rsid w:val="0088009E"/>
    <w:rsid w:val="008806D9"/>
    <w:rsid w:val="00881C14"/>
    <w:rsid w:val="00882035"/>
    <w:rsid w:val="0088301D"/>
    <w:rsid w:val="00883E09"/>
    <w:rsid w:val="008843C5"/>
    <w:rsid w:val="008854E1"/>
    <w:rsid w:val="00885B9C"/>
    <w:rsid w:val="00886510"/>
    <w:rsid w:val="008927A9"/>
    <w:rsid w:val="00894F92"/>
    <w:rsid w:val="008A0024"/>
    <w:rsid w:val="008A0800"/>
    <w:rsid w:val="008A09DC"/>
    <w:rsid w:val="008A09FE"/>
    <w:rsid w:val="008A1CF3"/>
    <w:rsid w:val="008A1EFB"/>
    <w:rsid w:val="008A2025"/>
    <w:rsid w:val="008A3458"/>
    <w:rsid w:val="008A46E4"/>
    <w:rsid w:val="008A6451"/>
    <w:rsid w:val="008A69EA"/>
    <w:rsid w:val="008A7D25"/>
    <w:rsid w:val="008B0F36"/>
    <w:rsid w:val="008B1D65"/>
    <w:rsid w:val="008B2E01"/>
    <w:rsid w:val="008B484A"/>
    <w:rsid w:val="008B4F4B"/>
    <w:rsid w:val="008B5953"/>
    <w:rsid w:val="008B68BA"/>
    <w:rsid w:val="008B6E8A"/>
    <w:rsid w:val="008C1015"/>
    <w:rsid w:val="008C140C"/>
    <w:rsid w:val="008C15B7"/>
    <w:rsid w:val="008C1BD8"/>
    <w:rsid w:val="008C2AA8"/>
    <w:rsid w:val="008C3733"/>
    <w:rsid w:val="008C4BF8"/>
    <w:rsid w:val="008C5758"/>
    <w:rsid w:val="008C7DCB"/>
    <w:rsid w:val="008D00FC"/>
    <w:rsid w:val="008D1B3B"/>
    <w:rsid w:val="008D1B67"/>
    <w:rsid w:val="008D2632"/>
    <w:rsid w:val="008D4126"/>
    <w:rsid w:val="008D43D7"/>
    <w:rsid w:val="008D5F2C"/>
    <w:rsid w:val="008E136D"/>
    <w:rsid w:val="008E18C4"/>
    <w:rsid w:val="008E1DF8"/>
    <w:rsid w:val="008E2211"/>
    <w:rsid w:val="008E3B62"/>
    <w:rsid w:val="008E3C1A"/>
    <w:rsid w:val="008E409B"/>
    <w:rsid w:val="008E420B"/>
    <w:rsid w:val="008E7947"/>
    <w:rsid w:val="008F1AF4"/>
    <w:rsid w:val="008F1EB2"/>
    <w:rsid w:val="008F3298"/>
    <w:rsid w:val="008F5D08"/>
    <w:rsid w:val="008F7053"/>
    <w:rsid w:val="00900422"/>
    <w:rsid w:val="0090102E"/>
    <w:rsid w:val="0090450C"/>
    <w:rsid w:val="009055BD"/>
    <w:rsid w:val="0091048B"/>
    <w:rsid w:val="0091052B"/>
    <w:rsid w:val="009107CB"/>
    <w:rsid w:val="00911E31"/>
    <w:rsid w:val="0091303D"/>
    <w:rsid w:val="009139AE"/>
    <w:rsid w:val="009149B6"/>
    <w:rsid w:val="0091552D"/>
    <w:rsid w:val="009159DA"/>
    <w:rsid w:val="00916022"/>
    <w:rsid w:val="00916122"/>
    <w:rsid w:val="00917C97"/>
    <w:rsid w:val="009211EA"/>
    <w:rsid w:val="00921FD9"/>
    <w:rsid w:val="00922314"/>
    <w:rsid w:val="00922FFA"/>
    <w:rsid w:val="009236F6"/>
    <w:rsid w:val="009267A7"/>
    <w:rsid w:val="009268EB"/>
    <w:rsid w:val="00935618"/>
    <w:rsid w:val="0093756B"/>
    <w:rsid w:val="009400C2"/>
    <w:rsid w:val="009407BA"/>
    <w:rsid w:val="00941931"/>
    <w:rsid w:val="009462FA"/>
    <w:rsid w:val="00946E44"/>
    <w:rsid w:val="009505DD"/>
    <w:rsid w:val="00952305"/>
    <w:rsid w:val="00955905"/>
    <w:rsid w:val="009559E9"/>
    <w:rsid w:val="00956193"/>
    <w:rsid w:val="009564A7"/>
    <w:rsid w:val="00956AFF"/>
    <w:rsid w:val="00960A1F"/>
    <w:rsid w:val="00962AD0"/>
    <w:rsid w:val="00962E14"/>
    <w:rsid w:val="00963659"/>
    <w:rsid w:val="00967466"/>
    <w:rsid w:val="0096761A"/>
    <w:rsid w:val="009705B3"/>
    <w:rsid w:val="00970BAB"/>
    <w:rsid w:val="00971016"/>
    <w:rsid w:val="00971397"/>
    <w:rsid w:val="00972407"/>
    <w:rsid w:val="00973709"/>
    <w:rsid w:val="009739B0"/>
    <w:rsid w:val="009813A6"/>
    <w:rsid w:val="00983245"/>
    <w:rsid w:val="00983EA2"/>
    <w:rsid w:val="009851D9"/>
    <w:rsid w:val="00985E6E"/>
    <w:rsid w:val="00987483"/>
    <w:rsid w:val="00996E45"/>
    <w:rsid w:val="00997A3F"/>
    <w:rsid w:val="009A56A7"/>
    <w:rsid w:val="009A6D86"/>
    <w:rsid w:val="009A7238"/>
    <w:rsid w:val="009A7857"/>
    <w:rsid w:val="009B05B8"/>
    <w:rsid w:val="009B2195"/>
    <w:rsid w:val="009B232B"/>
    <w:rsid w:val="009B3A99"/>
    <w:rsid w:val="009B590A"/>
    <w:rsid w:val="009B7B1F"/>
    <w:rsid w:val="009B7BCA"/>
    <w:rsid w:val="009B7D3B"/>
    <w:rsid w:val="009C0E94"/>
    <w:rsid w:val="009C16EA"/>
    <w:rsid w:val="009C2244"/>
    <w:rsid w:val="009C3AB4"/>
    <w:rsid w:val="009C3C7B"/>
    <w:rsid w:val="009C55F1"/>
    <w:rsid w:val="009D0A17"/>
    <w:rsid w:val="009D1D31"/>
    <w:rsid w:val="009D1DE7"/>
    <w:rsid w:val="009D4425"/>
    <w:rsid w:val="009D5A23"/>
    <w:rsid w:val="009D5A70"/>
    <w:rsid w:val="009E2AFA"/>
    <w:rsid w:val="009E3B82"/>
    <w:rsid w:val="009E4604"/>
    <w:rsid w:val="009E5516"/>
    <w:rsid w:val="009F1183"/>
    <w:rsid w:val="009F1514"/>
    <w:rsid w:val="009F15CA"/>
    <w:rsid w:val="009F1724"/>
    <w:rsid w:val="009F2F7B"/>
    <w:rsid w:val="009F44B4"/>
    <w:rsid w:val="009F45C8"/>
    <w:rsid w:val="009F589F"/>
    <w:rsid w:val="009F6E86"/>
    <w:rsid w:val="009F7119"/>
    <w:rsid w:val="009F7BA0"/>
    <w:rsid w:val="00A00401"/>
    <w:rsid w:val="00A026DC"/>
    <w:rsid w:val="00A03FFC"/>
    <w:rsid w:val="00A043DE"/>
    <w:rsid w:val="00A05BAE"/>
    <w:rsid w:val="00A065FE"/>
    <w:rsid w:val="00A07997"/>
    <w:rsid w:val="00A10C11"/>
    <w:rsid w:val="00A11618"/>
    <w:rsid w:val="00A12FCD"/>
    <w:rsid w:val="00A13255"/>
    <w:rsid w:val="00A14CF4"/>
    <w:rsid w:val="00A1570C"/>
    <w:rsid w:val="00A15ACE"/>
    <w:rsid w:val="00A15C4F"/>
    <w:rsid w:val="00A167FE"/>
    <w:rsid w:val="00A16E60"/>
    <w:rsid w:val="00A21099"/>
    <w:rsid w:val="00A22E1E"/>
    <w:rsid w:val="00A22EA0"/>
    <w:rsid w:val="00A23560"/>
    <w:rsid w:val="00A2724A"/>
    <w:rsid w:val="00A27E04"/>
    <w:rsid w:val="00A27E49"/>
    <w:rsid w:val="00A304BA"/>
    <w:rsid w:val="00A31F26"/>
    <w:rsid w:val="00A3460D"/>
    <w:rsid w:val="00A36978"/>
    <w:rsid w:val="00A37539"/>
    <w:rsid w:val="00A37A4B"/>
    <w:rsid w:val="00A409E8"/>
    <w:rsid w:val="00A40B4C"/>
    <w:rsid w:val="00A41CBA"/>
    <w:rsid w:val="00A42379"/>
    <w:rsid w:val="00A437AB"/>
    <w:rsid w:val="00A44ABC"/>
    <w:rsid w:val="00A4682D"/>
    <w:rsid w:val="00A469AB"/>
    <w:rsid w:val="00A47FFB"/>
    <w:rsid w:val="00A50C6C"/>
    <w:rsid w:val="00A51217"/>
    <w:rsid w:val="00A51842"/>
    <w:rsid w:val="00A51920"/>
    <w:rsid w:val="00A53834"/>
    <w:rsid w:val="00A53F00"/>
    <w:rsid w:val="00A57142"/>
    <w:rsid w:val="00A60118"/>
    <w:rsid w:val="00A60347"/>
    <w:rsid w:val="00A61A47"/>
    <w:rsid w:val="00A62487"/>
    <w:rsid w:val="00A62F00"/>
    <w:rsid w:val="00A63AF0"/>
    <w:rsid w:val="00A65D4A"/>
    <w:rsid w:val="00A67E70"/>
    <w:rsid w:val="00A70534"/>
    <w:rsid w:val="00A706D2"/>
    <w:rsid w:val="00A72AC1"/>
    <w:rsid w:val="00A72E29"/>
    <w:rsid w:val="00A73147"/>
    <w:rsid w:val="00A73A46"/>
    <w:rsid w:val="00A73EA2"/>
    <w:rsid w:val="00A74A2B"/>
    <w:rsid w:val="00A7525C"/>
    <w:rsid w:val="00A75A6E"/>
    <w:rsid w:val="00A76F84"/>
    <w:rsid w:val="00A77B25"/>
    <w:rsid w:val="00A77E86"/>
    <w:rsid w:val="00A813B8"/>
    <w:rsid w:val="00A83153"/>
    <w:rsid w:val="00A83929"/>
    <w:rsid w:val="00A84F78"/>
    <w:rsid w:val="00A86FEA"/>
    <w:rsid w:val="00A8785A"/>
    <w:rsid w:val="00A90432"/>
    <w:rsid w:val="00A938AE"/>
    <w:rsid w:val="00A93B7F"/>
    <w:rsid w:val="00A94132"/>
    <w:rsid w:val="00A95932"/>
    <w:rsid w:val="00A967BA"/>
    <w:rsid w:val="00A96864"/>
    <w:rsid w:val="00A970B4"/>
    <w:rsid w:val="00A97F4A"/>
    <w:rsid w:val="00AA7C9E"/>
    <w:rsid w:val="00AB04D3"/>
    <w:rsid w:val="00AB0D32"/>
    <w:rsid w:val="00AB0DB7"/>
    <w:rsid w:val="00AB0E27"/>
    <w:rsid w:val="00AB0F91"/>
    <w:rsid w:val="00AB48A3"/>
    <w:rsid w:val="00AB5599"/>
    <w:rsid w:val="00AB6763"/>
    <w:rsid w:val="00AB6FD4"/>
    <w:rsid w:val="00AC16E1"/>
    <w:rsid w:val="00AC24D4"/>
    <w:rsid w:val="00AC33B8"/>
    <w:rsid w:val="00AC4010"/>
    <w:rsid w:val="00AC46F5"/>
    <w:rsid w:val="00AC4F32"/>
    <w:rsid w:val="00AC5CD4"/>
    <w:rsid w:val="00AC7E98"/>
    <w:rsid w:val="00AD012B"/>
    <w:rsid w:val="00AD01DF"/>
    <w:rsid w:val="00AD191A"/>
    <w:rsid w:val="00AD5DDB"/>
    <w:rsid w:val="00AD783C"/>
    <w:rsid w:val="00AE0AB7"/>
    <w:rsid w:val="00AE31D9"/>
    <w:rsid w:val="00AE4848"/>
    <w:rsid w:val="00AE6B9C"/>
    <w:rsid w:val="00AE7751"/>
    <w:rsid w:val="00AE77BE"/>
    <w:rsid w:val="00AF1F30"/>
    <w:rsid w:val="00AF3161"/>
    <w:rsid w:val="00AF380A"/>
    <w:rsid w:val="00AF3C3E"/>
    <w:rsid w:val="00AF4242"/>
    <w:rsid w:val="00AF4DBC"/>
    <w:rsid w:val="00AF62C2"/>
    <w:rsid w:val="00B00809"/>
    <w:rsid w:val="00B00D76"/>
    <w:rsid w:val="00B0165C"/>
    <w:rsid w:val="00B03D10"/>
    <w:rsid w:val="00B05323"/>
    <w:rsid w:val="00B0573B"/>
    <w:rsid w:val="00B05FDA"/>
    <w:rsid w:val="00B07A45"/>
    <w:rsid w:val="00B12489"/>
    <w:rsid w:val="00B146C0"/>
    <w:rsid w:val="00B1476D"/>
    <w:rsid w:val="00B14C33"/>
    <w:rsid w:val="00B240A2"/>
    <w:rsid w:val="00B25DBD"/>
    <w:rsid w:val="00B32E4E"/>
    <w:rsid w:val="00B33857"/>
    <w:rsid w:val="00B35E74"/>
    <w:rsid w:val="00B40BA2"/>
    <w:rsid w:val="00B41539"/>
    <w:rsid w:val="00B43F32"/>
    <w:rsid w:val="00B441CB"/>
    <w:rsid w:val="00B442AE"/>
    <w:rsid w:val="00B4456F"/>
    <w:rsid w:val="00B46E68"/>
    <w:rsid w:val="00B50195"/>
    <w:rsid w:val="00B55185"/>
    <w:rsid w:val="00B552F4"/>
    <w:rsid w:val="00B55BE5"/>
    <w:rsid w:val="00B568A0"/>
    <w:rsid w:val="00B603B4"/>
    <w:rsid w:val="00B60F78"/>
    <w:rsid w:val="00B61ECE"/>
    <w:rsid w:val="00B61F61"/>
    <w:rsid w:val="00B63BBC"/>
    <w:rsid w:val="00B64913"/>
    <w:rsid w:val="00B65F15"/>
    <w:rsid w:val="00B712BF"/>
    <w:rsid w:val="00B71598"/>
    <w:rsid w:val="00B720AE"/>
    <w:rsid w:val="00B735BE"/>
    <w:rsid w:val="00B740E8"/>
    <w:rsid w:val="00B74DD7"/>
    <w:rsid w:val="00B75EBB"/>
    <w:rsid w:val="00B7655F"/>
    <w:rsid w:val="00B76AD6"/>
    <w:rsid w:val="00B77386"/>
    <w:rsid w:val="00B802A8"/>
    <w:rsid w:val="00B822F1"/>
    <w:rsid w:val="00B82B77"/>
    <w:rsid w:val="00B83110"/>
    <w:rsid w:val="00B85C4B"/>
    <w:rsid w:val="00B9004D"/>
    <w:rsid w:val="00B903CD"/>
    <w:rsid w:val="00B90CF8"/>
    <w:rsid w:val="00B91986"/>
    <w:rsid w:val="00B91C74"/>
    <w:rsid w:val="00B94EB0"/>
    <w:rsid w:val="00B94F9B"/>
    <w:rsid w:val="00B96E4F"/>
    <w:rsid w:val="00BA1085"/>
    <w:rsid w:val="00BA2622"/>
    <w:rsid w:val="00BA2FB5"/>
    <w:rsid w:val="00BA51F4"/>
    <w:rsid w:val="00BA5F4E"/>
    <w:rsid w:val="00BA62B5"/>
    <w:rsid w:val="00BA688E"/>
    <w:rsid w:val="00BA6EF9"/>
    <w:rsid w:val="00BA7287"/>
    <w:rsid w:val="00BA7C6F"/>
    <w:rsid w:val="00BB230D"/>
    <w:rsid w:val="00BB2FB5"/>
    <w:rsid w:val="00BB3408"/>
    <w:rsid w:val="00BB4052"/>
    <w:rsid w:val="00BB46BB"/>
    <w:rsid w:val="00BB47D5"/>
    <w:rsid w:val="00BB5DCC"/>
    <w:rsid w:val="00BC2A86"/>
    <w:rsid w:val="00BC40AE"/>
    <w:rsid w:val="00BC5A79"/>
    <w:rsid w:val="00BC7341"/>
    <w:rsid w:val="00BC7870"/>
    <w:rsid w:val="00BC78DA"/>
    <w:rsid w:val="00BC7B37"/>
    <w:rsid w:val="00BD17E4"/>
    <w:rsid w:val="00BD24CB"/>
    <w:rsid w:val="00BD4333"/>
    <w:rsid w:val="00BD5E87"/>
    <w:rsid w:val="00BE079E"/>
    <w:rsid w:val="00BE07E2"/>
    <w:rsid w:val="00BE2447"/>
    <w:rsid w:val="00BE2A64"/>
    <w:rsid w:val="00BE2AD6"/>
    <w:rsid w:val="00BE4763"/>
    <w:rsid w:val="00BE609B"/>
    <w:rsid w:val="00BE6EF3"/>
    <w:rsid w:val="00BF00BC"/>
    <w:rsid w:val="00BF0F0E"/>
    <w:rsid w:val="00BF10E4"/>
    <w:rsid w:val="00BF20DB"/>
    <w:rsid w:val="00BF2A76"/>
    <w:rsid w:val="00BF4225"/>
    <w:rsid w:val="00BF4801"/>
    <w:rsid w:val="00BF54DD"/>
    <w:rsid w:val="00C006C9"/>
    <w:rsid w:val="00C035E1"/>
    <w:rsid w:val="00C03FE4"/>
    <w:rsid w:val="00C0432B"/>
    <w:rsid w:val="00C04817"/>
    <w:rsid w:val="00C04B1F"/>
    <w:rsid w:val="00C06C8B"/>
    <w:rsid w:val="00C07268"/>
    <w:rsid w:val="00C11026"/>
    <w:rsid w:val="00C115B3"/>
    <w:rsid w:val="00C1168C"/>
    <w:rsid w:val="00C125A4"/>
    <w:rsid w:val="00C1324B"/>
    <w:rsid w:val="00C13460"/>
    <w:rsid w:val="00C13925"/>
    <w:rsid w:val="00C13EBC"/>
    <w:rsid w:val="00C144E4"/>
    <w:rsid w:val="00C1475A"/>
    <w:rsid w:val="00C16F8A"/>
    <w:rsid w:val="00C2028A"/>
    <w:rsid w:val="00C2122A"/>
    <w:rsid w:val="00C22756"/>
    <w:rsid w:val="00C22C5A"/>
    <w:rsid w:val="00C2376A"/>
    <w:rsid w:val="00C237AD"/>
    <w:rsid w:val="00C24FFB"/>
    <w:rsid w:val="00C26D4E"/>
    <w:rsid w:val="00C3076E"/>
    <w:rsid w:val="00C30D97"/>
    <w:rsid w:val="00C31720"/>
    <w:rsid w:val="00C31C4E"/>
    <w:rsid w:val="00C34D41"/>
    <w:rsid w:val="00C354C4"/>
    <w:rsid w:val="00C35EB8"/>
    <w:rsid w:val="00C3610C"/>
    <w:rsid w:val="00C40472"/>
    <w:rsid w:val="00C40A1A"/>
    <w:rsid w:val="00C43B15"/>
    <w:rsid w:val="00C43DEA"/>
    <w:rsid w:val="00C44E75"/>
    <w:rsid w:val="00C45804"/>
    <w:rsid w:val="00C45F62"/>
    <w:rsid w:val="00C472D8"/>
    <w:rsid w:val="00C476E1"/>
    <w:rsid w:val="00C52853"/>
    <w:rsid w:val="00C52F83"/>
    <w:rsid w:val="00C53129"/>
    <w:rsid w:val="00C5338A"/>
    <w:rsid w:val="00C56B6D"/>
    <w:rsid w:val="00C57378"/>
    <w:rsid w:val="00C61182"/>
    <w:rsid w:val="00C61A66"/>
    <w:rsid w:val="00C62DC1"/>
    <w:rsid w:val="00C63202"/>
    <w:rsid w:val="00C6360A"/>
    <w:rsid w:val="00C639BD"/>
    <w:rsid w:val="00C641A4"/>
    <w:rsid w:val="00C67F7A"/>
    <w:rsid w:val="00C74AAF"/>
    <w:rsid w:val="00C74EAC"/>
    <w:rsid w:val="00C75A49"/>
    <w:rsid w:val="00C76706"/>
    <w:rsid w:val="00C77BAE"/>
    <w:rsid w:val="00C83278"/>
    <w:rsid w:val="00C84234"/>
    <w:rsid w:val="00C853E2"/>
    <w:rsid w:val="00C87AB5"/>
    <w:rsid w:val="00C87ECB"/>
    <w:rsid w:val="00C92DA1"/>
    <w:rsid w:val="00C93328"/>
    <w:rsid w:val="00C93ED6"/>
    <w:rsid w:val="00CA1B14"/>
    <w:rsid w:val="00CA3A12"/>
    <w:rsid w:val="00CB0A76"/>
    <w:rsid w:val="00CB0ABC"/>
    <w:rsid w:val="00CB0B9E"/>
    <w:rsid w:val="00CB0BDC"/>
    <w:rsid w:val="00CB0E67"/>
    <w:rsid w:val="00CB1860"/>
    <w:rsid w:val="00CB4B7B"/>
    <w:rsid w:val="00CC175A"/>
    <w:rsid w:val="00CC2691"/>
    <w:rsid w:val="00CC365B"/>
    <w:rsid w:val="00CC3C32"/>
    <w:rsid w:val="00CC59ED"/>
    <w:rsid w:val="00CC5E70"/>
    <w:rsid w:val="00CC745E"/>
    <w:rsid w:val="00CD0153"/>
    <w:rsid w:val="00CD0A75"/>
    <w:rsid w:val="00CD254D"/>
    <w:rsid w:val="00CD29C3"/>
    <w:rsid w:val="00CD3C73"/>
    <w:rsid w:val="00CD4D4D"/>
    <w:rsid w:val="00CD67C0"/>
    <w:rsid w:val="00CD715A"/>
    <w:rsid w:val="00CD7441"/>
    <w:rsid w:val="00CE13A5"/>
    <w:rsid w:val="00CE27B9"/>
    <w:rsid w:val="00CE2C6F"/>
    <w:rsid w:val="00CE39F0"/>
    <w:rsid w:val="00CE3A00"/>
    <w:rsid w:val="00CE45FE"/>
    <w:rsid w:val="00CE485C"/>
    <w:rsid w:val="00CE53EF"/>
    <w:rsid w:val="00CE6B3B"/>
    <w:rsid w:val="00CE7DB3"/>
    <w:rsid w:val="00CF38E8"/>
    <w:rsid w:val="00CF3E91"/>
    <w:rsid w:val="00CF407A"/>
    <w:rsid w:val="00CF5D23"/>
    <w:rsid w:val="00CF6BC8"/>
    <w:rsid w:val="00CF7747"/>
    <w:rsid w:val="00D0035F"/>
    <w:rsid w:val="00D012B5"/>
    <w:rsid w:val="00D038A3"/>
    <w:rsid w:val="00D03E69"/>
    <w:rsid w:val="00D046CC"/>
    <w:rsid w:val="00D05EDF"/>
    <w:rsid w:val="00D0782F"/>
    <w:rsid w:val="00D10D34"/>
    <w:rsid w:val="00D119D5"/>
    <w:rsid w:val="00D1286C"/>
    <w:rsid w:val="00D16CAC"/>
    <w:rsid w:val="00D17A2F"/>
    <w:rsid w:val="00D17B05"/>
    <w:rsid w:val="00D20E96"/>
    <w:rsid w:val="00D21493"/>
    <w:rsid w:val="00D21F42"/>
    <w:rsid w:val="00D235C5"/>
    <w:rsid w:val="00D23CA7"/>
    <w:rsid w:val="00D24D70"/>
    <w:rsid w:val="00D272E7"/>
    <w:rsid w:val="00D273DD"/>
    <w:rsid w:val="00D3118E"/>
    <w:rsid w:val="00D31D7E"/>
    <w:rsid w:val="00D32756"/>
    <w:rsid w:val="00D3278D"/>
    <w:rsid w:val="00D3327D"/>
    <w:rsid w:val="00D33EE4"/>
    <w:rsid w:val="00D3428D"/>
    <w:rsid w:val="00D361C4"/>
    <w:rsid w:val="00D37004"/>
    <w:rsid w:val="00D376F3"/>
    <w:rsid w:val="00D42EB1"/>
    <w:rsid w:val="00D4390D"/>
    <w:rsid w:val="00D45743"/>
    <w:rsid w:val="00D4794E"/>
    <w:rsid w:val="00D47F4C"/>
    <w:rsid w:val="00D51636"/>
    <w:rsid w:val="00D53999"/>
    <w:rsid w:val="00D54CDA"/>
    <w:rsid w:val="00D55F49"/>
    <w:rsid w:val="00D6026D"/>
    <w:rsid w:val="00D62444"/>
    <w:rsid w:val="00D62519"/>
    <w:rsid w:val="00D62541"/>
    <w:rsid w:val="00D627B7"/>
    <w:rsid w:val="00D63875"/>
    <w:rsid w:val="00D6446C"/>
    <w:rsid w:val="00D64696"/>
    <w:rsid w:val="00D662B8"/>
    <w:rsid w:val="00D66F8C"/>
    <w:rsid w:val="00D70797"/>
    <w:rsid w:val="00D73F64"/>
    <w:rsid w:val="00D74184"/>
    <w:rsid w:val="00D74A65"/>
    <w:rsid w:val="00D825C8"/>
    <w:rsid w:val="00D858AF"/>
    <w:rsid w:val="00D87F19"/>
    <w:rsid w:val="00D90807"/>
    <w:rsid w:val="00D9144F"/>
    <w:rsid w:val="00D931E0"/>
    <w:rsid w:val="00D95E0D"/>
    <w:rsid w:val="00D961F4"/>
    <w:rsid w:val="00D971ED"/>
    <w:rsid w:val="00DA0F67"/>
    <w:rsid w:val="00DA1248"/>
    <w:rsid w:val="00DA5FAE"/>
    <w:rsid w:val="00DA6668"/>
    <w:rsid w:val="00DB1C49"/>
    <w:rsid w:val="00DB33E7"/>
    <w:rsid w:val="00DB4640"/>
    <w:rsid w:val="00DB573E"/>
    <w:rsid w:val="00DB5D99"/>
    <w:rsid w:val="00DB67ED"/>
    <w:rsid w:val="00DB6FFA"/>
    <w:rsid w:val="00DC034B"/>
    <w:rsid w:val="00DC1812"/>
    <w:rsid w:val="00DC34EC"/>
    <w:rsid w:val="00DC431F"/>
    <w:rsid w:val="00DC7903"/>
    <w:rsid w:val="00DD4E42"/>
    <w:rsid w:val="00DD4E9D"/>
    <w:rsid w:val="00DD6A9B"/>
    <w:rsid w:val="00DE0266"/>
    <w:rsid w:val="00DE0D97"/>
    <w:rsid w:val="00DE1021"/>
    <w:rsid w:val="00DE29E5"/>
    <w:rsid w:val="00DE3C2D"/>
    <w:rsid w:val="00DE4663"/>
    <w:rsid w:val="00DE4849"/>
    <w:rsid w:val="00DE745D"/>
    <w:rsid w:val="00DF30DF"/>
    <w:rsid w:val="00DF3795"/>
    <w:rsid w:val="00DF41B5"/>
    <w:rsid w:val="00DF5CAE"/>
    <w:rsid w:val="00DF5F88"/>
    <w:rsid w:val="00DF67BA"/>
    <w:rsid w:val="00DF6DD4"/>
    <w:rsid w:val="00DF78B3"/>
    <w:rsid w:val="00E01563"/>
    <w:rsid w:val="00E02BB0"/>
    <w:rsid w:val="00E031FB"/>
    <w:rsid w:val="00E03B44"/>
    <w:rsid w:val="00E0692D"/>
    <w:rsid w:val="00E07023"/>
    <w:rsid w:val="00E10426"/>
    <w:rsid w:val="00E10913"/>
    <w:rsid w:val="00E11EF3"/>
    <w:rsid w:val="00E12BFB"/>
    <w:rsid w:val="00E14A36"/>
    <w:rsid w:val="00E1749B"/>
    <w:rsid w:val="00E17927"/>
    <w:rsid w:val="00E24E38"/>
    <w:rsid w:val="00E25757"/>
    <w:rsid w:val="00E26251"/>
    <w:rsid w:val="00E26FCC"/>
    <w:rsid w:val="00E319F1"/>
    <w:rsid w:val="00E3299D"/>
    <w:rsid w:val="00E33DEA"/>
    <w:rsid w:val="00E33FD7"/>
    <w:rsid w:val="00E34F6D"/>
    <w:rsid w:val="00E3576C"/>
    <w:rsid w:val="00E36535"/>
    <w:rsid w:val="00E415CF"/>
    <w:rsid w:val="00E41BD3"/>
    <w:rsid w:val="00E448FC"/>
    <w:rsid w:val="00E45CF5"/>
    <w:rsid w:val="00E45FD8"/>
    <w:rsid w:val="00E46EA5"/>
    <w:rsid w:val="00E47A73"/>
    <w:rsid w:val="00E47D2D"/>
    <w:rsid w:val="00E501DC"/>
    <w:rsid w:val="00E50577"/>
    <w:rsid w:val="00E51DD3"/>
    <w:rsid w:val="00E523E4"/>
    <w:rsid w:val="00E52459"/>
    <w:rsid w:val="00E5531E"/>
    <w:rsid w:val="00E55C3F"/>
    <w:rsid w:val="00E57E7F"/>
    <w:rsid w:val="00E638A6"/>
    <w:rsid w:val="00E65FA9"/>
    <w:rsid w:val="00E66563"/>
    <w:rsid w:val="00E667FB"/>
    <w:rsid w:val="00E70A28"/>
    <w:rsid w:val="00E70E4C"/>
    <w:rsid w:val="00E729F1"/>
    <w:rsid w:val="00E7363B"/>
    <w:rsid w:val="00E755F9"/>
    <w:rsid w:val="00E81DC7"/>
    <w:rsid w:val="00E829ED"/>
    <w:rsid w:val="00E82D20"/>
    <w:rsid w:val="00E839FF"/>
    <w:rsid w:val="00E83CE6"/>
    <w:rsid w:val="00E91146"/>
    <w:rsid w:val="00E93804"/>
    <w:rsid w:val="00E93ACB"/>
    <w:rsid w:val="00E9530D"/>
    <w:rsid w:val="00E96506"/>
    <w:rsid w:val="00E96D40"/>
    <w:rsid w:val="00E96DB2"/>
    <w:rsid w:val="00E97252"/>
    <w:rsid w:val="00E977C1"/>
    <w:rsid w:val="00EA0044"/>
    <w:rsid w:val="00EA0060"/>
    <w:rsid w:val="00EA2C08"/>
    <w:rsid w:val="00EA4FF8"/>
    <w:rsid w:val="00EA69AC"/>
    <w:rsid w:val="00EB2D1F"/>
    <w:rsid w:val="00EB411A"/>
    <w:rsid w:val="00EB5DC9"/>
    <w:rsid w:val="00EB684E"/>
    <w:rsid w:val="00EB755D"/>
    <w:rsid w:val="00EC0719"/>
    <w:rsid w:val="00EC25CF"/>
    <w:rsid w:val="00EC2722"/>
    <w:rsid w:val="00EC2B9A"/>
    <w:rsid w:val="00EC4694"/>
    <w:rsid w:val="00EC4AA4"/>
    <w:rsid w:val="00ED03BF"/>
    <w:rsid w:val="00ED053A"/>
    <w:rsid w:val="00ED2E9A"/>
    <w:rsid w:val="00EE0185"/>
    <w:rsid w:val="00EE0CBF"/>
    <w:rsid w:val="00EE53CA"/>
    <w:rsid w:val="00EE7D55"/>
    <w:rsid w:val="00EE7DF7"/>
    <w:rsid w:val="00EF040F"/>
    <w:rsid w:val="00EF1678"/>
    <w:rsid w:val="00EF26D0"/>
    <w:rsid w:val="00EF5FDB"/>
    <w:rsid w:val="00EF60E9"/>
    <w:rsid w:val="00EF7CF6"/>
    <w:rsid w:val="00F02BDD"/>
    <w:rsid w:val="00F04AD6"/>
    <w:rsid w:val="00F05002"/>
    <w:rsid w:val="00F0584A"/>
    <w:rsid w:val="00F13D3F"/>
    <w:rsid w:val="00F1554E"/>
    <w:rsid w:val="00F17A30"/>
    <w:rsid w:val="00F20D35"/>
    <w:rsid w:val="00F21CF6"/>
    <w:rsid w:val="00F24922"/>
    <w:rsid w:val="00F2681C"/>
    <w:rsid w:val="00F279AD"/>
    <w:rsid w:val="00F300E0"/>
    <w:rsid w:val="00F30DB3"/>
    <w:rsid w:val="00F3142A"/>
    <w:rsid w:val="00F31CD6"/>
    <w:rsid w:val="00F321AF"/>
    <w:rsid w:val="00F33E36"/>
    <w:rsid w:val="00F33EC3"/>
    <w:rsid w:val="00F4197B"/>
    <w:rsid w:val="00F41C1B"/>
    <w:rsid w:val="00F43BA7"/>
    <w:rsid w:val="00F440EF"/>
    <w:rsid w:val="00F44C52"/>
    <w:rsid w:val="00F4536C"/>
    <w:rsid w:val="00F46ACD"/>
    <w:rsid w:val="00F50E64"/>
    <w:rsid w:val="00F50EEF"/>
    <w:rsid w:val="00F548D9"/>
    <w:rsid w:val="00F55531"/>
    <w:rsid w:val="00F5556D"/>
    <w:rsid w:val="00F5781A"/>
    <w:rsid w:val="00F579DE"/>
    <w:rsid w:val="00F610E1"/>
    <w:rsid w:val="00F628F0"/>
    <w:rsid w:val="00F6529C"/>
    <w:rsid w:val="00F70672"/>
    <w:rsid w:val="00F70920"/>
    <w:rsid w:val="00F71AB1"/>
    <w:rsid w:val="00F71C4B"/>
    <w:rsid w:val="00F73817"/>
    <w:rsid w:val="00F73EE4"/>
    <w:rsid w:val="00F74068"/>
    <w:rsid w:val="00F748D1"/>
    <w:rsid w:val="00F77CC4"/>
    <w:rsid w:val="00F85136"/>
    <w:rsid w:val="00F86114"/>
    <w:rsid w:val="00F909EF"/>
    <w:rsid w:val="00F92126"/>
    <w:rsid w:val="00F92EA4"/>
    <w:rsid w:val="00F94893"/>
    <w:rsid w:val="00F94C86"/>
    <w:rsid w:val="00F96BF4"/>
    <w:rsid w:val="00F972C1"/>
    <w:rsid w:val="00FA0B68"/>
    <w:rsid w:val="00FA0B90"/>
    <w:rsid w:val="00FA0C5C"/>
    <w:rsid w:val="00FA10B1"/>
    <w:rsid w:val="00FA17BC"/>
    <w:rsid w:val="00FA28F4"/>
    <w:rsid w:val="00FA4160"/>
    <w:rsid w:val="00FA5AD6"/>
    <w:rsid w:val="00FA5F3A"/>
    <w:rsid w:val="00FA6485"/>
    <w:rsid w:val="00FB3600"/>
    <w:rsid w:val="00FB40CE"/>
    <w:rsid w:val="00FB4EC1"/>
    <w:rsid w:val="00FB52A2"/>
    <w:rsid w:val="00FB5943"/>
    <w:rsid w:val="00FB599B"/>
    <w:rsid w:val="00FB67F2"/>
    <w:rsid w:val="00FB7150"/>
    <w:rsid w:val="00FB72FE"/>
    <w:rsid w:val="00FB7B59"/>
    <w:rsid w:val="00FC01AC"/>
    <w:rsid w:val="00FC1887"/>
    <w:rsid w:val="00FC230D"/>
    <w:rsid w:val="00FC2A3E"/>
    <w:rsid w:val="00FC3BCE"/>
    <w:rsid w:val="00FC4679"/>
    <w:rsid w:val="00FC5814"/>
    <w:rsid w:val="00FD0BDD"/>
    <w:rsid w:val="00FD131E"/>
    <w:rsid w:val="00FD1637"/>
    <w:rsid w:val="00FD2175"/>
    <w:rsid w:val="00FD65D4"/>
    <w:rsid w:val="00FD6E7D"/>
    <w:rsid w:val="00FD6EE4"/>
    <w:rsid w:val="00FE1B24"/>
    <w:rsid w:val="00FE2AD4"/>
    <w:rsid w:val="00FE3A82"/>
    <w:rsid w:val="00FE464C"/>
    <w:rsid w:val="00FE531B"/>
    <w:rsid w:val="00FE572B"/>
    <w:rsid w:val="00FE58B1"/>
    <w:rsid w:val="00FE6577"/>
    <w:rsid w:val="00FE68CC"/>
    <w:rsid w:val="00FF1999"/>
    <w:rsid w:val="00FF1D14"/>
    <w:rsid w:val="00FF1E0A"/>
    <w:rsid w:val="00FF2D1F"/>
    <w:rsid w:val="00FF39C0"/>
    <w:rsid w:val="00FF4BF0"/>
    <w:rsid w:val="00FF6404"/>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2377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B5D9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52377B"/>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A706D2"/>
    <w:rPr>
      <w:color w:val="0000FF" w:themeColor="hyperlink"/>
      <w:u w:val="single"/>
    </w:rPr>
  </w:style>
  <w:style w:type="character" w:styleId="UnresolvedMention">
    <w:name w:val="Unresolved Mention"/>
    <w:basedOn w:val="DefaultParagraphFont"/>
    <w:uiPriority w:val="99"/>
    <w:semiHidden/>
    <w:unhideWhenUsed/>
    <w:rsid w:val="00A706D2"/>
    <w:rPr>
      <w:color w:val="605E5C"/>
      <w:shd w:val="clear" w:color="auto" w:fill="E1DFDD"/>
    </w:rPr>
  </w:style>
  <w:style w:type="table" w:styleId="GridTable6Colorful">
    <w:name w:val="Grid Table 6 Colorful"/>
    <w:basedOn w:val="TableNormal"/>
    <w:uiPriority w:val="51"/>
    <w:rsid w:val="00B07A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B07A4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51920"/>
    <w:rPr>
      <w:i/>
      <w:iCs/>
    </w:rPr>
  </w:style>
  <w:style w:type="character" w:customStyle="1" w:styleId="Heading4Char">
    <w:name w:val="Heading 4 Char"/>
    <w:basedOn w:val="DefaultParagraphFont"/>
    <w:link w:val="Heading4"/>
    <w:uiPriority w:val="9"/>
    <w:semiHidden/>
    <w:rsid w:val="00DB5D99"/>
    <w:rPr>
      <w:rFonts w:asciiTheme="majorHAnsi" w:eastAsiaTheme="majorEastAsia" w:hAnsiTheme="majorHAnsi" w:cstheme="majorBidi"/>
      <w:i/>
      <w:iCs/>
      <w:color w:val="365F91" w:themeColor="accent1" w:themeShade="BF"/>
    </w:rPr>
  </w:style>
  <w:style w:type="table" w:styleId="TableGridLight">
    <w:name w:val="Grid Table Light"/>
    <w:basedOn w:val="TableNormal"/>
    <w:uiPriority w:val="40"/>
    <w:rsid w:val="001715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E729F1"/>
    <w:rPr>
      <w:color w:val="800080" w:themeColor="followedHyperlink"/>
      <w:u w:val="single"/>
    </w:rPr>
  </w:style>
  <w:style w:type="paragraph" w:styleId="NoSpacing">
    <w:name w:val="No Spacing"/>
    <w:link w:val="NoSpacingChar"/>
    <w:uiPriority w:val="1"/>
    <w:qFormat/>
    <w:rsid w:val="00620523"/>
    <w:pPr>
      <w:spacing w:after="0" w:line="240" w:lineRule="auto"/>
    </w:pPr>
    <w:rPr>
      <w:rFonts w:eastAsiaTheme="minorEastAsia"/>
    </w:rPr>
  </w:style>
  <w:style w:type="character" w:customStyle="1" w:styleId="NoSpacingChar">
    <w:name w:val="No Spacing Char"/>
    <w:basedOn w:val="DefaultParagraphFont"/>
    <w:link w:val="NoSpacing"/>
    <w:uiPriority w:val="1"/>
    <w:rsid w:val="00620523"/>
    <w:rPr>
      <w:rFonts w:eastAsiaTheme="minorEastAsia"/>
    </w:rPr>
  </w:style>
  <w:style w:type="table" w:styleId="GridTable4-Accent1">
    <w:name w:val="Grid Table 4 Accent 1"/>
    <w:basedOn w:val="TableNormal"/>
    <w:uiPriority w:val="49"/>
    <w:rsid w:val="002D73E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7702018">
      <w:bodyDiv w:val="1"/>
      <w:marLeft w:val="0"/>
      <w:marRight w:val="0"/>
      <w:marTop w:val="0"/>
      <w:marBottom w:val="0"/>
      <w:divBdr>
        <w:top w:val="none" w:sz="0" w:space="0" w:color="auto"/>
        <w:left w:val="none" w:sz="0" w:space="0" w:color="auto"/>
        <w:bottom w:val="none" w:sz="0" w:space="0" w:color="auto"/>
        <w:right w:val="none" w:sz="0" w:space="0" w:color="auto"/>
      </w:divBdr>
    </w:div>
    <w:div w:id="77136225">
      <w:bodyDiv w:val="1"/>
      <w:marLeft w:val="0"/>
      <w:marRight w:val="0"/>
      <w:marTop w:val="0"/>
      <w:marBottom w:val="0"/>
      <w:divBdr>
        <w:top w:val="none" w:sz="0" w:space="0" w:color="auto"/>
        <w:left w:val="none" w:sz="0" w:space="0" w:color="auto"/>
        <w:bottom w:val="none" w:sz="0" w:space="0" w:color="auto"/>
        <w:right w:val="none" w:sz="0" w:space="0" w:color="auto"/>
      </w:divBdr>
    </w:div>
    <w:div w:id="77140774">
      <w:bodyDiv w:val="1"/>
      <w:marLeft w:val="0"/>
      <w:marRight w:val="0"/>
      <w:marTop w:val="0"/>
      <w:marBottom w:val="0"/>
      <w:divBdr>
        <w:top w:val="none" w:sz="0" w:space="0" w:color="auto"/>
        <w:left w:val="none" w:sz="0" w:space="0" w:color="auto"/>
        <w:bottom w:val="none" w:sz="0" w:space="0" w:color="auto"/>
        <w:right w:val="none" w:sz="0" w:space="0" w:color="auto"/>
      </w:divBdr>
    </w:div>
    <w:div w:id="97213352">
      <w:bodyDiv w:val="1"/>
      <w:marLeft w:val="0"/>
      <w:marRight w:val="0"/>
      <w:marTop w:val="0"/>
      <w:marBottom w:val="0"/>
      <w:divBdr>
        <w:top w:val="none" w:sz="0" w:space="0" w:color="auto"/>
        <w:left w:val="none" w:sz="0" w:space="0" w:color="auto"/>
        <w:bottom w:val="none" w:sz="0" w:space="0" w:color="auto"/>
        <w:right w:val="none" w:sz="0" w:space="0" w:color="auto"/>
      </w:divBdr>
    </w:div>
    <w:div w:id="102503030">
      <w:bodyDiv w:val="1"/>
      <w:marLeft w:val="0"/>
      <w:marRight w:val="0"/>
      <w:marTop w:val="0"/>
      <w:marBottom w:val="0"/>
      <w:divBdr>
        <w:top w:val="none" w:sz="0" w:space="0" w:color="auto"/>
        <w:left w:val="none" w:sz="0" w:space="0" w:color="auto"/>
        <w:bottom w:val="none" w:sz="0" w:space="0" w:color="auto"/>
        <w:right w:val="none" w:sz="0" w:space="0" w:color="auto"/>
      </w:divBdr>
    </w:div>
    <w:div w:id="111289796">
      <w:bodyDiv w:val="1"/>
      <w:marLeft w:val="0"/>
      <w:marRight w:val="0"/>
      <w:marTop w:val="0"/>
      <w:marBottom w:val="0"/>
      <w:divBdr>
        <w:top w:val="none" w:sz="0" w:space="0" w:color="auto"/>
        <w:left w:val="none" w:sz="0" w:space="0" w:color="auto"/>
        <w:bottom w:val="none" w:sz="0" w:space="0" w:color="auto"/>
        <w:right w:val="none" w:sz="0" w:space="0" w:color="auto"/>
      </w:divBdr>
    </w:div>
    <w:div w:id="149948666">
      <w:bodyDiv w:val="1"/>
      <w:marLeft w:val="0"/>
      <w:marRight w:val="0"/>
      <w:marTop w:val="0"/>
      <w:marBottom w:val="0"/>
      <w:divBdr>
        <w:top w:val="none" w:sz="0" w:space="0" w:color="auto"/>
        <w:left w:val="none" w:sz="0" w:space="0" w:color="auto"/>
        <w:bottom w:val="none" w:sz="0" w:space="0" w:color="auto"/>
        <w:right w:val="none" w:sz="0" w:space="0" w:color="auto"/>
      </w:divBdr>
    </w:div>
    <w:div w:id="164708665">
      <w:bodyDiv w:val="1"/>
      <w:marLeft w:val="0"/>
      <w:marRight w:val="0"/>
      <w:marTop w:val="0"/>
      <w:marBottom w:val="0"/>
      <w:divBdr>
        <w:top w:val="none" w:sz="0" w:space="0" w:color="auto"/>
        <w:left w:val="none" w:sz="0" w:space="0" w:color="auto"/>
        <w:bottom w:val="none" w:sz="0" w:space="0" w:color="auto"/>
        <w:right w:val="none" w:sz="0" w:space="0" w:color="auto"/>
      </w:divBdr>
    </w:div>
    <w:div w:id="170531350">
      <w:bodyDiv w:val="1"/>
      <w:marLeft w:val="0"/>
      <w:marRight w:val="0"/>
      <w:marTop w:val="0"/>
      <w:marBottom w:val="0"/>
      <w:divBdr>
        <w:top w:val="none" w:sz="0" w:space="0" w:color="auto"/>
        <w:left w:val="none" w:sz="0" w:space="0" w:color="auto"/>
        <w:bottom w:val="none" w:sz="0" w:space="0" w:color="auto"/>
        <w:right w:val="none" w:sz="0" w:space="0" w:color="auto"/>
      </w:divBdr>
    </w:div>
    <w:div w:id="189925060">
      <w:bodyDiv w:val="1"/>
      <w:marLeft w:val="0"/>
      <w:marRight w:val="0"/>
      <w:marTop w:val="0"/>
      <w:marBottom w:val="0"/>
      <w:divBdr>
        <w:top w:val="none" w:sz="0" w:space="0" w:color="auto"/>
        <w:left w:val="none" w:sz="0" w:space="0" w:color="auto"/>
        <w:bottom w:val="none" w:sz="0" w:space="0" w:color="auto"/>
        <w:right w:val="none" w:sz="0" w:space="0" w:color="auto"/>
      </w:divBdr>
    </w:div>
    <w:div w:id="230311650">
      <w:bodyDiv w:val="1"/>
      <w:marLeft w:val="0"/>
      <w:marRight w:val="0"/>
      <w:marTop w:val="0"/>
      <w:marBottom w:val="0"/>
      <w:divBdr>
        <w:top w:val="none" w:sz="0" w:space="0" w:color="auto"/>
        <w:left w:val="none" w:sz="0" w:space="0" w:color="auto"/>
        <w:bottom w:val="none" w:sz="0" w:space="0" w:color="auto"/>
        <w:right w:val="none" w:sz="0" w:space="0" w:color="auto"/>
      </w:divBdr>
    </w:div>
    <w:div w:id="244339101">
      <w:bodyDiv w:val="1"/>
      <w:marLeft w:val="0"/>
      <w:marRight w:val="0"/>
      <w:marTop w:val="0"/>
      <w:marBottom w:val="0"/>
      <w:divBdr>
        <w:top w:val="none" w:sz="0" w:space="0" w:color="auto"/>
        <w:left w:val="none" w:sz="0" w:space="0" w:color="auto"/>
        <w:bottom w:val="none" w:sz="0" w:space="0" w:color="auto"/>
        <w:right w:val="none" w:sz="0" w:space="0" w:color="auto"/>
      </w:divBdr>
    </w:div>
    <w:div w:id="311636871">
      <w:bodyDiv w:val="1"/>
      <w:marLeft w:val="0"/>
      <w:marRight w:val="0"/>
      <w:marTop w:val="0"/>
      <w:marBottom w:val="0"/>
      <w:divBdr>
        <w:top w:val="none" w:sz="0" w:space="0" w:color="auto"/>
        <w:left w:val="none" w:sz="0" w:space="0" w:color="auto"/>
        <w:bottom w:val="none" w:sz="0" w:space="0" w:color="auto"/>
        <w:right w:val="none" w:sz="0" w:space="0" w:color="auto"/>
      </w:divBdr>
    </w:div>
    <w:div w:id="336881863">
      <w:bodyDiv w:val="1"/>
      <w:marLeft w:val="0"/>
      <w:marRight w:val="0"/>
      <w:marTop w:val="0"/>
      <w:marBottom w:val="0"/>
      <w:divBdr>
        <w:top w:val="none" w:sz="0" w:space="0" w:color="auto"/>
        <w:left w:val="none" w:sz="0" w:space="0" w:color="auto"/>
        <w:bottom w:val="none" w:sz="0" w:space="0" w:color="auto"/>
        <w:right w:val="none" w:sz="0" w:space="0" w:color="auto"/>
      </w:divBdr>
    </w:div>
    <w:div w:id="404575360">
      <w:bodyDiv w:val="1"/>
      <w:marLeft w:val="0"/>
      <w:marRight w:val="0"/>
      <w:marTop w:val="0"/>
      <w:marBottom w:val="0"/>
      <w:divBdr>
        <w:top w:val="none" w:sz="0" w:space="0" w:color="auto"/>
        <w:left w:val="none" w:sz="0" w:space="0" w:color="auto"/>
        <w:bottom w:val="none" w:sz="0" w:space="0" w:color="auto"/>
        <w:right w:val="none" w:sz="0" w:space="0" w:color="auto"/>
      </w:divBdr>
    </w:div>
    <w:div w:id="421998345">
      <w:bodyDiv w:val="1"/>
      <w:marLeft w:val="0"/>
      <w:marRight w:val="0"/>
      <w:marTop w:val="0"/>
      <w:marBottom w:val="0"/>
      <w:divBdr>
        <w:top w:val="none" w:sz="0" w:space="0" w:color="auto"/>
        <w:left w:val="none" w:sz="0" w:space="0" w:color="auto"/>
        <w:bottom w:val="none" w:sz="0" w:space="0" w:color="auto"/>
        <w:right w:val="none" w:sz="0" w:space="0" w:color="auto"/>
      </w:divBdr>
    </w:div>
    <w:div w:id="431514229">
      <w:bodyDiv w:val="1"/>
      <w:marLeft w:val="0"/>
      <w:marRight w:val="0"/>
      <w:marTop w:val="0"/>
      <w:marBottom w:val="0"/>
      <w:divBdr>
        <w:top w:val="none" w:sz="0" w:space="0" w:color="auto"/>
        <w:left w:val="none" w:sz="0" w:space="0" w:color="auto"/>
        <w:bottom w:val="none" w:sz="0" w:space="0" w:color="auto"/>
        <w:right w:val="none" w:sz="0" w:space="0" w:color="auto"/>
      </w:divBdr>
    </w:div>
    <w:div w:id="460270412">
      <w:bodyDiv w:val="1"/>
      <w:marLeft w:val="0"/>
      <w:marRight w:val="0"/>
      <w:marTop w:val="0"/>
      <w:marBottom w:val="0"/>
      <w:divBdr>
        <w:top w:val="none" w:sz="0" w:space="0" w:color="auto"/>
        <w:left w:val="none" w:sz="0" w:space="0" w:color="auto"/>
        <w:bottom w:val="none" w:sz="0" w:space="0" w:color="auto"/>
        <w:right w:val="none" w:sz="0" w:space="0" w:color="auto"/>
      </w:divBdr>
    </w:div>
    <w:div w:id="463471044">
      <w:bodyDiv w:val="1"/>
      <w:marLeft w:val="0"/>
      <w:marRight w:val="0"/>
      <w:marTop w:val="0"/>
      <w:marBottom w:val="0"/>
      <w:divBdr>
        <w:top w:val="none" w:sz="0" w:space="0" w:color="auto"/>
        <w:left w:val="none" w:sz="0" w:space="0" w:color="auto"/>
        <w:bottom w:val="none" w:sz="0" w:space="0" w:color="auto"/>
        <w:right w:val="none" w:sz="0" w:space="0" w:color="auto"/>
      </w:divBdr>
    </w:div>
    <w:div w:id="527374220">
      <w:bodyDiv w:val="1"/>
      <w:marLeft w:val="0"/>
      <w:marRight w:val="0"/>
      <w:marTop w:val="0"/>
      <w:marBottom w:val="0"/>
      <w:divBdr>
        <w:top w:val="none" w:sz="0" w:space="0" w:color="auto"/>
        <w:left w:val="none" w:sz="0" w:space="0" w:color="auto"/>
        <w:bottom w:val="none" w:sz="0" w:space="0" w:color="auto"/>
        <w:right w:val="none" w:sz="0" w:space="0" w:color="auto"/>
      </w:divBdr>
    </w:div>
    <w:div w:id="573852361">
      <w:bodyDiv w:val="1"/>
      <w:marLeft w:val="0"/>
      <w:marRight w:val="0"/>
      <w:marTop w:val="0"/>
      <w:marBottom w:val="0"/>
      <w:divBdr>
        <w:top w:val="none" w:sz="0" w:space="0" w:color="auto"/>
        <w:left w:val="none" w:sz="0" w:space="0" w:color="auto"/>
        <w:bottom w:val="none" w:sz="0" w:space="0" w:color="auto"/>
        <w:right w:val="none" w:sz="0" w:space="0" w:color="auto"/>
      </w:divBdr>
    </w:div>
    <w:div w:id="595210389">
      <w:bodyDiv w:val="1"/>
      <w:marLeft w:val="0"/>
      <w:marRight w:val="0"/>
      <w:marTop w:val="0"/>
      <w:marBottom w:val="0"/>
      <w:divBdr>
        <w:top w:val="none" w:sz="0" w:space="0" w:color="auto"/>
        <w:left w:val="none" w:sz="0" w:space="0" w:color="auto"/>
        <w:bottom w:val="none" w:sz="0" w:space="0" w:color="auto"/>
        <w:right w:val="none" w:sz="0" w:space="0" w:color="auto"/>
      </w:divBdr>
    </w:div>
    <w:div w:id="639651942">
      <w:bodyDiv w:val="1"/>
      <w:marLeft w:val="0"/>
      <w:marRight w:val="0"/>
      <w:marTop w:val="0"/>
      <w:marBottom w:val="0"/>
      <w:divBdr>
        <w:top w:val="none" w:sz="0" w:space="0" w:color="auto"/>
        <w:left w:val="none" w:sz="0" w:space="0" w:color="auto"/>
        <w:bottom w:val="none" w:sz="0" w:space="0" w:color="auto"/>
        <w:right w:val="none" w:sz="0" w:space="0" w:color="auto"/>
      </w:divBdr>
    </w:div>
    <w:div w:id="669917470">
      <w:bodyDiv w:val="1"/>
      <w:marLeft w:val="0"/>
      <w:marRight w:val="0"/>
      <w:marTop w:val="0"/>
      <w:marBottom w:val="0"/>
      <w:divBdr>
        <w:top w:val="none" w:sz="0" w:space="0" w:color="auto"/>
        <w:left w:val="none" w:sz="0" w:space="0" w:color="auto"/>
        <w:bottom w:val="none" w:sz="0" w:space="0" w:color="auto"/>
        <w:right w:val="none" w:sz="0" w:space="0" w:color="auto"/>
      </w:divBdr>
    </w:div>
    <w:div w:id="731343356">
      <w:bodyDiv w:val="1"/>
      <w:marLeft w:val="0"/>
      <w:marRight w:val="0"/>
      <w:marTop w:val="0"/>
      <w:marBottom w:val="0"/>
      <w:divBdr>
        <w:top w:val="none" w:sz="0" w:space="0" w:color="auto"/>
        <w:left w:val="none" w:sz="0" w:space="0" w:color="auto"/>
        <w:bottom w:val="none" w:sz="0" w:space="0" w:color="auto"/>
        <w:right w:val="none" w:sz="0" w:space="0" w:color="auto"/>
      </w:divBdr>
    </w:div>
    <w:div w:id="754670426">
      <w:bodyDiv w:val="1"/>
      <w:marLeft w:val="0"/>
      <w:marRight w:val="0"/>
      <w:marTop w:val="0"/>
      <w:marBottom w:val="0"/>
      <w:divBdr>
        <w:top w:val="none" w:sz="0" w:space="0" w:color="auto"/>
        <w:left w:val="none" w:sz="0" w:space="0" w:color="auto"/>
        <w:bottom w:val="none" w:sz="0" w:space="0" w:color="auto"/>
        <w:right w:val="none" w:sz="0" w:space="0" w:color="auto"/>
      </w:divBdr>
    </w:div>
    <w:div w:id="757796849">
      <w:bodyDiv w:val="1"/>
      <w:marLeft w:val="0"/>
      <w:marRight w:val="0"/>
      <w:marTop w:val="0"/>
      <w:marBottom w:val="0"/>
      <w:divBdr>
        <w:top w:val="none" w:sz="0" w:space="0" w:color="auto"/>
        <w:left w:val="none" w:sz="0" w:space="0" w:color="auto"/>
        <w:bottom w:val="none" w:sz="0" w:space="0" w:color="auto"/>
        <w:right w:val="none" w:sz="0" w:space="0" w:color="auto"/>
      </w:divBdr>
    </w:div>
    <w:div w:id="800072375">
      <w:bodyDiv w:val="1"/>
      <w:marLeft w:val="0"/>
      <w:marRight w:val="0"/>
      <w:marTop w:val="0"/>
      <w:marBottom w:val="0"/>
      <w:divBdr>
        <w:top w:val="none" w:sz="0" w:space="0" w:color="auto"/>
        <w:left w:val="none" w:sz="0" w:space="0" w:color="auto"/>
        <w:bottom w:val="none" w:sz="0" w:space="0" w:color="auto"/>
        <w:right w:val="none" w:sz="0" w:space="0" w:color="auto"/>
      </w:divBdr>
    </w:div>
    <w:div w:id="832797644">
      <w:bodyDiv w:val="1"/>
      <w:marLeft w:val="0"/>
      <w:marRight w:val="0"/>
      <w:marTop w:val="0"/>
      <w:marBottom w:val="0"/>
      <w:divBdr>
        <w:top w:val="none" w:sz="0" w:space="0" w:color="auto"/>
        <w:left w:val="none" w:sz="0" w:space="0" w:color="auto"/>
        <w:bottom w:val="none" w:sz="0" w:space="0" w:color="auto"/>
        <w:right w:val="none" w:sz="0" w:space="0" w:color="auto"/>
      </w:divBdr>
    </w:div>
    <w:div w:id="916330612">
      <w:bodyDiv w:val="1"/>
      <w:marLeft w:val="0"/>
      <w:marRight w:val="0"/>
      <w:marTop w:val="0"/>
      <w:marBottom w:val="0"/>
      <w:divBdr>
        <w:top w:val="none" w:sz="0" w:space="0" w:color="auto"/>
        <w:left w:val="none" w:sz="0" w:space="0" w:color="auto"/>
        <w:bottom w:val="none" w:sz="0" w:space="0" w:color="auto"/>
        <w:right w:val="none" w:sz="0" w:space="0" w:color="auto"/>
      </w:divBdr>
    </w:div>
    <w:div w:id="935558579">
      <w:bodyDiv w:val="1"/>
      <w:marLeft w:val="0"/>
      <w:marRight w:val="0"/>
      <w:marTop w:val="0"/>
      <w:marBottom w:val="0"/>
      <w:divBdr>
        <w:top w:val="none" w:sz="0" w:space="0" w:color="auto"/>
        <w:left w:val="none" w:sz="0" w:space="0" w:color="auto"/>
        <w:bottom w:val="none" w:sz="0" w:space="0" w:color="auto"/>
        <w:right w:val="none" w:sz="0" w:space="0" w:color="auto"/>
      </w:divBdr>
    </w:div>
    <w:div w:id="945843741">
      <w:bodyDiv w:val="1"/>
      <w:marLeft w:val="0"/>
      <w:marRight w:val="0"/>
      <w:marTop w:val="0"/>
      <w:marBottom w:val="0"/>
      <w:divBdr>
        <w:top w:val="none" w:sz="0" w:space="0" w:color="auto"/>
        <w:left w:val="none" w:sz="0" w:space="0" w:color="auto"/>
        <w:bottom w:val="none" w:sz="0" w:space="0" w:color="auto"/>
        <w:right w:val="none" w:sz="0" w:space="0" w:color="auto"/>
      </w:divBdr>
    </w:div>
    <w:div w:id="95617863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1545436">
      <w:bodyDiv w:val="1"/>
      <w:marLeft w:val="0"/>
      <w:marRight w:val="0"/>
      <w:marTop w:val="0"/>
      <w:marBottom w:val="0"/>
      <w:divBdr>
        <w:top w:val="none" w:sz="0" w:space="0" w:color="auto"/>
        <w:left w:val="none" w:sz="0" w:space="0" w:color="auto"/>
        <w:bottom w:val="none" w:sz="0" w:space="0" w:color="auto"/>
        <w:right w:val="none" w:sz="0" w:space="0" w:color="auto"/>
      </w:divBdr>
    </w:div>
    <w:div w:id="1046837629">
      <w:bodyDiv w:val="1"/>
      <w:marLeft w:val="0"/>
      <w:marRight w:val="0"/>
      <w:marTop w:val="0"/>
      <w:marBottom w:val="0"/>
      <w:divBdr>
        <w:top w:val="none" w:sz="0" w:space="0" w:color="auto"/>
        <w:left w:val="none" w:sz="0" w:space="0" w:color="auto"/>
        <w:bottom w:val="none" w:sz="0" w:space="0" w:color="auto"/>
        <w:right w:val="none" w:sz="0" w:space="0" w:color="auto"/>
      </w:divBdr>
    </w:div>
    <w:div w:id="1052271181">
      <w:bodyDiv w:val="1"/>
      <w:marLeft w:val="0"/>
      <w:marRight w:val="0"/>
      <w:marTop w:val="0"/>
      <w:marBottom w:val="0"/>
      <w:divBdr>
        <w:top w:val="none" w:sz="0" w:space="0" w:color="auto"/>
        <w:left w:val="none" w:sz="0" w:space="0" w:color="auto"/>
        <w:bottom w:val="none" w:sz="0" w:space="0" w:color="auto"/>
        <w:right w:val="none" w:sz="0" w:space="0" w:color="auto"/>
      </w:divBdr>
    </w:div>
    <w:div w:id="1119492218">
      <w:bodyDiv w:val="1"/>
      <w:marLeft w:val="0"/>
      <w:marRight w:val="0"/>
      <w:marTop w:val="0"/>
      <w:marBottom w:val="0"/>
      <w:divBdr>
        <w:top w:val="none" w:sz="0" w:space="0" w:color="auto"/>
        <w:left w:val="none" w:sz="0" w:space="0" w:color="auto"/>
        <w:bottom w:val="none" w:sz="0" w:space="0" w:color="auto"/>
        <w:right w:val="none" w:sz="0" w:space="0" w:color="auto"/>
      </w:divBdr>
    </w:div>
    <w:div w:id="1133475860">
      <w:bodyDiv w:val="1"/>
      <w:marLeft w:val="0"/>
      <w:marRight w:val="0"/>
      <w:marTop w:val="0"/>
      <w:marBottom w:val="0"/>
      <w:divBdr>
        <w:top w:val="none" w:sz="0" w:space="0" w:color="auto"/>
        <w:left w:val="none" w:sz="0" w:space="0" w:color="auto"/>
        <w:bottom w:val="none" w:sz="0" w:space="0" w:color="auto"/>
        <w:right w:val="none" w:sz="0" w:space="0" w:color="auto"/>
      </w:divBdr>
    </w:div>
    <w:div w:id="1158497594">
      <w:bodyDiv w:val="1"/>
      <w:marLeft w:val="0"/>
      <w:marRight w:val="0"/>
      <w:marTop w:val="0"/>
      <w:marBottom w:val="0"/>
      <w:divBdr>
        <w:top w:val="none" w:sz="0" w:space="0" w:color="auto"/>
        <w:left w:val="none" w:sz="0" w:space="0" w:color="auto"/>
        <w:bottom w:val="none" w:sz="0" w:space="0" w:color="auto"/>
        <w:right w:val="none" w:sz="0" w:space="0" w:color="auto"/>
      </w:divBdr>
    </w:div>
    <w:div w:id="1163854386">
      <w:bodyDiv w:val="1"/>
      <w:marLeft w:val="0"/>
      <w:marRight w:val="0"/>
      <w:marTop w:val="0"/>
      <w:marBottom w:val="0"/>
      <w:divBdr>
        <w:top w:val="none" w:sz="0" w:space="0" w:color="auto"/>
        <w:left w:val="none" w:sz="0" w:space="0" w:color="auto"/>
        <w:bottom w:val="none" w:sz="0" w:space="0" w:color="auto"/>
        <w:right w:val="none" w:sz="0" w:space="0" w:color="auto"/>
      </w:divBdr>
    </w:div>
    <w:div w:id="1176724682">
      <w:bodyDiv w:val="1"/>
      <w:marLeft w:val="0"/>
      <w:marRight w:val="0"/>
      <w:marTop w:val="0"/>
      <w:marBottom w:val="0"/>
      <w:divBdr>
        <w:top w:val="none" w:sz="0" w:space="0" w:color="auto"/>
        <w:left w:val="none" w:sz="0" w:space="0" w:color="auto"/>
        <w:bottom w:val="none" w:sz="0" w:space="0" w:color="auto"/>
        <w:right w:val="none" w:sz="0" w:space="0" w:color="auto"/>
      </w:divBdr>
    </w:div>
    <w:div w:id="1188758728">
      <w:bodyDiv w:val="1"/>
      <w:marLeft w:val="0"/>
      <w:marRight w:val="0"/>
      <w:marTop w:val="0"/>
      <w:marBottom w:val="0"/>
      <w:divBdr>
        <w:top w:val="none" w:sz="0" w:space="0" w:color="auto"/>
        <w:left w:val="none" w:sz="0" w:space="0" w:color="auto"/>
        <w:bottom w:val="none" w:sz="0" w:space="0" w:color="auto"/>
        <w:right w:val="none" w:sz="0" w:space="0" w:color="auto"/>
      </w:divBdr>
    </w:div>
    <w:div w:id="1238397087">
      <w:bodyDiv w:val="1"/>
      <w:marLeft w:val="0"/>
      <w:marRight w:val="0"/>
      <w:marTop w:val="0"/>
      <w:marBottom w:val="0"/>
      <w:divBdr>
        <w:top w:val="none" w:sz="0" w:space="0" w:color="auto"/>
        <w:left w:val="none" w:sz="0" w:space="0" w:color="auto"/>
        <w:bottom w:val="none" w:sz="0" w:space="0" w:color="auto"/>
        <w:right w:val="none" w:sz="0" w:space="0" w:color="auto"/>
      </w:divBdr>
    </w:div>
    <w:div w:id="1244878441">
      <w:bodyDiv w:val="1"/>
      <w:marLeft w:val="0"/>
      <w:marRight w:val="0"/>
      <w:marTop w:val="0"/>
      <w:marBottom w:val="0"/>
      <w:divBdr>
        <w:top w:val="none" w:sz="0" w:space="0" w:color="auto"/>
        <w:left w:val="none" w:sz="0" w:space="0" w:color="auto"/>
        <w:bottom w:val="none" w:sz="0" w:space="0" w:color="auto"/>
        <w:right w:val="none" w:sz="0" w:space="0" w:color="auto"/>
      </w:divBdr>
    </w:div>
    <w:div w:id="1279097198">
      <w:bodyDiv w:val="1"/>
      <w:marLeft w:val="0"/>
      <w:marRight w:val="0"/>
      <w:marTop w:val="0"/>
      <w:marBottom w:val="0"/>
      <w:divBdr>
        <w:top w:val="none" w:sz="0" w:space="0" w:color="auto"/>
        <w:left w:val="none" w:sz="0" w:space="0" w:color="auto"/>
        <w:bottom w:val="none" w:sz="0" w:space="0" w:color="auto"/>
        <w:right w:val="none" w:sz="0" w:space="0" w:color="auto"/>
      </w:divBdr>
    </w:div>
    <w:div w:id="1321956555">
      <w:bodyDiv w:val="1"/>
      <w:marLeft w:val="0"/>
      <w:marRight w:val="0"/>
      <w:marTop w:val="0"/>
      <w:marBottom w:val="0"/>
      <w:divBdr>
        <w:top w:val="none" w:sz="0" w:space="0" w:color="auto"/>
        <w:left w:val="none" w:sz="0" w:space="0" w:color="auto"/>
        <w:bottom w:val="none" w:sz="0" w:space="0" w:color="auto"/>
        <w:right w:val="none" w:sz="0" w:space="0" w:color="auto"/>
      </w:divBdr>
    </w:div>
    <w:div w:id="1322613376">
      <w:bodyDiv w:val="1"/>
      <w:marLeft w:val="0"/>
      <w:marRight w:val="0"/>
      <w:marTop w:val="0"/>
      <w:marBottom w:val="0"/>
      <w:divBdr>
        <w:top w:val="none" w:sz="0" w:space="0" w:color="auto"/>
        <w:left w:val="none" w:sz="0" w:space="0" w:color="auto"/>
        <w:bottom w:val="none" w:sz="0" w:space="0" w:color="auto"/>
        <w:right w:val="none" w:sz="0" w:space="0" w:color="auto"/>
      </w:divBdr>
    </w:div>
    <w:div w:id="1333408134">
      <w:bodyDiv w:val="1"/>
      <w:marLeft w:val="0"/>
      <w:marRight w:val="0"/>
      <w:marTop w:val="0"/>
      <w:marBottom w:val="0"/>
      <w:divBdr>
        <w:top w:val="none" w:sz="0" w:space="0" w:color="auto"/>
        <w:left w:val="none" w:sz="0" w:space="0" w:color="auto"/>
        <w:bottom w:val="none" w:sz="0" w:space="0" w:color="auto"/>
        <w:right w:val="none" w:sz="0" w:space="0" w:color="auto"/>
      </w:divBdr>
    </w:div>
    <w:div w:id="1421023870">
      <w:bodyDiv w:val="1"/>
      <w:marLeft w:val="0"/>
      <w:marRight w:val="0"/>
      <w:marTop w:val="0"/>
      <w:marBottom w:val="0"/>
      <w:divBdr>
        <w:top w:val="none" w:sz="0" w:space="0" w:color="auto"/>
        <w:left w:val="none" w:sz="0" w:space="0" w:color="auto"/>
        <w:bottom w:val="none" w:sz="0" w:space="0" w:color="auto"/>
        <w:right w:val="none" w:sz="0" w:space="0" w:color="auto"/>
      </w:divBdr>
    </w:div>
    <w:div w:id="1451634086">
      <w:bodyDiv w:val="1"/>
      <w:marLeft w:val="0"/>
      <w:marRight w:val="0"/>
      <w:marTop w:val="0"/>
      <w:marBottom w:val="0"/>
      <w:divBdr>
        <w:top w:val="none" w:sz="0" w:space="0" w:color="auto"/>
        <w:left w:val="none" w:sz="0" w:space="0" w:color="auto"/>
        <w:bottom w:val="none" w:sz="0" w:space="0" w:color="auto"/>
        <w:right w:val="none" w:sz="0" w:space="0" w:color="auto"/>
      </w:divBdr>
    </w:div>
    <w:div w:id="1454523612">
      <w:bodyDiv w:val="1"/>
      <w:marLeft w:val="0"/>
      <w:marRight w:val="0"/>
      <w:marTop w:val="0"/>
      <w:marBottom w:val="0"/>
      <w:divBdr>
        <w:top w:val="none" w:sz="0" w:space="0" w:color="auto"/>
        <w:left w:val="none" w:sz="0" w:space="0" w:color="auto"/>
        <w:bottom w:val="none" w:sz="0" w:space="0" w:color="auto"/>
        <w:right w:val="none" w:sz="0" w:space="0" w:color="auto"/>
      </w:divBdr>
    </w:div>
    <w:div w:id="1477649087">
      <w:bodyDiv w:val="1"/>
      <w:marLeft w:val="0"/>
      <w:marRight w:val="0"/>
      <w:marTop w:val="0"/>
      <w:marBottom w:val="0"/>
      <w:divBdr>
        <w:top w:val="none" w:sz="0" w:space="0" w:color="auto"/>
        <w:left w:val="none" w:sz="0" w:space="0" w:color="auto"/>
        <w:bottom w:val="none" w:sz="0" w:space="0" w:color="auto"/>
        <w:right w:val="none" w:sz="0" w:space="0" w:color="auto"/>
      </w:divBdr>
    </w:div>
    <w:div w:id="1546747302">
      <w:bodyDiv w:val="1"/>
      <w:marLeft w:val="0"/>
      <w:marRight w:val="0"/>
      <w:marTop w:val="0"/>
      <w:marBottom w:val="0"/>
      <w:divBdr>
        <w:top w:val="none" w:sz="0" w:space="0" w:color="auto"/>
        <w:left w:val="none" w:sz="0" w:space="0" w:color="auto"/>
        <w:bottom w:val="none" w:sz="0" w:space="0" w:color="auto"/>
        <w:right w:val="none" w:sz="0" w:space="0" w:color="auto"/>
      </w:divBdr>
    </w:div>
    <w:div w:id="1568759123">
      <w:bodyDiv w:val="1"/>
      <w:marLeft w:val="0"/>
      <w:marRight w:val="0"/>
      <w:marTop w:val="0"/>
      <w:marBottom w:val="0"/>
      <w:divBdr>
        <w:top w:val="none" w:sz="0" w:space="0" w:color="auto"/>
        <w:left w:val="none" w:sz="0" w:space="0" w:color="auto"/>
        <w:bottom w:val="none" w:sz="0" w:space="0" w:color="auto"/>
        <w:right w:val="none" w:sz="0" w:space="0" w:color="auto"/>
      </w:divBdr>
    </w:div>
    <w:div w:id="1574386732">
      <w:bodyDiv w:val="1"/>
      <w:marLeft w:val="0"/>
      <w:marRight w:val="0"/>
      <w:marTop w:val="0"/>
      <w:marBottom w:val="0"/>
      <w:divBdr>
        <w:top w:val="none" w:sz="0" w:space="0" w:color="auto"/>
        <w:left w:val="none" w:sz="0" w:space="0" w:color="auto"/>
        <w:bottom w:val="none" w:sz="0" w:space="0" w:color="auto"/>
        <w:right w:val="none" w:sz="0" w:space="0" w:color="auto"/>
      </w:divBdr>
    </w:div>
    <w:div w:id="1589802745">
      <w:bodyDiv w:val="1"/>
      <w:marLeft w:val="0"/>
      <w:marRight w:val="0"/>
      <w:marTop w:val="0"/>
      <w:marBottom w:val="0"/>
      <w:divBdr>
        <w:top w:val="none" w:sz="0" w:space="0" w:color="auto"/>
        <w:left w:val="none" w:sz="0" w:space="0" w:color="auto"/>
        <w:bottom w:val="none" w:sz="0" w:space="0" w:color="auto"/>
        <w:right w:val="none" w:sz="0" w:space="0" w:color="auto"/>
      </w:divBdr>
    </w:div>
    <w:div w:id="1615087796">
      <w:bodyDiv w:val="1"/>
      <w:marLeft w:val="0"/>
      <w:marRight w:val="0"/>
      <w:marTop w:val="0"/>
      <w:marBottom w:val="0"/>
      <w:divBdr>
        <w:top w:val="none" w:sz="0" w:space="0" w:color="auto"/>
        <w:left w:val="none" w:sz="0" w:space="0" w:color="auto"/>
        <w:bottom w:val="none" w:sz="0" w:space="0" w:color="auto"/>
        <w:right w:val="none" w:sz="0" w:space="0" w:color="auto"/>
      </w:divBdr>
    </w:div>
    <w:div w:id="1617982557">
      <w:bodyDiv w:val="1"/>
      <w:marLeft w:val="0"/>
      <w:marRight w:val="0"/>
      <w:marTop w:val="0"/>
      <w:marBottom w:val="0"/>
      <w:divBdr>
        <w:top w:val="none" w:sz="0" w:space="0" w:color="auto"/>
        <w:left w:val="none" w:sz="0" w:space="0" w:color="auto"/>
        <w:bottom w:val="none" w:sz="0" w:space="0" w:color="auto"/>
        <w:right w:val="none" w:sz="0" w:space="0" w:color="auto"/>
      </w:divBdr>
    </w:div>
    <w:div w:id="1644046758">
      <w:bodyDiv w:val="1"/>
      <w:marLeft w:val="0"/>
      <w:marRight w:val="0"/>
      <w:marTop w:val="0"/>
      <w:marBottom w:val="0"/>
      <w:divBdr>
        <w:top w:val="none" w:sz="0" w:space="0" w:color="auto"/>
        <w:left w:val="none" w:sz="0" w:space="0" w:color="auto"/>
        <w:bottom w:val="none" w:sz="0" w:space="0" w:color="auto"/>
        <w:right w:val="none" w:sz="0" w:space="0" w:color="auto"/>
      </w:divBdr>
    </w:div>
    <w:div w:id="1666932929">
      <w:bodyDiv w:val="1"/>
      <w:marLeft w:val="0"/>
      <w:marRight w:val="0"/>
      <w:marTop w:val="0"/>
      <w:marBottom w:val="0"/>
      <w:divBdr>
        <w:top w:val="none" w:sz="0" w:space="0" w:color="auto"/>
        <w:left w:val="none" w:sz="0" w:space="0" w:color="auto"/>
        <w:bottom w:val="none" w:sz="0" w:space="0" w:color="auto"/>
        <w:right w:val="none" w:sz="0" w:space="0" w:color="auto"/>
      </w:divBdr>
    </w:div>
    <w:div w:id="1729062198">
      <w:bodyDiv w:val="1"/>
      <w:marLeft w:val="0"/>
      <w:marRight w:val="0"/>
      <w:marTop w:val="0"/>
      <w:marBottom w:val="0"/>
      <w:divBdr>
        <w:top w:val="none" w:sz="0" w:space="0" w:color="auto"/>
        <w:left w:val="none" w:sz="0" w:space="0" w:color="auto"/>
        <w:bottom w:val="none" w:sz="0" w:space="0" w:color="auto"/>
        <w:right w:val="none" w:sz="0" w:space="0" w:color="auto"/>
      </w:divBdr>
    </w:div>
    <w:div w:id="1784184262">
      <w:bodyDiv w:val="1"/>
      <w:marLeft w:val="0"/>
      <w:marRight w:val="0"/>
      <w:marTop w:val="0"/>
      <w:marBottom w:val="0"/>
      <w:divBdr>
        <w:top w:val="none" w:sz="0" w:space="0" w:color="auto"/>
        <w:left w:val="none" w:sz="0" w:space="0" w:color="auto"/>
        <w:bottom w:val="none" w:sz="0" w:space="0" w:color="auto"/>
        <w:right w:val="none" w:sz="0" w:space="0" w:color="auto"/>
      </w:divBdr>
    </w:div>
    <w:div w:id="1800800028">
      <w:bodyDiv w:val="1"/>
      <w:marLeft w:val="0"/>
      <w:marRight w:val="0"/>
      <w:marTop w:val="0"/>
      <w:marBottom w:val="0"/>
      <w:divBdr>
        <w:top w:val="none" w:sz="0" w:space="0" w:color="auto"/>
        <w:left w:val="none" w:sz="0" w:space="0" w:color="auto"/>
        <w:bottom w:val="none" w:sz="0" w:space="0" w:color="auto"/>
        <w:right w:val="none" w:sz="0" w:space="0" w:color="auto"/>
      </w:divBdr>
    </w:div>
    <w:div w:id="1855654039">
      <w:bodyDiv w:val="1"/>
      <w:marLeft w:val="0"/>
      <w:marRight w:val="0"/>
      <w:marTop w:val="0"/>
      <w:marBottom w:val="0"/>
      <w:divBdr>
        <w:top w:val="none" w:sz="0" w:space="0" w:color="auto"/>
        <w:left w:val="none" w:sz="0" w:space="0" w:color="auto"/>
        <w:bottom w:val="none" w:sz="0" w:space="0" w:color="auto"/>
        <w:right w:val="none" w:sz="0" w:space="0" w:color="auto"/>
      </w:divBdr>
    </w:div>
    <w:div w:id="1888495129">
      <w:bodyDiv w:val="1"/>
      <w:marLeft w:val="0"/>
      <w:marRight w:val="0"/>
      <w:marTop w:val="0"/>
      <w:marBottom w:val="0"/>
      <w:divBdr>
        <w:top w:val="none" w:sz="0" w:space="0" w:color="auto"/>
        <w:left w:val="none" w:sz="0" w:space="0" w:color="auto"/>
        <w:bottom w:val="none" w:sz="0" w:space="0" w:color="auto"/>
        <w:right w:val="none" w:sz="0" w:space="0" w:color="auto"/>
      </w:divBdr>
    </w:div>
    <w:div w:id="1894269828">
      <w:bodyDiv w:val="1"/>
      <w:marLeft w:val="0"/>
      <w:marRight w:val="0"/>
      <w:marTop w:val="0"/>
      <w:marBottom w:val="0"/>
      <w:divBdr>
        <w:top w:val="none" w:sz="0" w:space="0" w:color="auto"/>
        <w:left w:val="none" w:sz="0" w:space="0" w:color="auto"/>
        <w:bottom w:val="none" w:sz="0" w:space="0" w:color="auto"/>
        <w:right w:val="none" w:sz="0" w:space="0" w:color="auto"/>
      </w:divBdr>
    </w:div>
    <w:div w:id="1921670872">
      <w:bodyDiv w:val="1"/>
      <w:marLeft w:val="0"/>
      <w:marRight w:val="0"/>
      <w:marTop w:val="0"/>
      <w:marBottom w:val="0"/>
      <w:divBdr>
        <w:top w:val="none" w:sz="0" w:space="0" w:color="auto"/>
        <w:left w:val="none" w:sz="0" w:space="0" w:color="auto"/>
        <w:bottom w:val="none" w:sz="0" w:space="0" w:color="auto"/>
        <w:right w:val="none" w:sz="0" w:space="0" w:color="auto"/>
      </w:divBdr>
    </w:div>
    <w:div w:id="1930381579">
      <w:bodyDiv w:val="1"/>
      <w:marLeft w:val="0"/>
      <w:marRight w:val="0"/>
      <w:marTop w:val="0"/>
      <w:marBottom w:val="0"/>
      <w:divBdr>
        <w:top w:val="none" w:sz="0" w:space="0" w:color="auto"/>
        <w:left w:val="none" w:sz="0" w:space="0" w:color="auto"/>
        <w:bottom w:val="none" w:sz="0" w:space="0" w:color="auto"/>
        <w:right w:val="none" w:sz="0" w:space="0" w:color="auto"/>
      </w:divBdr>
    </w:div>
    <w:div w:id="1952472079">
      <w:bodyDiv w:val="1"/>
      <w:marLeft w:val="0"/>
      <w:marRight w:val="0"/>
      <w:marTop w:val="0"/>
      <w:marBottom w:val="0"/>
      <w:divBdr>
        <w:top w:val="none" w:sz="0" w:space="0" w:color="auto"/>
        <w:left w:val="none" w:sz="0" w:space="0" w:color="auto"/>
        <w:bottom w:val="none" w:sz="0" w:space="0" w:color="auto"/>
        <w:right w:val="none" w:sz="0" w:space="0" w:color="auto"/>
      </w:divBdr>
    </w:div>
    <w:div w:id="1968588007">
      <w:bodyDiv w:val="1"/>
      <w:marLeft w:val="0"/>
      <w:marRight w:val="0"/>
      <w:marTop w:val="0"/>
      <w:marBottom w:val="0"/>
      <w:divBdr>
        <w:top w:val="none" w:sz="0" w:space="0" w:color="auto"/>
        <w:left w:val="none" w:sz="0" w:space="0" w:color="auto"/>
        <w:bottom w:val="none" w:sz="0" w:space="0" w:color="auto"/>
        <w:right w:val="none" w:sz="0" w:space="0" w:color="auto"/>
      </w:divBdr>
    </w:div>
    <w:div w:id="1996251278">
      <w:bodyDiv w:val="1"/>
      <w:marLeft w:val="0"/>
      <w:marRight w:val="0"/>
      <w:marTop w:val="0"/>
      <w:marBottom w:val="0"/>
      <w:divBdr>
        <w:top w:val="none" w:sz="0" w:space="0" w:color="auto"/>
        <w:left w:val="none" w:sz="0" w:space="0" w:color="auto"/>
        <w:bottom w:val="none" w:sz="0" w:space="0" w:color="auto"/>
        <w:right w:val="none" w:sz="0" w:space="0" w:color="auto"/>
      </w:divBdr>
    </w:div>
    <w:div w:id="2059275301">
      <w:bodyDiv w:val="1"/>
      <w:marLeft w:val="0"/>
      <w:marRight w:val="0"/>
      <w:marTop w:val="0"/>
      <w:marBottom w:val="0"/>
      <w:divBdr>
        <w:top w:val="none" w:sz="0" w:space="0" w:color="auto"/>
        <w:left w:val="none" w:sz="0" w:space="0" w:color="auto"/>
        <w:bottom w:val="none" w:sz="0" w:space="0" w:color="auto"/>
        <w:right w:val="none" w:sz="0" w:space="0" w:color="auto"/>
      </w:divBdr>
    </w:div>
    <w:div w:id="2063478067">
      <w:bodyDiv w:val="1"/>
      <w:marLeft w:val="0"/>
      <w:marRight w:val="0"/>
      <w:marTop w:val="0"/>
      <w:marBottom w:val="0"/>
      <w:divBdr>
        <w:top w:val="none" w:sz="0" w:space="0" w:color="auto"/>
        <w:left w:val="none" w:sz="0" w:space="0" w:color="auto"/>
        <w:bottom w:val="none" w:sz="0" w:space="0" w:color="auto"/>
        <w:right w:val="none" w:sz="0" w:space="0" w:color="auto"/>
      </w:divBdr>
    </w:div>
    <w:div w:id="2066025860">
      <w:bodyDiv w:val="1"/>
      <w:marLeft w:val="0"/>
      <w:marRight w:val="0"/>
      <w:marTop w:val="0"/>
      <w:marBottom w:val="0"/>
      <w:divBdr>
        <w:top w:val="none" w:sz="0" w:space="0" w:color="auto"/>
        <w:left w:val="none" w:sz="0" w:space="0" w:color="auto"/>
        <w:bottom w:val="none" w:sz="0" w:space="0" w:color="auto"/>
        <w:right w:val="none" w:sz="0" w:space="0" w:color="auto"/>
      </w:divBdr>
    </w:div>
    <w:div w:id="2081782592">
      <w:bodyDiv w:val="1"/>
      <w:marLeft w:val="0"/>
      <w:marRight w:val="0"/>
      <w:marTop w:val="0"/>
      <w:marBottom w:val="0"/>
      <w:divBdr>
        <w:top w:val="none" w:sz="0" w:space="0" w:color="auto"/>
        <w:left w:val="none" w:sz="0" w:space="0" w:color="auto"/>
        <w:bottom w:val="none" w:sz="0" w:space="0" w:color="auto"/>
        <w:right w:val="none" w:sz="0" w:space="0" w:color="auto"/>
      </w:divBdr>
    </w:div>
    <w:div w:id="209408878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1584189">
      <w:bodyDiv w:val="1"/>
      <w:marLeft w:val="0"/>
      <w:marRight w:val="0"/>
      <w:marTop w:val="0"/>
      <w:marBottom w:val="0"/>
      <w:divBdr>
        <w:top w:val="none" w:sz="0" w:space="0" w:color="auto"/>
        <w:left w:val="none" w:sz="0" w:space="0" w:color="auto"/>
        <w:bottom w:val="none" w:sz="0" w:space="0" w:color="auto"/>
        <w:right w:val="none" w:sz="0" w:space="0" w:color="auto"/>
      </w:divBdr>
    </w:div>
    <w:div w:id="214219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microsoft.com/office/2007/relationships/diagramDrawing" Target="diagrams/drawing1.xml"/><Relationship Id="rId42" Type="http://schemas.openxmlformats.org/officeDocument/2006/relationships/diagramLayout" Target="diagrams/layout5.xml"/><Relationship Id="rId47" Type="http://schemas.openxmlformats.org/officeDocument/2006/relationships/footer" Target="footer7.xml"/><Relationship Id="rId63" Type="http://schemas.openxmlformats.org/officeDocument/2006/relationships/hyperlink" Target="https://blog.medicalacademy.org/&#1575;&#1604;&#1580;&#1608;&#1583;&#1577;-&#1601;&#1610;-&#1575;&#1604;&#1585;&#1593;&#1575;&#1610;&#1577;-&#1575;&#1604;&#1589;&#1581;&#1610;&#1577;/" TargetMode="External"/><Relationship Id="rId68"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diagramColors" Target="diagrams/colors2.xml"/><Relationship Id="rId11" Type="http://schemas.openxmlformats.org/officeDocument/2006/relationships/footer" Target="footer1.xml"/><Relationship Id="rId24" Type="http://schemas.openxmlformats.org/officeDocument/2006/relationships/hyperlink" Target="https://www.who.int/ar/news-room/fact-sheets/detail/patient-safety" TargetMode="Externa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footer" Target="footer12.xml"/><Relationship Id="rId58" Type="http://schemas.openxmlformats.org/officeDocument/2006/relationships/footer" Target="footer17.xml"/><Relationship Id="rId66" Type="http://schemas.openxmlformats.org/officeDocument/2006/relationships/hyperlink" Target="https://www.moh.gov.sa/?utm_source=copilot.com" TargetMode="External"/><Relationship Id="rId5" Type="http://schemas.openxmlformats.org/officeDocument/2006/relationships/webSettings" Target="webSettings.xml"/><Relationship Id="rId61" Type="http://schemas.openxmlformats.org/officeDocument/2006/relationships/hyperlink" Target="https://batdacademy.com/ar/post/%D8%AF%D9%84%D9%8A%D9%84-%D8%B4%D8%A7%D9%85%D9%84-%D9%81%D9%8A-%D8%A5%D8%AF%D8%A7%D8%B1%D8%A9-%D8%A7%D9%84%D9%85%D8%AE%D8%A7%D8%B7%D8%B1-%D9%81%D9%8A-%D8%A7%D9%84%D8%B1%D8%B9%D8%A7%D9%8A%D8%A9-%D8%A7%D9%84%D8%B5%D8%AD%D9%8A%D8%A9" TargetMode="External"/><Relationship Id="rId19" Type="http://schemas.openxmlformats.org/officeDocument/2006/relationships/diagramQuickStyle" Target="diagrams/quickStyle1.xml"/><Relationship Id="rId14" Type="http://schemas.openxmlformats.org/officeDocument/2006/relationships/footer" Target="footer3.xml"/><Relationship Id="rId22" Type="http://schemas.openxmlformats.org/officeDocument/2006/relationships/hyperlink" Target="https://www.who.int/ar/news-room/fact-sheets/detail/patient-safety" TargetMode="Externa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43" Type="http://schemas.openxmlformats.org/officeDocument/2006/relationships/diagramQuickStyle" Target="diagrams/quickStyle5.xml"/><Relationship Id="rId48" Type="http://schemas.openxmlformats.org/officeDocument/2006/relationships/hyperlink" Target="https://www.moh.gov.sa/statistics/Pages/dashboard.aspx" TargetMode="External"/><Relationship Id="rId56" Type="http://schemas.openxmlformats.org/officeDocument/2006/relationships/footer" Target="footer15.xml"/><Relationship Id="rId64" Type="http://schemas.openxmlformats.org/officeDocument/2006/relationships/hyperlink" Target="https://www.madounhar.com/risk-management-healthcare?utm_source=copilot.com" TargetMode="External"/><Relationship Id="rId69" Type="http://schemas.openxmlformats.org/officeDocument/2006/relationships/hyperlink" Target="https://docs.google.com/forms/d/e/1FAIpQLSfOYf0dqjG1MMqQzpmsMDBuTiF4PkK9VTICISbUiNbdpb87Tw/viewform?usp=preview" TargetMode="External"/><Relationship Id="rId8" Type="http://schemas.openxmlformats.org/officeDocument/2006/relationships/image" Target="media/image1.jpeg"/><Relationship Id="rId51" Type="http://schemas.openxmlformats.org/officeDocument/2006/relationships/footer" Target="footer10.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diagramData" Target="diagrams/data1.xml"/><Relationship Id="rId25" Type="http://schemas.openxmlformats.org/officeDocument/2006/relationships/hyperlink" Target="https://www.who.int/ar/news-room/fact-sheets/detail/patient-safety" TargetMode="Externa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footer" Target="footer6.xml"/><Relationship Id="rId59" Type="http://schemas.openxmlformats.org/officeDocument/2006/relationships/footer" Target="footer18.xml"/><Relationship Id="rId67" Type="http://schemas.openxmlformats.org/officeDocument/2006/relationships/footer" Target="footer19.xml"/><Relationship Id="rId20" Type="http://schemas.openxmlformats.org/officeDocument/2006/relationships/diagramColors" Target="diagrams/colors1.xml"/><Relationship Id="rId41" Type="http://schemas.openxmlformats.org/officeDocument/2006/relationships/diagramData" Target="diagrams/data5.xml"/><Relationship Id="rId54" Type="http://schemas.openxmlformats.org/officeDocument/2006/relationships/footer" Target="footer13.xml"/><Relationship Id="rId62" Type="http://schemas.openxmlformats.org/officeDocument/2006/relationships/hyperlink" Target="https://journals.ekb.eg/article_295873_0.html" TargetMode="External"/><Relationship Id="rId7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hcac.jo/en-us/News-Center/News-Detail-View/ArticleId/1470" TargetMode="External"/><Relationship Id="rId28" Type="http://schemas.openxmlformats.org/officeDocument/2006/relationships/diagramQuickStyle" Target="diagrams/quickStyle2.xml"/><Relationship Id="rId36" Type="http://schemas.openxmlformats.org/officeDocument/2006/relationships/diagramData" Target="diagrams/data4.xml"/><Relationship Id="rId49" Type="http://schemas.openxmlformats.org/officeDocument/2006/relationships/footer" Target="footer8.xml"/><Relationship Id="rId57" Type="http://schemas.openxmlformats.org/officeDocument/2006/relationships/footer" Target="footer16.xml"/><Relationship Id="rId10" Type="http://schemas.openxmlformats.org/officeDocument/2006/relationships/header" Target="header2.xml"/><Relationship Id="rId31" Type="http://schemas.openxmlformats.org/officeDocument/2006/relationships/diagramData" Target="diagrams/data3.xml"/><Relationship Id="rId44" Type="http://schemas.openxmlformats.org/officeDocument/2006/relationships/diagramColors" Target="diagrams/colors5.xml"/><Relationship Id="rId52" Type="http://schemas.openxmlformats.org/officeDocument/2006/relationships/footer" Target="footer11.xml"/><Relationship Id="rId60" Type="http://schemas.openxmlformats.org/officeDocument/2006/relationships/hyperlink" Target="https://www.british-training.com" TargetMode="External"/><Relationship Id="rId65" Type="http://schemas.openxmlformats.org/officeDocument/2006/relationships/hyperlink" Target="https://www.stats.gov.sa/?utm_source=copilot.co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diagramLayout" Target="diagrams/layout1.xml"/><Relationship Id="rId39" Type="http://schemas.openxmlformats.org/officeDocument/2006/relationships/diagramColors" Target="diagrams/colors4.xml"/><Relationship Id="rId34" Type="http://schemas.openxmlformats.org/officeDocument/2006/relationships/diagramColors" Target="diagrams/colors3.xml"/><Relationship Id="rId50" Type="http://schemas.openxmlformats.org/officeDocument/2006/relationships/footer" Target="footer9.xml"/><Relationship Id="rId55" Type="http://schemas.openxmlformats.org/officeDocument/2006/relationships/footer" Target="footer14.xml"/><Relationship Id="rId7" Type="http://schemas.openxmlformats.org/officeDocument/2006/relationships/endnotes" Target="endnotes.xml"/><Relationship Id="rId71" Type="http://schemas.openxmlformats.org/officeDocument/2006/relationships/footer" Target="footer2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2">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3">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4">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E82302-C2E7-470C-A6FE-645348BE398E}" type="doc">
      <dgm:prSet loTypeId="urn:microsoft.com/office/officeart/2005/8/layout/radial1" loCatId="cycle" qsTypeId="urn:microsoft.com/office/officeart/2005/8/quickstyle/simple1#1" qsCatId="simple" csTypeId="urn:microsoft.com/office/officeart/2005/8/colors/colorful5#1" csCatId="colorful" phldr="1"/>
      <dgm:spPr/>
      <dgm:t>
        <a:bodyPr/>
        <a:lstStyle/>
        <a:p>
          <a:endParaRPr lang="en-US"/>
        </a:p>
      </dgm:t>
    </dgm:pt>
    <dgm:pt modelId="{63B7AF26-7C12-41D4-B83B-25B29A8FA3EC}">
      <dgm:prSet phldrT="[Text]"/>
      <dgm:spPr/>
      <dgm:t>
        <a:bodyPr/>
        <a:lstStyle/>
        <a:p>
          <a:pPr algn="ctr"/>
          <a:r>
            <a:rPr lang="ar-EG"/>
            <a:t>أبعاد إدارة المخاطر</a:t>
          </a:r>
          <a:endParaRPr lang="en-US"/>
        </a:p>
      </dgm:t>
    </dgm:pt>
    <dgm:pt modelId="{7236CCAE-165D-4B06-85DB-F82C9EBC006C}" type="parTrans" cxnId="{1CBCD05C-4BD2-44EF-886B-198331DC5229}">
      <dgm:prSet/>
      <dgm:spPr/>
      <dgm:t>
        <a:bodyPr/>
        <a:lstStyle/>
        <a:p>
          <a:pPr algn="ctr"/>
          <a:endParaRPr lang="en-US"/>
        </a:p>
      </dgm:t>
    </dgm:pt>
    <dgm:pt modelId="{55D0BE36-182A-404C-8CDD-25445F428C24}" type="sibTrans" cxnId="{1CBCD05C-4BD2-44EF-886B-198331DC5229}">
      <dgm:prSet/>
      <dgm:spPr/>
      <dgm:t>
        <a:bodyPr/>
        <a:lstStyle/>
        <a:p>
          <a:pPr algn="ctr"/>
          <a:endParaRPr lang="en-US"/>
        </a:p>
      </dgm:t>
    </dgm:pt>
    <dgm:pt modelId="{2416E40A-26E1-4372-87E4-85886D95F28D}">
      <dgm:prSet phldrT="[Text]"/>
      <dgm:spPr/>
      <dgm:t>
        <a:bodyPr/>
        <a:lstStyle/>
        <a:p>
          <a:pPr algn="ctr"/>
          <a:r>
            <a:rPr lang="ar-EG"/>
            <a:t>تحديد المخاطر</a:t>
          </a:r>
          <a:endParaRPr lang="en-US"/>
        </a:p>
      </dgm:t>
    </dgm:pt>
    <dgm:pt modelId="{D121C625-C4E1-42DE-BCF0-D0368C913D8A}" type="parTrans" cxnId="{92EA4A4B-E60D-41B0-8F0F-138F51D2A562}">
      <dgm:prSet/>
      <dgm:spPr/>
      <dgm:t>
        <a:bodyPr/>
        <a:lstStyle/>
        <a:p>
          <a:pPr algn="ctr"/>
          <a:endParaRPr lang="en-US"/>
        </a:p>
      </dgm:t>
    </dgm:pt>
    <dgm:pt modelId="{B4FA5834-188B-421E-9F8C-F9D972C4CD31}" type="sibTrans" cxnId="{92EA4A4B-E60D-41B0-8F0F-138F51D2A562}">
      <dgm:prSet/>
      <dgm:spPr/>
      <dgm:t>
        <a:bodyPr/>
        <a:lstStyle/>
        <a:p>
          <a:pPr algn="ctr"/>
          <a:endParaRPr lang="en-US"/>
        </a:p>
      </dgm:t>
    </dgm:pt>
    <dgm:pt modelId="{56B58796-6EC3-4B87-863B-A0234235A1D2}">
      <dgm:prSet phldrT="[Text]"/>
      <dgm:spPr/>
      <dgm:t>
        <a:bodyPr/>
        <a:lstStyle/>
        <a:p>
          <a:pPr algn="ctr"/>
          <a:r>
            <a:rPr lang="ar-EG"/>
            <a:t>تحليل المخاطر</a:t>
          </a:r>
          <a:endParaRPr lang="en-US"/>
        </a:p>
      </dgm:t>
    </dgm:pt>
    <dgm:pt modelId="{5C157030-4266-49BD-9A0C-A63E0E469E8D}" type="parTrans" cxnId="{E5679323-BEF3-4755-8F8D-768E3EEC3F3C}">
      <dgm:prSet/>
      <dgm:spPr/>
      <dgm:t>
        <a:bodyPr/>
        <a:lstStyle/>
        <a:p>
          <a:pPr algn="ctr"/>
          <a:endParaRPr lang="en-US"/>
        </a:p>
      </dgm:t>
    </dgm:pt>
    <dgm:pt modelId="{48763620-2DC2-4226-B581-5FDB567127AC}" type="sibTrans" cxnId="{E5679323-BEF3-4755-8F8D-768E3EEC3F3C}">
      <dgm:prSet/>
      <dgm:spPr/>
      <dgm:t>
        <a:bodyPr/>
        <a:lstStyle/>
        <a:p>
          <a:pPr algn="ctr"/>
          <a:endParaRPr lang="en-US"/>
        </a:p>
      </dgm:t>
    </dgm:pt>
    <dgm:pt modelId="{BBC99381-5545-4318-9E5C-9B8373BA284E}">
      <dgm:prSet phldrT="[Text]"/>
      <dgm:spPr/>
      <dgm:t>
        <a:bodyPr/>
        <a:lstStyle/>
        <a:p>
          <a:pPr algn="ctr"/>
          <a:r>
            <a:rPr lang="ar-EG"/>
            <a:t>الاستجابة للمخاطر</a:t>
          </a:r>
          <a:endParaRPr lang="en-US"/>
        </a:p>
      </dgm:t>
    </dgm:pt>
    <dgm:pt modelId="{2A3424EC-E52E-452C-8A51-2DC8C8453782}" type="parTrans" cxnId="{C1C6366D-3776-4F1A-A4BA-316F7589CBC3}">
      <dgm:prSet/>
      <dgm:spPr/>
      <dgm:t>
        <a:bodyPr/>
        <a:lstStyle/>
        <a:p>
          <a:pPr algn="ctr"/>
          <a:endParaRPr lang="en-US"/>
        </a:p>
      </dgm:t>
    </dgm:pt>
    <dgm:pt modelId="{EAC6C6B6-5F9C-4F16-A5B6-3E5533DD5640}" type="sibTrans" cxnId="{C1C6366D-3776-4F1A-A4BA-316F7589CBC3}">
      <dgm:prSet/>
      <dgm:spPr/>
      <dgm:t>
        <a:bodyPr/>
        <a:lstStyle/>
        <a:p>
          <a:pPr algn="ctr"/>
          <a:endParaRPr lang="en-US"/>
        </a:p>
      </dgm:t>
    </dgm:pt>
    <dgm:pt modelId="{835D85E8-722D-4556-9853-19289870CD47}">
      <dgm:prSet phldrT="[Text]"/>
      <dgm:spPr/>
      <dgm:t>
        <a:bodyPr/>
        <a:lstStyle/>
        <a:p>
          <a:pPr algn="ctr"/>
          <a:r>
            <a:rPr lang="ar-EG"/>
            <a:t>تقييم المخاطر</a:t>
          </a:r>
          <a:endParaRPr lang="en-US"/>
        </a:p>
      </dgm:t>
    </dgm:pt>
    <dgm:pt modelId="{D1A9D970-EAD8-4EB2-BB7F-6963325B6CDD}" type="parTrans" cxnId="{2856402C-CF06-4934-99B6-8B666FAD50E1}">
      <dgm:prSet/>
      <dgm:spPr/>
      <dgm:t>
        <a:bodyPr/>
        <a:lstStyle/>
        <a:p>
          <a:pPr algn="ctr"/>
          <a:endParaRPr lang="en-US"/>
        </a:p>
      </dgm:t>
    </dgm:pt>
    <dgm:pt modelId="{432484EF-51AB-4498-A943-F0A7D85FF5AB}" type="sibTrans" cxnId="{2856402C-CF06-4934-99B6-8B666FAD50E1}">
      <dgm:prSet/>
      <dgm:spPr/>
      <dgm:t>
        <a:bodyPr/>
        <a:lstStyle/>
        <a:p>
          <a:pPr algn="ctr"/>
          <a:endParaRPr lang="en-US"/>
        </a:p>
      </dgm:t>
    </dgm:pt>
    <dgm:pt modelId="{5130DEB4-60EF-4716-9C07-CDF84F7FD9F0}" type="pres">
      <dgm:prSet presAssocID="{9EE82302-C2E7-470C-A6FE-645348BE398E}" presName="cycle" presStyleCnt="0">
        <dgm:presLayoutVars>
          <dgm:chMax val="1"/>
          <dgm:dir/>
          <dgm:animLvl val="ctr"/>
          <dgm:resizeHandles val="exact"/>
        </dgm:presLayoutVars>
      </dgm:prSet>
      <dgm:spPr/>
    </dgm:pt>
    <dgm:pt modelId="{F4A2C522-A7A2-40CD-85AD-36C503A347A9}" type="pres">
      <dgm:prSet presAssocID="{63B7AF26-7C12-41D4-B83B-25B29A8FA3EC}" presName="centerShape" presStyleLbl="node0" presStyleIdx="0" presStyleCnt="1"/>
      <dgm:spPr/>
    </dgm:pt>
    <dgm:pt modelId="{F3786598-F9C3-4D15-8C10-C97085F0B6CF}" type="pres">
      <dgm:prSet presAssocID="{D121C625-C4E1-42DE-BCF0-D0368C913D8A}" presName="Name9" presStyleLbl="parChTrans1D2" presStyleIdx="0" presStyleCnt="4"/>
      <dgm:spPr/>
    </dgm:pt>
    <dgm:pt modelId="{08D6F0C0-6336-47E8-AACC-28CB1EB18245}" type="pres">
      <dgm:prSet presAssocID="{D121C625-C4E1-42DE-BCF0-D0368C913D8A}" presName="connTx" presStyleLbl="parChTrans1D2" presStyleIdx="0" presStyleCnt="4"/>
      <dgm:spPr/>
    </dgm:pt>
    <dgm:pt modelId="{2B9350A6-7071-4409-A6A3-3FEA39AA6ED7}" type="pres">
      <dgm:prSet presAssocID="{2416E40A-26E1-4372-87E4-85886D95F28D}" presName="node" presStyleLbl="node1" presStyleIdx="0" presStyleCnt="4">
        <dgm:presLayoutVars>
          <dgm:bulletEnabled val="1"/>
        </dgm:presLayoutVars>
      </dgm:prSet>
      <dgm:spPr/>
    </dgm:pt>
    <dgm:pt modelId="{9E857E10-56F5-4C67-BCBD-1A3ED972A95D}" type="pres">
      <dgm:prSet presAssocID="{5C157030-4266-49BD-9A0C-A63E0E469E8D}" presName="Name9" presStyleLbl="parChTrans1D2" presStyleIdx="1" presStyleCnt="4"/>
      <dgm:spPr/>
    </dgm:pt>
    <dgm:pt modelId="{6043B6E0-1734-48B6-9E34-2ADC4B5C7A7D}" type="pres">
      <dgm:prSet presAssocID="{5C157030-4266-49BD-9A0C-A63E0E469E8D}" presName="connTx" presStyleLbl="parChTrans1D2" presStyleIdx="1" presStyleCnt="4"/>
      <dgm:spPr/>
    </dgm:pt>
    <dgm:pt modelId="{7A9C2E90-DF90-497C-A0E1-BB0DCD8765A8}" type="pres">
      <dgm:prSet presAssocID="{56B58796-6EC3-4B87-863B-A0234235A1D2}" presName="node" presStyleLbl="node1" presStyleIdx="1" presStyleCnt="4">
        <dgm:presLayoutVars>
          <dgm:bulletEnabled val="1"/>
        </dgm:presLayoutVars>
      </dgm:prSet>
      <dgm:spPr/>
    </dgm:pt>
    <dgm:pt modelId="{F835FCEA-6446-414D-BDB4-8B50D64ABCCB}" type="pres">
      <dgm:prSet presAssocID="{2A3424EC-E52E-452C-8A51-2DC8C8453782}" presName="Name9" presStyleLbl="parChTrans1D2" presStyleIdx="2" presStyleCnt="4"/>
      <dgm:spPr/>
    </dgm:pt>
    <dgm:pt modelId="{1CE9AE9F-C9BA-4646-A0F5-E7B1FF0CA49D}" type="pres">
      <dgm:prSet presAssocID="{2A3424EC-E52E-452C-8A51-2DC8C8453782}" presName="connTx" presStyleLbl="parChTrans1D2" presStyleIdx="2" presStyleCnt="4"/>
      <dgm:spPr/>
    </dgm:pt>
    <dgm:pt modelId="{90543D89-8A4D-4183-824A-25C9DDDB3169}" type="pres">
      <dgm:prSet presAssocID="{BBC99381-5545-4318-9E5C-9B8373BA284E}" presName="node" presStyleLbl="node1" presStyleIdx="2" presStyleCnt="4">
        <dgm:presLayoutVars>
          <dgm:bulletEnabled val="1"/>
        </dgm:presLayoutVars>
      </dgm:prSet>
      <dgm:spPr/>
    </dgm:pt>
    <dgm:pt modelId="{F509F167-9A9B-4BC9-9EF0-98434E0A1FC5}" type="pres">
      <dgm:prSet presAssocID="{D1A9D970-EAD8-4EB2-BB7F-6963325B6CDD}" presName="Name9" presStyleLbl="parChTrans1D2" presStyleIdx="3" presStyleCnt="4"/>
      <dgm:spPr/>
    </dgm:pt>
    <dgm:pt modelId="{2DB876B2-CE7E-44DE-B979-8B68B3120A83}" type="pres">
      <dgm:prSet presAssocID="{D1A9D970-EAD8-4EB2-BB7F-6963325B6CDD}" presName="connTx" presStyleLbl="parChTrans1D2" presStyleIdx="3" presStyleCnt="4"/>
      <dgm:spPr/>
    </dgm:pt>
    <dgm:pt modelId="{9C1094D5-1873-48C3-8E50-DFD1A551FFE6}" type="pres">
      <dgm:prSet presAssocID="{835D85E8-722D-4556-9853-19289870CD47}" presName="node" presStyleLbl="node1" presStyleIdx="3" presStyleCnt="4">
        <dgm:presLayoutVars>
          <dgm:bulletEnabled val="1"/>
        </dgm:presLayoutVars>
      </dgm:prSet>
      <dgm:spPr/>
    </dgm:pt>
  </dgm:ptLst>
  <dgm:cxnLst>
    <dgm:cxn modelId="{84CDD30E-F5F6-40FD-8EEA-B907ED5D9179}" type="presOf" srcId="{D1A9D970-EAD8-4EB2-BB7F-6963325B6CDD}" destId="{F509F167-9A9B-4BC9-9EF0-98434E0A1FC5}" srcOrd="0" destOrd="0" presId="urn:microsoft.com/office/officeart/2005/8/layout/radial1"/>
    <dgm:cxn modelId="{A701731C-B805-4D6D-8061-68EE7EFAABBA}" type="presOf" srcId="{D1A9D970-EAD8-4EB2-BB7F-6963325B6CDD}" destId="{2DB876B2-CE7E-44DE-B979-8B68B3120A83}" srcOrd="1" destOrd="0" presId="urn:microsoft.com/office/officeart/2005/8/layout/radial1"/>
    <dgm:cxn modelId="{E5679323-BEF3-4755-8F8D-768E3EEC3F3C}" srcId="{63B7AF26-7C12-41D4-B83B-25B29A8FA3EC}" destId="{56B58796-6EC3-4B87-863B-A0234235A1D2}" srcOrd="1" destOrd="0" parTransId="{5C157030-4266-49BD-9A0C-A63E0E469E8D}" sibTransId="{48763620-2DC2-4226-B581-5FDB567127AC}"/>
    <dgm:cxn modelId="{2856402C-CF06-4934-99B6-8B666FAD50E1}" srcId="{63B7AF26-7C12-41D4-B83B-25B29A8FA3EC}" destId="{835D85E8-722D-4556-9853-19289870CD47}" srcOrd="3" destOrd="0" parTransId="{D1A9D970-EAD8-4EB2-BB7F-6963325B6CDD}" sibTransId="{432484EF-51AB-4498-A943-F0A7D85FF5AB}"/>
    <dgm:cxn modelId="{733BE634-FA85-4393-AB8A-435508B8BCDA}" type="presOf" srcId="{63B7AF26-7C12-41D4-B83B-25B29A8FA3EC}" destId="{F4A2C522-A7A2-40CD-85AD-36C503A347A9}" srcOrd="0" destOrd="0" presId="urn:microsoft.com/office/officeart/2005/8/layout/radial1"/>
    <dgm:cxn modelId="{FD1E0640-902E-46AE-A144-3E18B388811B}" type="presOf" srcId="{5C157030-4266-49BD-9A0C-A63E0E469E8D}" destId="{6043B6E0-1734-48B6-9E34-2ADC4B5C7A7D}" srcOrd="1" destOrd="0" presId="urn:microsoft.com/office/officeart/2005/8/layout/radial1"/>
    <dgm:cxn modelId="{92EA4A4B-E60D-41B0-8F0F-138F51D2A562}" srcId="{63B7AF26-7C12-41D4-B83B-25B29A8FA3EC}" destId="{2416E40A-26E1-4372-87E4-85886D95F28D}" srcOrd="0" destOrd="0" parTransId="{D121C625-C4E1-42DE-BCF0-D0368C913D8A}" sibTransId="{B4FA5834-188B-421E-9F8C-F9D972C4CD31}"/>
    <dgm:cxn modelId="{1CBCD05C-4BD2-44EF-886B-198331DC5229}" srcId="{9EE82302-C2E7-470C-A6FE-645348BE398E}" destId="{63B7AF26-7C12-41D4-B83B-25B29A8FA3EC}" srcOrd="0" destOrd="0" parTransId="{7236CCAE-165D-4B06-85DB-F82C9EBC006C}" sibTransId="{55D0BE36-182A-404C-8CDD-25445F428C24}"/>
    <dgm:cxn modelId="{FC7BDB62-4FBB-47A1-8B70-8EBECE373699}" type="presOf" srcId="{2A3424EC-E52E-452C-8A51-2DC8C8453782}" destId="{F835FCEA-6446-414D-BDB4-8B50D64ABCCB}" srcOrd="0" destOrd="0" presId="urn:microsoft.com/office/officeart/2005/8/layout/radial1"/>
    <dgm:cxn modelId="{1D01386C-0658-47DE-9511-08EF4AD166AD}" type="presOf" srcId="{835D85E8-722D-4556-9853-19289870CD47}" destId="{9C1094D5-1873-48C3-8E50-DFD1A551FFE6}" srcOrd="0" destOrd="0" presId="urn:microsoft.com/office/officeart/2005/8/layout/radial1"/>
    <dgm:cxn modelId="{C1C6366D-3776-4F1A-A4BA-316F7589CBC3}" srcId="{63B7AF26-7C12-41D4-B83B-25B29A8FA3EC}" destId="{BBC99381-5545-4318-9E5C-9B8373BA284E}" srcOrd="2" destOrd="0" parTransId="{2A3424EC-E52E-452C-8A51-2DC8C8453782}" sibTransId="{EAC6C6B6-5F9C-4F16-A5B6-3E5533DD5640}"/>
    <dgm:cxn modelId="{C977F472-DC9F-4003-B706-E1CD583FD73B}" type="presOf" srcId="{BBC99381-5545-4318-9E5C-9B8373BA284E}" destId="{90543D89-8A4D-4183-824A-25C9DDDB3169}" srcOrd="0" destOrd="0" presId="urn:microsoft.com/office/officeart/2005/8/layout/radial1"/>
    <dgm:cxn modelId="{E903ED7C-7F84-4146-B415-2DEC9C8560EB}" type="presOf" srcId="{5C157030-4266-49BD-9A0C-A63E0E469E8D}" destId="{9E857E10-56F5-4C67-BCBD-1A3ED972A95D}" srcOrd="0" destOrd="0" presId="urn:microsoft.com/office/officeart/2005/8/layout/radial1"/>
    <dgm:cxn modelId="{BAD4D6A9-AFCF-453B-8196-4A250812ECE8}" type="presOf" srcId="{D121C625-C4E1-42DE-BCF0-D0368C913D8A}" destId="{08D6F0C0-6336-47E8-AACC-28CB1EB18245}" srcOrd="1" destOrd="0" presId="urn:microsoft.com/office/officeart/2005/8/layout/radial1"/>
    <dgm:cxn modelId="{DC70F2B5-9D9D-4146-A296-4D4FC8E7D42E}" type="presOf" srcId="{D121C625-C4E1-42DE-BCF0-D0368C913D8A}" destId="{F3786598-F9C3-4D15-8C10-C97085F0B6CF}" srcOrd="0" destOrd="0" presId="urn:microsoft.com/office/officeart/2005/8/layout/radial1"/>
    <dgm:cxn modelId="{702B44C9-3A71-49CE-A59C-F5DFBC6E2497}" type="presOf" srcId="{2416E40A-26E1-4372-87E4-85886D95F28D}" destId="{2B9350A6-7071-4409-A6A3-3FEA39AA6ED7}" srcOrd="0" destOrd="0" presId="urn:microsoft.com/office/officeart/2005/8/layout/radial1"/>
    <dgm:cxn modelId="{DBBF31CB-6EF0-4A43-984D-9E4F63A51B52}" type="presOf" srcId="{2A3424EC-E52E-452C-8A51-2DC8C8453782}" destId="{1CE9AE9F-C9BA-4646-A0F5-E7B1FF0CA49D}" srcOrd="1" destOrd="0" presId="urn:microsoft.com/office/officeart/2005/8/layout/radial1"/>
    <dgm:cxn modelId="{4B971ADE-F70B-42E3-B6B9-E93EE1767A86}" type="presOf" srcId="{56B58796-6EC3-4B87-863B-A0234235A1D2}" destId="{7A9C2E90-DF90-497C-A0E1-BB0DCD8765A8}" srcOrd="0" destOrd="0" presId="urn:microsoft.com/office/officeart/2005/8/layout/radial1"/>
    <dgm:cxn modelId="{2524C0EA-354C-47D6-9A12-0EEC465675D9}" type="presOf" srcId="{9EE82302-C2E7-470C-A6FE-645348BE398E}" destId="{5130DEB4-60EF-4716-9C07-CDF84F7FD9F0}" srcOrd="0" destOrd="0" presId="urn:microsoft.com/office/officeart/2005/8/layout/radial1"/>
    <dgm:cxn modelId="{ECD85F20-4B91-42D6-84BA-BD5D88BEC7BE}" type="presParOf" srcId="{5130DEB4-60EF-4716-9C07-CDF84F7FD9F0}" destId="{F4A2C522-A7A2-40CD-85AD-36C503A347A9}" srcOrd="0" destOrd="0" presId="urn:microsoft.com/office/officeart/2005/8/layout/radial1"/>
    <dgm:cxn modelId="{E4AD71A2-4D1D-4B5C-B331-2C16C9A5303A}" type="presParOf" srcId="{5130DEB4-60EF-4716-9C07-CDF84F7FD9F0}" destId="{F3786598-F9C3-4D15-8C10-C97085F0B6CF}" srcOrd="1" destOrd="0" presId="urn:microsoft.com/office/officeart/2005/8/layout/radial1"/>
    <dgm:cxn modelId="{D190CE8A-A8E4-484E-91B4-F0814676A5E6}" type="presParOf" srcId="{F3786598-F9C3-4D15-8C10-C97085F0B6CF}" destId="{08D6F0C0-6336-47E8-AACC-28CB1EB18245}" srcOrd="0" destOrd="0" presId="urn:microsoft.com/office/officeart/2005/8/layout/radial1"/>
    <dgm:cxn modelId="{48A37C57-E4CE-45EA-9BC9-14BB0EE08A57}" type="presParOf" srcId="{5130DEB4-60EF-4716-9C07-CDF84F7FD9F0}" destId="{2B9350A6-7071-4409-A6A3-3FEA39AA6ED7}" srcOrd="2" destOrd="0" presId="urn:microsoft.com/office/officeart/2005/8/layout/radial1"/>
    <dgm:cxn modelId="{D834944B-1A71-44FF-B369-C59708D0586F}" type="presParOf" srcId="{5130DEB4-60EF-4716-9C07-CDF84F7FD9F0}" destId="{9E857E10-56F5-4C67-BCBD-1A3ED972A95D}" srcOrd="3" destOrd="0" presId="urn:microsoft.com/office/officeart/2005/8/layout/radial1"/>
    <dgm:cxn modelId="{1CC90D74-26E2-4F49-A81A-B8A41E2DE2BE}" type="presParOf" srcId="{9E857E10-56F5-4C67-BCBD-1A3ED972A95D}" destId="{6043B6E0-1734-48B6-9E34-2ADC4B5C7A7D}" srcOrd="0" destOrd="0" presId="urn:microsoft.com/office/officeart/2005/8/layout/radial1"/>
    <dgm:cxn modelId="{840D1226-269A-4077-B178-5626998ECEF9}" type="presParOf" srcId="{5130DEB4-60EF-4716-9C07-CDF84F7FD9F0}" destId="{7A9C2E90-DF90-497C-A0E1-BB0DCD8765A8}" srcOrd="4" destOrd="0" presId="urn:microsoft.com/office/officeart/2005/8/layout/radial1"/>
    <dgm:cxn modelId="{8AE944DE-0741-4569-BE23-FF77CBD00E26}" type="presParOf" srcId="{5130DEB4-60EF-4716-9C07-CDF84F7FD9F0}" destId="{F835FCEA-6446-414D-BDB4-8B50D64ABCCB}" srcOrd="5" destOrd="0" presId="urn:microsoft.com/office/officeart/2005/8/layout/radial1"/>
    <dgm:cxn modelId="{9AF2939A-D5F0-481E-BA9E-4CECD0FE9259}" type="presParOf" srcId="{F835FCEA-6446-414D-BDB4-8B50D64ABCCB}" destId="{1CE9AE9F-C9BA-4646-A0F5-E7B1FF0CA49D}" srcOrd="0" destOrd="0" presId="urn:microsoft.com/office/officeart/2005/8/layout/radial1"/>
    <dgm:cxn modelId="{FD0E387A-C37A-49D0-87B4-B8ED10FF8EF8}" type="presParOf" srcId="{5130DEB4-60EF-4716-9C07-CDF84F7FD9F0}" destId="{90543D89-8A4D-4183-824A-25C9DDDB3169}" srcOrd="6" destOrd="0" presId="urn:microsoft.com/office/officeart/2005/8/layout/radial1"/>
    <dgm:cxn modelId="{4555300F-BCA8-4912-969C-F7DC89F6C4F9}" type="presParOf" srcId="{5130DEB4-60EF-4716-9C07-CDF84F7FD9F0}" destId="{F509F167-9A9B-4BC9-9EF0-98434E0A1FC5}" srcOrd="7" destOrd="0" presId="urn:microsoft.com/office/officeart/2005/8/layout/radial1"/>
    <dgm:cxn modelId="{BD15BD22-3F4B-4464-B3D5-8B1778BAFB80}" type="presParOf" srcId="{F509F167-9A9B-4BC9-9EF0-98434E0A1FC5}" destId="{2DB876B2-CE7E-44DE-B979-8B68B3120A83}" srcOrd="0" destOrd="0" presId="urn:microsoft.com/office/officeart/2005/8/layout/radial1"/>
    <dgm:cxn modelId="{34F48EE5-045C-458E-8DDB-4C7DEAC13848}" type="presParOf" srcId="{5130DEB4-60EF-4716-9C07-CDF84F7FD9F0}" destId="{9C1094D5-1873-48C3-8E50-DFD1A551FFE6}" srcOrd="8"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6C81B2-6F7B-480E-83FB-20E98F590E06}" type="doc">
      <dgm:prSet loTypeId="urn:microsoft.com/office/officeart/2011/layout/HexagonRadial" loCatId="officeonline" qsTypeId="urn:microsoft.com/office/officeart/2005/8/quickstyle/simple1#2" qsCatId="simple" csTypeId="urn:microsoft.com/office/officeart/2005/8/colors/colorful5#2" csCatId="colorful" phldr="1"/>
      <dgm:spPr/>
      <dgm:t>
        <a:bodyPr/>
        <a:lstStyle/>
        <a:p>
          <a:endParaRPr lang="en-US"/>
        </a:p>
      </dgm:t>
    </dgm:pt>
    <dgm:pt modelId="{6F4BF23B-607A-4A0E-915B-499A92377555}">
      <dgm:prSet phldrT="[Text]" custT="1"/>
      <dgm:spPr/>
      <dgm:t>
        <a:bodyPr/>
        <a:lstStyle/>
        <a:p>
          <a:r>
            <a:rPr lang="ar-EG" sz="1200">
              <a:latin typeface="Traditional Arabic" panose="02020603050405020304" pitchFamily="18" charset="-78"/>
              <a:cs typeface="Traditional Arabic" panose="02020603050405020304" pitchFamily="18" charset="-78"/>
            </a:rPr>
            <a:t>أبعاد سلامة المرضى</a:t>
          </a:r>
          <a:endParaRPr lang="en-US" sz="1200">
            <a:latin typeface="Traditional Arabic" panose="02020603050405020304" pitchFamily="18" charset="-78"/>
            <a:cs typeface="Traditional Arabic" panose="02020603050405020304" pitchFamily="18" charset="-78"/>
          </a:endParaRPr>
        </a:p>
      </dgm:t>
    </dgm:pt>
    <dgm:pt modelId="{55136D1C-ACD2-442D-8227-AA3D9CDBD68A}" type="parTrans" cxnId="{D4705C03-D36E-4EF1-92C8-2F81D85B29A2}">
      <dgm:prSet/>
      <dgm:spPr/>
      <dgm:t>
        <a:bodyPr/>
        <a:lstStyle/>
        <a:p>
          <a:endParaRPr lang="en-US"/>
        </a:p>
      </dgm:t>
    </dgm:pt>
    <dgm:pt modelId="{99B51D58-B0CF-4B35-985F-5EE68ACBE0A6}" type="sibTrans" cxnId="{D4705C03-D36E-4EF1-92C8-2F81D85B29A2}">
      <dgm:prSet/>
      <dgm:spPr/>
      <dgm:t>
        <a:bodyPr/>
        <a:lstStyle/>
        <a:p>
          <a:endParaRPr lang="en-US"/>
        </a:p>
      </dgm:t>
    </dgm:pt>
    <dgm:pt modelId="{945BFC78-9967-4BB2-872C-4BCA450E19EB}">
      <dgm:prSet phldrT="[Text]" custT="1"/>
      <dgm:spPr/>
      <dgm:t>
        <a:bodyPr/>
        <a:lstStyle/>
        <a:p>
          <a:pPr>
            <a:buNone/>
          </a:pPr>
          <a:r>
            <a:rPr lang="ar-SA" sz="1200" b="1">
              <a:latin typeface="Traditional Arabic" panose="02020603050405020304" pitchFamily="18" charset="-78"/>
              <a:cs typeface="Traditional Arabic" panose="02020603050405020304" pitchFamily="18" charset="-78"/>
            </a:rPr>
            <a:t>تقليل الأخطاء الطبية </a:t>
          </a:r>
          <a:endParaRPr lang="en-US" sz="1200">
            <a:latin typeface="Traditional Arabic" panose="02020603050405020304" pitchFamily="18" charset="-78"/>
            <a:cs typeface="Traditional Arabic" panose="02020603050405020304" pitchFamily="18" charset="-78"/>
          </a:endParaRPr>
        </a:p>
      </dgm:t>
    </dgm:pt>
    <dgm:pt modelId="{2FA5D44E-9D2C-4B31-BFD0-376A7E3517C0}" type="parTrans" cxnId="{45C806E5-5A9C-4A18-BD8C-18C825DFB230}">
      <dgm:prSet/>
      <dgm:spPr/>
      <dgm:t>
        <a:bodyPr/>
        <a:lstStyle/>
        <a:p>
          <a:endParaRPr lang="en-US"/>
        </a:p>
      </dgm:t>
    </dgm:pt>
    <dgm:pt modelId="{8A5CBFAA-2962-4AD7-9257-27AC134D8BAC}" type="sibTrans" cxnId="{45C806E5-5A9C-4A18-BD8C-18C825DFB230}">
      <dgm:prSet/>
      <dgm:spPr/>
      <dgm:t>
        <a:bodyPr/>
        <a:lstStyle/>
        <a:p>
          <a:endParaRPr lang="en-US"/>
        </a:p>
      </dgm:t>
    </dgm:pt>
    <dgm:pt modelId="{CE1C11EF-BC62-4C48-B499-16870ABF6323}">
      <dgm:prSet phldrT="[Text]" custT="1"/>
      <dgm:spPr/>
      <dgm:t>
        <a:bodyPr/>
        <a:lstStyle/>
        <a:p>
          <a:pPr>
            <a:buNone/>
          </a:pPr>
          <a:r>
            <a:rPr lang="ar-SA" sz="1200" b="1">
              <a:latin typeface="Traditional Arabic" panose="02020603050405020304" pitchFamily="18" charset="-78"/>
              <a:cs typeface="Traditional Arabic" panose="02020603050405020304" pitchFamily="18" charset="-78"/>
            </a:rPr>
            <a:t>فعالية أنظمة الإبلاغ عن الحوادث </a:t>
          </a:r>
          <a:endParaRPr lang="en-US" sz="1200">
            <a:latin typeface="Traditional Arabic" panose="02020603050405020304" pitchFamily="18" charset="-78"/>
            <a:cs typeface="Traditional Arabic" panose="02020603050405020304" pitchFamily="18" charset="-78"/>
          </a:endParaRPr>
        </a:p>
      </dgm:t>
    </dgm:pt>
    <dgm:pt modelId="{81775252-B0FD-4F4A-B7CE-C0D2A7442A2B}" type="parTrans" cxnId="{DB78713C-D375-4E9E-84C4-85B4A69024FE}">
      <dgm:prSet/>
      <dgm:spPr/>
      <dgm:t>
        <a:bodyPr/>
        <a:lstStyle/>
        <a:p>
          <a:endParaRPr lang="en-US"/>
        </a:p>
      </dgm:t>
    </dgm:pt>
    <dgm:pt modelId="{FD750C07-F87E-483C-A641-5751F1EF6117}" type="sibTrans" cxnId="{DB78713C-D375-4E9E-84C4-85B4A69024FE}">
      <dgm:prSet/>
      <dgm:spPr/>
      <dgm:t>
        <a:bodyPr/>
        <a:lstStyle/>
        <a:p>
          <a:endParaRPr lang="en-US"/>
        </a:p>
      </dgm:t>
    </dgm:pt>
    <dgm:pt modelId="{3C0FA739-C65B-481C-B5BD-331FD4573F85}">
      <dgm:prSet phldrT="[Text]" custT="1"/>
      <dgm:spPr/>
      <dgm:t>
        <a:bodyPr/>
        <a:lstStyle/>
        <a:p>
          <a:r>
            <a:rPr lang="ar-EG" sz="1200">
              <a:latin typeface="Traditional Arabic" panose="02020603050405020304" pitchFamily="18" charset="-78"/>
              <a:cs typeface="Traditional Arabic" panose="02020603050405020304" pitchFamily="18" charset="-78"/>
            </a:rPr>
            <a:t>جودة الرعاية السريرية</a:t>
          </a:r>
          <a:endParaRPr lang="en-US" sz="1200">
            <a:latin typeface="Traditional Arabic" panose="02020603050405020304" pitchFamily="18" charset="-78"/>
            <a:cs typeface="Traditional Arabic" panose="02020603050405020304" pitchFamily="18" charset="-78"/>
          </a:endParaRPr>
        </a:p>
      </dgm:t>
    </dgm:pt>
    <dgm:pt modelId="{B4029644-D4AF-4ECE-A4CF-433A9BF2C30B}" type="parTrans" cxnId="{A4DAA516-9A79-4278-ACA6-8D4E73495737}">
      <dgm:prSet/>
      <dgm:spPr/>
      <dgm:t>
        <a:bodyPr/>
        <a:lstStyle/>
        <a:p>
          <a:endParaRPr lang="en-US"/>
        </a:p>
      </dgm:t>
    </dgm:pt>
    <dgm:pt modelId="{C8B5B46A-3206-4520-A305-1ABEA4231BDF}" type="sibTrans" cxnId="{A4DAA516-9A79-4278-ACA6-8D4E73495737}">
      <dgm:prSet/>
      <dgm:spPr/>
      <dgm:t>
        <a:bodyPr/>
        <a:lstStyle/>
        <a:p>
          <a:endParaRPr lang="en-US"/>
        </a:p>
      </dgm:t>
    </dgm:pt>
    <dgm:pt modelId="{F4869D4F-8738-4CB5-B2A6-9ED8A6DD20CD}">
      <dgm:prSet phldrT="[Text]" custT="1"/>
      <dgm:spPr/>
      <dgm:t>
        <a:bodyPr/>
        <a:lstStyle/>
        <a:p>
          <a:r>
            <a:rPr lang="ar-EG" sz="1200">
              <a:latin typeface="Traditional Arabic" panose="02020603050405020304" pitchFamily="18" charset="-78"/>
              <a:cs typeface="Traditional Arabic" panose="02020603050405020304" pitchFamily="18" charset="-78"/>
            </a:rPr>
            <a:t>بيئة العمل الآمنة</a:t>
          </a:r>
          <a:endParaRPr lang="en-US" sz="1200">
            <a:latin typeface="Traditional Arabic" panose="02020603050405020304" pitchFamily="18" charset="-78"/>
            <a:cs typeface="Traditional Arabic" panose="02020603050405020304" pitchFamily="18" charset="-78"/>
          </a:endParaRPr>
        </a:p>
      </dgm:t>
    </dgm:pt>
    <dgm:pt modelId="{63D7DB25-251C-446F-99D0-5DECE091DE6D}" type="parTrans" cxnId="{04EE753B-7869-4ED7-9ED4-1A47B0576248}">
      <dgm:prSet/>
      <dgm:spPr/>
      <dgm:t>
        <a:bodyPr/>
        <a:lstStyle/>
        <a:p>
          <a:endParaRPr lang="en-US"/>
        </a:p>
      </dgm:t>
    </dgm:pt>
    <dgm:pt modelId="{43E31BCD-DCA4-4982-92C3-391903FDF38D}" type="sibTrans" cxnId="{04EE753B-7869-4ED7-9ED4-1A47B0576248}">
      <dgm:prSet/>
      <dgm:spPr/>
      <dgm:t>
        <a:bodyPr/>
        <a:lstStyle/>
        <a:p>
          <a:endParaRPr lang="en-US"/>
        </a:p>
      </dgm:t>
    </dgm:pt>
    <dgm:pt modelId="{4C82A033-279E-4430-A98B-2F96FA1D7167}">
      <dgm:prSet phldrT="[Text]" custT="1"/>
      <dgm:spPr/>
      <dgm:t>
        <a:bodyPr/>
        <a:lstStyle/>
        <a:p>
          <a:r>
            <a:rPr lang="ar-EG" sz="1200">
              <a:latin typeface="Traditional Arabic" panose="02020603050405020304" pitchFamily="18" charset="-78"/>
              <a:cs typeface="Traditional Arabic" panose="02020603050405020304" pitchFamily="18" charset="-78"/>
            </a:rPr>
            <a:t>إشراك المرضى في الرعاية</a:t>
          </a:r>
          <a:endParaRPr lang="en-US" sz="1200">
            <a:latin typeface="Traditional Arabic" panose="02020603050405020304" pitchFamily="18" charset="-78"/>
            <a:cs typeface="Traditional Arabic" panose="02020603050405020304" pitchFamily="18" charset="-78"/>
          </a:endParaRPr>
        </a:p>
      </dgm:t>
    </dgm:pt>
    <dgm:pt modelId="{4A0762DC-F9B0-43B4-9230-5D5E442CD025}" type="parTrans" cxnId="{5D213605-46CA-4984-B2A2-596B4C2DB8D3}">
      <dgm:prSet/>
      <dgm:spPr/>
      <dgm:t>
        <a:bodyPr/>
        <a:lstStyle/>
        <a:p>
          <a:endParaRPr lang="en-US"/>
        </a:p>
      </dgm:t>
    </dgm:pt>
    <dgm:pt modelId="{118F5042-98B1-4488-A225-AB29DA2E5F93}" type="sibTrans" cxnId="{5D213605-46CA-4984-B2A2-596B4C2DB8D3}">
      <dgm:prSet/>
      <dgm:spPr/>
      <dgm:t>
        <a:bodyPr/>
        <a:lstStyle/>
        <a:p>
          <a:endParaRPr lang="en-US"/>
        </a:p>
      </dgm:t>
    </dgm:pt>
    <dgm:pt modelId="{D91854B5-585E-4482-9140-F50A980072B3}" type="pres">
      <dgm:prSet presAssocID="{406C81B2-6F7B-480E-83FB-20E98F590E06}" presName="Name0" presStyleCnt="0">
        <dgm:presLayoutVars>
          <dgm:chMax val="1"/>
          <dgm:chPref val="1"/>
          <dgm:dir/>
          <dgm:animOne val="branch"/>
          <dgm:animLvl val="lvl"/>
        </dgm:presLayoutVars>
      </dgm:prSet>
      <dgm:spPr/>
    </dgm:pt>
    <dgm:pt modelId="{E50D78F5-6784-4175-A8E0-FE6753DD78D7}" type="pres">
      <dgm:prSet presAssocID="{6F4BF23B-607A-4A0E-915B-499A92377555}" presName="Parent" presStyleLbl="node0" presStyleIdx="0" presStyleCnt="1">
        <dgm:presLayoutVars>
          <dgm:chMax val="6"/>
          <dgm:chPref val="6"/>
        </dgm:presLayoutVars>
      </dgm:prSet>
      <dgm:spPr/>
    </dgm:pt>
    <dgm:pt modelId="{0CD761AC-658B-4FC7-A2F9-E42144B2CABB}" type="pres">
      <dgm:prSet presAssocID="{945BFC78-9967-4BB2-872C-4BCA450E19EB}" presName="Accent1" presStyleCnt="0"/>
      <dgm:spPr/>
    </dgm:pt>
    <dgm:pt modelId="{26590B2D-483B-45D7-83AA-4322BA707E7A}" type="pres">
      <dgm:prSet presAssocID="{945BFC78-9967-4BB2-872C-4BCA450E19EB}" presName="Accent" presStyleLbl="bgShp" presStyleIdx="0" presStyleCnt="5"/>
      <dgm:spPr/>
    </dgm:pt>
    <dgm:pt modelId="{9A066EF5-943E-4EE9-B763-835FD7B1ADFC}" type="pres">
      <dgm:prSet presAssocID="{945BFC78-9967-4BB2-872C-4BCA450E19EB}" presName="Child1" presStyleLbl="node1" presStyleIdx="0" presStyleCnt="5">
        <dgm:presLayoutVars>
          <dgm:chMax val="0"/>
          <dgm:chPref val="0"/>
          <dgm:bulletEnabled val="1"/>
        </dgm:presLayoutVars>
      </dgm:prSet>
      <dgm:spPr/>
    </dgm:pt>
    <dgm:pt modelId="{5FF3F99D-89BA-4801-8C3B-3B7CEC22C844}" type="pres">
      <dgm:prSet presAssocID="{CE1C11EF-BC62-4C48-B499-16870ABF6323}" presName="Accent2" presStyleCnt="0"/>
      <dgm:spPr/>
    </dgm:pt>
    <dgm:pt modelId="{DA9728D2-FE8B-4155-B5DC-3B4E88CF68B3}" type="pres">
      <dgm:prSet presAssocID="{CE1C11EF-BC62-4C48-B499-16870ABF6323}" presName="Accent" presStyleLbl="bgShp" presStyleIdx="1" presStyleCnt="5"/>
      <dgm:spPr/>
    </dgm:pt>
    <dgm:pt modelId="{065425EA-BFBC-4F5B-896A-87EF310F1789}" type="pres">
      <dgm:prSet presAssocID="{CE1C11EF-BC62-4C48-B499-16870ABF6323}" presName="Child2" presStyleLbl="node1" presStyleIdx="1" presStyleCnt="5">
        <dgm:presLayoutVars>
          <dgm:chMax val="0"/>
          <dgm:chPref val="0"/>
          <dgm:bulletEnabled val="1"/>
        </dgm:presLayoutVars>
      </dgm:prSet>
      <dgm:spPr/>
    </dgm:pt>
    <dgm:pt modelId="{2C473192-507E-48D4-B03A-400156D22B73}" type="pres">
      <dgm:prSet presAssocID="{3C0FA739-C65B-481C-B5BD-331FD4573F85}" presName="Accent3" presStyleCnt="0"/>
      <dgm:spPr/>
    </dgm:pt>
    <dgm:pt modelId="{AE0F9A88-DC2C-408B-81C1-057E0AA334C6}" type="pres">
      <dgm:prSet presAssocID="{3C0FA739-C65B-481C-B5BD-331FD4573F85}" presName="Accent" presStyleLbl="bgShp" presStyleIdx="2" presStyleCnt="5"/>
      <dgm:spPr/>
    </dgm:pt>
    <dgm:pt modelId="{12BC5208-B40D-4C78-9AD7-2A80012BF1D4}" type="pres">
      <dgm:prSet presAssocID="{3C0FA739-C65B-481C-B5BD-331FD4573F85}" presName="Child3" presStyleLbl="node1" presStyleIdx="2" presStyleCnt="5">
        <dgm:presLayoutVars>
          <dgm:chMax val="0"/>
          <dgm:chPref val="0"/>
          <dgm:bulletEnabled val="1"/>
        </dgm:presLayoutVars>
      </dgm:prSet>
      <dgm:spPr/>
    </dgm:pt>
    <dgm:pt modelId="{209E1585-9B1A-41F8-ADC2-19ECB6C94615}" type="pres">
      <dgm:prSet presAssocID="{F4869D4F-8738-4CB5-B2A6-9ED8A6DD20CD}" presName="Accent4" presStyleCnt="0"/>
      <dgm:spPr/>
    </dgm:pt>
    <dgm:pt modelId="{E3E00F3B-9402-4420-9FA5-955E7CDE71AC}" type="pres">
      <dgm:prSet presAssocID="{F4869D4F-8738-4CB5-B2A6-9ED8A6DD20CD}" presName="Accent" presStyleLbl="bgShp" presStyleIdx="3" presStyleCnt="5"/>
      <dgm:spPr/>
    </dgm:pt>
    <dgm:pt modelId="{9063182D-471F-4B22-B1DC-E191435DE150}" type="pres">
      <dgm:prSet presAssocID="{F4869D4F-8738-4CB5-B2A6-9ED8A6DD20CD}" presName="Child4" presStyleLbl="node1" presStyleIdx="3" presStyleCnt="5">
        <dgm:presLayoutVars>
          <dgm:chMax val="0"/>
          <dgm:chPref val="0"/>
          <dgm:bulletEnabled val="1"/>
        </dgm:presLayoutVars>
      </dgm:prSet>
      <dgm:spPr/>
    </dgm:pt>
    <dgm:pt modelId="{3FF69E3D-CE01-47FD-9470-FD1DB5A94793}" type="pres">
      <dgm:prSet presAssocID="{4C82A033-279E-4430-A98B-2F96FA1D7167}" presName="Accent5" presStyleCnt="0"/>
      <dgm:spPr/>
    </dgm:pt>
    <dgm:pt modelId="{E5751212-FB36-4942-B2EA-1080E63DB5ED}" type="pres">
      <dgm:prSet presAssocID="{4C82A033-279E-4430-A98B-2F96FA1D7167}" presName="Accent" presStyleLbl="bgShp" presStyleIdx="4" presStyleCnt="5"/>
      <dgm:spPr/>
    </dgm:pt>
    <dgm:pt modelId="{D60ACA30-2326-4F8E-A170-1DF58B0C828D}" type="pres">
      <dgm:prSet presAssocID="{4C82A033-279E-4430-A98B-2F96FA1D7167}" presName="Child5" presStyleLbl="node1" presStyleIdx="4" presStyleCnt="5">
        <dgm:presLayoutVars>
          <dgm:chMax val="0"/>
          <dgm:chPref val="0"/>
          <dgm:bulletEnabled val="1"/>
        </dgm:presLayoutVars>
      </dgm:prSet>
      <dgm:spPr/>
    </dgm:pt>
  </dgm:ptLst>
  <dgm:cxnLst>
    <dgm:cxn modelId="{58508C02-2336-4D48-B777-74D0E6C09F13}" type="presOf" srcId="{945BFC78-9967-4BB2-872C-4BCA450E19EB}" destId="{9A066EF5-943E-4EE9-B763-835FD7B1ADFC}" srcOrd="0" destOrd="0" presId="urn:microsoft.com/office/officeart/2011/layout/HexagonRadial"/>
    <dgm:cxn modelId="{D4705C03-D36E-4EF1-92C8-2F81D85B29A2}" srcId="{406C81B2-6F7B-480E-83FB-20E98F590E06}" destId="{6F4BF23B-607A-4A0E-915B-499A92377555}" srcOrd="0" destOrd="0" parTransId="{55136D1C-ACD2-442D-8227-AA3D9CDBD68A}" sibTransId="{99B51D58-B0CF-4B35-985F-5EE68ACBE0A6}"/>
    <dgm:cxn modelId="{5D213605-46CA-4984-B2A2-596B4C2DB8D3}" srcId="{6F4BF23B-607A-4A0E-915B-499A92377555}" destId="{4C82A033-279E-4430-A98B-2F96FA1D7167}" srcOrd="4" destOrd="0" parTransId="{4A0762DC-F9B0-43B4-9230-5D5E442CD025}" sibTransId="{118F5042-98B1-4488-A225-AB29DA2E5F93}"/>
    <dgm:cxn modelId="{A4DAA516-9A79-4278-ACA6-8D4E73495737}" srcId="{6F4BF23B-607A-4A0E-915B-499A92377555}" destId="{3C0FA739-C65B-481C-B5BD-331FD4573F85}" srcOrd="2" destOrd="0" parTransId="{B4029644-D4AF-4ECE-A4CF-433A9BF2C30B}" sibTransId="{C8B5B46A-3206-4520-A305-1ABEA4231BDF}"/>
    <dgm:cxn modelId="{C1A0A419-CC6A-44A1-B71B-E4C9456D4773}" type="presOf" srcId="{4C82A033-279E-4430-A98B-2F96FA1D7167}" destId="{D60ACA30-2326-4F8E-A170-1DF58B0C828D}" srcOrd="0" destOrd="0" presId="urn:microsoft.com/office/officeart/2011/layout/HexagonRadial"/>
    <dgm:cxn modelId="{04EE753B-7869-4ED7-9ED4-1A47B0576248}" srcId="{6F4BF23B-607A-4A0E-915B-499A92377555}" destId="{F4869D4F-8738-4CB5-B2A6-9ED8A6DD20CD}" srcOrd="3" destOrd="0" parTransId="{63D7DB25-251C-446F-99D0-5DECE091DE6D}" sibTransId="{43E31BCD-DCA4-4982-92C3-391903FDF38D}"/>
    <dgm:cxn modelId="{DB78713C-D375-4E9E-84C4-85B4A69024FE}" srcId="{6F4BF23B-607A-4A0E-915B-499A92377555}" destId="{CE1C11EF-BC62-4C48-B499-16870ABF6323}" srcOrd="1" destOrd="0" parTransId="{81775252-B0FD-4F4A-B7CE-C0D2A7442A2B}" sibTransId="{FD750C07-F87E-483C-A641-5751F1EF6117}"/>
    <dgm:cxn modelId="{04C57D70-EC48-4DAF-A51C-F5CB594A0D0F}" type="presOf" srcId="{406C81B2-6F7B-480E-83FB-20E98F590E06}" destId="{D91854B5-585E-4482-9140-F50A980072B3}" srcOrd="0" destOrd="0" presId="urn:microsoft.com/office/officeart/2011/layout/HexagonRadial"/>
    <dgm:cxn modelId="{DD0332AD-2325-443A-AF99-2B9B21A06BDA}" type="presOf" srcId="{6F4BF23B-607A-4A0E-915B-499A92377555}" destId="{E50D78F5-6784-4175-A8E0-FE6753DD78D7}" srcOrd="0" destOrd="0" presId="urn:microsoft.com/office/officeart/2011/layout/HexagonRadial"/>
    <dgm:cxn modelId="{7AE6AAB0-89B1-4219-8646-6C4973895BA0}" type="presOf" srcId="{F4869D4F-8738-4CB5-B2A6-9ED8A6DD20CD}" destId="{9063182D-471F-4B22-B1DC-E191435DE150}" srcOrd="0" destOrd="0" presId="urn:microsoft.com/office/officeart/2011/layout/HexagonRadial"/>
    <dgm:cxn modelId="{BC26F3E2-D208-4C93-A849-3D470967A306}" type="presOf" srcId="{3C0FA739-C65B-481C-B5BD-331FD4573F85}" destId="{12BC5208-B40D-4C78-9AD7-2A80012BF1D4}" srcOrd="0" destOrd="0" presId="urn:microsoft.com/office/officeart/2011/layout/HexagonRadial"/>
    <dgm:cxn modelId="{45C806E5-5A9C-4A18-BD8C-18C825DFB230}" srcId="{6F4BF23B-607A-4A0E-915B-499A92377555}" destId="{945BFC78-9967-4BB2-872C-4BCA450E19EB}" srcOrd="0" destOrd="0" parTransId="{2FA5D44E-9D2C-4B31-BFD0-376A7E3517C0}" sibTransId="{8A5CBFAA-2962-4AD7-9257-27AC134D8BAC}"/>
    <dgm:cxn modelId="{F58FAAF0-7515-4E76-90E2-3E2581674B2F}" type="presOf" srcId="{CE1C11EF-BC62-4C48-B499-16870ABF6323}" destId="{065425EA-BFBC-4F5B-896A-87EF310F1789}" srcOrd="0" destOrd="0" presId="urn:microsoft.com/office/officeart/2011/layout/HexagonRadial"/>
    <dgm:cxn modelId="{66F56452-7093-49E3-9691-EC34527D7257}" type="presParOf" srcId="{D91854B5-585E-4482-9140-F50A980072B3}" destId="{E50D78F5-6784-4175-A8E0-FE6753DD78D7}" srcOrd="0" destOrd="0" presId="urn:microsoft.com/office/officeart/2011/layout/HexagonRadial"/>
    <dgm:cxn modelId="{7A3BE0FF-C6A4-4106-840B-A93352523919}" type="presParOf" srcId="{D91854B5-585E-4482-9140-F50A980072B3}" destId="{0CD761AC-658B-4FC7-A2F9-E42144B2CABB}" srcOrd="1" destOrd="0" presId="urn:microsoft.com/office/officeart/2011/layout/HexagonRadial"/>
    <dgm:cxn modelId="{C00E7E53-E396-4392-9658-9F72D7E6F918}" type="presParOf" srcId="{0CD761AC-658B-4FC7-A2F9-E42144B2CABB}" destId="{26590B2D-483B-45D7-83AA-4322BA707E7A}" srcOrd="0" destOrd="0" presId="urn:microsoft.com/office/officeart/2011/layout/HexagonRadial"/>
    <dgm:cxn modelId="{58DFDAB2-C1AD-4946-B991-A182BDD6AC2B}" type="presParOf" srcId="{D91854B5-585E-4482-9140-F50A980072B3}" destId="{9A066EF5-943E-4EE9-B763-835FD7B1ADFC}" srcOrd="2" destOrd="0" presId="urn:microsoft.com/office/officeart/2011/layout/HexagonRadial"/>
    <dgm:cxn modelId="{20477B49-0B60-4298-8694-CFAA48D94023}" type="presParOf" srcId="{D91854B5-585E-4482-9140-F50A980072B3}" destId="{5FF3F99D-89BA-4801-8C3B-3B7CEC22C844}" srcOrd="3" destOrd="0" presId="urn:microsoft.com/office/officeart/2011/layout/HexagonRadial"/>
    <dgm:cxn modelId="{5A2EEBA8-B1FB-4EDD-8AF9-8A2EBCB7FDB0}" type="presParOf" srcId="{5FF3F99D-89BA-4801-8C3B-3B7CEC22C844}" destId="{DA9728D2-FE8B-4155-B5DC-3B4E88CF68B3}" srcOrd="0" destOrd="0" presId="urn:microsoft.com/office/officeart/2011/layout/HexagonRadial"/>
    <dgm:cxn modelId="{758D94C9-71A1-4380-8504-92984C7C81CD}" type="presParOf" srcId="{D91854B5-585E-4482-9140-F50A980072B3}" destId="{065425EA-BFBC-4F5B-896A-87EF310F1789}" srcOrd="4" destOrd="0" presId="urn:microsoft.com/office/officeart/2011/layout/HexagonRadial"/>
    <dgm:cxn modelId="{65DC5C7F-2C92-4F84-BD8E-916BB1419858}" type="presParOf" srcId="{D91854B5-585E-4482-9140-F50A980072B3}" destId="{2C473192-507E-48D4-B03A-400156D22B73}" srcOrd="5" destOrd="0" presId="urn:microsoft.com/office/officeart/2011/layout/HexagonRadial"/>
    <dgm:cxn modelId="{022C033F-6A09-4BD8-925A-0FBDD1542743}" type="presParOf" srcId="{2C473192-507E-48D4-B03A-400156D22B73}" destId="{AE0F9A88-DC2C-408B-81C1-057E0AA334C6}" srcOrd="0" destOrd="0" presId="urn:microsoft.com/office/officeart/2011/layout/HexagonRadial"/>
    <dgm:cxn modelId="{0F49671E-62C9-4295-822A-5ADFF2CD2B2D}" type="presParOf" srcId="{D91854B5-585E-4482-9140-F50A980072B3}" destId="{12BC5208-B40D-4C78-9AD7-2A80012BF1D4}" srcOrd="6" destOrd="0" presId="urn:microsoft.com/office/officeart/2011/layout/HexagonRadial"/>
    <dgm:cxn modelId="{FE3954C8-2BFC-4A03-9565-0B4F3ADAA3ED}" type="presParOf" srcId="{D91854B5-585E-4482-9140-F50A980072B3}" destId="{209E1585-9B1A-41F8-ADC2-19ECB6C94615}" srcOrd="7" destOrd="0" presId="urn:microsoft.com/office/officeart/2011/layout/HexagonRadial"/>
    <dgm:cxn modelId="{9D1CDF9E-1DDA-4BD7-9165-E342885E5731}" type="presParOf" srcId="{209E1585-9B1A-41F8-ADC2-19ECB6C94615}" destId="{E3E00F3B-9402-4420-9FA5-955E7CDE71AC}" srcOrd="0" destOrd="0" presId="urn:microsoft.com/office/officeart/2011/layout/HexagonRadial"/>
    <dgm:cxn modelId="{60D9C7B7-424E-4494-AF63-3BBD2068193F}" type="presParOf" srcId="{D91854B5-585E-4482-9140-F50A980072B3}" destId="{9063182D-471F-4B22-B1DC-E191435DE150}" srcOrd="8" destOrd="0" presId="urn:microsoft.com/office/officeart/2011/layout/HexagonRadial"/>
    <dgm:cxn modelId="{8686F6BC-51A2-4709-92A1-72881BBAD3CB}" type="presParOf" srcId="{D91854B5-585E-4482-9140-F50A980072B3}" destId="{3FF69E3D-CE01-47FD-9470-FD1DB5A94793}" srcOrd="9" destOrd="0" presId="urn:microsoft.com/office/officeart/2011/layout/HexagonRadial"/>
    <dgm:cxn modelId="{05BDCC1F-1A70-4D52-99A9-49B9D648CAC6}" type="presParOf" srcId="{3FF69E3D-CE01-47FD-9470-FD1DB5A94793}" destId="{E5751212-FB36-4942-B2EA-1080E63DB5ED}" srcOrd="0" destOrd="0" presId="urn:microsoft.com/office/officeart/2011/layout/HexagonRadial"/>
    <dgm:cxn modelId="{84A97D30-0858-40A6-BD31-4B4CAA62C9C8}" type="presParOf" srcId="{D91854B5-585E-4482-9140-F50A980072B3}" destId="{D60ACA30-2326-4F8E-A170-1DF58B0C828D}" srcOrd="10" destOrd="0" presId="urn:microsoft.com/office/officeart/2011/layout/HexagonRadial"/>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5A2E1EE-B91A-44A0-B34E-A60B6E63A510}" type="doc">
      <dgm:prSet loTypeId="urn:microsoft.com/office/officeart/2005/8/layout/cycle2" loCatId="cycle" qsTypeId="urn:microsoft.com/office/officeart/2005/8/quickstyle/simple1#3" qsCatId="simple" csTypeId="urn:microsoft.com/office/officeart/2005/8/colors/colorful1#1" csCatId="colorful" phldr="1"/>
      <dgm:spPr/>
      <dgm:t>
        <a:bodyPr/>
        <a:lstStyle/>
        <a:p>
          <a:endParaRPr lang="en-US"/>
        </a:p>
      </dgm:t>
    </dgm:pt>
    <dgm:pt modelId="{316DE300-BC16-46AB-B3A3-AB079208F8CD}">
      <dgm:prSet phldrT="[Text]" custT="1"/>
      <dgm:spPr/>
      <dgm:t>
        <a:bodyPr/>
        <a:lstStyle/>
        <a:p>
          <a:r>
            <a:rPr lang="ar-EG" sz="1400">
              <a:latin typeface="Traditional Arabic" panose="02020603050405020304" pitchFamily="18" charset="-78"/>
              <a:cs typeface="Traditional Arabic" panose="02020603050405020304" pitchFamily="18" charset="-78"/>
            </a:rPr>
            <a:t>العقوبة المشروطة</a:t>
          </a:r>
          <a:endParaRPr lang="en-US" sz="1400">
            <a:latin typeface="Traditional Arabic" panose="02020603050405020304" pitchFamily="18" charset="-78"/>
            <a:cs typeface="Traditional Arabic" panose="02020603050405020304" pitchFamily="18" charset="-78"/>
          </a:endParaRPr>
        </a:p>
      </dgm:t>
    </dgm:pt>
    <dgm:pt modelId="{29290A4A-B86E-4D75-A63A-C42396B544BF}" type="parTrans" cxnId="{C306633A-D0A0-47EF-BA0E-689DE5620BB3}">
      <dgm:prSet/>
      <dgm:spPr/>
      <dgm:t>
        <a:bodyPr/>
        <a:lstStyle/>
        <a:p>
          <a:endParaRPr lang="en-US"/>
        </a:p>
      </dgm:t>
    </dgm:pt>
    <dgm:pt modelId="{937920FE-8E2B-40B3-8FA4-990A1A0AF435}" type="sibTrans" cxnId="{C306633A-D0A0-47EF-BA0E-689DE5620BB3}">
      <dgm:prSet/>
      <dgm:spPr/>
      <dgm:t>
        <a:bodyPr/>
        <a:lstStyle/>
        <a:p>
          <a:endParaRPr lang="en-US"/>
        </a:p>
      </dgm:t>
    </dgm:pt>
    <dgm:pt modelId="{769F7BB4-B13C-4761-84CF-7A627A5F7168}">
      <dgm:prSet phldrT="[Text]" custT="1"/>
      <dgm:spPr/>
      <dgm:t>
        <a:bodyPr/>
        <a:lstStyle/>
        <a:p>
          <a:r>
            <a:rPr lang="ar-EG" sz="1400">
              <a:latin typeface="Traditional Arabic" panose="02020603050405020304" pitchFamily="18" charset="-78"/>
              <a:cs typeface="Traditional Arabic" panose="02020603050405020304" pitchFamily="18" charset="-78"/>
            </a:rPr>
            <a:t>المكافأة المشروطة</a:t>
          </a:r>
          <a:endParaRPr lang="en-US" sz="1400">
            <a:latin typeface="Traditional Arabic" panose="02020603050405020304" pitchFamily="18" charset="-78"/>
            <a:cs typeface="Traditional Arabic" panose="02020603050405020304" pitchFamily="18" charset="-78"/>
          </a:endParaRPr>
        </a:p>
      </dgm:t>
    </dgm:pt>
    <dgm:pt modelId="{71131BCE-ADC4-4720-86EB-C5A2F9FBBA3C}" type="parTrans" cxnId="{EE8412D0-0246-4B15-847E-56B44373FE01}">
      <dgm:prSet/>
      <dgm:spPr/>
      <dgm:t>
        <a:bodyPr/>
        <a:lstStyle/>
        <a:p>
          <a:endParaRPr lang="en-US"/>
        </a:p>
      </dgm:t>
    </dgm:pt>
    <dgm:pt modelId="{C07B313E-B1FF-4F7C-A238-211A892BB991}" type="sibTrans" cxnId="{EE8412D0-0246-4B15-847E-56B44373FE01}">
      <dgm:prSet/>
      <dgm:spPr/>
      <dgm:t>
        <a:bodyPr/>
        <a:lstStyle/>
        <a:p>
          <a:endParaRPr lang="en-US"/>
        </a:p>
      </dgm:t>
    </dgm:pt>
    <dgm:pt modelId="{EDEECAF2-A5AC-4EEA-872B-F6FCEC7B9E49}">
      <dgm:prSet phldrT="[Text]" custT="1"/>
      <dgm:spPr/>
      <dgm:t>
        <a:bodyPr/>
        <a:lstStyle/>
        <a:p>
          <a:r>
            <a:rPr lang="ar-EG" sz="1400">
              <a:latin typeface="Traditional Arabic" panose="02020603050405020304" pitchFamily="18" charset="-78"/>
              <a:cs typeface="Traditional Arabic" panose="02020603050405020304" pitchFamily="18" charset="-78"/>
            </a:rPr>
            <a:t>الإدارة بالإستثناء (الساكنة)</a:t>
          </a:r>
          <a:endParaRPr lang="en-US" sz="1400">
            <a:latin typeface="Traditional Arabic" panose="02020603050405020304" pitchFamily="18" charset="-78"/>
            <a:cs typeface="Traditional Arabic" panose="02020603050405020304" pitchFamily="18" charset="-78"/>
          </a:endParaRPr>
        </a:p>
      </dgm:t>
    </dgm:pt>
    <dgm:pt modelId="{2C7F5335-3277-4036-A40F-D2768A080144}" type="parTrans" cxnId="{01D1A9EF-FE0C-49E1-8174-4204BF4B5D1C}">
      <dgm:prSet/>
      <dgm:spPr/>
      <dgm:t>
        <a:bodyPr/>
        <a:lstStyle/>
        <a:p>
          <a:endParaRPr lang="en-US"/>
        </a:p>
      </dgm:t>
    </dgm:pt>
    <dgm:pt modelId="{6D238E04-5ACE-4E52-9EEA-5DC2D1802BA8}" type="sibTrans" cxnId="{01D1A9EF-FE0C-49E1-8174-4204BF4B5D1C}">
      <dgm:prSet/>
      <dgm:spPr/>
      <dgm:t>
        <a:bodyPr/>
        <a:lstStyle/>
        <a:p>
          <a:endParaRPr lang="en-US"/>
        </a:p>
      </dgm:t>
    </dgm:pt>
    <dgm:pt modelId="{C2FE0EDD-E216-49C5-A102-0CF0B9D97A6D}">
      <dgm:prSet phldrT="[Text]" custT="1"/>
      <dgm:spPr/>
      <dgm:t>
        <a:bodyPr/>
        <a:lstStyle/>
        <a:p>
          <a:r>
            <a:rPr lang="ar-EG" sz="1400">
              <a:latin typeface="Traditional Arabic" panose="02020603050405020304" pitchFamily="18" charset="-78"/>
              <a:cs typeface="Traditional Arabic" panose="02020603050405020304" pitchFamily="18" charset="-78"/>
            </a:rPr>
            <a:t>الإدارة بالإستثناء ( النشطة)</a:t>
          </a:r>
          <a:endParaRPr lang="en-US" sz="1400">
            <a:latin typeface="Traditional Arabic" panose="02020603050405020304" pitchFamily="18" charset="-78"/>
            <a:cs typeface="Traditional Arabic" panose="02020603050405020304" pitchFamily="18" charset="-78"/>
          </a:endParaRPr>
        </a:p>
      </dgm:t>
    </dgm:pt>
    <dgm:pt modelId="{506E0878-C063-4F05-BD5A-A831CB794B92}" type="parTrans" cxnId="{54C99E0C-A5C0-46FC-8A67-C26BA91E99D1}">
      <dgm:prSet/>
      <dgm:spPr/>
      <dgm:t>
        <a:bodyPr/>
        <a:lstStyle/>
        <a:p>
          <a:endParaRPr lang="en-US"/>
        </a:p>
      </dgm:t>
    </dgm:pt>
    <dgm:pt modelId="{04839EAB-05B7-4240-B476-1AAC20793417}" type="sibTrans" cxnId="{54C99E0C-A5C0-46FC-8A67-C26BA91E99D1}">
      <dgm:prSet/>
      <dgm:spPr/>
      <dgm:t>
        <a:bodyPr/>
        <a:lstStyle/>
        <a:p>
          <a:endParaRPr lang="en-US"/>
        </a:p>
      </dgm:t>
    </dgm:pt>
    <dgm:pt modelId="{8F45C12C-3E56-46A7-BF5E-3877ECE057B0}">
      <dgm:prSet phldrT="[Text]" custT="1"/>
      <dgm:spPr/>
      <dgm:t>
        <a:bodyPr/>
        <a:lstStyle/>
        <a:p>
          <a:r>
            <a:rPr lang="ar-EG" sz="1400">
              <a:latin typeface="Traditional Arabic" panose="02020603050405020304" pitchFamily="18" charset="-78"/>
              <a:cs typeface="Traditional Arabic" panose="02020603050405020304" pitchFamily="18" charset="-78"/>
            </a:rPr>
            <a:t>مستلزمات الأداء</a:t>
          </a:r>
          <a:endParaRPr lang="en-US" sz="1400">
            <a:latin typeface="Traditional Arabic" panose="02020603050405020304" pitchFamily="18" charset="-78"/>
            <a:cs typeface="Traditional Arabic" panose="02020603050405020304" pitchFamily="18" charset="-78"/>
          </a:endParaRPr>
        </a:p>
      </dgm:t>
    </dgm:pt>
    <dgm:pt modelId="{CC5F4917-14E8-46D8-936B-13BF338FAF5C}" type="parTrans" cxnId="{05D7AEAC-5689-494F-9F41-D6B605564FED}">
      <dgm:prSet/>
      <dgm:spPr/>
      <dgm:t>
        <a:bodyPr/>
        <a:lstStyle/>
        <a:p>
          <a:endParaRPr lang="en-US"/>
        </a:p>
      </dgm:t>
    </dgm:pt>
    <dgm:pt modelId="{8C1DA97A-D774-4D09-98C1-18147439719D}" type="sibTrans" cxnId="{05D7AEAC-5689-494F-9F41-D6B605564FED}">
      <dgm:prSet/>
      <dgm:spPr/>
      <dgm:t>
        <a:bodyPr/>
        <a:lstStyle/>
        <a:p>
          <a:endParaRPr lang="en-US"/>
        </a:p>
      </dgm:t>
    </dgm:pt>
    <dgm:pt modelId="{C1635118-99E2-4382-8A0B-764B7DD74AB7}" type="pres">
      <dgm:prSet presAssocID="{D5A2E1EE-B91A-44A0-B34E-A60B6E63A510}" presName="cycle" presStyleCnt="0">
        <dgm:presLayoutVars>
          <dgm:dir/>
          <dgm:resizeHandles val="exact"/>
        </dgm:presLayoutVars>
      </dgm:prSet>
      <dgm:spPr/>
    </dgm:pt>
    <dgm:pt modelId="{4F986341-8791-4C28-9968-C598C91037D8}" type="pres">
      <dgm:prSet presAssocID="{316DE300-BC16-46AB-B3A3-AB079208F8CD}" presName="node" presStyleLbl="node1" presStyleIdx="0" presStyleCnt="5">
        <dgm:presLayoutVars>
          <dgm:bulletEnabled val="1"/>
        </dgm:presLayoutVars>
      </dgm:prSet>
      <dgm:spPr/>
    </dgm:pt>
    <dgm:pt modelId="{927FCD21-EB4E-458B-8788-DE6A1D18B3F2}" type="pres">
      <dgm:prSet presAssocID="{937920FE-8E2B-40B3-8FA4-990A1A0AF435}" presName="sibTrans" presStyleLbl="sibTrans2D1" presStyleIdx="0" presStyleCnt="5"/>
      <dgm:spPr/>
    </dgm:pt>
    <dgm:pt modelId="{BD180D6C-171A-482A-8AD3-14BEE08515BB}" type="pres">
      <dgm:prSet presAssocID="{937920FE-8E2B-40B3-8FA4-990A1A0AF435}" presName="connectorText" presStyleLbl="sibTrans2D1" presStyleIdx="0" presStyleCnt="5"/>
      <dgm:spPr/>
    </dgm:pt>
    <dgm:pt modelId="{1A14E00A-4429-4CD5-9D5B-4DA5F0700B1D}" type="pres">
      <dgm:prSet presAssocID="{769F7BB4-B13C-4761-84CF-7A627A5F7168}" presName="node" presStyleLbl="node1" presStyleIdx="1" presStyleCnt="5">
        <dgm:presLayoutVars>
          <dgm:bulletEnabled val="1"/>
        </dgm:presLayoutVars>
      </dgm:prSet>
      <dgm:spPr/>
    </dgm:pt>
    <dgm:pt modelId="{3030A735-1686-4EAA-BF9C-2C1BB12A1B20}" type="pres">
      <dgm:prSet presAssocID="{C07B313E-B1FF-4F7C-A238-211A892BB991}" presName="sibTrans" presStyleLbl="sibTrans2D1" presStyleIdx="1" presStyleCnt="5"/>
      <dgm:spPr/>
    </dgm:pt>
    <dgm:pt modelId="{759E3693-38AE-4286-8074-94B1CFA2F65B}" type="pres">
      <dgm:prSet presAssocID="{C07B313E-B1FF-4F7C-A238-211A892BB991}" presName="connectorText" presStyleLbl="sibTrans2D1" presStyleIdx="1" presStyleCnt="5"/>
      <dgm:spPr/>
    </dgm:pt>
    <dgm:pt modelId="{93320E12-0688-4BB1-85AF-121A509448D2}" type="pres">
      <dgm:prSet presAssocID="{EDEECAF2-A5AC-4EEA-872B-F6FCEC7B9E49}" presName="node" presStyleLbl="node1" presStyleIdx="2" presStyleCnt="5">
        <dgm:presLayoutVars>
          <dgm:bulletEnabled val="1"/>
        </dgm:presLayoutVars>
      </dgm:prSet>
      <dgm:spPr/>
    </dgm:pt>
    <dgm:pt modelId="{B8C070E4-685B-41A9-9E68-08EDD1968B16}" type="pres">
      <dgm:prSet presAssocID="{6D238E04-5ACE-4E52-9EEA-5DC2D1802BA8}" presName="sibTrans" presStyleLbl="sibTrans2D1" presStyleIdx="2" presStyleCnt="5"/>
      <dgm:spPr/>
    </dgm:pt>
    <dgm:pt modelId="{839D069F-172F-4810-ABFF-6E210BFF0A70}" type="pres">
      <dgm:prSet presAssocID="{6D238E04-5ACE-4E52-9EEA-5DC2D1802BA8}" presName="connectorText" presStyleLbl="sibTrans2D1" presStyleIdx="2" presStyleCnt="5"/>
      <dgm:spPr/>
    </dgm:pt>
    <dgm:pt modelId="{4285E783-BB67-4F23-AA12-EF7D37D40EB5}" type="pres">
      <dgm:prSet presAssocID="{C2FE0EDD-E216-49C5-A102-0CF0B9D97A6D}" presName="node" presStyleLbl="node1" presStyleIdx="3" presStyleCnt="5">
        <dgm:presLayoutVars>
          <dgm:bulletEnabled val="1"/>
        </dgm:presLayoutVars>
      </dgm:prSet>
      <dgm:spPr/>
    </dgm:pt>
    <dgm:pt modelId="{C14E68A7-56E7-47A4-B310-37B0E67D4A50}" type="pres">
      <dgm:prSet presAssocID="{04839EAB-05B7-4240-B476-1AAC20793417}" presName="sibTrans" presStyleLbl="sibTrans2D1" presStyleIdx="3" presStyleCnt="5"/>
      <dgm:spPr/>
    </dgm:pt>
    <dgm:pt modelId="{83DF85F3-BFDA-4A97-A35C-CE15441ABAD5}" type="pres">
      <dgm:prSet presAssocID="{04839EAB-05B7-4240-B476-1AAC20793417}" presName="connectorText" presStyleLbl="sibTrans2D1" presStyleIdx="3" presStyleCnt="5"/>
      <dgm:spPr/>
    </dgm:pt>
    <dgm:pt modelId="{CCEA4866-F5DE-44A0-92A1-E3755A1A8D75}" type="pres">
      <dgm:prSet presAssocID="{8F45C12C-3E56-46A7-BF5E-3877ECE057B0}" presName="node" presStyleLbl="node1" presStyleIdx="4" presStyleCnt="5">
        <dgm:presLayoutVars>
          <dgm:bulletEnabled val="1"/>
        </dgm:presLayoutVars>
      </dgm:prSet>
      <dgm:spPr/>
    </dgm:pt>
    <dgm:pt modelId="{39AF97AD-AB83-4C35-A8B7-196D2ECB8A9B}" type="pres">
      <dgm:prSet presAssocID="{8C1DA97A-D774-4D09-98C1-18147439719D}" presName="sibTrans" presStyleLbl="sibTrans2D1" presStyleIdx="4" presStyleCnt="5"/>
      <dgm:spPr/>
    </dgm:pt>
    <dgm:pt modelId="{6D523AE0-EE63-472D-9E2A-25DF1779E84F}" type="pres">
      <dgm:prSet presAssocID="{8C1DA97A-D774-4D09-98C1-18147439719D}" presName="connectorText" presStyleLbl="sibTrans2D1" presStyleIdx="4" presStyleCnt="5"/>
      <dgm:spPr/>
    </dgm:pt>
  </dgm:ptLst>
  <dgm:cxnLst>
    <dgm:cxn modelId="{54C99E0C-A5C0-46FC-8A67-C26BA91E99D1}" srcId="{D5A2E1EE-B91A-44A0-B34E-A60B6E63A510}" destId="{C2FE0EDD-E216-49C5-A102-0CF0B9D97A6D}" srcOrd="3" destOrd="0" parTransId="{506E0878-C063-4F05-BD5A-A831CB794B92}" sibTransId="{04839EAB-05B7-4240-B476-1AAC20793417}"/>
    <dgm:cxn modelId="{A8057C16-AB7C-41D5-A4AC-415AB0B3CDB8}" type="presOf" srcId="{C07B313E-B1FF-4F7C-A238-211A892BB991}" destId="{759E3693-38AE-4286-8074-94B1CFA2F65B}" srcOrd="1" destOrd="0" presId="urn:microsoft.com/office/officeart/2005/8/layout/cycle2"/>
    <dgm:cxn modelId="{5749AA1A-03A5-4024-9176-BA4C72E713C3}" type="presOf" srcId="{937920FE-8E2B-40B3-8FA4-990A1A0AF435}" destId="{BD180D6C-171A-482A-8AD3-14BEE08515BB}" srcOrd="1" destOrd="0" presId="urn:microsoft.com/office/officeart/2005/8/layout/cycle2"/>
    <dgm:cxn modelId="{055AE731-F8FB-4121-93D9-BEDE90A0DB9B}" type="presOf" srcId="{6D238E04-5ACE-4E52-9EEA-5DC2D1802BA8}" destId="{839D069F-172F-4810-ABFF-6E210BFF0A70}" srcOrd="1" destOrd="0" presId="urn:microsoft.com/office/officeart/2005/8/layout/cycle2"/>
    <dgm:cxn modelId="{87B31D35-D47C-4F3A-A387-4AD73CD0CEDF}" type="presOf" srcId="{C2FE0EDD-E216-49C5-A102-0CF0B9D97A6D}" destId="{4285E783-BB67-4F23-AA12-EF7D37D40EB5}" srcOrd="0" destOrd="0" presId="urn:microsoft.com/office/officeart/2005/8/layout/cycle2"/>
    <dgm:cxn modelId="{4776133A-B68D-4E8B-907D-1AB82A07684D}" type="presOf" srcId="{8C1DA97A-D774-4D09-98C1-18147439719D}" destId="{6D523AE0-EE63-472D-9E2A-25DF1779E84F}" srcOrd="1" destOrd="0" presId="urn:microsoft.com/office/officeart/2005/8/layout/cycle2"/>
    <dgm:cxn modelId="{C306633A-D0A0-47EF-BA0E-689DE5620BB3}" srcId="{D5A2E1EE-B91A-44A0-B34E-A60B6E63A510}" destId="{316DE300-BC16-46AB-B3A3-AB079208F8CD}" srcOrd="0" destOrd="0" parTransId="{29290A4A-B86E-4D75-A63A-C42396B544BF}" sibTransId="{937920FE-8E2B-40B3-8FA4-990A1A0AF435}"/>
    <dgm:cxn modelId="{4D0F1341-C60E-49FE-96CC-FC3274B35075}" type="presOf" srcId="{D5A2E1EE-B91A-44A0-B34E-A60B6E63A510}" destId="{C1635118-99E2-4382-8A0B-764B7DD74AB7}" srcOrd="0" destOrd="0" presId="urn:microsoft.com/office/officeart/2005/8/layout/cycle2"/>
    <dgm:cxn modelId="{6A6DC544-8F92-4956-BAB0-4EF42E3B18D9}" type="presOf" srcId="{8F45C12C-3E56-46A7-BF5E-3877ECE057B0}" destId="{CCEA4866-F5DE-44A0-92A1-E3755A1A8D75}" srcOrd="0" destOrd="0" presId="urn:microsoft.com/office/officeart/2005/8/layout/cycle2"/>
    <dgm:cxn modelId="{04A68D4A-2D64-44D5-8D78-8B1416A4A59D}" type="presOf" srcId="{EDEECAF2-A5AC-4EEA-872B-F6FCEC7B9E49}" destId="{93320E12-0688-4BB1-85AF-121A509448D2}" srcOrd="0" destOrd="0" presId="urn:microsoft.com/office/officeart/2005/8/layout/cycle2"/>
    <dgm:cxn modelId="{CCFD3259-AC42-422A-976A-D91E07DABB2D}" type="presOf" srcId="{04839EAB-05B7-4240-B476-1AAC20793417}" destId="{C14E68A7-56E7-47A4-B310-37B0E67D4A50}" srcOrd="0" destOrd="0" presId="urn:microsoft.com/office/officeart/2005/8/layout/cycle2"/>
    <dgm:cxn modelId="{6398A66E-69E0-44DE-AC54-39277C1E1796}" type="presOf" srcId="{C07B313E-B1FF-4F7C-A238-211A892BB991}" destId="{3030A735-1686-4EAA-BF9C-2C1BB12A1B20}" srcOrd="0" destOrd="0" presId="urn:microsoft.com/office/officeart/2005/8/layout/cycle2"/>
    <dgm:cxn modelId="{ADAA437E-452D-429A-9C7F-39AB12401A5E}" type="presOf" srcId="{769F7BB4-B13C-4761-84CF-7A627A5F7168}" destId="{1A14E00A-4429-4CD5-9D5B-4DA5F0700B1D}" srcOrd="0" destOrd="0" presId="urn:microsoft.com/office/officeart/2005/8/layout/cycle2"/>
    <dgm:cxn modelId="{57C8D983-FCE6-4F7B-A0C5-674486D9B2E6}" type="presOf" srcId="{937920FE-8E2B-40B3-8FA4-990A1A0AF435}" destId="{927FCD21-EB4E-458B-8788-DE6A1D18B3F2}" srcOrd="0" destOrd="0" presId="urn:microsoft.com/office/officeart/2005/8/layout/cycle2"/>
    <dgm:cxn modelId="{12759195-C934-4A7C-9F23-44F1DF91DBEA}" type="presOf" srcId="{04839EAB-05B7-4240-B476-1AAC20793417}" destId="{83DF85F3-BFDA-4A97-A35C-CE15441ABAD5}" srcOrd="1" destOrd="0" presId="urn:microsoft.com/office/officeart/2005/8/layout/cycle2"/>
    <dgm:cxn modelId="{74C812A2-6AEB-47E0-B554-536F89D8C10F}" type="presOf" srcId="{6D238E04-5ACE-4E52-9EEA-5DC2D1802BA8}" destId="{B8C070E4-685B-41A9-9E68-08EDD1968B16}" srcOrd="0" destOrd="0" presId="urn:microsoft.com/office/officeart/2005/8/layout/cycle2"/>
    <dgm:cxn modelId="{05D7AEAC-5689-494F-9F41-D6B605564FED}" srcId="{D5A2E1EE-B91A-44A0-B34E-A60B6E63A510}" destId="{8F45C12C-3E56-46A7-BF5E-3877ECE057B0}" srcOrd="4" destOrd="0" parTransId="{CC5F4917-14E8-46D8-936B-13BF338FAF5C}" sibTransId="{8C1DA97A-D774-4D09-98C1-18147439719D}"/>
    <dgm:cxn modelId="{3CF599AF-4E90-40F2-BC06-C302D2B5F3B1}" type="presOf" srcId="{316DE300-BC16-46AB-B3A3-AB079208F8CD}" destId="{4F986341-8791-4C28-9968-C598C91037D8}" srcOrd="0" destOrd="0" presId="urn:microsoft.com/office/officeart/2005/8/layout/cycle2"/>
    <dgm:cxn modelId="{F9E91CB8-6B90-49B5-8D10-31539DD4BA0F}" type="presOf" srcId="{8C1DA97A-D774-4D09-98C1-18147439719D}" destId="{39AF97AD-AB83-4C35-A8B7-196D2ECB8A9B}" srcOrd="0" destOrd="0" presId="urn:microsoft.com/office/officeart/2005/8/layout/cycle2"/>
    <dgm:cxn modelId="{EE8412D0-0246-4B15-847E-56B44373FE01}" srcId="{D5A2E1EE-B91A-44A0-B34E-A60B6E63A510}" destId="{769F7BB4-B13C-4761-84CF-7A627A5F7168}" srcOrd="1" destOrd="0" parTransId="{71131BCE-ADC4-4720-86EB-C5A2F9FBBA3C}" sibTransId="{C07B313E-B1FF-4F7C-A238-211A892BB991}"/>
    <dgm:cxn modelId="{01D1A9EF-FE0C-49E1-8174-4204BF4B5D1C}" srcId="{D5A2E1EE-B91A-44A0-B34E-A60B6E63A510}" destId="{EDEECAF2-A5AC-4EEA-872B-F6FCEC7B9E49}" srcOrd="2" destOrd="0" parTransId="{2C7F5335-3277-4036-A40F-D2768A080144}" sibTransId="{6D238E04-5ACE-4E52-9EEA-5DC2D1802BA8}"/>
    <dgm:cxn modelId="{9E200699-1CE3-42CA-957A-63F9FCD4BCC6}" type="presParOf" srcId="{C1635118-99E2-4382-8A0B-764B7DD74AB7}" destId="{4F986341-8791-4C28-9968-C598C91037D8}" srcOrd="0" destOrd="0" presId="urn:microsoft.com/office/officeart/2005/8/layout/cycle2"/>
    <dgm:cxn modelId="{7B9B17B4-9D75-4977-A315-127AB97B962E}" type="presParOf" srcId="{C1635118-99E2-4382-8A0B-764B7DD74AB7}" destId="{927FCD21-EB4E-458B-8788-DE6A1D18B3F2}" srcOrd="1" destOrd="0" presId="urn:microsoft.com/office/officeart/2005/8/layout/cycle2"/>
    <dgm:cxn modelId="{2C9A1B93-4B06-46B2-A3CC-A24E619B0EEE}" type="presParOf" srcId="{927FCD21-EB4E-458B-8788-DE6A1D18B3F2}" destId="{BD180D6C-171A-482A-8AD3-14BEE08515BB}" srcOrd="0" destOrd="0" presId="urn:microsoft.com/office/officeart/2005/8/layout/cycle2"/>
    <dgm:cxn modelId="{37961D5C-6BEC-455A-A5AC-C3B4F1644905}" type="presParOf" srcId="{C1635118-99E2-4382-8A0B-764B7DD74AB7}" destId="{1A14E00A-4429-4CD5-9D5B-4DA5F0700B1D}" srcOrd="2" destOrd="0" presId="urn:microsoft.com/office/officeart/2005/8/layout/cycle2"/>
    <dgm:cxn modelId="{9F0B5F19-FDDD-4067-9DB4-BA225712B603}" type="presParOf" srcId="{C1635118-99E2-4382-8A0B-764B7DD74AB7}" destId="{3030A735-1686-4EAA-BF9C-2C1BB12A1B20}" srcOrd="3" destOrd="0" presId="urn:microsoft.com/office/officeart/2005/8/layout/cycle2"/>
    <dgm:cxn modelId="{E0DB6127-A83B-4B8B-9380-788AB11A0FE7}" type="presParOf" srcId="{3030A735-1686-4EAA-BF9C-2C1BB12A1B20}" destId="{759E3693-38AE-4286-8074-94B1CFA2F65B}" srcOrd="0" destOrd="0" presId="urn:microsoft.com/office/officeart/2005/8/layout/cycle2"/>
    <dgm:cxn modelId="{62105672-A6DB-4CA0-BAE3-F399C8FD2642}" type="presParOf" srcId="{C1635118-99E2-4382-8A0B-764B7DD74AB7}" destId="{93320E12-0688-4BB1-85AF-121A509448D2}" srcOrd="4" destOrd="0" presId="urn:microsoft.com/office/officeart/2005/8/layout/cycle2"/>
    <dgm:cxn modelId="{7415372F-2E64-47A9-90A5-E1C808F7A2E6}" type="presParOf" srcId="{C1635118-99E2-4382-8A0B-764B7DD74AB7}" destId="{B8C070E4-685B-41A9-9E68-08EDD1968B16}" srcOrd="5" destOrd="0" presId="urn:microsoft.com/office/officeart/2005/8/layout/cycle2"/>
    <dgm:cxn modelId="{AAA9871E-6A7D-4A56-8EAE-7A0C46C9ACAB}" type="presParOf" srcId="{B8C070E4-685B-41A9-9E68-08EDD1968B16}" destId="{839D069F-172F-4810-ABFF-6E210BFF0A70}" srcOrd="0" destOrd="0" presId="urn:microsoft.com/office/officeart/2005/8/layout/cycle2"/>
    <dgm:cxn modelId="{584AF1EB-A1FD-46F6-800C-7CC77ED43B52}" type="presParOf" srcId="{C1635118-99E2-4382-8A0B-764B7DD74AB7}" destId="{4285E783-BB67-4F23-AA12-EF7D37D40EB5}" srcOrd="6" destOrd="0" presId="urn:microsoft.com/office/officeart/2005/8/layout/cycle2"/>
    <dgm:cxn modelId="{83D309BE-6F14-475D-BFDE-7701A885700A}" type="presParOf" srcId="{C1635118-99E2-4382-8A0B-764B7DD74AB7}" destId="{C14E68A7-56E7-47A4-B310-37B0E67D4A50}" srcOrd="7" destOrd="0" presId="urn:microsoft.com/office/officeart/2005/8/layout/cycle2"/>
    <dgm:cxn modelId="{EE114A0A-3197-483E-BFBD-5C9CEA038678}" type="presParOf" srcId="{C14E68A7-56E7-47A4-B310-37B0E67D4A50}" destId="{83DF85F3-BFDA-4A97-A35C-CE15441ABAD5}" srcOrd="0" destOrd="0" presId="urn:microsoft.com/office/officeart/2005/8/layout/cycle2"/>
    <dgm:cxn modelId="{D3979660-2B1E-491E-BB46-F0C05EF45112}" type="presParOf" srcId="{C1635118-99E2-4382-8A0B-764B7DD74AB7}" destId="{CCEA4866-F5DE-44A0-92A1-E3755A1A8D75}" srcOrd="8" destOrd="0" presId="urn:microsoft.com/office/officeart/2005/8/layout/cycle2"/>
    <dgm:cxn modelId="{3F316B8F-8753-4C50-B706-04D0739396AB}" type="presParOf" srcId="{C1635118-99E2-4382-8A0B-764B7DD74AB7}" destId="{39AF97AD-AB83-4C35-A8B7-196D2ECB8A9B}" srcOrd="9" destOrd="0" presId="urn:microsoft.com/office/officeart/2005/8/layout/cycle2"/>
    <dgm:cxn modelId="{8B243922-2C86-4DD6-A83D-5E60149700C3}" type="presParOf" srcId="{39AF97AD-AB83-4C35-A8B7-196D2ECB8A9B}" destId="{6D523AE0-EE63-472D-9E2A-25DF1779E84F}" srcOrd="0" destOrd="0" presId="urn:microsoft.com/office/officeart/2005/8/layout/cycle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310D71F-6868-4E42-A626-044ADED93C31}" type="doc">
      <dgm:prSet loTypeId="urn:microsoft.com/office/officeart/2005/8/layout/radial3" loCatId="cycle" qsTypeId="urn:microsoft.com/office/officeart/2005/8/quickstyle/simple1#4" qsCatId="simple" csTypeId="urn:microsoft.com/office/officeart/2005/8/colors/colorful5#3" csCatId="colorful" phldr="1"/>
      <dgm:spPr/>
      <dgm:t>
        <a:bodyPr/>
        <a:lstStyle/>
        <a:p>
          <a:endParaRPr lang="en-US"/>
        </a:p>
      </dgm:t>
    </dgm:pt>
    <dgm:pt modelId="{F2E4801E-8742-4A47-B9A1-33BC515599FF}">
      <dgm:prSet phldrT="[Text]" custT="1"/>
      <dgm:spPr/>
      <dgm:t>
        <a:bodyPr/>
        <a:lstStyle/>
        <a:p>
          <a:r>
            <a:rPr lang="ar-EG" sz="1200" b="1">
              <a:latin typeface="Traditional Arabic" panose="02020603050405020304" pitchFamily="18" charset="-78"/>
              <a:cs typeface="Traditional Arabic" panose="02020603050405020304" pitchFamily="18" charset="-78"/>
            </a:rPr>
            <a:t>أبعاد القيادة التحويلية</a:t>
          </a:r>
          <a:endParaRPr lang="en-US" sz="1200" b="1">
            <a:latin typeface="Traditional Arabic" panose="02020603050405020304" pitchFamily="18" charset="-78"/>
            <a:cs typeface="Traditional Arabic" panose="02020603050405020304" pitchFamily="18" charset="-78"/>
          </a:endParaRPr>
        </a:p>
      </dgm:t>
    </dgm:pt>
    <dgm:pt modelId="{550420AE-76A3-4C37-89D0-1F15DAA6012B}" type="parTrans" cxnId="{90CD1CB3-6C2D-4C92-9A36-827620D4E0C7}">
      <dgm:prSet/>
      <dgm:spPr/>
      <dgm:t>
        <a:bodyPr/>
        <a:lstStyle/>
        <a:p>
          <a:endParaRPr lang="en-US"/>
        </a:p>
      </dgm:t>
    </dgm:pt>
    <dgm:pt modelId="{0D04C08A-BB99-453B-8A90-BEDD9AF4A667}" type="sibTrans" cxnId="{90CD1CB3-6C2D-4C92-9A36-827620D4E0C7}">
      <dgm:prSet/>
      <dgm:spPr/>
      <dgm:t>
        <a:bodyPr/>
        <a:lstStyle/>
        <a:p>
          <a:endParaRPr lang="en-US"/>
        </a:p>
      </dgm:t>
    </dgm:pt>
    <dgm:pt modelId="{4AEFD2C1-9A7E-45A5-9103-AD5E3FEC951B}">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الدافعية الالهامية</a:t>
          </a:r>
          <a:endParaRPr lang="en-US" sz="1200">
            <a:latin typeface="Traditional Arabic" panose="02020603050405020304" pitchFamily="18" charset="-78"/>
            <a:cs typeface="Traditional Arabic" panose="02020603050405020304" pitchFamily="18" charset="-78"/>
          </a:endParaRPr>
        </a:p>
      </dgm:t>
    </dgm:pt>
    <dgm:pt modelId="{3BC38585-CBD8-4F60-B408-A6F4A43C169C}" type="parTrans" cxnId="{E27AAF23-413D-4D45-B7F3-3961252E5F7A}">
      <dgm:prSet/>
      <dgm:spPr/>
      <dgm:t>
        <a:bodyPr/>
        <a:lstStyle/>
        <a:p>
          <a:endParaRPr lang="en-US"/>
        </a:p>
      </dgm:t>
    </dgm:pt>
    <dgm:pt modelId="{230A4E7B-1908-4F85-8471-5F21A23F3D2A}" type="sibTrans" cxnId="{E27AAF23-413D-4D45-B7F3-3961252E5F7A}">
      <dgm:prSet/>
      <dgm:spPr/>
      <dgm:t>
        <a:bodyPr/>
        <a:lstStyle/>
        <a:p>
          <a:endParaRPr lang="en-US"/>
        </a:p>
      </dgm:t>
    </dgm:pt>
    <dgm:pt modelId="{9259A191-077F-4EC5-BF4F-37306DAAC0D7}">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التأثير المثالي</a:t>
          </a:r>
          <a:endParaRPr lang="en-US" sz="1200">
            <a:latin typeface="Traditional Arabic" panose="02020603050405020304" pitchFamily="18" charset="-78"/>
            <a:cs typeface="Traditional Arabic" panose="02020603050405020304" pitchFamily="18" charset="-78"/>
          </a:endParaRPr>
        </a:p>
      </dgm:t>
    </dgm:pt>
    <dgm:pt modelId="{9BCC22CE-1DD1-4FD1-AD26-E5C6C9C73BC6}" type="parTrans" cxnId="{F9E2F3A2-8967-4B1A-B8C3-9455B97B7710}">
      <dgm:prSet/>
      <dgm:spPr/>
      <dgm:t>
        <a:bodyPr/>
        <a:lstStyle/>
        <a:p>
          <a:endParaRPr lang="en-US"/>
        </a:p>
      </dgm:t>
    </dgm:pt>
    <dgm:pt modelId="{51D72DFF-D21B-42E3-A7EB-57E97CD04FF4}" type="sibTrans" cxnId="{F9E2F3A2-8967-4B1A-B8C3-9455B97B7710}">
      <dgm:prSet/>
      <dgm:spPr/>
      <dgm:t>
        <a:bodyPr/>
        <a:lstStyle/>
        <a:p>
          <a:endParaRPr lang="en-US"/>
        </a:p>
      </dgm:t>
    </dgm:pt>
    <dgm:pt modelId="{195B415F-6E76-4B51-BB59-F5112A897237}">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الاعتبارية الفردية</a:t>
          </a:r>
          <a:endParaRPr lang="en-US" sz="1200">
            <a:latin typeface="Traditional Arabic" panose="02020603050405020304" pitchFamily="18" charset="-78"/>
            <a:cs typeface="Traditional Arabic" panose="02020603050405020304" pitchFamily="18" charset="-78"/>
          </a:endParaRPr>
        </a:p>
      </dgm:t>
    </dgm:pt>
    <dgm:pt modelId="{E4D1E679-4708-4B20-93A9-ED5E12528663}" type="parTrans" cxnId="{6AC9BDEB-F69B-4ECA-93B7-F8B7D804AA30}">
      <dgm:prSet/>
      <dgm:spPr/>
      <dgm:t>
        <a:bodyPr/>
        <a:lstStyle/>
        <a:p>
          <a:endParaRPr lang="en-US"/>
        </a:p>
      </dgm:t>
    </dgm:pt>
    <dgm:pt modelId="{03982CDB-4FB4-4B48-9089-A4718D8CA49A}" type="sibTrans" cxnId="{6AC9BDEB-F69B-4ECA-93B7-F8B7D804AA30}">
      <dgm:prSet/>
      <dgm:spPr/>
      <dgm:t>
        <a:bodyPr/>
        <a:lstStyle/>
        <a:p>
          <a:endParaRPr lang="en-US"/>
        </a:p>
      </dgm:t>
    </dgm:pt>
    <dgm:pt modelId="{1FC7C36A-358A-445F-9A20-0F5A569DF06C}">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الاستثارة الفكرية</a:t>
          </a:r>
          <a:endParaRPr lang="en-US" sz="1200">
            <a:latin typeface="Traditional Arabic" panose="02020603050405020304" pitchFamily="18" charset="-78"/>
            <a:cs typeface="Traditional Arabic" panose="02020603050405020304" pitchFamily="18" charset="-78"/>
          </a:endParaRPr>
        </a:p>
      </dgm:t>
    </dgm:pt>
    <dgm:pt modelId="{379EAADA-73F1-42B9-8E17-55E1DE0041AD}" type="parTrans" cxnId="{89AA4367-5EC6-4932-AEB9-792478433124}">
      <dgm:prSet/>
      <dgm:spPr/>
      <dgm:t>
        <a:bodyPr/>
        <a:lstStyle/>
        <a:p>
          <a:endParaRPr lang="en-US"/>
        </a:p>
      </dgm:t>
    </dgm:pt>
    <dgm:pt modelId="{02A09A09-1F3A-4626-BE91-1DB28FB0487C}" type="sibTrans" cxnId="{89AA4367-5EC6-4932-AEB9-792478433124}">
      <dgm:prSet/>
      <dgm:spPr/>
      <dgm:t>
        <a:bodyPr/>
        <a:lstStyle/>
        <a:p>
          <a:endParaRPr lang="en-US"/>
        </a:p>
      </dgm:t>
    </dgm:pt>
    <dgm:pt modelId="{54A64738-76C2-470E-9A3F-1D4D36862441}" type="pres">
      <dgm:prSet presAssocID="{3310D71F-6868-4E42-A626-044ADED93C31}" presName="composite" presStyleCnt="0">
        <dgm:presLayoutVars>
          <dgm:chMax val="1"/>
          <dgm:dir/>
          <dgm:resizeHandles val="exact"/>
        </dgm:presLayoutVars>
      </dgm:prSet>
      <dgm:spPr/>
    </dgm:pt>
    <dgm:pt modelId="{C43FCC12-AD02-4FFD-8164-AD2648A0DEE9}" type="pres">
      <dgm:prSet presAssocID="{3310D71F-6868-4E42-A626-044ADED93C31}" presName="radial" presStyleCnt="0">
        <dgm:presLayoutVars>
          <dgm:animLvl val="ctr"/>
        </dgm:presLayoutVars>
      </dgm:prSet>
      <dgm:spPr/>
    </dgm:pt>
    <dgm:pt modelId="{D581D2F1-5D69-4038-A5B5-1E4B3AB5FA00}" type="pres">
      <dgm:prSet presAssocID="{F2E4801E-8742-4A47-B9A1-33BC515599FF}" presName="centerShape" presStyleLbl="vennNode1" presStyleIdx="0" presStyleCnt="5"/>
      <dgm:spPr/>
    </dgm:pt>
    <dgm:pt modelId="{B1786B0B-B00B-405D-83A7-4F77D637618F}" type="pres">
      <dgm:prSet presAssocID="{4AEFD2C1-9A7E-45A5-9103-AD5E3FEC951B}" presName="node" presStyleLbl="vennNode1" presStyleIdx="1" presStyleCnt="5">
        <dgm:presLayoutVars>
          <dgm:bulletEnabled val="1"/>
        </dgm:presLayoutVars>
      </dgm:prSet>
      <dgm:spPr/>
    </dgm:pt>
    <dgm:pt modelId="{8D0A46D8-626E-4655-BD3C-58D47A037BC8}" type="pres">
      <dgm:prSet presAssocID="{9259A191-077F-4EC5-BF4F-37306DAAC0D7}" presName="node" presStyleLbl="vennNode1" presStyleIdx="2" presStyleCnt="5">
        <dgm:presLayoutVars>
          <dgm:bulletEnabled val="1"/>
        </dgm:presLayoutVars>
      </dgm:prSet>
      <dgm:spPr/>
    </dgm:pt>
    <dgm:pt modelId="{349B24AE-007A-4009-8D92-3CC06EDA259B}" type="pres">
      <dgm:prSet presAssocID="{195B415F-6E76-4B51-BB59-F5112A897237}" presName="node" presStyleLbl="vennNode1" presStyleIdx="3" presStyleCnt="5">
        <dgm:presLayoutVars>
          <dgm:bulletEnabled val="1"/>
        </dgm:presLayoutVars>
      </dgm:prSet>
      <dgm:spPr/>
    </dgm:pt>
    <dgm:pt modelId="{71E0D0FF-EC3D-4D84-AA03-E5B7E43076CF}" type="pres">
      <dgm:prSet presAssocID="{1FC7C36A-358A-445F-9A20-0F5A569DF06C}" presName="node" presStyleLbl="vennNode1" presStyleIdx="4" presStyleCnt="5">
        <dgm:presLayoutVars>
          <dgm:bulletEnabled val="1"/>
        </dgm:presLayoutVars>
      </dgm:prSet>
      <dgm:spPr/>
    </dgm:pt>
  </dgm:ptLst>
  <dgm:cxnLst>
    <dgm:cxn modelId="{E27AAF23-413D-4D45-B7F3-3961252E5F7A}" srcId="{F2E4801E-8742-4A47-B9A1-33BC515599FF}" destId="{4AEFD2C1-9A7E-45A5-9103-AD5E3FEC951B}" srcOrd="0" destOrd="0" parTransId="{3BC38585-CBD8-4F60-B408-A6F4A43C169C}" sibTransId="{230A4E7B-1908-4F85-8471-5F21A23F3D2A}"/>
    <dgm:cxn modelId="{1B19614D-FC21-4BF6-9587-2DAAFD67B6ED}" type="presOf" srcId="{4AEFD2C1-9A7E-45A5-9103-AD5E3FEC951B}" destId="{B1786B0B-B00B-405D-83A7-4F77D637618F}" srcOrd="0" destOrd="0" presId="urn:microsoft.com/office/officeart/2005/8/layout/radial3"/>
    <dgm:cxn modelId="{89AA4367-5EC6-4932-AEB9-792478433124}" srcId="{F2E4801E-8742-4A47-B9A1-33BC515599FF}" destId="{1FC7C36A-358A-445F-9A20-0F5A569DF06C}" srcOrd="3" destOrd="0" parTransId="{379EAADA-73F1-42B9-8E17-55E1DE0041AD}" sibTransId="{02A09A09-1F3A-4626-BE91-1DB28FB0487C}"/>
    <dgm:cxn modelId="{7FDCAE73-3A3E-483B-9329-32A6A79FE2EE}" type="presOf" srcId="{195B415F-6E76-4B51-BB59-F5112A897237}" destId="{349B24AE-007A-4009-8D92-3CC06EDA259B}" srcOrd="0" destOrd="0" presId="urn:microsoft.com/office/officeart/2005/8/layout/radial3"/>
    <dgm:cxn modelId="{8FCFC077-63F2-40FD-980D-7F44081D203D}" type="presOf" srcId="{F2E4801E-8742-4A47-B9A1-33BC515599FF}" destId="{D581D2F1-5D69-4038-A5B5-1E4B3AB5FA00}" srcOrd="0" destOrd="0" presId="urn:microsoft.com/office/officeart/2005/8/layout/radial3"/>
    <dgm:cxn modelId="{FF28C487-D888-47B4-8D14-22EE44E9CE66}" type="presOf" srcId="{9259A191-077F-4EC5-BF4F-37306DAAC0D7}" destId="{8D0A46D8-626E-4655-BD3C-58D47A037BC8}" srcOrd="0" destOrd="0" presId="urn:microsoft.com/office/officeart/2005/8/layout/radial3"/>
    <dgm:cxn modelId="{F9E2F3A2-8967-4B1A-B8C3-9455B97B7710}" srcId="{F2E4801E-8742-4A47-B9A1-33BC515599FF}" destId="{9259A191-077F-4EC5-BF4F-37306DAAC0D7}" srcOrd="1" destOrd="0" parTransId="{9BCC22CE-1DD1-4FD1-AD26-E5C6C9C73BC6}" sibTransId="{51D72DFF-D21B-42E3-A7EB-57E97CD04FF4}"/>
    <dgm:cxn modelId="{90CD1CB3-6C2D-4C92-9A36-827620D4E0C7}" srcId="{3310D71F-6868-4E42-A626-044ADED93C31}" destId="{F2E4801E-8742-4A47-B9A1-33BC515599FF}" srcOrd="0" destOrd="0" parTransId="{550420AE-76A3-4C37-89D0-1F15DAA6012B}" sibTransId="{0D04C08A-BB99-453B-8A90-BEDD9AF4A667}"/>
    <dgm:cxn modelId="{F4D3A0E4-838B-4B18-8049-32A029779B03}" type="presOf" srcId="{1FC7C36A-358A-445F-9A20-0F5A569DF06C}" destId="{71E0D0FF-EC3D-4D84-AA03-E5B7E43076CF}" srcOrd="0" destOrd="0" presId="urn:microsoft.com/office/officeart/2005/8/layout/radial3"/>
    <dgm:cxn modelId="{6AC9BDEB-F69B-4ECA-93B7-F8B7D804AA30}" srcId="{F2E4801E-8742-4A47-B9A1-33BC515599FF}" destId="{195B415F-6E76-4B51-BB59-F5112A897237}" srcOrd="2" destOrd="0" parTransId="{E4D1E679-4708-4B20-93A9-ED5E12528663}" sibTransId="{03982CDB-4FB4-4B48-9089-A4718D8CA49A}"/>
    <dgm:cxn modelId="{58CFE8F2-9615-4C54-B248-DA559A20FE92}" type="presOf" srcId="{3310D71F-6868-4E42-A626-044ADED93C31}" destId="{54A64738-76C2-470E-9A3F-1D4D36862441}" srcOrd="0" destOrd="0" presId="urn:microsoft.com/office/officeart/2005/8/layout/radial3"/>
    <dgm:cxn modelId="{F6E706B6-4113-45ED-8F14-37164CFB406E}" type="presParOf" srcId="{54A64738-76C2-470E-9A3F-1D4D36862441}" destId="{C43FCC12-AD02-4FFD-8164-AD2648A0DEE9}" srcOrd="0" destOrd="0" presId="urn:microsoft.com/office/officeart/2005/8/layout/radial3"/>
    <dgm:cxn modelId="{7520A6B4-1E40-4B8F-B64E-4F8C27A051B5}" type="presParOf" srcId="{C43FCC12-AD02-4FFD-8164-AD2648A0DEE9}" destId="{D581D2F1-5D69-4038-A5B5-1E4B3AB5FA00}" srcOrd="0" destOrd="0" presId="urn:microsoft.com/office/officeart/2005/8/layout/radial3"/>
    <dgm:cxn modelId="{7C60E03D-3BB5-405B-BEA8-16E5D4D17CD9}" type="presParOf" srcId="{C43FCC12-AD02-4FFD-8164-AD2648A0DEE9}" destId="{B1786B0B-B00B-405D-83A7-4F77D637618F}" srcOrd="1" destOrd="0" presId="urn:microsoft.com/office/officeart/2005/8/layout/radial3"/>
    <dgm:cxn modelId="{5A304E4D-6DE6-44E7-AE51-F65BD168417B}" type="presParOf" srcId="{C43FCC12-AD02-4FFD-8164-AD2648A0DEE9}" destId="{8D0A46D8-626E-4655-BD3C-58D47A037BC8}" srcOrd="2" destOrd="0" presId="urn:microsoft.com/office/officeart/2005/8/layout/radial3"/>
    <dgm:cxn modelId="{1535F047-C87A-4F53-A968-93A9237A69BE}" type="presParOf" srcId="{C43FCC12-AD02-4FFD-8164-AD2648A0DEE9}" destId="{349B24AE-007A-4009-8D92-3CC06EDA259B}" srcOrd="3" destOrd="0" presId="urn:microsoft.com/office/officeart/2005/8/layout/radial3"/>
    <dgm:cxn modelId="{B876C0A4-DEBB-47A4-827E-A9942A87991C}" type="presParOf" srcId="{C43FCC12-AD02-4FFD-8164-AD2648A0DEE9}" destId="{71E0D0FF-EC3D-4D84-AA03-E5B7E43076CF}" srcOrd="4" destOrd="0" presId="urn:microsoft.com/office/officeart/2005/8/layout/radial3"/>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6CD0945-D2C7-4894-8103-F6FDC1072536}" type="doc">
      <dgm:prSet loTypeId="urn:microsoft.com/office/officeart/2005/8/layout/radial5" loCatId="relationship" qsTypeId="urn:microsoft.com/office/officeart/2005/8/quickstyle/simple1#5" qsCatId="simple" csTypeId="urn:microsoft.com/office/officeart/2005/8/colors/colorful5#4" csCatId="colorful" phldr="1"/>
      <dgm:spPr/>
      <dgm:t>
        <a:bodyPr/>
        <a:lstStyle/>
        <a:p>
          <a:endParaRPr lang="en-US"/>
        </a:p>
      </dgm:t>
    </dgm:pt>
    <dgm:pt modelId="{36195FEA-A2C0-45BD-A244-33A830A8AA96}">
      <dgm:prSet phldrT="[Text]" custT="1"/>
      <dgm:spPr/>
      <dgm:t>
        <a:bodyPr/>
        <a:lstStyle/>
        <a:p>
          <a:r>
            <a:rPr lang="ar-EG" sz="1100" b="1">
              <a:latin typeface="Traditional Arabic" panose="02020603050405020304" pitchFamily="18" charset="-78"/>
              <a:cs typeface="Traditional Arabic" panose="02020603050405020304" pitchFamily="18" charset="-78"/>
            </a:rPr>
            <a:t>عوامل نجاح القيادة التحويلية</a:t>
          </a:r>
          <a:endParaRPr lang="en-US" sz="1100" b="1">
            <a:latin typeface="Traditional Arabic" panose="02020603050405020304" pitchFamily="18" charset="-78"/>
            <a:cs typeface="Traditional Arabic" panose="02020603050405020304" pitchFamily="18" charset="-78"/>
          </a:endParaRPr>
        </a:p>
      </dgm:t>
    </dgm:pt>
    <dgm:pt modelId="{9CD5DC5C-CB92-4742-ADE4-E71E2739B369}" type="parTrans" cxnId="{F5E47E26-4E60-475E-91D4-A885C766BD95}">
      <dgm:prSet/>
      <dgm:spPr/>
      <dgm:t>
        <a:bodyPr/>
        <a:lstStyle/>
        <a:p>
          <a:endParaRPr lang="en-US"/>
        </a:p>
      </dgm:t>
    </dgm:pt>
    <dgm:pt modelId="{8DEBE993-FA8F-4F99-8F5C-FC7C98E26D0B}" type="sibTrans" cxnId="{F5E47E26-4E60-475E-91D4-A885C766BD95}">
      <dgm:prSet/>
      <dgm:spPr/>
      <dgm:t>
        <a:bodyPr/>
        <a:lstStyle/>
        <a:p>
          <a:endParaRPr lang="en-US"/>
        </a:p>
      </dgm:t>
    </dgm:pt>
    <dgm:pt modelId="{BDAEE14F-62DD-49B4-B399-8820B2B85166}">
      <dgm:prSet phldrT="[Text]" custT="1"/>
      <dgm:spPr/>
      <dgm:t>
        <a:bodyPr/>
        <a:lstStyle/>
        <a:p>
          <a:r>
            <a:rPr lang="ar-EG" sz="1100" b="1">
              <a:latin typeface="Traditional Arabic" panose="02020603050405020304" pitchFamily="18" charset="-78"/>
              <a:cs typeface="Traditional Arabic" panose="02020603050405020304" pitchFamily="18" charset="-78"/>
            </a:rPr>
            <a:t>التطور</a:t>
          </a:r>
          <a:endParaRPr lang="en-US" sz="1100" b="1">
            <a:latin typeface="Traditional Arabic" panose="02020603050405020304" pitchFamily="18" charset="-78"/>
            <a:cs typeface="Traditional Arabic" panose="02020603050405020304" pitchFamily="18" charset="-78"/>
          </a:endParaRPr>
        </a:p>
      </dgm:t>
    </dgm:pt>
    <dgm:pt modelId="{16E6559D-1CA3-4797-A845-A9B52F987EB7}" type="parTrans" cxnId="{99DF9511-4B78-4197-A917-6A766784BA71}">
      <dgm:prSet/>
      <dgm:spPr/>
      <dgm:t>
        <a:bodyPr/>
        <a:lstStyle/>
        <a:p>
          <a:endParaRPr lang="en-US"/>
        </a:p>
      </dgm:t>
    </dgm:pt>
    <dgm:pt modelId="{AD75FE52-CBCD-4FC1-AE5C-3E80842D90D9}" type="sibTrans" cxnId="{99DF9511-4B78-4197-A917-6A766784BA71}">
      <dgm:prSet/>
      <dgm:spPr/>
      <dgm:t>
        <a:bodyPr/>
        <a:lstStyle/>
        <a:p>
          <a:endParaRPr lang="en-US"/>
        </a:p>
      </dgm:t>
    </dgm:pt>
    <dgm:pt modelId="{17049FDB-F079-4F43-BBAD-C0E7D70FC250}">
      <dgm:prSet phldrT="[Text]" custT="1"/>
      <dgm:spPr/>
      <dgm:t>
        <a:bodyPr/>
        <a:lstStyle/>
        <a:p>
          <a:r>
            <a:rPr lang="ar-EG" sz="1100" b="1">
              <a:latin typeface="Traditional Arabic" panose="02020603050405020304" pitchFamily="18" charset="-78"/>
              <a:cs typeface="Traditional Arabic" panose="02020603050405020304" pitchFamily="18" charset="-78"/>
            </a:rPr>
            <a:t>التفويض</a:t>
          </a:r>
          <a:endParaRPr lang="en-US" sz="1100" b="1">
            <a:latin typeface="Traditional Arabic" panose="02020603050405020304" pitchFamily="18" charset="-78"/>
            <a:cs typeface="Traditional Arabic" panose="02020603050405020304" pitchFamily="18" charset="-78"/>
          </a:endParaRPr>
        </a:p>
      </dgm:t>
    </dgm:pt>
    <dgm:pt modelId="{2EEE47CD-4091-4A94-AA8C-FA9152873DE9}" type="parTrans" cxnId="{2BE804B2-0EB0-410D-B31B-4C253FA8F49E}">
      <dgm:prSet/>
      <dgm:spPr/>
      <dgm:t>
        <a:bodyPr/>
        <a:lstStyle/>
        <a:p>
          <a:endParaRPr lang="en-US"/>
        </a:p>
      </dgm:t>
    </dgm:pt>
    <dgm:pt modelId="{7E7ACC76-C7C6-4185-AF02-46DDDEAA4CE2}" type="sibTrans" cxnId="{2BE804B2-0EB0-410D-B31B-4C253FA8F49E}">
      <dgm:prSet/>
      <dgm:spPr/>
      <dgm:t>
        <a:bodyPr/>
        <a:lstStyle/>
        <a:p>
          <a:endParaRPr lang="en-US"/>
        </a:p>
      </dgm:t>
    </dgm:pt>
    <dgm:pt modelId="{44AA8D2D-7EC2-4357-B751-FA06C12B3A68}">
      <dgm:prSet phldrT="[Text]" custT="1"/>
      <dgm:spPr/>
      <dgm:t>
        <a:bodyPr/>
        <a:lstStyle/>
        <a:p>
          <a:r>
            <a:rPr lang="ar-EG" sz="1100" b="1">
              <a:latin typeface="Traditional Arabic" panose="02020603050405020304" pitchFamily="18" charset="-78"/>
              <a:cs typeface="Traditional Arabic" panose="02020603050405020304" pitchFamily="18" charset="-78"/>
            </a:rPr>
            <a:t>الرؤية</a:t>
          </a:r>
          <a:endParaRPr lang="en-US" sz="1100" b="1">
            <a:latin typeface="Traditional Arabic" panose="02020603050405020304" pitchFamily="18" charset="-78"/>
            <a:cs typeface="Traditional Arabic" panose="02020603050405020304" pitchFamily="18" charset="-78"/>
          </a:endParaRPr>
        </a:p>
      </dgm:t>
    </dgm:pt>
    <dgm:pt modelId="{9907FC5F-0C1F-4376-BA0B-CC7A749A709B}" type="parTrans" cxnId="{06840891-A987-464D-9C10-F49DD4B1AF96}">
      <dgm:prSet/>
      <dgm:spPr/>
      <dgm:t>
        <a:bodyPr/>
        <a:lstStyle/>
        <a:p>
          <a:endParaRPr lang="en-US"/>
        </a:p>
      </dgm:t>
    </dgm:pt>
    <dgm:pt modelId="{B2659571-C6CC-40CB-BBC4-15890A04DF47}" type="sibTrans" cxnId="{06840891-A987-464D-9C10-F49DD4B1AF96}">
      <dgm:prSet/>
      <dgm:spPr/>
      <dgm:t>
        <a:bodyPr/>
        <a:lstStyle/>
        <a:p>
          <a:endParaRPr lang="en-US"/>
        </a:p>
      </dgm:t>
    </dgm:pt>
    <dgm:pt modelId="{516800C2-DDE1-4B1C-AAE6-17F09BB07DD6}">
      <dgm:prSet phldrT="[Text]" custT="1"/>
      <dgm:spPr/>
      <dgm:t>
        <a:bodyPr/>
        <a:lstStyle/>
        <a:p>
          <a:r>
            <a:rPr lang="ar-EG" sz="1100" b="1">
              <a:latin typeface="Traditional Arabic" panose="02020603050405020304" pitchFamily="18" charset="-78"/>
              <a:cs typeface="Traditional Arabic" panose="02020603050405020304" pitchFamily="18" charset="-78"/>
            </a:rPr>
            <a:t>التعلم</a:t>
          </a:r>
          <a:endParaRPr lang="en-US" sz="1100" b="1">
            <a:latin typeface="Traditional Arabic" panose="02020603050405020304" pitchFamily="18" charset="-78"/>
            <a:cs typeface="Traditional Arabic" panose="02020603050405020304" pitchFamily="18" charset="-78"/>
          </a:endParaRPr>
        </a:p>
      </dgm:t>
    </dgm:pt>
    <dgm:pt modelId="{EBB64DF0-F2D5-4CED-A49A-B7A8693A2065}" type="parTrans" cxnId="{695A46F1-18A9-4BAD-9674-89CDA7C4F7AA}">
      <dgm:prSet/>
      <dgm:spPr/>
      <dgm:t>
        <a:bodyPr/>
        <a:lstStyle/>
        <a:p>
          <a:endParaRPr lang="en-US"/>
        </a:p>
      </dgm:t>
    </dgm:pt>
    <dgm:pt modelId="{63C96EAC-12FA-46A2-BE75-23D3505469F3}" type="sibTrans" cxnId="{695A46F1-18A9-4BAD-9674-89CDA7C4F7AA}">
      <dgm:prSet/>
      <dgm:spPr/>
      <dgm:t>
        <a:bodyPr/>
        <a:lstStyle/>
        <a:p>
          <a:endParaRPr lang="en-US"/>
        </a:p>
      </dgm:t>
    </dgm:pt>
    <dgm:pt modelId="{75425320-1CEB-4692-B1BA-9ED1B68476EA}" type="pres">
      <dgm:prSet presAssocID="{66CD0945-D2C7-4894-8103-F6FDC1072536}" presName="Name0" presStyleCnt="0">
        <dgm:presLayoutVars>
          <dgm:chMax val="1"/>
          <dgm:dir/>
          <dgm:animLvl val="ctr"/>
          <dgm:resizeHandles val="exact"/>
        </dgm:presLayoutVars>
      </dgm:prSet>
      <dgm:spPr/>
    </dgm:pt>
    <dgm:pt modelId="{5DBA371F-A7E4-460D-B244-EE6AFF2B6627}" type="pres">
      <dgm:prSet presAssocID="{36195FEA-A2C0-45BD-A244-33A830A8AA96}" presName="centerShape" presStyleLbl="node0" presStyleIdx="0" presStyleCnt="1"/>
      <dgm:spPr/>
    </dgm:pt>
    <dgm:pt modelId="{706AF5A0-1D54-4F33-B17E-02BA208CA869}" type="pres">
      <dgm:prSet presAssocID="{16E6559D-1CA3-4797-A845-A9B52F987EB7}" presName="parTrans" presStyleLbl="sibTrans2D1" presStyleIdx="0" presStyleCnt="4"/>
      <dgm:spPr/>
    </dgm:pt>
    <dgm:pt modelId="{582B09B9-7298-4E42-BDB1-2A7CC66ACF56}" type="pres">
      <dgm:prSet presAssocID="{16E6559D-1CA3-4797-A845-A9B52F987EB7}" presName="connectorText" presStyleLbl="sibTrans2D1" presStyleIdx="0" presStyleCnt="4"/>
      <dgm:spPr/>
    </dgm:pt>
    <dgm:pt modelId="{0666AF14-42B4-4159-818F-2218B1C3A51E}" type="pres">
      <dgm:prSet presAssocID="{BDAEE14F-62DD-49B4-B399-8820B2B85166}" presName="node" presStyleLbl="node1" presStyleIdx="0" presStyleCnt="4">
        <dgm:presLayoutVars>
          <dgm:bulletEnabled val="1"/>
        </dgm:presLayoutVars>
      </dgm:prSet>
      <dgm:spPr/>
    </dgm:pt>
    <dgm:pt modelId="{8EC1460A-4572-424A-82D7-48DD5E6C8B0C}" type="pres">
      <dgm:prSet presAssocID="{2EEE47CD-4091-4A94-AA8C-FA9152873DE9}" presName="parTrans" presStyleLbl="sibTrans2D1" presStyleIdx="1" presStyleCnt="4"/>
      <dgm:spPr/>
    </dgm:pt>
    <dgm:pt modelId="{09BEE68B-85A9-48B2-B8EB-1DC39B641682}" type="pres">
      <dgm:prSet presAssocID="{2EEE47CD-4091-4A94-AA8C-FA9152873DE9}" presName="connectorText" presStyleLbl="sibTrans2D1" presStyleIdx="1" presStyleCnt="4"/>
      <dgm:spPr/>
    </dgm:pt>
    <dgm:pt modelId="{27463A98-AD57-4F8C-AF68-91C82C336F57}" type="pres">
      <dgm:prSet presAssocID="{17049FDB-F079-4F43-BBAD-C0E7D70FC250}" presName="node" presStyleLbl="node1" presStyleIdx="1" presStyleCnt="4">
        <dgm:presLayoutVars>
          <dgm:bulletEnabled val="1"/>
        </dgm:presLayoutVars>
      </dgm:prSet>
      <dgm:spPr/>
    </dgm:pt>
    <dgm:pt modelId="{174A9161-46DD-47F8-AA4A-4A3EC267F6C4}" type="pres">
      <dgm:prSet presAssocID="{9907FC5F-0C1F-4376-BA0B-CC7A749A709B}" presName="parTrans" presStyleLbl="sibTrans2D1" presStyleIdx="2" presStyleCnt="4"/>
      <dgm:spPr/>
    </dgm:pt>
    <dgm:pt modelId="{F9CF2106-07CC-4852-924D-25DA98DA2B30}" type="pres">
      <dgm:prSet presAssocID="{9907FC5F-0C1F-4376-BA0B-CC7A749A709B}" presName="connectorText" presStyleLbl="sibTrans2D1" presStyleIdx="2" presStyleCnt="4"/>
      <dgm:spPr/>
    </dgm:pt>
    <dgm:pt modelId="{9E11799A-FBBC-4A9D-9DE9-50989F55B58E}" type="pres">
      <dgm:prSet presAssocID="{44AA8D2D-7EC2-4357-B751-FA06C12B3A68}" presName="node" presStyleLbl="node1" presStyleIdx="2" presStyleCnt="4">
        <dgm:presLayoutVars>
          <dgm:bulletEnabled val="1"/>
        </dgm:presLayoutVars>
      </dgm:prSet>
      <dgm:spPr/>
    </dgm:pt>
    <dgm:pt modelId="{F68E73FD-DD57-475B-8C50-C05EF76AEBAC}" type="pres">
      <dgm:prSet presAssocID="{EBB64DF0-F2D5-4CED-A49A-B7A8693A2065}" presName="parTrans" presStyleLbl="sibTrans2D1" presStyleIdx="3" presStyleCnt="4"/>
      <dgm:spPr/>
    </dgm:pt>
    <dgm:pt modelId="{08034D95-D0B6-40AF-9A72-E9CD6870FE11}" type="pres">
      <dgm:prSet presAssocID="{EBB64DF0-F2D5-4CED-A49A-B7A8693A2065}" presName="connectorText" presStyleLbl="sibTrans2D1" presStyleIdx="3" presStyleCnt="4"/>
      <dgm:spPr/>
    </dgm:pt>
    <dgm:pt modelId="{D96BE9AA-D44D-4603-9283-B44B8D1092DB}" type="pres">
      <dgm:prSet presAssocID="{516800C2-DDE1-4B1C-AAE6-17F09BB07DD6}" presName="node" presStyleLbl="node1" presStyleIdx="3" presStyleCnt="4">
        <dgm:presLayoutVars>
          <dgm:bulletEnabled val="1"/>
        </dgm:presLayoutVars>
      </dgm:prSet>
      <dgm:spPr/>
    </dgm:pt>
  </dgm:ptLst>
  <dgm:cxnLst>
    <dgm:cxn modelId="{99DF9511-4B78-4197-A917-6A766784BA71}" srcId="{36195FEA-A2C0-45BD-A244-33A830A8AA96}" destId="{BDAEE14F-62DD-49B4-B399-8820B2B85166}" srcOrd="0" destOrd="0" parTransId="{16E6559D-1CA3-4797-A845-A9B52F987EB7}" sibTransId="{AD75FE52-CBCD-4FC1-AE5C-3E80842D90D9}"/>
    <dgm:cxn modelId="{B4B2D41E-819B-4204-8D49-68EC380EAD5D}" type="presOf" srcId="{44AA8D2D-7EC2-4357-B751-FA06C12B3A68}" destId="{9E11799A-FBBC-4A9D-9DE9-50989F55B58E}" srcOrd="0" destOrd="0" presId="urn:microsoft.com/office/officeart/2005/8/layout/radial5"/>
    <dgm:cxn modelId="{F5E47E26-4E60-475E-91D4-A885C766BD95}" srcId="{66CD0945-D2C7-4894-8103-F6FDC1072536}" destId="{36195FEA-A2C0-45BD-A244-33A830A8AA96}" srcOrd="0" destOrd="0" parTransId="{9CD5DC5C-CB92-4742-ADE4-E71E2739B369}" sibTransId="{8DEBE993-FA8F-4F99-8F5C-FC7C98E26D0B}"/>
    <dgm:cxn modelId="{40BE855E-4BE8-4E83-8213-548CA25955E3}" type="presOf" srcId="{16E6559D-1CA3-4797-A845-A9B52F987EB7}" destId="{706AF5A0-1D54-4F33-B17E-02BA208CA869}" srcOrd="0" destOrd="0" presId="urn:microsoft.com/office/officeart/2005/8/layout/radial5"/>
    <dgm:cxn modelId="{0103486E-3A36-4716-8E9B-F780AD283C0B}" type="presOf" srcId="{66CD0945-D2C7-4894-8103-F6FDC1072536}" destId="{75425320-1CEB-4692-B1BA-9ED1B68476EA}" srcOrd="0" destOrd="0" presId="urn:microsoft.com/office/officeart/2005/8/layout/radial5"/>
    <dgm:cxn modelId="{89D03671-F328-44AF-836A-DD60FCEB354B}" type="presOf" srcId="{9907FC5F-0C1F-4376-BA0B-CC7A749A709B}" destId="{F9CF2106-07CC-4852-924D-25DA98DA2B30}" srcOrd="1" destOrd="0" presId="urn:microsoft.com/office/officeart/2005/8/layout/radial5"/>
    <dgm:cxn modelId="{FC09FC86-679E-422A-BF07-C19DA5D29E44}" type="presOf" srcId="{EBB64DF0-F2D5-4CED-A49A-B7A8693A2065}" destId="{F68E73FD-DD57-475B-8C50-C05EF76AEBAC}" srcOrd="0" destOrd="0" presId="urn:microsoft.com/office/officeart/2005/8/layout/radial5"/>
    <dgm:cxn modelId="{CF8CFF86-B92A-472D-8559-AD9DE3667278}" type="presOf" srcId="{2EEE47CD-4091-4A94-AA8C-FA9152873DE9}" destId="{09BEE68B-85A9-48B2-B8EB-1DC39B641682}" srcOrd="1" destOrd="0" presId="urn:microsoft.com/office/officeart/2005/8/layout/radial5"/>
    <dgm:cxn modelId="{07FE9188-07A5-41C5-9E04-22FB302FE2EE}" type="presOf" srcId="{BDAEE14F-62DD-49B4-B399-8820B2B85166}" destId="{0666AF14-42B4-4159-818F-2218B1C3A51E}" srcOrd="0" destOrd="0" presId="urn:microsoft.com/office/officeart/2005/8/layout/radial5"/>
    <dgm:cxn modelId="{06840891-A987-464D-9C10-F49DD4B1AF96}" srcId="{36195FEA-A2C0-45BD-A244-33A830A8AA96}" destId="{44AA8D2D-7EC2-4357-B751-FA06C12B3A68}" srcOrd="2" destOrd="0" parTransId="{9907FC5F-0C1F-4376-BA0B-CC7A749A709B}" sibTransId="{B2659571-C6CC-40CB-BBC4-15890A04DF47}"/>
    <dgm:cxn modelId="{145DDB97-2A76-473D-8C37-58AAEE3009DF}" type="presOf" srcId="{2EEE47CD-4091-4A94-AA8C-FA9152873DE9}" destId="{8EC1460A-4572-424A-82D7-48DD5E6C8B0C}" srcOrd="0" destOrd="0" presId="urn:microsoft.com/office/officeart/2005/8/layout/radial5"/>
    <dgm:cxn modelId="{1E67E59B-BDAA-4922-809D-DEC2EE379BFB}" type="presOf" srcId="{16E6559D-1CA3-4797-A845-A9B52F987EB7}" destId="{582B09B9-7298-4E42-BDB1-2A7CC66ACF56}" srcOrd="1" destOrd="0" presId="urn:microsoft.com/office/officeart/2005/8/layout/radial5"/>
    <dgm:cxn modelId="{2BE804B2-0EB0-410D-B31B-4C253FA8F49E}" srcId="{36195FEA-A2C0-45BD-A244-33A830A8AA96}" destId="{17049FDB-F079-4F43-BBAD-C0E7D70FC250}" srcOrd="1" destOrd="0" parTransId="{2EEE47CD-4091-4A94-AA8C-FA9152873DE9}" sibTransId="{7E7ACC76-C7C6-4185-AF02-46DDDEAA4CE2}"/>
    <dgm:cxn modelId="{5FDDE2B6-BFFE-46BA-A78D-450229A3E6EE}" type="presOf" srcId="{17049FDB-F079-4F43-BBAD-C0E7D70FC250}" destId="{27463A98-AD57-4F8C-AF68-91C82C336F57}" srcOrd="0" destOrd="0" presId="urn:microsoft.com/office/officeart/2005/8/layout/radial5"/>
    <dgm:cxn modelId="{383E6FC3-BEF6-43BC-95DF-A1A7038E44B3}" type="presOf" srcId="{36195FEA-A2C0-45BD-A244-33A830A8AA96}" destId="{5DBA371F-A7E4-460D-B244-EE6AFF2B6627}" srcOrd="0" destOrd="0" presId="urn:microsoft.com/office/officeart/2005/8/layout/radial5"/>
    <dgm:cxn modelId="{A77BE2D5-E069-4278-A85B-6E794DF3A71C}" type="presOf" srcId="{9907FC5F-0C1F-4376-BA0B-CC7A749A709B}" destId="{174A9161-46DD-47F8-AA4A-4A3EC267F6C4}" srcOrd="0" destOrd="0" presId="urn:microsoft.com/office/officeart/2005/8/layout/radial5"/>
    <dgm:cxn modelId="{695A46F1-18A9-4BAD-9674-89CDA7C4F7AA}" srcId="{36195FEA-A2C0-45BD-A244-33A830A8AA96}" destId="{516800C2-DDE1-4B1C-AAE6-17F09BB07DD6}" srcOrd="3" destOrd="0" parTransId="{EBB64DF0-F2D5-4CED-A49A-B7A8693A2065}" sibTransId="{63C96EAC-12FA-46A2-BE75-23D3505469F3}"/>
    <dgm:cxn modelId="{2EBDE9F3-45F5-4B19-AB90-F6E75AD218D5}" type="presOf" srcId="{516800C2-DDE1-4B1C-AAE6-17F09BB07DD6}" destId="{D96BE9AA-D44D-4603-9283-B44B8D1092DB}" srcOrd="0" destOrd="0" presId="urn:microsoft.com/office/officeart/2005/8/layout/radial5"/>
    <dgm:cxn modelId="{F81163FB-4F5D-429C-B971-7A3AA0B68EDF}" type="presOf" srcId="{EBB64DF0-F2D5-4CED-A49A-B7A8693A2065}" destId="{08034D95-D0B6-40AF-9A72-E9CD6870FE11}" srcOrd="1" destOrd="0" presId="urn:microsoft.com/office/officeart/2005/8/layout/radial5"/>
    <dgm:cxn modelId="{376C318B-1A5D-420C-8AF9-8FD39F2267A3}" type="presParOf" srcId="{75425320-1CEB-4692-B1BA-9ED1B68476EA}" destId="{5DBA371F-A7E4-460D-B244-EE6AFF2B6627}" srcOrd="0" destOrd="0" presId="urn:microsoft.com/office/officeart/2005/8/layout/radial5"/>
    <dgm:cxn modelId="{2D318976-08B1-4F44-91B8-F7FD5BE73D71}" type="presParOf" srcId="{75425320-1CEB-4692-B1BA-9ED1B68476EA}" destId="{706AF5A0-1D54-4F33-B17E-02BA208CA869}" srcOrd="1" destOrd="0" presId="urn:microsoft.com/office/officeart/2005/8/layout/radial5"/>
    <dgm:cxn modelId="{C9DA9563-004F-4A36-9202-968E6877E6F0}" type="presParOf" srcId="{706AF5A0-1D54-4F33-B17E-02BA208CA869}" destId="{582B09B9-7298-4E42-BDB1-2A7CC66ACF56}" srcOrd="0" destOrd="0" presId="urn:microsoft.com/office/officeart/2005/8/layout/radial5"/>
    <dgm:cxn modelId="{39496060-926A-43E3-9E0A-AEF21976C28B}" type="presParOf" srcId="{75425320-1CEB-4692-B1BA-9ED1B68476EA}" destId="{0666AF14-42B4-4159-818F-2218B1C3A51E}" srcOrd="2" destOrd="0" presId="urn:microsoft.com/office/officeart/2005/8/layout/radial5"/>
    <dgm:cxn modelId="{F74A9DDA-DCBA-4E41-833D-1AC26215BD54}" type="presParOf" srcId="{75425320-1CEB-4692-B1BA-9ED1B68476EA}" destId="{8EC1460A-4572-424A-82D7-48DD5E6C8B0C}" srcOrd="3" destOrd="0" presId="urn:microsoft.com/office/officeart/2005/8/layout/radial5"/>
    <dgm:cxn modelId="{B08F3536-20AD-46D2-ADF5-BB199F9BE3E8}" type="presParOf" srcId="{8EC1460A-4572-424A-82D7-48DD5E6C8B0C}" destId="{09BEE68B-85A9-48B2-B8EB-1DC39B641682}" srcOrd="0" destOrd="0" presId="urn:microsoft.com/office/officeart/2005/8/layout/radial5"/>
    <dgm:cxn modelId="{F9201FB3-C822-4EC0-B913-D3074157CD24}" type="presParOf" srcId="{75425320-1CEB-4692-B1BA-9ED1B68476EA}" destId="{27463A98-AD57-4F8C-AF68-91C82C336F57}" srcOrd="4" destOrd="0" presId="urn:microsoft.com/office/officeart/2005/8/layout/radial5"/>
    <dgm:cxn modelId="{73B2B5AE-D2B6-42F3-B830-5358CD26BBD7}" type="presParOf" srcId="{75425320-1CEB-4692-B1BA-9ED1B68476EA}" destId="{174A9161-46DD-47F8-AA4A-4A3EC267F6C4}" srcOrd="5" destOrd="0" presId="urn:microsoft.com/office/officeart/2005/8/layout/radial5"/>
    <dgm:cxn modelId="{B4EF6FF2-921A-45C0-A635-9B0FCF59ACEE}" type="presParOf" srcId="{174A9161-46DD-47F8-AA4A-4A3EC267F6C4}" destId="{F9CF2106-07CC-4852-924D-25DA98DA2B30}" srcOrd="0" destOrd="0" presId="urn:microsoft.com/office/officeart/2005/8/layout/radial5"/>
    <dgm:cxn modelId="{87203F23-5111-4E8B-88BD-8814BDEEEE14}" type="presParOf" srcId="{75425320-1CEB-4692-B1BA-9ED1B68476EA}" destId="{9E11799A-FBBC-4A9D-9DE9-50989F55B58E}" srcOrd="6" destOrd="0" presId="urn:microsoft.com/office/officeart/2005/8/layout/radial5"/>
    <dgm:cxn modelId="{9F4C2E32-3EA1-492B-9149-85051825B0BD}" type="presParOf" srcId="{75425320-1CEB-4692-B1BA-9ED1B68476EA}" destId="{F68E73FD-DD57-475B-8C50-C05EF76AEBAC}" srcOrd="7" destOrd="0" presId="urn:microsoft.com/office/officeart/2005/8/layout/radial5"/>
    <dgm:cxn modelId="{20B4A7CA-7627-47AF-8605-F05155BFB093}" type="presParOf" srcId="{F68E73FD-DD57-475B-8C50-C05EF76AEBAC}" destId="{08034D95-D0B6-40AF-9A72-E9CD6870FE11}" srcOrd="0" destOrd="0" presId="urn:microsoft.com/office/officeart/2005/8/layout/radial5"/>
    <dgm:cxn modelId="{298D27DA-B703-4D87-A602-3131F26045BB}" type="presParOf" srcId="{75425320-1CEB-4692-B1BA-9ED1B68476EA}" destId="{D96BE9AA-D44D-4603-9283-B44B8D1092DB}" srcOrd="8" destOrd="0" presId="urn:microsoft.com/office/officeart/2005/8/layout/radial5"/>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2C522-A7A2-40CD-85AD-36C503A347A9}">
      <dsp:nvSpPr>
        <dsp:cNvPr id="0" name=""/>
        <dsp:cNvSpPr/>
      </dsp:nvSpPr>
      <dsp:spPr>
        <a:xfrm>
          <a:off x="2213626" y="1114758"/>
          <a:ext cx="847057" cy="84705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أبعاد إدارة المخاطر</a:t>
          </a:r>
          <a:endParaRPr lang="en-US" sz="1400" kern="1200"/>
        </a:p>
      </dsp:txBody>
      <dsp:txXfrm>
        <a:off x="2337675" y="1238807"/>
        <a:ext cx="598959" cy="598959"/>
      </dsp:txXfrm>
    </dsp:sp>
    <dsp:sp modelId="{F3786598-F9C3-4D15-8C10-C97085F0B6CF}">
      <dsp:nvSpPr>
        <dsp:cNvPr id="0" name=""/>
        <dsp:cNvSpPr/>
      </dsp:nvSpPr>
      <dsp:spPr>
        <a:xfrm rot="16200000">
          <a:off x="2509514" y="97266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980735"/>
        <a:ext cx="12764" cy="12764"/>
      </dsp:txXfrm>
    </dsp:sp>
    <dsp:sp modelId="{2B9350A6-7071-4409-A6A3-3FEA39AA6ED7}">
      <dsp:nvSpPr>
        <dsp:cNvPr id="0" name=""/>
        <dsp:cNvSpPr/>
      </dsp:nvSpPr>
      <dsp:spPr>
        <a:xfrm>
          <a:off x="2213626" y="12419"/>
          <a:ext cx="847057" cy="84705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تحديد المخاطر</a:t>
          </a:r>
          <a:endParaRPr lang="en-US" sz="1500" kern="1200"/>
        </a:p>
      </dsp:txBody>
      <dsp:txXfrm>
        <a:off x="2337675" y="136468"/>
        <a:ext cx="598959" cy="598959"/>
      </dsp:txXfrm>
    </dsp:sp>
    <dsp:sp modelId="{9E857E10-56F5-4C67-BCBD-1A3ED972A95D}">
      <dsp:nvSpPr>
        <dsp:cNvPr id="0" name=""/>
        <dsp:cNvSpPr/>
      </dsp:nvSpPr>
      <dsp:spPr>
        <a:xfrm>
          <a:off x="3060683"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81942" y="1531905"/>
        <a:ext cx="12764" cy="12764"/>
      </dsp:txXfrm>
    </dsp:sp>
    <dsp:sp modelId="{7A9C2E90-DF90-497C-A0E1-BB0DCD8765A8}">
      <dsp:nvSpPr>
        <dsp:cNvPr id="0" name=""/>
        <dsp:cNvSpPr/>
      </dsp:nvSpPr>
      <dsp:spPr>
        <a:xfrm>
          <a:off x="3315965" y="1114758"/>
          <a:ext cx="847057" cy="847057"/>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تحليل المخاطر</a:t>
          </a:r>
          <a:endParaRPr lang="en-US" sz="1500" kern="1200"/>
        </a:p>
      </dsp:txBody>
      <dsp:txXfrm>
        <a:off x="3440014" y="1238807"/>
        <a:ext cx="598959" cy="598959"/>
      </dsp:txXfrm>
    </dsp:sp>
    <dsp:sp modelId="{F835FCEA-6446-414D-BDB4-8B50D64ABCCB}">
      <dsp:nvSpPr>
        <dsp:cNvPr id="0" name=""/>
        <dsp:cNvSpPr/>
      </dsp:nvSpPr>
      <dsp:spPr>
        <a:xfrm rot="5400000">
          <a:off x="2509514" y="207500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2083075"/>
        <a:ext cx="12764" cy="12764"/>
      </dsp:txXfrm>
    </dsp:sp>
    <dsp:sp modelId="{90543D89-8A4D-4183-824A-25C9DDDB3169}">
      <dsp:nvSpPr>
        <dsp:cNvPr id="0" name=""/>
        <dsp:cNvSpPr/>
      </dsp:nvSpPr>
      <dsp:spPr>
        <a:xfrm>
          <a:off x="2213626" y="2217098"/>
          <a:ext cx="847057" cy="847057"/>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الاستجابة للمخاطر</a:t>
          </a:r>
          <a:endParaRPr lang="en-US" sz="1500" kern="1200"/>
        </a:p>
      </dsp:txBody>
      <dsp:txXfrm>
        <a:off x="2337675" y="2341147"/>
        <a:ext cx="598959" cy="598959"/>
      </dsp:txXfrm>
    </dsp:sp>
    <dsp:sp modelId="{F509F167-9A9B-4BC9-9EF0-98434E0A1FC5}">
      <dsp:nvSpPr>
        <dsp:cNvPr id="0" name=""/>
        <dsp:cNvSpPr/>
      </dsp:nvSpPr>
      <dsp:spPr>
        <a:xfrm rot="10800000">
          <a:off x="1958344"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79603" y="1531905"/>
        <a:ext cx="12764" cy="12764"/>
      </dsp:txXfrm>
    </dsp:sp>
    <dsp:sp modelId="{9C1094D5-1873-48C3-8E50-DFD1A551FFE6}">
      <dsp:nvSpPr>
        <dsp:cNvPr id="0" name=""/>
        <dsp:cNvSpPr/>
      </dsp:nvSpPr>
      <dsp:spPr>
        <a:xfrm>
          <a:off x="1111286" y="1114758"/>
          <a:ext cx="847057" cy="847057"/>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تقييم المخاطر</a:t>
          </a:r>
          <a:endParaRPr lang="en-US" sz="1500" kern="1200"/>
        </a:p>
      </dsp:txBody>
      <dsp:txXfrm>
        <a:off x="1235335" y="1238807"/>
        <a:ext cx="598959" cy="5989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D78F5-6784-4175-A8E0-FE6753DD78D7}">
      <dsp:nvSpPr>
        <dsp:cNvPr id="0" name=""/>
        <dsp:cNvSpPr/>
      </dsp:nvSpPr>
      <dsp:spPr>
        <a:xfrm>
          <a:off x="2006250" y="992503"/>
          <a:ext cx="1261514" cy="1091261"/>
        </a:xfrm>
        <a:prstGeom prst="hexagon">
          <a:avLst>
            <a:gd name="adj" fmla="val 28570"/>
            <a:gd name="vf" fmla="val 11547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أبعاد سلامة المرضى</a:t>
          </a:r>
          <a:endParaRPr lang="en-US" sz="1200" kern="1200">
            <a:latin typeface="Traditional Arabic" panose="02020603050405020304" pitchFamily="18" charset="-78"/>
            <a:cs typeface="Traditional Arabic" panose="02020603050405020304" pitchFamily="18" charset="-78"/>
          </a:endParaRPr>
        </a:p>
      </dsp:txBody>
      <dsp:txXfrm>
        <a:off x="2215301" y="1173340"/>
        <a:ext cx="843412" cy="729587"/>
      </dsp:txXfrm>
    </dsp:sp>
    <dsp:sp modelId="{DA9728D2-FE8B-4155-B5DC-3B4E88CF68B3}">
      <dsp:nvSpPr>
        <dsp:cNvPr id="0" name=""/>
        <dsp:cNvSpPr/>
      </dsp:nvSpPr>
      <dsp:spPr>
        <a:xfrm>
          <a:off x="2796201" y="470408"/>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066EF5-943E-4EE9-B763-835FD7B1ADFC}">
      <dsp:nvSpPr>
        <dsp:cNvPr id="0" name=""/>
        <dsp:cNvSpPr/>
      </dsp:nvSpPr>
      <dsp:spPr>
        <a:xfrm>
          <a:off x="2122454" y="0"/>
          <a:ext cx="1033802" cy="894360"/>
        </a:xfrm>
        <a:prstGeom prst="hexagon">
          <a:avLst>
            <a:gd name="adj" fmla="val 28570"/>
            <a:gd name="vf" fmla="val 11547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تقليل الأخطاء الطبية </a:t>
          </a:r>
          <a:endParaRPr lang="en-US" sz="1200" kern="1200">
            <a:latin typeface="Traditional Arabic" panose="02020603050405020304" pitchFamily="18" charset="-78"/>
            <a:cs typeface="Traditional Arabic" panose="02020603050405020304" pitchFamily="18" charset="-78"/>
          </a:endParaRPr>
        </a:p>
      </dsp:txBody>
      <dsp:txXfrm>
        <a:off x="2293777" y="148215"/>
        <a:ext cx="691156" cy="597930"/>
      </dsp:txXfrm>
    </dsp:sp>
    <dsp:sp modelId="{AE0F9A88-DC2C-408B-81C1-057E0AA334C6}">
      <dsp:nvSpPr>
        <dsp:cNvPr id="0" name=""/>
        <dsp:cNvSpPr/>
      </dsp:nvSpPr>
      <dsp:spPr>
        <a:xfrm>
          <a:off x="3351690" y="1237090"/>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65425EA-BFBC-4F5B-896A-87EF310F1789}">
      <dsp:nvSpPr>
        <dsp:cNvPr id="0" name=""/>
        <dsp:cNvSpPr/>
      </dsp:nvSpPr>
      <dsp:spPr>
        <a:xfrm>
          <a:off x="3070571" y="550091"/>
          <a:ext cx="1033802" cy="894360"/>
        </a:xfrm>
        <a:prstGeom prst="hexagon">
          <a:avLst>
            <a:gd name="adj" fmla="val 28570"/>
            <a:gd name="vf" fmla="val 11547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فعالية أنظمة الإبلاغ عن الحوادث </a:t>
          </a:r>
          <a:endParaRPr lang="en-US" sz="1200" kern="1200">
            <a:latin typeface="Traditional Arabic" panose="02020603050405020304" pitchFamily="18" charset="-78"/>
            <a:cs typeface="Traditional Arabic" panose="02020603050405020304" pitchFamily="18" charset="-78"/>
          </a:endParaRPr>
        </a:p>
      </dsp:txBody>
      <dsp:txXfrm>
        <a:off x="3241894" y="698306"/>
        <a:ext cx="691156" cy="597930"/>
      </dsp:txXfrm>
    </dsp:sp>
    <dsp:sp modelId="{E3E00F3B-9402-4420-9FA5-955E7CDE71AC}">
      <dsp:nvSpPr>
        <dsp:cNvPr id="0" name=""/>
        <dsp:cNvSpPr/>
      </dsp:nvSpPr>
      <dsp:spPr>
        <a:xfrm>
          <a:off x="2965811" y="2102531"/>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BC5208-B40D-4C78-9AD7-2A80012BF1D4}">
      <dsp:nvSpPr>
        <dsp:cNvPr id="0" name=""/>
        <dsp:cNvSpPr/>
      </dsp:nvSpPr>
      <dsp:spPr>
        <a:xfrm>
          <a:off x="3070571" y="1631507"/>
          <a:ext cx="1033802" cy="894360"/>
        </a:xfrm>
        <a:prstGeom prst="hexagon">
          <a:avLst>
            <a:gd name="adj" fmla="val 28570"/>
            <a:gd name="vf" fmla="val 11547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جودة الرعاية السريرية</a:t>
          </a:r>
          <a:endParaRPr lang="en-US" sz="1200" kern="1200">
            <a:latin typeface="Traditional Arabic" panose="02020603050405020304" pitchFamily="18" charset="-78"/>
            <a:cs typeface="Traditional Arabic" panose="02020603050405020304" pitchFamily="18" charset="-78"/>
          </a:endParaRPr>
        </a:p>
      </dsp:txBody>
      <dsp:txXfrm>
        <a:off x="3241894" y="1779722"/>
        <a:ext cx="691156" cy="597930"/>
      </dsp:txXfrm>
    </dsp:sp>
    <dsp:sp modelId="{E5751212-FB36-4942-B2EA-1080E63DB5ED}">
      <dsp:nvSpPr>
        <dsp:cNvPr id="0" name=""/>
        <dsp:cNvSpPr/>
      </dsp:nvSpPr>
      <dsp:spPr>
        <a:xfrm>
          <a:off x="2008598" y="2192367"/>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063182D-471F-4B22-B1DC-E191435DE150}">
      <dsp:nvSpPr>
        <dsp:cNvPr id="0" name=""/>
        <dsp:cNvSpPr/>
      </dsp:nvSpPr>
      <dsp:spPr>
        <a:xfrm>
          <a:off x="2122454" y="2182214"/>
          <a:ext cx="1033802" cy="894360"/>
        </a:xfrm>
        <a:prstGeom prst="hexagon">
          <a:avLst>
            <a:gd name="adj" fmla="val 28570"/>
            <a:gd name="vf" fmla="val 11547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بيئة العمل الآمنة</a:t>
          </a:r>
          <a:endParaRPr lang="en-US" sz="1200" kern="1200">
            <a:latin typeface="Traditional Arabic" panose="02020603050405020304" pitchFamily="18" charset="-78"/>
            <a:cs typeface="Traditional Arabic" panose="02020603050405020304" pitchFamily="18" charset="-78"/>
          </a:endParaRPr>
        </a:p>
      </dsp:txBody>
      <dsp:txXfrm>
        <a:off x="2293777" y="2330429"/>
        <a:ext cx="691156" cy="597930"/>
      </dsp:txXfrm>
    </dsp:sp>
    <dsp:sp modelId="{D60ACA30-2326-4F8E-A170-1DF58B0C828D}">
      <dsp:nvSpPr>
        <dsp:cNvPr id="0" name=""/>
        <dsp:cNvSpPr/>
      </dsp:nvSpPr>
      <dsp:spPr>
        <a:xfrm>
          <a:off x="1169936" y="1632123"/>
          <a:ext cx="1033802" cy="894360"/>
        </a:xfrm>
        <a:prstGeom prst="hexagon">
          <a:avLst>
            <a:gd name="adj" fmla="val 28570"/>
            <a:gd name="vf" fmla="val 11547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إشراك المرضى في الرعاية</a:t>
          </a:r>
          <a:endParaRPr lang="en-US" sz="1200" kern="1200">
            <a:latin typeface="Traditional Arabic" panose="02020603050405020304" pitchFamily="18" charset="-78"/>
            <a:cs typeface="Traditional Arabic" panose="02020603050405020304" pitchFamily="18" charset="-78"/>
          </a:endParaRPr>
        </a:p>
      </dsp:txBody>
      <dsp:txXfrm>
        <a:off x="1341259" y="1780338"/>
        <a:ext cx="691156" cy="597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986341-8791-4C28-9968-C598C91037D8}">
      <dsp:nvSpPr>
        <dsp:cNvPr id="0" name=""/>
        <dsp:cNvSpPr/>
      </dsp:nvSpPr>
      <dsp:spPr>
        <a:xfrm>
          <a:off x="2172304" y="359"/>
          <a:ext cx="929700" cy="92970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العقوبة المشروطة</a:t>
          </a:r>
          <a:endParaRPr lang="en-US" sz="1400" kern="1200">
            <a:latin typeface="Traditional Arabic" panose="02020603050405020304" pitchFamily="18" charset="-78"/>
            <a:cs typeface="Traditional Arabic" panose="02020603050405020304" pitchFamily="18" charset="-78"/>
          </a:endParaRPr>
        </a:p>
      </dsp:txBody>
      <dsp:txXfrm>
        <a:off x="2308455" y="136510"/>
        <a:ext cx="657398" cy="657398"/>
      </dsp:txXfrm>
    </dsp:sp>
    <dsp:sp modelId="{927FCD21-EB4E-458B-8788-DE6A1D18B3F2}">
      <dsp:nvSpPr>
        <dsp:cNvPr id="0" name=""/>
        <dsp:cNvSpPr/>
      </dsp:nvSpPr>
      <dsp:spPr>
        <a:xfrm rot="2160000">
          <a:off x="3072449" y="714102"/>
          <a:ext cx="246426" cy="31377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079508" y="755130"/>
        <a:ext cx="172498" cy="188263"/>
      </dsp:txXfrm>
    </dsp:sp>
    <dsp:sp modelId="{1A14E00A-4429-4CD5-9D5B-4DA5F0700B1D}">
      <dsp:nvSpPr>
        <dsp:cNvPr id="0" name=""/>
        <dsp:cNvSpPr/>
      </dsp:nvSpPr>
      <dsp:spPr>
        <a:xfrm>
          <a:off x="3300605" y="820118"/>
          <a:ext cx="929700" cy="92970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المكافأة المشروطة</a:t>
          </a:r>
          <a:endParaRPr lang="en-US" sz="1400" kern="1200">
            <a:latin typeface="Traditional Arabic" panose="02020603050405020304" pitchFamily="18" charset="-78"/>
            <a:cs typeface="Traditional Arabic" panose="02020603050405020304" pitchFamily="18" charset="-78"/>
          </a:endParaRPr>
        </a:p>
      </dsp:txBody>
      <dsp:txXfrm>
        <a:off x="3436756" y="956269"/>
        <a:ext cx="657398" cy="657398"/>
      </dsp:txXfrm>
    </dsp:sp>
    <dsp:sp modelId="{3030A735-1686-4EAA-BF9C-2C1BB12A1B20}">
      <dsp:nvSpPr>
        <dsp:cNvPr id="0" name=""/>
        <dsp:cNvSpPr/>
      </dsp:nvSpPr>
      <dsp:spPr>
        <a:xfrm rot="6480000">
          <a:off x="3428911" y="1784646"/>
          <a:ext cx="246426" cy="31377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477298" y="1812246"/>
        <a:ext cx="172498" cy="188263"/>
      </dsp:txXfrm>
    </dsp:sp>
    <dsp:sp modelId="{93320E12-0688-4BB1-85AF-121A509448D2}">
      <dsp:nvSpPr>
        <dsp:cNvPr id="0" name=""/>
        <dsp:cNvSpPr/>
      </dsp:nvSpPr>
      <dsp:spPr>
        <a:xfrm>
          <a:off x="2869633" y="2146515"/>
          <a:ext cx="929700" cy="92970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الإدارة بالإستثناء (الساكنة)</a:t>
          </a:r>
          <a:endParaRPr lang="en-US" sz="1400" kern="1200">
            <a:latin typeface="Traditional Arabic" panose="02020603050405020304" pitchFamily="18" charset="-78"/>
            <a:cs typeface="Traditional Arabic" panose="02020603050405020304" pitchFamily="18" charset="-78"/>
          </a:endParaRPr>
        </a:p>
      </dsp:txBody>
      <dsp:txXfrm>
        <a:off x="3005784" y="2282666"/>
        <a:ext cx="657398" cy="657398"/>
      </dsp:txXfrm>
    </dsp:sp>
    <dsp:sp modelId="{B8C070E4-685B-41A9-9E68-08EDD1968B16}">
      <dsp:nvSpPr>
        <dsp:cNvPr id="0" name=""/>
        <dsp:cNvSpPr/>
      </dsp:nvSpPr>
      <dsp:spPr>
        <a:xfrm rot="10800000">
          <a:off x="2520915" y="2454478"/>
          <a:ext cx="246426" cy="31377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594843" y="2517233"/>
        <a:ext cx="172498" cy="188263"/>
      </dsp:txXfrm>
    </dsp:sp>
    <dsp:sp modelId="{4285E783-BB67-4F23-AA12-EF7D37D40EB5}">
      <dsp:nvSpPr>
        <dsp:cNvPr id="0" name=""/>
        <dsp:cNvSpPr/>
      </dsp:nvSpPr>
      <dsp:spPr>
        <a:xfrm>
          <a:off x="1474976" y="2146515"/>
          <a:ext cx="929700" cy="92970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الإدارة بالإستثناء ( النشطة)</a:t>
          </a:r>
          <a:endParaRPr lang="en-US" sz="1400" kern="1200">
            <a:latin typeface="Traditional Arabic" panose="02020603050405020304" pitchFamily="18" charset="-78"/>
            <a:cs typeface="Traditional Arabic" panose="02020603050405020304" pitchFamily="18" charset="-78"/>
          </a:endParaRPr>
        </a:p>
      </dsp:txBody>
      <dsp:txXfrm>
        <a:off x="1611127" y="2282666"/>
        <a:ext cx="657398" cy="657398"/>
      </dsp:txXfrm>
    </dsp:sp>
    <dsp:sp modelId="{C14E68A7-56E7-47A4-B310-37B0E67D4A50}">
      <dsp:nvSpPr>
        <dsp:cNvPr id="0" name=""/>
        <dsp:cNvSpPr/>
      </dsp:nvSpPr>
      <dsp:spPr>
        <a:xfrm rot="15120000">
          <a:off x="1603282" y="1797912"/>
          <a:ext cx="246426" cy="31377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651669" y="1895822"/>
        <a:ext cx="172498" cy="188263"/>
      </dsp:txXfrm>
    </dsp:sp>
    <dsp:sp modelId="{CCEA4866-F5DE-44A0-92A1-E3755A1A8D75}">
      <dsp:nvSpPr>
        <dsp:cNvPr id="0" name=""/>
        <dsp:cNvSpPr/>
      </dsp:nvSpPr>
      <dsp:spPr>
        <a:xfrm>
          <a:off x="1044004" y="820118"/>
          <a:ext cx="929700" cy="929700"/>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مستلزمات الأداء</a:t>
          </a:r>
          <a:endParaRPr lang="en-US" sz="1400" kern="1200">
            <a:latin typeface="Traditional Arabic" panose="02020603050405020304" pitchFamily="18" charset="-78"/>
            <a:cs typeface="Traditional Arabic" panose="02020603050405020304" pitchFamily="18" charset="-78"/>
          </a:endParaRPr>
        </a:p>
      </dsp:txBody>
      <dsp:txXfrm>
        <a:off x="1180155" y="956269"/>
        <a:ext cx="657398" cy="657398"/>
      </dsp:txXfrm>
    </dsp:sp>
    <dsp:sp modelId="{39AF97AD-AB83-4C35-A8B7-196D2ECB8A9B}">
      <dsp:nvSpPr>
        <dsp:cNvPr id="0" name=""/>
        <dsp:cNvSpPr/>
      </dsp:nvSpPr>
      <dsp:spPr>
        <a:xfrm rot="19440000">
          <a:off x="1944148" y="722301"/>
          <a:ext cx="246426" cy="313773"/>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951207" y="806783"/>
        <a:ext cx="172498" cy="18826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81D2F1-5D69-4038-A5B5-1E4B3AB5FA00}">
      <dsp:nvSpPr>
        <dsp:cNvPr id="0" name=""/>
        <dsp:cNvSpPr/>
      </dsp:nvSpPr>
      <dsp:spPr>
        <a:xfrm>
          <a:off x="1783886" y="685018"/>
          <a:ext cx="1706537" cy="1706537"/>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أبعاد القيادة التحويلية</a:t>
          </a:r>
          <a:endParaRPr lang="en-US" sz="1200" b="1" kern="1200">
            <a:latin typeface="Traditional Arabic" panose="02020603050405020304" pitchFamily="18" charset="-78"/>
            <a:cs typeface="Traditional Arabic" panose="02020603050405020304" pitchFamily="18" charset="-78"/>
          </a:endParaRPr>
        </a:p>
      </dsp:txBody>
      <dsp:txXfrm>
        <a:off x="2033803" y="934935"/>
        <a:ext cx="1206703" cy="1206703"/>
      </dsp:txXfrm>
    </dsp:sp>
    <dsp:sp modelId="{B1786B0B-B00B-405D-83A7-4F77D637618F}">
      <dsp:nvSpPr>
        <dsp:cNvPr id="0" name=""/>
        <dsp:cNvSpPr/>
      </dsp:nvSpPr>
      <dsp:spPr>
        <a:xfrm>
          <a:off x="2210520" y="304"/>
          <a:ext cx="853268" cy="853268"/>
        </a:xfrm>
        <a:prstGeom prst="ellipse">
          <a:avLst/>
        </a:prstGeom>
        <a:solidFill>
          <a:schemeClr val="accent5">
            <a:alpha val="50000"/>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الدافعية الالهامية</a:t>
          </a:r>
          <a:endParaRPr lang="en-US" sz="1200" kern="1200">
            <a:latin typeface="Traditional Arabic" panose="02020603050405020304" pitchFamily="18" charset="-78"/>
            <a:cs typeface="Traditional Arabic" panose="02020603050405020304" pitchFamily="18" charset="-78"/>
          </a:endParaRPr>
        </a:p>
      </dsp:txBody>
      <dsp:txXfrm>
        <a:off x="2335478" y="125262"/>
        <a:ext cx="603352" cy="603352"/>
      </dsp:txXfrm>
    </dsp:sp>
    <dsp:sp modelId="{8D0A46D8-626E-4655-BD3C-58D47A037BC8}">
      <dsp:nvSpPr>
        <dsp:cNvPr id="0" name=""/>
        <dsp:cNvSpPr/>
      </dsp:nvSpPr>
      <dsp:spPr>
        <a:xfrm>
          <a:off x="3321869" y="1111653"/>
          <a:ext cx="853268" cy="853268"/>
        </a:xfrm>
        <a:prstGeom prst="ellipse">
          <a:avLst/>
        </a:prstGeom>
        <a:solidFill>
          <a:schemeClr val="accent5">
            <a:alpha val="50000"/>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التأثير المثالي</a:t>
          </a:r>
          <a:endParaRPr lang="en-US" sz="1200" kern="1200">
            <a:latin typeface="Traditional Arabic" panose="02020603050405020304" pitchFamily="18" charset="-78"/>
            <a:cs typeface="Traditional Arabic" panose="02020603050405020304" pitchFamily="18" charset="-78"/>
          </a:endParaRPr>
        </a:p>
      </dsp:txBody>
      <dsp:txXfrm>
        <a:off x="3446827" y="1236611"/>
        <a:ext cx="603352" cy="603352"/>
      </dsp:txXfrm>
    </dsp:sp>
    <dsp:sp modelId="{349B24AE-007A-4009-8D92-3CC06EDA259B}">
      <dsp:nvSpPr>
        <dsp:cNvPr id="0" name=""/>
        <dsp:cNvSpPr/>
      </dsp:nvSpPr>
      <dsp:spPr>
        <a:xfrm>
          <a:off x="2210520" y="2223001"/>
          <a:ext cx="853268" cy="853268"/>
        </a:xfrm>
        <a:prstGeom prst="ellipse">
          <a:avLst/>
        </a:prstGeom>
        <a:solidFill>
          <a:schemeClr val="accent5">
            <a:alpha val="50000"/>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الاعتبارية الفردية</a:t>
          </a:r>
          <a:endParaRPr lang="en-US" sz="1200" kern="1200">
            <a:latin typeface="Traditional Arabic" panose="02020603050405020304" pitchFamily="18" charset="-78"/>
            <a:cs typeface="Traditional Arabic" panose="02020603050405020304" pitchFamily="18" charset="-78"/>
          </a:endParaRPr>
        </a:p>
      </dsp:txBody>
      <dsp:txXfrm>
        <a:off x="2335478" y="2347959"/>
        <a:ext cx="603352" cy="603352"/>
      </dsp:txXfrm>
    </dsp:sp>
    <dsp:sp modelId="{71E0D0FF-EC3D-4D84-AA03-E5B7E43076CF}">
      <dsp:nvSpPr>
        <dsp:cNvPr id="0" name=""/>
        <dsp:cNvSpPr/>
      </dsp:nvSpPr>
      <dsp:spPr>
        <a:xfrm>
          <a:off x="1099172" y="1111653"/>
          <a:ext cx="853268" cy="853268"/>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الاستثارة الفكرية</a:t>
          </a:r>
          <a:endParaRPr lang="en-US" sz="1200" kern="1200">
            <a:latin typeface="Traditional Arabic" panose="02020603050405020304" pitchFamily="18" charset="-78"/>
            <a:cs typeface="Traditional Arabic" panose="02020603050405020304" pitchFamily="18" charset="-78"/>
          </a:endParaRPr>
        </a:p>
      </dsp:txBody>
      <dsp:txXfrm>
        <a:off x="1224130" y="1236611"/>
        <a:ext cx="603352" cy="60335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BA371F-A7E4-460D-B244-EE6AFF2B6627}">
      <dsp:nvSpPr>
        <dsp:cNvPr id="0" name=""/>
        <dsp:cNvSpPr/>
      </dsp:nvSpPr>
      <dsp:spPr>
        <a:xfrm>
          <a:off x="2232825" y="1133958"/>
          <a:ext cx="808658" cy="80865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عوامل نجاح القيادة التحويلية</a:t>
          </a:r>
          <a:endParaRPr lang="en-US" sz="1100" b="1" kern="1200">
            <a:latin typeface="Traditional Arabic" panose="02020603050405020304" pitchFamily="18" charset="-78"/>
            <a:cs typeface="Traditional Arabic" panose="02020603050405020304" pitchFamily="18" charset="-78"/>
          </a:endParaRPr>
        </a:p>
      </dsp:txBody>
      <dsp:txXfrm>
        <a:off x="2351250" y="1252383"/>
        <a:ext cx="571808" cy="571808"/>
      </dsp:txXfrm>
    </dsp:sp>
    <dsp:sp modelId="{706AF5A0-1D54-4F33-B17E-02BA208CA869}">
      <dsp:nvSpPr>
        <dsp:cNvPr id="0" name=""/>
        <dsp:cNvSpPr/>
      </dsp:nvSpPr>
      <dsp:spPr>
        <a:xfrm rot="16200000">
          <a:off x="2551307" y="839369"/>
          <a:ext cx="171694" cy="27494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77061" y="920112"/>
        <a:ext cx="120186" cy="164966"/>
      </dsp:txXfrm>
    </dsp:sp>
    <dsp:sp modelId="{0666AF14-42B4-4159-818F-2218B1C3A51E}">
      <dsp:nvSpPr>
        <dsp:cNvPr id="0" name=""/>
        <dsp:cNvSpPr/>
      </dsp:nvSpPr>
      <dsp:spPr>
        <a:xfrm>
          <a:off x="2232825" y="1347"/>
          <a:ext cx="808658" cy="80865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التطور</a:t>
          </a:r>
          <a:endParaRPr lang="en-US" sz="1100" b="1" kern="1200">
            <a:latin typeface="Traditional Arabic" panose="02020603050405020304" pitchFamily="18" charset="-78"/>
            <a:cs typeface="Traditional Arabic" panose="02020603050405020304" pitchFamily="18" charset="-78"/>
          </a:endParaRPr>
        </a:p>
      </dsp:txBody>
      <dsp:txXfrm>
        <a:off x="2351250" y="119772"/>
        <a:ext cx="571808" cy="571808"/>
      </dsp:txXfrm>
    </dsp:sp>
    <dsp:sp modelId="{8EC1460A-4572-424A-82D7-48DD5E6C8B0C}">
      <dsp:nvSpPr>
        <dsp:cNvPr id="0" name=""/>
        <dsp:cNvSpPr/>
      </dsp:nvSpPr>
      <dsp:spPr>
        <a:xfrm>
          <a:off x="3112753" y="1400815"/>
          <a:ext cx="171694" cy="274944"/>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12753" y="1455804"/>
        <a:ext cx="120186" cy="164966"/>
      </dsp:txXfrm>
    </dsp:sp>
    <dsp:sp modelId="{27463A98-AD57-4F8C-AF68-91C82C336F57}">
      <dsp:nvSpPr>
        <dsp:cNvPr id="0" name=""/>
        <dsp:cNvSpPr/>
      </dsp:nvSpPr>
      <dsp:spPr>
        <a:xfrm>
          <a:off x="3365436" y="1133958"/>
          <a:ext cx="808658" cy="808658"/>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التفويض</a:t>
          </a:r>
          <a:endParaRPr lang="en-US" sz="1100" b="1" kern="1200">
            <a:latin typeface="Traditional Arabic" panose="02020603050405020304" pitchFamily="18" charset="-78"/>
            <a:cs typeface="Traditional Arabic" panose="02020603050405020304" pitchFamily="18" charset="-78"/>
          </a:endParaRPr>
        </a:p>
      </dsp:txBody>
      <dsp:txXfrm>
        <a:off x="3483861" y="1252383"/>
        <a:ext cx="571808" cy="571808"/>
      </dsp:txXfrm>
    </dsp:sp>
    <dsp:sp modelId="{174A9161-46DD-47F8-AA4A-4A3EC267F6C4}">
      <dsp:nvSpPr>
        <dsp:cNvPr id="0" name=""/>
        <dsp:cNvSpPr/>
      </dsp:nvSpPr>
      <dsp:spPr>
        <a:xfrm rot="5400000">
          <a:off x="2551307" y="1962261"/>
          <a:ext cx="171694" cy="274944"/>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77061" y="1991496"/>
        <a:ext cx="120186" cy="164966"/>
      </dsp:txXfrm>
    </dsp:sp>
    <dsp:sp modelId="{9E11799A-FBBC-4A9D-9DE9-50989F55B58E}">
      <dsp:nvSpPr>
        <dsp:cNvPr id="0" name=""/>
        <dsp:cNvSpPr/>
      </dsp:nvSpPr>
      <dsp:spPr>
        <a:xfrm>
          <a:off x="2232825" y="2266568"/>
          <a:ext cx="808658" cy="808658"/>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الرؤية</a:t>
          </a:r>
          <a:endParaRPr lang="en-US" sz="1100" b="1" kern="1200">
            <a:latin typeface="Traditional Arabic" panose="02020603050405020304" pitchFamily="18" charset="-78"/>
            <a:cs typeface="Traditional Arabic" panose="02020603050405020304" pitchFamily="18" charset="-78"/>
          </a:endParaRPr>
        </a:p>
      </dsp:txBody>
      <dsp:txXfrm>
        <a:off x="2351250" y="2384993"/>
        <a:ext cx="571808" cy="571808"/>
      </dsp:txXfrm>
    </dsp:sp>
    <dsp:sp modelId="{F68E73FD-DD57-475B-8C50-C05EF76AEBAC}">
      <dsp:nvSpPr>
        <dsp:cNvPr id="0" name=""/>
        <dsp:cNvSpPr/>
      </dsp:nvSpPr>
      <dsp:spPr>
        <a:xfrm rot="10800000">
          <a:off x="1989861" y="1400815"/>
          <a:ext cx="171694" cy="274944"/>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041369" y="1455804"/>
        <a:ext cx="120186" cy="164966"/>
      </dsp:txXfrm>
    </dsp:sp>
    <dsp:sp modelId="{D96BE9AA-D44D-4603-9283-B44B8D1092DB}">
      <dsp:nvSpPr>
        <dsp:cNvPr id="0" name=""/>
        <dsp:cNvSpPr/>
      </dsp:nvSpPr>
      <dsp:spPr>
        <a:xfrm>
          <a:off x="1100214" y="1133958"/>
          <a:ext cx="808658" cy="808658"/>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التعلم</a:t>
          </a:r>
          <a:endParaRPr lang="en-US" sz="1100" b="1" kern="1200">
            <a:latin typeface="Traditional Arabic" panose="02020603050405020304" pitchFamily="18" charset="-78"/>
            <a:cs typeface="Traditional Arabic" panose="02020603050405020304" pitchFamily="18" charset="-78"/>
          </a:endParaRPr>
        </a:p>
      </dsp:txBody>
      <dsp:txXfrm>
        <a:off x="1218639" y="1252383"/>
        <a:ext cx="571808" cy="5718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5">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182</Pages>
  <Words>45857</Words>
  <Characters>261387</Characters>
  <Application>Microsoft Office Word</Application>
  <DocSecurity>0</DocSecurity>
  <Lines>2178</Lines>
  <Paragraphs>613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NOURA AL-Saleem</cp:lastModifiedBy>
  <cp:revision>2</cp:revision>
  <cp:lastPrinted>2026-08-27T17:41:00Z</cp:lastPrinted>
  <dcterms:created xsi:type="dcterms:W3CDTF">2026-08-27T18:11:00Z</dcterms:created>
  <dcterms:modified xsi:type="dcterms:W3CDTF">2026-08-27T18:11:00Z</dcterms:modified>
</cp:coreProperties>
</file>