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52C2C911"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2E7FDEED"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sidR="00452544">
        <w:rPr>
          <w:rFonts w:ascii="Simplified Arabic" w:eastAsia="Calibri" w:hAnsi="Simplified Arabic" w:cs="Simplified Arabic" w:hint="cs"/>
          <w:b/>
          <w:bCs/>
          <w:noProof/>
          <w:sz w:val="32"/>
          <w:szCs w:val="32"/>
          <w:rtl/>
          <w:lang w:bidi="ar-SY"/>
        </w:rPr>
        <w:t>ال</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2F49ED">
        <w:rPr>
          <w:rFonts w:ascii="Simplified Arabic" w:eastAsia="Calibri" w:hAnsi="Simplified Arabic" w:cs="Simplified Arabic" w:hint="cs"/>
          <w:b/>
          <w:bCs/>
          <w:noProof/>
          <w:sz w:val="32"/>
          <w:szCs w:val="32"/>
          <w:rtl/>
          <w:lang w:bidi="ar-SY"/>
        </w:rPr>
        <w:t>ال</w:t>
      </w:r>
      <w:r w:rsidR="00452544">
        <w:rPr>
          <w:rFonts w:ascii="Simplified Arabic" w:eastAsia="Calibri" w:hAnsi="Simplified Arabic" w:cs="Simplified Arabic" w:hint="cs"/>
          <w:b/>
          <w:bCs/>
          <w:noProof/>
          <w:sz w:val="32"/>
          <w:szCs w:val="32"/>
          <w:rtl/>
          <w:lang w:bidi="ar-SY"/>
        </w:rPr>
        <w:t>صحية</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6492D52E" w:rsidR="00217D8D" w:rsidRPr="00366AD0" w:rsidRDefault="00452544" w:rsidP="00217D8D">
      <w:pPr>
        <w:spacing w:line="257" w:lineRule="auto"/>
        <w:ind w:firstLine="284"/>
        <w:jc w:val="center"/>
        <w:rPr>
          <w:rFonts w:ascii="Simplified Arabic" w:eastAsia="Calibri" w:hAnsi="Simplified Arabic" w:cs="Simplified Arabic"/>
          <w:b/>
          <w:bCs/>
          <w:sz w:val="18"/>
          <w:szCs w:val="18"/>
          <w:rtl/>
        </w:rPr>
      </w:pPr>
      <w:r w:rsidRPr="00366AD0">
        <w:rPr>
          <w:rFonts w:ascii="Times New Roman" w:eastAsia="Calibri" w:hAnsi="Times New Roman" w:cs="Simplified Arabic"/>
          <w:b/>
          <w:bCs/>
          <w:sz w:val="40"/>
          <w:szCs w:val="44"/>
          <w:rtl/>
        </w:rPr>
        <w:t>دور إدارة المخاطر المالية في تحقيق الاستدامة التشغيلية للمراكز الصحية الأولية: دراسة ميدانية في منطقة عسير بمدينة أبها</w:t>
      </w:r>
    </w:p>
    <w:p w14:paraId="28FAF6AC" w14:textId="77777777" w:rsidR="00452544" w:rsidRDefault="00452544" w:rsidP="00217D8D">
      <w:pPr>
        <w:spacing w:line="257" w:lineRule="auto"/>
        <w:ind w:firstLine="284"/>
        <w:jc w:val="center"/>
        <w:rPr>
          <w:rFonts w:ascii="Simplified Arabic" w:eastAsia="Calibri" w:hAnsi="Simplified Arabic" w:cs="Simplified Arabic"/>
          <w:b/>
          <w:bCs/>
          <w:sz w:val="14"/>
          <w:szCs w:val="14"/>
          <w:rtl/>
        </w:rPr>
      </w:pPr>
    </w:p>
    <w:p w14:paraId="306E2024" w14:textId="77777777" w:rsidR="00452544" w:rsidRPr="006E0562" w:rsidRDefault="00452544" w:rsidP="00217D8D">
      <w:pPr>
        <w:spacing w:line="257" w:lineRule="auto"/>
        <w:ind w:firstLine="284"/>
        <w:jc w:val="center"/>
        <w:rPr>
          <w:rFonts w:ascii="Simplified Arabic" w:eastAsia="Calibri" w:hAnsi="Simplified Arabic" w:cs="Simplified Arabic"/>
          <w:b/>
          <w:bCs/>
          <w:sz w:val="10"/>
          <w:szCs w:val="10"/>
          <w:rtl/>
        </w:rPr>
      </w:pPr>
    </w:p>
    <w:p w14:paraId="77F92AF3" w14:textId="30BF3E9B" w:rsidR="00217D8D" w:rsidRPr="00C622DA" w:rsidRDefault="00DB3B30" w:rsidP="00217D8D">
      <w:pPr>
        <w:spacing w:line="257" w:lineRule="auto"/>
        <w:ind w:firstLine="284"/>
        <w:jc w:val="center"/>
        <w:rPr>
          <w:rFonts w:ascii="Simplified Arabic" w:eastAsia="Calibri" w:hAnsi="Simplified Arabic" w:cs="Simplified Arabic"/>
          <w:b/>
          <w:bCs/>
          <w:sz w:val="36"/>
          <w:szCs w:val="36"/>
          <w:rtl/>
          <w:lang w:bidi="ar-SY"/>
        </w:rPr>
      </w:pPr>
      <w:r w:rsidRPr="00C622DA">
        <w:rPr>
          <w:rFonts w:ascii="Simplified Arabic" w:eastAsia="Calibri" w:hAnsi="Simplified Arabic" w:cs="Simplified Arabic" w:hint="cs"/>
          <w:b/>
          <w:bCs/>
          <w:sz w:val="36"/>
          <w:szCs w:val="36"/>
          <w:rtl/>
          <w:lang w:bidi="ar-SY"/>
        </w:rPr>
        <w:t>إعداد</w:t>
      </w:r>
      <w:r w:rsidR="00522AEF" w:rsidRPr="00C622DA">
        <w:rPr>
          <w:rFonts w:ascii="Simplified Arabic" w:eastAsia="Calibri" w:hAnsi="Simplified Arabic" w:cs="Simplified Arabic" w:hint="cs"/>
          <w:b/>
          <w:bCs/>
          <w:sz w:val="36"/>
          <w:szCs w:val="36"/>
          <w:rtl/>
          <w:lang w:bidi="ar-SY"/>
        </w:rPr>
        <w:t>:</w:t>
      </w:r>
    </w:p>
    <w:p w14:paraId="338FFD69" w14:textId="77777777" w:rsidR="00452544" w:rsidRDefault="00452544" w:rsidP="00594922">
      <w:pPr>
        <w:spacing w:line="257" w:lineRule="auto"/>
        <w:ind w:firstLine="284"/>
        <w:jc w:val="center"/>
        <w:rPr>
          <w:rFonts w:ascii="Simplified Arabic" w:eastAsia="Calibri" w:hAnsi="Simplified Arabic" w:cs="Simplified Arabic"/>
          <w:b/>
          <w:bCs/>
          <w:sz w:val="32"/>
          <w:szCs w:val="32"/>
          <w:rtl/>
          <w:lang w:bidi="ar-EG"/>
        </w:rPr>
      </w:pPr>
      <w:r w:rsidRPr="00452544">
        <w:rPr>
          <w:rFonts w:ascii="Simplified Arabic" w:eastAsia="Calibri" w:hAnsi="Simplified Arabic" w:cs="Simplified Arabic"/>
          <w:b/>
          <w:bCs/>
          <w:sz w:val="32"/>
          <w:szCs w:val="32"/>
          <w:rtl/>
          <w:lang w:bidi="ar-EG"/>
        </w:rPr>
        <w:t xml:space="preserve">عبد المجيد محمد آل سعد </w:t>
      </w:r>
    </w:p>
    <w:p w14:paraId="5044346D" w14:textId="4A3CCAB8"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452544" w:rsidRPr="00452544">
        <w:rPr>
          <w:rFonts w:ascii="Simplified Arabic" w:eastAsia="Calibri" w:hAnsi="Simplified Arabic" w:cs="Simplified Arabic"/>
          <w:b/>
          <w:bCs/>
          <w:sz w:val="32"/>
          <w:szCs w:val="32"/>
          <w:rtl/>
          <w:lang w:bidi="ar-EG"/>
        </w:rPr>
        <w:t>243001516</w:t>
      </w:r>
    </w:p>
    <w:p w14:paraId="5BE529FB" w14:textId="77777777" w:rsidR="003747FA" w:rsidRPr="006E0562" w:rsidRDefault="003747FA" w:rsidP="00217D8D">
      <w:pPr>
        <w:spacing w:line="257" w:lineRule="auto"/>
        <w:ind w:firstLine="284"/>
        <w:jc w:val="center"/>
        <w:rPr>
          <w:rFonts w:ascii="Simplified Arabic" w:eastAsia="Calibri" w:hAnsi="Simplified Arabic" w:cs="Simplified Arabic"/>
          <w:b/>
          <w:bCs/>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6EDF14FD" w14:textId="5F4DAB01" w:rsidR="00217D8D" w:rsidRDefault="009B6918" w:rsidP="00217D8D">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452544" w:rsidRPr="00452544">
        <w:rPr>
          <w:rFonts w:ascii="Simplified Arabic" w:eastAsia="Calibri" w:hAnsi="Simplified Arabic" w:cs="Simplified Arabic"/>
          <w:b/>
          <w:bCs/>
          <w:sz w:val="32"/>
          <w:szCs w:val="32"/>
          <w:rtl/>
          <w:lang w:bidi="ar-EG"/>
        </w:rPr>
        <w:t>.د. الفيصل عبد الحميد محمد</w:t>
      </w:r>
    </w:p>
    <w:p w14:paraId="7643B3B3" w14:textId="36097DD8" w:rsidR="009B6918" w:rsidRDefault="009B6918" w:rsidP="00217D8D">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أ.د. </w:t>
      </w:r>
      <w:r w:rsidRPr="009B6918">
        <w:rPr>
          <w:rFonts w:ascii="Simplified Arabic" w:eastAsia="Calibri" w:hAnsi="Simplified Arabic" w:cs="Simplified Arabic"/>
          <w:b/>
          <w:bCs/>
          <w:sz w:val="32"/>
          <w:szCs w:val="32"/>
          <w:rtl/>
          <w:lang w:bidi="ar-EG"/>
        </w:rPr>
        <w:t>فايز علي جراد</w:t>
      </w:r>
    </w:p>
    <w:p w14:paraId="464F030C" w14:textId="77777777" w:rsidR="00594922" w:rsidRPr="006E0562" w:rsidRDefault="00594922" w:rsidP="00217D8D">
      <w:pPr>
        <w:spacing w:line="257" w:lineRule="auto"/>
        <w:ind w:firstLine="284"/>
        <w:jc w:val="center"/>
        <w:rPr>
          <w:rFonts w:ascii="Simplified Arabic" w:eastAsia="Calibri" w:hAnsi="Simplified Arabic" w:cs="Simplified Arabic"/>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56E0A2F1"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B03B33">
      <w:pPr>
        <w:spacing w:after="0" w:line="360"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57870450" w14:textId="77777777" w:rsidR="00D45150" w:rsidRPr="00D45150" w:rsidRDefault="00586478" w:rsidP="00D45150">
      <w:pPr>
        <w:spacing w:after="0" w:line="360" w:lineRule="auto"/>
        <w:ind w:firstLine="510"/>
        <w:jc w:val="both"/>
        <w:rPr>
          <w:rFonts w:ascii="Times New Roman" w:eastAsia="Calibri" w:hAnsi="Times New Roman" w:cs="Simplified Arabic"/>
          <w:sz w:val="24"/>
          <w:szCs w:val="28"/>
          <w:rtl/>
          <w:lang w:bidi="ar-EG"/>
        </w:rPr>
      </w:pPr>
      <w:r w:rsidRPr="00586478">
        <w:rPr>
          <w:rFonts w:ascii="Times New Roman" w:eastAsia="Calibri" w:hAnsi="Times New Roman" w:cs="Simplified Arabic"/>
          <w:sz w:val="24"/>
          <w:szCs w:val="28"/>
          <w:rtl/>
        </w:rPr>
        <w:t xml:space="preserve">يتناول </w:t>
      </w:r>
      <w:r w:rsidR="00D45150" w:rsidRPr="00D45150">
        <w:rPr>
          <w:rFonts w:ascii="Times New Roman" w:eastAsia="Calibri" w:hAnsi="Times New Roman" w:cs="Simplified Arabic"/>
          <w:sz w:val="24"/>
          <w:szCs w:val="28"/>
          <w:rtl/>
          <w:lang w:bidi="ar-EG"/>
        </w:rPr>
        <w:t>هذا الفصل عرضاً شاملاً لمنهجية التأسيس النظري والمنطقي لموضوع الدراسة، مستعرضاً المقدمة، ومشكلة البحث، والتساؤلات، والأهمية، والأهداف، وصولاً إلى تحديد المتغيرات، والفرضيات، والمفاهيم الاصطلاحية والإجرائية الموجهة لمسار البحث.</w:t>
      </w:r>
    </w:p>
    <w:p w14:paraId="71BD620D" w14:textId="77777777" w:rsidR="00D45150" w:rsidRPr="00D45150" w:rsidRDefault="00D45150" w:rsidP="00D45150">
      <w:pPr>
        <w:spacing w:after="0" w:line="360" w:lineRule="auto"/>
        <w:ind w:firstLine="510"/>
        <w:jc w:val="both"/>
        <w:rPr>
          <w:rFonts w:ascii="Times New Roman" w:eastAsia="Calibri" w:hAnsi="Times New Roman" w:cs="Simplified Arabic"/>
          <w:b/>
          <w:bCs/>
          <w:sz w:val="24"/>
          <w:szCs w:val="28"/>
          <w:rtl/>
          <w:lang w:bidi="ar-EG"/>
        </w:rPr>
      </w:pPr>
      <w:r w:rsidRPr="00D45150">
        <w:rPr>
          <w:rFonts w:ascii="Times New Roman" w:eastAsia="Calibri" w:hAnsi="Times New Roman" w:cs="Simplified Arabic"/>
          <w:b/>
          <w:bCs/>
          <w:sz w:val="24"/>
          <w:szCs w:val="28"/>
        </w:rPr>
        <w:t>1</w:t>
      </w:r>
      <w:r w:rsidRPr="00D45150">
        <w:rPr>
          <w:rFonts w:ascii="Times New Roman" w:eastAsia="Calibri" w:hAnsi="Times New Roman" w:cs="Simplified Arabic"/>
          <w:b/>
          <w:bCs/>
          <w:sz w:val="24"/>
          <w:szCs w:val="28"/>
          <w:rtl/>
          <w:lang w:bidi="ar-EG"/>
        </w:rPr>
        <w:t>. المقدمة</w:t>
      </w:r>
    </w:p>
    <w:p w14:paraId="096789A2"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يشهد القطاع الصحي تحولات جوهرية في آليات عمله ونظم إدارته، مدفوعاً بالحاجة الملحة لضمان استمرارية تقديم الخدمات الصحية بجودة عالية وسط بيئة اقتصادية تتسم بالتقلب وعدم اليقين. وتُعد القدرة على الموازنة بين الموارد المتاحة والمتطلبات التشغيلية المتزايدة من أبرز التحديات التي تواجه المؤسسات الصحية، مما يستدعي تبني استراتيجيات إدارية متطورة تتجاوز الأساليب التقليدية. وفي هذا السياق، تبرز أهمية الحوكمة المالية والتحوط ضد المخاطر كركائز أساسية لضمان ديمومة العمل المؤسسي، لا سيما في مراكز الرعاية الأولية التي تمثل خط الدفاع الأول في المنظومة الصحية.</w:t>
      </w:r>
    </w:p>
    <w:p w14:paraId="6417B788"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 xml:space="preserve">وتُعد الاستدامة التشغيلية المطلب الرئيس الذي تسعى المؤسسات الصحية لتحقيقه، إذ لا تقتصر على البعد المالي فحسب، بل تمتد لتشمل قدرة المؤسسة على الحفاظ على تدفق خدماتها دون انقطاع مع الاستغلال الأمثل للموارد. ويشير كل من سعيد وشوكت (2024) إلى أن استدامة الخدمات الصحية تتطلب تكاملاً بين الكفاءة الإدارية والقدرة على التكيف مع المتغيرات البيئية والاقتصادية (ص. 215). وتتطلب هذه الاستدامة وجود هياكل تنظيمية مرنة قادرة على استيعاب الصدمات، حيث يؤكد </w:t>
      </w:r>
      <w:proofErr w:type="spellStart"/>
      <w:r w:rsidRPr="00D45150">
        <w:rPr>
          <w:rFonts w:ascii="Times New Roman" w:eastAsia="Calibri" w:hAnsi="Times New Roman" w:cs="Simplified Arabic"/>
          <w:sz w:val="24"/>
          <w:szCs w:val="28"/>
          <w:rtl/>
          <w:lang w:bidi="ar-EG"/>
        </w:rPr>
        <w:t>بورجيس</w:t>
      </w:r>
      <w:proofErr w:type="spellEnd"/>
      <w:r w:rsidRPr="00D45150">
        <w:rPr>
          <w:rFonts w:ascii="Times New Roman" w:eastAsia="Calibri" w:hAnsi="Times New Roman" w:cs="Simplified Arabic"/>
          <w:sz w:val="24"/>
          <w:szCs w:val="28"/>
          <w:rtl/>
          <w:lang w:bidi="ar-EG"/>
        </w:rPr>
        <w:t xml:space="preserve"> دي أوليفيرا وآخرون (</w:t>
      </w:r>
      <w:r w:rsidRPr="00D45150">
        <w:rPr>
          <w:rFonts w:ascii="Times New Roman" w:eastAsia="Calibri" w:hAnsi="Times New Roman" w:cs="Simplified Arabic"/>
          <w:sz w:val="24"/>
          <w:szCs w:val="28"/>
        </w:rPr>
        <w:t>Borges de Oliveira et al., 2022</w:t>
      </w:r>
      <w:r w:rsidRPr="00D45150">
        <w:rPr>
          <w:rFonts w:ascii="Times New Roman" w:eastAsia="Calibri" w:hAnsi="Times New Roman" w:cs="Simplified Arabic"/>
          <w:sz w:val="24"/>
          <w:szCs w:val="28"/>
          <w:rtl/>
          <w:lang w:bidi="ar-EG"/>
        </w:rPr>
        <w:t xml:space="preserve">) أن </w:t>
      </w:r>
      <w:r w:rsidRPr="00D45150">
        <w:rPr>
          <w:rFonts w:ascii="Times New Roman" w:eastAsia="Calibri" w:hAnsi="Times New Roman" w:cs="Simplified Arabic"/>
          <w:sz w:val="24"/>
          <w:szCs w:val="28"/>
          <w:rtl/>
          <w:lang w:bidi="ar-EG"/>
        </w:rPr>
        <w:lastRenderedPageBreak/>
        <w:t>المستشفيات والمراكز الصحية المستدامة هي التي تنجح في تحقيق التوازن بين العدالة في تقديم الخدمة والازدهار الاقتصادي (</w:t>
      </w:r>
      <w:r w:rsidRPr="00D45150">
        <w:rPr>
          <w:rFonts w:ascii="Times New Roman" w:eastAsia="Calibri" w:hAnsi="Times New Roman" w:cs="Simplified Arabic"/>
          <w:sz w:val="24"/>
          <w:szCs w:val="28"/>
        </w:rPr>
        <w:t>p. 5</w:t>
      </w:r>
      <w:r w:rsidRPr="00D45150">
        <w:rPr>
          <w:rFonts w:ascii="Times New Roman" w:eastAsia="Calibri" w:hAnsi="Times New Roman" w:cs="Simplified Arabic"/>
          <w:sz w:val="24"/>
          <w:szCs w:val="28"/>
          <w:rtl/>
          <w:lang w:bidi="ar-EG"/>
        </w:rPr>
        <w:t>). وبالتالي؛ فإن تحقيق الاستدامة التشغيلية مرهون بمدى قدرة هذه المراكز على إدارة مواردها بكفاءة تضمن لها البقاء والنمو في الأجل الطويل.</w:t>
      </w:r>
    </w:p>
    <w:p w14:paraId="7CE8D8A2"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 xml:space="preserve">وفي المقابل، تبرز إدارة المخاطر المالية كأداة حيوية لضبط إيقاع الأداء المالي والتشغيلي، حيث تُعرف بأنها العملية المنظمة لتحديد وتقييم التهديدات المالية المحتملة التي قد تعيق تحقيق الأهداف المؤسسية. ويوضح </w:t>
      </w:r>
      <w:proofErr w:type="spellStart"/>
      <w:r w:rsidRPr="00D45150">
        <w:rPr>
          <w:rFonts w:ascii="Times New Roman" w:eastAsia="Calibri" w:hAnsi="Times New Roman" w:cs="Simplified Arabic"/>
          <w:sz w:val="24"/>
          <w:szCs w:val="28"/>
          <w:rtl/>
          <w:lang w:bidi="ar-EG"/>
        </w:rPr>
        <w:t>شيليكوف</w:t>
      </w:r>
      <w:proofErr w:type="spellEnd"/>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Chililov, 2024</w:t>
      </w:r>
      <w:r w:rsidRPr="00D45150">
        <w:rPr>
          <w:rFonts w:ascii="Times New Roman" w:eastAsia="Calibri" w:hAnsi="Times New Roman" w:cs="Simplified Arabic"/>
          <w:sz w:val="24"/>
          <w:szCs w:val="28"/>
          <w:rtl/>
          <w:lang w:bidi="ar-EG"/>
        </w:rPr>
        <w:t>) أن إدارة المخاطر المالية في الرعاية الصحية لم تعد ترفاً إدارياً، بل ضرورة حتمية لقياس التوقعات المستقبلية وضمان التنمية المستدامة (</w:t>
      </w:r>
      <w:r w:rsidRPr="00D45150">
        <w:rPr>
          <w:rFonts w:ascii="Times New Roman" w:eastAsia="Calibri" w:hAnsi="Times New Roman" w:cs="Simplified Arabic"/>
          <w:sz w:val="24"/>
          <w:szCs w:val="28"/>
        </w:rPr>
        <w:t>p. 2</w:t>
      </w:r>
      <w:r w:rsidRPr="00D45150">
        <w:rPr>
          <w:rFonts w:ascii="Times New Roman" w:eastAsia="Calibri" w:hAnsi="Times New Roman" w:cs="Simplified Arabic"/>
          <w:sz w:val="24"/>
          <w:szCs w:val="28"/>
          <w:rtl/>
          <w:lang w:bidi="ar-EG"/>
        </w:rPr>
        <w:t>). ويضيف آل مقبول وآخرون (2025) أن كفاءة الأداء في القطاع الصحي ترتبط ارتباطاً وثيقاً بمدى فاعلية الإدارة المالية في التعامل مع الأزمات وتقليل الهدر المالي (ص. 3010). وعليه؛ فإن تبني منهجيات واضحة لتشخيص المخاطر وتقييمها ومواجهتها يُسهم بشكل مباشر في تعزيز الاستقرار المالي للمؤسسات الصحية.</w:t>
      </w:r>
    </w:p>
    <w:p w14:paraId="0BCBC534"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 xml:space="preserve">وتتجلى العلاقة التكامليّة بين المتغيرين في أن إدارة المخاطر المالية تمثل السياج الحامي الذي يضمن تحقيق الاستدامة التشغيلية؛ إذ إن الفشل في التنبؤ بالمخاطر المالية قد يؤدي إلى تعثر العمليات التشغيلية وتراجع جودة الخدمة. ويشير </w:t>
      </w:r>
      <w:proofErr w:type="spellStart"/>
      <w:r w:rsidRPr="00D45150">
        <w:rPr>
          <w:rFonts w:ascii="Times New Roman" w:eastAsia="Calibri" w:hAnsi="Times New Roman" w:cs="Simplified Arabic"/>
          <w:sz w:val="24"/>
          <w:szCs w:val="28"/>
          <w:rtl/>
          <w:lang w:bidi="ar-EG"/>
        </w:rPr>
        <w:t>راكيتش</w:t>
      </w:r>
      <w:proofErr w:type="spellEnd"/>
      <w:r w:rsidRPr="00D45150">
        <w:rPr>
          <w:rFonts w:ascii="Times New Roman" w:eastAsia="Calibri" w:hAnsi="Times New Roman" w:cs="Simplified Arabic"/>
          <w:sz w:val="24"/>
          <w:szCs w:val="28"/>
          <w:rtl/>
          <w:lang w:bidi="ar-EG"/>
        </w:rPr>
        <w:t xml:space="preserve"> وآخرون (</w:t>
      </w:r>
      <w:r w:rsidRPr="00D45150">
        <w:rPr>
          <w:rFonts w:ascii="Times New Roman" w:eastAsia="Calibri" w:hAnsi="Times New Roman" w:cs="Simplified Arabic"/>
          <w:sz w:val="24"/>
          <w:szCs w:val="28"/>
        </w:rPr>
        <w:t>Rakic et al., 2021</w:t>
      </w:r>
      <w:r w:rsidRPr="00D45150">
        <w:rPr>
          <w:rFonts w:ascii="Times New Roman" w:eastAsia="Calibri" w:hAnsi="Times New Roman" w:cs="Simplified Arabic"/>
          <w:sz w:val="24"/>
          <w:szCs w:val="28"/>
          <w:rtl/>
          <w:lang w:bidi="ar-EG"/>
        </w:rPr>
        <w:t>) في دراستهم حول استراتيجيات الاستدامة المالية لمراكز الرعاية الصحية الأولية، إلى أن التخطيط المالي السليم وإدارة المخاطر هما الضامنان لاستمرارية تقديم الخدمات في ظل محدودية الموارد (</w:t>
      </w:r>
      <w:r w:rsidRPr="00D45150">
        <w:rPr>
          <w:rFonts w:ascii="Times New Roman" w:eastAsia="Calibri" w:hAnsi="Times New Roman" w:cs="Simplified Arabic"/>
          <w:sz w:val="24"/>
          <w:szCs w:val="28"/>
        </w:rPr>
        <w:t>p. 175</w:t>
      </w:r>
      <w:r w:rsidRPr="00D45150">
        <w:rPr>
          <w:rFonts w:ascii="Times New Roman" w:eastAsia="Calibri" w:hAnsi="Times New Roman" w:cs="Simplified Arabic"/>
          <w:sz w:val="24"/>
          <w:szCs w:val="28"/>
          <w:rtl/>
          <w:lang w:bidi="ar-EG"/>
        </w:rPr>
        <w:t>). وبهذا الصدد، فإن نجاح المراكز الصحية في أداء رسالتها يعتمد على قدرتها في تحويل تحديات المخاطر المالية إلى فرص تدعم استدامتها التشغيلية.</w:t>
      </w:r>
    </w:p>
    <w:p w14:paraId="2359033B"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 xml:space="preserve">وفي سياق بيئة الدراسة الحالية، تشهد المملكة العربية السعودية، وتحديداً منطقة عسير، حراكاً تطويرياً شاملاً ضمن رؤية 2030 التي تهدف إلى رفع كفاءة الإنفاق وتحسين جودة الخدمات </w:t>
      </w:r>
      <w:r w:rsidRPr="00D45150">
        <w:rPr>
          <w:rFonts w:ascii="Times New Roman" w:eastAsia="Calibri" w:hAnsi="Times New Roman" w:cs="Simplified Arabic"/>
          <w:sz w:val="24"/>
          <w:szCs w:val="28"/>
          <w:rtl/>
          <w:lang w:bidi="ar-EG"/>
        </w:rPr>
        <w:lastRenderedPageBreak/>
        <w:t>الصحية. ويؤكد حريصي وآخرون (</w:t>
      </w:r>
      <w:proofErr w:type="spellStart"/>
      <w:r w:rsidRPr="00D45150">
        <w:rPr>
          <w:rFonts w:ascii="Times New Roman" w:eastAsia="Calibri" w:hAnsi="Times New Roman" w:cs="Simplified Arabic"/>
          <w:sz w:val="24"/>
          <w:szCs w:val="28"/>
        </w:rPr>
        <w:t>Huraysi</w:t>
      </w:r>
      <w:proofErr w:type="spellEnd"/>
      <w:r w:rsidRPr="00D45150">
        <w:rPr>
          <w:rFonts w:ascii="Times New Roman" w:eastAsia="Calibri" w:hAnsi="Times New Roman" w:cs="Simplified Arabic"/>
          <w:sz w:val="24"/>
          <w:szCs w:val="28"/>
        </w:rPr>
        <w:t xml:space="preserve"> et al., 2023</w:t>
      </w:r>
      <w:r w:rsidRPr="00D45150">
        <w:rPr>
          <w:rFonts w:ascii="Times New Roman" w:eastAsia="Calibri" w:hAnsi="Times New Roman" w:cs="Simplified Arabic"/>
          <w:sz w:val="24"/>
          <w:szCs w:val="28"/>
          <w:rtl/>
          <w:lang w:bidi="ar-EG"/>
        </w:rPr>
        <w:t>) أن ضمان الاستدامة المالية للخدمات الصحية في المملكة يتطلب سياسات فاعلة لإدارة الموارد والمخاطر (</w:t>
      </w:r>
      <w:r w:rsidRPr="00D45150">
        <w:rPr>
          <w:rFonts w:ascii="Times New Roman" w:eastAsia="Calibri" w:hAnsi="Times New Roman" w:cs="Simplified Arabic"/>
          <w:sz w:val="24"/>
          <w:szCs w:val="28"/>
        </w:rPr>
        <w:t>p. 1040</w:t>
      </w:r>
      <w:r w:rsidRPr="00D45150">
        <w:rPr>
          <w:rFonts w:ascii="Times New Roman" w:eastAsia="Calibri" w:hAnsi="Times New Roman" w:cs="Simplified Arabic"/>
          <w:sz w:val="24"/>
          <w:szCs w:val="28"/>
          <w:rtl/>
          <w:lang w:bidi="ar-EG"/>
        </w:rPr>
        <w:t>). وتكتسب مدينة أبها خصوصية ديموغرافية وجغرافية تفرض تحديات تشغيلية إضافية على المراكز الصحية الأولية، مما يجعل الحاجة ماسة لتبني ممارسات رصينة في إدارة المخاطر المالية لضمان استمرارية خدماتها بكفاءة وفاعلية.</w:t>
      </w:r>
    </w:p>
    <w:p w14:paraId="28DDAFC6"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وتتطلع هذه الدراسة من خلال تناولها لهذا الموضوع، إلى تقديم نموذج إطاري يوضح كيف يمكن لممارسات إدارة المخاطر المالية أن تعزز من الاستدامة التشغيلية للمراكز الصحية في مدينة أبها، بما يسهم في دعم صانعي القرار لتبني سياسات وقائية تضمن استمرار التميز في تقديم الرعاية الصحية.</w:t>
      </w:r>
    </w:p>
    <w:p w14:paraId="5BAD0164" w14:textId="77777777" w:rsidR="00D45150" w:rsidRPr="00D45150" w:rsidRDefault="00D45150" w:rsidP="00D45150">
      <w:pPr>
        <w:spacing w:after="0" w:line="360" w:lineRule="auto"/>
        <w:ind w:firstLine="510"/>
        <w:jc w:val="both"/>
        <w:rPr>
          <w:rFonts w:ascii="Times New Roman" w:eastAsia="Calibri" w:hAnsi="Times New Roman" w:cs="Simplified Arabic"/>
          <w:b/>
          <w:bCs/>
          <w:sz w:val="24"/>
          <w:szCs w:val="28"/>
          <w:rtl/>
          <w:lang w:bidi="ar-EG"/>
        </w:rPr>
      </w:pPr>
      <w:r w:rsidRPr="00D45150">
        <w:rPr>
          <w:rFonts w:ascii="Times New Roman" w:eastAsia="Calibri" w:hAnsi="Times New Roman" w:cs="Simplified Arabic"/>
          <w:b/>
          <w:bCs/>
          <w:sz w:val="24"/>
          <w:szCs w:val="28"/>
        </w:rPr>
        <w:t>2</w:t>
      </w:r>
      <w:r w:rsidRPr="00D45150">
        <w:rPr>
          <w:rFonts w:ascii="Times New Roman" w:eastAsia="Calibri" w:hAnsi="Times New Roman" w:cs="Simplified Arabic"/>
          <w:b/>
          <w:bCs/>
          <w:sz w:val="24"/>
          <w:szCs w:val="28"/>
          <w:rtl/>
          <w:lang w:bidi="ar-EG"/>
        </w:rPr>
        <w:t>. مشكلة الدراسة:</w:t>
      </w:r>
    </w:p>
    <w:p w14:paraId="171B3797"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يواجه القطاع الصحي تحديات متزايدة تتعلق بضمان استمرارية الخدمات في ظل ارتفاع التكاليف التشغيلية وتقلبات الموارد المالية، مما يضع المراكز الصحية الأولية أمام ضغوط كبيرة للحفاظ على مستويات أداء مستقرة. وتتمثل الإشكالية الرئيسة في ضعف الجاهزية للتعامل مع المخاطر المالية المتوقعة وغير المتوقعة، الأمر الذي يهدد الاستدامة التشغيلية لهذه المراكز وقدرتها على تلبية احتياجات المجتمع المتنامية.</w:t>
      </w:r>
    </w:p>
    <w:p w14:paraId="0A3062AB"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ومن خلال تلمس الباحث لواقع المراكز الصحية الأولية في منطقة عسير بمدينة أبها، لوحظ وجود تباين في القدرة على التعامل مع الأزمات المالية، وقصور في تطبيق منهجيات علمية دقيقة لإدارة المخاطر، مما ينعكس سلباً على توافر المستلزمات الطبية، وصيانة المرافق، واستمرارية البرامج العلاجية. وهذا القصور قد لا يكون ناتجاً عن نقص الموارد فحسب، بل عن غياب استراتيجيات فعالة للتحوط المالي وإدارة المخاطر.</w:t>
      </w:r>
    </w:p>
    <w:p w14:paraId="7D45E02E"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lastRenderedPageBreak/>
        <w:t xml:space="preserve">وتؤيد الدراسات السابقة وجود هذه المشكلة، حيث أشار </w:t>
      </w:r>
      <w:proofErr w:type="spellStart"/>
      <w:r w:rsidRPr="00D45150">
        <w:rPr>
          <w:rFonts w:ascii="Times New Roman" w:eastAsia="Calibri" w:hAnsi="Times New Roman" w:cs="Simplified Arabic"/>
          <w:sz w:val="24"/>
          <w:szCs w:val="28"/>
          <w:rtl/>
          <w:lang w:bidi="ar-EG"/>
        </w:rPr>
        <w:t>إينوما</w:t>
      </w:r>
      <w:proofErr w:type="spellEnd"/>
      <w:r w:rsidRPr="00D45150">
        <w:rPr>
          <w:rFonts w:ascii="Times New Roman" w:eastAsia="Calibri" w:hAnsi="Times New Roman" w:cs="Simplified Arabic"/>
          <w:sz w:val="24"/>
          <w:szCs w:val="28"/>
          <w:rtl/>
          <w:lang w:bidi="ar-EG"/>
        </w:rPr>
        <w:t xml:space="preserve"> وتشانغ (</w:t>
      </w:r>
      <w:proofErr w:type="spellStart"/>
      <w:r w:rsidRPr="00D45150">
        <w:rPr>
          <w:rFonts w:ascii="Times New Roman" w:eastAsia="Calibri" w:hAnsi="Times New Roman" w:cs="Simplified Arabic"/>
          <w:sz w:val="24"/>
          <w:szCs w:val="28"/>
        </w:rPr>
        <w:t>Enumah</w:t>
      </w:r>
      <w:proofErr w:type="spellEnd"/>
      <w:r w:rsidRPr="00D45150">
        <w:rPr>
          <w:rFonts w:ascii="Times New Roman" w:eastAsia="Calibri" w:hAnsi="Times New Roman" w:cs="Simplified Arabic"/>
          <w:sz w:val="24"/>
          <w:szCs w:val="28"/>
        </w:rPr>
        <w:t xml:space="preserve"> &amp; Chang, 2021</w:t>
      </w:r>
      <w:r w:rsidRPr="00D45150">
        <w:rPr>
          <w:rFonts w:ascii="Times New Roman" w:eastAsia="Calibri" w:hAnsi="Times New Roman" w:cs="Simplified Arabic"/>
          <w:sz w:val="24"/>
          <w:szCs w:val="28"/>
          <w:rtl/>
          <w:lang w:bidi="ar-EG"/>
        </w:rPr>
        <w:t>) إلى أن الضائقة المالية تعد مؤشراً خطيراً يهدد بقاء المستشفيات وقدرتها على العمل (</w:t>
      </w:r>
      <w:r w:rsidRPr="00D45150">
        <w:rPr>
          <w:rFonts w:ascii="Times New Roman" w:eastAsia="Calibri" w:hAnsi="Times New Roman" w:cs="Simplified Arabic"/>
          <w:sz w:val="24"/>
          <w:szCs w:val="28"/>
        </w:rPr>
        <w:t>p. 255</w:t>
      </w:r>
      <w:r w:rsidRPr="00D45150">
        <w:rPr>
          <w:rFonts w:ascii="Times New Roman" w:eastAsia="Calibri" w:hAnsi="Times New Roman" w:cs="Simplified Arabic"/>
          <w:sz w:val="24"/>
          <w:szCs w:val="28"/>
          <w:rtl/>
          <w:lang w:bidi="ar-EG"/>
        </w:rPr>
        <w:t xml:space="preserve">). كما أوضحت دراسة طاهري </w:t>
      </w:r>
      <w:proofErr w:type="spellStart"/>
      <w:r w:rsidRPr="00D45150">
        <w:rPr>
          <w:rFonts w:ascii="Times New Roman" w:eastAsia="Calibri" w:hAnsi="Times New Roman" w:cs="Simplified Arabic"/>
          <w:sz w:val="24"/>
          <w:szCs w:val="28"/>
          <w:rtl/>
          <w:lang w:bidi="ar-EG"/>
        </w:rPr>
        <w:t>وكاهية</w:t>
      </w:r>
      <w:proofErr w:type="spellEnd"/>
      <w:r w:rsidRPr="00D45150">
        <w:rPr>
          <w:rFonts w:ascii="Times New Roman" w:eastAsia="Calibri" w:hAnsi="Times New Roman" w:cs="Simplified Arabic"/>
          <w:sz w:val="24"/>
          <w:szCs w:val="28"/>
          <w:rtl/>
          <w:lang w:bidi="ar-EG"/>
        </w:rPr>
        <w:t xml:space="preserve"> (2019) أن غياب إدارة فعالة للمخاطر في المؤسسات الصحية يؤدي إلى تفاقم المشكلات التشغيلية (ص. 310). علاوة على ذلك، بينت دراسة </w:t>
      </w:r>
      <w:proofErr w:type="spellStart"/>
      <w:r w:rsidRPr="00D45150">
        <w:rPr>
          <w:rFonts w:ascii="Times New Roman" w:eastAsia="Calibri" w:hAnsi="Times New Roman" w:cs="Simplified Arabic"/>
          <w:sz w:val="24"/>
          <w:szCs w:val="28"/>
          <w:rtl/>
          <w:lang w:bidi="ar-EG"/>
        </w:rPr>
        <w:t>دوباس-جاكوبزيك</w:t>
      </w:r>
      <w:proofErr w:type="spellEnd"/>
      <w:r w:rsidRPr="00D45150">
        <w:rPr>
          <w:rFonts w:ascii="Times New Roman" w:eastAsia="Calibri" w:hAnsi="Times New Roman" w:cs="Simplified Arabic"/>
          <w:sz w:val="24"/>
          <w:szCs w:val="28"/>
          <w:rtl/>
          <w:lang w:bidi="ar-EG"/>
        </w:rPr>
        <w:t xml:space="preserve"> </w:t>
      </w:r>
      <w:proofErr w:type="spellStart"/>
      <w:r w:rsidRPr="00D45150">
        <w:rPr>
          <w:rFonts w:ascii="Times New Roman" w:eastAsia="Calibri" w:hAnsi="Times New Roman" w:cs="Simplified Arabic"/>
          <w:sz w:val="24"/>
          <w:szCs w:val="28"/>
          <w:rtl/>
          <w:lang w:bidi="ar-EG"/>
        </w:rPr>
        <w:t>وكوزيل</w:t>
      </w:r>
      <w:proofErr w:type="spellEnd"/>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Dubas-</w:t>
      </w:r>
      <w:proofErr w:type="spellStart"/>
      <w:r w:rsidRPr="00D45150">
        <w:rPr>
          <w:rFonts w:ascii="Times New Roman" w:eastAsia="Calibri" w:hAnsi="Times New Roman" w:cs="Simplified Arabic"/>
          <w:sz w:val="24"/>
          <w:szCs w:val="28"/>
        </w:rPr>
        <w:t>Jakóbczyk</w:t>
      </w:r>
      <w:proofErr w:type="spellEnd"/>
      <w:r w:rsidRPr="00D45150">
        <w:rPr>
          <w:rFonts w:ascii="Times New Roman" w:eastAsia="Calibri" w:hAnsi="Times New Roman" w:cs="Simplified Arabic"/>
          <w:sz w:val="24"/>
          <w:szCs w:val="28"/>
        </w:rPr>
        <w:t xml:space="preserve"> &amp; Kozieł, 2020</w:t>
      </w:r>
      <w:r w:rsidRPr="00D45150">
        <w:rPr>
          <w:rFonts w:ascii="Times New Roman" w:eastAsia="Calibri" w:hAnsi="Times New Roman" w:cs="Simplified Arabic"/>
          <w:sz w:val="24"/>
          <w:szCs w:val="28"/>
          <w:rtl/>
          <w:lang w:bidi="ar-EG"/>
        </w:rPr>
        <w:t>) أن السياسات المالية غير المدروسة تؤثر سلباً على الاستدامة المالية والتشغيلية للمستشفيات (</w:t>
      </w:r>
      <w:r w:rsidRPr="00D45150">
        <w:rPr>
          <w:rFonts w:ascii="Times New Roman" w:eastAsia="Calibri" w:hAnsi="Times New Roman" w:cs="Simplified Arabic"/>
          <w:sz w:val="24"/>
          <w:szCs w:val="28"/>
        </w:rPr>
        <w:t>p. 10</w:t>
      </w:r>
      <w:r w:rsidRPr="00D45150">
        <w:rPr>
          <w:rFonts w:ascii="Times New Roman" w:eastAsia="Calibri" w:hAnsi="Times New Roman" w:cs="Simplified Arabic"/>
          <w:sz w:val="24"/>
          <w:szCs w:val="28"/>
          <w:rtl/>
          <w:lang w:bidi="ar-EG"/>
        </w:rPr>
        <w:t>). وتأسيساً على ما سبق، يمكن بلورة مشكلة الدراسة في التساؤل الرئيس الآتي: ما دور إدارة المخاطر المالية في تحقيق الاستدامة التشغيلية للمراكز الصحية الأولية في منطقة عسير بمدينة أبها؟</w:t>
      </w:r>
    </w:p>
    <w:p w14:paraId="7CB64F66"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b/>
          <w:bCs/>
          <w:sz w:val="24"/>
          <w:szCs w:val="28"/>
        </w:rPr>
        <w:t>3</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تساؤلات الدراسة</w:t>
      </w:r>
      <w:r w:rsidRPr="00D45150">
        <w:rPr>
          <w:rFonts w:ascii="Times New Roman" w:eastAsia="Calibri" w:hAnsi="Times New Roman" w:cs="Simplified Arabic"/>
          <w:b/>
          <w:bCs/>
          <w:sz w:val="24"/>
          <w:szCs w:val="28"/>
          <w:rtl/>
          <w:lang w:bidi="ar-EG"/>
        </w:rPr>
        <w:t>:</w:t>
      </w:r>
    </w:p>
    <w:p w14:paraId="791104A5"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انطلاقاً من التساؤل الرئيس، تتفرع الأسئلة الفرعية الآتية</w:t>
      </w:r>
      <w:r w:rsidRPr="00D45150">
        <w:rPr>
          <w:rFonts w:ascii="Times New Roman" w:eastAsia="Calibri" w:hAnsi="Times New Roman" w:cs="Simplified Arabic"/>
          <w:sz w:val="24"/>
          <w:szCs w:val="28"/>
          <w:rtl/>
          <w:lang w:bidi="ar-EG"/>
        </w:rPr>
        <w:t>:</w:t>
      </w:r>
    </w:p>
    <w:p w14:paraId="1CEC333E" w14:textId="77777777" w:rsidR="00D45150" w:rsidRPr="00D45150" w:rsidRDefault="00D45150" w:rsidP="00D45150">
      <w:pPr>
        <w:numPr>
          <w:ilvl w:val="0"/>
          <w:numId w:val="49"/>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السؤال الأول</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ما مستوى ممارسة إدارة المخاطر المالية بأبعادها (تشخيص المخاطر، تقييم المخاطر، مواجهة المخاطر) في المراكز الصحية الأولية بمنطقة عسير؟</w:t>
      </w:r>
    </w:p>
    <w:p w14:paraId="2C768A65" w14:textId="77777777" w:rsidR="00D45150" w:rsidRPr="00D45150" w:rsidRDefault="00D45150" w:rsidP="00D45150">
      <w:pPr>
        <w:numPr>
          <w:ilvl w:val="0"/>
          <w:numId w:val="49"/>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السؤال الثاني</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ما مستوى تحقيق الاستدامة التشغيلية بأبعادها المختلفة في المراكز الصحية الأولية بمنطقة عسير؟</w:t>
      </w:r>
    </w:p>
    <w:p w14:paraId="5AA8195C" w14:textId="77777777" w:rsidR="00D45150" w:rsidRPr="00D45150" w:rsidRDefault="00D45150" w:rsidP="00D45150">
      <w:pPr>
        <w:numPr>
          <w:ilvl w:val="0"/>
          <w:numId w:val="49"/>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السؤال الثالث</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ما طبيعة العلاقة بين إدارة المخاطر المالية والاستدامة التشغيلية في المراكز الصحية الأولية بمنطقة عسير؟</w:t>
      </w:r>
    </w:p>
    <w:p w14:paraId="7DE1C200" w14:textId="77777777" w:rsidR="00D45150" w:rsidRPr="00D45150" w:rsidRDefault="00D45150" w:rsidP="00D45150">
      <w:pPr>
        <w:numPr>
          <w:ilvl w:val="0"/>
          <w:numId w:val="49"/>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السؤال الرابع</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ما دور إدارة المخاطر المالية بأبعادها (تشخيص المخاطر، تقييم المخاطر، مواجهة المخاطر) في تحقيق الاستدامة التشغيلية للمراكز الصحية الأولية بمنطقة عسير؟</w:t>
      </w:r>
    </w:p>
    <w:p w14:paraId="58DC6333"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وينبثق منه أسئلة فرعية تقيس دور كل بُعد من أبعاد المتغير المستقل في المتغير التابع</w:t>
      </w:r>
      <w:r w:rsidRPr="00D45150">
        <w:rPr>
          <w:rFonts w:ascii="Times New Roman" w:eastAsia="Calibri" w:hAnsi="Times New Roman" w:cs="Simplified Arabic"/>
          <w:sz w:val="24"/>
          <w:szCs w:val="28"/>
          <w:rtl/>
          <w:lang w:bidi="ar-EG"/>
        </w:rPr>
        <w:t>. هي:</w:t>
      </w:r>
    </w:p>
    <w:p w14:paraId="19D67645" w14:textId="77777777" w:rsidR="00D45150" w:rsidRPr="00D45150" w:rsidRDefault="00D45150" w:rsidP="00D45150">
      <w:pPr>
        <w:numPr>
          <w:ilvl w:val="1"/>
          <w:numId w:val="49"/>
        </w:numPr>
        <w:tabs>
          <w:tab w:val="clear" w:pos="1440"/>
          <w:tab w:val="num" w:pos="935"/>
        </w:tabs>
        <w:spacing w:after="0" w:line="360" w:lineRule="auto"/>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lastRenderedPageBreak/>
        <w:t>ما دور بُعد تشخيص المخاطر المالية في تحقيق الاستدامة التشغيلية للمراكز الصحية الأولية بمنطقة عسير؟</w:t>
      </w:r>
    </w:p>
    <w:p w14:paraId="5383E744" w14:textId="77777777" w:rsidR="00D45150" w:rsidRPr="00D45150" w:rsidRDefault="00D45150" w:rsidP="00D45150">
      <w:pPr>
        <w:numPr>
          <w:ilvl w:val="1"/>
          <w:numId w:val="49"/>
        </w:numPr>
        <w:tabs>
          <w:tab w:val="clear" w:pos="1440"/>
          <w:tab w:val="num" w:pos="935"/>
        </w:tabs>
        <w:spacing w:after="0" w:line="360" w:lineRule="auto"/>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sz w:val="24"/>
          <w:szCs w:val="28"/>
          <w:rtl/>
          <w:lang w:bidi="ar-EG"/>
        </w:rPr>
        <w:t>ما دور بُعد تقييم المخاطر المالية في تحقيق الاستدامة التشغيلية للمراكز الصحية الأولية بمنطقة عسير؟</w:t>
      </w:r>
    </w:p>
    <w:p w14:paraId="064C105F" w14:textId="77777777" w:rsidR="00D45150" w:rsidRPr="00D45150" w:rsidRDefault="00D45150" w:rsidP="00D45150">
      <w:pPr>
        <w:numPr>
          <w:ilvl w:val="1"/>
          <w:numId w:val="49"/>
        </w:numPr>
        <w:tabs>
          <w:tab w:val="clear" w:pos="1440"/>
          <w:tab w:val="num" w:pos="935"/>
        </w:tabs>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lang w:bidi="ar-EG"/>
        </w:rPr>
        <w:t>ما دور بُعد مواجهة المخاطر المالية في تحقيق الاستدامة التشغيلية للمراكز الصحية الأولية؟</w:t>
      </w:r>
    </w:p>
    <w:p w14:paraId="2F1CB8DF"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b/>
          <w:bCs/>
          <w:sz w:val="24"/>
          <w:szCs w:val="28"/>
        </w:rPr>
        <w:t>4</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أهمية الدراسة</w:t>
      </w:r>
      <w:r w:rsidRPr="00D45150">
        <w:rPr>
          <w:rFonts w:ascii="Times New Roman" w:eastAsia="Calibri" w:hAnsi="Times New Roman" w:cs="Simplified Arabic"/>
          <w:b/>
          <w:bCs/>
          <w:sz w:val="24"/>
          <w:szCs w:val="28"/>
          <w:rtl/>
          <w:lang w:bidi="ar-EG"/>
        </w:rPr>
        <w:t>:</w:t>
      </w:r>
    </w:p>
    <w:p w14:paraId="7BED0ADD"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تنبثق أهمية هذه الدراسة من اعتبارات متعددة يمكن تصنيفها على النحو الآتي:</w:t>
      </w:r>
    </w:p>
    <w:p w14:paraId="4FC6C7E8"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أولاً: الأهمية العلمية</w:t>
      </w:r>
    </w:p>
    <w:p w14:paraId="17EFE06E" w14:textId="77777777" w:rsidR="00D45150" w:rsidRPr="00D45150" w:rsidRDefault="00D45150" w:rsidP="00D45150">
      <w:pPr>
        <w:numPr>
          <w:ilvl w:val="0"/>
          <w:numId w:val="8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 تُسهم الدراسة في سد النقص الملحوظ في الأدبيات العربية التي تتناول العلاقة البينية بين "إدارة المخاطر المالية" و"الاستدامة التشغيلية</w:t>
      </w:r>
      <w:r w:rsidRPr="00D45150">
        <w:rPr>
          <w:rFonts w:ascii="Times New Roman" w:eastAsia="Calibri" w:hAnsi="Times New Roman" w:cs="Simplified Arabic"/>
          <w:sz w:val="24"/>
          <w:szCs w:val="28"/>
        </w:rPr>
        <w:t>"</w:t>
      </w:r>
      <w:r w:rsidRPr="00D45150">
        <w:rPr>
          <w:rFonts w:ascii="Times New Roman" w:eastAsia="Calibri" w:hAnsi="Times New Roman" w:cs="Simplified Arabic"/>
          <w:sz w:val="24"/>
          <w:szCs w:val="28"/>
          <w:rtl/>
        </w:rPr>
        <w:t xml:space="preserve"> تحديداً في قطاع الرعاية الصحية الأولية، مما يوفر تأصيلاً نظرياً حديثاً لهذه العلاقة.</w:t>
      </w:r>
    </w:p>
    <w:p w14:paraId="6881AAEF" w14:textId="77777777" w:rsidR="00D45150" w:rsidRPr="00D45150" w:rsidRDefault="00D45150" w:rsidP="00D45150">
      <w:pPr>
        <w:numPr>
          <w:ilvl w:val="0"/>
          <w:numId w:val="8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 تعمل الدراسة على إثراء المكتبة الأكاديمية من خلال تفكيك مفهوم إدارة المخاطر المالية إلى أبعاد إجرائية دقيقة (التشخيص، التقييم، المواجهة) واختبار فاعليتها في بيئة صحية حكومية، مما يفتح آفاقاً بحثية جديدة لدراسات مماثلة.</w:t>
      </w:r>
    </w:p>
    <w:p w14:paraId="51877DE5" w14:textId="77777777" w:rsidR="00D45150" w:rsidRPr="00D45150" w:rsidRDefault="00D45150" w:rsidP="00D45150">
      <w:pPr>
        <w:numPr>
          <w:ilvl w:val="0"/>
          <w:numId w:val="8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تضع هذه الدراسة بين أيدي الباحثين وطلاب الدراسات العليا إطاراً مرجعياً حديثاً وموثقاً يدمج بين النظريات المالية والإدارية وتطبيقاتها في القطاع الصحي، مما يمكن الاستناد إليه في الدراسات المستقبلية ذات الصلة.</w:t>
      </w:r>
    </w:p>
    <w:p w14:paraId="55F5A9AF"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ثانياً: الأهمية العملية</w:t>
      </w:r>
    </w:p>
    <w:p w14:paraId="4C7B8334" w14:textId="77777777" w:rsidR="00D45150" w:rsidRPr="00D45150" w:rsidRDefault="00D45150" w:rsidP="00D45150">
      <w:pPr>
        <w:numPr>
          <w:ilvl w:val="0"/>
          <w:numId w:val="8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lastRenderedPageBreak/>
        <w:t>تضع الدراسة أمام أنظار القيادات الإدارية وصناع القرار في الشؤون الصحية بمنطقة عسير نتائج ميدانية واقعية، تساعدهم في صياغة سياسات مالية أكثر تحوطاً ومرونة للتعامل مع الأزمات المحتملة.</w:t>
      </w:r>
    </w:p>
    <w:p w14:paraId="3965398F" w14:textId="77777777" w:rsidR="00D45150" w:rsidRPr="00D45150" w:rsidRDefault="00D45150" w:rsidP="00D45150">
      <w:pPr>
        <w:numPr>
          <w:ilvl w:val="0"/>
          <w:numId w:val="8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تُقدم الدراسة آليات مقترحة لتحسين استغلال الموارد المتاحة وتقليل الهدر المالي، مما ينعكس إيجاباً على الكفاءة التشغيلية للمراكز الصحية ويضمن استمرارية تقديم الخدمات للمستفيدين دون انقطاع.</w:t>
      </w:r>
    </w:p>
    <w:p w14:paraId="7B5DEA5A" w14:textId="77777777" w:rsidR="00D45150" w:rsidRPr="00D45150" w:rsidRDefault="00D45150" w:rsidP="00D45150">
      <w:pPr>
        <w:numPr>
          <w:ilvl w:val="0"/>
          <w:numId w:val="8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 تساعد التوصيات الإجرائية التي ستقدمها الدراسة مديري المراكز الصحية على الانتقال من الأساليب التقليدية في الإدارة المالية إلى أساليب أكثر احترافية تعتمد على التنبؤ والتحليل المسبق للمخاطر.</w:t>
      </w:r>
    </w:p>
    <w:p w14:paraId="5CF482DE"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ثالثاً: القيمة المضافة</w:t>
      </w:r>
    </w:p>
    <w:p w14:paraId="2B4D6860" w14:textId="77777777" w:rsidR="00D45150" w:rsidRPr="00D45150" w:rsidRDefault="00D45150" w:rsidP="00D45150">
      <w:pPr>
        <w:numPr>
          <w:ilvl w:val="0"/>
          <w:numId w:val="88"/>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تتميز الدراسة بتطوير مقياس علمي (استبانة) تم التحقق من خصائصه </w:t>
      </w:r>
      <w:proofErr w:type="spellStart"/>
      <w:r w:rsidRPr="00D45150">
        <w:rPr>
          <w:rFonts w:ascii="Times New Roman" w:eastAsia="Calibri" w:hAnsi="Times New Roman" w:cs="Simplified Arabic"/>
          <w:sz w:val="24"/>
          <w:szCs w:val="28"/>
          <w:rtl/>
        </w:rPr>
        <w:t>السيكومترية</w:t>
      </w:r>
      <w:proofErr w:type="spellEnd"/>
      <w:r w:rsidRPr="00D45150">
        <w:rPr>
          <w:rFonts w:ascii="Times New Roman" w:eastAsia="Calibri" w:hAnsi="Times New Roman" w:cs="Simplified Arabic"/>
          <w:sz w:val="24"/>
          <w:szCs w:val="28"/>
          <w:rtl/>
        </w:rPr>
        <w:t xml:space="preserve"> ليتناسب مع البيئة المحلية، مما يتيح استخدامه كأداة تشخيصية معيارية لتقييم أداء المراكز الصحية في مناطق أخرى من المملكة.</w:t>
      </w:r>
    </w:p>
    <w:p w14:paraId="53A9E9AA" w14:textId="77777777" w:rsidR="00D45150" w:rsidRPr="00D45150" w:rsidRDefault="00D45150" w:rsidP="00D45150">
      <w:pPr>
        <w:numPr>
          <w:ilvl w:val="0"/>
          <w:numId w:val="88"/>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 تكتسب الدراسة قيمتها من تركيزها على "المراكز الصحية الأولية" التي تُعد حجر الأساس في رؤية المملكة 2030 للتحول الصحي، بخلاف غالبية الدراسات التي ركزت على المستشفيات الكبرى، مما يمنح نتائجها خصوصية وعمقاً فريدين.</w:t>
      </w:r>
    </w:p>
    <w:p w14:paraId="387600D7" w14:textId="77777777" w:rsidR="00D45150" w:rsidRPr="00D45150" w:rsidRDefault="00D45150" w:rsidP="00D45150">
      <w:pPr>
        <w:numPr>
          <w:ilvl w:val="0"/>
          <w:numId w:val="88"/>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تتجاوز الدراسة الطرح النظري المجرد لتقدم نموذجاً تطبيقياً يفسر بالأرقام والدلالات الإحصائية حجم تأثير كل بُعد من أبعاد المخاطر في الاستدامة، مما يوفر خارطة طريق واضحة للتطوير المؤسسي.</w:t>
      </w:r>
    </w:p>
    <w:p w14:paraId="220B0908"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b/>
          <w:bCs/>
          <w:sz w:val="24"/>
          <w:szCs w:val="28"/>
        </w:rPr>
        <w:t>5</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أهداف الدراسة</w:t>
      </w:r>
      <w:r w:rsidRPr="00D45150">
        <w:rPr>
          <w:rFonts w:ascii="Times New Roman" w:eastAsia="Calibri" w:hAnsi="Times New Roman" w:cs="Simplified Arabic"/>
          <w:b/>
          <w:bCs/>
          <w:sz w:val="24"/>
          <w:szCs w:val="28"/>
          <w:rtl/>
          <w:lang w:bidi="ar-EG"/>
        </w:rPr>
        <w:t>:</w:t>
      </w:r>
    </w:p>
    <w:p w14:paraId="1C6631FA"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lastRenderedPageBreak/>
        <w:t>تهدف الدراسة بشكل عام إلى الكشف عن دور إدارة المخاطر المالية في تحقيق الاستدامة التشغيلية للمراكز الصحية الأولية بمنطقة عسير، وينبثق من هذا الهدف الأهداف الفرعية الآتية</w:t>
      </w:r>
      <w:r w:rsidRPr="00D45150">
        <w:rPr>
          <w:rFonts w:ascii="Times New Roman" w:eastAsia="Calibri" w:hAnsi="Times New Roman" w:cs="Simplified Arabic"/>
          <w:sz w:val="24"/>
          <w:szCs w:val="28"/>
          <w:rtl/>
          <w:lang w:bidi="ar-EG"/>
        </w:rPr>
        <w:t>:</w:t>
      </w:r>
    </w:p>
    <w:p w14:paraId="179814E5" w14:textId="77777777" w:rsidR="00D45150" w:rsidRPr="00D45150" w:rsidRDefault="00D45150" w:rsidP="00D45150">
      <w:pPr>
        <w:numPr>
          <w:ilvl w:val="0"/>
          <w:numId w:val="51"/>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التعرف على واقع ممارسة إدارة المخاطر المالية في المراكز الصحية الأولية بمدينة أبها</w:t>
      </w:r>
      <w:r w:rsidRPr="00D45150">
        <w:rPr>
          <w:rFonts w:ascii="Times New Roman" w:eastAsia="Calibri" w:hAnsi="Times New Roman" w:cs="Simplified Arabic"/>
          <w:sz w:val="24"/>
          <w:szCs w:val="28"/>
          <w:rtl/>
          <w:lang w:bidi="ar-EG"/>
        </w:rPr>
        <w:t>.</w:t>
      </w:r>
    </w:p>
    <w:p w14:paraId="40665D33" w14:textId="77777777" w:rsidR="00D45150" w:rsidRPr="00D45150" w:rsidRDefault="00D45150" w:rsidP="00D45150">
      <w:pPr>
        <w:numPr>
          <w:ilvl w:val="0"/>
          <w:numId w:val="51"/>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تحديد مستوى الاستدامة التشغيلية المتوفر لدى المراكز الصحية الأولية محل الدراسة</w:t>
      </w:r>
      <w:r w:rsidRPr="00D45150">
        <w:rPr>
          <w:rFonts w:ascii="Times New Roman" w:eastAsia="Calibri" w:hAnsi="Times New Roman" w:cs="Simplified Arabic"/>
          <w:sz w:val="24"/>
          <w:szCs w:val="28"/>
          <w:rtl/>
          <w:lang w:bidi="ar-EG"/>
        </w:rPr>
        <w:t>.</w:t>
      </w:r>
    </w:p>
    <w:p w14:paraId="3212365C" w14:textId="77777777" w:rsidR="00D45150" w:rsidRPr="00D45150" w:rsidRDefault="00D45150" w:rsidP="00D45150">
      <w:pPr>
        <w:numPr>
          <w:ilvl w:val="0"/>
          <w:numId w:val="51"/>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الكشف عن طبيعة العلاقة الارتباطية بين إدارة المخاطر المالية والاستدامة التشغيلية</w:t>
      </w:r>
      <w:r w:rsidRPr="00D45150">
        <w:rPr>
          <w:rFonts w:ascii="Times New Roman" w:eastAsia="Calibri" w:hAnsi="Times New Roman" w:cs="Simplified Arabic"/>
          <w:sz w:val="24"/>
          <w:szCs w:val="28"/>
          <w:rtl/>
          <w:lang w:bidi="ar-EG"/>
        </w:rPr>
        <w:t>.</w:t>
      </w:r>
    </w:p>
    <w:p w14:paraId="7FBC302C" w14:textId="77777777" w:rsidR="00D45150" w:rsidRPr="00D45150" w:rsidRDefault="00D45150" w:rsidP="00D45150">
      <w:pPr>
        <w:numPr>
          <w:ilvl w:val="0"/>
          <w:numId w:val="51"/>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قياس دور أبعاد إدارة المخاطر المالية في تعزيز الاستدامة التشغيلية للمراكز الصحية الأولية</w:t>
      </w:r>
      <w:r w:rsidRPr="00D45150">
        <w:rPr>
          <w:rFonts w:ascii="Times New Roman" w:eastAsia="Calibri" w:hAnsi="Times New Roman" w:cs="Simplified Arabic"/>
          <w:sz w:val="24"/>
          <w:szCs w:val="28"/>
          <w:rtl/>
          <w:lang w:bidi="ar-EG"/>
        </w:rPr>
        <w:t>.</w:t>
      </w:r>
    </w:p>
    <w:p w14:paraId="7191167F"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Pr>
        <w:t>6</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متغيرات وأبعاد الدراسة</w:t>
      </w:r>
      <w:r w:rsidRPr="00D45150">
        <w:rPr>
          <w:rFonts w:ascii="Times New Roman" w:eastAsia="Calibri" w:hAnsi="Times New Roman" w:cs="Simplified Arabic"/>
          <w:b/>
          <w:bCs/>
          <w:sz w:val="24"/>
          <w:szCs w:val="28"/>
          <w:rtl/>
          <w:lang w:bidi="ar-EG"/>
        </w:rPr>
        <w:t>:</w:t>
      </w:r>
    </w:p>
    <w:p w14:paraId="6618F28E" w14:textId="77777777" w:rsidR="00D45150" w:rsidRPr="00D45150" w:rsidRDefault="00D45150" w:rsidP="00D45150">
      <w:pPr>
        <w:numPr>
          <w:ilvl w:val="0"/>
          <w:numId w:val="5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المتغير المستقل (إدارة المخاطر المالية)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ويتم قياسه من خلال الأبعاد الآتية: (تشخيص المخاطر المالية، تقييم وتحليل المخاطر المالية، مواجهة المخاطر المالية)</w:t>
      </w:r>
      <w:r w:rsidRPr="00D45150">
        <w:rPr>
          <w:rFonts w:ascii="Times New Roman" w:eastAsia="Calibri" w:hAnsi="Times New Roman" w:cs="Simplified Arabic"/>
          <w:sz w:val="24"/>
          <w:szCs w:val="28"/>
          <w:rtl/>
          <w:lang w:bidi="ar-EG"/>
        </w:rPr>
        <w:t>.</w:t>
      </w:r>
    </w:p>
    <w:p w14:paraId="661E2B7E" w14:textId="77777777" w:rsidR="00D45150" w:rsidRPr="00D45150" w:rsidRDefault="00D45150" w:rsidP="00D45150">
      <w:pPr>
        <w:numPr>
          <w:ilvl w:val="0"/>
          <w:numId w:val="5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المتغير التابع (الاستدامة التشغيلية)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ويتم قياسه من خلال الأبعاد الآتية: (استمرارية الخدمة، كفاءة الموارد التشغيلية)</w:t>
      </w:r>
      <w:r w:rsidRPr="00D45150">
        <w:rPr>
          <w:rFonts w:ascii="Times New Roman" w:eastAsia="Calibri" w:hAnsi="Times New Roman" w:cs="Simplified Arabic"/>
          <w:sz w:val="24"/>
          <w:szCs w:val="28"/>
          <w:rtl/>
          <w:lang w:bidi="ar-EG"/>
        </w:rPr>
        <w:t>.</w:t>
      </w:r>
    </w:p>
    <w:p w14:paraId="2E776EEB"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b/>
          <w:bCs/>
          <w:sz w:val="24"/>
          <w:szCs w:val="28"/>
        </w:rPr>
        <w:t>7</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فرضيات الدراسة</w:t>
      </w:r>
      <w:r w:rsidRPr="00D45150">
        <w:rPr>
          <w:rFonts w:ascii="Times New Roman" w:eastAsia="Calibri" w:hAnsi="Times New Roman" w:cs="Simplified Arabic"/>
          <w:b/>
          <w:bCs/>
          <w:sz w:val="24"/>
          <w:szCs w:val="28"/>
          <w:rtl/>
          <w:lang w:bidi="ar-EG"/>
        </w:rPr>
        <w:t>:</w:t>
      </w:r>
    </w:p>
    <w:p w14:paraId="36E707A9"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استناداً إلى مشكلة الدراسة وأهدافها، تم صياغة الفرضية الرئيسة الآتية</w:t>
      </w:r>
      <w:r w:rsidRPr="00D45150">
        <w:rPr>
          <w:rFonts w:ascii="Times New Roman" w:eastAsia="Calibri" w:hAnsi="Times New Roman" w:cs="Simplified Arabic"/>
          <w:sz w:val="24"/>
          <w:szCs w:val="28"/>
          <w:rtl/>
          <w:lang w:bidi="ar-EG"/>
        </w:rPr>
        <w:t>:</w:t>
      </w:r>
    </w:p>
    <w:p w14:paraId="581DB383" w14:textId="77777777" w:rsidR="00D45150" w:rsidRPr="00D45150" w:rsidRDefault="00D45150" w:rsidP="00D45150">
      <w:pPr>
        <w:numPr>
          <w:ilvl w:val="0"/>
          <w:numId w:val="53"/>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الفرضية الرئيسة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يوجد دور ذو دلالة إحصائية لإدارة المخاطر المالية بأبعادها (تشخيص المخاطر، تقييم وتحليل المخاطر، مواجهة المخاطر) في تحقيق الاستدامة التشغيلية للمراكز الصحية الأولية بمنطقة عسير عند مستوى دلالة</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α ≤ 0.05</w:t>
      </w:r>
      <w:r w:rsidRPr="00D45150">
        <w:rPr>
          <w:rFonts w:ascii="Times New Roman" w:eastAsia="Calibri" w:hAnsi="Times New Roman" w:cs="Simplified Arabic"/>
          <w:sz w:val="24"/>
          <w:szCs w:val="28"/>
          <w:rtl/>
          <w:lang w:bidi="ar-EG"/>
        </w:rPr>
        <w:t>).</w:t>
      </w:r>
    </w:p>
    <w:p w14:paraId="067C8F9F" w14:textId="77777777" w:rsidR="00D45150" w:rsidRPr="00D45150" w:rsidRDefault="00D45150" w:rsidP="00D45150">
      <w:pPr>
        <w:numPr>
          <w:ilvl w:val="1"/>
          <w:numId w:val="53"/>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الفرضية الفرعية الأولى</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يوجد دور ذو دلالة إحصائية لبُعد تشخيص المخاطر المالية في تحقيق الاستدامة التشغيلية</w:t>
      </w:r>
      <w:r w:rsidRPr="00D45150">
        <w:rPr>
          <w:rFonts w:ascii="Times New Roman" w:eastAsia="Calibri" w:hAnsi="Times New Roman" w:cs="Simplified Arabic"/>
          <w:sz w:val="24"/>
          <w:szCs w:val="28"/>
          <w:rtl/>
          <w:lang w:bidi="ar-EG"/>
        </w:rPr>
        <w:t>.</w:t>
      </w:r>
    </w:p>
    <w:p w14:paraId="739E70DE" w14:textId="77777777" w:rsidR="00D45150" w:rsidRPr="00D45150" w:rsidRDefault="00D45150" w:rsidP="00D45150">
      <w:pPr>
        <w:numPr>
          <w:ilvl w:val="1"/>
          <w:numId w:val="53"/>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lastRenderedPageBreak/>
        <w:t>الفرضية الفرعية الثانية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يوجد دور ذو دلالة إحصائية لبُعد تقييم وتحليل المخاطر المالية في تحقيق الاستدامة التشغيلية</w:t>
      </w:r>
      <w:r w:rsidRPr="00D45150">
        <w:rPr>
          <w:rFonts w:ascii="Times New Roman" w:eastAsia="Calibri" w:hAnsi="Times New Roman" w:cs="Simplified Arabic"/>
          <w:sz w:val="24"/>
          <w:szCs w:val="28"/>
          <w:rtl/>
          <w:lang w:bidi="ar-EG"/>
        </w:rPr>
        <w:t>.</w:t>
      </w:r>
    </w:p>
    <w:p w14:paraId="205CF800" w14:textId="77777777" w:rsidR="00D45150" w:rsidRPr="00D45150" w:rsidRDefault="00D45150" w:rsidP="00D45150">
      <w:pPr>
        <w:numPr>
          <w:ilvl w:val="1"/>
          <w:numId w:val="53"/>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الفرضية الفرعية الثالثة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يوجد دور ذو دلالة إحصائية لبُعد مواجهة المخاطر المالية في تحقيق الاستدامة التشغيلية</w:t>
      </w:r>
      <w:r w:rsidRPr="00D45150">
        <w:rPr>
          <w:rFonts w:ascii="Times New Roman" w:eastAsia="Calibri" w:hAnsi="Times New Roman" w:cs="Simplified Arabic"/>
          <w:sz w:val="24"/>
          <w:szCs w:val="28"/>
          <w:rtl/>
          <w:lang w:bidi="ar-EG"/>
        </w:rPr>
        <w:t>.</w:t>
      </w:r>
    </w:p>
    <w:p w14:paraId="29A2DB83"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tl/>
          <w:lang w:bidi="ar-EG"/>
        </w:rPr>
      </w:pPr>
      <w:r w:rsidRPr="00D45150">
        <w:rPr>
          <w:rFonts w:ascii="Times New Roman" w:eastAsia="Calibri" w:hAnsi="Times New Roman" w:cs="Simplified Arabic"/>
          <w:b/>
          <w:bCs/>
          <w:sz w:val="24"/>
          <w:szCs w:val="28"/>
        </w:rPr>
        <w:t>8</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tl/>
        </w:rPr>
        <w:t>حدود الدراسة</w:t>
      </w:r>
      <w:r w:rsidRPr="00D45150">
        <w:rPr>
          <w:rFonts w:ascii="Times New Roman" w:eastAsia="Calibri" w:hAnsi="Times New Roman" w:cs="Simplified Arabic"/>
          <w:b/>
          <w:bCs/>
          <w:sz w:val="24"/>
          <w:szCs w:val="28"/>
          <w:rtl/>
          <w:lang w:bidi="ar-EG"/>
        </w:rPr>
        <w:t>:</w:t>
      </w:r>
    </w:p>
    <w:p w14:paraId="67CBFD50"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اقتصرت الدراسة الحالية على الحدود الآتية</w:t>
      </w:r>
      <w:r w:rsidRPr="00D45150">
        <w:rPr>
          <w:rFonts w:ascii="Times New Roman" w:eastAsia="Calibri" w:hAnsi="Times New Roman" w:cs="Simplified Arabic"/>
          <w:sz w:val="24"/>
          <w:szCs w:val="28"/>
          <w:rtl/>
          <w:lang w:bidi="ar-EG"/>
        </w:rPr>
        <w:t>:</w:t>
      </w:r>
    </w:p>
    <w:p w14:paraId="17C1E645" w14:textId="77777777" w:rsidR="00D45150" w:rsidRPr="00D45150" w:rsidRDefault="00D45150" w:rsidP="00D45150">
      <w:pPr>
        <w:numPr>
          <w:ilvl w:val="0"/>
          <w:numId w:val="8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الحدود العلمية (الموضوعية)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اقتصرت الدراسة على تناول متغير "إدارة المخاطر المالية" كمتغير مستقل بأبعاده (تشخيص المخاطر، تقييم وتحليل المخاطر، مواجهة المخاطر)، ومتغير "الاستدامة التشغيلية" كمتغير تابع بأبعاده (استمرارية الخدمة، كفاءة الموارد التشغيلية)</w:t>
      </w:r>
      <w:r w:rsidRPr="00D45150">
        <w:rPr>
          <w:rFonts w:ascii="Times New Roman" w:eastAsia="Calibri" w:hAnsi="Times New Roman" w:cs="Simplified Arabic"/>
          <w:sz w:val="24"/>
          <w:szCs w:val="28"/>
          <w:rtl/>
          <w:lang w:bidi="ar-EG"/>
        </w:rPr>
        <w:t>.</w:t>
      </w:r>
    </w:p>
    <w:p w14:paraId="04AB9061" w14:textId="77777777" w:rsidR="00D45150" w:rsidRPr="00D45150" w:rsidRDefault="00D45150" w:rsidP="00D45150">
      <w:pPr>
        <w:numPr>
          <w:ilvl w:val="0"/>
          <w:numId w:val="8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الحدود المكانية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طُبقت الدراسة ميدانياً على المراكز الصحية الأولية الحكومية الواقعة في نطاق مدينة أبها بمنطقة عسير في المملكة العربية السعودية</w:t>
      </w:r>
      <w:r w:rsidRPr="00D45150">
        <w:rPr>
          <w:rFonts w:ascii="Times New Roman" w:eastAsia="Calibri" w:hAnsi="Times New Roman" w:cs="Simplified Arabic"/>
          <w:sz w:val="24"/>
          <w:szCs w:val="28"/>
          <w:rtl/>
          <w:lang w:bidi="ar-EG"/>
        </w:rPr>
        <w:t>.</w:t>
      </w:r>
    </w:p>
    <w:p w14:paraId="44CE8C44" w14:textId="77777777" w:rsidR="00D45150" w:rsidRPr="00D45150" w:rsidRDefault="00D45150" w:rsidP="00D45150">
      <w:pPr>
        <w:numPr>
          <w:ilvl w:val="0"/>
          <w:numId w:val="8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الحدود البشرية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تمثلت عينة الدراسة في القيادات الإدارية والمالية، ومديري المراكز، ورؤساء الأقسام، والمحاسبين العاملين في تلك المراكز</w:t>
      </w:r>
      <w:r w:rsidRPr="00D45150">
        <w:rPr>
          <w:rFonts w:ascii="Times New Roman" w:eastAsia="Calibri" w:hAnsi="Times New Roman" w:cs="Simplified Arabic"/>
          <w:sz w:val="24"/>
          <w:szCs w:val="28"/>
          <w:rtl/>
          <w:lang w:bidi="ar-EG"/>
        </w:rPr>
        <w:t>.</w:t>
      </w:r>
    </w:p>
    <w:p w14:paraId="42E7DAEE" w14:textId="77777777" w:rsidR="00D45150" w:rsidRPr="00D45150" w:rsidRDefault="00D45150" w:rsidP="00D45150">
      <w:pPr>
        <w:numPr>
          <w:ilvl w:val="0"/>
          <w:numId w:val="82"/>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الحدود الزمنية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تم تطبيق الدراسة ميدانياً وجمع البيانات خلال (شهر أكتوبر 2025م)</w:t>
      </w:r>
      <w:r w:rsidRPr="00D45150">
        <w:rPr>
          <w:rFonts w:ascii="Times New Roman" w:eastAsia="Calibri" w:hAnsi="Times New Roman" w:cs="Simplified Arabic"/>
          <w:sz w:val="24"/>
          <w:szCs w:val="28"/>
          <w:rtl/>
          <w:lang w:bidi="ar-EG"/>
        </w:rPr>
        <w:t>.</w:t>
      </w:r>
    </w:p>
    <w:p w14:paraId="53C6A836"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9.المفاهيم الاصطلاحية والإجرائية</w:t>
      </w:r>
      <w:r w:rsidRPr="00D45150">
        <w:rPr>
          <w:rFonts w:ascii="Times New Roman" w:eastAsia="Calibri" w:hAnsi="Times New Roman" w:cs="Simplified Arabic"/>
          <w:b/>
          <w:bCs/>
          <w:sz w:val="24"/>
          <w:szCs w:val="28"/>
          <w:rtl/>
          <w:lang w:bidi="ar-EG"/>
        </w:rPr>
        <w:t>:</w:t>
      </w:r>
    </w:p>
    <w:p w14:paraId="073011F6"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أولاً: إدارة المخاطر المالية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Pr>
        <w:t>Financial Risk Management</w:t>
      </w:r>
      <w:r w:rsidRPr="00D45150">
        <w:rPr>
          <w:rFonts w:ascii="Times New Roman" w:eastAsia="Calibri" w:hAnsi="Times New Roman" w:cs="Simplified Arabic"/>
          <w:b/>
          <w:bCs/>
          <w:sz w:val="24"/>
          <w:szCs w:val="28"/>
          <w:rtl/>
          <w:lang w:bidi="ar-EG"/>
        </w:rPr>
        <w:t>):</w:t>
      </w:r>
    </w:p>
    <w:p w14:paraId="5A2DC4E3" w14:textId="77777777" w:rsidR="00D45150" w:rsidRPr="00D45150" w:rsidRDefault="00D45150" w:rsidP="00D45150">
      <w:pPr>
        <w:numPr>
          <w:ilvl w:val="0"/>
          <w:numId w:val="54"/>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عرفها عيد ولاشين (2025) بأنها: "مجموعة من الإجراءات والسياسات التي تتبناها الإدارة للتعرف على المخاطر المحتملة وقياس أثرها المالي واتخاذ التدابير اللازمة للحد منها" (ص. 610)</w:t>
      </w:r>
      <w:r w:rsidRPr="00D45150">
        <w:rPr>
          <w:rFonts w:ascii="Times New Roman" w:eastAsia="Calibri" w:hAnsi="Times New Roman" w:cs="Simplified Arabic"/>
          <w:sz w:val="24"/>
          <w:szCs w:val="28"/>
          <w:rtl/>
          <w:lang w:bidi="ar-EG"/>
        </w:rPr>
        <w:t>.</w:t>
      </w:r>
    </w:p>
    <w:p w14:paraId="28E70CFC" w14:textId="77777777" w:rsidR="00D45150" w:rsidRPr="00D45150" w:rsidRDefault="00D45150" w:rsidP="00D45150">
      <w:pPr>
        <w:numPr>
          <w:ilvl w:val="0"/>
          <w:numId w:val="54"/>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lastRenderedPageBreak/>
        <w:t xml:space="preserve">وعرفها </w:t>
      </w:r>
      <w:proofErr w:type="spellStart"/>
      <w:r w:rsidRPr="00D45150">
        <w:rPr>
          <w:rFonts w:ascii="Times New Roman" w:eastAsia="Calibri" w:hAnsi="Times New Roman" w:cs="Simplified Arabic"/>
          <w:sz w:val="24"/>
          <w:szCs w:val="28"/>
          <w:rtl/>
        </w:rPr>
        <w:t>شيليكوف</w:t>
      </w:r>
      <w:proofErr w:type="spellEnd"/>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Chililov, 2024</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بأنها: "عملية منهجية تهدف إلى الحفاظ على الاستقرار المالي للمؤسسة الصحية من خلال التنبؤ بالتقلبات الاقتصادية وإدارتها بفعالية</w:t>
      </w:r>
      <w:r w:rsidRPr="00D45150">
        <w:rPr>
          <w:rFonts w:ascii="Times New Roman" w:eastAsia="Calibri" w:hAnsi="Times New Roman" w:cs="Simplified Arabic"/>
          <w:sz w:val="24"/>
          <w:szCs w:val="28"/>
        </w:rPr>
        <w:t>" (p. 3</w:t>
      </w:r>
      <w:r w:rsidRPr="00D45150">
        <w:rPr>
          <w:rFonts w:ascii="Times New Roman" w:eastAsia="Calibri" w:hAnsi="Times New Roman" w:cs="Simplified Arabic"/>
          <w:sz w:val="24"/>
          <w:szCs w:val="28"/>
          <w:rtl/>
          <w:lang w:bidi="ar-EG"/>
        </w:rPr>
        <w:t>).</w:t>
      </w:r>
    </w:p>
    <w:p w14:paraId="42E9F531" w14:textId="77777777" w:rsidR="00D45150" w:rsidRPr="00D45150" w:rsidRDefault="00D45150" w:rsidP="00D45150">
      <w:pPr>
        <w:numPr>
          <w:ilvl w:val="0"/>
          <w:numId w:val="54"/>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كما عرفها إبراهيم ومحمد (2019) بأنها: "الاستراتيجية التي تعتمدها المؤسسة لتقليل احتمالية التعرض للخسائر المالية وتعظيم فرص البقاء والنمو" (ص</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160</w:t>
      </w:r>
      <w:r w:rsidRPr="00D45150">
        <w:rPr>
          <w:rFonts w:ascii="Times New Roman" w:eastAsia="Calibri" w:hAnsi="Times New Roman" w:cs="Simplified Arabic"/>
          <w:sz w:val="24"/>
          <w:szCs w:val="28"/>
          <w:rtl/>
          <w:lang w:bidi="ar-EG"/>
        </w:rPr>
        <w:t>).</w:t>
      </w:r>
    </w:p>
    <w:p w14:paraId="247023E2"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التعريف الإجرائي</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وفي سياق هذه الدراسة، يُعرف مصطلح إدارة المخاطر المالية إجرائياً، بأنه</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 xml:space="preserve">مجموع </w:t>
      </w:r>
      <w:r w:rsidRPr="00D45150">
        <w:rPr>
          <w:rFonts w:ascii="Times New Roman" w:eastAsia="Calibri" w:hAnsi="Times New Roman" w:cs="Simplified Arabic"/>
          <w:sz w:val="24"/>
          <w:szCs w:val="28"/>
          <w:rtl/>
          <w:lang w:bidi="ar-EG"/>
        </w:rPr>
        <w:t>الممارسات الإدارية التي تطبقها المراكز الصحية الأولية في منطقة عسير لتحديد وتقييم ومعالجة التهديدات المالية المحتملة، وتقاس بالدرجة الكلية التي يحصل عليها المستجيبون عبر فقرات الاستبانة المتعلقة بأبعاد (تشخيص المخاطر، تقييم وتحليل المخاطر، ومواجهة المخاطر).</w:t>
      </w:r>
    </w:p>
    <w:p w14:paraId="7D1D48B9"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تعريفات أبعاد إدارة المخاطر المالية</w:t>
      </w:r>
      <w:r w:rsidRPr="00D45150">
        <w:rPr>
          <w:rFonts w:ascii="Times New Roman" w:eastAsia="Calibri" w:hAnsi="Times New Roman" w:cs="Simplified Arabic"/>
          <w:b/>
          <w:bCs/>
          <w:sz w:val="24"/>
          <w:szCs w:val="28"/>
          <w:rtl/>
          <w:lang w:bidi="ar-EG"/>
        </w:rPr>
        <w:t>:</w:t>
      </w:r>
    </w:p>
    <w:p w14:paraId="677BE72D" w14:textId="77777777" w:rsidR="00D45150" w:rsidRPr="00D45150" w:rsidRDefault="00D45150" w:rsidP="00D45150">
      <w:pPr>
        <w:numPr>
          <w:ilvl w:val="0"/>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تشخيص المخاطر المالية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يُعرف اصطلاحاً بأنه: "عملية المسح المستمر للبيئة الداخلية والخارجية لاكتشاف مصادر الخطر المالي المحتملة قبل وقوعها" (عيد ولاشين، 2025، ص</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612</w:t>
      </w:r>
      <w:r w:rsidRPr="00D45150">
        <w:rPr>
          <w:rFonts w:ascii="Times New Roman" w:eastAsia="Calibri" w:hAnsi="Times New Roman" w:cs="Simplified Arabic"/>
          <w:sz w:val="24"/>
          <w:szCs w:val="28"/>
          <w:rtl/>
          <w:lang w:bidi="ar-EG"/>
        </w:rPr>
        <w:t>).</w:t>
      </w:r>
    </w:p>
    <w:p w14:paraId="1760A0DC" w14:textId="77777777" w:rsidR="00D45150" w:rsidRPr="00D45150" w:rsidRDefault="00D45150" w:rsidP="00D45150">
      <w:pPr>
        <w:numPr>
          <w:ilvl w:val="1"/>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إجرائياً</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هو قدرة إدارة المركز الصحي على رصد المؤشرات الأولية للعجز المالي أو نقص السيولة</w:t>
      </w:r>
      <w:r w:rsidRPr="00D45150">
        <w:rPr>
          <w:rFonts w:ascii="Times New Roman" w:eastAsia="Calibri" w:hAnsi="Times New Roman" w:cs="Simplified Arabic"/>
          <w:sz w:val="24"/>
          <w:szCs w:val="28"/>
          <w:rtl/>
          <w:lang w:bidi="ar-EG"/>
        </w:rPr>
        <w:t>.</w:t>
      </w:r>
    </w:p>
    <w:p w14:paraId="7107E6E5" w14:textId="77777777" w:rsidR="00D45150" w:rsidRPr="00D45150" w:rsidRDefault="00D45150" w:rsidP="00D45150">
      <w:pPr>
        <w:numPr>
          <w:ilvl w:val="0"/>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تقييم وتحليل المخاطر المالية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 xml:space="preserve">يُعرف اصطلاحاً بأنه: "تقدير حجم الخسائر المحتملة واحتمالية حدوثها لترتيب المخاطر </w:t>
      </w:r>
      <w:r w:rsidRPr="00D45150">
        <w:rPr>
          <w:rFonts w:ascii="Times New Roman" w:eastAsia="Calibri" w:hAnsi="Times New Roman" w:cs="Simplified Arabic"/>
          <w:sz w:val="24"/>
          <w:szCs w:val="28"/>
          <w:rtl/>
          <w:lang w:bidi="ar-EG"/>
        </w:rPr>
        <w:t>حسب أولويتها" (</w:t>
      </w:r>
      <w:proofErr w:type="spellStart"/>
      <w:r w:rsidRPr="00D45150">
        <w:rPr>
          <w:rFonts w:ascii="Times New Roman" w:eastAsia="Calibri" w:hAnsi="Times New Roman" w:cs="Simplified Arabic"/>
          <w:sz w:val="24"/>
          <w:szCs w:val="28"/>
          <w:rtl/>
          <w:lang w:bidi="ar-EG"/>
        </w:rPr>
        <w:t>سيرمحاتاكيت</w:t>
      </w:r>
      <w:proofErr w:type="spellEnd"/>
      <w:r w:rsidRPr="00D45150">
        <w:rPr>
          <w:rFonts w:ascii="Times New Roman" w:eastAsia="Calibri" w:hAnsi="Times New Roman" w:cs="Simplified Arabic"/>
          <w:sz w:val="24"/>
          <w:szCs w:val="28"/>
          <w:rtl/>
          <w:lang w:bidi="ar-EG"/>
        </w:rPr>
        <w:t xml:space="preserve"> </w:t>
      </w:r>
      <w:proofErr w:type="spellStart"/>
      <w:r w:rsidRPr="00D45150">
        <w:rPr>
          <w:rFonts w:ascii="Times New Roman" w:eastAsia="Calibri" w:hAnsi="Times New Roman" w:cs="Simplified Arabic"/>
          <w:sz w:val="24"/>
          <w:szCs w:val="28"/>
          <w:rtl/>
          <w:lang w:bidi="ar-EG"/>
        </w:rPr>
        <w:t>وساي</w:t>
      </w:r>
      <w:proofErr w:type="spellEnd"/>
      <w:r w:rsidRPr="00D45150">
        <w:rPr>
          <w:rFonts w:ascii="Times New Roman" w:eastAsia="Calibri" w:hAnsi="Times New Roman" w:cs="Simplified Arabic"/>
          <w:sz w:val="24"/>
          <w:szCs w:val="28"/>
          <w:rtl/>
          <w:lang w:bidi="ar-EG"/>
        </w:rPr>
        <w:t xml:space="preserve">-ليم </w:t>
      </w:r>
      <w:r w:rsidRPr="00D45150">
        <w:rPr>
          <w:rFonts w:ascii="Times New Roman" w:eastAsia="Calibri" w:hAnsi="Times New Roman" w:cs="Simplified Arabic"/>
          <w:sz w:val="24"/>
          <w:szCs w:val="28"/>
        </w:rPr>
        <w:t>[</w:t>
      </w:r>
      <w:proofErr w:type="spellStart"/>
      <w:r w:rsidRPr="00D45150">
        <w:rPr>
          <w:rFonts w:ascii="Times New Roman" w:eastAsia="Calibri" w:hAnsi="Times New Roman" w:cs="Simplified Arabic"/>
          <w:sz w:val="24"/>
          <w:szCs w:val="28"/>
        </w:rPr>
        <w:t>Sermhattakit</w:t>
      </w:r>
      <w:proofErr w:type="spellEnd"/>
      <w:r w:rsidRPr="00D45150">
        <w:rPr>
          <w:rFonts w:ascii="Times New Roman" w:eastAsia="Calibri" w:hAnsi="Times New Roman" w:cs="Simplified Arabic"/>
          <w:sz w:val="24"/>
          <w:szCs w:val="28"/>
        </w:rPr>
        <w:t xml:space="preserve"> &amp; </w:t>
      </w:r>
      <w:proofErr w:type="spellStart"/>
      <w:r w:rsidRPr="00D45150">
        <w:rPr>
          <w:rFonts w:ascii="Times New Roman" w:eastAsia="Calibri" w:hAnsi="Times New Roman" w:cs="Simplified Arabic"/>
          <w:sz w:val="24"/>
          <w:szCs w:val="28"/>
        </w:rPr>
        <w:t>Sae</w:t>
      </w:r>
      <w:proofErr w:type="spellEnd"/>
      <w:r w:rsidRPr="00D45150">
        <w:rPr>
          <w:rFonts w:ascii="Times New Roman" w:eastAsia="Calibri" w:hAnsi="Times New Roman" w:cs="Simplified Arabic"/>
          <w:sz w:val="24"/>
          <w:szCs w:val="28"/>
        </w:rPr>
        <w:t>-Lim]</w:t>
      </w:r>
      <w:r w:rsidRPr="00D45150">
        <w:rPr>
          <w:rFonts w:ascii="Times New Roman" w:eastAsia="Calibri" w:hAnsi="Times New Roman" w:cs="Simplified Arabic"/>
          <w:sz w:val="24"/>
          <w:szCs w:val="28"/>
          <w:rtl/>
          <w:lang w:bidi="ar-EG"/>
        </w:rPr>
        <w:t xml:space="preserve">، 2025، </w:t>
      </w:r>
      <w:r w:rsidRPr="00D45150">
        <w:rPr>
          <w:rFonts w:ascii="Times New Roman" w:eastAsia="Calibri" w:hAnsi="Times New Roman" w:cs="Simplified Arabic"/>
          <w:sz w:val="24"/>
          <w:szCs w:val="28"/>
        </w:rPr>
        <w:t>p. 50</w:t>
      </w:r>
      <w:r w:rsidRPr="00D45150">
        <w:rPr>
          <w:rFonts w:ascii="Times New Roman" w:eastAsia="Calibri" w:hAnsi="Times New Roman" w:cs="Simplified Arabic"/>
          <w:sz w:val="24"/>
          <w:szCs w:val="28"/>
          <w:rtl/>
          <w:lang w:bidi="ar-EG"/>
        </w:rPr>
        <w:t>).</w:t>
      </w:r>
    </w:p>
    <w:p w14:paraId="5731CA43" w14:textId="77777777" w:rsidR="00D45150" w:rsidRPr="00D45150" w:rsidRDefault="00D45150" w:rsidP="00D45150">
      <w:pPr>
        <w:numPr>
          <w:ilvl w:val="1"/>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إجرائياً</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هو العمليات الحسابية والتحليلية التي تجريها المراكز لتحديد شدة تأثير المخاطر المرصودة</w:t>
      </w:r>
      <w:r w:rsidRPr="00D45150">
        <w:rPr>
          <w:rFonts w:ascii="Times New Roman" w:eastAsia="Calibri" w:hAnsi="Times New Roman" w:cs="Simplified Arabic"/>
          <w:sz w:val="24"/>
          <w:szCs w:val="28"/>
          <w:rtl/>
          <w:lang w:bidi="ar-EG"/>
        </w:rPr>
        <w:t>.</w:t>
      </w:r>
    </w:p>
    <w:p w14:paraId="2C295BE9" w14:textId="77777777" w:rsidR="00D45150" w:rsidRPr="00D45150" w:rsidRDefault="00D45150" w:rsidP="00D45150">
      <w:pPr>
        <w:numPr>
          <w:ilvl w:val="0"/>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lastRenderedPageBreak/>
        <w:t>مواجهة المخاطر المالية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يُعرف اصطلاحاً بأنه: "مجموعة الاستجابات والتدابير الوقائية والعلاجية التي تتخذ للحد من تداعيات المخاطر المحققة" (عبد اللطيف وآخرون، 2022، ص</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80</w:t>
      </w:r>
      <w:r w:rsidRPr="00D45150">
        <w:rPr>
          <w:rFonts w:ascii="Times New Roman" w:eastAsia="Calibri" w:hAnsi="Times New Roman" w:cs="Simplified Arabic"/>
          <w:sz w:val="24"/>
          <w:szCs w:val="28"/>
          <w:rtl/>
          <w:lang w:bidi="ar-EG"/>
        </w:rPr>
        <w:t>).</w:t>
      </w:r>
    </w:p>
    <w:p w14:paraId="49B7BEE1" w14:textId="77777777" w:rsidR="00D45150" w:rsidRPr="00D45150" w:rsidRDefault="00D45150" w:rsidP="00D45150">
      <w:pPr>
        <w:numPr>
          <w:ilvl w:val="1"/>
          <w:numId w:val="55"/>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إجرائياً</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هو الإجراءات الفعلية التي تتخذها إدارة المركز للسيطرة على المخاطر أو نقلها أو تجنبها</w:t>
      </w:r>
      <w:r w:rsidRPr="00D45150">
        <w:rPr>
          <w:rFonts w:ascii="Times New Roman" w:eastAsia="Calibri" w:hAnsi="Times New Roman" w:cs="Simplified Arabic"/>
          <w:sz w:val="24"/>
          <w:szCs w:val="28"/>
          <w:rtl/>
          <w:lang w:bidi="ar-EG"/>
        </w:rPr>
        <w:t>.</w:t>
      </w:r>
    </w:p>
    <w:p w14:paraId="29229149"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ثانياً: الاستدامة التشغيلية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Pr>
        <w:t>Operational Sustainability</w:t>
      </w:r>
      <w:r w:rsidRPr="00D45150">
        <w:rPr>
          <w:rFonts w:ascii="Times New Roman" w:eastAsia="Calibri" w:hAnsi="Times New Roman" w:cs="Simplified Arabic"/>
          <w:b/>
          <w:bCs/>
          <w:sz w:val="24"/>
          <w:szCs w:val="28"/>
          <w:rtl/>
          <w:lang w:bidi="ar-EG"/>
        </w:rPr>
        <w:t>):</w:t>
      </w:r>
    </w:p>
    <w:p w14:paraId="2E2C654D" w14:textId="77777777" w:rsidR="00D45150" w:rsidRPr="00D45150" w:rsidRDefault="00D45150" w:rsidP="00D45150">
      <w:pPr>
        <w:numPr>
          <w:ilvl w:val="0"/>
          <w:numId w:val="5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عرفها سعيد وشوكت (2024) بأنها: "قدرة المؤسسة الصحية على الاستمرار في تقديم خدماتها بفاعلية وكفاءة مع الحفاظ على توازن مواردها على المدى الطويل" (ص</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210</w:t>
      </w:r>
      <w:r w:rsidRPr="00D45150">
        <w:rPr>
          <w:rFonts w:ascii="Times New Roman" w:eastAsia="Calibri" w:hAnsi="Times New Roman" w:cs="Simplified Arabic"/>
          <w:sz w:val="24"/>
          <w:szCs w:val="28"/>
          <w:rtl/>
          <w:lang w:bidi="ar-EG"/>
        </w:rPr>
        <w:t>).</w:t>
      </w:r>
    </w:p>
    <w:p w14:paraId="78371542" w14:textId="77777777" w:rsidR="00D45150" w:rsidRPr="00D45150" w:rsidRDefault="00D45150" w:rsidP="00D45150">
      <w:pPr>
        <w:numPr>
          <w:ilvl w:val="0"/>
          <w:numId w:val="5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وعرفها </w:t>
      </w:r>
      <w:proofErr w:type="spellStart"/>
      <w:r w:rsidRPr="00D45150">
        <w:rPr>
          <w:rFonts w:ascii="Times New Roman" w:eastAsia="Calibri" w:hAnsi="Times New Roman" w:cs="Simplified Arabic"/>
          <w:sz w:val="24"/>
          <w:szCs w:val="28"/>
          <w:rtl/>
        </w:rPr>
        <w:t>زورينسكي</w:t>
      </w:r>
      <w:proofErr w:type="spellEnd"/>
      <w:r w:rsidRPr="00D45150">
        <w:rPr>
          <w:rFonts w:ascii="Times New Roman" w:eastAsia="Calibri" w:hAnsi="Times New Roman" w:cs="Simplified Arabic"/>
          <w:sz w:val="24"/>
          <w:szCs w:val="28"/>
          <w:rtl/>
        </w:rPr>
        <w:t xml:space="preserve"> وآخرون</w:t>
      </w:r>
      <w:r w:rsidRPr="00D45150">
        <w:rPr>
          <w:rFonts w:ascii="Times New Roman" w:eastAsia="Calibri" w:hAnsi="Times New Roman" w:cs="Simplified Arabic"/>
          <w:sz w:val="24"/>
          <w:szCs w:val="28"/>
          <w:rtl/>
          <w:lang w:bidi="ar-EG"/>
        </w:rPr>
        <w:t xml:space="preserve"> (</w:t>
      </w:r>
      <w:proofErr w:type="spellStart"/>
      <w:r w:rsidRPr="00D45150">
        <w:rPr>
          <w:rFonts w:ascii="Times New Roman" w:eastAsia="Calibri" w:hAnsi="Times New Roman" w:cs="Simplified Arabic"/>
          <w:sz w:val="24"/>
          <w:szCs w:val="28"/>
        </w:rPr>
        <w:t>Zurynski</w:t>
      </w:r>
      <w:proofErr w:type="spellEnd"/>
      <w:r w:rsidRPr="00D45150">
        <w:rPr>
          <w:rFonts w:ascii="Times New Roman" w:eastAsia="Calibri" w:hAnsi="Times New Roman" w:cs="Simplified Arabic"/>
          <w:sz w:val="24"/>
          <w:szCs w:val="28"/>
        </w:rPr>
        <w:t xml:space="preserve"> et al., 2022</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بأنها: "الحالة التي يتم فيها دمج الأداء المالي والتشغيلي لضمان بقاء النظام الصحي مرناً وقادراً على التكيف مع المتغيرات</w:t>
      </w:r>
      <w:r w:rsidRPr="00D45150">
        <w:rPr>
          <w:rFonts w:ascii="Times New Roman" w:eastAsia="Calibri" w:hAnsi="Times New Roman" w:cs="Simplified Arabic"/>
          <w:sz w:val="24"/>
          <w:szCs w:val="28"/>
        </w:rPr>
        <w:t>" (p. 4</w:t>
      </w:r>
      <w:r w:rsidRPr="00D45150">
        <w:rPr>
          <w:rFonts w:ascii="Times New Roman" w:eastAsia="Calibri" w:hAnsi="Times New Roman" w:cs="Simplified Arabic"/>
          <w:sz w:val="24"/>
          <w:szCs w:val="28"/>
          <w:rtl/>
          <w:lang w:bidi="ar-EG"/>
        </w:rPr>
        <w:t>).</w:t>
      </w:r>
    </w:p>
    <w:p w14:paraId="74378075" w14:textId="77777777" w:rsidR="00D45150" w:rsidRPr="00D45150" w:rsidRDefault="00D45150" w:rsidP="00D45150">
      <w:pPr>
        <w:numPr>
          <w:ilvl w:val="0"/>
          <w:numId w:val="56"/>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كما عرفها </w:t>
      </w:r>
      <w:proofErr w:type="spellStart"/>
      <w:r w:rsidRPr="00D45150">
        <w:rPr>
          <w:rFonts w:ascii="Times New Roman" w:eastAsia="Calibri" w:hAnsi="Times New Roman" w:cs="Simplified Arabic"/>
          <w:sz w:val="24"/>
          <w:szCs w:val="28"/>
          <w:rtl/>
        </w:rPr>
        <w:t>سافيانو</w:t>
      </w:r>
      <w:proofErr w:type="spellEnd"/>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Pr>
        <w:t>Saviano, 2018</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بأنها: "نهج إداري يركز على حيوية النظام وقدرته على البقاء من خلال المواءمة بين المتطلبات الداخلية والضغوط الخارجية</w:t>
      </w:r>
      <w:r w:rsidRPr="00D45150">
        <w:rPr>
          <w:rFonts w:ascii="Times New Roman" w:eastAsia="Calibri" w:hAnsi="Times New Roman" w:cs="Simplified Arabic"/>
          <w:sz w:val="24"/>
          <w:szCs w:val="28"/>
        </w:rPr>
        <w:t>" (p. 2</w:t>
      </w:r>
      <w:r w:rsidRPr="00D45150">
        <w:rPr>
          <w:rFonts w:ascii="Times New Roman" w:eastAsia="Calibri" w:hAnsi="Times New Roman" w:cs="Simplified Arabic"/>
          <w:sz w:val="24"/>
          <w:szCs w:val="28"/>
          <w:rtl/>
          <w:lang w:bidi="ar-EG"/>
        </w:rPr>
        <w:t>).</w:t>
      </w:r>
    </w:p>
    <w:p w14:paraId="1047EF89"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التعريف الإجرائي</w:t>
      </w:r>
      <w:r w:rsidRPr="00D45150">
        <w:rPr>
          <w:rFonts w:ascii="Times New Roman" w:eastAsia="Calibri" w:hAnsi="Times New Roman" w:cs="Simplified Arabic"/>
          <w:b/>
          <w:bCs/>
          <w:sz w:val="24"/>
          <w:szCs w:val="28"/>
          <w:rtl/>
          <w:lang w:bidi="ar-EG"/>
        </w:rPr>
        <w:t>:</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وفي سياق هذه الدراسة، يُعرف مصطلح الاستدامة التشغيلية إجرائياً، بأنه: قدرة المراكز الصحية الأولية في منطقة عسير على مواصلة تقديم خدمات الرعاية الصحية دون انقطاع وبكفاءة عالية في استخدام الموارد المتاحة، وتقاس بالدرجة الكلية التي يحصل عليها المستجيبون عبر فقرات الاستبانة المتعلقة بأبعاد (استمرارية الخدمة، وكفاءة الموارد التشغيلية)</w:t>
      </w:r>
      <w:r w:rsidRPr="00D45150">
        <w:rPr>
          <w:rFonts w:ascii="Times New Roman" w:eastAsia="Calibri" w:hAnsi="Times New Roman" w:cs="Simplified Arabic"/>
          <w:sz w:val="24"/>
          <w:szCs w:val="28"/>
          <w:rtl/>
          <w:lang w:bidi="ar-EG"/>
        </w:rPr>
        <w:t>.</w:t>
      </w:r>
    </w:p>
    <w:p w14:paraId="32BD04F5"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تعريفات أبعاد الاستدامة التشغيلية</w:t>
      </w:r>
      <w:r w:rsidRPr="00D45150">
        <w:rPr>
          <w:rFonts w:ascii="Times New Roman" w:eastAsia="Calibri" w:hAnsi="Times New Roman" w:cs="Simplified Arabic"/>
          <w:b/>
          <w:bCs/>
          <w:sz w:val="24"/>
          <w:szCs w:val="28"/>
          <w:rtl/>
          <w:lang w:bidi="ar-EG"/>
        </w:rPr>
        <w:t>:</w:t>
      </w:r>
    </w:p>
    <w:p w14:paraId="1873E899" w14:textId="77777777" w:rsidR="00D45150" w:rsidRPr="00D45150" w:rsidRDefault="00D45150" w:rsidP="00D45150">
      <w:pPr>
        <w:numPr>
          <w:ilvl w:val="0"/>
          <w:numId w:val="5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lastRenderedPageBreak/>
        <w:t>استمرارية الخدمة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 xml:space="preserve">تُعرف اصطلاحاً بأنها: "ضمان تدفق الخدمات الصحية للمستفيدين في جميع الظروف </w:t>
      </w:r>
      <w:r w:rsidRPr="00D45150">
        <w:rPr>
          <w:rFonts w:ascii="Times New Roman" w:eastAsia="Calibri" w:hAnsi="Times New Roman" w:cs="Simplified Arabic"/>
          <w:sz w:val="24"/>
          <w:szCs w:val="28"/>
          <w:rtl/>
          <w:lang w:bidi="ar-EG"/>
        </w:rPr>
        <w:t>الاعتيادية والطارئة دون توقف" (</w:t>
      </w:r>
      <w:proofErr w:type="spellStart"/>
      <w:r w:rsidRPr="00D45150">
        <w:rPr>
          <w:rFonts w:ascii="Times New Roman" w:eastAsia="Calibri" w:hAnsi="Times New Roman" w:cs="Simplified Arabic"/>
          <w:sz w:val="24"/>
          <w:szCs w:val="28"/>
          <w:rtl/>
          <w:lang w:bidi="ar-EG"/>
        </w:rPr>
        <w:t>فاسيليو</w:t>
      </w:r>
      <w:proofErr w:type="spellEnd"/>
      <w:r w:rsidRPr="00D45150">
        <w:rPr>
          <w:rFonts w:ascii="Times New Roman" w:eastAsia="Calibri" w:hAnsi="Times New Roman" w:cs="Simplified Arabic"/>
          <w:sz w:val="24"/>
          <w:szCs w:val="28"/>
          <w:rtl/>
          <w:lang w:bidi="ar-EG"/>
        </w:rPr>
        <w:t xml:space="preserve"> وآخرون </w:t>
      </w:r>
      <w:r w:rsidRPr="00D45150">
        <w:rPr>
          <w:rFonts w:ascii="Times New Roman" w:eastAsia="Calibri" w:hAnsi="Times New Roman" w:cs="Simplified Arabic"/>
          <w:sz w:val="24"/>
          <w:szCs w:val="28"/>
        </w:rPr>
        <w:t>[Vasileiou et al.]</w:t>
      </w:r>
      <w:r w:rsidRPr="00D45150">
        <w:rPr>
          <w:rFonts w:ascii="Times New Roman" w:eastAsia="Calibri" w:hAnsi="Times New Roman" w:cs="Simplified Arabic"/>
          <w:sz w:val="24"/>
          <w:szCs w:val="28"/>
          <w:rtl/>
          <w:lang w:bidi="ar-EG"/>
        </w:rPr>
        <w:t xml:space="preserve">، 2024، </w:t>
      </w:r>
      <w:r w:rsidRPr="00D45150">
        <w:rPr>
          <w:rFonts w:ascii="Times New Roman" w:eastAsia="Calibri" w:hAnsi="Times New Roman" w:cs="Simplified Arabic"/>
          <w:sz w:val="24"/>
          <w:szCs w:val="28"/>
        </w:rPr>
        <w:t>p. 8310</w:t>
      </w:r>
      <w:r w:rsidRPr="00D45150">
        <w:rPr>
          <w:rFonts w:ascii="Times New Roman" w:eastAsia="Calibri" w:hAnsi="Times New Roman" w:cs="Simplified Arabic"/>
          <w:sz w:val="24"/>
          <w:szCs w:val="28"/>
          <w:rtl/>
          <w:lang w:bidi="ar-EG"/>
        </w:rPr>
        <w:t>).</w:t>
      </w:r>
    </w:p>
    <w:p w14:paraId="31AEF4E6" w14:textId="77777777" w:rsidR="00D45150" w:rsidRPr="00D45150" w:rsidRDefault="00D45150" w:rsidP="00D45150">
      <w:pPr>
        <w:numPr>
          <w:ilvl w:val="1"/>
          <w:numId w:val="5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إجرائياً</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هي مدى انتظام المركز الصحي في تقديم الرعاية الطبية للمرضى دون تأثر بالأزمات المالية</w:t>
      </w:r>
      <w:r w:rsidRPr="00D45150">
        <w:rPr>
          <w:rFonts w:ascii="Times New Roman" w:eastAsia="Calibri" w:hAnsi="Times New Roman" w:cs="Simplified Arabic"/>
          <w:sz w:val="24"/>
          <w:szCs w:val="28"/>
          <w:rtl/>
          <w:lang w:bidi="ar-EG"/>
        </w:rPr>
        <w:t>.</w:t>
      </w:r>
    </w:p>
    <w:p w14:paraId="1FF5E1B1" w14:textId="77777777" w:rsidR="00D45150" w:rsidRPr="00D45150" w:rsidRDefault="00D45150" w:rsidP="00D45150">
      <w:pPr>
        <w:numPr>
          <w:ilvl w:val="0"/>
          <w:numId w:val="5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كفاءة الموارد التشغيلية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تُعرف اصطلاحاً بأنها: "الاستخدام الأمثل للمدخلات المادية والبشرية للحصول على أفضل مخرجات صحية بأقل تكلفة ممكنة" (حراز، 2025، ص. 820)</w:t>
      </w:r>
      <w:r w:rsidRPr="00D45150">
        <w:rPr>
          <w:rFonts w:ascii="Times New Roman" w:eastAsia="Calibri" w:hAnsi="Times New Roman" w:cs="Simplified Arabic"/>
          <w:sz w:val="24"/>
          <w:szCs w:val="28"/>
          <w:rtl/>
          <w:lang w:bidi="ar-EG"/>
        </w:rPr>
        <w:t>.</w:t>
      </w:r>
    </w:p>
    <w:p w14:paraId="36DFF760" w14:textId="77777777" w:rsidR="00D45150" w:rsidRPr="00D45150" w:rsidRDefault="00D45150" w:rsidP="00D45150">
      <w:pPr>
        <w:numPr>
          <w:ilvl w:val="1"/>
          <w:numId w:val="57"/>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إجرائياً</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sz w:val="24"/>
          <w:szCs w:val="28"/>
          <w:rtl/>
        </w:rPr>
        <w:t>هي قدرة المركز الصحي على توظيف ميزانيته وكوادره ومعداته بشكل يمنع الهدر ويحقق الأهداف</w:t>
      </w:r>
      <w:r w:rsidRPr="00D45150">
        <w:rPr>
          <w:rFonts w:ascii="Times New Roman" w:eastAsia="Calibri" w:hAnsi="Times New Roman" w:cs="Simplified Arabic"/>
          <w:sz w:val="24"/>
          <w:szCs w:val="28"/>
          <w:rtl/>
          <w:lang w:bidi="ar-EG"/>
        </w:rPr>
        <w:t>.</w:t>
      </w:r>
    </w:p>
    <w:p w14:paraId="492200EE" w14:textId="77777777" w:rsidR="00D45150" w:rsidRPr="00D45150" w:rsidRDefault="00D45150" w:rsidP="00D45150">
      <w:pPr>
        <w:spacing w:after="0" w:line="360" w:lineRule="auto"/>
        <w:ind w:firstLine="510"/>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ثالثاً: المراكز الصحية الأولية</w:t>
      </w:r>
      <w:r w:rsidRPr="00D45150">
        <w:rPr>
          <w:rFonts w:ascii="Times New Roman" w:eastAsia="Calibri" w:hAnsi="Times New Roman" w:cs="Simplified Arabic"/>
          <w:b/>
          <w:bCs/>
          <w:sz w:val="24"/>
          <w:szCs w:val="28"/>
          <w:rtl/>
          <w:lang w:bidi="ar-EG"/>
        </w:rPr>
        <w:t xml:space="preserve"> (</w:t>
      </w:r>
      <w:r w:rsidRPr="00D45150">
        <w:rPr>
          <w:rFonts w:ascii="Times New Roman" w:eastAsia="Calibri" w:hAnsi="Times New Roman" w:cs="Simplified Arabic"/>
          <w:b/>
          <w:bCs/>
          <w:sz w:val="24"/>
          <w:szCs w:val="28"/>
        </w:rPr>
        <w:t>Primary Health Centers</w:t>
      </w:r>
      <w:r w:rsidRPr="00D45150">
        <w:rPr>
          <w:rFonts w:ascii="Times New Roman" w:eastAsia="Calibri" w:hAnsi="Times New Roman" w:cs="Simplified Arabic"/>
          <w:b/>
          <w:bCs/>
          <w:sz w:val="24"/>
          <w:szCs w:val="28"/>
          <w:rtl/>
          <w:lang w:bidi="ar-EG"/>
        </w:rPr>
        <w:t>):</w:t>
      </w:r>
    </w:p>
    <w:p w14:paraId="388A893F" w14:textId="77777777" w:rsidR="00D45150" w:rsidRPr="00D45150" w:rsidRDefault="00D45150" w:rsidP="00D45150">
      <w:pPr>
        <w:numPr>
          <w:ilvl w:val="0"/>
          <w:numId w:val="58"/>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sz w:val="24"/>
          <w:szCs w:val="28"/>
          <w:rtl/>
        </w:rPr>
        <w:t xml:space="preserve">تُعرف اصطلاحاً بأنها: "نقطة الاتصال الأولى للأفراد مع النظام الصحي، والتي تقدم خدمات وقائية وعلاجية شاملة وميسرة للمجتمع المحلي" (والش وآخرون </w:t>
      </w:r>
      <w:r w:rsidRPr="00D45150">
        <w:rPr>
          <w:rFonts w:ascii="Times New Roman" w:eastAsia="Calibri" w:hAnsi="Times New Roman" w:cs="Simplified Arabic"/>
          <w:sz w:val="24"/>
          <w:szCs w:val="28"/>
        </w:rPr>
        <w:t>[Walsh et al.]</w:t>
      </w:r>
      <w:r w:rsidRPr="00D45150">
        <w:rPr>
          <w:rFonts w:ascii="Times New Roman" w:eastAsia="Calibri" w:hAnsi="Times New Roman" w:cs="Simplified Arabic"/>
          <w:sz w:val="24"/>
          <w:szCs w:val="28"/>
          <w:rtl/>
        </w:rPr>
        <w:t xml:space="preserve">، 2024، </w:t>
      </w:r>
      <w:r w:rsidRPr="00D45150">
        <w:rPr>
          <w:rFonts w:ascii="Times New Roman" w:eastAsia="Calibri" w:hAnsi="Times New Roman" w:cs="Simplified Arabic"/>
          <w:sz w:val="24"/>
          <w:szCs w:val="28"/>
        </w:rPr>
        <w:t>p. 2</w:t>
      </w:r>
      <w:r w:rsidRPr="00D45150">
        <w:rPr>
          <w:rFonts w:ascii="Times New Roman" w:eastAsia="Calibri" w:hAnsi="Times New Roman" w:cs="Simplified Arabic"/>
          <w:sz w:val="24"/>
          <w:szCs w:val="28"/>
          <w:rtl/>
          <w:lang w:bidi="ar-EG"/>
        </w:rPr>
        <w:t>).</w:t>
      </w:r>
    </w:p>
    <w:p w14:paraId="35C0071C" w14:textId="77777777" w:rsidR="00D45150" w:rsidRPr="00D45150" w:rsidRDefault="00D45150" w:rsidP="00D45150">
      <w:pPr>
        <w:numPr>
          <w:ilvl w:val="0"/>
          <w:numId w:val="58"/>
        </w:numPr>
        <w:spacing w:after="0" w:line="360" w:lineRule="auto"/>
        <w:jc w:val="both"/>
        <w:rPr>
          <w:rFonts w:ascii="Times New Roman" w:eastAsia="Calibri" w:hAnsi="Times New Roman" w:cs="Simplified Arabic"/>
          <w:sz w:val="24"/>
          <w:szCs w:val="28"/>
        </w:rPr>
      </w:pPr>
      <w:r w:rsidRPr="00D45150">
        <w:rPr>
          <w:rFonts w:ascii="Times New Roman" w:eastAsia="Calibri" w:hAnsi="Times New Roman" w:cs="Simplified Arabic"/>
          <w:b/>
          <w:bCs/>
          <w:sz w:val="24"/>
          <w:szCs w:val="28"/>
          <w:rtl/>
        </w:rPr>
        <w:t>التعريف الإجرائي</w:t>
      </w:r>
      <w:r w:rsidRPr="00D45150">
        <w:rPr>
          <w:rFonts w:ascii="Times New Roman" w:eastAsia="Calibri" w:hAnsi="Times New Roman" w:cs="Simplified Arabic"/>
          <w:b/>
          <w:bCs/>
          <w:sz w:val="24"/>
          <w:szCs w:val="28"/>
          <w:rtl/>
          <w:lang w:bidi="ar-EG"/>
        </w:rPr>
        <w:t>:</w:t>
      </w:r>
      <w:r w:rsidRPr="00D45150">
        <w:rPr>
          <w:rFonts w:ascii="Times New Roman" w:eastAsia="Calibri" w:hAnsi="Times New Roman" w:cs="Simplified Arabic"/>
          <w:sz w:val="24"/>
          <w:szCs w:val="28"/>
          <w:rtl/>
          <w:lang w:bidi="ar-EG"/>
        </w:rPr>
        <w:t xml:space="preserve"> </w:t>
      </w:r>
      <w:r w:rsidRPr="00D45150">
        <w:rPr>
          <w:rFonts w:ascii="Times New Roman" w:eastAsia="Calibri" w:hAnsi="Times New Roman" w:cs="Simplified Arabic"/>
          <w:sz w:val="24"/>
          <w:szCs w:val="28"/>
          <w:rtl/>
        </w:rPr>
        <w:t>وفي سياق هذه الدراسة، تُعرف المراكز الصحية الأولية إجرائياً، بأنها: الوحدات الصحية الحكومية التابعة لوزارة الصحة والموزعة في أحياء مدينة أبها بمنطقة عسير، والتي تقدم خدمات الرعاية الأساسية للمواطنين والمقيمين، وتخضع للإجراءات الإدارية والمالية محل الدراسة</w:t>
      </w:r>
      <w:r w:rsidRPr="00D45150">
        <w:rPr>
          <w:rFonts w:ascii="Times New Roman" w:eastAsia="Calibri" w:hAnsi="Times New Roman" w:cs="Simplified Arabic"/>
          <w:sz w:val="24"/>
          <w:szCs w:val="28"/>
          <w:rtl/>
          <w:lang w:bidi="ar-EG"/>
        </w:rPr>
        <w:t>.</w:t>
      </w:r>
    </w:p>
    <w:p w14:paraId="04BA445F" w14:textId="77777777" w:rsidR="00586478" w:rsidRPr="00586478" w:rsidRDefault="00586478" w:rsidP="00B03B33">
      <w:pPr>
        <w:spacing w:after="0" w:line="360"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B03B33">
      <w:pPr>
        <w:spacing w:after="0" w:line="360" w:lineRule="auto"/>
        <w:rPr>
          <w:rFonts w:ascii="Simplified Arabic" w:eastAsia="Calibri" w:hAnsi="Simplified Arabic" w:cs="PT Bold Heading"/>
          <w:sz w:val="48"/>
          <w:szCs w:val="48"/>
          <w:rtl/>
        </w:rPr>
      </w:pPr>
      <w:bookmarkStart w:id="3" w:name="_Hlk200813560"/>
      <w:bookmarkEnd w:id="2"/>
    </w:p>
    <w:p w14:paraId="11A1AA75"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p>
    <w:p w14:paraId="19FEB5A5"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05BA0DF6"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644FFFBE"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6C13146E" w14:textId="77777777" w:rsidR="00586478" w:rsidRPr="00586478" w:rsidRDefault="00586478" w:rsidP="00B03B33">
      <w:pPr>
        <w:spacing w:after="0" w:line="360" w:lineRule="auto"/>
        <w:jc w:val="center"/>
        <w:rPr>
          <w:rFonts w:ascii="Simplified Arabic" w:eastAsia="Calibri" w:hAnsi="Simplified Arabic" w:cs="PT Bold Heading"/>
          <w:sz w:val="42"/>
          <w:szCs w:val="42"/>
          <w:rtl/>
        </w:rPr>
      </w:pPr>
    </w:p>
    <w:p w14:paraId="3303BC31" w14:textId="77777777" w:rsidR="00586478" w:rsidRPr="00586478" w:rsidRDefault="00586478" w:rsidP="00B03B33">
      <w:pPr>
        <w:spacing w:after="0" w:line="360"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4BBF0574" w14:textId="77777777" w:rsidR="00586478" w:rsidRPr="00586478" w:rsidRDefault="00586478" w:rsidP="00B03B33">
      <w:pPr>
        <w:spacing w:after="0" w:line="360"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7E7C5B1A" w14:textId="58DB7DC9" w:rsidR="000941BA" w:rsidRPr="000941BA" w:rsidRDefault="00586478" w:rsidP="000941BA">
      <w:pPr>
        <w:spacing w:after="0" w:line="360" w:lineRule="auto"/>
        <w:ind w:firstLine="397"/>
        <w:jc w:val="both"/>
        <w:rPr>
          <w:rFonts w:ascii="Times New Roman" w:eastAsia="Calibri" w:hAnsi="Times New Roman" w:cs="Simplified Arabic"/>
          <w:sz w:val="26"/>
          <w:szCs w:val="30"/>
          <w:lang w:bidi="ar-EG"/>
        </w:rPr>
      </w:pPr>
      <w:bookmarkStart w:id="4" w:name="_Hlk213788421"/>
      <w:proofErr w:type="gramStart"/>
      <w:r w:rsidRPr="00586478">
        <w:rPr>
          <w:rFonts w:ascii="Times New Roman" w:eastAsia="Calibri" w:hAnsi="Times New Roman" w:cs="Simplified Arabic"/>
          <w:sz w:val="24"/>
          <w:szCs w:val="28"/>
          <w:rtl/>
        </w:rPr>
        <w:t>ي</w:t>
      </w:r>
      <w:r w:rsidR="000941BA">
        <w:rPr>
          <w:rFonts w:ascii="Times New Roman" w:eastAsia="Calibri" w:hAnsi="Times New Roman" w:cs="Simplified Arabic" w:hint="cs"/>
          <w:sz w:val="24"/>
          <w:szCs w:val="28"/>
          <w:rtl/>
        </w:rPr>
        <w:t xml:space="preserve">تناول </w:t>
      </w:r>
      <w:r w:rsidRPr="00586478">
        <w:rPr>
          <w:rFonts w:ascii="Times New Roman" w:eastAsia="Calibri" w:hAnsi="Times New Roman" w:cs="Simplified Arabic"/>
          <w:sz w:val="24"/>
          <w:szCs w:val="28"/>
          <w:rtl/>
        </w:rPr>
        <w:t xml:space="preserve"> </w:t>
      </w:r>
      <w:bookmarkEnd w:id="4"/>
      <w:r w:rsidR="000941BA" w:rsidRPr="000941BA">
        <w:rPr>
          <w:rFonts w:ascii="Times New Roman" w:eastAsia="Calibri" w:hAnsi="Times New Roman" w:cs="Simplified Arabic"/>
          <w:sz w:val="26"/>
          <w:szCs w:val="30"/>
          <w:rtl/>
        </w:rPr>
        <w:t>هذا</w:t>
      </w:r>
      <w:proofErr w:type="gramEnd"/>
      <w:r w:rsidR="000941BA" w:rsidRPr="000941BA">
        <w:rPr>
          <w:rFonts w:ascii="Times New Roman" w:eastAsia="Calibri" w:hAnsi="Times New Roman" w:cs="Simplified Arabic"/>
          <w:sz w:val="26"/>
          <w:szCs w:val="30"/>
          <w:rtl/>
        </w:rPr>
        <w:t xml:space="preserve"> الفصل عرضاً تحليلياً للأدبيات العلمية ذات الصلة بموضوع الدراسة، حيث ينقسم إلى محورين رئيسيين؛ يستعرض المحور الأول الدراسات السابقة المحلية والعربية والأجنبية التي تناولت متغيرات البحث، مع تقديم تعقيب تحليلي يبرز الفجوة البحثية وموقع الدراسة الحالية منها. في حين يركز المحور الثاني على الإطار النظري الذي يؤصل لمفاهيم إدارة المخاطر المالية والاستدامة التشغيلية في القطاع الصحي، مستنداً إلى أحدث الطروحات الفكرية في هذا المجال</w:t>
      </w:r>
      <w:r w:rsidR="000941BA" w:rsidRPr="000941BA">
        <w:rPr>
          <w:rFonts w:ascii="Times New Roman" w:eastAsia="Calibri" w:hAnsi="Times New Roman" w:cs="Simplified Arabic"/>
          <w:sz w:val="26"/>
          <w:szCs w:val="30"/>
          <w:rtl/>
          <w:lang w:bidi="ar-EG"/>
        </w:rPr>
        <w:t>.</w:t>
      </w:r>
    </w:p>
    <w:p w14:paraId="03BFF40D" w14:textId="77777777" w:rsidR="000941BA" w:rsidRPr="000941BA" w:rsidRDefault="000941BA" w:rsidP="000941BA">
      <w:pPr>
        <w:spacing w:after="0" w:line="360" w:lineRule="auto"/>
        <w:ind w:firstLine="397"/>
        <w:jc w:val="center"/>
        <w:rPr>
          <w:rFonts w:ascii="Times New Roman" w:eastAsia="Calibri" w:hAnsi="Times New Roman" w:cs="Simplified Arabic"/>
          <w:b/>
          <w:bCs/>
          <w:sz w:val="30"/>
          <w:szCs w:val="34"/>
          <w:lang w:bidi="ar-EG"/>
        </w:rPr>
      </w:pPr>
      <w:r w:rsidRPr="000941BA">
        <w:rPr>
          <w:rFonts w:ascii="Times New Roman" w:eastAsia="Calibri" w:hAnsi="Times New Roman" w:cs="Simplified Arabic"/>
          <w:b/>
          <w:bCs/>
          <w:sz w:val="30"/>
          <w:szCs w:val="34"/>
          <w:rtl/>
        </w:rPr>
        <w:t>المحور الأول: الدراسات السابقة</w:t>
      </w:r>
    </w:p>
    <w:p w14:paraId="76025715"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تمهيد</w:t>
      </w:r>
      <w:r w:rsidRPr="000941BA">
        <w:rPr>
          <w:rFonts w:ascii="Times New Roman" w:eastAsia="Calibri" w:hAnsi="Times New Roman" w:cs="Simplified Arabic"/>
          <w:b/>
          <w:bCs/>
          <w:sz w:val="26"/>
          <w:szCs w:val="30"/>
          <w:rtl/>
          <w:lang w:bidi="ar-EG"/>
        </w:rPr>
        <w:t>:</w:t>
      </w:r>
      <w:r w:rsidRPr="000941BA">
        <w:rPr>
          <w:rFonts w:ascii="Times New Roman" w:eastAsia="Calibri" w:hAnsi="Times New Roman" w:cs="Simplified Arabic"/>
          <w:sz w:val="26"/>
          <w:szCs w:val="30"/>
          <w:lang w:bidi="ar-EG"/>
        </w:rPr>
        <w:br/>
      </w:r>
      <w:r w:rsidRPr="000941BA">
        <w:rPr>
          <w:rFonts w:ascii="Times New Roman" w:eastAsia="Calibri" w:hAnsi="Times New Roman" w:cs="Simplified Arabic"/>
          <w:sz w:val="26"/>
          <w:szCs w:val="30"/>
          <w:rtl/>
        </w:rPr>
        <w:t>يُعد استعراض الدراسات السابقة خطوة منهجية ضرورية لتكوين قاعدة معرفية رصينة، وفهم التطورات البحثية في مجال إدارة المخاطر والاستدامة. وفيما يلي عرض لأبرز الدراسات التي تم تصنيفها وفقاً للبيئة الجغرافية والترتيب الزمني من الأحدث إلى الأقدم</w:t>
      </w:r>
      <w:r w:rsidRPr="000941BA">
        <w:rPr>
          <w:rFonts w:ascii="Times New Roman" w:eastAsia="Calibri" w:hAnsi="Times New Roman" w:cs="Simplified Arabic"/>
          <w:sz w:val="26"/>
          <w:szCs w:val="30"/>
          <w:rtl/>
          <w:lang w:bidi="ar-EG"/>
        </w:rPr>
        <w:t>:</w:t>
      </w:r>
    </w:p>
    <w:p w14:paraId="52D3C1F4"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أولاً: دراسات محلية</w:t>
      </w:r>
    </w:p>
    <w:p w14:paraId="20C49B43"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في سياق البيئة السعودية، تم رصد مجموعة من الدراسات الحديثة التي تناولت جوانب مالية وإدارية في القطاع الصحي، ومنها</w:t>
      </w:r>
      <w:r w:rsidRPr="000941BA">
        <w:rPr>
          <w:rFonts w:ascii="Times New Roman" w:eastAsia="Calibri" w:hAnsi="Times New Roman" w:cs="Simplified Arabic"/>
          <w:sz w:val="26"/>
          <w:szCs w:val="30"/>
          <w:rtl/>
          <w:lang w:bidi="ar-EG"/>
        </w:rPr>
        <w:t>:</w:t>
      </w:r>
    </w:p>
    <w:p w14:paraId="31852937"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دراسة "آل مقبول وآخرون" (2025)، المملكة العربية السعودية، بعنوان: "تقييم دور الإدارة المالية وعلاقتها بكفاءة الأداء في القطاع الصحي بالمملكة العربية السعودية: دراسة تطبيقية". </w:t>
      </w:r>
      <w:r w:rsidRPr="000941BA">
        <w:rPr>
          <w:rFonts w:ascii="Times New Roman" w:eastAsia="Calibri" w:hAnsi="Times New Roman" w:cs="Simplified Arabic"/>
          <w:sz w:val="26"/>
          <w:szCs w:val="30"/>
          <w:rtl/>
        </w:rPr>
        <w:lastRenderedPageBreak/>
        <w:t>هدفت الدراسة إلى تقييم مستوى ممارسات الإدارة المالية وأثرها في تعزيز كفاءة الأداء المؤسسي في المنشآت الصحية. واعتمدت الدراسة المنهج الوصفي التحليلي، مستخدمة الاستبانة كأداة لجمع البيانات من عينة شملت العاملين في الإدارات المالية والإدارية بالقطاع الصحي. وتوصلت النتائج إلى وجود علاقة طردية قوية بين التخطيط المالي السليم وكفاءة الأداء التشغيلي، كما أظهرت أن ضعف الرقابة المالية يؤدي إلى هدر الموارد. وأوصت الدراسة بضرورة تبني أنظمة مالية إلكترونية متطورة لرفع مستوى الدقة والشفافية في العمليات المالية</w:t>
      </w:r>
      <w:r w:rsidRPr="000941BA">
        <w:rPr>
          <w:rFonts w:ascii="Times New Roman" w:eastAsia="Calibri" w:hAnsi="Times New Roman" w:cs="Simplified Arabic"/>
          <w:sz w:val="26"/>
          <w:szCs w:val="30"/>
          <w:rtl/>
          <w:lang w:bidi="ar-EG"/>
        </w:rPr>
        <w:t>.</w:t>
      </w:r>
    </w:p>
    <w:p w14:paraId="5C8AEE95"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ودراسة "حراز" (2025)، المملكة العربية السعودية، بعنوان: "فعالية تطبيق نموذج التكاليف على أساس النشاط الموجه بالوقت</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TDABC</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في تحسين قرارات تسعير القطاع الصحي: دراسة حالة". سعت الدراسة إلى بيان دور نماذج التكاليف الحديثة في ضبط الهدر المالي وتحسين قرارات التسعير في المستشفيات. واتبعت الدراسة منهج دراسة الحالة، معتمدة على البيانات المالية والسجلات المحاسبية لإحدى المستشفيات الكبرى. وأسفرت النتائج عن أن التطبيق الدقيق لنظام التكاليف يسهم في تحديد الأنشطة التي لا تضيف قيمة، مما يعزز من الكفاءة التشغيلية والاستدامة المالية. وقدمت الدراسة توصية بأهمية التحول من النظم التقليدية إلى النظم الحديثة في محاسبة التكاليف لضمان دقة البيانات المالية</w:t>
      </w:r>
      <w:r w:rsidRPr="000941BA">
        <w:rPr>
          <w:rFonts w:ascii="Times New Roman" w:eastAsia="Calibri" w:hAnsi="Times New Roman" w:cs="Simplified Arabic"/>
          <w:sz w:val="26"/>
          <w:szCs w:val="30"/>
          <w:rtl/>
          <w:lang w:bidi="ar-EG"/>
        </w:rPr>
        <w:t>.</w:t>
      </w:r>
    </w:p>
    <w:p w14:paraId="58EFAE88"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ودراسة "الحربي" (2025)، المملكة العربية السعودية، بعنوان: "تقييم أثر خصخصة القطاع الصحي في تحسين أداء العاملين: دراسة تطبيقية (مستشفيات مكة المكرمة)". هدفت هذه الدراسة إلى الكشف عن انعكاسات التحول نحو الخصخصة والتشغيل الذاتي على الأداء الفعلي للكوادر الصحية. واستخدمت المنهج الوصفي التحليلي، عبر توزيع استبانة على عينة </w:t>
      </w:r>
      <w:r w:rsidRPr="000941BA">
        <w:rPr>
          <w:rFonts w:ascii="Times New Roman" w:eastAsia="Calibri" w:hAnsi="Times New Roman" w:cs="Simplified Arabic"/>
          <w:sz w:val="26"/>
          <w:szCs w:val="30"/>
          <w:rtl/>
        </w:rPr>
        <w:lastRenderedPageBreak/>
        <w:t>عشوائية من الممارسين الصحيين والإداريين في مستشفيات مكة المكرمة. وبينت النتائج أن السياسات المالية المرتبطة بالخصخصة ساهمت في رفع كفاءة الإنفاق وتحسين بيئة العمل، إلا أنها فرضت تحديات تتعلق بالأمان الوظيفي. وأوصت الدراسة بضرورة الموازنة بين الأهداف الربحية وجودة الرعاية الصحية المقدمة للمستفيدين</w:t>
      </w:r>
      <w:r w:rsidRPr="000941BA">
        <w:rPr>
          <w:rFonts w:ascii="Times New Roman" w:eastAsia="Calibri" w:hAnsi="Times New Roman" w:cs="Simplified Arabic"/>
          <w:sz w:val="26"/>
          <w:szCs w:val="30"/>
          <w:rtl/>
          <w:lang w:bidi="ar-EG"/>
        </w:rPr>
        <w:t>.</w:t>
      </w:r>
    </w:p>
    <w:p w14:paraId="7E078087"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أما دراسة "الرويلي" (2024)، المملكة العربية السعودية، بعنوان: "أثر نظام الصحة الإلكترونية على أداء العاملين في القطاع الصحي". فقد ركزت على قياس دور التقنيات الحديثة والأنظمة الإلكترونية في تحسين الأداء التشغيلي وتقليل الأخطاء البشرية. واعتمدت الدراسة المنهج الكمي، مستخدمة الاستبانة كأداة رئيسة لجمع البيانات من عينة من العاملين في المستشفيات الحكومية. وتوصلت النتائج إلى أن تطبيق الأنظمة الإلكترونية يسهم بشكل مباشر في تسريع العمليات الإدارية والمالية، مما ينعكس إيجاباً على استمرارية الخدمة. وأوصت الدراسة بتكثيف البرامج التدريبية لتمكين العاملين من التعامل مع الأنظمة الرقمية بكفاءة</w:t>
      </w:r>
      <w:r w:rsidRPr="000941BA">
        <w:rPr>
          <w:rFonts w:ascii="Times New Roman" w:eastAsia="Calibri" w:hAnsi="Times New Roman" w:cs="Simplified Arabic"/>
          <w:sz w:val="26"/>
          <w:szCs w:val="30"/>
          <w:rtl/>
          <w:lang w:bidi="ar-EG"/>
        </w:rPr>
        <w:t>.</w:t>
      </w:r>
    </w:p>
    <w:p w14:paraId="00DAB52E"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وختاماً، دراسة "حسن" (2020)، المملكة العربية السعودية، بعنوان: "القطاع الصحي السعودي ما بين مرحلة الإنشاء والرقابة الداخلية والخارجية بالمملكة والنظام الدولي". هدفت الدراسة إلى تحليل واقع أنظمة الرقابة المالية والإدارية في المؤسسات الصحية السعودية ومقارنتها بالمعايير الدولية. واتبعت الدراسة المنهج الاستقرائي المقارن، من خلال تحليل الوثائق والأنظمة واللوائح ذات الصلة. وخلصت النتائج إلى وجود فجوة في تطبيق معايير الرقابة الداخلية للمخاطر، مما يؤثر على كفاءة إدارة الموارد. وأوصت الدراسة بضرورة تفعيل </w:t>
      </w:r>
      <w:r w:rsidRPr="000941BA">
        <w:rPr>
          <w:rFonts w:ascii="Times New Roman" w:eastAsia="Calibri" w:hAnsi="Times New Roman" w:cs="Simplified Arabic"/>
          <w:sz w:val="26"/>
          <w:szCs w:val="30"/>
          <w:rtl/>
        </w:rPr>
        <w:lastRenderedPageBreak/>
        <w:t>وحدات إدارة المخاطر والالتزام بالمعايير الدولية لضمان سلامة المركز المالي للمنشآت الصحية</w:t>
      </w:r>
      <w:r w:rsidRPr="000941BA">
        <w:rPr>
          <w:rFonts w:ascii="Times New Roman" w:eastAsia="Calibri" w:hAnsi="Times New Roman" w:cs="Simplified Arabic"/>
          <w:sz w:val="26"/>
          <w:szCs w:val="30"/>
          <w:rtl/>
          <w:lang w:bidi="ar-EG"/>
        </w:rPr>
        <w:t>.</w:t>
      </w:r>
    </w:p>
    <w:p w14:paraId="61655C2F"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ثانياً: دراسات عربية</w:t>
      </w:r>
    </w:p>
    <w:p w14:paraId="088E52F1"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وعلى الصعيد العربي، برزت دراسات عالجت قضايا المخاطر والاستدامة في بيئات مشابهة، ومنها</w:t>
      </w:r>
      <w:r w:rsidRPr="000941BA">
        <w:rPr>
          <w:rFonts w:ascii="Times New Roman" w:eastAsia="Calibri" w:hAnsi="Times New Roman" w:cs="Simplified Arabic"/>
          <w:sz w:val="26"/>
          <w:szCs w:val="30"/>
          <w:rtl/>
          <w:lang w:bidi="ar-EG"/>
        </w:rPr>
        <w:t>:</w:t>
      </w:r>
    </w:p>
    <w:p w14:paraId="57109AA7"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دراسة "</w:t>
      </w:r>
      <w:proofErr w:type="spellStart"/>
      <w:r w:rsidRPr="000941BA">
        <w:rPr>
          <w:rFonts w:ascii="Times New Roman" w:eastAsia="Calibri" w:hAnsi="Times New Roman" w:cs="Simplified Arabic"/>
          <w:sz w:val="26"/>
          <w:szCs w:val="30"/>
          <w:rtl/>
        </w:rPr>
        <w:t>الحبو</w:t>
      </w:r>
      <w:proofErr w:type="spellEnd"/>
      <w:r w:rsidRPr="000941BA">
        <w:rPr>
          <w:rFonts w:ascii="Times New Roman" w:eastAsia="Calibri" w:hAnsi="Times New Roman" w:cs="Simplified Arabic"/>
          <w:sz w:val="26"/>
          <w:szCs w:val="30"/>
          <w:rtl/>
        </w:rPr>
        <w:t xml:space="preserve"> وآخرون" (2025)، العراق، بعنوان: "مدى إسهام التدقيق الداخلي في الحد من المخاطر المالية وتحقيق الاستدامة المالية لوحدات التمويل الذاتي: دراسة حالة في محافظة نينوى". هدفت الدراسة إلى بيان دور التدقيق الداخلي كخط دفاع في مواجهة المخاطر المالية وتعزيز الاستدامة. واستخدمت المنهج الوصفي التحليلي، وتكونت عينة الدراسة من المدققين والمحاسبين في الوحدات الصحية والخدمية. وأظهرت النتائج أن تفعيل إجراءات التدقيق يحد بشكل ملموس من المخاطر المالية ويسهم في ديمومة عمل الوحدات ذات التمويل الذاتي. وأوصت الدراسة بضرورة منح صلاحيات أوسع لأقسام التدقيق الداخلي لتقييم المخاطر بشكل دوري</w:t>
      </w:r>
      <w:r w:rsidRPr="000941BA">
        <w:rPr>
          <w:rFonts w:ascii="Times New Roman" w:eastAsia="Calibri" w:hAnsi="Times New Roman" w:cs="Simplified Arabic"/>
          <w:sz w:val="26"/>
          <w:szCs w:val="30"/>
          <w:rtl/>
          <w:lang w:bidi="ar-EG"/>
        </w:rPr>
        <w:t>.</w:t>
      </w:r>
    </w:p>
    <w:p w14:paraId="3309CDDD"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ودراسة "سعيد وشوكت" (2024)، العراق، بعنوان: "متطلبات استدامة الخدمات الصحية العامة وأهم العوامل المؤثرة عليها في العراق". سعت الدراسة لتحديد المتطلبات الأساسية لضمان استمرارية الخدمات الصحية في ظل التحديات الاقتصادية. واعتمدت المنهج التحليلي، مستندة إلى بيانات إحصائية وتقارير رسمية حول أداء القطاع الصحي. وتوصلت النتائج إلى أن التذبذب في التمويل وغياب التخطيط الاستراتيجي للمخاطر يعدان من أبرز معوقات </w:t>
      </w:r>
      <w:r w:rsidRPr="000941BA">
        <w:rPr>
          <w:rFonts w:ascii="Times New Roman" w:eastAsia="Calibri" w:hAnsi="Times New Roman" w:cs="Simplified Arabic"/>
          <w:sz w:val="26"/>
          <w:szCs w:val="30"/>
          <w:rtl/>
        </w:rPr>
        <w:lastRenderedPageBreak/>
        <w:t>الاستدامة. وأوصت الدراسة بضرورة تنويع مصادر التمويل وتبني سياسات وقائية لضمان تدفق الخدمات</w:t>
      </w:r>
      <w:r w:rsidRPr="000941BA">
        <w:rPr>
          <w:rFonts w:ascii="Times New Roman" w:eastAsia="Calibri" w:hAnsi="Times New Roman" w:cs="Simplified Arabic"/>
          <w:sz w:val="26"/>
          <w:szCs w:val="30"/>
          <w:rtl/>
          <w:lang w:bidi="ar-EG"/>
        </w:rPr>
        <w:t>.</w:t>
      </w:r>
    </w:p>
    <w:p w14:paraId="1A2B5EEB"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ودراسة "فتح الله وكمال الدين" (2023)، لبنان، بعنوان: "تأثير ظروف بيئة العمل على أداء العاملين في المستشفيات اللبنانية الخاصة خلال الأزمة المالية اللبنانية". هدفت الدراسة إلى استقصاء أثر الأزمات المالية الحادة على الأداء التشغيلي للكوادر الطبية. واستخدمت المنهج الوصفي، مطبقة استبانة على عينة من العاملين في مستشفيات شمال لبنان. وبينت النتائج أن الضغوط المالية والمخاطر الاقتصادية أثرت سلباً على جودة الخدمة واستقرار الكوادر البشرية. وقدمت الدراسة توصية بضرورة وضع خطط طوارئ مالية لإدارة الأزمات والحفاظ على الحد الأدنى من الاستدامة التشغيلية</w:t>
      </w:r>
      <w:r w:rsidRPr="000941BA">
        <w:rPr>
          <w:rFonts w:ascii="Times New Roman" w:eastAsia="Calibri" w:hAnsi="Times New Roman" w:cs="Simplified Arabic"/>
          <w:sz w:val="26"/>
          <w:szCs w:val="30"/>
          <w:rtl/>
          <w:lang w:bidi="ar-EG"/>
        </w:rPr>
        <w:t>.</w:t>
      </w:r>
    </w:p>
    <w:p w14:paraId="0CE529BA"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ودراسة "عبد اللطيف وآخرون" (2022)، مصر، بعنوان: "تفعيل دور إدارة المخاطر التشغيلية لتحسين الأداء المالي والإداري للبنوك لتحقيق أهداف التنمية المستدامة". وبالرغم من تطبيقها على القطاع المصرفي، إلا أنها هدفت لربط إدارة المخاطر بتحسين الأداء المستدام، وهو ما يتقاطع مع متغيرات الدراسة الحالية. واتبعت المنهج الوصفي التحليلي، مستخدمة الاستبانة لجمع البيانات. وأسفرت النتائج عن أن الإدارة الفعالة للمخاطر التشغيلية تؤدي إلى تحسين المؤشرات المالية وتدعم التوجه نحو الاستدامة. وأوصت بدمج أهداف التنمية المستدامة ضمن استراتيجيات إدارة المخاطر</w:t>
      </w:r>
      <w:r w:rsidRPr="000941BA">
        <w:rPr>
          <w:rFonts w:ascii="Times New Roman" w:eastAsia="Calibri" w:hAnsi="Times New Roman" w:cs="Simplified Arabic"/>
          <w:sz w:val="26"/>
          <w:szCs w:val="30"/>
          <w:rtl/>
          <w:lang w:bidi="ar-EG"/>
        </w:rPr>
        <w:t>.</w:t>
      </w:r>
    </w:p>
    <w:p w14:paraId="4E7E7B91"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ودراسة "</w:t>
      </w:r>
      <w:proofErr w:type="spellStart"/>
      <w:r w:rsidRPr="000941BA">
        <w:rPr>
          <w:rFonts w:ascii="Times New Roman" w:eastAsia="Calibri" w:hAnsi="Times New Roman" w:cs="Simplified Arabic"/>
          <w:sz w:val="26"/>
          <w:szCs w:val="30"/>
          <w:rtl/>
        </w:rPr>
        <w:t>غنو</w:t>
      </w:r>
      <w:proofErr w:type="spellEnd"/>
      <w:r w:rsidRPr="000941BA">
        <w:rPr>
          <w:rFonts w:ascii="Times New Roman" w:eastAsia="Calibri" w:hAnsi="Times New Roman" w:cs="Simplified Arabic"/>
          <w:sz w:val="26"/>
          <w:szCs w:val="30"/>
          <w:rtl/>
        </w:rPr>
        <w:t xml:space="preserve">" (2021)، الجزائر، بعنوان: "التنمية الصحية المستدامة في الجزائر وفرص المضي قدماً نحو 2030". هدفت الدراسة إلى تشخيص واقع النظام الصحي الجزائري ومدى قدرته على تحقيق أهداف التنمية المستدامة. واعتمدت المنهج التحليلي للبيانات والمؤشرات </w:t>
      </w:r>
      <w:r w:rsidRPr="000941BA">
        <w:rPr>
          <w:rFonts w:ascii="Times New Roman" w:eastAsia="Calibri" w:hAnsi="Times New Roman" w:cs="Simplified Arabic"/>
          <w:sz w:val="26"/>
          <w:szCs w:val="30"/>
          <w:rtl/>
        </w:rPr>
        <w:lastRenderedPageBreak/>
        <w:t>الصحية. وتوصلت النتائج إلى أن النظام الصحي يعاني من تحديات في الكفاءة وتخصيص الموارد تعيق تحقيق الاستدامة الكاملة. وأوصت الدراسة بضرورة إصلاح منظومة التمويل الصحي وتبني آليات حوكمة رشيدة</w:t>
      </w:r>
      <w:r w:rsidRPr="000941BA">
        <w:rPr>
          <w:rFonts w:ascii="Times New Roman" w:eastAsia="Calibri" w:hAnsi="Times New Roman" w:cs="Simplified Arabic"/>
          <w:sz w:val="26"/>
          <w:szCs w:val="30"/>
          <w:rtl/>
          <w:lang w:bidi="ar-EG"/>
        </w:rPr>
        <w:t>.</w:t>
      </w:r>
    </w:p>
    <w:p w14:paraId="65574FF3"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وأخيراً، دراسة "شعبان وشعباني" (2020)، الجزائر، بعنوان: "بطاقة الأداء المتوازن الصحية كأهم أداة حديثة لتفعيل الحوكمة الصحية في المؤسسات الصحية". سعت الدراسة لإبراز دور أدوات القياس الاستراتيجي في تحسين الحوكمة والأداء. واستخدمت منهج دراسة الحالة لإحدى المؤسسات الاستشفائية. وأظهرت النتائج أن استخدام بطاقة الأداء المتوازن يساعد في المراقبة الدقيقة للمؤشرات المالية والتشغيلية، مما يعزز من فرص الاستدامة. وأوصت بتعميم استخدام أدوات القياس الحديثة في المستشفيات العمومية</w:t>
      </w:r>
      <w:r w:rsidRPr="000941BA">
        <w:rPr>
          <w:rFonts w:ascii="Times New Roman" w:eastAsia="Calibri" w:hAnsi="Times New Roman" w:cs="Simplified Arabic"/>
          <w:sz w:val="26"/>
          <w:szCs w:val="30"/>
          <w:rtl/>
          <w:lang w:bidi="ar-EG"/>
        </w:rPr>
        <w:t>.</w:t>
      </w:r>
    </w:p>
    <w:p w14:paraId="61A31B28"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ثالثاً: دراسات أجنبية</w:t>
      </w:r>
    </w:p>
    <w:p w14:paraId="4955AD5D"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rPr>
        <w:t xml:space="preserve">وفي </w:t>
      </w:r>
      <w:r w:rsidRPr="000941BA">
        <w:rPr>
          <w:rFonts w:ascii="Times New Roman" w:eastAsia="Calibri" w:hAnsi="Times New Roman" w:cs="Simplified Arabic"/>
          <w:sz w:val="26"/>
          <w:szCs w:val="30"/>
          <w:rtl/>
          <w:lang w:bidi="ar-EG"/>
        </w:rPr>
        <w:t>السياق الدولي، تناولت الدراسات أبعاداً متقدمة في إدارة المخاطر والاستدامة، ومن أبرزها:</w:t>
      </w:r>
    </w:p>
    <w:p w14:paraId="76E8AED6"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دراسة "</w:t>
      </w:r>
      <w:proofErr w:type="spellStart"/>
      <w:r w:rsidRPr="000941BA">
        <w:rPr>
          <w:rFonts w:ascii="Times New Roman" w:eastAsia="Calibri" w:hAnsi="Times New Roman" w:cs="Simplified Arabic"/>
          <w:sz w:val="26"/>
          <w:szCs w:val="30"/>
          <w:rtl/>
          <w:lang w:bidi="ar-EG"/>
        </w:rPr>
        <w:t>سيرمحاتاكيت</w:t>
      </w:r>
      <w:proofErr w:type="spellEnd"/>
      <w:r w:rsidRPr="000941BA">
        <w:rPr>
          <w:rFonts w:ascii="Times New Roman" w:eastAsia="Calibri" w:hAnsi="Times New Roman" w:cs="Simplified Arabic"/>
          <w:sz w:val="26"/>
          <w:szCs w:val="30"/>
          <w:rtl/>
          <w:lang w:bidi="ar-EG"/>
        </w:rPr>
        <w:t xml:space="preserve"> </w:t>
      </w:r>
      <w:proofErr w:type="spellStart"/>
      <w:r w:rsidRPr="000941BA">
        <w:rPr>
          <w:rFonts w:ascii="Times New Roman" w:eastAsia="Calibri" w:hAnsi="Times New Roman" w:cs="Simplified Arabic"/>
          <w:sz w:val="26"/>
          <w:szCs w:val="30"/>
          <w:rtl/>
          <w:lang w:bidi="ar-EG"/>
        </w:rPr>
        <w:t>وساي</w:t>
      </w:r>
      <w:proofErr w:type="spellEnd"/>
      <w:r w:rsidRPr="000941BA">
        <w:rPr>
          <w:rFonts w:ascii="Times New Roman" w:eastAsia="Calibri" w:hAnsi="Times New Roman" w:cs="Simplified Arabic"/>
          <w:sz w:val="26"/>
          <w:szCs w:val="30"/>
          <w:rtl/>
          <w:lang w:bidi="ar-EG"/>
        </w:rPr>
        <w:t xml:space="preserve">-ليم" </w:t>
      </w:r>
      <w:r w:rsidRPr="000941BA">
        <w:rPr>
          <w:rFonts w:ascii="Times New Roman" w:eastAsia="Calibri" w:hAnsi="Times New Roman" w:cs="Simplified Arabic"/>
          <w:sz w:val="26"/>
          <w:szCs w:val="30"/>
          <w:lang w:bidi="ar-EG"/>
        </w:rPr>
        <w:t>(</w:t>
      </w:r>
      <w:proofErr w:type="spellStart"/>
      <w:r w:rsidRPr="000941BA">
        <w:rPr>
          <w:rFonts w:ascii="Times New Roman" w:eastAsia="Calibri" w:hAnsi="Times New Roman" w:cs="Simplified Arabic"/>
          <w:sz w:val="26"/>
          <w:szCs w:val="30"/>
          <w:lang w:bidi="ar-EG"/>
        </w:rPr>
        <w:t>Sermhattakit</w:t>
      </w:r>
      <w:proofErr w:type="spellEnd"/>
      <w:r w:rsidRPr="000941BA">
        <w:rPr>
          <w:rFonts w:ascii="Times New Roman" w:eastAsia="Calibri" w:hAnsi="Times New Roman" w:cs="Simplified Arabic"/>
          <w:sz w:val="26"/>
          <w:szCs w:val="30"/>
          <w:lang w:bidi="ar-EG"/>
        </w:rPr>
        <w:t xml:space="preserve"> &amp; </w:t>
      </w:r>
      <w:proofErr w:type="spellStart"/>
      <w:r w:rsidRPr="000941BA">
        <w:rPr>
          <w:rFonts w:ascii="Times New Roman" w:eastAsia="Calibri" w:hAnsi="Times New Roman" w:cs="Simplified Arabic"/>
          <w:sz w:val="26"/>
          <w:szCs w:val="30"/>
          <w:lang w:bidi="ar-EG"/>
        </w:rPr>
        <w:t>Sae</w:t>
      </w:r>
      <w:proofErr w:type="spellEnd"/>
      <w:r w:rsidRPr="000941BA">
        <w:rPr>
          <w:rFonts w:ascii="Times New Roman" w:eastAsia="Calibri" w:hAnsi="Times New Roman" w:cs="Simplified Arabic"/>
          <w:sz w:val="26"/>
          <w:szCs w:val="30"/>
          <w:lang w:bidi="ar-EG"/>
        </w:rPr>
        <w:t>-Lim)</w:t>
      </w:r>
      <w:r w:rsidRPr="000941BA">
        <w:rPr>
          <w:rFonts w:ascii="Times New Roman" w:eastAsia="Calibri" w:hAnsi="Times New Roman" w:cs="Simplified Arabic"/>
          <w:sz w:val="26"/>
          <w:szCs w:val="30"/>
          <w:rtl/>
          <w:lang w:bidi="ar-EG"/>
        </w:rPr>
        <w:t xml:space="preserve"> (2025)، تايلاند، بعنوان: "المخاطر الرئيسية واستراتيجيات التخفيف في إدارة مخاطر المؤسسة للمستشفيات الخاصة: دراسة مختلطة الأساليب" (</w:t>
      </w:r>
      <w:r w:rsidRPr="000941BA">
        <w:rPr>
          <w:rFonts w:ascii="Times New Roman" w:eastAsia="Calibri" w:hAnsi="Times New Roman" w:cs="Simplified Arabic"/>
          <w:sz w:val="26"/>
          <w:szCs w:val="30"/>
          <w:lang w:bidi="ar-EG"/>
        </w:rPr>
        <w:t>Key Risks and Mitigation Strategies in Enterprise Risk Management for Private Hospitals: A Mixed-Method Study</w:t>
      </w:r>
      <w:r w:rsidRPr="000941BA">
        <w:rPr>
          <w:rFonts w:ascii="Times New Roman" w:eastAsia="Calibri" w:hAnsi="Times New Roman" w:cs="Simplified Arabic"/>
          <w:sz w:val="26"/>
          <w:szCs w:val="30"/>
          <w:rtl/>
          <w:lang w:bidi="ar-EG"/>
        </w:rPr>
        <w:t xml:space="preserve">). هدفت الدراسة إلى تحديد المخاطر الحرجة التي تواجه المستشفيات واستراتيجيات التعامل معها. واعتمدت المنهج المختلط (الكمي والنوعي)، مستهدفة عينة من المديرين التنفيذيين ومديري المخاطر. وتوصلت النتائج إلى أن المخاطر المالية والتشغيلية تتصدر قائمة التهديدات، وأن </w:t>
      </w:r>
      <w:r w:rsidRPr="000941BA">
        <w:rPr>
          <w:rFonts w:ascii="Times New Roman" w:eastAsia="Calibri" w:hAnsi="Times New Roman" w:cs="Simplified Arabic"/>
          <w:sz w:val="26"/>
          <w:szCs w:val="30"/>
          <w:rtl/>
          <w:lang w:bidi="ar-EG"/>
        </w:rPr>
        <w:lastRenderedPageBreak/>
        <w:t>الاستراتيجيات الاستباقية هي الأكثر فاعلية في ضمان الاستمرارية. وأوصت بضرورة دمج إدارة المخاطر في الثقافة التنظيمية للمستشفى.</w:t>
      </w:r>
    </w:p>
    <w:p w14:paraId="578830B7"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ودراسة "</w:t>
      </w:r>
      <w:proofErr w:type="spellStart"/>
      <w:r w:rsidRPr="000941BA">
        <w:rPr>
          <w:rFonts w:ascii="Times New Roman" w:eastAsia="Calibri" w:hAnsi="Times New Roman" w:cs="Simplified Arabic"/>
          <w:sz w:val="26"/>
          <w:szCs w:val="30"/>
          <w:rtl/>
          <w:lang w:bidi="ar-EG"/>
        </w:rPr>
        <w:t>شيليكوف</w:t>
      </w:r>
      <w:proofErr w:type="spellEnd"/>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w:t>
      </w:r>
      <w:proofErr w:type="spellStart"/>
      <w:r w:rsidRPr="000941BA">
        <w:rPr>
          <w:rFonts w:ascii="Times New Roman" w:eastAsia="Calibri" w:hAnsi="Times New Roman" w:cs="Simplified Arabic"/>
          <w:sz w:val="26"/>
          <w:szCs w:val="30"/>
          <w:lang w:bidi="ar-EG"/>
        </w:rPr>
        <w:t>Chililov</w:t>
      </w:r>
      <w:proofErr w:type="spellEnd"/>
      <w:r w:rsidRPr="000941BA">
        <w:rPr>
          <w:rFonts w:ascii="Times New Roman" w:eastAsia="Calibri" w:hAnsi="Times New Roman" w:cs="Simplified Arabic"/>
          <w:sz w:val="26"/>
          <w:szCs w:val="30"/>
          <w:lang w:bidi="ar-EG"/>
        </w:rPr>
        <w:t>)</w:t>
      </w:r>
      <w:r w:rsidRPr="000941BA">
        <w:rPr>
          <w:rFonts w:ascii="Times New Roman" w:eastAsia="Calibri" w:hAnsi="Times New Roman" w:cs="Simplified Arabic"/>
          <w:sz w:val="26"/>
          <w:szCs w:val="30"/>
          <w:rtl/>
          <w:lang w:bidi="ar-EG"/>
        </w:rPr>
        <w:t xml:space="preserve"> (2024)، روسيا، بعنوان: "إدارة المخاطر المالية في الرعاية الصحية في توفير الرعاية الطبية عالية التقنية: المخاطر، القياس وآفاق التنمية المستدامة" (</w:t>
      </w:r>
      <w:r w:rsidRPr="000941BA">
        <w:rPr>
          <w:rFonts w:ascii="Times New Roman" w:eastAsia="Calibri" w:hAnsi="Times New Roman" w:cs="Simplified Arabic"/>
          <w:sz w:val="26"/>
          <w:szCs w:val="30"/>
          <w:lang w:bidi="ar-EG"/>
        </w:rPr>
        <w:t>Financial risk management in healthcare in the provision of high-tech medical care: Risks, measurement and prospects for sustainable development</w:t>
      </w:r>
      <w:r w:rsidRPr="000941BA">
        <w:rPr>
          <w:rFonts w:ascii="Times New Roman" w:eastAsia="Calibri" w:hAnsi="Times New Roman" w:cs="Simplified Arabic"/>
          <w:sz w:val="26"/>
          <w:szCs w:val="30"/>
          <w:rtl/>
          <w:lang w:bidi="ar-EG"/>
        </w:rPr>
        <w:t>). سعت الدراسة لتحليل المخاطر المالية المرتبطة بالخدمات الطبية المتقدمة وأثرها على التنمية المستدامة. واستخدمت المنهج التحليلي للنماذج المالية. وأسفرت النتائج عن أن ارتفاع تكاليف التكنولوجيا الطبية يمثل خطراً مالياً يتطلب نماذج تمويل مبتكرة لضمان الاستدامة. وأوصت بتطوير أدوات قياس دقيقة للمخاطر الاستثمارية في القطاع الصحي.</w:t>
      </w:r>
    </w:p>
    <w:p w14:paraId="1EC1C8C1"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ودراسة "</w:t>
      </w:r>
      <w:proofErr w:type="spellStart"/>
      <w:r w:rsidRPr="000941BA">
        <w:rPr>
          <w:rFonts w:ascii="Times New Roman" w:eastAsia="Calibri" w:hAnsi="Times New Roman" w:cs="Simplified Arabic"/>
          <w:sz w:val="26"/>
          <w:szCs w:val="30"/>
          <w:rtl/>
          <w:lang w:bidi="ar-EG"/>
        </w:rPr>
        <w:t>فاسيليو</w:t>
      </w:r>
      <w:proofErr w:type="spellEnd"/>
      <w:r w:rsidRPr="000941BA">
        <w:rPr>
          <w:rFonts w:ascii="Times New Roman" w:eastAsia="Calibri" w:hAnsi="Times New Roman" w:cs="Simplified Arabic"/>
          <w:sz w:val="26"/>
          <w:szCs w:val="30"/>
          <w:rtl/>
          <w:lang w:bidi="ar-EG"/>
        </w:rPr>
        <w:t xml:space="preserve"> وآخرون" </w:t>
      </w:r>
      <w:r w:rsidRPr="000941BA">
        <w:rPr>
          <w:rFonts w:ascii="Times New Roman" w:eastAsia="Calibri" w:hAnsi="Times New Roman" w:cs="Simplified Arabic"/>
          <w:sz w:val="26"/>
          <w:szCs w:val="30"/>
          <w:lang w:bidi="ar-EG"/>
        </w:rPr>
        <w:t>(Vasileiou et al.)</w:t>
      </w:r>
      <w:r w:rsidRPr="000941BA">
        <w:rPr>
          <w:rFonts w:ascii="Times New Roman" w:eastAsia="Calibri" w:hAnsi="Times New Roman" w:cs="Simplified Arabic"/>
          <w:sz w:val="26"/>
          <w:szCs w:val="30"/>
          <w:rtl/>
          <w:lang w:bidi="ar-EG"/>
        </w:rPr>
        <w:t xml:space="preserve"> (2024)، اليونان، بعنوان: "استكشاف تحسينات الاستدامة والكفاءة في الرعاية الصحية: دراسة نوعية" (</w:t>
      </w:r>
      <w:r w:rsidRPr="000941BA">
        <w:rPr>
          <w:rFonts w:ascii="Times New Roman" w:eastAsia="Calibri" w:hAnsi="Times New Roman" w:cs="Simplified Arabic"/>
          <w:sz w:val="26"/>
          <w:szCs w:val="30"/>
          <w:lang w:bidi="ar-EG"/>
        </w:rPr>
        <w:t>Exploring sustainability and efficiency improvements in healthcare: A qualitative study</w:t>
      </w:r>
      <w:r w:rsidRPr="000941BA">
        <w:rPr>
          <w:rFonts w:ascii="Times New Roman" w:eastAsia="Calibri" w:hAnsi="Times New Roman" w:cs="Simplified Arabic"/>
          <w:sz w:val="26"/>
          <w:szCs w:val="30"/>
          <w:rtl/>
          <w:lang w:bidi="ar-EG"/>
        </w:rPr>
        <w:t>). هدفت الدراسة إلى فهم كيفية تحسين الكفاءة التشغيلية لتحقيق الاستدامة في المؤسسات الصحية. واعتمدت المنهج النوعي عبر المقابلات المعمقة مع قادة الرعاية الصحية. وبينت النتائج أن تحسين العمليات وتقليل الهدر هما الركيزتان الأساسيتان للاستدامة المالية والتشغيلية. وأوصت بتبني ممارسات الإدارة الرشيقة (</w:t>
      </w:r>
      <w:r w:rsidRPr="000941BA">
        <w:rPr>
          <w:rFonts w:ascii="Times New Roman" w:eastAsia="Calibri" w:hAnsi="Times New Roman" w:cs="Simplified Arabic"/>
          <w:sz w:val="26"/>
          <w:szCs w:val="30"/>
          <w:lang w:bidi="ar-EG"/>
        </w:rPr>
        <w:t>Lean Management</w:t>
      </w:r>
      <w:r w:rsidRPr="000941BA">
        <w:rPr>
          <w:rFonts w:ascii="Times New Roman" w:eastAsia="Calibri" w:hAnsi="Times New Roman" w:cs="Simplified Arabic"/>
          <w:sz w:val="26"/>
          <w:szCs w:val="30"/>
          <w:rtl/>
          <w:lang w:bidi="ar-EG"/>
        </w:rPr>
        <w:t>) في المستشفيات.</w:t>
      </w:r>
    </w:p>
    <w:p w14:paraId="0B3F59A6"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ودراسة "</w:t>
      </w:r>
      <w:proofErr w:type="spellStart"/>
      <w:r w:rsidRPr="000941BA">
        <w:rPr>
          <w:rFonts w:ascii="Times New Roman" w:eastAsia="Calibri" w:hAnsi="Times New Roman" w:cs="Simplified Arabic"/>
          <w:sz w:val="26"/>
          <w:szCs w:val="30"/>
          <w:rtl/>
          <w:lang w:bidi="ar-EG"/>
        </w:rPr>
        <w:t>موستيبانيوك</w:t>
      </w:r>
      <w:proofErr w:type="spellEnd"/>
      <w:r w:rsidRPr="000941BA">
        <w:rPr>
          <w:rFonts w:ascii="Times New Roman" w:eastAsia="Calibri" w:hAnsi="Times New Roman" w:cs="Simplified Arabic"/>
          <w:sz w:val="26"/>
          <w:szCs w:val="30"/>
          <w:rtl/>
          <w:lang w:bidi="ar-EG"/>
        </w:rPr>
        <w:t xml:space="preserve"> وآخرون" </w:t>
      </w:r>
      <w:r w:rsidRPr="000941BA">
        <w:rPr>
          <w:rFonts w:ascii="Times New Roman" w:eastAsia="Calibri" w:hAnsi="Times New Roman" w:cs="Simplified Arabic"/>
          <w:sz w:val="26"/>
          <w:szCs w:val="30"/>
          <w:lang w:bidi="ar-EG"/>
        </w:rPr>
        <w:t>(</w:t>
      </w:r>
      <w:proofErr w:type="spellStart"/>
      <w:r w:rsidRPr="000941BA">
        <w:rPr>
          <w:rFonts w:ascii="Times New Roman" w:eastAsia="Calibri" w:hAnsi="Times New Roman" w:cs="Simplified Arabic"/>
          <w:sz w:val="26"/>
          <w:szCs w:val="30"/>
          <w:lang w:bidi="ar-EG"/>
        </w:rPr>
        <w:t>Mostepaniuk</w:t>
      </w:r>
      <w:proofErr w:type="spellEnd"/>
      <w:r w:rsidRPr="000941BA">
        <w:rPr>
          <w:rFonts w:ascii="Times New Roman" w:eastAsia="Calibri" w:hAnsi="Times New Roman" w:cs="Simplified Arabic"/>
          <w:sz w:val="26"/>
          <w:szCs w:val="30"/>
          <w:lang w:bidi="ar-EG"/>
        </w:rPr>
        <w:t xml:space="preserve"> et al.)</w:t>
      </w:r>
      <w:r w:rsidRPr="000941BA">
        <w:rPr>
          <w:rFonts w:ascii="Times New Roman" w:eastAsia="Calibri" w:hAnsi="Times New Roman" w:cs="Simplified Arabic"/>
          <w:sz w:val="26"/>
          <w:szCs w:val="30"/>
          <w:rtl/>
          <w:lang w:bidi="ar-EG"/>
        </w:rPr>
        <w:t xml:space="preserve"> (2023)، قبرص/دولي، بعنوان: "الممارسات التي تسعى لاستدامة منظمة الرعاية الصحية: مراجعة منهجية" (</w:t>
      </w:r>
      <w:r w:rsidRPr="000941BA">
        <w:rPr>
          <w:rFonts w:ascii="Times New Roman" w:eastAsia="Calibri" w:hAnsi="Times New Roman" w:cs="Simplified Arabic"/>
          <w:sz w:val="26"/>
          <w:szCs w:val="30"/>
          <w:lang w:bidi="ar-EG"/>
        </w:rPr>
        <w:t xml:space="preserve">Practices </w:t>
      </w:r>
      <w:r w:rsidRPr="000941BA">
        <w:rPr>
          <w:rFonts w:ascii="Times New Roman" w:eastAsia="Calibri" w:hAnsi="Times New Roman" w:cs="Simplified Arabic"/>
          <w:sz w:val="26"/>
          <w:szCs w:val="30"/>
          <w:lang w:bidi="ar-EG"/>
        </w:rPr>
        <w:lastRenderedPageBreak/>
        <w:t>pursuing the sustainability of a healthcare organization: A systematic review</w:t>
      </w:r>
      <w:r w:rsidRPr="000941BA">
        <w:rPr>
          <w:rFonts w:ascii="Times New Roman" w:eastAsia="Calibri" w:hAnsi="Times New Roman" w:cs="Simplified Arabic"/>
          <w:sz w:val="26"/>
          <w:szCs w:val="30"/>
          <w:rtl/>
          <w:lang w:bidi="ar-EG"/>
        </w:rPr>
        <w:t>). هدفت الدراسة إلى تجميع وتصنيف الممارسات العالمية الفضلى التي تعزز استدامة المؤسسات الصحية. واستخدمت منهج المراجعة المنهجية للأدبيات السابقة. وتوصلت النتائج إلى أن الاستدامة تتطلب نهجاً شمولياً يدمج بين المسؤولية المالية والتميز التشغيلي والبعد الاجتماعي. وأوصت بضرورة وجود استراتيجية واضحة للاستدامة مدعومة من الإدارة العليا.</w:t>
      </w:r>
    </w:p>
    <w:p w14:paraId="185EFE5D"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ودراسة "</w:t>
      </w:r>
      <w:proofErr w:type="spellStart"/>
      <w:r w:rsidRPr="000941BA">
        <w:rPr>
          <w:rFonts w:ascii="Times New Roman" w:eastAsia="Calibri" w:hAnsi="Times New Roman" w:cs="Simplified Arabic"/>
          <w:sz w:val="26"/>
          <w:szCs w:val="30"/>
          <w:rtl/>
          <w:lang w:bidi="ar-EG"/>
        </w:rPr>
        <w:t>بورجيس</w:t>
      </w:r>
      <w:proofErr w:type="spellEnd"/>
      <w:r w:rsidRPr="000941BA">
        <w:rPr>
          <w:rFonts w:ascii="Times New Roman" w:eastAsia="Calibri" w:hAnsi="Times New Roman" w:cs="Simplified Arabic"/>
          <w:sz w:val="26"/>
          <w:szCs w:val="30"/>
          <w:rtl/>
          <w:lang w:bidi="ar-EG"/>
        </w:rPr>
        <w:t xml:space="preserve"> دي أوليفيرا وآخرون" </w:t>
      </w:r>
      <w:r w:rsidRPr="000941BA">
        <w:rPr>
          <w:rFonts w:ascii="Times New Roman" w:eastAsia="Calibri" w:hAnsi="Times New Roman" w:cs="Simplified Arabic"/>
          <w:sz w:val="26"/>
          <w:szCs w:val="30"/>
          <w:lang w:bidi="ar-EG"/>
        </w:rPr>
        <w:t>(Borges de Oliveira et al.)</w:t>
      </w:r>
      <w:r w:rsidRPr="000941BA">
        <w:rPr>
          <w:rFonts w:ascii="Times New Roman" w:eastAsia="Calibri" w:hAnsi="Times New Roman" w:cs="Simplified Arabic"/>
          <w:sz w:val="26"/>
          <w:szCs w:val="30"/>
          <w:rtl/>
          <w:lang w:bidi="ar-EG"/>
        </w:rPr>
        <w:t xml:space="preserve"> (2022)، البرازيل، بعنوان: "جعل المستشفيات مستدامة: نحو خدمات أكثر خضرة وعدالة وازدهاراً" (</w:t>
      </w:r>
      <w:r w:rsidRPr="000941BA">
        <w:rPr>
          <w:rFonts w:ascii="Times New Roman" w:eastAsia="Calibri" w:hAnsi="Times New Roman" w:cs="Simplified Arabic"/>
          <w:sz w:val="26"/>
          <w:szCs w:val="30"/>
          <w:lang w:bidi="ar-EG"/>
        </w:rPr>
        <w:t>Making Hospitals Sustainable: Towards Greener, Fairer and More Prosperous Services</w:t>
      </w:r>
      <w:r w:rsidRPr="000941BA">
        <w:rPr>
          <w:rFonts w:ascii="Times New Roman" w:eastAsia="Calibri" w:hAnsi="Times New Roman" w:cs="Simplified Arabic"/>
          <w:sz w:val="26"/>
          <w:szCs w:val="30"/>
          <w:rtl/>
          <w:lang w:bidi="ar-EG"/>
        </w:rPr>
        <w:t>). سعت الدراسة لتقديم إطار عمل شامل للمستشفيات المستدامة. واعتمدت المنهج النظري التحليلي. وأظهرت النتائج أن الاستدامة المالية (الازدهار) لا تنفصل عن الاستدامة التشغيلية والبيئية. وأوصت الدراسة بتبني نماذج أعمال مرنة قادرة على التكيف مع التغيرات الاقتصادية.</w:t>
      </w:r>
    </w:p>
    <w:p w14:paraId="0F50ED16"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ودراسة "</w:t>
      </w:r>
      <w:proofErr w:type="spellStart"/>
      <w:r w:rsidRPr="000941BA">
        <w:rPr>
          <w:rFonts w:ascii="Times New Roman" w:eastAsia="Calibri" w:hAnsi="Times New Roman" w:cs="Simplified Arabic"/>
          <w:sz w:val="26"/>
          <w:szCs w:val="30"/>
          <w:rtl/>
          <w:lang w:bidi="ar-EG"/>
        </w:rPr>
        <w:t>دوباس-جاكوبزيك</w:t>
      </w:r>
      <w:proofErr w:type="spellEnd"/>
      <w:r w:rsidRPr="000941BA">
        <w:rPr>
          <w:rFonts w:ascii="Times New Roman" w:eastAsia="Calibri" w:hAnsi="Times New Roman" w:cs="Simplified Arabic"/>
          <w:sz w:val="26"/>
          <w:szCs w:val="30"/>
          <w:rtl/>
          <w:lang w:bidi="ar-EG"/>
        </w:rPr>
        <w:t xml:space="preserve"> وآخرون" </w:t>
      </w:r>
      <w:r w:rsidRPr="000941BA">
        <w:rPr>
          <w:rFonts w:ascii="Times New Roman" w:eastAsia="Calibri" w:hAnsi="Times New Roman" w:cs="Simplified Arabic"/>
          <w:sz w:val="26"/>
          <w:szCs w:val="30"/>
          <w:lang w:bidi="ar-EG"/>
        </w:rPr>
        <w:t>(Dubas-</w:t>
      </w:r>
      <w:proofErr w:type="spellStart"/>
      <w:r w:rsidRPr="000941BA">
        <w:rPr>
          <w:rFonts w:ascii="Times New Roman" w:eastAsia="Calibri" w:hAnsi="Times New Roman" w:cs="Simplified Arabic"/>
          <w:sz w:val="26"/>
          <w:szCs w:val="30"/>
          <w:lang w:bidi="ar-EG"/>
        </w:rPr>
        <w:t>Jakóbczyk</w:t>
      </w:r>
      <w:proofErr w:type="spellEnd"/>
      <w:r w:rsidRPr="000941BA">
        <w:rPr>
          <w:rFonts w:ascii="Times New Roman" w:eastAsia="Calibri" w:hAnsi="Times New Roman" w:cs="Simplified Arabic"/>
          <w:sz w:val="26"/>
          <w:szCs w:val="30"/>
          <w:lang w:bidi="ar-EG"/>
        </w:rPr>
        <w:t xml:space="preserve"> et al.)</w:t>
      </w:r>
      <w:r w:rsidRPr="000941BA">
        <w:rPr>
          <w:rFonts w:ascii="Times New Roman" w:eastAsia="Calibri" w:hAnsi="Times New Roman" w:cs="Simplified Arabic"/>
          <w:sz w:val="26"/>
          <w:szCs w:val="30"/>
          <w:rtl/>
          <w:lang w:bidi="ar-EG"/>
        </w:rPr>
        <w:t xml:space="preserve"> (2022)، بولندا/دولي، بعنوان: "العلاقة بين الأداء المالي للمستشفى وجودة الرعاية – مراجعة نطاقية للأدبيات" (</w:t>
      </w:r>
      <w:r w:rsidRPr="000941BA">
        <w:rPr>
          <w:rFonts w:ascii="Times New Roman" w:eastAsia="Calibri" w:hAnsi="Times New Roman" w:cs="Simplified Arabic"/>
          <w:sz w:val="26"/>
          <w:szCs w:val="30"/>
          <w:lang w:bidi="ar-EG"/>
        </w:rPr>
        <w:t>The association between hospital financial performance and the quality of care – a scoping literature review</w:t>
      </w:r>
      <w:r w:rsidRPr="000941BA">
        <w:rPr>
          <w:rFonts w:ascii="Times New Roman" w:eastAsia="Calibri" w:hAnsi="Times New Roman" w:cs="Simplified Arabic"/>
          <w:sz w:val="26"/>
          <w:szCs w:val="30"/>
          <w:rtl/>
          <w:lang w:bidi="ar-EG"/>
        </w:rPr>
        <w:t>). هدفت الدراسة لفحص العلاقة بين المتانة المالية وجودة الخدمات المقدمة. واستخدمت منهج مراجعة النطاق. وخلصت النتائج إلى وجود ارتباط إيجابي بين الأداء المالي الجيد وجودة الرعاية السريرية والتشغيلية. وأوصت بضرورة التركيز على الاستقرار المالي كمدخل لتحسين الجودة.</w:t>
      </w:r>
    </w:p>
    <w:p w14:paraId="2EA41A6B"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lang w:bidi="ar-EG"/>
        </w:rPr>
        <w:lastRenderedPageBreak/>
        <w:t>وختاماً، دراسة "</w:t>
      </w:r>
      <w:proofErr w:type="spellStart"/>
      <w:r w:rsidRPr="000941BA">
        <w:rPr>
          <w:rFonts w:ascii="Times New Roman" w:eastAsia="Calibri" w:hAnsi="Times New Roman" w:cs="Simplified Arabic"/>
          <w:sz w:val="26"/>
          <w:szCs w:val="30"/>
          <w:rtl/>
          <w:lang w:bidi="ar-EG"/>
        </w:rPr>
        <w:t>فراشكيفيتش-فرونكا</w:t>
      </w:r>
      <w:proofErr w:type="spellEnd"/>
      <w:r w:rsidRPr="000941BA">
        <w:rPr>
          <w:rFonts w:ascii="Times New Roman" w:eastAsia="Calibri" w:hAnsi="Times New Roman" w:cs="Simplified Arabic"/>
          <w:sz w:val="26"/>
          <w:szCs w:val="30"/>
          <w:rtl/>
          <w:lang w:bidi="ar-EG"/>
        </w:rPr>
        <w:t xml:space="preserve"> وآخرون" </w:t>
      </w:r>
      <w:r w:rsidRPr="000941BA">
        <w:rPr>
          <w:rFonts w:ascii="Times New Roman" w:eastAsia="Calibri" w:hAnsi="Times New Roman" w:cs="Simplified Arabic"/>
          <w:sz w:val="26"/>
          <w:szCs w:val="30"/>
          <w:lang w:bidi="ar-EG"/>
        </w:rPr>
        <w:t>(</w:t>
      </w:r>
      <w:proofErr w:type="spellStart"/>
      <w:r w:rsidRPr="000941BA">
        <w:rPr>
          <w:rFonts w:ascii="Times New Roman" w:eastAsia="Calibri" w:hAnsi="Times New Roman" w:cs="Simplified Arabic"/>
          <w:sz w:val="26"/>
          <w:szCs w:val="30"/>
          <w:lang w:bidi="ar-EG"/>
        </w:rPr>
        <w:t>Frączkiewicz</w:t>
      </w:r>
      <w:proofErr w:type="spellEnd"/>
      <w:r w:rsidRPr="000941BA">
        <w:rPr>
          <w:rFonts w:ascii="Times New Roman" w:eastAsia="Calibri" w:hAnsi="Times New Roman" w:cs="Simplified Arabic"/>
          <w:sz w:val="26"/>
          <w:szCs w:val="30"/>
          <w:lang w:bidi="ar-EG"/>
        </w:rPr>
        <w:t>-Wronka et al.)</w:t>
      </w:r>
      <w:r w:rsidRPr="000941BA">
        <w:rPr>
          <w:rFonts w:ascii="Times New Roman" w:eastAsia="Calibri" w:hAnsi="Times New Roman" w:cs="Simplified Arabic"/>
          <w:sz w:val="26"/>
          <w:szCs w:val="30"/>
          <w:rtl/>
          <w:lang w:bidi="ar-EG"/>
        </w:rPr>
        <w:t xml:space="preserve"> (2021)، بولندا، بعنوان: "إدارة المخاطر والاستقرار المالي في المستشفيات العامة البولندية: التأثير المعدل لمشاركة أصحاب المصلحة في صنع القرار" (</w:t>
      </w:r>
      <w:r w:rsidRPr="000941BA">
        <w:rPr>
          <w:rFonts w:ascii="Times New Roman" w:eastAsia="Calibri" w:hAnsi="Times New Roman" w:cs="Simplified Arabic"/>
          <w:sz w:val="26"/>
          <w:szCs w:val="30"/>
          <w:lang w:bidi="ar-EG"/>
        </w:rPr>
        <w:t>Risk management and financial stability in the Polish public hospitals: The moderating effect of the stakeholders’ engagement in the decision-making</w:t>
      </w:r>
      <w:r w:rsidRPr="000941BA">
        <w:rPr>
          <w:rFonts w:ascii="Times New Roman" w:eastAsia="Calibri" w:hAnsi="Times New Roman" w:cs="Simplified Arabic"/>
          <w:sz w:val="26"/>
          <w:szCs w:val="30"/>
          <w:rtl/>
          <w:lang w:bidi="ar-EG"/>
        </w:rPr>
        <w:t>). هدفت الدراسة لاختبار أثر ممارسات إدارة المخاطر على الاستقرار المالي. واعتمدت المنهج الكمي عبر مسح ميداني لمديري المستشفيات. وتوصلت النتائج إلى أن إدارة المخاطر تؤثر إيجاباً على الاستقرار المالي، وأن إشراك أصحاب المصلحة يعزز هذا الأثر. وأوصت بتعزيز الشفافية والمشاركة في عمليات إدارة المخاطر.</w:t>
      </w:r>
    </w:p>
    <w:p w14:paraId="689641E7"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رابعاً: تعقيب تحليلي عام على الدراسات السابقة</w:t>
      </w:r>
    </w:p>
    <w:p w14:paraId="676B1C3F"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rPr>
        <w:t xml:space="preserve">استناداً </w:t>
      </w:r>
      <w:r w:rsidRPr="000941BA">
        <w:rPr>
          <w:rFonts w:ascii="Times New Roman" w:eastAsia="Calibri" w:hAnsi="Times New Roman" w:cs="Simplified Arabic"/>
          <w:sz w:val="26"/>
          <w:szCs w:val="30"/>
          <w:rtl/>
          <w:lang w:bidi="ar-EG"/>
        </w:rPr>
        <w:t>إلى العرض السابق للدراسات المحلية والعربية والأجنبية، يمكن تقديم قراءة تحليلية لموقع الدراسة الحالية منها، وذلك على النحو الآتي:</w:t>
      </w:r>
    </w:p>
    <w:p w14:paraId="13279B38"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 xml:space="preserve">اتساق الدراسة الحالية مع الدراسات السابقة: </w:t>
      </w:r>
    </w:p>
    <w:p w14:paraId="717A7042"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تتسق الدراسة الحالية مع التوجه العام للأدبيات (مثل دراسة آل مقبول وآخرون، 2025؛ و</w:t>
      </w:r>
      <w:proofErr w:type="spellStart"/>
      <w:r w:rsidRPr="000941BA">
        <w:rPr>
          <w:rFonts w:ascii="Times New Roman" w:eastAsia="Calibri" w:hAnsi="Times New Roman" w:cs="Simplified Arabic"/>
          <w:sz w:val="26"/>
          <w:szCs w:val="30"/>
          <w:lang w:bidi="ar-EG"/>
        </w:rPr>
        <w:t>Sermhattakit</w:t>
      </w:r>
      <w:proofErr w:type="spellEnd"/>
      <w:r w:rsidRPr="000941BA">
        <w:rPr>
          <w:rFonts w:ascii="Times New Roman" w:eastAsia="Calibri" w:hAnsi="Times New Roman" w:cs="Simplified Arabic"/>
          <w:sz w:val="26"/>
          <w:szCs w:val="30"/>
          <w:lang w:bidi="ar-EG"/>
        </w:rPr>
        <w:t xml:space="preserve"> &amp; </w:t>
      </w:r>
      <w:proofErr w:type="spellStart"/>
      <w:r w:rsidRPr="000941BA">
        <w:rPr>
          <w:rFonts w:ascii="Times New Roman" w:eastAsia="Calibri" w:hAnsi="Times New Roman" w:cs="Simplified Arabic"/>
          <w:sz w:val="26"/>
          <w:szCs w:val="30"/>
          <w:lang w:bidi="ar-EG"/>
        </w:rPr>
        <w:t>Sae</w:t>
      </w:r>
      <w:proofErr w:type="spellEnd"/>
      <w:r w:rsidRPr="000941BA">
        <w:rPr>
          <w:rFonts w:ascii="Times New Roman" w:eastAsia="Calibri" w:hAnsi="Times New Roman" w:cs="Simplified Arabic"/>
          <w:sz w:val="26"/>
          <w:szCs w:val="30"/>
          <w:lang w:bidi="ar-EG"/>
        </w:rPr>
        <w:t>-Lim</w:t>
      </w:r>
      <w:r w:rsidRPr="000941BA">
        <w:rPr>
          <w:rFonts w:ascii="Times New Roman" w:eastAsia="Calibri" w:hAnsi="Times New Roman" w:cs="Simplified Arabic"/>
          <w:sz w:val="26"/>
          <w:szCs w:val="30"/>
          <w:rtl/>
          <w:lang w:bidi="ar-EG"/>
        </w:rPr>
        <w:t>، 2025) في التأكيد على أهمية الإدارة المالية وإدارة المخاطر كركائز أساسية لنجاح المؤسسات الصحية. كما تتوافق مع الطرح الذي يربط بين الكفاءة المالية والاستدامة التشغيلية، وهو ما أكدته دراسات (سعيد وشوكت، 2024؛ و</w:t>
      </w:r>
      <w:r w:rsidRPr="000941BA">
        <w:rPr>
          <w:rFonts w:ascii="Times New Roman" w:eastAsia="Calibri" w:hAnsi="Times New Roman" w:cs="Simplified Arabic"/>
          <w:sz w:val="26"/>
          <w:szCs w:val="30"/>
          <w:lang w:bidi="ar-EG"/>
        </w:rPr>
        <w:t>Vasileiou et al.</w:t>
      </w:r>
      <w:r w:rsidRPr="000941BA">
        <w:rPr>
          <w:rFonts w:ascii="Times New Roman" w:eastAsia="Calibri" w:hAnsi="Times New Roman" w:cs="Simplified Arabic"/>
          <w:sz w:val="26"/>
          <w:szCs w:val="30"/>
          <w:rtl/>
          <w:lang w:bidi="ar-EG"/>
        </w:rPr>
        <w:t>، 2024).</w:t>
      </w:r>
    </w:p>
    <w:p w14:paraId="6FD5C875" w14:textId="77777777" w:rsid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p>
    <w:p w14:paraId="013187AC" w14:textId="77757350"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lastRenderedPageBreak/>
        <w:t>جوانب اتفاق الدراسة الحالية مع الدراسات السابقة:</w:t>
      </w:r>
    </w:p>
    <w:p w14:paraId="642E6FFA"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 xml:space="preserve">تتفق هذه الدراسة مع معظم الدراسات السابقة (مثل </w:t>
      </w:r>
      <w:proofErr w:type="spellStart"/>
      <w:r w:rsidRPr="000941BA">
        <w:rPr>
          <w:rFonts w:ascii="Times New Roman" w:eastAsia="Calibri" w:hAnsi="Times New Roman" w:cs="Simplified Arabic"/>
          <w:sz w:val="26"/>
          <w:szCs w:val="30"/>
          <w:rtl/>
          <w:lang w:bidi="ar-EG"/>
        </w:rPr>
        <w:t>الحبو</w:t>
      </w:r>
      <w:proofErr w:type="spellEnd"/>
      <w:r w:rsidRPr="000941BA">
        <w:rPr>
          <w:rFonts w:ascii="Times New Roman" w:eastAsia="Calibri" w:hAnsi="Times New Roman" w:cs="Simplified Arabic"/>
          <w:sz w:val="26"/>
          <w:szCs w:val="30"/>
          <w:rtl/>
          <w:lang w:bidi="ar-EG"/>
        </w:rPr>
        <w:t xml:space="preserve"> وآخرون، 2025؛ و</w:t>
      </w:r>
      <w:proofErr w:type="spellStart"/>
      <w:r w:rsidRPr="000941BA">
        <w:rPr>
          <w:rFonts w:ascii="Times New Roman" w:eastAsia="Calibri" w:hAnsi="Times New Roman" w:cs="Simplified Arabic"/>
          <w:sz w:val="26"/>
          <w:szCs w:val="30"/>
          <w:lang w:bidi="ar-EG"/>
        </w:rPr>
        <w:t>Chililov</w:t>
      </w:r>
      <w:proofErr w:type="spellEnd"/>
      <w:r w:rsidRPr="000941BA">
        <w:rPr>
          <w:rFonts w:ascii="Times New Roman" w:eastAsia="Calibri" w:hAnsi="Times New Roman" w:cs="Simplified Arabic"/>
          <w:sz w:val="26"/>
          <w:szCs w:val="30"/>
          <w:rtl/>
          <w:lang w:bidi="ar-EG"/>
        </w:rPr>
        <w:t>، 2024) في أن المخاطر المالية تمثل تهديداً جوهرياً لاستمرارية الخدمة، وأن غياب التخطيط المسبق والتحوط يؤدي إلى تراجع الأداء. كما تتفق في المنهجية العامة (المنهج الوصفي والتحليلي) مع غالبية الدراسات التي سعت لقياس أثر المتغيرات الإدارية في البيئة الصحية.</w:t>
      </w:r>
    </w:p>
    <w:p w14:paraId="648AC740"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جوانب اختلاف الدراسة الحالية مع الدراسات السابقة:</w:t>
      </w:r>
    </w:p>
    <w:p w14:paraId="3B0ACA1A"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تختلف الدراسة الحالية عن دراسة (الحربي، 2025) التي ركزت على الخصخصة، وعن دراسة (عبد اللطيف وآخرون، 2022) التي طبقت على البنوك، في كونها تركز تحديداً على "المراكز الصحية الأولية" كبيئة تطبيقية، وهي بيئة تختلف في طبيعة تمويلها وتشغيلها عن المستشفيات الكبرى أو القطاعات الربحية. كما تختلف في تركيزها الدقيق على "الاستدامة التشغيلية" كمتغير تابع، بدلاً من التركيز العام على الأداء المالي فقط.</w:t>
      </w:r>
    </w:p>
    <w:p w14:paraId="27F817D8"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الفجوة البحثية:</w:t>
      </w:r>
    </w:p>
    <w:p w14:paraId="73B78F7C"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على الرغم من تعدد الدراسات، إلا أن هناك ندرة واضحة – في حدود علم الباحث – في الدراسات التي ربطت بشكل مباشر بين "أبعاد إدارة المخاطر المالية" (التشخيص، التقييم، المواجهة) و"الاستدامة التشغيلية" في سياق مراكز الرعاية الصحية الأولية بمنطقة عسير. فمعظم الدراسات المحلية ركزت على المستشفيات الكبرى أو الكفاءة المالية بشكل عام، مما يخلق فجوة بحثية تسعى هذه الدراسة لسدها من خلال تقديم نموذج تطبيقي في بيئة لم تنل حظها الوافر من البحث في هذا الجانب.</w:t>
      </w:r>
    </w:p>
    <w:p w14:paraId="58B7E416" w14:textId="77777777" w:rsid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p>
    <w:p w14:paraId="640875F7" w14:textId="77782F34"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lastRenderedPageBreak/>
        <w:t>جوانب استفادة الدراسة الحالية من الدراسات السابقة:</w:t>
      </w:r>
    </w:p>
    <w:p w14:paraId="33A2708E"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استفادت الدراسة الحالية من الأدبيات السابقة في بناء الإطار النظري وتحديد أبعاد المتغيرات بدقة. حيث تم الاستفادة من دراسة (عيد ولاشين، 2025) في صياغة أبعاد إدارة المخاطر، ومن دراسة (سعيد وشوكت، 2024) في تحديد مؤشرات الاستدامة. كما ساهمت تلك الدراسات في اختيار المنهجية المناسبة وتصميم أداة الدراسة (الاستبانة) لتكون متوافقة مع المعايير العلمية.</w:t>
      </w:r>
    </w:p>
    <w:p w14:paraId="79C4B9AB"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الجوانب المميزة للدراسة الحالية عن الدراسات السابقة:</w:t>
      </w:r>
    </w:p>
    <w:p w14:paraId="0B13DD45"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تتميز هذه الدراسة بجمعها بين متغيرين حديثين نسبياً في الإدارة الصحية (المخاطر المالية والاستدامة التشغيلية) وتطبيقهما على قطاع حيوي هو الرعاية الأولية، والذي يمثل حجر الزاوية في رؤية المملكة 2030. كما تنفرد الدراسة بتطبيقها الميداني في منطقة عسير، مما يوفر بيانات واقعية تعكس خصوصية المنطقة وتحدياتها، فضلاً عن تقديمها لمقترحات عملية قابلة للتطبيق لتعزيز الاستدامة في هذه المراكز.</w:t>
      </w:r>
    </w:p>
    <w:p w14:paraId="141C5532"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 </w:t>
      </w:r>
    </w:p>
    <w:p w14:paraId="1DFD0A53" w14:textId="77777777" w:rsidR="000941BA" w:rsidRPr="000941BA" w:rsidRDefault="000941BA" w:rsidP="000941BA">
      <w:pPr>
        <w:spacing w:after="240" w:line="24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br w:type="page"/>
      </w:r>
    </w:p>
    <w:p w14:paraId="0F81DD9C"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Pr>
      </w:pPr>
    </w:p>
    <w:p w14:paraId="041F59C8" w14:textId="77777777" w:rsidR="000941BA" w:rsidRPr="000941BA" w:rsidRDefault="000941BA" w:rsidP="000941BA">
      <w:pPr>
        <w:spacing w:after="0" w:line="360" w:lineRule="auto"/>
        <w:ind w:firstLine="397"/>
        <w:jc w:val="center"/>
        <w:rPr>
          <w:rFonts w:ascii="Times New Roman" w:eastAsia="Calibri" w:hAnsi="Times New Roman" w:cs="Simplified Arabic"/>
          <w:b/>
          <w:bCs/>
          <w:sz w:val="30"/>
          <w:szCs w:val="34"/>
          <w:lang w:bidi="ar-EG"/>
        </w:rPr>
      </w:pPr>
      <w:r w:rsidRPr="000941BA">
        <w:rPr>
          <w:rFonts w:ascii="Times New Roman" w:eastAsia="Calibri" w:hAnsi="Times New Roman" w:cs="Simplified Arabic"/>
          <w:b/>
          <w:bCs/>
          <w:sz w:val="30"/>
          <w:szCs w:val="34"/>
          <w:rtl/>
        </w:rPr>
        <w:t>المحور الثاني: الإطار النظري للدراسة</w:t>
      </w:r>
    </w:p>
    <w:p w14:paraId="5B2ECC2E" w14:textId="77777777" w:rsid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تمهيد</w:t>
      </w:r>
      <w:r w:rsidRPr="000941BA">
        <w:rPr>
          <w:rFonts w:ascii="Times New Roman" w:eastAsia="Calibri" w:hAnsi="Times New Roman" w:cs="Simplified Arabic"/>
          <w:b/>
          <w:bCs/>
          <w:sz w:val="26"/>
          <w:szCs w:val="30"/>
          <w:rtl/>
          <w:lang w:bidi="ar-EG"/>
        </w:rPr>
        <w:t>:</w:t>
      </w:r>
    </w:p>
    <w:p w14:paraId="41C3F24C" w14:textId="5F159CD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يتناول هذا المحور التأصيل النظري لمتغيرات الدراسة، حيث يستعرض المبحث الأول ماهية إدارة المخاطر المالية وأبعادها ومنهجياتها، وينتقل المبحث الثاني لتناول الاستدامة التشغيلية في القطاع الصحي ومقوماتها، في حين يركز المبحث الثالث على العلاقة التفاعلية بين المتغيرين والمنطلقات النظرية المفسرة لهذه العلاقة، وصولاً إلى بناء نموذج مفاهيمي يوضح آليات التأثير المتبادل</w:t>
      </w:r>
      <w:r w:rsidRPr="000941BA">
        <w:rPr>
          <w:rFonts w:ascii="Times New Roman" w:eastAsia="Calibri" w:hAnsi="Times New Roman" w:cs="Simplified Arabic"/>
          <w:sz w:val="26"/>
          <w:szCs w:val="30"/>
          <w:rtl/>
          <w:lang w:bidi="ar-EG"/>
        </w:rPr>
        <w:t>.</w:t>
      </w:r>
    </w:p>
    <w:p w14:paraId="153320A2" w14:textId="77777777" w:rsidR="000941BA" w:rsidRPr="000941BA" w:rsidRDefault="000941BA" w:rsidP="000941BA">
      <w:pPr>
        <w:spacing w:after="0" w:line="360" w:lineRule="auto"/>
        <w:ind w:firstLine="397"/>
        <w:jc w:val="center"/>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المبحث الأول: إدارة المخاطر المالية: المفهوم، الأهمية، والأبعاد</w:t>
      </w:r>
    </w:p>
    <w:p w14:paraId="6577A437"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rPr>
        <w:t xml:space="preserve">تُعد </w:t>
      </w:r>
      <w:r w:rsidRPr="000941BA">
        <w:rPr>
          <w:rFonts w:ascii="Times New Roman" w:eastAsia="Calibri" w:hAnsi="Times New Roman" w:cs="Simplified Arabic"/>
          <w:sz w:val="26"/>
          <w:szCs w:val="30"/>
          <w:rtl/>
          <w:lang w:bidi="ar-EG"/>
        </w:rPr>
        <w:t>إدارة المخاطر المالية إحدى الدعائم الرئيسة التي ترتكز عليها المؤسسات الحديثة لضمان استقرارها ونموها، وخاصة في القطاعات الحيوية كالقطاع الصحي الذي يتسم بحساسية عالية تجاه المتغيرات الاقتصادية. وتتجاوز إدارة المخاطر المفهوم التقليدي المقتصر على التأمين، لتشمل منظومة متكاملة من العمليات الاستباقية.</w:t>
      </w:r>
    </w:p>
    <w:p w14:paraId="39E3C91E"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أولاً: المفهوم والطبيعة</w:t>
      </w:r>
    </w:p>
    <w:p w14:paraId="72A75664"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 xml:space="preserve">يُنظر إلى إدارة المخاطر المالية على أنها عملية ديناميكية مستمرة، حيث يشير صقر وآخرون (2021) إلى أنها ليست مجرد رد فعل للأزمات، بل هي نهج استراتيجي يهدف إلى تعظيم قيمة المؤسسة من خلال الموازنة بين العائد والمخاطرة (ص. 280). ويضيف </w:t>
      </w:r>
      <w:proofErr w:type="spellStart"/>
      <w:r w:rsidRPr="000941BA">
        <w:rPr>
          <w:rFonts w:ascii="Times New Roman" w:eastAsia="Calibri" w:hAnsi="Times New Roman" w:cs="Simplified Arabic"/>
          <w:sz w:val="26"/>
          <w:szCs w:val="30"/>
          <w:rtl/>
          <w:lang w:bidi="ar-EG"/>
        </w:rPr>
        <w:t>غلايسنر</w:t>
      </w:r>
      <w:proofErr w:type="spellEnd"/>
      <w:r w:rsidRPr="000941BA">
        <w:rPr>
          <w:rFonts w:ascii="Times New Roman" w:eastAsia="Calibri" w:hAnsi="Times New Roman" w:cs="Simplified Arabic"/>
          <w:sz w:val="26"/>
          <w:szCs w:val="30"/>
          <w:rtl/>
          <w:lang w:bidi="ar-EG"/>
        </w:rPr>
        <w:t xml:space="preserve"> وآخرون (</w:t>
      </w:r>
      <w:proofErr w:type="spellStart"/>
      <w:r w:rsidRPr="000941BA">
        <w:rPr>
          <w:rFonts w:ascii="Times New Roman" w:eastAsia="Calibri" w:hAnsi="Times New Roman" w:cs="Simplified Arabic"/>
          <w:sz w:val="26"/>
          <w:szCs w:val="30"/>
          <w:lang w:bidi="ar-EG"/>
        </w:rPr>
        <w:t>Gleißner</w:t>
      </w:r>
      <w:proofErr w:type="spellEnd"/>
      <w:r w:rsidRPr="000941BA">
        <w:rPr>
          <w:rFonts w:ascii="Times New Roman" w:eastAsia="Calibri" w:hAnsi="Times New Roman" w:cs="Simplified Arabic"/>
          <w:sz w:val="26"/>
          <w:szCs w:val="30"/>
          <w:lang w:bidi="ar-EG"/>
        </w:rPr>
        <w:t xml:space="preserve"> et al., 2022</w:t>
      </w:r>
      <w:r w:rsidRPr="000941BA">
        <w:rPr>
          <w:rFonts w:ascii="Times New Roman" w:eastAsia="Calibri" w:hAnsi="Times New Roman" w:cs="Simplified Arabic"/>
          <w:sz w:val="26"/>
          <w:szCs w:val="30"/>
          <w:rtl/>
          <w:lang w:bidi="ar-EG"/>
        </w:rPr>
        <w:t xml:space="preserve">) أن الإدارة المالية الفعالة للمخاطر تتطلب فهماً عميقاً لدورة حياة المؤسسة والقدرة على التنبؤ بالانحرافات المالية قبل وقوعها، مما يعزز من موثوقية </w:t>
      </w:r>
      <w:r w:rsidRPr="000941BA">
        <w:rPr>
          <w:rFonts w:ascii="Times New Roman" w:eastAsia="Calibri" w:hAnsi="Times New Roman" w:cs="Simplified Arabic"/>
          <w:sz w:val="26"/>
          <w:szCs w:val="30"/>
          <w:rtl/>
          <w:lang w:bidi="ar-EG"/>
        </w:rPr>
        <w:lastRenderedPageBreak/>
        <w:t>التخطيط المالي (</w:t>
      </w:r>
      <w:r w:rsidRPr="000941BA">
        <w:rPr>
          <w:rFonts w:ascii="Times New Roman" w:eastAsia="Calibri" w:hAnsi="Times New Roman" w:cs="Simplified Arabic"/>
          <w:sz w:val="26"/>
          <w:szCs w:val="30"/>
          <w:lang w:bidi="ar-EG"/>
        </w:rPr>
        <w:t>p. 470</w:t>
      </w:r>
      <w:r w:rsidRPr="000941BA">
        <w:rPr>
          <w:rFonts w:ascii="Times New Roman" w:eastAsia="Calibri" w:hAnsi="Times New Roman" w:cs="Simplified Arabic"/>
          <w:sz w:val="26"/>
          <w:szCs w:val="30"/>
          <w:rtl/>
          <w:lang w:bidi="ar-EG"/>
        </w:rPr>
        <w:t>). وفي السياق ذاته، يوضح فتوح (2018) أن إدارة المخاطر تتضمن استخدام أدوات التحوط المالي والتقنيات الإحصائية لتقليل التباين في التدفقات النقدية، وهو ما يُعد جوهرياً للمؤسسات التي تعتمد على ميزانيات تشغيلية محددة (ص. 250).</w:t>
      </w:r>
    </w:p>
    <w:p w14:paraId="18AA3A02"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ثانياً: أهمية إدارة المخاطر في القطاع الصحي</w:t>
      </w:r>
    </w:p>
    <w:p w14:paraId="558025FB"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lang w:bidi="ar-EG"/>
        </w:rPr>
        <w:t>تكتسب إدارة المخاطر في القطاع الصحي خصوصية نابعة من طبيعة الخدمات المقدمة، إذ يذكر باتيا وآخرون (</w:t>
      </w:r>
      <w:r w:rsidRPr="000941BA">
        <w:rPr>
          <w:rFonts w:ascii="Times New Roman" w:eastAsia="Calibri" w:hAnsi="Times New Roman" w:cs="Simplified Arabic"/>
          <w:sz w:val="26"/>
          <w:szCs w:val="30"/>
          <w:lang w:bidi="ar-EG"/>
        </w:rPr>
        <w:t>Bhatia et al., 2022</w:t>
      </w:r>
      <w:r w:rsidRPr="000941BA">
        <w:rPr>
          <w:rFonts w:ascii="Times New Roman" w:eastAsia="Calibri" w:hAnsi="Times New Roman" w:cs="Simplified Arabic"/>
          <w:sz w:val="26"/>
          <w:szCs w:val="30"/>
          <w:rtl/>
          <w:lang w:bidi="ar-EG"/>
        </w:rPr>
        <w:t>) أن الحماية من المخاطر المالية تُعد شرطاً أساسياً لتحقيق التغطية الصحية الشاملة، حيث يؤدي الفشل المالي في المؤسسات الصحية إلى حرمان الفئات المستضعفة من الرعاية (</w:t>
      </w:r>
      <w:r w:rsidRPr="000941BA">
        <w:rPr>
          <w:rFonts w:ascii="Times New Roman" w:eastAsia="Calibri" w:hAnsi="Times New Roman" w:cs="Simplified Arabic"/>
          <w:sz w:val="26"/>
          <w:szCs w:val="30"/>
          <w:lang w:bidi="ar-EG"/>
        </w:rPr>
        <w:t>p. 3</w:t>
      </w:r>
      <w:r w:rsidRPr="000941BA">
        <w:rPr>
          <w:rFonts w:ascii="Times New Roman" w:eastAsia="Calibri" w:hAnsi="Times New Roman" w:cs="Simplified Arabic"/>
          <w:sz w:val="26"/>
          <w:szCs w:val="30"/>
          <w:rtl/>
          <w:lang w:bidi="ar-EG"/>
        </w:rPr>
        <w:t xml:space="preserve">). وتبرز الأهمية أيضاً في حماية الأصول والموارد، حيث يبين إبراهيم ومحمد (2019) أن استراتيجيات إدارة المخاطر تسهم في تقليل الهدر المالي وتوجيه الموارد نحو الأنشطة ذات القيمة المضافة (ص. 165). علاوة على ذلك، يشير </w:t>
      </w:r>
      <w:proofErr w:type="spellStart"/>
      <w:r w:rsidRPr="000941BA">
        <w:rPr>
          <w:rFonts w:ascii="Times New Roman" w:eastAsia="Calibri" w:hAnsi="Times New Roman" w:cs="Simplified Arabic"/>
          <w:sz w:val="26"/>
          <w:szCs w:val="30"/>
          <w:rtl/>
          <w:lang w:bidi="ar-EG"/>
        </w:rPr>
        <w:t>القليطي</w:t>
      </w:r>
      <w:proofErr w:type="spellEnd"/>
      <w:r w:rsidRPr="000941BA">
        <w:rPr>
          <w:rFonts w:ascii="Times New Roman" w:eastAsia="Calibri" w:hAnsi="Times New Roman" w:cs="Simplified Arabic"/>
          <w:sz w:val="26"/>
          <w:szCs w:val="30"/>
          <w:rtl/>
          <w:lang w:bidi="ar-EG"/>
        </w:rPr>
        <w:t xml:space="preserve"> (2019) إلى أن الإفصاح عن ممارسات إدارة المخاطر يعزز من سمعة المؤسسة ويزيد من ثقة المستفيدين والجهات الداعمة (ص. 15).</w:t>
      </w:r>
    </w:p>
    <w:p w14:paraId="303E046C"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lang w:bidi="ar-EG"/>
        </w:rPr>
      </w:pPr>
      <w:r w:rsidRPr="000941BA">
        <w:rPr>
          <w:rFonts w:ascii="Times New Roman" w:eastAsia="Calibri" w:hAnsi="Times New Roman" w:cs="Simplified Arabic"/>
          <w:b/>
          <w:bCs/>
          <w:sz w:val="26"/>
          <w:szCs w:val="30"/>
          <w:rtl/>
          <w:lang w:bidi="ar-EG"/>
        </w:rPr>
        <w:t>ثالثاً: تصنيف المخاطر المالية في المراكز الصحية</w:t>
      </w:r>
    </w:p>
    <w:p w14:paraId="563C6ED6"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lang w:bidi="ar-EG"/>
        </w:rPr>
        <w:t>تتعدد أنواع المخاطر التي تواجه المراكز الصحية، ويمكن تصنيفها استناداً إلى مصادرها وتأثيراتها. والجدول التالي يوضح أبرز هذه التصنيفات:</w:t>
      </w:r>
    </w:p>
    <w:p w14:paraId="3FE47626"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0E848D54"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2872A6CF"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3DBBE987"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6BB3CE02"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6A0E5084" w14:textId="77777777" w:rsidR="00B345B0" w:rsidRDefault="00B345B0" w:rsidP="00B345B0">
      <w:pPr>
        <w:spacing w:after="0" w:line="276" w:lineRule="auto"/>
        <w:jc w:val="center"/>
        <w:rPr>
          <w:rFonts w:ascii="Times New Roman" w:eastAsia="Calibri" w:hAnsi="Times New Roman" w:cs="Simplified Arabic"/>
          <w:b/>
          <w:bCs/>
          <w:sz w:val="26"/>
          <w:szCs w:val="26"/>
          <w:rtl/>
        </w:rPr>
      </w:pPr>
    </w:p>
    <w:p w14:paraId="6774EC25" w14:textId="6BF32639" w:rsidR="000941BA" w:rsidRPr="000941BA" w:rsidRDefault="000941BA" w:rsidP="00B345B0">
      <w:pPr>
        <w:spacing w:after="0" w:line="276" w:lineRule="auto"/>
        <w:jc w:val="center"/>
        <w:rPr>
          <w:rFonts w:ascii="Times New Roman" w:eastAsia="Calibri" w:hAnsi="Times New Roman" w:cs="Simplified Arabic"/>
          <w:b/>
          <w:bCs/>
          <w:sz w:val="26"/>
          <w:szCs w:val="26"/>
          <w:lang w:bidi="ar-EG"/>
        </w:rPr>
      </w:pPr>
      <w:r w:rsidRPr="000941BA">
        <w:rPr>
          <w:rFonts w:ascii="Times New Roman" w:eastAsia="Calibri" w:hAnsi="Times New Roman" w:cs="Simplified Arabic"/>
          <w:b/>
          <w:bCs/>
          <w:sz w:val="26"/>
          <w:szCs w:val="26"/>
          <w:rtl/>
        </w:rPr>
        <w:lastRenderedPageBreak/>
        <w:t>الجدول رقم (1): تصنيف المخاطر المالية في المؤسسات الصحية</w:t>
      </w:r>
    </w:p>
    <w:tbl>
      <w:tblPr>
        <w:tblStyle w:val="4-5"/>
        <w:bidiVisual/>
        <w:tblW w:w="0" w:type="auto"/>
        <w:jc w:val="center"/>
        <w:tblLook w:val="04A0" w:firstRow="1" w:lastRow="0" w:firstColumn="1" w:lastColumn="0" w:noHBand="0" w:noVBand="1"/>
      </w:tblPr>
      <w:tblGrid>
        <w:gridCol w:w="1481"/>
        <w:gridCol w:w="4526"/>
        <w:gridCol w:w="2431"/>
      </w:tblGrid>
      <w:tr w:rsidR="000941BA" w:rsidRPr="000941BA" w14:paraId="393A0B5F" w14:textId="77777777" w:rsidTr="00D84C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43092" w14:textId="77777777" w:rsidR="000941BA" w:rsidRPr="000941BA" w:rsidRDefault="000941BA" w:rsidP="000941BA">
            <w:pPr>
              <w:spacing w:after="0" w:line="276" w:lineRule="auto"/>
              <w:rPr>
                <w:rFonts w:eastAsia="Calibri"/>
                <w:color w:val="FFFFFF"/>
                <w:sz w:val="26"/>
                <w:szCs w:val="26"/>
                <w:lang w:bidi="ar-EG"/>
              </w:rPr>
            </w:pPr>
            <w:r w:rsidRPr="000941BA">
              <w:rPr>
                <w:rFonts w:eastAsia="Calibri"/>
                <w:color w:val="FFFFFF"/>
                <w:sz w:val="26"/>
                <w:szCs w:val="26"/>
                <w:rtl/>
              </w:rPr>
              <w:t>نوع المخاطر</w:t>
            </w:r>
          </w:p>
        </w:tc>
        <w:tc>
          <w:tcPr>
            <w:tcW w:w="0" w:type="auto"/>
            <w:vAlign w:val="center"/>
            <w:hideMark/>
          </w:tcPr>
          <w:p w14:paraId="4F17FE72" w14:textId="77777777" w:rsidR="000941BA" w:rsidRPr="000941BA" w:rsidRDefault="000941BA" w:rsidP="000941BA">
            <w:pPr>
              <w:spacing w:after="0" w:line="276" w:lineRule="auto"/>
              <w:cnfStyle w:val="100000000000" w:firstRow="1" w:lastRow="0" w:firstColumn="0" w:lastColumn="0" w:oddVBand="0" w:evenVBand="0" w:oddHBand="0" w:evenHBand="0" w:firstRowFirstColumn="0" w:firstRowLastColumn="0" w:lastRowFirstColumn="0" w:lastRowLastColumn="0"/>
              <w:rPr>
                <w:rFonts w:eastAsia="Calibri"/>
                <w:color w:val="FFFFFF"/>
                <w:sz w:val="26"/>
                <w:szCs w:val="26"/>
                <w:lang w:bidi="ar-EG"/>
              </w:rPr>
            </w:pPr>
            <w:r w:rsidRPr="000941BA">
              <w:rPr>
                <w:rFonts w:eastAsia="Calibri"/>
                <w:color w:val="FFFFFF"/>
                <w:sz w:val="26"/>
                <w:szCs w:val="26"/>
                <w:rtl/>
              </w:rPr>
              <w:t>الوصف</w:t>
            </w:r>
          </w:p>
        </w:tc>
        <w:tc>
          <w:tcPr>
            <w:tcW w:w="0" w:type="auto"/>
            <w:vAlign w:val="center"/>
            <w:hideMark/>
          </w:tcPr>
          <w:p w14:paraId="66893819" w14:textId="77777777" w:rsidR="000941BA" w:rsidRPr="000941BA" w:rsidRDefault="000941BA" w:rsidP="000941BA">
            <w:pPr>
              <w:spacing w:after="0" w:line="276" w:lineRule="auto"/>
              <w:cnfStyle w:val="100000000000" w:firstRow="1" w:lastRow="0" w:firstColumn="0" w:lastColumn="0" w:oddVBand="0" w:evenVBand="0" w:oddHBand="0" w:evenHBand="0" w:firstRowFirstColumn="0" w:firstRowLastColumn="0" w:lastRowFirstColumn="0" w:lastRowLastColumn="0"/>
              <w:rPr>
                <w:rFonts w:eastAsia="Calibri"/>
                <w:color w:val="FFFFFF"/>
                <w:sz w:val="26"/>
                <w:szCs w:val="26"/>
                <w:lang w:bidi="ar-EG"/>
              </w:rPr>
            </w:pPr>
            <w:r w:rsidRPr="000941BA">
              <w:rPr>
                <w:rFonts w:eastAsia="Calibri"/>
                <w:color w:val="FFFFFF"/>
                <w:sz w:val="26"/>
                <w:szCs w:val="26"/>
                <w:rtl/>
              </w:rPr>
              <w:t>المصدر</w:t>
            </w:r>
          </w:p>
        </w:tc>
      </w:tr>
      <w:tr w:rsidR="000941BA" w:rsidRPr="000941BA" w14:paraId="7FDA03A0" w14:textId="77777777" w:rsidTr="00D84C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311C2" w14:textId="77777777" w:rsidR="000941BA" w:rsidRPr="000941BA" w:rsidRDefault="000941BA" w:rsidP="000941BA">
            <w:pPr>
              <w:spacing w:after="0" w:line="276" w:lineRule="auto"/>
              <w:rPr>
                <w:rFonts w:eastAsia="Calibri"/>
                <w:sz w:val="26"/>
                <w:szCs w:val="26"/>
                <w:lang w:bidi="ar-EG"/>
              </w:rPr>
            </w:pPr>
            <w:r w:rsidRPr="000941BA">
              <w:rPr>
                <w:rFonts w:eastAsia="Calibri"/>
                <w:sz w:val="26"/>
                <w:szCs w:val="26"/>
                <w:rtl/>
              </w:rPr>
              <w:t>مخاطر السيولة</w:t>
            </w:r>
          </w:p>
        </w:tc>
        <w:tc>
          <w:tcPr>
            <w:tcW w:w="0" w:type="auto"/>
            <w:vAlign w:val="center"/>
            <w:hideMark/>
          </w:tcPr>
          <w:p w14:paraId="765CF592" w14:textId="77777777" w:rsidR="000941BA" w:rsidRPr="000941BA" w:rsidRDefault="000941BA" w:rsidP="000941BA">
            <w:pPr>
              <w:spacing w:after="0" w:line="276" w:lineRule="auto"/>
              <w:cnfStyle w:val="000000100000" w:firstRow="0" w:lastRow="0" w:firstColumn="0" w:lastColumn="0" w:oddVBand="0" w:evenVBand="0" w:oddHBand="1"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عدم قدرة المركز على الوفاء بالتزاماته قصيرة الأجل (مثل الرواتب، وشراء الأدوية) في مواعيدها</w:t>
            </w:r>
            <w:r w:rsidRPr="000941BA">
              <w:rPr>
                <w:rFonts w:eastAsia="Calibri"/>
                <w:b/>
                <w:bCs/>
                <w:sz w:val="26"/>
                <w:szCs w:val="26"/>
                <w:rtl/>
                <w:lang w:bidi="ar-EG"/>
              </w:rPr>
              <w:t>.</w:t>
            </w:r>
          </w:p>
        </w:tc>
        <w:tc>
          <w:tcPr>
            <w:tcW w:w="0" w:type="auto"/>
            <w:vAlign w:val="center"/>
            <w:hideMark/>
          </w:tcPr>
          <w:p w14:paraId="6745E7C9" w14:textId="77777777" w:rsidR="000941BA" w:rsidRPr="000941BA" w:rsidRDefault="000941BA" w:rsidP="000941BA">
            <w:pPr>
              <w:spacing w:after="0" w:line="276" w:lineRule="auto"/>
              <w:cnfStyle w:val="000000100000" w:firstRow="0" w:lastRow="0" w:firstColumn="0" w:lastColumn="0" w:oddVBand="0" w:evenVBand="0" w:oddHBand="1"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الشمري (2021، ص. 190)</w:t>
            </w:r>
          </w:p>
        </w:tc>
      </w:tr>
      <w:tr w:rsidR="000941BA" w:rsidRPr="000941BA" w14:paraId="0C56618C" w14:textId="77777777" w:rsidTr="00D84C8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CA09C2" w14:textId="77777777" w:rsidR="000941BA" w:rsidRPr="000941BA" w:rsidRDefault="000941BA" w:rsidP="000941BA">
            <w:pPr>
              <w:spacing w:after="0" w:line="276" w:lineRule="auto"/>
              <w:rPr>
                <w:rFonts w:eastAsia="Calibri"/>
                <w:sz w:val="26"/>
                <w:szCs w:val="26"/>
                <w:lang w:bidi="ar-EG"/>
              </w:rPr>
            </w:pPr>
            <w:r w:rsidRPr="000941BA">
              <w:rPr>
                <w:rFonts w:eastAsia="Calibri"/>
                <w:sz w:val="26"/>
                <w:szCs w:val="26"/>
                <w:rtl/>
              </w:rPr>
              <w:t>مخاطر التشغيل</w:t>
            </w:r>
          </w:p>
        </w:tc>
        <w:tc>
          <w:tcPr>
            <w:tcW w:w="0" w:type="auto"/>
            <w:vAlign w:val="center"/>
            <w:hideMark/>
          </w:tcPr>
          <w:p w14:paraId="06E54267" w14:textId="77777777" w:rsidR="000941BA" w:rsidRPr="000941BA" w:rsidRDefault="000941BA" w:rsidP="000941BA">
            <w:pPr>
              <w:spacing w:after="0" w:line="276" w:lineRule="auto"/>
              <w:cnfStyle w:val="000000000000" w:firstRow="0" w:lastRow="0" w:firstColumn="0" w:lastColumn="0" w:oddVBand="0" w:evenVBand="0" w:oddHBand="0"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الخسائر الناتجة عن فشل العمليات الداخلية، أو الأنظمة، أو الأخطاء البشرية التي لها تبعات مالية</w:t>
            </w:r>
            <w:r w:rsidRPr="000941BA">
              <w:rPr>
                <w:rFonts w:eastAsia="Calibri"/>
                <w:b/>
                <w:bCs/>
                <w:sz w:val="26"/>
                <w:szCs w:val="26"/>
                <w:rtl/>
                <w:lang w:bidi="ar-EG"/>
              </w:rPr>
              <w:t>.</w:t>
            </w:r>
          </w:p>
        </w:tc>
        <w:tc>
          <w:tcPr>
            <w:tcW w:w="0" w:type="auto"/>
            <w:vAlign w:val="center"/>
            <w:hideMark/>
          </w:tcPr>
          <w:p w14:paraId="2431249D" w14:textId="77777777" w:rsidR="000941BA" w:rsidRPr="000941BA" w:rsidRDefault="000941BA" w:rsidP="000941BA">
            <w:pPr>
              <w:spacing w:after="0" w:line="276" w:lineRule="auto"/>
              <w:cnfStyle w:val="000000000000" w:firstRow="0" w:lastRow="0" w:firstColumn="0" w:lastColumn="0" w:oddVBand="0" w:evenVBand="0" w:oddHBand="0"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عبد اللطيف وآخرون (2022، ص. 75)</w:t>
            </w:r>
          </w:p>
        </w:tc>
      </w:tr>
      <w:tr w:rsidR="000941BA" w:rsidRPr="000941BA" w14:paraId="59D6CC5F" w14:textId="77777777" w:rsidTr="00D84C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8E869" w14:textId="77777777" w:rsidR="000941BA" w:rsidRPr="000941BA" w:rsidRDefault="000941BA" w:rsidP="000941BA">
            <w:pPr>
              <w:spacing w:after="0" w:line="276" w:lineRule="auto"/>
              <w:rPr>
                <w:rFonts w:eastAsia="Calibri"/>
                <w:sz w:val="26"/>
                <w:szCs w:val="26"/>
                <w:lang w:bidi="ar-EG"/>
              </w:rPr>
            </w:pPr>
            <w:r w:rsidRPr="000941BA">
              <w:rPr>
                <w:rFonts w:eastAsia="Calibri"/>
                <w:sz w:val="26"/>
                <w:szCs w:val="26"/>
                <w:rtl/>
              </w:rPr>
              <w:t>مخاطر السوق</w:t>
            </w:r>
          </w:p>
        </w:tc>
        <w:tc>
          <w:tcPr>
            <w:tcW w:w="0" w:type="auto"/>
            <w:vAlign w:val="center"/>
            <w:hideMark/>
          </w:tcPr>
          <w:p w14:paraId="4A28F8F5" w14:textId="77777777" w:rsidR="000941BA" w:rsidRPr="000941BA" w:rsidRDefault="000941BA" w:rsidP="000941BA">
            <w:pPr>
              <w:spacing w:after="0" w:line="276" w:lineRule="auto"/>
              <w:cnfStyle w:val="000000100000" w:firstRow="0" w:lastRow="0" w:firstColumn="0" w:lastColumn="0" w:oddVBand="0" w:evenVBand="0" w:oddHBand="1"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التقلبات في أسعار المستلزمات الطبية أو التغيرات في سياسات الدعم الحكومي والتمويل</w:t>
            </w:r>
            <w:r w:rsidRPr="000941BA">
              <w:rPr>
                <w:rFonts w:eastAsia="Calibri"/>
                <w:b/>
                <w:bCs/>
                <w:sz w:val="26"/>
                <w:szCs w:val="26"/>
                <w:rtl/>
                <w:lang w:bidi="ar-EG"/>
              </w:rPr>
              <w:t>.</w:t>
            </w:r>
          </w:p>
        </w:tc>
        <w:tc>
          <w:tcPr>
            <w:tcW w:w="0" w:type="auto"/>
            <w:vAlign w:val="center"/>
            <w:hideMark/>
          </w:tcPr>
          <w:p w14:paraId="20E3AFAA" w14:textId="77777777" w:rsidR="000941BA" w:rsidRPr="000941BA" w:rsidRDefault="000941BA" w:rsidP="000941BA">
            <w:pPr>
              <w:spacing w:after="0" w:line="276" w:lineRule="auto"/>
              <w:cnfStyle w:val="000000100000" w:firstRow="0" w:lastRow="0" w:firstColumn="0" w:lastColumn="0" w:oddVBand="0" w:evenVBand="0" w:oddHBand="1" w:evenHBand="0" w:firstRowFirstColumn="0" w:firstRowLastColumn="0" w:lastRowFirstColumn="0" w:lastRowLastColumn="0"/>
              <w:rPr>
                <w:rFonts w:eastAsia="Calibri"/>
                <w:b/>
                <w:bCs/>
                <w:sz w:val="26"/>
                <w:szCs w:val="26"/>
                <w:lang w:bidi="ar-EG"/>
              </w:rPr>
            </w:pPr>
            <w:proofErr w:type="spellStart"/>
            <w:r w:rsidRPr="000941BA">
              <w:rPr>
                <w:rFonts w:eastAsia="Calibri"/>
                <w:b/>
                <w:bCs/>
                <w:sz w:val="26"/>
                <w:szCs w:val="26"/>
                <w:rtl/>
              </w:rPr>
              <w:t>تانكا</w:t>
            </w:r>
            <w:proofErr w:type="spellEnd"/>
            <w:r w:rsidRPr="000941BA">
              <w:rPr>
                <w:rFonts w:eastAsia="Calibri"/>
                <w:b/>
                <w:bCs/>
                <w:sz w:val="26"/>
                <w:szCs w:val="26"/>
                <w:rtl/>
                <w:lang w:bidi="ar-EG"/>
              </w:rPr>
              <w:t xml:space="preserve"> (</w:t>
            </w:r>
            <w:r w:rsidRPr="000941BA">
              <w:rPr>
                <w:rFonts w:eastAsia="Calibri"/>
                <w:b/>
                <w:bCs/>
                <w:sz w:val="26"/>
                <w:szCs w:val="26"/>
                <w:lang w:bidi="ar-EG"/>
              </w:rPr>
              <w:t>Tanaka, 2020, p. 750</w:t>
            </w:r>
            <w:r w:rsidRPr="000941BA">
              <w:rPr>
                <w:rFonts w:eastAsia="Calibri"/>
                <w:b/>
                <w:bCs/>
                <w:sz w:val="26"/>
                <w:szCs w:val="26"/>
                <w:rtl/>
                <w:lang w:bidi="ar-EG"/>
              </w:rPr>
              <w:t>)</w:t>
            </w:r>
          </w:p>
        </w:tc>
      </w:tr>
      <w:tr w:rsidR="000941BA" w:rsidRPr="000941BA" w14:paraId="5747AD75" w14:textId="77777777" w:rsidTr="00D84C8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B3A85" w14:textId="77777777" w:rsidR="000941BA" w:rsidRPr="000941BA" w:rsidRDefault="000941BA" w:rsidP="000941BA">
            <w:pPr>
              <w:spacing w:after="0" w:line="276" w:lineRule="auto"/>
              <w:rPr>
                <w:rFonts w:eastAsia="Calibri"/>
                <w:sz w:val="26"/>
                <w:szCs w:val="26"/>
                <w:lang w:bidi="ar-EG"/>
              </w:rPr>
            </w:pPr>
            <w:r w:rsidRPr="000941BA">
              <w:rPr>
                <w:rFonts w:eastAsia="Calibri"/>
                <w:sz w:val="26"/>
                <w:szCs w:val="26"/>
                <w:rtl/>
              </w:rPr>
              <w:t>مخاطر الائتمان</w:t>
            </w:r>
          </w:p>
        </w:tc>
        <w:tc>
          <w:tcPr>
            <w:tcW w:w="0" w:type="auto"/>
            <w:vAlign w:val="center"/>
            <w:hideMark/>
          </w:tcPr>
          <w:p w14:paraId="4CB0CA45" w14:textId="77777777" w:rsidR="000941BA" w:rsidRPr="000941BA" w:rsidRDefault="000941BA" w:rsidP="000941BA">
            <w:pPr>
              <w:spacing w:after="0" w:line="276" w:lineRule="auto"/>
              <w:cnfStyle w:val="000000000000" w:firstRow="0" w:lastRow="0" w:firstColumn="0" w:lastColumn="0" w:oddVBand="0" w:evenVBand="0" w:oddHBand="0"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تأخر شركات التأمين أو الجهات الضامنة في سداد مستحقات المركز المالي نظير الخدمات المقدمة</w:t>
            </w:r>
            <w:r w:rsidRPr="000941BA">
              <w:rPr>
                <w:rFonts w:eastAsia="Calibri"/>
                <w:b/>
                <w:bCs/>
                <w:sz w:val="26"/>
                <w:szCs w:val="26"/>
                <w:rtl/>
                <w:lang w:bidi="ar-EG"/>
              </w:rPr>
              <w:t>.</w:t>
            </w:r>
          </w:p>
        </w:tc>
        <w:tc>
          <w:tcPr>
            <w:tcW w:w="0" w:type="auto"/>
            <w:vAlign w:val="center"/>
            <w:hideMark/>
          </w:tcPr>
          <w:p w14:paraId="354C9D9F" w14:textId="77777777" w:rsidR="000941BA" w:rsidRPr="000941BA" w:rsidRDefault="000941BA" w:rsidP="000941BA">
            <w:pPr>
              <w:spacing w:after="0" w:line="276" w:lineRule="auto"/>
              <w:cnfStyle w:val="000000000000" w:firstRow="0" w:lastRow="0" w:firstColumn="0" w:lastColumn="0" w:oddVBand="0" w:evenVBand="0" w:oddHBand="0" w:evenHBand="0" w:firstRowFirstColumn="0" w:firstRowLastColumn="0" w:lastRowFirstColumn="0" w:lastRowLastColumn="0"/>
              <w:rPr>
                <w:rFonts w:eastAsia="Calibri"/>
                <w:b/>
                <w:bCs/>
                <w:sz w:val="26"/>
                <w:szCs w:val="26"/>
                <w:lang w:bidi="ar-EG"/>
              </w:rPr>
            </w:pPr>
            <w:r w:rsidRPr="000941BA">
              <w:rPr>
                <w:rFonts w:eastAsia="Calibri"/>
                <w:b/>
                <w:bCs/>
                <w:sz w:val="26"/>
                <w:szCs w:val="26"/>
                <w:rtl/>
              </w:rPr>
              <w:t>عيطة (2021، ص. 220)</w:t>
            </w:r>
          </w:p>
        </w:tc>
      </w:tr>
    </w:tbl>
    <w:p w14:paraId="73D65364" w14:textId="77777777" w:rsidR="000941BA" w:rsidRPr="000941BA" w:rsidRDefault="000941BA" w:rsidP="000941BA">
      <w:pPr>
        <w:spacing w:after="0" w:line="360" w:lineRule="auto"/>
        <w:ind w:firstLine="397"/>
        <w:jc w:val="center"/>
        <w:rPr>
          <w:rFonts w:ascii="Times New Roman" w:eastAsia="Calibri" w:hAnsi="Times New Roman" w:cs="Simplified Arabic"/>
          <w:sz w:val="26"/>
          <w:szCs w:val="30"/>
          <w:rtl/>
          <w:lang w:bidi="ar-EG"/>
        </w:rPr>
      </w:pPr>
      <w:r w:rsidRPr="000941BA">
        <w:rPr>
          <w:rFonts w:ascii="Times New Roman" w:eastAsia="Calibri" w:hAnsi="Times New Roman" w:cs="Simplified Arabic"/>
          <w:b/>
          <w:bCs/>
          <w:szCs w:val="26"/>
          <w:rtl/>
        </w:rPr>
        <w:t>المصدر</w:t>
      </w:r>
      <w:r w:rsidRPr="000941BA">
        <w:rPr>
          <w:rFonts w:ascii="Times New Roman" w:eastAsia="Calibri" w:hAnsi="Times New Roman" w:cs="Simplified Arabic"/>
          <w:b/>
          <w:bCs/>
          <w:szCs w:val="26"/>
          <w:rtl/>
          <w:lang w:bidi="ar-EG"/>
        </w:rPr>
        <w:t xml:space="preserve">: </w:t>
      </w:r>
      <w:r w:rsidRPr="000941BA">
        <w:rPr>
          <w:rFonts w:ascii="Times New Roman" w:eastAsia="Calibri" w:hAnsi="Times New Roman" w:cs="Simplified Arabic"/>
          <w:b/>
          <w:bCs/>
          <w:szCs w:val="26"/>
          <w:rtl/>
        </w:rPr>
        <w:t>إعداد الباحث بالاستناد إلى المراجع المذكورة في الجدول</w:t>
      </w:r>
      <w:r w:rsidRPr="000941BA">
        <w:rPr>
          <w:rFonts w:ascii="Times New Roman" w:eastAsia="Calibri" w:hAnsi="Times New Roman" w:cs="Simplified Arabic"/>
          <w:b/>
          <w:bCs/>
          <w:szCs w:val="26"/>
          <w:rtl/>
          <w:lang w:bidi="ar-EG"/>
        </w:rPr>
        <w:t>.</w:t>
      </w:r>
    </w:p>
    <w:p w14:paraId="004A2722"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 xml:space="preserve"> يوضح الجدول أعلاه أن المخاطر المالية ليست أحادية البعد، بل تتداخل فيها العوامل التشغيلية والاقتصادية، مما يستدعي منهجية شاملة للتعامل معها.</w:t>
      </w:r>
    </w:p>
    <w:p w14:paraId="37CBE3F2"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rPr>
      </w:pPr>
      <w:r w:rsidRPr="000941BA">
        <w:rPr>
          <w:rFonts w:ascii="Times New Roman" w:eastAsia="Calibri" w:hAnsi="Times New Roman" w:cs="Simplified Arabic"/>
          <w:b/>
          <w:bCs/>
          <w:sz w:val="26"/>
          <w:szCs w:val="30"/>
          <w:rtl/>
        </w:rPr>
        <w:t>رابعاً: أبعاد عملية إدارة المخاطر المالية</w:t>
      </w:r>
    </w:p>
    <w:p w14:paraId="23F49548"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تتجسد ممارسة إدارة المخاطر في ثلاث مراحل رئيسة مترابطة:</w:t>
      </w:r>
    </w:p>
    <w:p w14:paraId="790FAF43"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 xml:space="preserve">تشخيص المخاطر: وهي الخطوة التأسيسية، حيث يوضح المر (2020) أن التشخيص يتطلب وجود نظم معلومات محاسبية دقيقة قادرة على التقاط إشارات الإنذار المبكر (ص. 1010). ويضيف </w:t>
      </w:r>
      <w:proofErr w:type="spellStart"/>
      <w:r w:rsidRPr="000941BA">
        <w:rPr>
          <w:rFonts w:ascii="Times New Roman" w:eastAsia="Calibri" w:hAnsi="Times New Roman" w:cs="Simplified Arabic"/>
          <w:sz w:val="26"/>
          <w:szCs w:val="30"/>
          <w:rtl/>
        </w:rPr>
        <w:t>يازو-كابويا</w:t>
      </w:r>
      <w:proofErr w:type="spellEnd"/>
      <w:r w:rsidRPr="000941BA">
        <w:rPr>
          <w:rFonts w:ascii="Times New Roman" w:eastAsia="Calibri" w:hAnsi="Times New Roman" w:cs="Simplified Arabic"/>
          <w:sz w:val="26"/>
          <w:szCs w:val="30"/>
          <w:rtl/>
        </w:rPr>
        <w:t xml:space="preserve"> وآخرون (</w:t>
      </w:r>
      <w:proofErr w:type="spellStart"/>
      <w:r w:rsidRPr="000941BA">
        <w:rPr>
          <w:rFonts w:ascii="Times New Roman" w:eastAsia="Calibri" w:hAnsi="Times New Roman" w:cs="Simplified Arabic"/>
          <w:sz w:val="26"/>
          <w:szCs w:val="30"/>
        </w:rPr>
        <w:t>Yazo</w:t>
      </w:r>
      <w:proofErr w:type="spellEnd"/>
      <w:r w:rsidRPr="000941BA">
        <w:rPr>
          <w:rFonts w:ascii="Times New Roman" w:eastAsia="Calibri" w:hAnsi="Times New Roman" w:cs="Simplified Arabic"/>
          <w:sz w:val="26"/>
          <w:szCs w:val="30"/>
        </w:rPr>
        <w:t>-Cabuya et al., 2024</w:t>
      </w:r>
      <w:r w:rsidRPr="000941BA">
        <w:rPr>
          <w:rFonts w:ascii="Times New Roman" w:eastAsia="Calibri" w:hAnsi="Times New Roman" w:cs="Simplified Arabic"/>
          <w:sz w:val="26"/>
          <w:szCs w:val="30"/>
          <w:rtl/>
        </w:rPr>
        <w:t>) أن التشخيص الفعال يعتمد على دمج معايير الاستدامة في عمليات الرصد لتحديد المخاطر التقليدية والناشئة (</w:t>
      </w:r>
      <w:r w:rsidRPr="000941BA">
        <w:rPr>
          <w:rFonts w:ascii="Times New Roman" w:eastAsia="Calibri" w:hAnsi="Times New Roman" w:cs="Simplified Arabic"/>
          <w:sz w:val="26"/>
          <w:szCs w:val="30"/>
        </w:rPr>
        <w:t>p. 5</w:t>
      </w:r>
      <w:r w:rsidRPr="000941BA">
        <w:rPr>
          <w:rFonts w:ascii="Times New Roman" w:eastAsia="Calibri" w:hAnsi="Times New Roman" w:cs="Simplified Arabic"/>
          <w:sz w:val="26"/>
          <w:szCs w:val="30"/>
          <w:rtl/>
        </w:rPr>
        <w:t>).</w:t>
      </w:r>
    </w:p>
    <w:p w14:paraId="69C3A1D0"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lastRenderedPageBreak/>
        <w:t xml:space="preserve">تقييم وتحليل المخاطر: بعد التشخيص، تأتي مرحلة القياس، حيث يشير </w:t>
      </w:r>
      <w:proofErr w:type="spellStart"/>
      <w:r w:rsidRPr="000941BA">
        <w:rPr>
          <w:rFonts w:ascii="Times New Roman" w:eastAsia="Calibri" w:hAnsi="Times New Roman" w:cs="Simplified Arabic"/>
          <w:sz w:val="26"/>
          <w:szCs w:val="30"/>
          <w:rtl/>
        </w:rPr>
        <w:t>لانغبير</w:t>
      </w:r>
      <w:proofErr w:type="spellEnd"/>
      <w:r w:rsidRPr="000941BA">
        <w:rPr>
          <w:rFonts w:ascii="Times New Roman" w:eastAsia="Calibri" w:hAnsi="Times New Roman" w:cs="Simplified Arabic"/>
          <w:sz w:val="26"/>
          <w:szCs w:val="30"/>
          <w:rtl/>
        </w:rPr>
        <w:t xml:space="preserve"> وآخرون (</w:t>
      </w:r>
      <w:proofErr w:type="spellStart"/>
      <w:r w:rsidRPr="000941BA">
        <w:rPr>
          <w:rFonts w:ascii="Times New Roman" w:eastAsia="Calibri" w:hAnsi="Times New Roman" w:cs="Simplified Arabic"/>
          <w:sz w:val="26"/>
          <w:szCs w:val="30"/>
        </w:rPr>
        <w:t>Langabeer</w:t>
      </w:r>
      <w:proofErr w:type="spellEnd"/>
      <w:r w:rsidRPr="000941BA">
        <w:rPr>
          <w:rFonts w:ascii="Times New Roman" w:eastAsia="Calibri" w:hAnsi="Times New Roman" w:cs="Simplified Arabic"/>
          <w:sz w:val="26"/>
          <w:szCs w:val="30"/>
        </w:rPr>
        <w:t xml:space="preserve"> et al., 2018</w:t>
      </w:r>
      <w:r w:rsidRPr="000941BA">
        <w:rPr>
          <w:rFonts w:ascii="Times New Roman" w:eastAsia="Calibri" w:hAnsi="Times New Roman" w:cs="Simplified Arabic"/>
          <w:sz w:val="26"/>
          <w:szCs w:val="30"/>
          <w:rtl/>
        </w:rPr>
        <w:t>) إلى ضرورة استخدام نماذج التنبؤ بالضائقة المالية (</w:t>
      </w:r>
      <w:r w:rsidRPr="000941BA">
        <w:rPr>
          <w:rFonts w:ascii="Times New Roman" w:eastAsia="Calibri" w:hAnsi="Times New Roman" w:cs="Simplified Arabic"/>
          <w:sz w:val="26"/>
          <w:szCs w:val="30"/>
        </w:rPr>
        <w:t>Financial Distress Prediction Models</w:t>
      </w:r>
      <w:r w:rsidRPr="000941BA">
        <w:rPr>
          <w:rFonts w:ascii="Times New Roman" w:eastAsia="Calibri" w:hAnsi="Times New Roman" w:cs="Simplified Arabic"/>
          <w:sz w:val="26"/>
          <w:szCs w:val="30"/>
          <w:rtl/>
        </w:rPr>
        <w:t>) لتحديد احتمالية حدوث الخطر وشدة تأثيره (</w:t>
      </w:r>
      <w:r w:rsidRPr="000941BA">
        <w:rPr>
          <w:rFonts w:ascii="Times New Roman" w:eastAsia="Calibri" w:hAnsi="Times New Roman" w:cs="Simplified Arabic"/>
          <w:sz w:val="26"/>
          <w:szCs w:val="30"/>
        </w:rPr>
        <w:t>p. 76</w:t>
      </w:r>
      <w:r w:rsidRPr="000941BA">
        <w:rPr>
          <w:rFonts w:ascii="Times New Roman" w:eastAsia="Calibri" w:hAnsi="Times New Roman" w:cs="Simplified Arabic"/>
          <w:sz w:val="26"/>
          <w:szCs w:val="30"/>
          <w:rtl/>
        </w:rPr>
        <w:t>). ويؤكد بورو وآخرون (</w:t>
      </w:r>
      <w:r w:rsidRPr="000941BA">
        <w:rPr>
          <w:rFonts w:ascii="Times New Roman" w:eastAsia="Calibri" w:hAnsi="Times New Roman" w:cs="Simplified Arabic"/>
          <w:sz w:val="26"/>
          <w:szCs w:val="30"/>
        </w:rPr>
        <w:t>Puro et al., 2019</w:t>
      </w:r>
      <w:r w:rsidRPr="000941BA">
        <w:rPr>
          <w:rFonts w:ascii="Times New Roman" w:eastAsia="Calibri" w:hAnsi="Times New Roman" w:cs="Simplified Arabic"/>
          <w:sz w:val="26"/>
          <w:szCs w:val="30"/>
          <w:rtl/>
        </w:rPr>
        <w:t>) على أهمية المقارنة المعيارية مع المؤسسات المماثلة لتحديد مستوى الخطورة بدقة (</w:t>
      </w:r>
      <w:r w:rsidRPr="000941BA">
        <w:rPr>
          <w:rFonts w:ascii="Times New Roman" w:eastAsia="Calibri" w:hAnsi="Times New Roman" w:cs="Simplified Arabic"/>
          <w:sz w:val="26"/>
          <w:szCs w:val="30"/>
        </w:rPr>
        <w:t>p. 5</w:t>
      </w:r>
      <w:r w:rsidRPr="000941BA">
        <w:rPr>
          <w:rFonts w:ascii="Times New Roman" w:eastAsia="Calibri" w:hAnsi="Times New Roman" w:cs="Simplified Arabic"/>
          <w:sz w:val="26"/>
          <w:szCs w:val="30"/>
          <w:rtl/>
        </w:rPr>
        <w:t>).</w:t>
      </w:r>
    </w:p>
    <w:p w14:paraId="112387CD"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 xml:space="preserve">مواجهة المخاطر: وهي مرحلة الاستجابة، وتتضمن استراتيجيات متنوعة مثل التجنب، أو النقل، أو التخفيف. ويبين </w:t>
      </w:r>
      <w:proofErr w:type="spellStart"/>
      <w:r w:rsidRPr="000941BA">
        <w:rPr>
          <w:rFonts w:ascii="Times New Roman" w:eastAsia="Calibri" w:hAnsi="Times New Roman" w:cs="Simplified Arabic"/>
          <w:sz w:val="26"/>
          <w:szCs w:val="30"/>
          <w:rtl/>
        </w:rPr>
        <w:t>ماينل</w:t>
      </w:r>
      <w:proofErr w:type="spellEnd"/>
      <w:r w:rsidRPr="000941BA">
        <w:rPr>
          <w:rFonts w:ascii="Times New Roman" w:eastAsia="Calibri" w:hAnsi="Times New Roman" w:cs="Simplified Arabic"/>
          <w:sz w:val="26"/>
          <w:szCs w:val="30"/>
          <w:rtl/>
        </w:rPr>
        <w:t xml:space="preserve"> وآخرون (</w:t>
      </w:r>
      <w:r w:rsidRPr="000941BA">
        <w:rPr>
          <w:rFonts w:ascii="Times New Roman" w:eastAsia="Calibri" w:hAnsi="Times New Roman" w:cs="Simplified Arabic"/>
          <w:sz w:val="26"/>
          <w:szCs w:val="30"/>
        </w:rPr>
        <w:t>Meinel et al., 2020</w:t>
      </w:r>
      <w:r w:rsidRPr="000941BA">
        <w:rPr>
          <w:rFonts w:ascii="Times New Roman" w:eastAsia="Calibri" w:hAnsi="Times New Roman" w:cs="Simplified Arabic"/>
          <w:sz w:val="26"/>
          <w:szCs w:val="30"/>
          <w:rtl/>
        </w:rPr>
        <w:t>) أن تطبيق التفكير التصميمي (</w:t>
      </w:r>
      <w:r w:rsidRPr="000941BA">
        <w:rPr>
          <w:rFonts w:ascii="Times New Roman" w:eastAsia="Calibri" w:hAnsi="Times New Roman" w:cs="Simplified Arabic"/>
          <w:sz w:val="26"/>
          <w:szCs w:val="30"/>
        </w:rPr>
        <w:t>Design Thinking</w:t>
      </w:r>
      <w:r w:rsidRPr="000941BA">
        <w:rPr>
          <w:rFonts w:ascii="Times New Roman" w:eastAsia="Calibri" w:hAnsi="Times New Roman" w:cs="Simplified Arabic"/>
          <w:sz w:val="26"/>
          <w:szCs w:val="30"/>
          <w:rtl/>
        </w:rPr>
        <w:t>) في ابتكار حلول للمخاطر يمكن أن يؤدي إلى مفاهيم جديدة في إدارة الموارد تقلل من التعرض المالي (</w:t>
      </w:r>
      <w:r w:rsidRPr="000941BA">
        <w:rPr>
          <w:rFonts w:ascii="Times New Roman" w:eastAsia="Calibri" w:hAnsi="Times New Roman" w:cs="Simplified Arabic"/>
          <w:sz w:val="26"/>
          <w:szCs w:val="30"/>
        </w:rPr>
        <w:t>p. 665</w:t>
      </w:r>
      <w:r w:rsidRPr="000941BA">
        <w:rPr>
          <w:rFonts w:ascii="Times New Roman" w:eastAsia="Calibri" w:hAnsi="Times New Roman" w:cs="Simplified Arabic"/>
          <w:sz w:val="26"/>
          <w:szCs w:val="30"/>
          <w:rtl/>
        </w:rPr>
        <w:t>).</w:t>
      </w:r>
    </w:p>
    <w:p w14:paraId="1B1D71C8"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rPr>
      </w:pPr>
      <w:r w:rsidRPr="000941BA">
        <w:rPr>
          <w:rFonts w:ascii="Times New Roman" w:eastAsia="Calibri" w:hAnsi="Times New Roman" w:cs="Simplified Arabic"/>
          <w:b/>
          <w:bCs/>
          <w:sz w:val="26"/>
          <w:szCs w:val="30"/>
          <w:rtl/>
        </w:rPr>
        <w:t>تعقيب الباحث:</w:t>
      </w:r>
    </w:p>
    <w:p w14:paraId="53A2C2DF"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يتضح مما سبق أن إدارة المخاطر المالية في المراكز الصحية الأولية ليست مجرد وظيفة محاسبية، بل هي عملية إدارية استراتيجية. ويرى الباحث أن الطبيعة التشغيلية لهذه المراكز، واعتمادها الكبير على الميزانيات الحكومية أو التمويل المخصص، يجعل من "مخاطر التشغيل" و"مخاطر السيولة" الأكثر إلحاحاً مقارنة بمخاطر الاستثمار والسوق. وبالتالي؛ فإن نجاح هذه المراكز مرهون بتبنيها لآليات تشخيص مبكر تمكنها من التعامل مع العجز المحتمل قبل تفاقمه.</w:t>
      </w:r>
    </w:p>
    <w:p w14:paraId="56C7ECEE" w14:textId="77777777" w:rsidR="00B345B0" w:rsidRDefault="00B345B0" w:rsidP="000941BA">
      <w:pPr>
        <w:spacing w:after="0" w:line="360" w:lineRule="auto"/>
        <w:ind w:firstLine="397"/>
        <w:jc w:val="both"/>
        <w:rPr>
          <w:rFonts w:ascii="Times New Roman" w:eastAsia="Calibri" w:hAnsi="Times New Roman" w:cs="Simplified Arabic"/>
          <w:b/>
          <w:bCs/>
          <w:sz w:val="26"/>
          <w:szCs w:val="30"/>
          <w:rtl/>
        </w:rPr>
      </w:pPr>
    </w:p>
    <w:p w14:paraId="025EBACD" w14:textId="77777777" w:rsidR="00B345B0" w:rsidRDefault="00B345B0" w:rsidP="000941BA">
      <w:pPr>
        <w:spacing w:after="0" w:line="360" w:lineRule="auto"/>
        <w:ind w:firstLine="397"/>
        <w:jc w:val="both"/>
        <w:rPr>
          <w:rFonts w:ascii="Times New Roman" w:eastAsia="Calibri" w:hAnsi="Times New Roman" w:cs="Simplified Arabic"/>
          <w:b/>
          <w:bCs/>
          <w:sz w:val="26"/>
          <w:szCs w:val="30"/>
          <w:rtl/>
        </w:rPr>
      </w:pPr>
    </w:p>
    <w:p w14:paraId="7BD6389B" w14:textId="77777777" w:rsidR="00B345B0" w:rsidRDefault="00B345B0" w:rsidP="000941BA">
      <w:pPr>
        <w:spacing w:after="0" w:line="360" w:lineRule="auto"/>
        <w:ind w:firstLine="397"/>
        <w:jc w:val="both"/>
        <w:rPr>
          <w:rFonts w:ascii="Times New Roman" w:eastAsia="Calibri" w:hAnsi="Times New Roman" w:cs="Simplified Arabic"/>
          <w:b/>
          <w:bCs/>
          <w:sz w:val="26"/>
          <w:szCs w:val="30"/>
          <w:rtl/>
        </w:rPr>
      </w:pPr>
    </w:p>
    <w:p w14:paraId="261ACE37" w14:textId="0730F290" w:rsidR="000941BA" w:rsidRPr="000941BA" w:rsidRDefault="000941BA" w:rsidP="00B345B0">
      <w:pPr>
        <w:spacing w:after="0" w:line="360" w:lineRule="auto"/>
        <w:ind w:firstLine="397"/>
        <w:jc w:val="center"/>
        <w:rPr>
          <w:rFonts w:ascii="Times New Roman" w:eastAsia="Calibri" w:hAnsi="Times New Roman" w:cs="Simplified Arabic"/>
          <w:b/>
          <w:bCs/>
          <w:sz w:val="26"/>
          <w:szCs w:val="30"/>
          <w:rtl/>
        </w:rPr>
      </w:pPr>
      <w:r w:rsidRPr="000941BA">
        <w:rPr>
          <w:rFonts w:ascii="Times New Roman" w:eastAsia="Calibri" w:hAnsi="Times New Roman" w:cs="Simplified Arabic"/>
          <w:b/>
          <w:bCs/>
          <w:sz w:val="26"/>
          <w:szCs w:val="30"/>
          <w:rtl/>
        </w:rPr>
        <w:lastRenderedPageBreak/>
        <w:t>المبحث الثاني: الاستدامة التشغيلية: المفهوم، الأبعاد، والمقومات</w:t>
      </w:r>
    </w:p>
    <w:p w14:paraId="6D65C85A"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يمثل مفهوم الاستدامة التشغيلية تطوراً نوعياً في الفكر الإداري الصحي، حيث ينتقل التركيز من مجرد البقاء المالي إلى القدرة على الازدهار وتقديم القيمة المستمرة للمجتمع. وتُعد الاستدامة التشغيلية الغاية التي تسعى إليها النظم الصحية الحديثة لضمان الأمن الصحي.</w:t>
      </w:r>
    </w:p>
    <w:p w14:paraId="74C4239F"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rPr>
      </w:pPr>
      <w:r w:rsidRPr="000941BA">
        <w:rPr>
          <w:rFonts w:ascii="Times New Roman" w:eastAsia="Calibri" w:hAnsi="Times New Roman" w:cs="Simplified Arabic"/>
          <w:b/>
          <w:bCs/>
          <w:sz w:val="26"/>
          <w:szCs w:val="30"/>
          <w:rtl/>
        </w:rPr>
        <w:t>أولاً: المفهوم الشامل للاستدامة التشغيلية</w:t>
      </w:r>
    </w:p>
    <w:p w14:paraId="23977F94"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rPr>
      </w:pPr>
      <w:r w:rsidRPr="000941BA">
        <w:rPr>
          <w:rFonts w:ascii="Times New Roman" w:eastAsia="Calibri" w:hAnsi="Times New Roman" w:cs="Simplified Arabic"/>
          <w:sz w:val="26"/>
          <w:szCs w:val="30"/>
          <w:rtl/>
        </w:rPr>
        <w:t>تُعرف الاستدامة التشغيلية بأنها القدرة على الحفاظ على العمليات الحيوية للمؤسسة بكفاءة وفاعلية عبر الزمن. ويشير بن الطيب (2019) إلى أن الاستدامة الحقيقية تتطلب دمج الاعتبارات الاقتصادية والاجتماعية والبيئية في صلب العمليات التشغيلية (ص. 10). ومن منظور الموارد، يرى لي وآخرون (</w:t>
      </w:r>
      <w:r w:rsidRPr="000941BA">
        <w:rPr>
          <w:rFonts w:ascii="Times New Roman" w:eastAsia="Calibri" w:hAnsi="Times New Roman" w:cs="Simplified Arabic"/>
          <w:sz w:val="26"/>
          <w:szCs w:val="30"/>
        </w:rPr>
        <w:t>Lee et al., 2023</w:t>
      </w:r>
      <w:r w:rsidRPr="000941BA">
        <w:rPr>
          <w:rFonts w:ascii="Times New Roman" w:eastAsia="Calibri" w:hAnsi="Times New Roman" w:cs="Simplified Arabic"/>
          <w:sz w:val="26"/>
          <w:szCs w:val="30"/>
          <w:rtl/>
        </w:rPr>
        <w:t>) أن الاستدامة المالية للمستشفيات ترتبط ارتباطاً وثيقاً بالعدالة في الوصول للرعاية الصحية، حيث يُنظر إلى الموارد الاجتماعية كجزء لا يتجزأ من رأس المال التشغيلي (</w:t>
      </w:r>
      <w:r w:rsidRPr="000941BA">
        <w:rPr>
          <w:rFonts w:ascii="Times New Roman" w:eastAsia="Calibri" w:hAnsi="Times New Roman" w:cs="Simplified Arabic"/>
          <w:sz w:val="26"/>
          <w:szCs w:val="30"/>
        </w:rPr>
        <w:t>p. 5</w:t>
      </w:r>
      <w:r w:rsidRPr="000941BA">
        <w:rPr>
          <w:rFonts w:ascii="Times New Roman" w:eastAsia="Calibri" w:hAnsi="Times New Roman" w:cs="Simplified Arabic"/>
          <w:sz w:val="26"/>
          <w:szCs w:val="30"/>
          <w:rtl/>
        </w:rPr>
        <w:t xml:space="preserve">). وتؤكد دراسة درويش </w:t>
      </w:r>
      <w:proofErr w:type="spellStart"/>
      <w:r w:rsidRPr="000941BA">
        <w:rPr>
          <w:rFonts w:ascii="Times New Roman" w:eastAsia="Calibri" w:hAnsi="Times New Roman" w:cs="Simplified Arabic"/>
          <w:sz w:val="26"/>
          <w:szCs w:val="30"/>
          <w:rtl/>
        </w:rPr>
        <w:t>والجماصي</w:t>
      </w:r>
      <w:proofErr w:type="spellEnd"/>
      <w:r w:rsidRPr="000941BA">
        <w:rPr>
          <w:rFonts w:ascii="Times New Roman" w:eastAsia="Calibri" w:hAnsi="Times New Roman" w:cs="Simplified Arabic"/>
          <w:sz w:val="26"/>
          <w:szCs w:val="30"/>
          <w:rtl/>
        </w:rPr>
        <w:t xml:space="preserve"> (2023) أن الاستدامة المالية هي الأساس الذي تبنى عليه الاستدامة التشغيلية، فلا يمكن لمؤسسة أن تستمر في تقديم خدماتها دون قاعدة مالية صلبة تدعمها ممارسات حوكمة رشيدة (ص. 8).</w:t>
      </w:r>
    </w:p>
    <w:p w14:paraId="06060B23" w14:textId="77777777" w:rsidR="000941BA" w:rsidRPr="000941BA" w:rsidRDefault="000941BA" w:rsidP="000941BA">
      <w:pPr>
        <w:spacing w:after="0" w:line="360" w:lineRule="auto"/>
        <w:ind w:firstLine="397"/>
        <w:jc w:val="both"/>
        <w:rPr>
          <w:rFonts w:ascii="Times New Roman" w:eastAsia="Calibri" w:hAnsi="Times New Roman" w:cs="Simplified Arabic"/>
          <w:b/>
          <w:bCs/>
          <w:sz w:val="26"/>
          <w:szCs w:val="30"/>
          <w:rtl/>
        </w:rPr>
      </w:pPr>
      <w:r w:rsidRPr="000941BA">
        <w:rPr>
          <w:rFonts w:ascii="Times New Roman" w:eastAsia="Calibri" w:hAnsi="Times New Roman" w:cs="Simplified Arabic"/>
          <w:b/>
          <w:bCs/>
          <w:sz w:val="26"/>
          <w:szCs w:val="30"/>
          <w:rtl/>
        </w:rPr>
        <w:t>ثانياً: أبعاد الاستدامة التشغيلية في الرعاية الصحية</w:t>
      </w:r>
    </w:p>
    <w:p w14:paraId="30E6044C"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Pr>
      </w:pPr>
      <w:r w:rsidRPr="000941BA">
        <w:rPr>
          <w:rFonts w:ascii="Times New Roman" w:eastAsia="Calibri" w:hAnsi="Times New Roman" w:cs="Simplified Arabic"/>
          <w:sz w:val="26"/>
          <w:szCs w:val="30"/>
          <w:rtl/>
        </w:rPr>
        <w:t>يمكن تفكيك مفهوم الاستدامة التشغيلية إلى بُعدين رئيسيين</w:t>
      </w:r>
      <w:r w:rsidRPr="000941BA">
        <w:rPr>
          <w:rFonts w:ascii="Times New Roman" w:eastAsia="Calibri" w:hAnsi="Times New Roman" w:cs="Simplified Arabic"/>
          <w:sz w:val="26"/>
          <w:szCs w:val="30"/>
          <w:rtl/>
          <w:lang w:bidi="ar-EG"/>
        </w:rPr>
        <w:t>، هما:</w:t>
      </w:r>
    </w:p>
    <w:p w14:paraId="033FB580" w14:textId="77777777" w:rsidR="000941BA" w:rsidRPr="000941BA" w:rsidRDefault="000941BA" w:rsidP="00B345B0">
      <w:pPr>
        <w:numPr>
          <w:ilvl w:val="0"/>
          <w:numId w:val="61"/>
        </w:numPr>
        <w:tabs>
          <w:tab w:val="clear" w:pos="720"/>
          <w:tab w:val="num" w:pos="510"/>
        </w:tabs>
        <w:spacing w:after="0" w:line="360" w:lineRule="auto"/>
        <w:ind w:left="510"/>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استمرارية الخدمة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 xml:space="preserve">ويقصد بها ضمان عدم انقطاع الرعاية الصحية. وتوضح </w:t>
      </w:r>
      <w:proofErr w:type="spellStart"/>
      <w:r w:rsidRPr="000941BA">
        <w:rPr>
          <w:rFonts w:ascii="Times New Roman" w:eastAsia="Calibri" w:hAnsi="Times New Roman" w:cs="Simplified Arabic"/>
          <w:sz w:val="26"/>
          <w:szCs w:val="30"/>
          <w:rtl/>
        </w:rPr>
        <w:t>نوفيللا</w:t>
      </w:r>
      <w:proofErr w:type="spellEnd"/>
      <w:r w:rsidRPr="000941BA">
        <w:rPr>
          <w:rFonts w:ascii="Times New Roman" w:eastAsia="Calibri" w:hAnsi="Times New Roman" w:cs="Simplified Arabic"/>
          <w:sz w:val="26"/>
          <w:szCs w:val="30"/>
          <w:rtl/>
        </w:rPr>
        <w:t xml:space="preserve"> 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Novilla et al., 2023</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أن دمج الرعاية الاجتماعية في الرعاية الصحية يُعد استراتيجية محورية لضمان استمرارية الخدمة، خاصة للفئات الأكثر احتياجاً، مما يقلل من الضغط على أقسام الطوارئ ويعزز الصحة الوقائية</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6880</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 xml:space="preserve">ويضيف ويليامز </w:t>
      </w:r>
      <w:r w:rsidRPr="000941BA">
        <w:rPr>
          <w:rFonts w:ascii="Times New Roman" w:eastAsia="Calibri" w:hAnsi="Times New Roman" w:cs="Simplified Arabic"/>
          <w:sz w:val="26"/>
          <w:szCs w:val="30"/>
          <w:rtl/>
        </w:rPr>
        <w:lastRenderedPageBreak/>
        <w:t>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Williams et al., 2023</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أن سد الفجوة بين الرعاية الطبية والاجتماعية يسهم في استقرار النظام الصحي وتقليل التفاوتات التي تهدد استمراريته</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2</w:t>
      </w:r>
      <w:r w:rsidRPr="000941BA">
        <w:rPr>
          <w:rFonts w:ascii="Times New Roman" w:eastAsia="Calibri" w:hAnsi="Times New Roman" w:cs="Simplified Arabic"/>
          <w:sz w:val="26"/>
          <w:szCs w:val="30"/>
          <w:rtl/>
          <w:lang w:bidi="ar-EG"/>
        </w:rPr>
        <w:t>).</w:t>
      </w:r>
    </w:p>
    <w:p w14:paraId="3E229377" w14:textId="77777777" w:rsidR="000941BA" w:rsidRPr="000941BA" w:rsidRDefault="000941BA" w:rsidP="00B345B0">
      <w:pPr>
        <w:numPr>
          <w:ilvl w:val="0"/>
          <w:numId w:val="61"/>
        </w:numPr>
        <w:tabs>
          <w:tab w:val="clear" w:pos="720"/>
          <w:tab w:val="num" w:pos="510"/>
        </w:tabs>
        <w:spacing w:after="0" w:line="360" w:lineRule="auto"/>
        <w:ind w:left="510"/>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كفاءة الموارد التشغيلية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 xml:space="preserve">وتتعلق بالاستغلال الأمثل للمدخلات. ويشير </w:t>
      </w:r>
      <w:proofErr w:type="spellStart"/>
      <w:r w:rsidRPr="000941BA">
        <w:rPr>
          <w:rFonts w:ascii="Times New Roman" w:eastAsia="Calibri" w:hAnsi="Times New Roman" w:cs="Simplified Arabic"/>
          <w:sz w:val="26"/>
          <w:szCs w:val="30"/>
          <w:rtl/>
        </w:rPr>
        <w:t>ماديدو</w:t>
      </w:r>
      <w:proofErr w:type="spellEnd"/>
      <w:r w:rsidRPr="000941BA">
        <w:rPr>
          <w:rFonts w:ascii="Times New Roman" w:eastAsia="Calibri" w:hAnsi="Times New Roman" w:cs="Simplified Arabic"/>
          <w:sz w:val="26"/>
          <w:szCs w:val="30"/>
          <w:rtl/>
        </w:rPr>
        <w:t xml:space="preserve"> 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Madiedo et al., 2020</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إلى أن التخصص الوظيفي والخبرة الإدارية يلعبان دوراً حاسماً في تحسين الكفاءة التشغيلية، حيث يؤدي تراكم الخبرة إلى تقليل الوقت والجهد المهدرين في المهام الروتينية</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870</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كما يربط عبد الهادي (2023) بين الإفصاح عن ممارسات الاستدامة وتحسن الأداء المالي، مما يشير إلى أن الكفاءة في إدارة الموارد تنعكس إيجاباً على الصورة الذهنية والملاءة المالية للمؤسسة (ص. 550)</w:t>
      </w:r>
      <w:r w:rsidRPr="000941BA">
        <w:rPr>
          <w:rFonts w:ascii="Times New Roman" w:eastAsia="Calibri" w:hAnsi="Times New Roman" w:cs="Simplified Arabic"/>
          <w:sz w:val="26"/>
          <w:szCs w:val="30"/>
          <w:rtl/>
          <w:lang w:bidi="ar-EG"/>
        </w:rPr>
        <w:t>.</w:t>
      </w:r>
    </w:p>
    <w:p w14:paraId="4F801D44"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ثالثاً: مقومات تحقيق الاستدامة التشغيلية</w:t>
      </w:r>
    </w:p>
    <w:p w14:paraId="00EF8CCE"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لتحقيق استدامة تشغيلية حقيقية، لا بد من توافر مجموعة من المقومات، يوجزها الباحث في الجدول التالي استناداً إلى الأدبيات الحديثة</w:t>
      </w:r>
      <w:r w:rsidRPr="000941BA">
        <w:rPr>
          <w:rFonts w:ascii="Times New Roman" w:eastAsia="Calibri" w:hAnsi="Times New Roman" w:cs="Simplified Arabic"/>
          <w:sz w:val="26"/>
          <w:szCs w:val="30"/>
          <w:rtl/>
          <w:lang w:bidi="ar-EG"/>
        </w:rPr>
        <w:t>:</w:t>
      </w:r>
    </w:p>
    <w:p w14:paraId="00F958D0" w14:textId="77777777" w:rsidR="000941BA" w:rsidRPr="000941BA" w:rsidRDefault="000941BA" w:rsidP="000941BA">
      <w:pPr>
        <w:spacing w:after="0" w:line="276" w:lineRule="auto"/>
        <w:jc w:val="center"/>
        <w:rPr>
          <w:rFonts w:ascii="Times New Roman" w:eastAsia="Calibri" w:hAnsi="Times New Roman" w:cs="Simplified Arabic"/>
          <w:b/>
          <w:bCs/>
          <w:sz w:val="26"/>
          <w:szCs w:val="26"/>
        </w:rPr>
      </w:pPr>
      <w:r w:rsidRPr="000941BA">
        <w:rPr>
          <w:rFonts w:ascii="Times New Roman" w:eastAsia="Calibri" w:hAnsi="Times New Roman" w:cs="Simplified Arabic"/>
          <w:b/>
          <w:bCs/>
          <w:sz w:val="26"/>
          <w:szCs w:val="26"/>
          <w:rtl/>
        </w:rPr>
        <w:t>الجدول رقم (2): مقومات الاستدامة التشغيلية في المراكز الصحية</w:t>
      </w:r>
    </w:p>
    <w:tbl>
      <w:tblPr>
        <w:tblStyle w:val="4-5"/>
        <w:bidiVisual/>
        <w:tblW w:w="0" w:type="auto"/>
        <w:tblLook w:val="04A0" w:firstRow="1" w:lastRow="0" w:firstColumn="1" w:lastColumn="0" w:noHBand="0" w:noVBand="1"/>
      </w:tblPr>
      <w:tblGrid>
        <w:gridCol w:w="1246"/>
        <w:gridCol w:w="4131"/>
        <w:gridCol w:w="3061"/>
      </w:tblGrid>
      <w:tr w:rsidR="000941BA" w:rsidRPr="000941BA" w14:paraId="66D270E8" w14:textId="77777777" w:rsidTr="00B34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0C9D9" w14:textId="77777777" w:rsidR="000941BA" w:rsidRPr="000941BA" w:rsidRDefault="000941BA" w:rsidP="00B345B0">
            <w:pPr>
              <w:spacing w:after="0" w:line="240" w:lineRule="auto"/>
              <w:ind w:firstLine="0"/>
              <w:jc w:val="center"/>
              <w:rPr>
                <w:rFonts w:eastAsia="Calibri"/>
                <w:color w:val="FFFFFF"/>
                <w:sz w:val="26"/>
                <w:szCs w:val="26"/>
              </w:rPr>
            </w:pPr>
            <w:r w:rsidRPr="000941BA">
              <w:rPr>
                <w:rFonts w:eastAsia="Calibri"/>
                <w:color w:val="FFFFFF"/>
                <w:sz w:val="26"/>
                <w:szCs w:val="26"/>
                <w:rtl/>
              </w:rPr>
              <w:t>المقوم</w:t>
            </w:r>
          </w:p>
        </w:tc>
        <w:tc>
          <w:tcPr>
            <w:tcW w:w="0" w:type="auto"/>
            <w:vAlign w:val="center"/>
            <w:hideMark/>
          </w:tcPr>
          <w:p w14:paraId="7CDC8E90" w14:textId="77777777" w:rsidR="000941BA" w:rsidRPr="000941BA" w:rsidRDefault="000941BA" w:rsidP="00B345B0">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color w:val="FFFFFF"/>
                <w:sz w:val="26"/>
                <w:szCs w:val="26"/>
              </w:rPr>
            </w:pPr>
            <w:r w:rsidRPr="000941BA">
              <w:rPr>
                <w:rFonts w:eastAsia="Calibri"/>
                <w:color w:val="FFFFFF"/>
                <w:sz w:val="26"/>
                <w:szCs w:val="26"/>
                <w:rtl/>
              </w:rPr>
              <w:t>الأهمية والتطبيق</w:t>
            </w:r>
          </w:p>
        </w:tc>
        <w:tc>
          <w:tcPr>
            <w:tcW w:w="0" w:type="auto"/>
            <w:vAlign w:val="center"/>
            <w:hideMark/>
          </w:tcPr>
          <w:p w14:paraId="34561E3A" w14:textId="77777777" w:rsidR="000941BA" w:rsidRPr="000941BA" w:rsidRDefault="000941BA" w:rsidP="00B345B0">
            <w:pPr>
              <w:spacing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Calibri"/>
                <w:color w:val="FFFFFF"/>
                <w:sz w:val="26"/>
                <w:szCs w:val="26"/>
              </w:rPr>
            </w:pPr>
            <w:r w:rsidRPr="000941BA">
              <w:rPr>
                <w:rFonts w:eastAsia="Calibri"/>
                <w:color w:val="FFFFFF"/>
                <w:sz w:val="26"/>
                <w:szCs w:val="26"/>
                <w:rtl/>
              </w:rPr>
              <w:t>المرجع الداعم</w:t>
            </w:r>
          </w:p>
        </w:tc>
      </w:tr>
      <w:tr w:rsidR="000941BA" w:rsidRPr="000941BA" w14:paraId="27303BEC" w14:textId="77777777" w:rsidTr="00B3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26C51" w14:textId="77777777" w:rsidR="000941BA" w:rsidRPr="000941BA" w:rsidRDefault="000941BA" w:rsidP="00B345B0">
            <w:pPr>
              <w:spacing w:after="0" w:line="240" w:lineRule="auto"/>
              <w:ind w:firstLine="0"/>
              <w:jc w:val="center"/>
              <w:rPr>
                <w:rFonts w:eastAsia="Calibri"/>
                <w:sz w:val="26"/>
                <w:szCs w:val="26"/>
              </w:rPr>
            </w:pPr>
            <w:r w:rsidRPr="000941BA">
              <w:rPr>
                <w:rFonts w:eastAsia="Calibri"/>
                <w:sz w:val="26"/>
                <w:szCs w:val="26"/>
                <w:rtl/>
              </w:rPr>
              <w:t>المرونة التنظيمية</w:t>
            </w:r>
          </w:p>
        </w:tc>
        <w:tc>
          <w:tcPr>
            <w:tcW w:w="0" w:type="auto"/>
            <w:vAlign w:val="center"/>
            <w:hideMark/>
          </w:tcPr>
          <w:p w14:paraId="394238D1" w14:textId="77777777" w:rsidR="000941BA" w:rsidRPr="000941BA" w:rsidRDefault="000941BA" w:rsidP="00B345B0">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 w:val="26"/>
                <w:szCs w:val="26"/>
              </w:rPr>
            </w:pPr>
            <w:r w:rsidRPr="000941BA">
              <w:rPr>
                <w:rFonts w:eastAsia="Calibri"/>
                <w:b/>
                <w:bCs/>
                <w:sz w:val="26"/>
                <w:szCs w:val="26"/>
                <w:rtl/>
              </w:rPr>
              <w:t>القدرة على تعديل الهياكل والعمليات بسرعة استجابة للتغيرات المفاجئة (مثل الأوبئة أو نقص الميزانية).</w:t>
            </w:r>
          </w:p>
        </w:tc>
        <w:tc>
          <w:tcPr>
            <w:tcW w:w="0" w:type="auto"/>
            <w:vAlign w:val="center"/>
            <w:hideMark/>
          </w:tcPr>
          <w:p w14:paraId="3C8A7827" w14:textId="77777777" w:rsidR="000941BA" w:rsidRPr="000941BA" w:rsidRDefault="000941BA" w:rsidP="00B345B0">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 w:val="26"/>
                <w:szCs w:val="26"/>
              </w:rPr>
            </w:pPr>
            <w:r w:rsidRPr="000941BA">
              <w:rPr>
                <w:rFonts w:eastAsia="Calibri"/>
                <w:b/>
                <w:bCs/>
                <w:sz w:val="26"/>
                <w:szCs w:val="26"/>
                <w:rtl/>
              </w:rPr>
              <w:t xml:space="preserve">كروس </w:t>
            </w:r>
            <w:proofErr w:type="spellStart"/>
            <w:r w:rsidRPr="000941BA">
              <w:rPr>
                <w:rFonts w:eastAsia="Calibri"/>
                <w:b/>
                <w:bCs/>
                <w:sz w:val="26"/>
                <w:szCs w:val="26"/>
                <w:rtl/>
              </w:rPr>
              <w:t>وجيوريسين</w:t>
            </w:r>
            <w:proofErr w:type="spellEnd"/>
            <w:r w:rsidRPr="000941BA">
              <w:rPr>
                <w:rFonts w:eastAsia="Calibri"/>
                <w:b/>
                <w:bCs/>
                <w:sz w:val="26"/>
                <w:szCs w:val="26"/>
                <w:rtl/>
              </w:rPr>
              <w:t xml:space="preserve"> (</w:t>
            </w:r>
            <w:r w:rsidRPr="000941BA">
              <w:rPr>
                <w:rFonts w:eastAsia="Calibri"/>
                <w:b/>
                <w:bCs/>
                <w:sz w:val="26"/>
                <w:szCs w:val="26"/>
              </w:rPr>
              <w:t>Kruse &amp; Jeurissen, 2020, p. 425</w:t>
            </w:r>
            <w:r w:rsidRPr="000941BA">
              <w:rPr>
                <w:rFonts w:eastAsia="Calibri"/>
                <w:b/>
                <w:bCs/>
                <w:sz w:val="26"/>
                <w:szCs w:val="26"/>
                <w:rtl/>
              </w:rPr>
              <w:t>)</w:t>
            </w:r>
          </w:p>
        </w:tc>
      </w:tr>
      <w:tr w:rsidR="000941BA" w:rsidRPr="000941BA" w14:paraId="1FA96A77" w14:textId="77777777" w:rsidTr="00B345B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798B7" w14:textId="77777777" w:rsidR="000941BA" w:rsidRPr="000941BA" w:rsidRDefault="000941BA" w:rsidP="00B345B0">
            <w:pPr>
              <w:spacing w:after="0" w:line="240" w:lineRule="auto"/>
              <w:ind w:firstLine="0"/>
              <w:jc w:val="center"/>
              <w:rPr>
                <w:rFonts w:eastAsia="Calibri"/>
                <w:sz w:val="26"/>
                <w:szCs w:val="26"/>
              </w:rPr>
            </w:pPr>
            <w:r w:rsidRPr="000941BA">
              <w:rPr>
                <w:rFonts w:eastAsia="Calibri"/>
                <w:sz w:val="26"/>
                <w:szCs w:val="26"/>
                <w:rtl/>
              </w:rPr>
              <w:t>التمويل المتنوع</w:t>
            </w:r>
          </w:p>
        </w:tc>
        <w:tc>
          <w:tcPr>
            <w:tcW w:w="0" w:type="auto"/>
            <w:vAlign w:val="center"/>
            <w:hideMark/>
          </w:tcPr>
          <w:p w14:paraId="072A5F01" w14:textId="77777777" w:rsidR="000941BA" w:rsidRPr="000941BA" w:rsidRDefault="000941BA" w:rsidP="00B345B0">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 w:val="26"/>
                <w:szCs w:val="26"/>
              </w:rPr>
            </w:pPr>
            <w:r w:rsidRPr="000941BA">
              <w:rPr>
                <w:rFonts w:eastAsia="Calibri"/>
                <w:b/>
                <w:bCs/>
                <w:sz w:val="26"/>
                <w:szCs w:val="26"/>
                <w:rtl/>
              </w:rPr>
              <w:t>عدم الاعتماد على مصدر واحد للدخل، والبحث عن شراكات خيرية أو استثمارية لدعم النماذج المعقدة.</w:t>
            </w:r>
          </w:p>
        </w:tc>
        <w:tc>
          <w:tcPr>
            <w:tcW w:w="0" w:type="auto"/>
            <w:vAlign w:val="center"/>
            <w:hideMark/>
          </w:tcPr>
          <w:p w14:paraId="7F8B5784" w14:textId="77777777" w:rsidR="000941BA" w:rsidRPr="000941BA" w:rsidRDefault="000941BA" w:rsidP="00B345B0">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 w:val="26"/>
                <w:szCs w:val="26"/>
              </w:rPr>
            </w:pPr>
            <w:proofErr w:type="spellStart"/>
            <w:r w:rsidRPr="000941BA">
              <w:rPr>
                <w:rFonts w:eastAsia="Calibri"/>
                <w:b/>
                <w:bCs/>
                <w:sz w:val="26"/>
                <w:szCs w:val="26"/>
                <w:rtl/>
              </w:rPr>
              <w:t>شيرمان</w:t>
            </w:r>
            <w:proofErr w:type="spellEnd"/>
            <w:r w:rsidRPr="000941BA">
              <w:rPr>
                <w:rFonts w:eastAsia="Calibri"/>
                <w:b/>
                <w:bCs/>
                <w:sz w:val="26"/>
                <w:szCs w:val="26"/>
                <w:rtl/>
              </w:rPr>
              <w:t xml:space="preserve"> وآخرون (</w:t>
            </w:r>
            <w:r w:rsidRPr="000941BA">
              <w:rPr>
                <w:rFonts w:eastAsia="Calibri"/>
                <w:b/>
                <w:bCs/>
                <w:sz w:val="26"/>
                <w:szCs w:val="26"/>
              </w:rPr>
              <w:t>Sherman et al., 2023, p. 2</w:t>
            </w:r>
            <w:r w:rsidRPr="000941BA">
              <w:rPr>
                <w:rFonts w:eastAsia="Calibri"/>
                <w:b/>
                <w:bCs/>
                <w:sz w:val="26"/>
                <w:szCs w:val="26"/>
                <w:rtl/>
              </w:rPr>
              <w:t>)</w:t>
            </w:r>
          </w:p>
        </w:tc>
      </w:tr>
      <w:tr w:rsidR="000941BA" w:rsidRPr="000941BA" w14:paraId="24B7D924" w14:textId="77777777" w:rsidTr="00B34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660AB5" w14:textId="77777777" w:rsidR="000941BA" w:rsidRPr="000941BA" w:rsidRDefault="000941BA" w:rsidP="00B345B0">
            <w:pPr>
              <w:spacing w:after="0" w:line="240" w:lineRule="auto"/>
              <w:ind w:firstLine="0"/>
              <w:jc w:val="center"/>
              <w:rPr>
                <w:rFonts w:eastAsia="Calibri"/>
                <w:sz w:val="26"/>
                <w:szCs w:val="26"/>
              </w:rPr>
            </w:pPr>
            <w:r w:rsidRPr="000941BA">
              <w:rPr>
                <w:rFonts w:eastAsia="Calibri"/>
                <w:sz w:val="26"/>
                <w:szCs w:val="26"/>
                <w:rtl/>
              </w:rPr>
              <w:t>الحوكمة الرشيدة</w:t>
            </w:r>
          </w:p>
        </w:tc>
        <w:tc>
          <w:tcPr>
            <w:tcW w:w="0" w:type="auto"/>
            <w:vAlign w:val="center"/>
            <w:hideMark/>
          </w:tcPr>
          <w:p w14:paraId="02B5936E" w14:textId="77777777" w:rsidR="000941BA" w:rsidRPr="000941BA" w:rsidRDefault="000941BA" w:rsidP="00B345B0">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 w:val="26"/>
                <w:szCs w:val="26"/>
              </w:rPr>
            </w:pPr>
            <w:r w:rsidRPr="000941BA">
              <w:rPr>
                <w:rFonts w:eastAsia="Calibri"/>
                <w:b/>
                <w:bCs/>
                <w:sz w:val="26"/>
                <w:szCs w:val="26"/>
                <w:rtl/>
              </w:rPr>
              <w:t>وجود هياكل رقابية تضمن الشفافية والمساءلة في استخدام الموارد.</w:t>
            </w:r>
          </w:p>
        </w:tc>
        <w:tc>
          <w:tcPr>
            <w:tcW w:w="0" w:type="auto"/>
            <w:vAlign w:val="center"/>
            <w:hideMark/>
          </w:tcPr>
          <w:p w14:paraId="0AE595FE" w14:textId="77777777" w:rsidR="000941BA" w:rsidRPr="000941BA" w:rsidRDefault="000941BA" w:rsidP="00B345B0">
            <w:pPr>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Calibri"/>
                <w:b/>
                <w:bCs/>
                <w:sz w:val="26"/>
                <w:szCs w:val="26"/>
              </w:rPr>
            </w:pPr>
            <w:r w:rsidRPr="000941BA">
              <w:rPr>
                <w:rFonts w:eastAsia="Calibri"/>
                <w:b/>
                <w:bCs/>
                <w:sz w:val="26"/>
                <w:szCs w:val="26"/>
                <w:rtl/>
              </w:rPr>
              <w:t xml:space="preserve">درويش </w:t>
            </w:r>
            <w:proofErr w:type="spellStart"/>
            <w:r w:rsidRPr="000941BA">
              <w:rPr>
                <w:rFonts w:eastAsia="Calibri"/>
                <w:b/>
                <w:bCs/>
                <w:sz w:val="26"/>
                <w:szCs w:val="26"/>
                <w:rtl/>
              </w:rPr>
              <w:t>والجماصي</w:t>
            </w:r>
            <w:proofErr w:type="spellEnd"/>
            <w:r w:rsidRPr="000941BA">
              <w:rPr>
                <w:rFonts w:eastAsia="Calibri"/>
                <w:b/>
                <w:bCs/>
                <w:sz w:val="26"/>
                <w:szCs w:val="26"/>
                <w:rtl/>
              </w:rPr>
              <w:t xml:space="preserve"> (2023، ص. 12)</w:t>
            </w:r>
          </w:p>
        </w:tc>
      </w:tr>
      <w:tr w:rsidR="000941BA" w:rsidRPr="000941BA" w14:paraId="3DFEEAC7" w14:textId="77777777" w:rsidTr="00B345B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1F676" w14:textId="77777777" w:rsidR="000941BA" w:rsidRPr="000941BA" w:rsidRDefault="000941BA" w:rsidP="00B345B0">
            <w:pPr>
              <w:spacing w:after="0" w:line="240" w:lineRule="auto"/>
              <w:ind w:firstLine="0"/>
              <w:jc w:val="center"/>
              <w:rPr>
                <w:rFonts w:eastAsia="Calibri"/>
                <w:sz w:val="26"/>
                <w:szCs w:val="26"/>
              </w:rPr>
            </w:pPr>
            <w:r w:rsidRPr="000941BA">
              <w:rPr>
                <w:rFonts w:eastAsia="Calibri"/>
                <w:sz w:val="26"/>
                <w:szCs w:val="26"/>
                <w:rtl/>
              </w:rPr>
              <w:t>الابتكار التشغيلي</w:t>
            </w:r>
          </w:p>
        </w:tc>
        <w:tc>
          <w:tcPr>
            <w:tcW w:w="0" w:type="auto"/>
            <w:vAlign w:val="center"/>
            <w:hideMark/>
          </w:tcPr>
          <w:p w14:paraId="1828E6E5" w14:textId="77777777" w:rsidR="000941BA" w:rsidRPr="000941BA" w:rsidRDefault="000941BA" w:rsidP="00B345B0">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 w:val="26"/>
                <w:szCs w:val="26"/>
              </w:rPr>
            </w:pPr>
            <w:r w:rsidRPr="000941BA">
              <w:rPr>
                <w:rFonts w:eastAsia="Calibri"/>
                <w:b/>
                <w:bCs/>
                <w:sz w:val="26"/>
                <w:szCs w:val="26"/>
                <w:rtl/>
              </w:rPr>
              <w:t>تبني تقنيات وأساليب عمل جديدة تقلل التكلفة وترفع الجودة.</w:t>
            </w:r>
          </w:p>
        </w:tc>
        <w:tc>
          <w:tcPr>
            <w:tcW w:w="0" w:type="auto"/>
            <w:vAlign w:val="center"/>
            <w:hideMark/>
          </w:tcPr>
          <w:p w14:paraId="742EAF10" w14:textId="77777777" w:rsidR="000941BA" w:rsidRPr="000941BA" w:rsidRDefault="000941BA" w:rsidP="00B345B0">
            <w:pPr>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b/>
                <w:bCs/>
                <w:sz w:val="26"/>
                <w:szCs w:val="26"/>
              </w:rPr>
            </w:pPr>
            <w:proofErr w:type="spellStart"/>
            <w:r w:rsidRPr="000941BA">
              <w:rPr>
                <w:rFonts w:eastAsia="Calibri"/>
                <w:b/>
                <w:bCs/>
                <w:sz w:val="26"/>
                <w:szCs w:val="26"/>
                <w:rtl/>
              </w:rPr>
              <w:t>فاسيليو</w:t>
            </w:r>
            <w:proofErr w:type="spellEnd"/>
            <w:r w:rsidRPr="000941BA">
              <w:rPr>
                <w:rFonts w:eastAsia="Calibri"/>
                <w:b/>
                <w:bCs/>
                <w:sz w:val="26"/>
                <w:szCs w:val="26"/>
                <w:rtl/>
              </w:rPr>
              <w:t xml:space="preserve"> وآخرون (</w:t>
            </w:r>
            <w:r w:rsidRPr="000941BA">
              <w:rPr>
                <w:rFonts w:eastAsia="Calibri"/>
                <w:b/>
                <w:bCs/>
                <w:sz w:val="26"/>
                <w:szCs w:val="26"/>
              </w:rPr>
              <w:t>Vasileiou et al., 2024, p. 8315</w:t>
            </w:r>
            <w:r w:rsidRPr="000941BA">
              <w:rPr>
                <w:rFonts w:eastAsia="Calibri"/>
                <w:b/>
                <w:bCs/>
                <w:sz w:val="26"/>
                <w:szCs w:val="26"/>
                <w:rtl/>
              </w:rPr>
              <w:t>)</w:t>
            </w:r>
          </w:p>
        </w:tc>
      </w:tr>
    </w:tbl>
    <w:p w14:paraId="7781B8C5" w14:textId="77777777" w:rsidR="000941BA" w:rsidRPr="000941BA" w:rsidRDefault="000941BA" w:rsidP="000941BA">
      <w:pPr>
        <w:spacing w:after="0" w:line="276" w:lineRule="auto"/>
        <w:jc w:val="center"/>
        <w:rPr>
          <w:rFonts w:ascii="Times New Roman" w:eastAsia="Calibri" w:hAnsi="Times New Roman" w:cs="Simplified Arabic"/>
          <w:i/>
          <w:iCs/>
          <w:sz w:val="26"/>
          <w:szCs w:val="30"/>
          <w:rtl/>
        </w:rPr>
      </w:pPr>
      <w:r w:rsidRPr="000941BA">
        <w:rPr>
          <w:rFonts w:ascii="Times New Roman" w:eastAsia="Calibri" w:hAnsi="Times New Roman" w:cs="Simplified Arabic"/>
          <w:b/>
          <w:bCs/>
          <w:sz w:val="26"/>
          <w:szCs w:val="26"/>
          <w:rtl/>
        </w:rPr>
        <w:t>المصدر: إعداد الباحث بالاستناد إلى المراجع المذكورة.</w:t>
      </w:r>
    </w:p>
    <w:p w14:paraId="469A4DA9" w14:textId="77777777" w:rsidR="000941BA" w:rsidRPr="000941BA" w:rsidRDefault="000941BA" w:rsidP="000941BA">
      <w:pPr>
        <w:spacing w:after="0" w:line="276" w:lineRule="auto"/>
        <w:ind w:firstLine="509"/>
        <w:rPr>
          <w:rFonts w:ascii="Times New Roman" w:eastAsia="Calibri" w:hAnsi="Times New Roman" w:cs="Simplified Arabic"/>
          <w:sz w:val="26"/>
          <w:szCs w:val="30"/>
          <w:lang w:bidi="ar-EG"/>
        </w:rPr>
      </w:pPr>
      <w:r w:rsidRPr="000941BA">
        <w:rPr>
          <w:rFonts w:ascii="Times New Roman" w:eastAsia="Calibri" w:hAnsi="Times New Roman" w:cs="Simplified Arabic"/>
          <w:i/>
          <w:iCs/>
          <w:sz w:val="26"/>
          <w:szCs w:val="30"/>
          <w:rtl/>
          <w:lang w:bidi="ar-EG"/>
        </w:rPr>
        <w:lastRenderedPageBreak/>
        <w:t xml:space="preserve"> </w:t>
      </w:r>
      <w:r w:rsidRPr="000941BA">
        <w:rPr>
          <w:rFonts w:ascii="Times New Roman" w:eastAsia="Calibri" w:hAnsi="Times New Roman" w:cs="Simplified Arabic"/>
          <w:sz w:val="26"/>
          <w:szCs w:val="30"/>
          <w:rtl/>
        </w:rPr>
        <w:t>يظهر الجدول أن الاستدامة التشغيلية منظومة مركبة تتطلب تضافر الجهود الإدارية والمالية والتنظيمية</w:t>
      </w:r>
      <w:r w:rsidRPr="000941BA">
        <w:rPr>
          <w:rFonts w:ascii="Times New Roman" w:eastAsia="Calibri" w:hAnsi="Times New Roman" w:cs="Simplified Arabic"/>
          <w:sz w:val="26"/>
          <w:szCs w:val="30"/>
          <w:rtl/>
          <w:lang w:bidi="ar-EG"/>
        </w:rPr>
        <w:t>.</w:t>
      </w:r>
    </w:p>
    <w:p w14:paraId="28A21C0C"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تعقيب الباحث</w:t>
      </w:r>
      <w:r w:rsidRPr="000941BA">
        <w:rPr>
          <w:rFonts w:ascii="Times New Roman" w:eastAsia="Calibri" w:hAnsi="Times New Roman" w:cs="Simplified Arabic"/>
          <w:b/>
          <w:bCs/>
          <w:sz w:val="26"/>
          <w:szCs w:val="30"/>
          <w:rtl/>
          <w:lang w:bidi="ar-EG"/>
        </w:rPr>
        <w:t>:</w:t>
      </w:r>
    </w:p>
    <w:p w14:paraId="6E1AAF0E" w14:textId="77777777" w:rsid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sz w:val="26"/>
          <w:szCs w:val="30"/>
          <w:rtl/>
        </w:rPr>
        <w:t>يستنتج الباحث أن الاستدامة التشغيلية في المراكز الصحية الأولية تتجاوز مفهوم "الربحية" السائد في القطاع الخاص، لتتمحور حول "القيمة" و"الأثر". فالمركز الصحي المستدام هو الذي يستطيع تقديم خدماته بالكفاءة المطلوبة والجودة المناسبة، مستخدماً الموارد المتاحة (التي غالباً ما تكون محدودة) بأقصى فاعلية ممكنة. وهذا يتطلب تحولاً في الفكر الإداري من "إدارة النفقات" إلى "إدارة الموارد المستدامة</w:t>
      </w:r>
      <w:r w:rsidRPr="000941BA">
        <w:rPr>
          <w:rFonts w:ascii="Times New Roman" w:eastAsia="Calibri" w:hAnsi="Times New Roman" w:cs="Simplified Arabic"/>
          <w:sz w:val="26"/>
          <w:szCs w:val="30"/>
          <w:lang w:bidi="ar-EG"/>
        </w:rPr>
        <w:t>"</w:t>
      </w:r>
      <w:r w:rsidRPr="000941BA">
        <w:rPr>
          <w:rFonts w:ascii="Times New Roman" w:eastAsia="Calibri" w:hAnsi="Times New Roman" w:cs="Simplified Arabic"/>
          <w:sz w:val="26"/>
          <w:szCs w:val="30"/>
          <w:rtl/>
          <w:lang w:bidi="ar-EG"/>
        </w:rPr>
        <w:t>.</w:t>
      </w:r>
    </w:p>
    <w:p w14:paraId="467D20B2" w14:textId="77777777" w:rsidR="00B345B0" w:rsidRPr="000941BA" w:rsidRDefault="00B345B0" w:rsidP="000941BA">
      <w:pPr>
        <w:spacing w:after="0" w:line="360" w:lineRule="auto"/>
        <w:ind w:firstLine="397"/>
        <w:jc w:val="both"/>
        <w:rPr>
          <w:rFonts w:ascii="Times New Roman" w:eastAsia="Calibri" w:hAnsi="Times New Roman" w:cs="Simplified Arabic"/>
          <w:sz w:val="26"/>
          <w:szCs w:val="30"/>
          <w:lang w:bidi="ar-EG"/>
        </w:rPr>
      </w:pPr>
    </w:p>
    <w:p w14:paraId="10BA9CDB" w14:textId="77777777" w:rsidR="000941BA" w:rsidRPr="000941BA" w:rsidRDefault="000941BA" w:rsidP="00B345B0">
      <w:pPr>
        <w:spacing w:after="0" w:line="360" w:lineRule="auto"/>
        <w:ind w:firstLine="397"/>
        <w:jc w:val="center"/>
        <w:rPr>
          <w:rFonts w:ascii="Times New Roman" w:eastAsia="Calibri" w:hAnsi="Times New Roman" w:cs="Simplified Arabic"/>
          <w:b/>
          <w:bCs/>
          <w:sz w:val="26"/>
          <w:szCs w:val="30"/>
          <w:lang w:bidi="ar-EG"/>
        </w:rPr>
      </w:pPr>
      <w:r w:rsidRPr="000941BA">
        <w:rPr>
          <w:rFonts w:ascii="Times New Roman" w:eastAsia="Calibri" w:hAnsi="Times New Roman" w:cs="Simplified Arabic"/>
          <w:b/>
          <w:bCs/>
          <w:sz w:val="26"/>
          <w:szCs w:val="30"/>
          <w:rtl/>
        </w:rPr>
        <w:t>المبحث الثالث: العلاقة التكاملية بين إدارة المخاطر المالية والاستدامة التشغيلية</w:t>
      </w:r>
    </w:p>
    <w:p w14:paraId="62203F45"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يمثل هذا المبحث حلقة الوصل بين متغيرات الدراسة، حيث يستكشف الطبيعة الجدلية والتأثيرية بين إدارة المخاطر كأداة وقائية، والاستدامة التشغيلية كهدف استراتيجي، مستنداً إلى الأطر النظرية المفسرة</w:t>
      </w:r>
      <w:r w:rsidRPr="000941BA">
        <w:rPr>
          <w:rFonts w:ascii="Times New Roman" w:eastAsia="Calibri" w:hAnsi="Times New Roman" w:cs="Simplified Arabic"/>
          <w:sz w:val="26"/>
          <w:szCs w:val="30"/>
          <w:rtl/>
          <w:lang w:bidi="ar-EG"/>
        </w:rPr>
        <w:t>.</w:t>
      </w:r>
    </w:p>
    <w:p w14:paraId="0A281F60"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أولاً: المنطلقات النظرية للعلاقة</w:t>
      </w:r>
    </w:p>
    <w:p w14:paraId="4048492B"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يمكن تأطير العلاقة بين المتغيرين من خلال </w:t>
      </w:r>
      <w:r w:rsidRPr="000941BA">
        <w:rPr>
          <w:rFonts w:ascii="Times New Roman" w:eastAsia="Calibri" w:hAnsi="Times New Roman" w:cs="Simplified Arabic"/>
          <w:b/>
          <w:bCs/>
          <w:sz w:val="26"/>
          <w:szCs w:val="30"/>
          <w:rtl/>
        </w:rPr>
        <w:t>نظرية الموارد</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b/>
          <w:bCs/>
          <w:sz w:val="26"/>
          <w:szCs w:val="30"/>
          <w:lang w:bidi="ar-EG"/>
        </w:rPr>
        <w:t>Resource-Based View</w:t>
      </w:r>
      <w:r w:rsidRPr="000941BA">
        <w:rPr>
          <w:rFonts w:ascii="Times New Roman" w:eastAsia="Calibri" w:hAnsi="Times New Roman" w:cs="Simplified Arabic"/>
          <w:b/>
          <w:bCs/>
          <w:sz w:val="26"/>
          <w:szCs w:val="30"/>
          <w:rtl/>
          <w:lang w:bidi="ar-EG"/>
        </w:rPr>
        <w:t>)</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و</w:t>
      </w:r>
      <w:r w:rsidRPr="000941BA">
        <w:rPr>
          <w:rFonts w:ascii="Times New Roman" w:eastAsia="Calibri" w:hAnsi="Times New Roman" w:cs="Simplified Arabic"/>
          <w:b/>
          <w:bCs/>
          <w:sz w:val="26"/>
          <w:szCs w:val="30"/>
          <w:rtl/>
        </w:rPr>
        <w:t>نظرية أصحاب المصلحة</w:t>
      </w:r>
      <w:r w:rsidRPr="000941BA">
        <w:rPr>
          <w:rFonts w:ascii="Times New Roman" w:eastAsia="Calibri" w:hAnsi="Times New Roman" w:cs="Simplified Arabic"/>
          <w:sz w:val="26"/>
          <w:szCs w:val="30"/>
          <w:rtl/>
          <w:lang w:bidi="ar-EG"/>
        </w:rPr>
        <w:t>.</w:t>
      </w:r>
    </w:p>
    <w:p w14:paraId="302BBF4E" w14:textId="77777777" w:rsidR="000941BA" w:rsidRPr="000941BA" w:rsidRDefault="000941BA" w:rsidP="000941BA">
      <w:pPr>
        <w:numPr>
          <w:ilvl w:val="0"/>
          <w:numId w:val="62"/>
        </w:numPr>
        <w:spacing w:after="0" w:line="360" w:lineRule="auto"/>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نظرية الموارد</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تفترض هذه النظرية أن المؤسسات التي تمتلك موارد فريدة وقدرات تنظيمية قوية (مثل نظام فعال لإدارة المخاطر) تكون أقدر على تحقيق ميزة تنافسية مستدامة. وفي هذا السياق، يجادل تشو 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Zhou et al., 2022</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 xml:space="preserve">بأن الأداء في </w:t>
      </w:r>
      <w:r w:rsidRPr="000941BA">
        <w:rPr>
          <w:rFonts w:ascii="Times New Roman" w:eastAsia="Calibri" w:hAnsi="Times New Roman" w:cs="Simplified Arabic"/>
          <w:sz w:val="26"/>
          <w:szCs w:val="30"/>
          <w:rtl/>
        </w:rPr>
        <w:lastRenderedPageBreak/>
        <w:t>الجوانب البيئية والاجتماعية والحوكمة</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ESG) -</w:t>
      </w:r>
      <w:r w:rsidRPr="000941BA">
        <w:rPr>
          <w:rFonts w:ascii="Times New Roman" w:eastAsia="Calibri" w:hAnsi="Times New Roman" w:cs="Simplified Arabic"/>
          <w:sz w:val="26"/>
          <w:szCs w:val="30"/>
          <w:rtl/>
        </w:rPr>
        <w:t>والذي يتضمن إدارة المخاطر- يؤثر بشكل إيجابي على القيمة السوقية والأداء المالي، مما يعزز الاستدامة</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3380</w:t>
      </w:r>
      <w:r w:rsidRPr="000941BA">
        <w:rPr>
          <w:rFonts w:ascii="Times New Roman" w:eastAsia="Calibri" w:hAnsi="Times New Roman" w:cs="Simplified Arabic"/>
          <w:sz w:val="26"/>
          <w:szCs w:val="30"/>
          <w:rtl/>
          <w:lang w:bidi="ar-EG"/>
        </w:rPr>
        <w:t>).</w:t>
      </w:r>
    </w:p>
    <w:p w14:paraId="1956CE28" w14:textId="77777777" w:rsidR="000941BA" w:rsidRPr="000941BA" w:rsidRDefault="000941BA" w:rsidP="000941BA">
      <w:pPr>
        <w:numPr>
          <w:ilvl w:val="0"/>
          <w:numId w:val="62"/>
        </w:numPr>
        <w:spacing w:after="0" w:line="360" w:lineRule="auto"/>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الارتباط بين إدارة المخاطر والاستدامة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تؤكد غارسيا-</w:t>
      </w:r>
      <w:proofErr w:type="spellStart"/>
      <w:r w:rsidRPr="000941BA">
        <w:rPr>
          <w:rFonts w:ascii="Times New Roman" w:eastAsia="Calibri" w:hAnsi="Times New Roman" w:cs="Simplified Arabic"/>
          <w:sz w:val="26"/>
          <w:szCs w:val="30"/>
          <w:rtl/>
        </w:rPr>
        <w:t>بيناو</w:t>
      </w:r>
      <w:proofErr w:type="spellEnd"/>
      <w:r w:rsidRPr="000941BA">
        <w:rPr>
          <w:rFonts w:ascii="Times New Roman" w:eastAsia="Calibri" w:hAnsi="Times New Roman" w:cs="Simplified Arabic"/>
          <w:sz w:val="26"/>
          <w:szCs w:val="30"/>
          <w:rtl/>
        </w:rPr>
        <w:t xml:space="preserve"> 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García-Benau et al., 2021</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في افتتاحيتهم حول إدارة المخاطر والاستدامة، أن المتغيرين وجهان لعملة واحدة؛ فإدارة المخاطر توفر "الحماية" من الجوانب السلبية، بينما تركز الاستدامة على "خلق القيمة" على المدى الطويل</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8302</w:t>
      </w:r>
      <w:r w:rsidRPr="000941BA">
        <w:rPr>
          <w:rFonts w:ascii="Times New Roman" w:eastAsia="Calibri" w:hAnsi="Times New Roman" w:cs="Simplified Arabic"/>
          <w:sz w:val="26"/>
          <w:szCs w:val="30"/>
          <w:rtl/>
          <w:lang w:bidi="ar-EG"/>
        </w:rPr>
        <w:t>).</w:t>
      </w:r>
    </w:p>
    <w:p w14:paraId="322F9E90"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ثانياً: آلية تأثير إدارة المخاطر في تعزيز الاستدامة التشغيلية</w:t>
      </w:r>
    </w:p>
    <w:p w14:paraId="67E2BF78"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تعمل إدارة المخاطر المالية كآلية ضبط تضمن بقاء العمليات التشغيلية ضمن المسار المخطط له، وذلك من خلال</w:t>
      </w:r>
      <w:r w:rsidRPr="000941BA">
        <w:rPr>
          <w:rFonts w:ascii="Times New Roman" w:eastAsia="Calibri" w:hAnsi="Times New Roman" w:cs="Simplified Arabic"/>
          <w:sz w:val="26"/>
          <w:szCs w:val="30"/>
          <w:rtl/>
          <w:lang w:bidi="ar-EG"/>
        </w:rPr>
        <w:t>:</w:t>
      </w:r>
    </w:p>
    <w:p w14:paraId="00D8518A" w14:textId="77777777" w:rsidR="000941BA" w:rsidRPr="000941BA" w:rsidRDefault="000941BA" w:rsidP="000941BA">
      <w:pPr>
        <w:numPr>
          <w:ilvl w:val="0"/>
          <w:numId w:val="63"/>
        </w:numPr>
        <w:spacing w:after="0" w:line="360" w:lineRule="auto"/>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تحسين الكفاءة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 xml:space="preserve">يوضح </w:t>
      </w:r>
      <w:proofErr w:type="spellStart"/>
      <w:r w:rsidRPr="000941BA">
        <w:rPr>
          <w:rFonts w:ascii="Times New Roman" w:eastAsia="Calibri" w:hAnsi="Times New Roman" w:cs="Simplified Arabic"/>
          <w:sz w:val="26"/>
          <w:szCs w:val="30"/>
          <w:rtl/>
        </w:rPr>
        <w:t>أوهانلون</w:t>
      </w:r>
      <w:proofErr w:type="spellEnd"/>
      <w:r w:rsidRPr="000941BA">
        <w:rPr>
          <w:rFonts w:ascii="Times New Roman" w:eastAsia="Calibri" w:hAnsi="Times New Roman" w:cs="Simplified Arabic"/>
          <w:sz w:val="26"/>
          <w:szCs w:val="30"/>
          <w:rtl/>
        </w:rPr>
        <w:t xml:space="preserve"> وآخرون</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O’Hanlon et al., 2019</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في دراستهم للمستشفيات الريفية، أن الانضمام إلى أنظمة صحية (وهو نوع من إدارة المخاطر عبر التنويع) قد يحسن الوصول والجودة، وإن كان الأثر المالي متبايناً، مما يشير إلى أن إدارة الهيكل المالي تؤثر مباشرة على الأداء التشغيلي</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2100</w:t>
      </w:r>
      <w:r w:rsidRPr="000941BA">
        <w:rPr>
          <w:rFonts w:ascii="Times New Roman" w:eastAsia="Calibri" w:hAnsi="Times New Roman" w:cs="Simplified Arabic"/>
          <w:sz w:val="26"/>
          <w:szCs w:val="30"/>
          <w:rtl/>
          <w:lang w:bidi="ar-EG"/>
        </w:rPr>
        <w:t>).</w:t>
      </w:r>
    </w:p>
    <w:p w14:paraId="05BCC0AD" w14:textId="77777777" w:rsidR="000941BA" w:rsidRPr="000941BA" w:rsidRDefault="000941BA" w:rsidP="000941BA">
      <w:pPr>
        <w:numPr>
          <w:ilvl w:val="0"/>
          <w:numId w:val="63"/>
        </w:numPr>
        <w:spacing w:after="0" w:line="360" w:lineRule="auto"/>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t>ضمان الاستمرارية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يشير حسب الله ومحمد (2023) إلى أن إدارة المخاطر الاستراتيجية تلعب دوراً حاسماً في استمرارية المنظمات، حيث يعمل التمويل المستدام كمتغير وسيط يعزز هذه العلاقة (ص. 120). وهذا يعني أن تشخيص المخاطر المالية مبكراً يتيح للمراكز الصحية البحث عن بدائل تمويلية تضمن عدم توقف الخدمة</w:t>
      </w:r>
      <w:r w:rsidRPr="000941BA">
        <w:rPr>
          <w:rFonts w:ascii="Times New Roman" w:eastAsia="Calibri" w:hAnsi="Times New Roman" w:cs="Simplified Arabic"/>
          <w:sz w:val="26"/>
          <w:szCs w:val="30"/>
          <w:rtl/>
          <w:lang w:bidi="ar-EG"/>
        </w:rPr>
        <w:t>.</w:t>
      </w:r>
    </w:p>
    <w:p w14:paraId="35386067" w14:textId="77777777" w:rsidR="000941BA" w:rsidRPr="000941BA" w:rsidRDefault="000941BA" w:rsidP="000941BA">
      <w:pPr>
        <w:numPr>
          <w:ilvl w:val="0"/>
          <w:numId w:val="63"/>
        </w:numPr>
        <w:spacing w:after="0" w:line="360" w:lineRule="auto"/>
        <w:jc w:val="both"/>
        <w:rPr>
          <w:rFonts w:ascii="Times New Roman" w:eastAsia="Calibri" w:hAnsi="Times New Roman" w:cs="Simplified Arabic"/>
          <w:sz w:val="26"/>
          <w:szCs w:val="30"/>
          <w:lang w:bidi="ar-EG"/>
        </w:rPr>
      </w:pPr>
      <w:r w:rsidRPr="000941BA">
        <w:rPr>
          <w:rFonts w:ascii="Times New Roman" w:eastAsia="Calibri" w:hAnsi="Times New Roman" w:cs="Simplified Arabic"/>
          <w:b/>
          <w:bCs/>
          <w:sz w:val="26"/>
          <w:szCs w:val="30"/>
          <w:rtl/>
        </w:rPr>
        <w:lastRenderedPageBreak/>
        <w:t>تعزيز المرونة</w:t>
      </w:r>
      <w:r w:rsidRPr="000941BA">
        <w:rPr>
          <w:rFonts w:ascii="Times New Roman" w:eastAsia="Calibri" w:hAnsi="Times New Roman" w:cs="Simplified Arabic"/>
          <w:b/>
          <w:bCs/>
          <w:sz w:val="26"/>
          <w:szCs w:val="30"/>
          <w:rtl/>
          <w:lang w:bidi="ar-EG"/>
        </w:rPr>
        <w:t xml:space="preserve">: </w:t>
      </w:r>
      <w:r w:rsidRPr="000941BA">
        <w:rPr>
          <w:rFonts w:ascii="Times New Roman" w:eastAsia="Calibri" w:hAnsi="Times New Roman" w:cs="Simplified Arabic"/>
          <w:sz w:val="26"/>
          <w:szCs w:val="30"/>
          <w:rtl/>
        </w:rPr>
        <w:t xml:space="preserve">يرى </w:t>
      </w:r>
      <w:proofErr w:type="spellStart"/>
      <w:r w:rsidRPr="000941BA">
        <w:rPr>
          <w:rFonts w:ascii="Times New Roman" w:eastAsia="Calibri" w:hAnsi="Times New Roman" w:cs="Simplified Arabic"/>
          <w:sz w:val="26"/>
          <w:szCs w:val="30"/>
          <w:rtl/>
        </w:rPr>
        <w:t>زورينسكي</w:t>
      </w:r>
      <w:proofErr w:type="spellEnd"/>
      <w:r w:rsidRPr="000941BA">
        <w:rPr>
          <w:rFonts w:ascii="Times New Roman" w:eastAsia="Calibri" w:hAnsi="Times New Roman" w:cs="Simplified Arabic"/>
          <w:sz w:val="26"/>
          <w:szCs w:val="30"/>
          <w:rtl/>
        </w:rPr>
        <w:t xml:space="preserve"> وآخرون</w:t>
      </w:r>
      <w:r w:rsidRPr="000941BA">
        <w:rPr>
          <w:rFonts w:ascii="Times New Roman" w:eastAsia="Calibri" w:hAnsi="Times New Roman" w:cs="Simplified Arabic"/>
          <w:sz w:val="26"/>
          <w:szCs w:val="30"/>
          <w:rtl/>
          <w:lang w:bidi="ar-EG"/>
        </w:rPr>
        <w:t xml:space="preserve"> (</w:t>
      </w:r>
      <w:proofErr w:type="spellStart"/>
      <w:r w:rsidRPr="000941BA">
        <w:rPr>
          <w:rFonts w:ascii="Times New Roman" w:eastAsia="Calibri" w:hAnsi="Times New Roman" w:cs="Simplified Arabic"/>
          <w:sz w:val="26"/>
          <w:szCs w:val="30"/>
          <w:lang w:bidi="ar-EG"/>
        </w:rPr>
        <w:t>Zurynski</w:t>
      </w:r>
      <w:proofErr w:type="spellEnd"/>
      <w:r w:rsidRPr="000941BA">
        <w:rPr>
          <w:rFonts w:ascii="Times New Roman" w:eastAsia="Calibri" w:hAnsi="Times New Roman" w:cs="Simplified Arabic"/>
          <w:sz w:val="26"/>
          <w:szCs w:val="30"/>
          <w:lang w:bidi="ar-EG"/>
        </w:rPr>
        <w:t xml:space="preserve"> et al., 2022</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rtl/>
        </w:rPr>
        <w:t>أن الأنظمة الصحية التي تدمج إدارة الأداء مع تقييم المخاطر تكون أكثر قدرة على التكيف وتقديم أداء مستدام</w:t>
      </w:r>
      <w:r w:rsidRPr="000941BA">
        <w:rPr>
          <w:rFonts w:ascii="Times New Roman" w:eastAsia="Calibri" w:hAnsi="Times New Roman" w:cs="Simplified Arabic"/>
          <w:sz w:val="26"/>
          <w:szCs w:val="30"/>
          <w:rtl/>
          <w:lang w:bidi="ar-EG"/>
        </w:rPr>
        <w:t xml:space="preserve"> (</w:t>
      </w:r>
      <w:r w:rsidRPr="000941BA">
        <w:rPr>
          <w:rFonts w:ascii="Times New Roman" w:eastAsia="Calibri" w:hAnsi="Times New Roman" w:cs="Simplified Arabic"/>
          <w:sz w:val="26"/>
          <w:szCs w:val="30"/>
          <w:lang w:bidi="ar-EG"/>
        </w:rPr>
        <w:t>p. 7</w:t>
      </w:r>
      <w:r w:rsidRPr="000941BA">
        <w:rPr>
          <w:rFonts w:ascii="Times New Roman" w:eastAsia="Calibri" w:hAnsi="Times New Roman" w:cs="Simplified Arabic"/>
          <w:sz w:val="26"/>
          <w:szCs w:val="30"/>
          <w:rtl/>
          <w:lang w:bidi="ar-EG"/>
        </w:rPr>
        <w:t>).</w:t>
      </w:r>
    </w:p>
    <w:p w14:paraId="4ED70D31"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ثالثاً: نموذج العلاقة المقترح</w:t>
      </w:r>
    </w:p>
    <w:p w14:paraId="2B21ED14"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بناءً على ما سبق، يمكن تصور العلاقة بأنها علاقة سببية وتكاملية؛ حيث تؤدي ممارسات (التشخيص والتقييم والمواجهة) إلى تقليل الهدر ومنع الأزمات، مما يصب مباشرة في (كفاءة الموارد) و(استمرارية الخدمة)</w:t>
      </w:r>
      <w:r w:rsidRPr="000941BA">
        <w:rPr>
          <w:rFonts w:ascii="Times New Roman" w:eastAsia="Calibri" w:hAnsi="Times New Roman" w:cs="Simplified Arabic"/>
          <w:sz w:val="26"/>
          <w:szCs w:val="30"/>
          <w:rtl/>
          <w:lang w:bidi="ar-EG"/>
        </w:rPr>
        <w:t>.</w:t>
      </w:r>
    </w:p>
    <w:p w14:paraId="4F90D302"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تعقيب الباحث</w:t>
      </w:r>
      <w:r w:rsidRPr="000941BA">
        <w:rPr>
          <w:rFonts w:ascii="Times New Roman" w:eastAsia="Calibri" w:hAnsi="Times New Roman" w:cs="Simplified Arabic"/>
          <w:b/>
          <w:bCs/>
          <w:sz w:val="26"/>
          <w:szCs w:val="30"/>
          <w:rtl/>
          <w:lang w:bidi="ar-EG"/>
        </w:rPr>
        <w:t>:</w:t>
      </w:r>
    </w:p>
    <w:p w14:paraId="01FBDD28"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يخلص الباحث في هذا المبحث إلى أن العلاقة بين إدارة المخاطر المالية والاستدامة التشغيلية هي علاقة "شرطية"؛ فلا يمكن تحقيق استدامة تشغيلية حقيقية في بيئة تتسم بالغموض المالي دون وجود نظام صارم لإدارة المخاطر. وتبرز شخصية الباحث هنا في التأكيد على أن هذه العلاقة في المراكز الصحية الأولية بمنطقة عسير قد تتأثر بعوامل سياقية مثل المركزية في اتخاذ القرار المالي، مما يجعل بُعد "مواجهة المخاطر" يعتمد بشكل كبير على كفاءة الإدارة المحلية في استخدام الموارد المتاحة (المناقلات، ترتيب الأولويات) أكثر من قدرتها على جلب موارد جديدة</w:t>
      </w:r>
      <w:r w:rsidRPr="000941BA">
        <w:rPr>
          <w:rFonts w:ascii="Times New Roman" w:eastAsia="Calibri" w:hAnsi="Times New Roman" w:cs="Simplified Arabic"/>
          <w:sz w:val="26"/>
          <w:szCs w:val="30"/>
          <w:rtl/>
          <w:lang w:bidi="ar-EG"/>
        </w:rPr>
        <w:t>.</w:t>
      </w:r>
    </w:p>
    <w:p w14:paraId="365FEA73"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rtl/>
          <w:lang w:bidi="ar-EG"/>
        </w:rPr>
      </w:pPr>
      <w:r w:rsidRPr="000941BA">
        <w:rPr>
          <w:rFonts w:ascii="Times New Roman" w:eastAsia="Calibri" w:hAnsi="Times New Roman" w:cs="Simplified Arabic"/>
          <w:b/>
          <w:bCs/>
          <w:sz w:val="26"/>
          <w:szCs w:val="30"/>
          <w:rtl/>
        </w:rPr>
        <w:t>خاتمة الإطار النظري</w:t>
      </w:r>
      <w:r w:rsidRPr="000941BA">
        <w:rPr>
          <w:rFonts w:ascii="Times New Roman" w:eastAsia="Calibri" w:hAnsi="Times New Roman" w:cs="Simplified Arabic"/>
          <w:b/>
          <w:bCs/>
          <w:sz w:val="26"/>
          <w:szCs w:val="30"/>
          <w:rtl/>
          <w:lang w:bidi="ar-EG"/>
        </w:rPr>
        <w:t>:</w:t>
      </w:r>
    </w:p>
    <w:p w14:paraId="18B209FC" w14:textId="77777777" w:rsidR="000941BA" w:rsidRPr="000941BA" w:rsidRDefault="000941BA" w:rsidP="000941BA">
      <w:pPr>
        <w:spacing w:after="0" w:line="360" w:lineRule="auto"/>
        <w:ind w:firstLine="397"/>
        <w:jc w:val="both"/>
        <w:rPr>
          <w:rFonts w:ascii="Times New Roman" w:eastAsia="Calibri" w:hAnsi="Times New Roman" w:cs="Simplified Arabic"/>
          <w:sz w:val="26"/>
          <w:szCs w:val="30"/>
          <w:lang w:bidi="ar-EG"/>
        </w:rPr>
      </w:pPr>
      <w:r w:rsidRPr="000941BA">
        <w:rPr>
          <w:rFonts w:ascii="Times New Roman" w:eastAsia="Calibri" w:hAnsi="Times New Roman" w:cs="Simplified Arabic"/>
          <w:sz w:val="26"/>
          <w:szCs w:val="30"/>
          <w:rtl/>
        </w:rPr>
        <w:t xml:space="preserve">تناول هذا الفصل في محوره الثاني تأصيلاً نظرياً لمتغيرات الدراسة، موضحاً أن إدارة المخاطر المالية ليست ترفاً إدارياً بل ضرورة ملحة لضمان الاستدامة التشغيلية. وقد بينت الأدبيات أن التكامل بين تشخيص المخاطر وتقييمها ومواجهتها يشكل حائط الصد الذي </w:t>
      </w:r>
      <w:r w:rsidRPr="000941BA">
        <w:rPr>
          <w:rFonts w:ascii="Times New Roman" w:eastAsia="Calibri" w:hAnsi="Times New Roman" w:cs="Simplified Arabic"/>
          <w:sz w:val="26"/>
          <w:szCs w:val="30"/>
          <w:rtl/>
        </w:rPr>
        <w:lastRenderedPageBreak/>
        <w:t>يحمي المراكز الصحية من التقلبات، ويضمن استمراريتها في تقديم خدمات ذات جودة وكفاءة. ويشكل هذا الإطار النظري، جنباً إلى جنب مع الدراسات السابقة، القاعدة الصلبة التي سيبنى عليها الفصل الميداني وتفسير النتائج اللاحقة</w:t>
      </w:r>
      <w:r w:rsidRPr="000941BA">
        <w:rPr>
          <w:rFonts w:ascii="Times New Roman" w:eastAsia="Calibri" w:hAnsi="Times New Roman" w:cs="Simplified Arabic"/>
          <w:sz w:val="26"/>
          <w:szCs w:val="30"/>
          <w:rtl/>
          <w:lang w:bidi="ar-EG"/>
        </w:rPr>
        <w:t>.</w:t>
      </w:r>
    </w:p>
    <w:p w14:paraId="1D46CE76" w14:textId="0135C89D" w:rsidR="00586478" w:rsidRPr="00586478" w:rsidRDefault="00586478" w:rsidP="00B03B33">
      <w:pPr>
        <w:spacing w:after="0" w:line="360" w:lineRule="auto"/>
        <w:ind w:firstLine="510"/>
        <w:jc w:val="both"/>
        <w:rPr>
          <w:rFonts w:ascii="Times New Roman" w:eastAsia="Calibri" w:hAnsi="Times New Roman" w:cs="Simplified Arabic"/>
          <w:sz w:val="24"/>
          <w:szCs w:val="28"/>
          <w:rtl/>
        </w:rPr>
      </w:pPr>
    </w:p>
    <w:p w14:paraId="0C36F904" w14:textId="1622EF16" w:rsidR="00903814" w:rsidRPr="005D4EFC" w:rsidRDefault="00903814" w:rsidP="00B03B33">
      <w:pPr>
        <w:spacing w:after="0" w:line="360" w:lineRule="auto"/>
        <w:ind w:firstLine="284"/>
        <w:jc w:val="both"/>
        <w:rPr>
          <w:rFonts w:ascii="Times New Roman" w:eastAsia="Calibri" w:hAnsi="Times New Roman" w:cs="Simplified Arabic"/>
          <w:sz w:val="24"/>
          <w:szCs w:val="28"/>
        </w:rPr>
      </w:pPr>
    </w:p>
    <w:p w14:paraId="67064C6D" w14:textId="099EAA2D" w:rsidR="00217D8D" w:rsidRPr="00354718" w:rsidRDefault="00217D8D" w:rsidP="00354718">
      <w:pPr>
        <w:spacing w:after="0" w:line="360" w:lineRule="auto"/>
        <w:jc w:val="both"/>
        <w:rPr>
          <w:rFonts w:ascii="Times New Roman" w:eastAsia="Calibri" w:hAnsi="Times New Roman" w:cs="Simplified Arabic" w:hint="cs"/>
          <w:sz w:val="24"/>
          <w:szCs w:val="28"/>
        </w:rPr>
      </w:pPr>
    </w:p>
    <w:sectPr w:rsidR="00217D8D" w:rsidRPr="00354718"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3C0A9" w14:textId="77777777" w:rsidR="006B642E" w:rsidRDefault="006B642E">
      <w:pPr>
        <w:spacing w:after="0" w:line="240" w:lineRule="auto"/>
      </w:pPr>
      <w:r>
        <w:separator/>
      </w:r>
    </w:p>
  </w:endnote>
  <w:endnote w:type="continuationSeparator" w:id="0">
    <w:p w14:paraId="1D9542A7" w14:textId="77777777" w:rsidR="006B642E" w:rsidRDefault="006B6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238E" w14:textId="77777777" w:rsidR="006B642E" w:rsidRDefault="006B642E">
      <w:pPr>
        <w:spacing w:after="0" w:line="240" w:lineRule="auto"/>
      </w:pPr>
      <w:r>
        <w:separator/>
      </w:r>
    </w:p>
  </w:footnote>
  <w:footnote w:type="continuationSeparator" w:id="0">
    <w:p w14:paraId="39FD4A60" w14:textId="77777777" w:rsidR="006B642E" w:rsidRDefault="006B64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25B48"/>
    <w:multiLevelType w:val="multilevel"/>
    <w:tmpl w:val="340E4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F4271"/>
    <w:multiLevelType w:val="multilevel"/>
    <w:tmpl w:val="32E26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D13059"/>
    <w:multiLevelType w:val="multilevel"/>
    <w:tmpl w:val="F320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D3737D"/>
    <w:multiLevelType w:val="multilevel"/>
    <w:tmpl w:val="BE60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D0CCE"/>
    <w:multiLevelType w:val="multilevel"/>
    <w:tmpl w:val="C292E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974D83"/>
    <w:multiLevelType w:val="multilevel"/>
    <w:tmpl w:val="C11A8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2504CB"/>
    <w:multiLevelType w:val="multilevel"/>
    <w:tmpl w:val="04FE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FE2930"/>
    <w:multiLevelType w:val="multilevel"/>
    <w:tmpl w:val="905E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F26A4E"/>
    <w:multiLevelType w:val="multilevel"/>
    <w:tmpl w:val="E5709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1775B9"/>
    <w:multiLevelType w:val="multilevel"/>
    <w:tmpl w:val="090E9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202062"/>
    <w:multiLevelType w:val="hybridMultilevel"/>
    <w:tmpl w:val="11CC40BC"/>
    <w:lvl w:ilvl="0" w:tplc="04090005">
      <w:start w:val="1"/>
      <w:numFmt w:val="bullet"/>
      <w:lvlText w:val=""/>
      <w:lvlJc w:val="left"/>
      <w:pPr>
        <w:ind w:left="1229" w:hanging="360"/>
      </w:pPr>
      <w:rPr>
        <w:rFonts w:ascii="Wingdings" w:hAnsi="Wingdings" w:hint="default"/>
      </w:rPr>
    </w:lvl>
    <w:lvl w:ilvl="1" w:tplc="04090003">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21"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C93E22"/>
    <w:multiLevelType w:val="multilevel"/>
    <w:tmpl w:val="D9D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5"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8E6E9D"/>
    <w:multiLevelType w:val="multilevel"/>
    <w:tmpl w:val="849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86076F"/>
    <w:multiLevelType w:val="multilevel"/>
    <w:tmpl w:val="C6D6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B20452"/>
    <w:multiLevelType w:val="multilevel"/>
    <w:tmpl w:val="FC08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6000BD"/>
    <w:multiLevelType w:val="multilevel"/>
    <w:tmpl w:val="268C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B8578F"/>
    <w:multiLevelType w:val="multilevel"/>
    <w:tmpl w:val="8176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B44D74"/>
    <w:multiLevelType w:val="multilevel"/>
    <w:tmpl w:val="5B44D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B60224F"/>
    <w:multiLevelType w:val="multilevel"/>
    <w:tmpl w:val="C79AE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D95CAC"/>
    <w:multiLevelType w:val="multilevel"/>
    <w:tmpl w:val="E7728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700B3A"/>
    <w:multiLevelType w:val="multilevel"/>
    <w:tmpl w:val="D56C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A86F4B"/>
    <w:multiLevelType w:val="multilevel"/>
    <w:tmpl w:val="D6BC8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5" w15:restartNumberingAfterBreak="0">
    <w:nsid w:val="41A76A33"/>
    <w:multiLevelType w:val="multilevel"/>
    <w:tmpl w:val="0562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9A24A9"/>
    <w:multiLevelType w:val="multilevel"/>
    <w:tmpl w:val="4C2A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2305A6"/>
    <w:multiLevelType w:val="multilevel"/>
    <w:tmpl w:val="C3D2E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B42A23"/>
    <w:multiLevelType w:val="multilevel"/>
    <w:tmpl w:val="9C82C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72E7720"/>
    <w:multiLevelType w:val="multilevel"/>
    <w:tmpl w:val="D68EC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B95595"/>
    <w:multiLevelType w:val="multilevel"/>
    <w:tmpl w:val="0920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C231D76"/>
    <w:multiLevelType w:val="multilevel"/>
    <w:tmpl w:val="C7103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FC6F3A"/>
    <w:multiLevelType w:val="multilevel"/>
    <w:tmpl w:val="AE06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874675"/>
    <w:multiLevelType w:val="multilevel"/>
    <w:tmpl w:val="8108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EA50D6"/>
    <w:multiLevelType w:val="multilevel"/>
    <w:tmpl w:val="EC72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5A2BE1"/>
    <w:multiLevelType w:val="multilevel"/>
    <w:tmpl w:val="10AC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7" w15:restartNumberingAfterBreak="0">
    <w:nsid w:val="5E1F1420"/>
    <w:multiLevelType w:val="multilevel"/>
    <w:tmpl w:val="8CBE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25240BC"/>
    <w:multiLevelType w:val="multilevel"/>
    <w:tmpl w:val="5B6E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34F27A3"/>
    <w:multiLevelType w:val="multilevel"/>
    <w:tmpl w:val="98D8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EE5540"/>
    <w:multiLevelType w:val="multilevel"/>
    <w:tmpl w:val="7F740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1D12374"/>
    <w:multiLevelType w:val="hybridMultilevel"/>
    <w:tmpl w:val="A3C8CCC4"/>
    <w:lvl w:ilvl="0" w:tplc="FFFFFFFF">
      <w:start w:val="1"/>
      <w:numFmt w:val="bullet"/>
      <w:lvlText w:val=""/>
      <w:lvlJc w:val="left"/>
      <w:pPr>
        <w:ind w:left="1229" w:hanging="360"/>
      </w:pPr>
      <w:rPr>
        <w:rFonts w:ascii="Wingdings" w:hAnsi="Wingdings" w:hint="default"/>
      </w:rPr>
    </w:lvl>
    <w:lvl w:ilvl="1" w:tplc="04090001">
      <w:start w:val="1"/>
      <w:numFmt w:val="bullet"/>
      <w:lvlText w:val=""/>
      <w:lvlJc w:val="left"/>
      <w:pPr>
        <w:ind w:left="1949" w:hanging="360"/>
      </w:pPr>
      <w:rPr>
        <w:rFonts w:ascii="Symbol" w:hAnsi="Symbol" w:hint="default"/>
      </w:rPr>
    </w:lvl>
    <w:lvl w:ilvl="2" w:tplc="FFFFFFFF" w:tentative="1">
      <w:start w:val="1"/>
      <w:numFmt w:val="bullet"/>
      <w:lvlText w:val=""/>
      <w:lvlJc w:val="left"/>
      <w:pPr>
        <w:ind w:left="2669" w:hanging="360"/>
      </w:pPr>
      <w:rPr>
        <w:rFonts w:ascii="Wingdings" w:hAnsi="Wingdings" w:hint="default"/>
      </w:rPr>
    </w:lvl>
    <w:lvl w:ilvl="3" w:tplc="FFFFFFFF" w:tentative="1">
      <w:start w:val="1"/>
      <w:numFmt w:val="bullet"/>
      <w:lvlText w:val=""/>
      <w:lvlJc w:val="left"/>
      <w:pPr>
        <w:ind w:left="3389" w:hanging="360"/>
      </w:pPr>
      <w:rPr>
        <w:rFonts w:ascii="Symbol" w:hAnsi="Symbol" w:hint="default"/>
      </w:rPr>
    </w:lvl>
    <w:lvl w:ilvl="4" w:tplc="FFFFFFFF" w:tentative="1">
      <w:start w:val="1"/>
      <w:numFmt w:val="bullet"/>
      <w:lvlText w:val="o"/>
      <w:lvlJc w:val="left"/>
      <w:pPr>
        <w:ind w:left="4109" w:hanging="360"/>
      </w:pPr>
      <w:rPr>
        <w:rFonts w:ascii="Courier New" w:hAnsi="Courier New" w:cs="Courier New" w:hint="default"/>
      </w:rPr>
    </w:lvl>
    <w:lvl w:ilvl="5" w:tplc="FFFFFFFF" w:tentative="1">
      <w:start w:val="1"/>
      <w:numFmt w:val="bullet"/>
      <w:lvlText w:val=""/>
      <w:lvlJc w:val="left"/>
      <w:pPr>
        <w:ind w:left="4829" w:hanging="360"/>
      </w:pPr>
      <w:rPr>
        <w:rFonts w:ascii="Wingdings" w:hAnsi="Wingdings" w:hint="default"/>
      </w:rPr>
    </w:lvl>
    <w:lvl w:ilvl="6" w:tplc="FFFFFFFF" w:tentative="1">
      <w:start w:val="1"/>
      <w:numFmt w:val="bullet"/>
      <w:lvlText w:val=""/>
      <w:lvlJc w:val="left"/>
      <w:pPr>
        <w:ind w:left="5549" w:hanging="360"/>
      </w:pPr>
      <w:rPr>
        <w:rFonts w:ascii="Symbol" w:hAnsi="Symbol" w:hint="default"/>
      </w:rPr>
    </w:lvl>
    <w:lvl w:ilvl="7" w:tplc="FFFFFFFF" w:tentative="1">
      <w:start w:val="1"/>
      <w:numFmt w:val="bullet"/>
      <w:lvlText w:val="o"/>
      <w:lvlJc w:val="left"/>
      <w:pPr>
        <w:ind w:left="6269" w:hanging="360"/>
      </w:pPr>
      <w:rPr>
        <w:rFonts w:ascii="Courier New" w:hAnsi="Courier New" w:cs="Courier New" w:hint="default"/>
      </w:rPr>
    </w:lvl>
    <w:lvl w:ilvl="8" w:tplc="FFFFFFFF" w:tentative="1">
      <w:start w:val="1"/>
      <w:numFmt w:val="bullet"/>
      <w:lvlText w:val=""/>
      <w:lvlJc w:val="left"/>
      <w:pPr>
        <w:ind w:left="6989" w:hanging="360"/>
      </w:pPr>
      <w:rPr>
        <w:rFonts w:ascii="Wingdings" w:hAnsi="Wingdings" w:hint="default"/>
      </w:rPr>
    </w:lvl>
  </w:abstractNum>
  <w:abstractNum w:abstractNumId="83" w15:restartNumberingAfterBreak="0">
    <w:nsid w:val="730E3A5C"/>
    <w:multiLevelType w:val="multilevel"/>
    <w:tmpl w:val="2D301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3334E22"/>
    <w:multiLevelType w:val="multilevel"/>
    <w:tmpl w:val="66B6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2D15A6"/>
    <w:multiLevelType w:val="multilevel"/>
    <w:tmpl w:val="66F4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E776FEC"/>
    <w:multiLevelType w:val="multilevel"/>
    <w:tmpl w:val="F2487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A36F23"/>
    <w:multiLevelType w:val="multilevel"/>
    <w:tmpl w:val="D9E0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293">
    <w:abstractNumId w:val="44"/>
  </w:num>
  <w:num w:numId="2" w16cid:durableId="2129541181">
    <w:abstractNumId w:val="24"/>
  </w:num>
  <w:num w:numId="3" w16cid:durableId="1352954896">
    <w:abstractNumId w:val="65"/>
  </w:num>
  <w:num w:numId="4" w16cid:durableId="1463964379">
    <w:abstractNumId w:val="68"/>
  </w:num>
  <w:num w:numId="5" w16cid:durableId="1852523126">
    <w:abstractNumId w:val="79"/>
  </w:num>
  <w:num w:numId="6" w16cid:durableId="650252179">
    <w:abstractNumId w:val="0"/>
  </w:num>
  <w:num w:numId="7" w16cid:durableId="251861357">
    <w:abstractNumId w:val="75"/>
  </w:num>
  <w:num w:numId="8" w16cid:durableId="13195516">
    <w:abstractNumId w:val="12"/>
  </w:num>
  <w:num w:numId="9" w16cid:durableId="504319135">
    <w:abstractNumId w:val="87"/>
  </w:num>
  <w:num w:numId="10" w16cid:durableId="1957517621">
    <w:abstractNumId w:val="26"/>
  </w:num>
  <w:num w:numId="11" w16cid:durableId="1966420689">
    <w:abstractNumId w:val="5"/>
  </w:num>
  <w:num w:numId="12" w16cid:durableId="322703937">
    <w:abstractNumId w:val="33"/>
  </w:num>
  <w:num w:numId="13" w16cid:durableId="2142266153">
    <w:abstractNumId w:val="85"/>
  </w:num>
  <w:num w:numId="14" w16cid:durableId="490563651">
    <w:abstractNumId w:val="69"/>
  </w:num>
  <w:num w:numId="15" w16cid:durableId="1968315205">
    <w:abstractNumId w:val="62"/>
  </w:num>
  <w:num w:numId="16" w16cid:durableId="51000871">
    <w:abstractNumId w:val="77"/>
  </w:num>
  <w:num w:numId="17" w16cid:durableId="159466258">
    <w:abstractNumId w:val="21"/>
  </w:num>
  <w:num w:numId="18" w16cid:durableId="1732188788">
    <w:abstractNumId w:val="39"/>
  </w:num>
  <w:num w:numId="19" w16cid:durableId="2013948564">
    <w:abstractNumId w:val="4"/>
  </w:num>
  <w:num w:numId="20" w16cid:durableId="1056006242">
    <w:abstractNumId w:val="80"/>
  </w:num>
  <w:num w:numId="21" w16cid:durableId="352196021">
    <w:abstractNumId w:val="47"/>
  </w:num>
  <w:num w:numId="22" w16cid:durableId="919950166">
    <w:abstractNumId w:val="50"/>
  </w:num>
  <w:num w:numId="23" w16cid:durableId="967858425">
    <w:abstractNumId w:val="55"/>
  </w:num>
  <w:num w:numId="24" w16cid:durableId="937979412">
    <w:abstractNumId w:val="17"/>
  </w:num>
  <w:num w:numId="25" w16cid:durableId="735781023">
    <w:abstractNumId w:val="61"/>
  </w:num>
  <w:num w:numId="26" w16cid:durableId="2146964918">
    <w:abstractNumId w:val="86"/>
  </w:num>
  <w:num w:numId="27" w16cid:durableId="652686835">
    <w:abstractNumId w:val="27"/>
  </w:num>
  <w:num w:numId="28" w16cid:durableId="1367413872">
    <w:abstractNumId w:val="35"/>
  </w:num>
  <w:num w:numId="29" w16cid:durableId="294338633">
    <w:abstractNumId w:val="76"/>
  </w:num>
  <w:num w:numId="30" w16cid:durableId="1761024022">
    <w:abstractNumId w:val="70"/>
  </w:num>
  <w:num w:numId="31" w16cid:durableId="72941838">
    <w:abstractNumId w:val="60"/>
  </w:num>
  <w:num w:numId="32" w16cid:durableId="125440643">
    <w:abstractNumId w:val="36"/>
  </w:num>
  <w:num w:numId="33" w16cid:durableId="2090497330">
    <w:abstractNumId w:val="14"/>
  </w:num>
  <w:num w:numId="34" w16cid:durableId="1370761751">
    <w:abstractNumId w:val="32"/>
  </w:num>
  <w:num w:numId="35" w16cid:durableId="1568177666">
    <w:abstractNumId w:val="53"/>
  </w:num>
  <w:num w:numId="36" w16cid:durableId="503781703">
    <w:abstractNumId w:val="73"/>
  </w:num>
  <w:num w:numId="37" w16cid:durableId="1317949551">
    <w:abstractNumId w:val="71"/>
  </w:num>
  <w:num w:numId="38" w16cid:durableId="768769799">
    <w:abstractNumId w:val="7"/>
  </w:num>
  <w:num w:numId="39" w16cid:durableId="518660538">
    <w:abstractNumId w:val="6"/>
  </w:num>
  <w:num w:numId="40" w16cid:durableId="874512468">
    <w:abstractNumId w:val="23"/>
  </w:num>
  <w:num w:numId="41" w16cid:durableId="2095855828">
    <w:abstractNumId w:val="56"/>
  </w:num>
  <w:num w:numId="42" w16cid:durableId="1987123039">
    <w:abstractNumId w:val="57"/>
  </w:num>
  <w:num w:numId="43" w16cid:durableId="365717571">
    <w:abstractNumId w:val="41"/>
  </w:num>
  <w:num w:numId="44" w16cid:durableId="467432745">
    <w:abstractNumId w:val="25"/>
  </w:num>
  <w:num w:numId="45" w16cid:durableId="1726488743">
    <w:abstractNumId w:val="1"/>
  </w:num>
  <w:num w:numId="46" w16cid:durableId="1406565027">
    <w:abstractNumId w:val="15"/>
  </w:num>
  <w:num w:numId="47" w16cid:durableId="2023628543">
    <w:abstractNumId w:val="66"/>
  </w:num>
  <w:num w:numId="48" w16cid:durableId="1764840132">
    <w:abstractNumId w:val="78"/>
  </w:num>
  <w:num w:numId="49" w16cid:durableId="57217705">
    <w:abstractNumId w:val="54"/>
  </w:num>
  <w:num w:numId="50" w16cid:durableId="1175144140">
    <w:abstractNumId w:val="8"/>
  </w:num>
  <w:num w:numId="51" w16cid:durableId="1037706754">
    <w:abstractNumId w:val="37"/>
  </w:num>
  <w:num w:numId="52" w16cid:durableId="66808683">
    <w:abstractNumId w:val="67"/>
  </w:num>
  <w:num w:numId="53" w16cid:durableId="271740805">
    <w:abstractNumId w:val="38"/>
  </w:num>
  <w:num w:numId="54" w16cid:durableId="1312252684">
    <w:abstractNumId w:val="90"/>
  </w:num>
  <w:num w:numId="55" w16cid:durableId="1679650644">
    <w:abstractNumId w:val="18"/>
  </w:num>
  <w:num w:numId="56" w16cid:durableId="1852376265">
    <w:abstractNumId w:val="31"/>
  </w:num>
  <w:num w:numId="57" w16cid:durableId="1230581693">
    <w:abstractNumId w:val="51"/>
  </w:num>
  <w:num w:numId="58" w16cid:durableId="469858206">
    <w:abstractNumId w:val="30"/>
  </w:num>
  <w:num w:numId="59" w16cid:durableId="2029019421">
    <w:abstractNumId w:val="11"/>
  </w:num>
  <w:num w:numId="60" w16cid:durableId="83573246">
    <w:abstractNumId w:val="40"/>
  </w:num>
  <w:num w:numId="61" w16cid:durableId="752968128">
    <w:abstractNumId w:val="9"/>
  </w:num>
  <w:num w:numId="62" w16cid:durableId="939293105">
    <w:abstractNumId w:val="10"/>
  </w:num>
  <w:num w:numId="63" w16cid:durableId="192766414">
    <w:abstractNumId w:val="46"/>
  </w:num>
  <w:num w:numId="64" w16cid:durableId="1696613821">
    <w:abstractNumId w:val="42"/>
  </w:num>
  <w:num w:numId="65" w16cid:durableId="862981971">
    <w:abstractNumId w:val="29"/>
  </w:num>
  <w:num w:numId="66" w16cid:durableId="1848446973">
    <w:abstractNumId w:val="45"/>
  </w:num>
  <w:num w:numId="67" w16cid:durableId="127552900">
    <w:abstractNumId w:val="22"/>
  </w:num>
  <w:num w:numId="68" w16cid:durableId="1365443827">
    <w:abstractNumId w:val="83"/>
  </w:num>
  <w:num w:numId="69" w16cid:durableId="1147893067">
    <w:abstractNumId w:val="48"/>
  </w:num>
  <w:num w:numId="70" w16cid:durableId="1323852192">
    <w:abstractNumId w:val="84"/>
  </w:num>
  <w:num w:numId="71" w16cid:durableId="687755785">
    <w:abstractNumId w:val="3"/>
  </w:num>
  <w:num w:numId="72" w16cid:durableId="1167207519">
    <w:abstractNumId w:val="72"/>
  </w:num>
  <w:num w:numId="73" w16cid:durableId="525366114">
    <w:abstractNumId w:val="88"/>
  </w:num>
  <w:num w:numId="74" w16cid:durableId="2084447301">
    <w:abstractNumId w:val="64"/>
  </w:num>
  <w:num w:numId="75" w16cid:durableId="2085955448">
    <w:abstractNumId w:val="28"/>
  </w:num>
  <w:num w:numId="76" w16cid:durableId="1380933860">
    <w:abstractNumId w:val="74"/>
  </w:num>
  <w:num w:numId="77" w16cid:durableId="1615553674">
    <w:abstractNumId w:val="52"/>
  </w:num>
  <w:num w:numId="78" w16cid:durableId="839542207">
    <w:abstractNumId w:val="59"/>
  </w:num>
  <w:num w:numId="79" w16cid:durableId="1399093934">
    <w:abstractNumId w:val="16"/>
  </w:num>
  <w:num w:numId="80" w16cid:durableId="784470713">
    <w:abstractNumId w:val="43"/>
  </w:num>
  <w:num w:numId="81" w16cid:durableId="1137065639">
    <w:abstractNumId w:val="34"/>
  </w:num>
  <w:num w:numId="82" w16cid:durableId="1854879945">
    <w:abstractNumId w:val="63"/>
  </w:num>
  <w:num w:numId="83" w16cid:durableId="922570499">
    <w:abstractNumId w:val="89"/>
  </w:num>
  <w:num w:numId="84" w16cid:durableId="4476582">
    <w:abstractNumId w:val="81"/>
  </w:num>
  <w:num w:numId="85" w16cid:durableId="1194229668">
    <w:abstractNumId w:val="2"/>
  </w:num>
  <w:num w:numId="86" w16cid:durableId="1227302000">
    <w:abstractNumId w:val="49"/>
  </w:num>
  <w:num w:numId="87" w16cid:durableId="1205873890">
    <w:abstractNumId w:val="13"/>
  </w:num>
  <w:num w:numId="88" w16cid:durableId="824008633">
    <w:abstractNumId w:val="19"/>
  </w:num>
  <w:num w:numId="89" w16cid:durableId="576286060">
    <w:abstractNumId w:val="20"/>
  </w:num>
  <w:num w:numId="90" w16cid:durableId="1154956223">
    <w:abstractNumId w:val="82"/>
  </w:num>
  <w:num w:numId="91" w16cid:durableId="1518350475">
    <w:abstractNumId w:val="5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520B"/>
    <w:rsid w:val="00086B2C"/>
    <w:rsid w:val="00086BD5"/>
    <w:rsid w:val="00093603"/>
    <w:rsid w:val="000941BA"/>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2E11"/>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422A"/>
    <w:rsid w:val="001658FF"/>
    <w:rsid w:val="00166B5A"/>
    <w:rsid w:val="00166F81"/>
    <w:rsid w:val="00171A58"/>
    <w:rsid w:val="00173714"/>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17ED0"/>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0E25"/>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4718"/>
    <w:rsid w:val="00355A39"/>
    <w:rsid w:val="003565E3"/>
    <w:rsid w:val="003579C5"/>
    <w:rsid w:val="003600B6"/>
    <w:rsid w:val="003626FB"/>
    <w:rsid w:val="003629DB"/>
    <w:rsid w:val="00363474"/>
    <w:rsid w:val="003635E2"/>
    <w:rsid w:val="00363784"/>
    <w:rsid w:val="00363AFE"/>
    <w:rsid w:val="00365E13"/>
    <w:rsid w:val="00366AD0"/>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2544"/>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15A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42E"/>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0562"/>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2D44"/>
    <w:rsid w:val="007E4D10"/>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4823"/>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4CF9"/>
    <w:rsid w:val="009B57E9"/>
    <w:rsid w:val="009B5A6A"/>
    <w:rsid w:val="009B5EE1"/>
    <w:rsid w:val="009B66E2"/>
    <w:rsid w:val="009B6918"/>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2989"/>
    <w:rsid w:val="009F30F4"/>
    <w:rsid w:val="009F3635"/>
    <w:rsid w:val="009F402D"/>
    <w:rsid w:val="009F69F2"/>
    <w:rsid w:val="00A03BD4"/>
    <w:rsid w:val="00A04F13"/>
    <w:rsid w:val="00A057F4"/>
    <w:rsid w:val="00A06BCD"/>
    <w:rsid w:val="00A10CC1"/>
    <w:rsid w:val="00A143DB"/>
    <w:rsid w:val="00A16290"/>
    <w:rsid w:val="00A176CB"/>
    <w:rsid w:val="00A23298"/>
    <w:rsid w:val="00A23AFA"/>
    <w:rsid w:val="00A23B61"/>
    <w:rsid w:val="00A23D2D"/>
    <w:rsid w:val="00A25E94"/>
    <w:rsid w:val="00A30646"/>
    <w:rsid w:val="00A30FBE"/>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5B0"/>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26E"/>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2DA"/>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3B6"/>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5150"/>
    <w:rsid w:val="00D463C5"/>
    <w:rsid w:val="00D51066"/>
    <w:rsid w:val="00D51AAF"/>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66BF"/>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D45150"/>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41">
    <w:name w:val="بلا قائمة4"/>
    <w:next w:val="a2"/>
    <w:uiPriority w:val="99"/>
    <w:semiHidden/>
    <w:unhideWhenUsed/>
    <w:rsid w:val="000941BA"/>
  </w:style>
  <w:style w:type="numbering" w:customStyle="1" w:styleId="52">
    <w:name w:val="بلا قائمة5"/>
    <w:next w:val="a2"/>
    <w:uiPriority w:val="99"/>
    <w:semiHidden/>
    <w:unhideWhenUsed/>
    <w:rsid w:val="009B4CF9"/>
  </w:style>
  <w:style w:type="numbering" w:customStyle="1" w:styleId="60">
    <w:name w:val="بلا قائمة6"/>
    <w:next w:val="a2"/>
    <w:uiPriority w:val="99"/>
    <w:semiHidden/>
    <w:unhideWhenUsed/>
    <w:rsid w:val="009B4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5931</Words>
  <Characters>33808</Characters>
  <Application>Microsoft Office Word</Application>
  <DocSecurity>0</DocSecurity>
  <Lines>281</Lines>
  <Paragraphs>79</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39660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mans good</cp:lastModifiedBy>
  <cp:revision>3</cp:revision>
  <cp:lastPrinted>2025-11-11T21:20:00Z</cp:lastPrinted>
  <dcterms:created xsi:type="dcterms:W3CDTF">2025-11-21T06:35:00Z</dcterms:created>
  <dcterms:modified xsi:type="dcterms:W3CDTF">2025-11-21T06:37:00Z</dcterms:modified>
</cp:coreProperties>
</file>