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2DBC" w:rsidRDefault="0020543F" w:rsidP="0020543F">
      <w:pPr>
        <w:spacing w:after="0" w:line="442" w:lineRule="auto"/>
        <w:ind w:left="0" w:right="7425" w:firstLine="0"/>
        <w:jc w:val="both"/>
      </w:pPr>
      <w:r>
        <w:rPr>
          <w:noProof/>
        </w:rPr>
        <mc:AlternateContent>
          <mc:Choice Requires="wps">
            <w:drawing>
              <wp:anchor distT="0" distB="0" distL="114300" distR="114300" simplePos="0" relativeHeight="251661312" behindDoc="0" locked="0" layoutInCell="1" allowOverlap="1">
                <wp:simplePos x="0" y="0"/>
                <wp:positionH relativeFrom="margin">
                  <wp:posOffset>47625</wp:posOffset>
                </wp:positionH>
                <wp:positionV relativeFrom="paragraph">
                  <wp:posOffset>1697355</wp:posOffset>
                </wp:positionV>
                <wp:extent cx="5334000" cy="6324600"/>
                <wp:effectExtent l="0" t="0" r="0" b="0"/>
                <wp:wrapNone/>
                <wp:docPr id="2" name="Text Box 2"/>
                <wp:cNvGraphicFramePr/>
                <a:graphic xmlns:a="http://schemas.openxmlformats.org/drawingml/2006/main">
                  <a:graphicData uri="http://schemas.microsoft.com/office/word/2010/wordprocessingShape">
                    <wps:wsp>
                      <wps:cNvSpPr txBox="1"/>
                      <wps:spPr>
                        <a:xfrm>
                          <a:off x="0" y="0"/>
                          <a:ext cx="5334000" cy="6324600"/>
                        </a:xfrm>
                        <a:prstGeom prst="rect">
                          <a:avLst/>
                        </a:prstGeom>
                        <a:noFill/>
                        <a:ln w="6350">
                          <a:noFill/>
                        </a:ln>
                      </wps:spPr>
                      <wps:txbx>
                        <w:txbxContent>
                          <w:p w:rsidR="00270850" w:rsidRPr="005525F6" w:rsidRDefault="00270850" w:rsidP="0020543F">
                            <w:pPr>
                              <w:spacing w:after="0" w:line="442" w:lineRule="auto"/>
                              <w:ind w:left="0" w:right="-138" w:firstLine="0"/>
                              <w:jc w:val="center"/>
                              <w:rPr>
                                <w:rFonts w:ascii="Sakkal Majalla" w:hAnsi="Sakkal Majalla" w:cs="Sakkal Majalla"/>
                                <w:b/>
                                <w:bCs/>
                                <w:color w:val="C00000"/>
                                <w:sz w:val="32"/>
                                <w:szCs w:val="32"/>
                                <w:rtl/>
                              </w:rPr>
                            </w:pPr>
                            <w:r w:rsidRPr="005525F6">
                              <w:rPr>
                                <w:rFonts w:ascii="Sakkal Majalla" w:hAnsi="Sakkal Majalla" w:cs="Sakkal Majalla"/>
                                <w:b/>
                                <w:bCs/>
                                <w:color w:val="C00000"/>
                                <w:sz w:val="32"/>
                                <w:szCs w:val="32"/>
                                <w:rtl/>
                              </w:rPr>
                              <w:t>"أثر تبني مبادرات إدارة المشاريع على جاهزية قطاع التجزئة لمواكبة التحول الاقتصادي في المملكة العربية السعودية وفق رؤية 2030: دراسة تطبيقية"</w:t>
                            </w:r>
                          </w:p>
                          <w:p w:rsidR="00270850" w:rsidRPr="005525F6" w:rsidRDefault="00270850" w:rsidP="0020543F">
                            <w:pPr>
                              <w:spacing w:after="0" w:line="442" w:lineRule="auto"/>
                              <w:ind w:left="10" w:right="-138" w:hanging="10"/>
                              <w:jc w:val="center"/>
                              <w:rPr>
                                <w:rFonts w:ascii="Sakkal Majalla" w:hAnsi="Sakkal Majalla" w:cs="Sakkal Majalla"/>
                                <w:sz w:val="32"/>
                                <w:szCs w:val="32"/>
                              </w:rPr>
                            </w:pPr>
                            <w:r w:rsidRPr="005525F6">
                              <w:rPr>
                                <w:rFonts w:ascii="Sakkal Majalla" w:hAnsi="Sakkal Majalla" w:cs="Sakkal Majalla"/>
                                <w:b/>
                                <w:bCs/>
                                <w:sz w:val="32"/>
                                <w:szCs w:val="32"/>
                                <w:rtl/>
                              </w:rPr>
                              <w:t xml:space="preserve">إعداد الطالب / دانيه عدنان مهدلی </w:t>
                            </w:r>
                          </w:p>
                          <w:p w:rsidR="00270850" w:rsidRPr="005525F6" w:rsidRDefault="00270850" w:rsidP="0020543F">
                            <w:pPr>
                              <w:bidi w:val="0"/>
                              <w:spacing w:after="355" w:line="259" w:lineRule="auto"/>
                              <w:ind w:left="0" w:right="137" w:firstLine="0"/>
                              <w:jc w:val="center"/>
                              <w:rPr>
                                <w:rFonts w:ascii="Sakkal Majalla" w:hAnsi="Sakkal Majalla" w:cs="Sakkal Majalla"/>
                                <w:sz w:val="32"/>
                                <w:szCs w:val="32"/>
                              </w:rPr>
                            </w:pPr>
                            <w:r w:rsidRPr="005525F6">
                              <w:rPr>
                                <w:rFonts w:ascii="Sakkal Majalla" w:hAnsi="Sakkal Majalla" w:cs="Sakkal Majalla"/>
                                <w:b/>
                                <w:sz w:val="32"/>
                                <w:szCs w:val="32"/>
                              </w:rPr>
                              <w:t xml:space="preserve"> 251000113</w:t>
                            </w:r>
                          </w:p>
                          <w:p w:rsidR="00270850" w:rsidRPr="005525F6" w:rsidRDefault="00270850" w:rsidP="0020543F">
                            <w:pPr>
                              <w:bidi w:val="0"/>
                              <w:spacing w:after="355" w:line="259" w:lineRule="auto"/>
                              <w:ind w:left="0" w:right="190" w:firstLine="0"/>
                              <w:jc w:val="center"/>
                              <w:rPr>
                                <w:rFonts w:ascii="Sakkal Majalla" w:hAnsi="Sakkal Majalla" w:cs="Sakkal Majalla"/>
                                <w:sz w:val="32"/>
                                <w:szCs w:val="32"/>
                              </w:rPr>
                            </w:pPr>
                            <w:r w:rsidRPr="005525F6">
                              <w:rPr>
                                <w:rFonts w:ascii="Sakkal Majalla" w:hAnsi="Sakkal Majalla" w:cs="Sakkal Majalla"/>
                                <w:b/>
                                <w:sz w:val="32"/>
                                <w:szCs w:val="32"/>
                              </w:rPr>
                              <w:t xml:space="preserve"> </w:t>
                            </w:r>
                          </w:p>
                          <w:p w:rsidR="00270850" w:rsidRDefault="00270850" w:rsidP="0020543F">
                            <w:pPr>
                              <w:spacing w:after="449" w:line="259" w:lineRule="auto"/>
                              <w:ind w:left="10" w:right="7" w:hanging="10"/>
                              <w:jc w:val="center"/>
                              <w:rPr>
                                <w:rFonts w:ascii="Sakkal Majalla" w:hAnsi="Sakkal Majalla" w:cs="Sakkal Majalla"/>
                                <w:sz w:val="32"/>
                                <w:szCs w:val="32"/>
                                <w:rtl/>
                              </w:rPr>
                            </w:pPr>
                            <w:r w:rsidRPr="005525F6">
                              <w:rPr>
                                <w:rFonts w:ascii="Sakkal Majalla" w:hAnsi="Sakkal Majalla" w:cs="Sakkal Majalla"/>
                                <w:b/>
                                <w:bCs/>
                                <w:sz w:val="32"/>
                                <w:szCs w:val="32"/>
                                <w:rtl/>
                              </w:rPr>
                              <w:t>إشارف/</w:t>
                            </w:r>
                          </w:p>
                          <w:p w:rsidR="00270850" w:rsidRDefault="00270850" w:rsidP="0020543F">
                            <w:pPr>
                              <w:spacing w:after="449" w:line="259" w:lineRule="auto"/>
                              <w:ind w:left="10" w:right="7" w:hanging="10"/>
                              <w:jc w:val="center"/>
                              <w:rPr>
                                <w:rFonts w:ascii="Sakkal Majalla" w:hAnsi="Sakkal Majalla" w:cs="Sakkal Majalla"/>
                                <w:sz w:val="32"/>
                                <w:szCs w:val="32"/>
                                <w:rtl/>
                              </w:rPr>
                            </w:pPr>
                            <w:r w:rsidRPr="005525F6">
                              <w:rPr>
                                <w:rFonts w:ascii="Sakkal Majalla" w:hAnsi="Sakkal Majalla" w:cs="Sakkal Majalla"/>
                                <w:b/>
                                <w:bCs/>
                                <w:sz w:val="32"/>
                                <w:szCs w:val="32"/>
                                <w:rtl/>
                              </w:rPr>
                              <w:t>د. الفيصل عبد الحميد محمد حسن د.فايز جارد</w:t>
                            </w:r>
                          </w:p>
                          <w:p w:rsidR="00270850" w:rsidRPr="005525F6" w:rsidRDefault="00270850" w:rsidP="0020543F">
                            <w:pPr>
                              <w:spacing w:after="449" w:line="259" w:lineRule="auto"/>
                              <w:ind w:left="10" w:right="7" w:hanging="10"/>
                              <w:jc w:val="center"/>
                              <w:rPr>
                                <w:rFonts w:ascii="Sakkal Majalla" w:hAnsi="Sakkal Majalla" w:cs="Sakkal Majalla"/>
                                <w:sz w:val="32"/>
                                <w:szCs w:val="32"/>
                              </w:rPr>
                            </w:pPr>
                            <w:r w:rsidRPr="005525F6">
                              <w:rPr>
                                <w:rFonts w:ascii="Sakkal Majalla" w:hAnsi="Sakkal Majalla" w:cs="Sakkal Majalla"/>
                                <w:b/>
                                <w:bCs/>
                                <w:sz w:val="32"/>
                                <w:szCs w:val="32"/>
                                <w:rtl/>
                              </w:rPr>
                              <w:t>العام الدارسي:</w:t>
                            </w:r>
                            <w:r w:rsidRPr="005525F6">
                              <w:rPr>
                                <w:rFonts w:ascii="Sakkal Majalla" w:hAnsi="Sakkal Majalla" w:cs="Sakkal Majalla"/>
                                <w:b/>
                                <w:bCs/>
                                <w:sz w:val="32"/>
                                <w:szCs w:val="32"/>
                              </w:rPr>
                              <w:t>2025</w:t>
                            </w:r>
                          </w:p>
                          <w:p w:rsidR="00270850" w:rsidRDefault="00270850">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75pt;margin-top:133.65pt;width:420pt;height:49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" filled="f" stroked="f" strokeweight=".5pt">
                <v:textbox>
                  <w:txbxContent>
                    <w:p w:rsidR="00270850" w:rsidRPr="005525F6" w:rsidRDefault="00270850" w:rsidP="0020543F">
                      <w:pPr>
                        <w:spacing w:after="0" w:line="442" w:lineRule="auto"/>
                        <w:ind w:left="0" w:right="-138" w:firstLine="0"/>
                        <w:jc w:val="center"/>
                        <w:rPr>
                          <w:rFonts w:ascii="Sakkal Majalla" w:hAnsi="Sakkal Majalla" w:cs="Sakkal Majalla"/>
                          <w:b/>
                          <w:bCs/>
                          <w:color w:val="C00000"/>
                          <w:sz w:val="32"/>
                          <w:szCs w:val="32"/>
                          <w:rtl/>
                        </w:rPr>
                      </w:pPr>
                      <w:r w:rsidRPr="005525F6">
                        <w:rPr>
                          <w:rFonts w:ascii="Sakkal Majalla" w:hAnsi="Sakkal Majalla" w:cs="Sakkal Majalla"/>
                          <w:b/>
                          <w:bCs/>
                          <w:color w:val="C00000"/>
                          <w:sz w:val="32"/>
                          <w:szCs w:val="32"/>
                          <w:rtl/>
                        </w:rPr>
                        <w:t>"أثر تبني مبادرات إدارة المشاريع على جاهزية قطاع التجزئة لمواكبة التحول الاقتصادي في المملكة العربية السعودية وفق رؤية 2030: دراسة تطبيقية"</w:t>
                      </w:r>
                    </w:p>
                    <w:p w:rsidR="00270850" w:rsidRPr="005525F6" w:rsidRDefault="00270850" w:rsidP="0020543F">
                      <w:pPr>
                        <w:spacing w:after="0" w:line="442" w:lineRule="auto"/>
                        <w:ind w:left="10" w:right="-138" w:hanging="10"/>
                        <w:jc w:val="center"/>
                        <w:rPr>
                          <w:rFonts w:ascii="Sakkal Majalla" w:hAnsi="Sakkal Majalla" w:cs="Sakkal Majalla"/>
                          <w:sz w:val="32"/>
                          <w:szCs w:val="32"/>
                        </w:rPr>
                      </w:pPr>
                      <w:r w:rsidRPr="005525F6">
                        <w:rPr>
                          <w:rFonts w:ascii="Sakkal Majalla" w:hAnsi="Sakkal Majalla" w:cs="Sakkal Majalla"/>
                          <w:b/>
                          <w:bCs/>
                          <w:sz w:val="32"/>
                          <w:szCs w:val="32"/>
                          <w:rtl/>
                        </w:rPr>
                        <w:t xml:space="preserve">إعداد الطالب / دانيه عدنان مهدلی </w:t>
                      </w:r>
                    </w:p>
                    <w:p w:rsidR="00270850" w:rsidRPr="005525F6" w:rsidRDefault="00270850" w:rsidP="0020543F">
                      <w:pPr>
                        <w:bidi w:val="0"/>
                        <w:spacing w:after="355" w:line="259" w:lineRule="auto"/>
                        <w:ind w:left="0" w:right="137" w:firstLine="0"/>
                        <w:jc w:val="center"/>
                        <w:rPr>
                          <w:rFonts w:ascii="Sakkal Majalla" w:hAnsi="Sakkal Majalla" w:cs="Sakkal Majalla"/>
                          <w:sz w:val="32"/>
                          <w:szCs w:val="32"/>
                        </w:rPr>
                      </w:pPr>
                      <w:r w:rsidRPr="005525F6">
                        <w:rPr>
                          <w:rFonts w:ascii="Sakkal Majalla" w:hAnsi="Sakkal Majalla" w:cs="Sakkal Majalla"/>
                          <w:b/>
                          <w:sz w:val="32"/>
                          <w:szCs w:val="32"/>
                        </w:rPr>
                        <w:t xml:space="preserve"> 251000113</w:t>
                      </w:r>
                    </w:p>
                    <w:p w:rsidR="00270850" w:rsidRPr="005525F6" w:rsidRDefault="00270850" w:rsidP="0020543F">
                      <w:pPr>
                        <w:bidi w:val="0"/>
                        <w:spacing w:after="355" w:line="259" w:lineRule="auto"/>
                        <w:ind w:left="0" w:right="190" w:firstLine="0"/>
                        <w:jc w:val="center"/>
                        <w:rPr>
                          <w:rFonts w:ascii="Sakkal Majalla" w:hAnsi="Sakkal Majalla" w:cs="Sakkal Majalla"/>
                          <w:sz w:val="32"/>
                          <w:szCs w:val="32"/>
                        </w:rPr>
                      </w:pPr>
                      <w:r w:rsidRPr="005525F6">
                        <w:rPr>
                          <w:rFonts w:ascii="Sakkal Majalla" w:hAnsi="Sakkal Majalla" w:cs="Sakkal Majalla"/>
                          <w:b/>
                          <w:sz w:val="32"/>
                          <w:szCs w:val="32"/>
                        </w:rPr>
                        <w:t xml:space="preserve"> </w:t>
                      </w:r>
                    </w:p>
                    <w:p w:rsidR="00270850" w:rsidRDefault="00270850" w:rsidP="0020543F">
                      <w:pPr>
                        <w:spacing w:after="449" w:line="259" w:lineRule="auto"/>
                        <w:ind w:left="10" w:right="7" w:hanging="10"/>
                        <w:jc w:val="center"/>
                        <w:rPr>
                          <w:rFonts w:ascii="Sakkal Majalla" w:hAnsi="Sakkal Majalla" w:cs="Sakkal Majalla"/>
                          <w:sz w:val="32"/>
                          <w:szCs w:val="32"/>
                          <w:rtl/>
                        </w:rPr>
                      </w:pPr>
                      <w:r w:rsidRPr="005525F6">
                        <w:rPr>
                          <w:rFonts w:ascii="Sakkal Majalla" w:hAnsi="Sakkal Majalla" w:cs="Sakkal Majalla"/>
                          <w:b/>
                          <w:bCs/>
                          <w:sz w:val="32"/>
                          <w:szCs w:val="32"/>
                          <w:rtl/>
                        </w:rPr>
                        <w:t>إشارف/</w:t>
                      </w:r>
                    </w:p>
                    <w:p w:rsidR="00270850" w:rsidRDefault="00270850" w:rsidP="0020543F">
                      <w:pPr>
                        <w:spacing w:after="449" w:line="259" w:lineRule="auto"/>
                        <w:ind w:left="10" w:right="7" w:hanging="10"/>
                        <w:jc w:val="center"/>
                        <w:rPr>
                          <w:rFonts w:ascii="Sakkal Majalla" w:hAnsi="Sakkal Majalla" w:cs="Sakkal Majalla"/>
                          <w:sz w:val="32"/>
                          <w:szCs w:val="32"/>
                          <w:rtl/>
                        </w:rPr>
                      </w:pPr>
                      <w:r w:rsidRPr="005525F6">
                        <w:rPr>
                          <w:rFonts w:ascii="Sakkal Majalla" w:hAnsi="Sakkal Majalla" w:cs="Sakkal Majalla"/>
                          <w:b/>
                          <w:bCs/>
                          <w:sz w:val="32"/>
                          <w:szCs w:val="32"/>
                          <w:rtl/>
                        </w:rPr>
                        <w:t>د. الفيصل عبد الحميد محمد حسن د.فايز جارد</w:t>
                      </w:r>
                    </w:p>
                    <w:p w:rsidR="00270850" w:rsidRPr="005525F6" w:rsidRDefault="00270850" w:rsidP="0020543F">
                      <w:pPr>
                        <w:spacing w:after="449" w:line="259" w:lineRule="auto"/>
                        <w:ind w:left="10" w:right="7" w:hanging="10"/>
                        <w:jc w:val="center"/>
                        <w:rPr>
                          <w:rFonts w:ascii="Sakkal Majalla" w:hAnsi="Sakkal Majalla" w:cs="Sakkal Majalla"/>
                          <w:sz w:val="32"/>
                          <w:szCs w:val="32"/>
                        </w:rPr>
                      </w:pPr>
                      <w:r w:rsidRPr="005525F6">
                        <w:rPr>
                          <w:rFonts w:ascii="Sakkal Majalla" w:hAnsi="Sakkal Majalla" w:cs="Sakkal Majalla"/>
                          <w:b/>
                          <w:bCs/>
                          <w:sz w:val="32"/>
                          <w:szCs w:val="32"/>
                          <w:rtl/>
                        </w:rPr>
                        <w:t>العام الدارسي:</w:t>
                      </w:r>
                      <w:r w:rsidRPr="005525F6">
                        <w:rPr>
                          <w:rFonts w:ascii="Sakkal Majalla" w:hAnsi="Sakkal Majalla" w:cs="Sakkal Majalla"/>
                          <w:b/>
                          <w:bCs/>
                          <w:sz w:val="32"/>
                          <w:szCs w:val="32"/>
                        </w:rPr>
                        <w:t>2025</w:t>
                      </w:r>
                    </w:p>
                    <w:p w:rsidR="00270850" w:rsidRDefault="00270850">
                      <w:pPr>
                        <w:ind w:left="0"/>
                      </w:pPr>
                    </w:p>
                  </w:txbxContent>
                </v:textbox>
                <w10:wrap anchorx="margin"/>
              </v:shape>
            </w:pict>
          </mc:Fallback>
        </mc:AlternateContent>
      </w:r>
      <w:r>
        <w:rPr>
          <w:noProof/>
        </w:rPr>
        <w:drawing>
          <wp:anchor distT="0" distB="0" distL="114300" distR="114300" simplePos="0" relativeHeight="251658240" behindDoc="1" locked="0" layoutInCell="1" allowOverlap="0" wp14:anchorId="56CD7DB8" wp14:editId="245CE412">
            <wp:simplePos x="0" y="0"/>
            <wp:positionH relativeFrom="column">
              <wp:posOffset>-551180</wp:posOffset>
            </wp:positionH>
            <wp:positionV relativeFrom="paragraph">
              <wp:posOffset>-636270</wp:posOffset>
            </wp:positionV>
            <wp:extent cx="1598295" cy="1019175"/>
            <wp:effectExtent l="0" t="0" r="1905" b="9525"/>
            <wp:wrapNone/>
            <wp:docPr id="142" name="Picture 142"/>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a:blip r:embed="rId8"/>
                    <a:stretch>
                      <a:fillRect/>
                    </a:stretch>
                  </pic:blipFill>
                  <pic:spPr>
                    <a:xfrm>
                      <a:off x="0" y="0"/>
                      <a:ext cx="1598295" cy="1019175"/>
                    </a:xfrm>
                    <a:prstGeom prst="rect">
                      <a:avLst/>
                    </a:prstGeom>
                  </pic:spPr>
                </pic:pic>
              </a:graphicData>
            </a:graphic>
            <wp14:sizeRelH relativeFrom="margin">
              <wp14:pctWidth>0</wp14:pctWidth>
            </wp14:sizeRelH>
            <wp14:sizeRelV relativeFrom="margin">
              <wp14:pctHeight>0</wp14:pctHeight>
            </wp14:sizeRelV>
          </wp:anchor>
        </w:drawing>
      </w:r>
      <w:r w:rsidR="005525F6">
        <w:rPr>
          <w:noProof/>
        </w:rPr>
        <mc:AlternateContent>
          <mc:Choice Requires="wps">
            <w:drawing>
              <wp:anchor distT="0" distB="0" distL="114300" distR="114300" simplePos="0" relativeHeight="251660288" behindDoc="0" locked="0" layoutInCell="1" allowOverlap="1" wp14:anchorId="61180773" wp14:editId="71E2AF00">
                <wp:simplePos x="0" y="0"/>
                <wp:positionH relativeFrom="column">
                  <wp:posOffset>3916045</wp:posOffset>
                </wp:positionH>
                <wp:positionV relativeFrom="paragraph">
                  <wp:posOffset>-531495</wp:posOffset>
                </wp:positionV>
                <wp:extent cx="2362200" cy="1228725"/>
                <wp:effectExtent l="0" t="0" r="0" b="0"/>
                <wp:wrapNone/>
                <wp:docPr id="1" name="Text Box 1"/>
                <wp:cNvGraphicFramePr/>
                <a:graphic xmlns:a="http://schemas.openxmlformats.org/drawingml/2006/main">
                  <a:graphicData uri="http://schemas.microsoft.com/office/word/2010/wordprocessingShape">
                    <wps:wsp>
                      <wps:cNvSpPr txBox="1"/>
                      <wps:spPr>
                        <a:xfrm>
                          <a:off x="0" y="0"/>
                          <a:ext cx="2362200" cy="1228725"/>
                        </a:xfrm>
                        <a:prstGeom prst="rect">
                          <a:avLst/>
                        </a:prstGeom>
                        <a:noFill/>
                        <a:ln w="6350">
                          <a:noFill/>
                        </a:ln>
                      </wps:spPr>
                      <wps:txbx>
                        <w:txbxContent>
                          <w:p w:rsidR="00270850" w:rsidRPr="0020543F" w:rsidRDefault="00270850" w:rsidP="0020543F">
                            <w:pPr>
                              <w:spacing w:after="0" w:line="240" w:lineRule="auto"/>
                              <w:ind w:left="0"/>
                              <w:jc w:val="center"/>
                              <w:rPr>
                                <w:rFonts w:ascii="Sakkal Majalla" w:hAnsi="Sakkal Majalla" w:cs="Sakkal Majalla"/>
                                <w:sz w:val="40"/>
                                <w:szCs w:val="32"/>
                              </w:rPr>
                            </w:pPr>
                            <w:r w:rsidRPr="0020543F">
                              <w:rPr>
                                <w:rFonts w:ascii="Sakkal Majalla" w:hAnsi="Sakkal Majalla" w:cs="Sakkal Majalla"/>
                                <w:sz w:val="40"/>
                                <w:szCs w:val="32"/>
                                <w:rtl/>
                              </w:rPr>
                              <w:t>تخصص إدارة المشاريع</w:t>
                            </w:r>
                          </w:p>
                          <w:p w:rsidR="00270850" w:rsidRPr="0020543F" w:rsidRDefault="00270850" w:rsidP="0020543F">
                            <w:pPr>
                              <w:spacing w:after="0" w:line="240" w:lineRule="auto"/>
                              <w:ind w:left="0"/>
                              <w:jc w:val="center"/>
                              <w:rPr>
                                <w:rFonts w:ascii="Sakkal Majalla" w:hAnsi="Sakkal Majalla" w:cs="Sakkal Majalla"/>
                                <w:sz w:val="40"/>
                                <w:szCs w:val="32"/>
                                <w:rtl/>
                              </w:rPr>
                            </w:pPr>
                            <w:r w:rsidRPr="0020543F">
                              <w:rPr>
                                <w:rFonts w:ascii="Sakkal Majalla" w:hAnsi="Sakkal Majalla" w:cs="Sakkal Majalla"/>
                                <w:sz w:val="40"/>
                                <w:szCs w:val="32"/>
                                <w:rtl/>
                              </w:rPr>
                              <w:t>جامعة ميدأوشن</w:t>
                            </w:r>
                          </w:p>
                          <w:p w:rsidR="00270850" w:rsidRPr="0020543F" w:rsidRDefault="00270850" w:rsidP="0020543F">
                            <w:pPr>
                              <w:spacing w:after="0" w:line="240" w:lineRule="auto"/>
                              <w:ind w:left="0"/>
                              <w:jc w:val="center"/>
                              <w:rPr>
                                <w:rFonts w:ascii="Sakkal Majalla" w:hAnsi="Sakkal Majalla" w:cs="Sakkal Majalla"/>
                                <w:sz w:val="40"/>
                                <w:szCs w:val="32"/>
                                <w:rtl/>
                              </w:rPr>
                            </w:pPr>
                            <w:r w:rsidRPr="0020543F">
                              <w:rPr>
                                <w:rFonts w:ascii="Sakkal Majalla" w:hAnsi="Sakkal Majalla" w:cs="Sakkal Majalla"/>
                                <w:sz w:val="40"/>
                                <w:szCs w:val="32"/>
                                <w:rtl/>
                              </w:rPr>
                              <w:t>كلية الإدارة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180773" id="Text Box 1" o:spid="_x0000_s1027" type="#_x0000_t202" style="position:absolute;left:0;text-align:left;margin-left:308.35pt;margin-top:-41.85pt;width:186pt;height:96.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" filled="f" stroked="f" strokeweight=".5pt">
                <v:textbox>
                  <w:txbxContent>
                    <w:p w:rsidR="00270850" w:rsidRPr="0020543F" w:rsidRDefault="00270850" w:rsidP="0020543F">
                      <w:pPr>
                        <w:spacing w:after="0" w:line="240" w:lineRule="auto"/>
                        <w:ind w:left="0"/>
                        <w:jc w:val="center"/>
                        <w:rPr>
                          <w:rFonts w:ascii="Sakkal Majalla" w:hAnsi="Sakkal Majalla" w:cs="Sakkal Majalla"/>
                          <w:sz w:val="40"/>
                          <w:szCs w:val="32"/>
                        </w:rPr>
                      </w:pPr>
                      <w:r w:rsidRPr="0020543F">
                        <w:rPr>
                          <w:rFonts w:ascii="Sakkal Majalla" w:hAnsi="Sakkal Majalla" w:cs="Sakkal Majalla"/>
                          <w:sz w:val="40"/>
                          <w:szCs w:val="32"/>
                          <w:rtl/>
                        </w:rPr>
                        <w:t>تخصص إدارة المشاريع</w:t>
                      </w:r>
                    </w:p>
                    <w:p w:rsidR="00270850" w:rsidRPr="0020543F" w:rsidRDefault="00270850" w:rsidP="0020543F">
                      <w:pPr>
                        <w:spacing w:after="0" w:line="240" w:lineRule="auto"/>
                        <w:ind w:left="0"/>
                        <w:jc w:val="center"/>
                        <w:rPr>
                          <w:rFonts w:ascii="Sakkal Majalla" w:hAnsi="Sakkal Majalla" w:cs="Sakkal Majalla"/>
                          <w:sz w:val="40"/>
                          <w:szCs w:val="32"/>
                          <w:rtl/>
                        </w:rPr>
                      </w:pPr>
                      <w:r w:rsidRPr="0020543F">
                        <w:rPr>
                          <w:rFonts w:ascii="Sakkal Majalla" w:hAnsi="Sakkal Majalla" w:cs="Sakkal Majalla"/>
                          <w:sz w:val="40"/>
                          <w:szCs w:val="32"/>
                          <w:rtl/>
                        </w:rPr>
                        <w:t>جامعة ميدأوشن</w:t>
                      </w:r>
                    </w:p>
                    <w:p w:rsidR="00270850" w:rsidRPr="0020543F" w:rsidRDefault="00270850" w:rsidP="0020543F">
                      <w:pPr>
                        <w:spacing w:after="0" w:line="240" w:lineRule="auto"/>
                        <w:ind w:left="0"/>
                        <w:jc w:val="center"/>
                        <w:rPr>
                          <w:rFonts w:ascii="Sakkal Majalla" w:hAnsi="Sakkal Majalla" w:cs="Sakkal Majalla"/>
                          <w:sz w:val="40"/>
                          <w:szCs w:val="32"/>
                          <w:rtl/>
                        </w:rPr>
                      </w:pPr>
                      <w:r w:rsidRPr="0020543F">
                        <w:rPr>
                          <w:rFonts w:ascii="Sakkal Majalla" w:hAnsi="Sakkal Majalla" w:cs="Sakkal Majalla"/>
                          <w:sz w:val="40"/>
                          <w:szCs w:val="32"/>
                          <w:rtl/>
                        </w:rPr>
                        <w:t>كلية الإدارة</w:t>
                      </w:r>
                    </w:p>
                  </w:txbxContent>
                </v:textbox>
              </v:shape>
            </w:pict>
          </mc:Fallback>
        </mc:AlternateContent>
      </w:r>
    </w:p>
    <w:sdt>
      <w:sdtPr>
        <w:rPr>
          <w:rtl/>
        </w:rPr>
        <w:id w:val="-225843358"/>
        <w:docPartObj>
          <w:docPartGallery w:val="Table of Contents"/>
          <w:docPartUnique/>
        </w:docPartObj>
      </w:sdtPr>
      <w:sdtEndPr>
        <w:rPr>
          <w:rFonts w:ascii="Simplified Arabic" w:eastAsia="Simplified Arabic" w:hAnsi="Simplified Arabic" w:cs="Simplified Arabic"/>
          <w:b/>
          <w:bCs/>
          <w:noProof/>
          <w:color w:val="000000"/>
          <w:sz w:val="28"/>
          <w:szCs w:val="22"/>
        </w:rPr>
      </w:sdtEndPr>
      <w:sdtContent>
        <w:p w:rsidR="00795130" w:rsidRPr="00270850" w:rsidRDefault="00270850" w:rsidP="00270850">
          <w:pPr>
            <w:pStyle w:val="TOCHeading"/>
            <w:bidi/>
            <w:jc w:val="center"/>
            <w:rPr>
              <w:rFonts w:ascii="Sakkal Majalla" w:hAnsi="Sakkal Majalla" w:cs="Sakkal Majalla"/>
              <w:b/>
              <w:bCs/>
              <w:color w:val="000000" w:themeColor="text1"/>
              <w:sz w:val="36"/>
              <w:szCs w:val="36"/>
              <w:rtl/>
              <w:lang w:bidi="ar-EG"/>
            </w:rPr>
          </w:pPr>
          <w:r w:rsidRPr="00270850">
            <w:rPr>
              <w:rFonts w:ascii="Sakkal Majalla" w:hAnsi="Sakkal Majalla" w:cs="Sakkal Majalla"/>
              <w:b/>
              <w:bCs/>
              <w:color w:val="000000" w:themeColor="text1"/>
              <w:sz w:val="36"/>
              <w:szCs w:val="36"/>
              <w:rtl/>
              <w:lang w:bidi="ar-EG"/>
            </w:rPr>
            <w:t>الفهرس</w:t>
          </w:r>
        </w:p>
        <w:p w:rsidR="00270850" w:rsidRDefault="00795130">
          <w:pPr>
            <w:pStyle w:val="TOC1"/>
            <w:tabs>
              <w:tab w:val="right" w:leader="dot" w:pos="8829"/>
            </w:tabs>
            <w:rPr>
              <w:noProof/>
              <w:rtl/>
            </w:rPr>
          </w:pPr>
          <w:r>
            <w:fldChar w:fldCharType="begin"/>
          </w:r>
          <w:r>
            <w:instrText xml:space="preserve"> TOC \o "1-3" \h \z \u </w:instrText>
          </w:r>
          <w:r>
            <w:fldChar w:fldCharType="separate"/>
          </w:r>
          <w:hyperlink w:anchor="_Toc208064595" w:history="1">
            <w:r w:rsidR="00270850" w:rsidRPr="00524E4E">
              <w:rPr>
                <w:rStyle w:val="Hyperlink"/>
                <w:rFonts w:ascii="Sakkal Majalla" w:eastAsiaTheme="minorHAnsi" w:hAnsi="Sakkal Majalla" w:cs="Sakkal Majalla"/>
                <w:bCs/>
                <w:noProof/>
                <w:rtl/>
              </w:rPr>
              <w:t>مقدمة</w:t>
            </w:r>
            <w:r w:rsidR="00270850">
              <w:rPr>
                <w:noProof/>
                <w:webHidden/>
                <w:rtl/>
              </w:rPr>
              <w:tab/>
            </w:r>
            <w:r w:rsidR="00270850">
              <w:rPr>
                <w:noProof/>
                <w:webHidden/>
                <w:rtl/>
              </w:rPr>
              <w:fldChar w:fldCharType="begin"/>
            </w:r>
            <w:r w:rsidR="00270850">
              <w:rPr>
                <w:noProof/>
                <w:webHidden/>
                <w:rtl/>
              </w:rPr>
              <w:instrText xml:space="preserve"> </w:instrText>
            </w:r>
            <w:r w:rsidR="00270850">
              <w:rPr>
                <w:noProof/>
                <w:webHidden/>
              </w:rPr>
              <w:instrText xml:space="preserve">PAGEREF </w:instrText>
            </w:r>
            <w:r w:rsidR="00270850">
              <w:rPr>
                <w:noProof/>
                <w:webHidden/>
                <w:rtl/>
              </w:rPr>
              <w:instrText>_</w:instrText>
            </w:r>
            <w:r w:rsidR="00270850">
              <w:rPr>
                <w:noProof/>
                <w:webHidden/>
              </w:rPr>
              <w:instrText>Toc208064595 \h</w:instrText>
            </w:r>
            <w:r w:rsidR="00270850">
              <w:rPr>
                <w:noProof/>
                <w:webHidden/>
                <w:rtl/>
              </w:rPr>
              <w:instrText xml:space="preserve"> </w:instrText>
            </w:r>
            <w:r w:rsidR="00270850">
              <w:rPr>
                <w:noProof/>
                <w:webHidden/>
                <w:rtl/>
              </w:rPr>
            </w:r>
            <w:r w:rsidR="00270850">
              <w:rPr>
                <w:noProof/>
                <w:webHidden/>
                <w:rtl/>
              </w:rPr>
              <w:fldChar w:fldCharType="separate"/>
            </w:r>
            <w:r w:rsidR="00E232E5">
              <w:rPr>
                <w:noProof/>
                <w:webHidden/>
                <w:rtl/>
              </w:rPr>
              <w:t>3</w:t>
            </w:r>
            <w:r w:rsidR="00270850">
              <w:rPr>
                <w:noProof/>
                <w:webHidden/>
                <w:rtl/>
              </w:rPr>
              <w:fldChar w:fldCharType="end"/>
            </w:r>
          </w:hyperlink>
        </w:p>
        <w:p w:rsidR="00270850" w:rsidRDefault="00270850">
          <w:pPr>
            <w:pStyle w:val="TOC1"/>
            <w:tabs>
              <w:tab w:val="right" w:leader="dot" w:pos="8829"/>
            </w:tabs>
            <w:rPr>
              <w:noProof/>
              <w:rtl/>
            </w:rPr>
          </w:pPr>
          <w:hyperlink w:anchor="_Toc208064596" w:history="1">
            <w:r w:rsidRPr="00524E4E">
              <w:rPr>
                <w:rStyle w:val="Hyperlink"/>
                <w:rFonts w:ascii="Sakkal Majalla" w:eastAsiaTheme="minorHAnsi" w:hAnsi="Sakkal Majalla" w:cs="Sakkal Majalla"/>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Toc208064596 \h</w:instrText>
            </w:r>
            <w:r>
              <w:rPr>
                <w:noProof/>
                <w:webHidden/>
                <w:rtl/>
              </w:rPr>
              <w:instrText xml:space="preserve"> </w:instrText>
            </w:r>
            <w:r>
              <w:rPr>
                <w:noProof/>
                <w:webHidden/>
                <w:rtl/>
              </w:rPr>
            </w:r>
            <w:r>
              <w:rPr>
                <w:noProof/>
                <w:webHidden/>
                <w:rtl/>
              </w:rPr>
              <w:fldChar w:fldCharType="separate"/>
            </w:r>
            <w:r w:rsidR="00E232E5">
              <w:rPr>
                <w:noProof/>
                <w:webHidden/>
                <w:rtl/>
              </w:rPr>
              <w:t>4</w:t>
            </w:r>
            <w:r>
              <w:rPr>
                <w:noProof/>
                <w:webHidden/>
                <w:rtl/>
              </w:rPr>
              <w:fldChar w:fldCharType="end"/>
            </w:r>
          </w:hyperlink>
        </w:p>
        <w:p w:rsidR="00270850" w:rsidRDefault="00270850">
          <w:pPr>
            <w:pStyle w:val="TOC1"/>
            <w:tabs>
              <w:tab w:val="right" w:leader="dot" w:pos="8829"/>
            </w:tabs>
            <w:rPr>
              <w:noProof/>
              <w:rtl/>
            </w:rPr>
          </w:pPr>
          <w:hyperlink w:anchor="_Toc208064597" w:history="1">
            <w:r w:rsidRPr="00524E4E">
              <w:rPr>
                <w:rStyle w:val="Hyperlink"/>
                <w:rFonts w:ascii="Sakkal Majalla" w:eastAsiaTheme="minorHAnsi" w:hAnsi="Sakkal Majalla" w:cs="Sakkal Majalla"/>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Toc208064597 \h</w:instrText>
            </w:r>
            <w:r>
              <w:rPr>
                <w:noProof/>
                <w:webHidden/>
                <w:rtl/>
              </w:rPr>
              <w:instrText xml:space="preserve"> </w:instrText>
            </w:r>
            <w:r>
              <w:rPr>
                <w:noProof/>
                <w:webHidden/>
                <w:rtl/>
              </w:rPr>
            </w:r>
            <w:r>
              <w:rPr>
                <w:noProof/>
                <w:webHidden/>
                <w:rtl/>
              </w:rPr>
              <w:fldChar w:fldCharType="separate"/>
            </w:r>
            <w:r w:rsidR="00E232E5">
              <w:rPr>
                <w:noProof/>
                <w:webHidden/>
                <w:rtl/>
              </w:rPr>
              <w:t>6</w:t>
            </w:r>
            <w:r>
              <w:rPr>
                <w:noProof/>
                <w:webHidden/>
                <w:rtl/>
              </w:rPr>
              <w:fldChar w:fldCharType="end"/>
            </w:r>
          </w:hyperlink>
        </w:p>
        <w:p w:rsidR="00270850" w:rsidRDefault="00270850">
          <w:pPr>
            <w:pStyle w:val="TOC1"/>
            <w:tabs>
              <w:tab w:val="right" w:leader="dot" w:pos="8829"/>
            </w:tabs>
            <w:rPr>
              <w:noProof/>
              <w:rtl/>
            </w:rPr>
          </w:pPr>
          <w:hyperlink w:anchor="_Toc208064598" w:history="1">
            <w:r w:rsidRPr="00524E4E">
              <w:rPr>
                <w:rStyle w:val="Hyperlink"/>
                <w:rFonts w:ascii="Sakkal Majalla" w:eastAsiaTheme="minorHAnsi" w:hAnsi="Sakkal Majalla" w:cs="Sakkal Majalla"/>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Toc208064598 \h</w:instrText>
            </w:r>
            <w:r>
              <w:rPr>
                <w:noProof/>
                <w:webHidden/>
                <w:rtl/>
              </w:rPr>
              <w:instrText xml:space="preserve"> </w:instrText>
            </w:r>
            <w:r>
              <w:rPr>
                <w:noProof/>
                <w:webHidden/>
                <w:rtl/>
              </w:rPr>
            </w:r>
            <w:r>
              <w:rPr>
                <w:noProof/>
                <w:webHidden/>
                <w:rtl/>
              </w:rPr>
              <w:fldChar w:fldCharType="separate"/>
            </w:r>
            <w:r w:rsidR="00E232E5">
              <w:rPr>
                <w:noProof/>
                <w:webHidden/>
                <w:rtl/>
              </w:rPr>
              <w:t>7</w:t>
            </w:r>
            <w:r>
              <w:rPr>
                <w:noProof/>
                <w:webHidden/>
                <w:rtl/>
              </w:rPr>
              <w:fldChar w:fldCharType="end"/>
            </w:r>
          </w:hyperlink>
        </w:p>
        <w:p w:rsidR="00270850" w:rsidRDefault="00270850">
          <w:pPr>
            <w:pStyle w:val="TOC1"/>
            <w:tabs>
              <w:tab w:val="right" w:leader="dot" w:pos="8829"/>
            </w:tabs>
            <w:rPr>
              <w:noProof/>
              <w:rtl/>
            </w:rPr>
          </w:pPr>
          <w:hyperlink w:anchor="_Toc208064599" w:history="1">
            <w:r w:rsidRPr="00524E4E">
              <w:rPr>
                <w:rStyle w:val="Hyperlink"/>
                <w:rFonts w:ascii="Sakkal Majalla" w:eastAsiaTheme="minorHAnsi" w:hAnsi="Sakkal Majalla" w:cs="Sakkal Majalla"/>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Toc208064599 \h</w:instrText>
            </w:r>
            <w:r>
              <w:rPr>
                <w:noProof/>
                <w:webHidden/>
                <w:rtl/>
              </w:rPr>
              <w:instrText xml:space="preserve"> </w:instrText>
            </w:r>
            <w:r>
              <w:rPr>
                <w:noProof/>
                <w:webHidden/>
                <w:rtl/>
              </w:rPr>
            </w:r>
            <w:r>
              <w:rPr>
                <w:noProof/>
                <w:webHidden/>
                <w:rtl/>
              </w:rPr>
              <w:fldChar w:fldCharType="separate"/>
            </w:r>
            <w:r w:rsidR="00E232E5">
              <w:rPr>
                <w:noProof/>
                <w:webHidden/>
                <w:rtl/>
              </w:rPr>
              <w:t>8</w:t>
            </w:r>
            <w:r>
              <w:rPr>
                <w:noProof/>
                <w:webHidden/>
                <w:rtl/>
              </w:rPr>
              <w:fldChar w:fldCharType="end"/>
            </w:r>
          </w:hyperlink>
        </w:p>
        <w:p w:rsidR="00270850" w:rsidRDefault="00270850">
          <w:pPr>
            <w:pStyle w:val="TOC1"/>
            <w:tabs>
              <w:tab w:val="right" w:leader="dot" w:pos="8829"/>
            </w:tabs>
            <w:rPr>
              <w:noProof/>
              <w:rtl/>
            </w:rPr>
          </w:pPr>
          <w:hyperlink w:anchor="_Toc208064600" w:history="1">
            <w:r w:rsidRPr="00524E4E">
              <w:rPr>
                <w:rStyle w:val="Hyperlink"/>
                <w:rFonts w:ascii="Sakkal Majalla" w:eastAsiaTheme="minorHAnsi" w:hAnsi="Sakkal Majalla" w:cs="Sakkal Majalla"/>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Toc208064600 \h</w:instrText>
            </w:r>
            <w:r>
              <w:rPr>
                <w:noProof/>
                <w:webHidden/>
                <w:rtl/>
              </w:rPr>
              <w:instrText xml:space="preserve"> </w:instrText>
            </w:r>
            <w:r>
              <w:rPr>
                <w:noProof/>
                <w:webHidden/>
                <w:rtl/>
              </w:rPr>
            </w:r>
            <w:r>
              <w:rPr>
                <w:noProof/>
                <w:webHidden/>
                <w:rtl/>
              </w:rPr>
              <w:fldChar w:fldCharType="separate"/>
            </w:r>
            <w:r w:rsidR="00E232E5">
              <w:rPr>
                <w:noProof/>
                <w:webHidden/>
                <w:rtl/>
              </w:rPr>
              <w:t>9</w:t>
            </w:r>
            <w:r>
              <w:rPr>
                <w:noProof/>
                <w:webHidden/>
                <w:rtl/>
              </w:rPr>
              <w:fldChar w:fldCharType="end"/>
            </w:r>
          </w:hyperlink>
        </w:p>
        <w:p w:rsidR="00270850" w:rsidRDefault="00270850">
          <w:pPr>
            <w:pStyle w:val="TOC1"/>
            <w:tabs>
              <w:tab w:val="right" w:leader="dot" w:pos="8829"/>
            </w:tabs>
            <w:rPr>
              <w:noProof/>
              <w:rtl/>
            </w:rPr>
          </w:pPr>
          <w:hyperlink w:anchor="_Toc208064601" w:history="1">
            <w:r w:rsidRPr="00524E4E">
              <w:rPr>
                <w:rStyle w:val="Hyperlink"/>
                <w:rFonts w:ascii="Sakkal Majalla" w:eastAsiaTheme="minorHAnsi" w:hAnsi="Sakkal Majalla" w:cs="Sakkal Majalla"/>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Toc208064601 \h</w:instrText>
            </w:r>
            <w:r>
              <w:rPr>
                <w:noProof/>
                <w:webHidden/>
                <w:rtl/>
              </w:rPr>
              <w:instrText xml:space="preserve"> </w:instrText>
            </w:r>
            <w:r>
              <w:rPr>
                <w:noProof/>
                <w:webHidden/>
                <w:rtl/>
              </w:rPr>
            </w:r>
            <w:r>
              <w:rPr>
                <w:noProof/>
                <w:webHidden/>
                <w:rtl/>
              </w:rPr>
              <w:fldChar w:fldCharType="separate"/>
            </w:r>
            <w:r w:rsidR="00E232E5">
              <w:rPr>
                <w:noProof/>
                <w:webHidden/>
                <w:rtl/>
              </w:rPr>
              <w:t>10</w:t>
            </w:r>
            <w:r>
              <w:rPr>
                <w:noProof/>
                <w:webHidden/>
                <w:rtl/>
              </w:rPr>
              <w:fldChar w:fldCharType="end"/>
            </w:r>
          </w:hyperlink>
        </w:p>
        <w:p w:rsidR="00270850" w:rsidRDefault="00270850">
          <w:pPr>
            <w:pStyle w:val="TOC1"/>
            <w:tabs>
              <w:tab w:val="right" w:leader="dot" w:pos="8829"/>
            </w:tabs>
            <w:rPr>
              <w:noProof/>
              <w:rtl/>
            </w:rPr>
          </w:pPr>
          <w:hyperlink w:anchor="_Toc208064602" w:history="1">
            <w:r w:rsidRPr="00524E4E">
              <w:rPr>
                <w:rStyle w:val="Hyperlink"/>
                <w:rFonts w:ascii="Sakkal Majalla" w:eastAsiaTheme="minorHAnsi" w:hAnsi="Sakkal Majalla" w:cs="Sakkal Majalla"/>
                <w:bCs/>
                <w:noProof/>
                <w:rtl/>
              </w:rPr>
              <w:t>الفجوة البحثية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Toc208064602 \h</w:instrText>
            </w:r>
            <w:r>
              <w:rPr>
                <w:noProof/>
                <w:webHidden/>
                <w:rtl/>
              </w:rPr>
              <w:instrText xml:space="preserve"> </w:instrText>
            </w:r>
            <w:r>
              <w:rPr>
                <w:noProof/>
                <w:webHidden/>
                <w:rtl/>
              </w:rPr>
            </w:r>
            <w:r>
              <w:rPr>
                <w:noProof/>
                <w:webHidden/>
                <w:rtl/>
              </w:rPr>
              <w:fldChar w:fldCharType="separate"/>
            </w:r>
            <w:r w:rsidR="00E232E5">
              <w:rPr>
                <w:noProof/>
                <w:webHidden/>
                <w:rtl/>
              </w:rPr>
              <w:t>16</w:t>
            </w:r>
            <w:r>
              <w:rPr>
                <w:noProof/>
                <w:webHidden/>
                <w:rtl/>
              </w:rPr>
              <w:fldChar w:fldCharType="end"/>
            </w:r>
          </w:hyperlink>
        </w:p>
        <w:p w:rsidR="00270850" w:rsidRDefault="00270850">
          <w:pPr>
            <w:pStyle w:val="TOC1"/>
            <w:tabs>
              <w:tab w:val="right" w:leader="dot" w:pos="8829"/>
            </w:tabs>
            <w:rPr>
              <w:noProof/>
              <w:rtl/>
            </w:rPr>
          </w:pPr>
          <w:hyperlink w:anchor="_Toc208064603" w:history="1">
            <w:r w:rsidRPr="00524E4E">
              <w:rPr>
                <w:rStyle w:val="Hyperlink"/>
                <w:rFonts w:ascii="Sakkal Majalla" w:eastAsiaTheme="minorHAnsi" w:hAnsi="Sakkal Majalla" w:cs="Sakkal Majalla"/>
                <w:bCs/>
                <w:noProof/>
                <w:rtl/>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Toc208064603 \h</w:instrText>
            </w:r>
            <w:r>
              <w:rPr>
                <w:noProof/>
                <w:webHidden/>
                <w:rtl/>
              </w:rPr>
              <w:instrText xml:space="preserve"> </w:instrText>
            </w:r>
            <w:r>
              <w:rPr>
                <w:noProof/>
                <w:webHidden/>
                <w:rtl/>
              </w:rPr>
            </w:r>
            <w:r>
              <w:rPr>
                <w:noProof/>
                <w:webHidden/>
                <w:rtl/>
              </w:rPr>
              <w:fldChar w:fldCharType="separate"/>
            </w:r>
            <w:r w:rsidR="00E232E5">
              <w:rPr>
                <w:noProof/>
                <w:webHidden/>
                <w:rtl/>
              </w:rPr>
              <w:t>18</w:t>
            </w:r>
            <w:r>
              <w:rPr>
                <w:noProof/>
                <w:webHidden/>
                <w:rtl/>
              </w:rPr>
              <w:fldChar w:fldCharType="end"/>
            </w:r>
          </w:hyperlink>
        </w:p>
        <w:p w:rsidR="00270850" w:rsidRDefault="00270850">
          <w:pPr>
            <w:pStyle w:val="TOC1"/>
            <w:tabs>
              <w:tab w:val="right" w:leader="dot" w:pos="8829"/>
            </w:tabs>
            <w:rPr>
              <w:noProof/>
              <w:rtl/>
            </w:rPr>
          </w:pPr>
          <w:hyperlink w:anchor="_Toc208064604" w:history="1">
            <w:r w:rsidRPr="00524E4E">
              <w:rPr>
                <w:rStyle w:val="Hyperlink"/>
                <w:rFonts w:ascii="Sakkal Majalla" w:eastAsiaTheme="minorHAnsi" w:hAnsi="Sakkal Majalla" w:cs="Sakkal Majalla"/>
                <w:bCs/>
                <w:noProof/>
                <w:rtl/>
              </w:rPr>
              <w:t>مجتمع وعينة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Toc208064604 \h</w:instrText>
            </w:r>
            <w:r>
              <w:rPr>
                <w:noProof/>
                <w:webHidden/>
                <w:rtl/>
              </w:rPr>
              <w:instrText xml:space="preserve"> </w:instrText>
            </w:r>
            <w:r>
              <w:rPr>
                <w:noProof/>
                <w:webHidden/>
                <w:rtl/>
              </w:rPr>
            </w:r>
            <w:r>
              <w:rPr>
                <w:noProof/>
                <w:webHidden/>
                <w:rtl/>
              </w:rPr>
              <w:fldChar w:fldCharType="separate"/>
            </w:r>
            <w:r w:rsidR="00E232E5">
              <w:rPr>
                <w:noProof/>
                <w:webHidden/>
                <w:rtl/>
              </w:rPr>
              <w:t>20</w:t>
            </w:r>
            <w:r>
              <w:rPr>
                <w:noProof/>
                <w:webHidden/>
                <w:rtl/>
              </w:rPr>
              <w:fldChar w:fldCharType="end"/>
            </w:r>
          </w:hyperlink>
        </w:p>
        <w:p w:rsidR="00270850" w:rsidRDefault="00270850">
          <w:pPr>
            <w:pStyle w:val="TOC1"/>
            <w:tabs>
              <w:tab w:val="right" w:leader="dot" w:pos="8829"/>
            </w:tabs>
            <w:rPr>
              <w:noProof/>
              <w:rtl/>
            </w:rPr>
          </w:pPr>
          <w:hyperlink w:anchor="_Toc208064605" w:history="1">
            <w:r w:rsidRPr="00524E4E">
              <w:rPr>
                <w:rStyle w:val="Hyperlink"/>
                <w:rFonts w:ascii="Sakkal Majalla" w:eastAsiaTheme="minorHAnsi" w:hAnsi="Sakkal Majalla" w:cs="Sakkal Majalla"/>
                <w:bCs/>
                <w:noProof/>
                <w:rtl/>
              </w:rPr>
              <w:t>مصادر جمع البيانات</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Toc208064605 \h</w:instrText>
            </w:r>
            <w:r>
              <w:rPr>
                <w:noProof/>
                <w:webHidden/>
                <w:rtl/>
              </w:rPr>
              <w:instrText xml:space="preserve"> </w:instrText>
            </w:r>
            <w:r>
              <w:rPr>
                <w:noProof/>
                <w:webHidden/>
                <w:rtl/>
              </w:rPr>
            </w:r>
            <w:r>
              <w:rPr>
                <w:noProof/>
                <w:webHidden/>
                <w:rtl/>
              </w:rPr>
              <w:fldChar w:fldCharType="separate"/>
            </w:r>
            <w:r w:rsidR="00E232E5">
              <w:rPr>
                <w:noProof/>
                <w:webHidden/>
                <w:rtl/>
              </w:rPr>
              <w:t>21</w:t>
            </w:r>
            <w:r>
              <w:rPr>
                <w:noProof/>
                <w:webHidden/>
                <w:rtl/>
              </w:rPr>
              <w:fldChar w:fldCharType="end"/>
            </w:r>
          </w:hyperlink>
        </w:p>
        <w:p w:rsidR="00270850" w:rsidRDefault="00270850">
          <w:pPr>
            <w:pStyle w:val="TOC1"/>
            <w:tabs>
              <w:tab w:val="right" w:leader="dot" w:pos="8829"/>
            </w:tabs>
            <w:rPr>
              <w:noProof/>
              <w:rtl/>
            </w:rPr>
          </w:pPr>
          <w:hyperlink w:anchor="_Toc208064606" w:history="1">
            <w:r w:rsidRPr="00524E4E">
              <w:rPr>
                <w:rStyle w:val="Hyperlink"/>
                <w:rFonts w:ascii="Sakkal Majalla" w:eastAsiaTheme="minorHAnsi" w:hAnsi="Sakkal Majalla" w:cs="Sakkal Majalla"/>
                <w:bCs/>
                <w:noProof/>
                <w:rtl/>
              </w:rPr>
              <w:t>أدوات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Toc208064606 \h</w:instrText>
            </w:r>
            <w:r>
              <w:rPr>
                <w:noProof/>
                <w:webHidden/>
                <w:rtl/>
              </w:rPr>
              <w:instrText xml:space="preserve"> </w:instrText>
            </w:r>
            <w:r>
              <w:rPr>
                <w:noProof/>
                <w:webHidden/>
                <w:rtl/>
              </w:rPr>
            </w:r>
            <w:r>
              <w:rPr>
                <w:noProof/>
                <w:webHidden/>
                <w:rtl/>
              </w:rPr>
              <w:fldChar w:fldCharType="separate"/>
            </w:r>
            <w:r w:rsidR="00E232E5">
              <w:rPr>
                <w:noProof/>
                <w:webHidden/>
                <w:rtl/>
              </w:rPr>
              <w:t>21</w:t>
            </w:r>
            <w:r>
              <w:rPr>
                <w:noProof/>
                <w:webHidden/>
                <w:rtl/>
              </w:rPr>
              <w:fldChar w:fldCharType="end"/>
            </w:r>
          </w:hyperlink>
        </w:p>
        <w:p w:rsidR="00270850" w:rsidRDefault="00270850">
          <w:pPr>
            <w:pStyle w:val="TOC1"/>
            <w:tabs>
              <w:tab w:val="right" w:leader="dot" w:pos="8829"/>
            </w:tabs>
            <w:rPr>
              <w:noProof/>
              <w:rtl/>
            </w:rPr>
          </w:pPr>
          <w:hyperlink w:anchor="_Toc208064607" w:history="1">
            <w:r w:rsidRPr="00524E4E">
              <w:rPr>
                <w:rStyle w:val="Hyperlink"/>
                <w:rFonts w:ascii="Sakkal Majalla" w:eastAsiaTheme="minorHAnsi" w:hAnsi="Sakkal Majalla" w:cs="Sakkal Majalla"/>
                <w:bCs/>
                <w:noProof/>
                <w:rtl/>
              </w:rPr>
              <w:t>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Toc208064607 \h</w:instrText>
            </w:r>
            <w:r>
              <w:rPr>
                <w:noProof/>
                <w:webHidden/>
                <w:rtl/>
              </w:rPr>
              <w:instrText xml:space="preserve"> </w:instrText>
            </w:r>
            <w:r>
              <w:rPr>
                <w:noProof/>
                <w:webHidden/>
                <w:rtl/>
              </w:rPr>
            </w:r>
            <w:r>
              <w:rPr>
                <w:noProof/>
                <w:webHidden/>
                <w:rtl/>
              </w:rPr>
              <w:fldChar w:fldCharType="separate"/>
            </w:r>
            <w:r w:rsidR="00E232E5">
              <w:rPr>
                <w:noProof/>
                <w:webHidden/>
                <w:rtl/>
              </w:rPr>
              <w:t>22</w:t>
            </w:r>
            <w:r>
              <w:rPr>
                <w:noProof/>
                <w:webHidden/>
                <w:rtl/>
              </w:rPr>
              <w:fldChar w:fldCharType="end"/>
            </w:r>
          </w:hyperlink>
        </w:p>
        <w:p w:rsidR="00270850" w:rsidRDefault="00270850">
          <w:pPr>
            <w:pStyle w:val="TOC1"/>
            <w:tabs>
              <w:tab w:val="right" w:leader="dot" w:pos="8829"/>
            </w:tabs>
            <w:rPr>
              <w:noProof/>
              <w:rtl/>
            </w:rPr>
          </w:pPr>
          <w:hyperlink w:anchor="_Toc208064608" w:history="1">
            <w:r w:rsidRPr="00524E4E">
              <w:rPr>
                <w:rStyle w:val="Hyperlink"/>
                <w:rFonts w:ascii="Sakkal Majalla" w:eastAsiaTheme="minorHAnsi" w:hAnsi="Sakkal Majalla" w:cs="Sakkal Majalla"/>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Toc208064608 \h</w:instrText>
            </w:r>
            <w:r>
              <w:rPr>
                <w:noProof/>
                <w:webHidden/>
                <w:rtl/>
              </w:rPr>
              <w:instrText xml:space="preserve"> </w:instrText>
            </w:r>
            <w:r>
              <w:rPr>
                <w:noProof/>
                <w:webHidden/>
                <w:rtl/>
              </w:rPr>
            </w:r>
            <w:r>
              <w:rPr>
                <w:noProof/>
                <w:webHidden/>
                <w:rtl/>
              </w:rPr>
              <w:fldChar w:fldCharType="separate"/>
            </w:r>
            <w:r w:rsidR="00E232E5">
              <w:rPr>
                <w:noProof/>
                <w:webHidden/>
                <w:rtl/>
              </w:rPr>
              <w:t>22</w:t>
            </w:r>
            <w:r>
              <w:rPr>
                <w:noProof/>
                <w:webHidden/>
                <w:rtl/>
              </w:rPr>
              <w:fldChar w:fldCharType="end"/>
            </w:r>
          </w:hyperlink>
        </w:p>
        <w:p w:rsidR="00270850" w:rsidRDefault="00270850">
          <w:pPr>
            <w:pStyle w:val="TOC1"/>
            <w:tabs>
              <w:tab w:val="right" w:leader="dot" w:pos="8829"/>
            </w:tabs>
            <w:rPr>
              <w:noProof/>
              <w:rtl/>
            </w:rPr>
          </w:pPr>
          <w:hyperlink w:anchor="_Toc208064609" w:history="1">
            <w:r w:rsidRPr="00524E4E">
              <w:rPr>
                <w:rStyle w:val="Hyperlink"/>
                <w:rFonts w:ascii="Sakkal Majalla" w:eastAsiaTheme="minorHAnsi" w:hAnsi="Sakkal Majalla" w:cs="Sakkal Majalla"/>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Toc208064609 \h</w:instrText>
            </w:r>
            <w:r>
              <w:rPr>
                <w:noProof/>
                <w:webHidden/>
                <w:rtl/>
              </w:rPr>
              <w:instrText xml:space="preserve"> </w:instrText>
            </w:r>
            <w:r>
              <w:rPr>
                <w:noProof/>
                <w:webHidden/>
                <w:rtl/>
              </w:rPr>
            </w:r>
            <w:r>
              <w:rPr>
                <w:noProof/>
                <w:webHidden/>
                <w:rtl/>
              </w:rPr>
              <w:fldChar w:fldCharType="separate"/>
            </w:r>
            <w:r w:rsidR="00E232E5">
              <w:rPr>
                <w:noProof/>
                <w:webHidden/>
                <w:rtl/>
              </w:rPr>
              <w:t>24</w:t>
            </w:r>
            <w:r>
              <w:rPr>
                <w:noProof/>
                <w:webHidden/>
                <w:rtl/>
              </w:rPr>
              <w:fldChar w:fldCharType="end"/>
            </w:r>
          </w:hyperlink>
        </w:p>
        <w:p w:rsidR="00795130" w:rsidRDefault="00795130">
          <w:r>
            <w:rPr>
              <w:b/>
              <w:bCs/>
              <w:noProof/>
            </w:rPr>
            <w:fldChar w:fldCharType="end"/>
          </w:r>
        </w:p>
      </w:sdtContent>
    </w:sdt>
    <w:p w:rsidR="00795130" w:rsidRPr="00795130" w:rsidRDefault="00795130" w:rsidP="005525F6">
      <w:pPr>
        <w:spacing w:after="160" w:line="360" w:lineRule="auto"/>
        <w:ind w:left="0" w:right="0" w:firstLine="0"/>
        <w:jc w:val="lowKashida"/>
        <w:rPr>
          <w:rFonts w:ascii="Sakkal Majalla" w:eastAsiaTheme="minorHAnsi" w:hAnsi="Sakkal Majalla" w:cs="Sakkal Majalla"/>
          <w:b/>
          <w:bCs/>
          <w:color w:val="auto"/>
          <w:sz w:val="32"/>
          <w:szCs w:val="32"/>
        </w:rPr>
      </w:pPr>
    </w:p>
    <w:p w:rsidR="00795130" w:rsidRDefault="00795130" w:rsidP="005525F6">
      <w:pPr>
        <w:spacing w:after="160" w:line="360" w:lineRule="auto"/>
        <w:ind w:left="0" w:right="0" w:firstLine="0"/>
        <w:jc w:val="lowKashida"/>
        <w:rPr>
          <w:rFonts w:ascii="Sakkal Majalla" w:eastAsiaTheme="minorHAnsi" w:hAnsi="Sakkal Majalla" w:cs="Sakkal Majalla"/>
          <w:b/>
          <w:bCs/>
          <w:color w:val="auto"/>
          <w:sz w:val="32"/>
          <w:szCs w:val="32"/>
        </w:rPr>
      </w:pPr>
    </w:p>
    <w:p w:rsidR="00795130" w:rsidRPr="00795130" w:rsidRDefault="00795130" w:rsidP="005525F6">
      <w:pPr>
        <w:spacing w:after="160" w:line="360" w:lineRule="auto"/>
        <w:ind w:left="0" w:right="0" w:firstLine="0"/>
        <w:jc w:val="lowKashida"/>
        <w:rPr>
          <w:rFonts w:ascii="Sakkal Majalla" w:eastAsiaTheme="minorHAnsi" w:hAnsi="Sakkal Majalla" w:cs="Sakkal Majalla"/>
          <w:b/>
          <w:bCs/>
          <w:color w:val="auto"/>
          <w:sz w:val="32"/>
          <w:szCs w:val="32"/>
        </w:rPr>
      </w:pPr>
    </w:p>
    <w:p w:rsidR="005525F6" w:rsidRPr="00795130" w:rsidRDefault="005525F6" w:rsidP="00795130">
      <w:pPr>
        <w:pStyle w:val="Heading1"/>
        <w:bidi/>
        <w:jc w:val="lowKashida"/>
        <w:rPr>
          <w:rFonts w:ascii="Sakkal Majalla" w:eastAsiaTheme="minorHAnsi" w:hAnsi="Sakkal Majalla" w:cs="Sakkal Majalla"/>
          <w:b w:val="0"/>
          <w:bCs/>
          <w:sz w:val="36"/>
          <w:szCs w:val="32"/>
        </w:rPr>
      </w:pPr>
      <w:bookmarkStart w:id="0" w:name="_Toc208064595"/>
      <w:r w:rsidRPr="00795130">
        <w:rPr>
          <w:rFonts w:ascii="Sakkal Majalla" w:eastAsiaTheme="minorHAnsi" w:hAnsi="Sakkal Majalla" w:cs="Sakkal Majalla"/>
          <w:b w:val="0"/>
          <w:bCs/>
          <w:sz w:val="36"/>
          <w:szCs w:val="32"/>
          <w:rtl/>
        </w:rPr>
        <w:lastRenderedPageBreak/>
        <w:t>مقدمة</w:t>
      </w:r>
      <w:bookmarkStart w:id="1" w:name="_GoBack"/>
      <w:bookmarkEnd w:id="0"/>
      <w:bookmarkEnd w:id="1"/>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tl/>
          <w:lang w:bidi="ar-EG"/>
        </w:rPr>
      </w:pPr>
      <w:r w:rsidRPr="005525F6">
        <w:rPr>
          <w:rFonts w:ascii="Sakkal Majalla" w:eastAsiaTheme="minorHAnsi" w:hAnsi="Sakkal Majalla" w:cs="Sakkal Majalla"/>
          <w:color w:val="auto"/>
          <w:sz w:val="32"/>
          <w:szCs w:val="32"/>
          <w:rtl/>
        </w:rPr>
        <w:t>تعد إدارة المشاريع إحدى الركائز الإدارية الحديثة التي أسهمت في تحول المؤسسات من نماذج التشغيل التقليدية إلى نماذج أكثر مرونة وابتكارا، وذلك من خلال ما توفره من أدوات تنظيمية وتخطيطية تعزز كفاءة التنفيذ وتدعم اتخاذ القرار الاستراتيجي، وقد تطور هذا المجال ليصبح إطارا شاملا لإدارة التغيير في البيئات الديناميكية . (2022 ,</w:t>
      </w:r>
      <w:proofErr w:type="spellStart"/>
      <w:r w:rsidRPr="005525F6">
        <w:rPr>
          <w:rFonts w:ascii="Sakkal Majalla" w:eastAsiaTheme="minorHAnsi" w:hAnsi="Sakkal Majalla" w:cs="Sakkal Majalla"/>
          <w:color w:val="auto"/>
          <w:sz w:val="32"/>
          <w:szCs w:val="32"/>
        </w:rPr>
        <w:t>Kerzner</w:t>
      </w:r>
      <w:proofErr w:type="spellEnd"/>
      <w:r w:rsidRPr="005525F6">
        <w:rPr>
          <w:rFonts w:ascii="Sakkal Majalla" w:eastAsiaTheme="minorHAnsi" w:hAnsi="Sakkal Majalla" w:cs="Sakkal Majalla" w:hint="cs"/>
          <w:color w:val="auto"/>
          <w:sz w:val="32"/>
          <w:szCs w:val="32"/>
          <w:rtl/>
          <w:lang w:bidi="ar-EG"/>
        </w:rPr>
        <w:t>)</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tl/>
          <w:lang w:bidi="ar-EG"/>
        </w:rPr>
      </w:pPr>
      <w:r w:rsidRPr="005525F6">
        <w:rPr>
          <w:rFonts w:ascii="Sakkal Majalla" w:eastAsiaTheme="minorHAnsi" w:hAnsi="Sakkal Majalla" w:cs="Sakkal Majalla"/>
          <w:color w:val="auto"/>
          <w:sz w:val="32"/>
          <w:szCs w:val="32"/>
          <w:rtl/>
        </w:rPr>
        <w:t>وفي ظل التوجهات الوطنية الطموحة، مثل رؤية المملكة العربية السعودية 2030، تزايدت الحاجة إلى تمكين القطاعات المختلفة من أدوات إدارية متقدمة تواكب طموحات التحول الاقتصادي، ومنها إدارة المشاريع، بوصفها وسيلة تنظيمية قادرة على دفع عجلة التغيير، وتحقيق المواءمة بين الموارد وأهداف</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التنمية المستدامة</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Pr>
        <w:t>Vision 2030, 2020)</w:t>
      </w:r>
      <w:r w:rsidRPr="005525F6">
        <w:rPr>
          <w:rFonts w:ascii="Sakkal Majalla" w:eastAsiaTheme="minorHAnsi" w:hAnsi="Sakkal Majalla" w:cs="Sakkal Majalla" w:hint="cs"/>
          <w:color w:val="auto"/>
          <w:sz w:val="32"/>
          <w:szCs w:val="32"/>
          <w:rtl/>
        </w:rPr>
        <w:t>)</w:t>
      </w:r>
      <w:r w:rsidRPr="005525F6">
        <w:rPr>
          <w:rFonts w:ascii="Sakkal Majalla" w:eastAsiaTheme="minorHAnsi" w:hAnsi="Sakkal Majalla" w:cs="Sakkal Majalla" w:hint="cs"/>
          <w:color w:val="auto"/>
          <w:sz w:val="32"/>
          <w:szCs w:val="32"/>
          <w:rtl/>
          <w:lang w:bidi="ar-EG"/>
        </w:rPr>
        <w:t>.</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قطاع التجزئة يمثل أحد أكثر القطاعات حيوية في الاقتصاد السعودي، ليس فقط بحجمه الاستثماري بل بتأثيره المباشر على سلوك المستهلك، وتوليد فرص العمل، وتحفيز الاقتصاد غير النفطي، هذا القطاع يشهد موجة متسارعة من التحولات الرقمية والسلوكية، ما يتطلب بنية تنظيمية ومشروعات</w:t>
      </w:r>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تطويرية تتسم بالمرونة وسرعة الاستجابة</w:t>
      </w:r>
      <w:r w:rsidRPr="005525F6">
        <w:rPr>
          <w:rFonts w:ascii="Sakkal Majalla" w:eastAsiaTheme="minorHAnsi" w:hAnsi="Sakkal Majalla" w:cs="Sakkal Majalla" w:hint="cs"/>
          <w:color w:val="auto"/>
          <w:sz w:val="32"/>
          <w:szCs w:val="32"/>
          <w:rtl/>
        </w:rPr>
        <w:t xml:space="preserve"> </w:t>
      </w:r>
      <w:proofErr w:type="spellStart"/>
      <w:r w:rsidRPr="005525F6">
        <w:rPr>
          <w:rFonts w:ascii="Sakkal Majalla" w:eastAsiaTheme="minorHAnsi" w:hAnsi="Sakkal Majalla" w:cs="Sakkal Majalla"/>
          <w:color w:val="auto"/>
          <w:sz w:val="32"/>
          <w:szCs w:val="32"/>
        </w:rPr>
        <w:t>AlGhamdi</w:t>
      </w:r>
      <w:proofErr w:type="spellEnd"/>
      <w:r w:rsidRPr="005525F6">
        <w:rPr>
          <w:rFonts w:ascii="Sakkal Majalla" w:eastAsiaTheme="minorHAnsi" w:hAnsi="Sakkal Majalla" w:cs="Sakkal Majalla"/>
          <w:color w:val="auto"/>
          <w:sz w:val="32"/>
          <w:szCs w:val="32"/>
        </w:rPr>
        <w:t xml:space="preserve"> &amp; Bach ,2022)</w:t>
      </w:r>
      <w:r w:rsidRPr="005525F6">
        <w:rPr>
          <w:rFonts w:ascii="Sakkal Majalla" w:eastAsiaTheme="minorHAnsi" w:hAnsi="Sakkal Majalla" w:cs="Sakkal Majalla" w:hint="cs"/>
          <w:color w:val="auto"/>
          <w:sz w:val="32"/>
          <w:szCs w:val="32"/>
          <w:rtl/>
        </w:rPr>
        <w:t>)</w:t>
      </w:r>
      <w:r w:rsidRPr="005525F6">
        <w:rPr>
          <w:rFonts w:ascii="Sakkal Majalla" w:eastAsiaTheme="minorHAnsi" w:hAnsi="Sakkal Majalla" w:cs="Sakkal Majalla"/>
          <w:color w:val="auto"/>
          <w:sz w:val="32"/>
          <w:szCs w:val="32"/>
        </w:rPr>
        <w:t>.</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tl/>
          <w:lang w:bidi="ar-EG"/>
        </w:rPr>
      </w:pPr>
      <w:r w:rsidRPr="005525F6">
        <w:rPr>
          <w:rFonts w:ascii="Sakkal Majalla" w:eastAsiaTheme="minorHAnsi" w:hAnsi="Sakkal Majalla" w:cs="Sakkal Majalla"/>
          <w:color w:val="auto"/>
          <w:sz w:val="32"/>
          <w:szCs w:val="32"/>
          <w:rtl/>
        </w:rPr>
        <w:t xml:space="preserve">أظهرت النماذج الحديثة لإدارة المشاريع أن تطبيق ممارسات تنظيمية مثل تبني الهياكل المرنة واستخدام الأدوات الرقمية، وتعزيز القدرات البشرية، يرتبط ارتباطا مباشرا بمدى استعداد المؤسسات المواجهة التحديات، وتحقيق مستويات عالية من الجاهزية المؤسسية في بينات العمل المتغيرة </w:t>
      </w:r>
      <w:r w:rsidRPr="005525F6">
        <w:rPr>
          <w:rFonts w:ascii="Sakkal Majalla" w:eastAsiaTheme="minorHAnsi" w:hAnsi="Sakkal Majalla" w:cs="Sakkal Majalla"/>
          <w:color w:val="auto"/>
          <w:sz w:val="32"/>
          <w:szCs w:val="32"/>
        </w:rPr>
        <w:t>(PMI, 2021)</w:t>
      </w:r>
      <w:r w:rsidRPr="005525F6">
        <w:rPr>
          <w:rFonts w:ascii="Sakkal Majalla" w:eastAsiaTheme="minorHAnsi" w:hAnsi="Sakkal Majalla" w:cs="Sakkal Majalla" w:hint="cs"/>
          <w:color w:val="auto"/>
          <w:sz w:val="32"/>
          <w:szCs w:val="32"/>
          <w:rtl/>
          <w:lang w:bidi="ar-EG"/>
        </w:rPr>
        <w:t>.</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tl/>
          <w:lang w:bidi="ar-EG"/>
        </w:rPr>
      </w:pPr>
      <w:r w:rsidRPr="005525F6">
        <w:rPr>
          <w:rFonts w:ascii="Sakkal Majalla" w:eastAsiaTheme="minorHAnsi" w:hAnsi="Sakkal Majalla" w:cs="Sakkal Majalla"/>
          <w:color w:val="auto"/>
          <w:sz w:val="32"/>
          <w:szCs w:val="32"/>
          <w:rtl/>
        </w:rPr>
        <w:t xml:space="preserve">فالتحول نحو الأساليب الرشيقة والأدوات الذكية بات من سمات المؤسسات الناجحة في بينات السوق المتسارعة، حيث تسهم هذه المنهجيات في تقليل الهدر، وتسريع إنجاز المهام، وتعزيز التفاعل </w:t>
      </w:r>
      <w:r w:rsidRPr="005525F6">
        <w:rPr>
          <w:rFonts w:ascii="Sakkal Majalla" w:eastAsiaTheme="minorHAnsi" w:hAnsi="Sakkal Majalla" w:cs="Sakkal Majalla"/>
          <w:color w:val="auto"/>
          <w:sz w:val="32"/>
          <w:szCs w:val="32"/>
          <w:rtl/>
        </w:rPr>
        <w:lastRenderedPageBreak/>
        <w:t>اللحظي</w:t>
      </w:r>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بين فرق العمل، هذا الاتجاه أصبح عنصراً مهيمنا في استراتيجيات تنفيذ المشاريع داخل المؤسسات</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المتقدمة</w:t>
      </w:r>
      <w:r w:rsidRPr="005525F6">
        <w:rPr>
          <w:rFonts w:ascii="Sakkal Majalla" w:eastAsiaTheme="minorHAnsi" w:hAnsi="Sakkal Majalla" w:cs="Sakkal Majalla"/>
          <w:color w:val="auto"/>
          <w:sz w:val="32"/>
          <w:szCs w:val="32"/>
        </w:rPr>
        <w:t>(Dahmer, 2024)</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إن تنفيذ المشاريع لا يحقق أهدافه بمعزل عن الرؤية الكلية للمؤسسة أو عن التوجهات الاستراتيجية للدولة، حيث تمثل المواءمة الاستراتيجية بين المشروع والخطة العامة أحد أبرز عوامل النجاح في البيئات الديناميكية. هذا الاتساق يضمن استثمار الجهد المؤسسي بما يخدم مؤشرات الأداء</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الكبرى</w:t>
      </w:r>
      <w:r w:rsidRPr="005525F6">
        <w:rPr>
          <w:rFonts w:ascii="Sakkal Majalla" w:eastAsiaTheme="minorHAnsi" w:hAnsi="Sakkal Majalla" w:cs="Sakkal Majalla"/>
          <w:color w:val="auto"/>
          <w:sz w:val="32"/>
          <w:szCs w:val="32"/>
        </w:rPr>
        <w:t xml:space="preserve">(Wu et al., 2023; </w:t>
      </w:r>
      <w:proofErr w:type="spellStart"/>
      <w:r w:rsidRPr="005525F6">
        <w:rPr>
          <w:rFonts w:ascii="Sakkal Majalla" w:eastAsiaTheme="minorHAnsi" w:hAnsi="Sakkal Majalla" w:cs="Sakkal Majalla"/>
          <w:color w:val="auto"/>
          <w:sz w:val="32"/>
          <w:szCs w:val="32"/>
        </w:rPr>
        <w:t>Iriogbe</w:t>
      </w:r>
      <w:proofErr w:type="spellEnd"/>
      <w:r w:rsidRPr="005525F6">
        <w:rPr>
          <w:rFonts w:ascii="Sakkal Majalla" w:eastAsiaTheme="minorHAnsi" w:hAnsi="Sakkal Majalla" w:cs="Sakkal Majalla"/>
          <w:color w:val="auto"/>
          <w:sz w:val="32"/>
          <w:szCs w:val="32"/>
        </w:rPr>
        <w:t xml:space="preserve"> et al., 2024)</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tl/>
          <w:lang w:bidi="ar-EG"/>
        </w:rPr>
      </w:pPr>
      <w:r w:rsidRPr="005525F6">
        <w:rPr>
          <w:rFonts w:ascii="Sakkal Majalla" w:eastAsiaTheme="minorHAnsi" w:hAnsi="Sakkal Majalla" w:cs="Sakkal Majalla"/>
          <w:color w:val="auto"/>
          <w:sz w:val="32"/>
          <w:szCs w:val="32"/>
          <w:rtl/>
        </w:rPr>
        <w:t>تعد جاهزية المؤسسة مؤشرا مركزيا في قدرتها على التكيف مع التغيرات الاقتصادية والتقنية، ويشمل هذا المفهوم أبعادا متعددة تتعلق بالبنية الرقمية، والثقافة التنظيمية، والمهارات البشرية، والبنية التشغيلية. ويعكس هذا المؤشر مستوى استعداد المنظمة التحويل التحديات إلى فرص</w:t>
      </w:r>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بناء على ما سبق، تبرز الحاجة إلى دراسة العلاقة بين تبني مبادرات إدارة المشاريع ومدى تأثيرها على جاهزية قطاع التجزئة في المملكة العربية السعودية لمواكبة متطلبات التحول الاقتصادي في ظل رؤية 2030، إذ إن الفهم العميق لهذه العلاقة يسهم في تقديم إطار عملي يعزز من قدرة مؤسسات هذا القطاع الحيوي على التكيف مع التغيرات الاقتصادية والتقنية المشارعة، ويدعم جهودها في تنفيذ مشاريعها بكفاءة وفاعلية ضمن بيئة تنافسية متجددة. ومن هنا تتطلق هذه الدراسة لاستكشاف هذا الأثر من خلال بناء نموذج تحليلي وقياسه ميدانيا ضمن سياق واقعي يعكس التحديات والفرص التي يواجهها القطاع</w:t>
      </w:r>
      <w:r w:rsidRPr="005525F6">
        <w:rPr>
          <w:rFonts w:ascii="Sakkal Majalla" w:eastAsiaTheme="minorHAnsi" w:hAnsi="Sakkal Majalla" w:cs="Sakkal Majalla"/>
          <w:color w:val="auto"/>
          <w:sz w:val="32"/>
          <w:szCs w:val="32"/>
          <w:lang w:bidi="ar-EG"/>
        </w:rPr>
        <w:t>)</w:t>
      </w:r>
      <w:r w:rsidRPr="005525F6">
        <w:rPr>
          <w:rFonts w:ascii="Sakkal Majalla" w:eastAsiaTheme="minorHAnsi" w:hAnsi="Sakkal Majalla" w:cs="Sakkal Majalla"/>
          <w:color w:val="auto"/>
          <w:sz w:val="32"/>
          <w:szCs w:val="32"/>
          <w:rtl/>
        </w:rPr>
        <w:t xml:space="preserve"> </w:t>
      </w:r>
      <w:proofErr w:type="spellStart"/>
      <w:r w:rsidRPr="005525F6">
        <w:rPr>
          <w:rFonts w:ascii="Sakkal Majalla" w:eastAsiaTheme="minorHAnsi" w:hAnsi="Sakkal Majalla" w:cs="Sakkal Majalla"/>
          <w:color w:val="auto"/>
          <w:sz w:val="32"/>
          <w:szCs w:val="32"/>
        </w:rPr>
        <w:t>Michelotto</w:t>
      </w:r>
      <w:proofErr w:type="spellEnd"/>
      <w:r w:rsidRPr="005525F6">
        <w:rPr>
          <w:rFonts w:ascii="Sakkal Majalla" w:eastAsiaTheme="minorHAnsi" w:hAnsi="Sakkal Majalla" w:cs="Sakkal Majalla"/>
          <w:color w:val="auto"/>
          <w:sz w:val="32"/>
          <w:szCs w:val="32"/>
        </w:rPr>
        <w:t xml:space="preserve"> &amp; </w:t>
      </w:r>
      <w:proofErr w:type="spellStart"/>
      <w:r w:rsidRPr="005525F6">
        <w:rPr>
          <w:rFonts w:ascii="Sakkal Majalla" w:eastAsiaTheme="minorHAnsi" w:hAnsi="Sakkal Majalla" w:cs="Sakkal Majalla"/>
          <w:color w:val="auto"/>
          <w:sz w:val="32"/>
          <w:szCs w:val="32"/>
        </w:rPr>
        <w:t>Jola</w:t>
      </w:r>
      <w:proofErr w:type="spellEnd"/>
      <w:r w:rsidRPr="005525F6">
        <w:rPr>
          <w:rFonts w:ascii="Sakkal Majalla" w:eastAsiaTheme="minorHAnsi" w:hAnsi="Sakkal Majalla" w:cs="Sakkal Majalla"/>
          <w:color w:val="auto"/>
          <w:sz w:val="32"/>
          <w:szCs w:val="32"/>
        </w:rPr>
        <w:t>, 2024</w:t>
      </w:r>
      <w:r w:rsidRPr="005525F6">
        <w:rPr>
          <w:rFonts w:ascii="Sakkal Majalla" w:eastAsiaTheme="minorHAnsi" w:hAnsi="Sakkal Majalla" w:cs="Sakkal Majalla" w:hint="cs"/>
          <w:color w:val="auto"/>
          <w:sz w:val="32"/>
          <w:szCs w:val="32"/>
          <w:rtl/>
          <w:lang w:bidi="ar-EG"/>
        </w:rPr>
        <w:t>).</w:t>
      </w:r>
    </w:p>
    <w:p w:rsidR="005525F6" w:rsidRPr="005525F6" w:rsidRDefault="005525F6" w:rsidP="00795130">
      <w:pPr>
        <w:pStyle w:val="Heading1"/>
        <w:bidi/>
        <w:jc w:val="lowKashida"/>
        <w:rPr>
          <w:rFonts w:ascii="Sakkal Majalla" w:eastAsiaTheme="minorHAnsi" w:hAnsi="Sakkal Majalla" w:cs="Sakkal Majalla"/>
          <w:b w:val="0"/>
          <w:bCs/>
          <w:sz w:val="36"/>
          <w:szCs w:val="32"/>
        </w:rPr>
      </w:pPr>
      <w:bookmarkStart w:id="2" w:name="_Toc208064596"/>
      <w:r w:rsidRPr="005525F6">
        <w:rPr>
          <w:rFonts w:ascii="Sakkal Majalla" w:eastAsiaTheme="minorHAnsi" w:hAnsi="Sakkal Majalla" w:cs="Sakkal Majalla"/>
          <w:b w:val="0"/>
          <w:bCs/>
          <w:sz w:val="36"/>
          <w:szCs w:val="32"/>
          <w:rtl/>
        </w:rPr>
        <w:t>مشكلة الدراسة</w:t>
      </w:r>
      <w:bookmarkEnd w:id="2"/>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lang w:bidi="ar-EG"/>
        </w:rPr>
      </w:pPr>
      <w:r w:rsidRPr="005525F6">
        <w:rPr>
          <w:rFonts w:ascii="Sakkal Majalla" w:eastAsiaTheme="minorHAnsi" w:hAnsi="Sakkal Majalla" w:cs="Sakkal Majalla"/>
          <w:color w:val="auto"/>
          <w:sz w:val="32"/>
          <w:szCs w:val="32"/>
          <w:rtl/>
        </w:rPr>
        <w:t xml:space="preserve">في ظل التحولات الاقتصادية الجذرية التي تشهدها المملكة العربية السعودية في إطار رؤية 2030 برزت الحاجة الماسة إلى تطوير جاهزية القطاعات الاقتصادية المختلفة لمواكبة هذه التغيرات، </w:t>
      </w:r>
      <w:r w:rsidRPr="005525F6">
        <w:rPr>
          <w:rFonts w:ascii="Sakkal Majalla" w:eastAsiaTheme="minorHAnsi" w:hAnsi="Sakkal Majalla" w:cs="Sakkal Majalla"/>
          <w:color w:val="auto"/>
          <w:sz w:val="32"/>
          <w:szCs w:val="32"/>
          <w:rtl/>
        </w:rPr>
        <w:lastRenderedPageBreak/>
        <w:t>وكان قطاع التجزئة أحد أهم هذه القطاعات نظرا لما يمثله من مساهمة مباشرة في الناتج المحلي الإجمالي وتوليد الوظائف ودعم الاقتصاد غير النفطي، ومع توجه الدولة إلى التحول الرقمي والتنويع الاقتصادي أصبحت المؤسسات في هذا القطاع مطالبة بتحسين جاهزيتها التنظيمية والتشغيلية والتقنية لمواجهة التحديات المستقبلية، مما يستدعي البحث في الأدوات والآليات التي تمكنها من ذلك</w:t>
      </w:r>
      <w:r w:rsidRPr="005525F6">
        <w:rPr>
          <w:rFonts w:ascii="Sakkal Majalla" w:eastAsiaTheme="minorHAnsi" w:hAnsi="Sakkal Majalla" w:cs="Sakkal Majalla"/>
          <w:color w:val="auto"/>
          <w:sz w:val="32"/>
          <w:szCs w:val="32"/>
        </w:rPr>
        <w:t xml:space="preserve"> Jóia, 2024)</w:t>
      </w:r>
      <w:r w:rsidRPr="005525F6">
        <w:rPr>
          <w:rFonts w:ascii="Sakkal Majalla" w:eastAsiaTheme="minorHAnsi" w:hAnsi="Sakkal Majalla" w:cs="Sakkal Majalla"/>
          <w:color w:val="auto"/>
          <w:sz w:val="32"/>
          <w:szCs w:val="32"/>
          <w:rtl/>
        </w:rPr>
        <w:t xml:space="preserve"> &amp;</w:t>
      </w:r>
      <w:r w:rsidRPr="005525F6">
        <w:rPr>
          <w:rFonts w:ascii="Sakkal Majalla" w:eastAsiaTheme="minorHAnsi" w:hAnsi="Sakkal Majalla" w:cs="Sakkal Majalla"/>
          <w:color w:val="auto"/>
          <w:sz w:val="32"/>
          <w:szCs w:val="32"/>
        </w:rPr>
        <w:t xml:space="preserve">( </w:t>
      </w:r>
      <w:proofErr w:type="spellStart"/>
      <w:r w:rsidRPr="005525F6">
        <w:rPr>
          <w:rFonts w:ascii="Sakkal Majalla" w:eastAsiaTheme="minorHAnsi" w:hAnsi="Sakkal Majalla" w:cs="Sakkal Majalla"/>
          <w:color w:val="auto"/>
          <w:sz w:val="32"/>
          <w:szCs w:val="32"/>
        </w:rPr>
        <w:t>Michelott</w:t>
      </w:r>
      <w:proofErr w:type="spellEnd"/>
      <w:r w:rsidRPr="005525F6">
        <w:rPr>
          <w:rFonts w:ascii="Sakkal Majalla" w:eastAsiaTheme="minorHAnsi" w:hAnsi="Sakkal Majalla" w:cs="Sakkal Majalla" w:hint="cs"/>
          <w:color w:val="auto"/>
          <w:sz w:val="32"/>
          <w:szCs w:val="32"/>
          <w:rtl/>
          <w:lang w:bidi="ar-EG"/>
        </w:rPr>
        <w:t>.</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من بين أهم هذه الأدوات برزت إدارة المشاريع كمدخل استراتيجي يدعم التكيف المؤسسي مع التغير. ويسهم في تنظيم الموارد وتنفيذ المبادرات وفق منهجيات واضحة ومرنة. وقد أشارت دراسات متعددة إلى أن تبني ممارسات إدارة المشاريع، خاصة عند مواءمتها مع أهداف المؤسسة، يسهم في تحسين قدرتها على الاستجابة السريعة للفرص والتهديدات البينية (2024 ,.</w:t>
      </w:r>
      <w:r w:rsidRPr="005525F6">
        <w:rPr>
          <w:rFonts w:ascii="Sakkal Majalla" w:eastAsiaTheme="minorHAnsi" w:hAnsi="Sakkal Majalla" w:cs="Sakkal Majalla"/>
          <w:color w:val="auto"/>
          <w:sz w:val="32"/>
          <w:szCs w:val="32"/>
        </w:rPr>
        <w:t xml:space="preserve">Wu et al., </w:t>
      </w:r>
      <w:proofErr w:type="spellStart"/>
      <w:r w:rsidRPr="005525F6">
        <w:rPr>
          <w:rFonts w:ascii="Sakkal Majalla" w:eastAsiaTheme="minorHAnsi" w:hAnsi="Sakkal Majalla" w:cs="Sakkal Majalla"/>
          <w:color w:val="auto"/>
          <w:sz w:val="32"/>
          <w:szCs w:val="32"/>
        </w:rPr>
        <w:t>Iriogbe</w:t>
      </w:r>
      <w:proofErr w:type="spellEnd"/>
      <w:r w:rsidRPr="005525F6">
        <w:rPr>
          <w:rFonts w:ascii="Sakkal Majalla" w:eastAsiaTheme="minorHAnsi" w:hAnsi="Sakkal Majalla" w:cs="Sakkal Majalla"/>
          <w:color w:val="auto"/>
          <w:sz w:val="32"/>
          <w:szCs w:val="32"/>
        </w:rPr>
        <w:t xml:space="preserve"> et al </w:t>
      </w:r>
      <w:proofErr w:type="gramStart"/>
      <w:r w:rsidRPr="005525F6">
        <w:rPr>
          <w:rFonts w:ascii="Sakkal Majalla" w:eastAsiaTheme="minorHAnsi" w:hAnsi="Sakkal Majalla" w:cs="Sakkal Majalla"/>
          <w:color w:val="auto"/>
          <w:sz w:val="32"/>
          <w:szCs w:val="32"/>
        </w:rPr>
        <w:t>2023)</w:t>
      </w:r>
      <w:r w:rsidRPr="005525F6">
        <w:rPr>
          <w:rFonts w:ascii="Sakkal Majalla" w:eastAsiaTheme="minorHAnsi" w:hAnsi="Sakkal Majalla" w:cs="Sakkal Majalla"/>
          <w:color w:val="auto"/>
          <w:sz w:val="32"/>
          <w:szCs w:val="32"/>
          <w:rtl/>
        </w:rPr>
        <w:t>،</w:t>
      </w:r>
      <w:proofErr w:type="gramEnd"/>
      <w:r w:rsidRPr="005525F6">
        <w:rPr>
          <w:rFonts w:ascii="Sakkal Majalla" w:eastAsiaTheme="minorHAnsi" w:hAnsi="Sakkal Majalla" w:cs="Sakkal Majalla"/>
          <w:color w:val="auto"/>
          <w:sz w:val="32"/>
          <w:szCs w:val="32"/>
          <w:rtl/>
        </w:rPr>
        <w:t xml:space="preserve"> ومع ذلك، تظل مدى فاعلية هذا التبني وتأثيره الفعلي على جاهزية قطاع التجزئة غير موثقة بشكل كاف في الأدبيات العربية أو داخل السياق السعودي.</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وعلى الرغم من وجود أدبيات تناولت التحول الرقمي في المشاريع (2004 ,</w:t>
      </w:r>
      <w:r w:rsidRPr="005525F6">
        <w:rPr>
          <w:rFonts w:ascii="Sakkal Majalla" w:eastAsiaTheme="minorHAnsi" w:hAnsi="Sakkal Majalla" w:cs="Sakkal Majalla"/>
          <w:color w:val="auto"/>
          <w:sz w:val="32"/>
          <w:szCs w:val="32"/>
        </w:rPr>
        <w:t xml:space="preserve">(Dahmer </w:t>
      </w:r>
      <w:r w:rsidRPr="005525F6">
        <w:rPr>
          <w:rFonts w:ascii="Sakkal Majalla" w:eastAsiaTheme="minorHAnsi" w:hAnsi="Sakkal Majalla" w:cs="Sakkal Majalla"/>
          <w:color w:val="auto"/>
          <w:sz w:val="32"/>
          <w:szCs w:val="32"/>
          <w:rtl/>
        </w:rPr>
        <w:t>أو ركزت على دور المرونة والتكيف في إدارة عدم اليقين</w:t>
      </w:r>
      <w:r w:rsidRPr="005525F6">
        <w:rPr>
          <w:rFonts w:ascii="Sakkal Majalla" w:eastAsiaTheme="minorHAnsi" w:hAnsi="Sakkal Majalla" w:cs="Sakkal Majalla"/>
          <w:color w:val="auto"/>
          <w:sz w:val="32"/>
          <w:szCs w:val="32"/>
        </w:rPr>
        <w:t>)</w:t>
      </w:r>
      <w:r w:rsidRPr="005525F6">
        <w:rPr>
          <w:rFonts w:ascii="Sakkal Majalla" w:eastAsiaTheme="minorHAnsi" w:hAnsi="Sakkal Majalla" w:cs="Sakkal Majalla"/>
          <w:color w:val="auto"/>
          <w:sz w:val="32"/>
          <w:szCs w:val="32"/>
          <w:rtl/>
        </w:rPr>
        <w:t xml:space="preserve"> 2024 </w:t>
      </w:r>
      <w:r w:rsidRPr="005525F6">
        <w:rPr>
          <w:rFonts w:ascii="Sakkal Majalla" w:eastAsiaTheme="minorHAnsi" w:hAnsi="Sakkal Majalla" w:cs="Sakkal Majalla"/>
          <w:color w:val="auto"/>
          <w:sz w:val="32"/>
          <w:szCs w:val="32"/>
        </w:rPr>
        <w:t>(</w:t>
      </w:r>
      <w:proofErr w:type="spellStart"/>
      <w:r w:rsidRPr="005525F6">
        <w:rPr>
          <w:rFonts w:ascii="Sakkal Majalla" w:eastAsiaTheme="minorHAnsi" w:hAnsi="Sakkal Majalla" w:cs="Sakkal Majalla"/>
          <w:color w:val="auto"/>
          <w:sz w:val="32"/>
          <w:szCs w:val="32"/>
        </w:rPr>
        <w:t>Shafi</w:t>
      </w:r>
      <w:proofErr w:type="spellEnd"/>
      <w:r w:rsidRPr="005525F6">
        <w:rPr>
          <w:rFonts w:ascii="Sakkal Majalla" w:eastAsiaTheme="minorHAnsi" w:hAnsi="Sakkal Majalla" w:cs="Sakkal Majalla"/>
          <w:color w:val="auto"/>
          <w:sz w:val="32"/>
          <w:szCs w:val="32"/>
        </w:rPr>
        <w:t>,</w:t>
      </w:r>
      <w:r w:rsidRPr="005525F6">
        <w:rPr>
          <w:rFonts w:ascii="Sakkal Majalla" w:eastAsiaTheme="minorHAnsi" w:hAnsi="Sakkal Majalla" w:cs="Sakkal Majalla"/>
          <w:color w:val="auto"/>
          <w:sz w:val="32"/>
          <w:szCs w:val="32"/>
          <w:rtl/>
        </w:rPr>
        <w:t>، فإن معظم هذه الدراسات كانت إما عامة أو مركزة على قطاعات مثل الصناعة أو الإنشاءات أو المشاريع التقنية الكبرى، دون إعطاء الاهتمام الكافي لقطاع التجزئة في بيئة التحول الاقتصادي، هذا ما يجعل العلاقة بين تبني مبادرات إدارة المشاريع بأبعادها كالهيكل التنظيمي الأدوات الرقمية، بناء القدرات والمواءمة الاستراتيجية</w:t>
      </w:r>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وبين</w:t>
      </w:r>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جاهزية المؤسسات المواكبة التحول الاقتصادي، لا نزال غير مستكشفة بالشكل الكافي داخل هذا القطاع.</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 xml:space="preserve">وقد أوضحت دراسة </w:t>
      </w:r>
      <w:r w:rsidRPr="005525F6">
        <w:rPr>
          <w:rFonts w:ascii="Sakkal Majalla" w:eastAsiaTheme="minorHAnsi" w:hAnsi="Sakkal Majalla" w:cs="Sakkal Majalla"/>
          <w:color w:val="auto"/>
          <w:sz w:val="32"/>
          <w:szCs w:val="32"/>
        </w:rPr>
        <w:t>(</w:t>
      </w:r>
      <w:proofErr w:type="spellStart"/>
      <w:r w:rsidRPr="005525F6">
        <w:rPr>
          <w:rFonts w:ascii="Sakkal Majalla" w:eastAsiaTheme="minorHAnsi" w:hAnsi="Sakkal Majalla" w:cs="Sakkal Majalla"/>
          <w:color w:val="auto"/>
          <w:sz w:val="32"/>
          <w:szCs w:val="32"/>
        </w:rPr>
        <w:t>Yordanova</w:t>
      </w:r>
      <w:proofErr w:type="spellEnd"/>
      <w:r w:rsidRPr="005525F6">
        <w:rPr>
          <w:rFonts w:ascii="Sakkal Majalla" w:eastAsiaTheme="minorHAnsi" w:hAnsi="Sakkal Majalla" w:cs="Sakkal Majalla"/>
          <w:color w:val="auto"/>
          <w:sz w:val="32"/>
          <w:szCs w:val="32"/>
        </w:rPr>
        <w:t xml:space="preserve"> ,204) </w:t>
      </w:r>
      <w:r w:rsidRPr="005525F6">
        <w:rPr>
          <w:rFonts w:ascii="Sakkal Majalla" w:eastAsiaTheme="minorHAnsi" w:hAnsi="Sakkal Majalla" w:cs="Sakkal Majalla"/>
          <w:color w:val="auto"/>
          <w:sz w:val="32"/>
          <w:szCs w:val="32"/>
          <w:rtl/>
        </w:rPr>
        <w:t xml:space="preserve">أن رفع كفاءة وفعالية إدارة المشاريع يسهم في تسهيل تبني التحول الرقمي داخل المؤسسات، مما ينعكس على جاهزيتها الاستراتيجية. كما أظهرت دراسة </w:t>
      </w:r>
      <w:r w:rsidRPr="005525F6">
        <w:rPr>
          <w:rFonts w:ascii="Sakkal Majalla" w:eastAsiaTheme="minorHAnsi" w:hAnsi="Sakkal Majalla" w:cs="Sakkal Majalla"/>
          <w:color w:val="auto"/>
          <w:sz w:val="32"/>
          <w:szCs w:val="32"/>
        </w:rPr>
        <w:t>(</w:t>
      </w:r>
      <w:proofErr w:type="spellStart"/>
      <w:r w:rsidRPr="005525F6">
        <w:rPr>
          <w:rFonts w:ascii="Sakkal Majalla" w:eastAsiaTheme="minorHAnsi" w:hAnsi="Sakkal Majalla" w:cs="Sakkal Majalla"/>
          <w:color w:val="auto"/>
          <w:sz w:val="32"/>
          <w:szCs w:val="32"/>
        </w:rPr>
        <w:t>Bugarcic</w:t>
      </w:r>
      <w:proofErr w:type="spellEnd"/>
      <w:r w:rsidRPr="005525F6">
        <w:rPr>
          <w:rFonts w:ascii="Sakkal Majalla" w:eastAsiaTheme="minorHAnsi" w:hAnsi="Sakkal Majalla" w:cs="Sakkal Majalla"/>
          <w:color w:val="auto"/>
          <w:sz w:val="32"/>
          <w:szCs w:val="32"/>
        </w:rPr>
        <w:t xml:space="preserve"> &amp; </w:t>
      </w:r>
      <w:proofErr w:type="spellStart"/>
      <w:r w:rsidRPr="005525F6">
        <w:rPr>
          <w:rFonts w:ascii="Sakkal Majalla" w:eastAsiaTheme="minorHAnsi" w:hAnsi="Sakkal Majalla" w:cs="Sakkal Majalla"/>
          <w:color w:val="auto"/>
          <w:sz w:val="32"/>
          <w:szCs w:val="32"/>
        </w:rPr>
        <w:t>Slavkovic</w:t>
      </w:r>
      <w:proofErr w:type="spellEnd"/>
      <w:r w:rsidRPr="005525F6">
        <w:rPr>
          <w:rFonts w:ascii="Sakkal Majalla" w:eastAsiaTheme="minorHAnsi" w:hAnsi="Sakkal Majalla" w:cs="Sakkal Majalla"/>
          <w:color w:val="auto"/>
          <w:sz w:val="32"/>
          <w:szCs w:val="32"/>
        </w:rPr>
        <w:t xml:space="preserve">, 223) </w:t>
      </w:r>
      <w:r w:rsidRPr="005525F6">
        <w:rPr>
          <w:rFonts w:ascii="Sakkal Majalla" w:eastAsiaTheme="minorHAnsi" w:hAnsi="Sakkal Majalla" w:cs="Sakkal Majalla"/>
          <w:color w:val="auto"/>
          <w:sz w:val="32"/>
          <w:szCs w:val="32"/>
          <w:rtl/>
        </w:rPr>
        <w:t xml:space="preserve">أن وجود بنية تنظيمية مؤهلة وتكنولوجيا ملائمة وقدرات بشرية مدربة </w:t>
      </w:r>
      <w:r w:rsidRPr="005525F6">
        <w:rPr>
          <w:rFonts w:ascii="Sakkal Majalla" w:eastAsiaTheme="minorHAnsi" w:hAnsi="Sakkal Majalla" w:cs="Sakkal Majalla"/>
          <w:color w:val="auto"/>
          <w:sz w:val="32"/>
          <w:szCs w:val="32"/>
          <w:rtl/>
        </w:rPr>
        <w:lastRenderedPageBreak/>
        <w:t>تعزز من فاعلية المشاريع، ورغم هذه المؤشرات الإيجابية، إلا أن الواقع العملي القطاع التجزئة السعودي لا يزال يواجه تحديات في تحويل هذه المبادئ النظرية إلى ممارسات ملموسة، خاصة في المؤسسات الصغيرة والمتوسطة.</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بناء على ما سبق، تنبع مشكلة الدراسة من وجود فجوة بحثية واضحة تتعلق بعدم توفر دراسات تطبيقية نقيس العلاقة بين تبني مبادرات إدارة المشاريع وجاهزية قطاع التجزئة لمواكبة التحول الاقتصادي في سياق رؤية المملكة 2030، ومن هناء تسعى هذه الدراسة إلى الإجابة على السؤال الرئيس</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ما أثر تبني مبادرات إدارة المشاريع على جاهزية القطاع التجزئة في المملكة العربية السعودية المواكبة التحول الاقتصادي وفقا لرؤية 2030</w:t>
      </w:r>
    </w:p>
    <w:p w:rsidR="005525F6" w:rsidRPr="005525F6" w:rsidRDefault="005525F6" w:rsidP="00795130">
      <w:pPr>
        <w:pStyle w:val="Heading1"/>
        <w:bidi/>
        <w:jc w:val="lowKashida"/>
        <w:rPr>
          <w:rFonts w:ascii="Sakkal Majalla" w:eastAsiaTheme="minorHAnsi" w:hAnsi="Sakkal Majalla" w:cs="Sakkal Majalla"/>
          <w:b w:val="0"/>
          <w:bCs/>
          <w:sz w:val="36"/>
          <w:szCs w:val="32"/>
        </w:rPr>
      </w:pPr>
      <w:bookmarkStart w:id="3" w:name="_Toc208064597"/>
      <w:r w:rsidRPr="005525F6">
        <w:rPr>
          <w:rFonts w:ascii="Sakkal Majalla" w:eastAsiaTheme="minorHAnsi" w:hAnsi="Sakkal Majalla" w:cs="Sakkal Majalla"/>
          <w:b w:val="0"/>
          <w:bCs/>
          <w:sz w:val="36"/>
          <w:szCs w:val="32"/>
          <w:rtl/>
        </w:rPr>
        <w:t>أهمية الدراسة</w:t>
      </w:r>
      <w:bookmarkEnd w:id="3"/>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تعتمد أهمية هذه الدراسة على إسهاماتها النظرية والتطبيقية فيما يلي:</w:t>
      </w:r>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الأهمية النظرية:</w:t>
      </w:r>
    </w:p>
    <w:p w:rsidR="005525F6" w:rsidRPr="005525F6" w:rsidRDefault="005525F6" w:rsidP="005525F6">
      <w:pPr>
        <w:numPr>
          <w:ilvl w:val="0"/>
          <w:numId w:val="8"/>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تسد فجوة بحثية تتعلق بدور إدارة المشاريع في تعزيز جاهزية القطاعات الاقتصادية، خصوصا قطاع التجزئة.</w:t>
      </w:r>
    </w:p>
    <w:p w:rsidR="005525F6" w:rsidRPr="005525F6" w:rsidRDefault="005525F6" w:rsidP="005525F6">
      <w:pPr>
        <w:numPr>
          <w:ilvl w:val="0"/>
          <w:numId w:val="8"/>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تدمج بين مفاهيم إدارية واستراتيجية معاصرة إدارة المشاريع التحول الاقتصادي، الجاهزية التنظيمية).</w:t>
      </w:r>
    </w:p>
    <w:p w:rsidR="005525F6" w:rsidRPr="005525F6" w:rsidRDefault="005525F6" w:rsidP="005525F6">
      <w:pPr>
        <w:numPr>
          <w:ilvl w:val="0"/>
          <w:numId w:val="8"/>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تسهم في إثراء الأدبيات العربية بدراسة تطبيقية حديثة تدعم مستهدفات رؤية المملكة 2030.</w:t>
      </w:r>
    </w:p>
    <w:p w:rsidR="005525F6" w:rsidRPr="005525F6" w:rsidRDefault="005525F6" w:rsidP="005525F6">
      <w:pPr>
        <w:numPr>
          <w:ilvl w:val="0"/>
          <w:numId w:val="8"/>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توفر إطارا نظرنا يمكن البناء عليه في دراسات لاحقة في قطاعات مختلفة أو في سياقات دولية مقارنة.</w:t>
      </w:r>
    </w:p>
    <w:p w:rsidR="005525F6" w:rsidRPr="005525F6" w:rsidRDefault="005525F6" w:rsidP="005525F6">
      <w:pPr>
        <w:numPr>
          <w:ilvl w:val="0"/>
          <w:numId w:val="8"/>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تقدم نموذجا لتحليل العلاقة بين أبعاد مبادرات إدارة المشاريع وجاهزية المنظمات</w:t>
      </w:r>
      <w:r w:rsidRPr="005525F6">
        <w:rPr>
          <w:rFonts w:ascii="Sakkal Majalla" w:eastAsiaTheme="minorHAnsi" w:hAnsi="Sakkal Majalla" w:cs="Sakkal Majalla"/>
          <w:color w:val="auto"/>
          <w:sz w:val="32"/>
          <w:szCs w:val="32"/>
        </w:rPr>
        <w:t>.</w:t>
      </w:r>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lastRenderedPageBreak/>
        <w:t>الأهمية التطبيقية:</w:t>
      </w:r>
    </w:p>
    <w:p w:rsidR="005525F6" w:rsidRPr="005525F6" w:rsidRDefault="005525F6" w:rsidP="005525F6">
      <w:pPr>
        <w:numPr>
          <w:ilvl w:val="0"/>
          <w:numId w:val="9"/>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تساعد صناع القرار في قطاع التجزئة على فهم تأثير تبني إدارة المشاريع في رفع مستوى الاستعداد للتحول الاقتصادي.</w:t>
      </w:r>
    </w:p>
    <w:p w:rsidR="005525F6" w:rsidRPr="005525F6" w:rsidRDefault="005525F6" w:rsidP="005525F6">
      <w:pPr>
        <w:numPr>
          <w:ilvl w:val="0"/>
          <w:numId w:val="9"/>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تقدم مؤشرات عملية لتحسين البنية التنظيمية والمواءمة الاستراتيجية داخل مؤسسات التجزئة.</w:t>
      </w:r>
    </w:p>
    <w:p w:rsidR="005525F6" w:rsidRPr="005525F6" w:rsidRDefault="005525F6" w:rsidP="005525F6">
      <w:pPr>
        <w:numPr>
          <w:ilvl w:val="0"/>
          <w:numId w:val="9"/>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تدعم جهود القطاع في التكيف مع التحولات الوطنية في مجالات التوطين، الرقمنة، وتحسين بيئة الأعمال.</w:t>
      </w:r>
    </w:p>
    <w:p w:rsidR="005525F6" w:rsidRPr="005525F6" w:rsidRDefault="005525F6" w:rsidP="005525F6">
      <w:pPr>
        <w:numPr>
          <w:ilvl w:val="0"/>
          <w:numId w:val="9"/>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تبرز أهمية تدريب وتأهيل الكوادر البشرية على ممارسات إدارة المشاريع الحديثة للتحقيق الأثر. الاستراتيجي.</w:t>
      </w:r>
    </w:p>
    <w:p w:rsidR="005525F6" w:rsidRPr="005525F6" w:rsidRDefault="005525F6" w:rsidP="005525F6">
      <w:pPr>
        <w:numPr>
          <w:ilvl w:val="0"/>
          <w:numId w:val="9"/>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تساهم في توجيه المؤسسات نحو اختيار المنهجيات والأدوات المناسبة لتعزيز نجاح مشاريعها ورفع تنافسيتها.</w:t>
      </w:r>
    </w:p>
    <w:p w:rsidR="005525F6" w:rsidRPr="005525F6" w:rsidRDefault="005525F6" w:rsidP="00795130">
      <w:pPr>
        <w:pStyle w:val="Heading1"/>
        <w:bidi/>
        <w:jc w:val="lowKashida"/>
        <w:rPr>
          <w:rFonts w:ascii="Sakkal Majalla" w:eastAsiaTheme="minorHAnsi" w:hAnsi="Sakkal Majalla" w:cs="Sakkal Majalla"/>
          <w:b w:val="0"/>
          <w:bCs/>
          <w:sz w:val="36"/>
          <w:szCs w:val="32"/>
        </w:rPr>
      </w:pPr>
      <w:bookmarkStart w:id="4" w:name="_Toc208064598"/>
      <w:r w:rsidRPr="005525F6">
        <w:rPr>
          <w:rFonts w:ascii="Sakkal Majalla" w:eastAsiaTheme="minorHAnsi" w:hAnsi="Sakkal Majalla" w:cs="Sakkal Majalla"/>
          <w:b w:val="0"/>
          <w:bCs/>
          <w:sz w:val="36"/>
          <w:szCs w:val="32"/>
          <w:rtl/>
        </w:rPr>
        <w:t>أهداف الدراسة</w:t>
      </w:r>
      <w:bookmarkEnd w:id="4"/>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تهدف هذه الدراسة إلى تحليل أثر تبني مبادرات إدارة المشاريع بأبعادها الهيكل التنظيمي، المنهجيات والأدوات تنمية القدرات البشرية، والمواءمة الاستراتيجية على جاهزية قطاع التجزئة في المملكة العربية السعودية لمواكبة متطلبات التحول الاقتصادي وفق رؤية 2030، ويتفرع منه مجموعة من الأهداف الفرعية:</w:t>
      </w:r>
    </w:p>
    <w:p w:rsidR="005525F6" w:rsidRPr="005525F6" w:rsidRDefault="005525F6" w:rsidP="005525F6">
      <w:pPr>
        <w:numPr>
          <w:ilvl w:val="0"/>
          <w:numId w:val="10"/>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التعرف على أثر الهيكل التنظيمي الداعم لإدارة المشاريع على جاهزية القطاع التجزئة للتحول الاقتصادي.</w:t>
      </w:r>
    </w:p>
    <w:p w:rsidR="005525F6" w:rsidRPr="005525F6" w:rsidRDefault="005525F6" w:rsidP="005525F6">
      <w:pPr>
        <w:numPr>
          <w:ilvl w:val="0"/>
          <w:numId w:val="10"/>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lastRenderedPageBreak/>
        <w:t>تحليل أثر استخدام المنهجيات والأدوات الحديثة في إدارة المشاريع على جاهزية قطاع التجزئة للتحول الاقتصادي.</w:t>
      </w:r>
    </w:p>
    <w:p w:rsidR="005525F6" w:rsidRPr="005525F6" w:rsidRDefault="005525F6" w:rsidP="005525F6">
      <w:pPr>
        <w:numPr>
          <w:ilvl w:val="0"/>
          <w:numId w:val="10"/>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دراسة أثر تنمية القدرات البشرية في مجال إدارة المشاريع على جاهزية قطاع التجزئة للتحول. الاقتصادي.</w:t>
      </w:r>
    </w:p>
    <w:p w:rsidR="005525F6" w:rsidRPr="005525F6" w:rsidRDefault="005525F6" w:rsidP="005525F6">
      <w:pPr>
        <w:numPr>
          <w:ilvl w:val="0"/>
          <w:numId w:val="10"/>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ب</w:t>
      </w:r>
      <w:r w:rsidRPr="005525F6">
        <w:rPr>
          <w:rFonts w:ascii="Sakkal Majalla" w:eastAsiaTheme="minorHAnsi" w:hAnsi="Sakkal Majalla" w:cs="Sakkal Majalla" w:hint="cs"/>
          <w:color w:val="auto"/>
          <w:sz w:val="32"/>
          <w:szCs w:val="32"/>
          <w:rtl/>
        </w:rPr>
        <w:t>ی</w:t>
      </w:r>
      <w:r w:rsidRPr="005525F6">
        <w:rPr>
          <w:rFonts w:ascii="Sakkal Majalla" w:eastAsiaTheme="minorHAnsi" w:hAnsi="Sakkal Majalla" w:cs="Sakkal Majalla" w:hint="eastAsia"/>
          <w:color w:val="auto"/>
          <w:sz w:val="32"/>
          <w:szCs w:val="32"/>
          <w:rtl/>
        </w:rPr>
        <w:t>ان</w:t>
      </w:r>
      <w:r w:rsidRPr="005525F6">
        <w:rPr>
          <w:rFonts w:ascii="Sakkal Majalla" w:eastAsiaTheme="minorHAnsi" w:hAnsi="Sakkal Majalla" w:cs="Sakkal Majalla"/>
          <w:color w:val="auto"/>
          <w:sz w:val="32"/>
          <w:szCs w:val="32"/>
          <w:rtl/>
        </w:rPr>
        <w:t xml:space="preserve"> اثر مواسعة مبادرات المشاريع مع الأهداف الاستراتيجية الرؤية 2030 على جاهزية القطاع التجزئة للتحول الاقتصادي.</w:t>
      </w:r>
    </w:p>
    <w:p w:rsidR="005525F6" w:rsidRPr="005525F6" w:rsidRDefault="005525F6" w:rsidP="005525F6">
      <w:pPr>
        <w:numPr>
          <w:ilvl w:val="0"/>
          <w:numId w:val="10"/>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تقديم توصيات وآليات مقترحة لتعزيز جاهزية قطاع التجزئة من خلال تبني أفضل ممارسات إدارة المشاريع بما يتوافق مع مستهدفات رؤية المملكة 2030.</w:t>
      </w:r>
    </w:p>
    <w:p w:rsidR="005525F6" w:rsidRPr="005525F6" w:rsidRDefault="005525F6" w:rsidP="00795130">
      <w:pPr>
        <w:pStyle w:val="Heading1"/>
        <w:bidi/>
        <w:jc w:val="lowKashida"/>
        <w:rPr>
          <w:rFonts w:ascii="Sakkal Majalla" w:eastAsiaTheme="minorHAnsi" w:hAnsi="Sakkal Majalla" w:cs="Sakkal Majalla"/>
          <w:b w:val="0"/>
          <w:bCs/>
          <w:sz w:val="36"/>
          <w:szCs w:val="32"/>
        </w:rPr>
      </w:pPr>
      <w:bookmarkStart w:id="5" w:name="_Toc208064599"/>
      <w:r w:rsidRPr="005525F6">
        <w:rPr>
          <w:rFonts w:ascii="Sakkal Majalla" w:eastAsiaTheme="minorHAnsi" w:hAnsi="Sakkal Majalla" w:cs="Sakkal Majalla"/>
          <w:b w:val="0"/>
          <w:bCs/>
          <w:sz w:val="36"/>
          <w:szCs w:val="32"/>
          <w:rtl/>
        </w:rPr>
        <w:t>تساؤلات الدراسة</w:t>
      </w:r>
      <w:bookmarkEnd w:id="5"/>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السؤال الرئيسي الأول: ما أثر تبني مبادرات إدارة المشاريع بأبعادها الهيكل التنظيمي، المنهجيات والأدوات، تنمية القدرات البشرية المواءمة الاستراتيجية على جاهزية قطاع التجزئة في المملكة العربية السعودية لمواكبة التحول الاقتصادي وفقا لرؤية 2030، وتتفرع منه عدة أسئلة فرعية كالتالي :</w:t>
      </w:r>
    </w:p>
    <w:p w:rsidR="005525F6" w:rsidRPr="005525F6" w:rsidRDefault="005525F6" w:rsidP="005525F6">
      <w:pPr>
        <w:numPr>
          <w:ilvl w:val="0"/>
          <w:numId w:val="11"/>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ما مدى تأثير الهيكل التنظيمي الداعم الإدارة المشاريع على جاهزية قطاع التجزئة المواكبة التحول الاقتصادي؟</w:t>
      </w:r>
    </w:p>
    <w:p w:rsidR="005525F6" w:rsidRPr="005525F6" w:rsidRDefault="005525F6" w:rsidP="005525F6">
      <w:pPr>
        <w:numPr>
          <w:ilvl w:val="0"/>
          <w:numId w:val="11"/>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إلى أي مدى يسهم استخدام المنهجيات والأدوات الحديثة في إدارة المشاريع في رفع جاهزية قطاع التجزئة المتطلبات التحول الاقتصادي؟</w:t>
      </w:r>
    </w:p>
    <w:p w:rsidR="005525F6" w:rsidRPr="005525F6" w:rsidRDefault="005525F6" w:rsidP="005525F6">
      <w:pPr>
        <w:numPr>
          <w:ilvl w:val="0"/>
          <w:numId w:val="11"/>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ما دور تنمية القدرات البشرية في مجال إدارة المشاريع في تعزيز جاهزية قطاع التجزئة للتحول الاقتصادي؟</w:t>
      </w:r>
    </w:p>
    <w:p w:rsidR="005525F6" w:rsidRPr="005525F6" w:rsidRDefault="005525F6" w:rsidP="005525F6">
      <w:pPr>
        <w:numPr>
          <w:ilvl w:val="0"/>
          <w:numId w:val="11"/>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lastRenderedPageBreak/>
        <w:t>كيف تؤثر مواءمة مبادرات المشاريع مع الأهداف الاستراتيجية لرؤية 2030 على جاهزية القطاع التجزئة</w:t>
      </w:r>
    </w:p>
    <w:p w:rsidR="005525F6" w:rsidRPr="005525F6" w:rsidRDefault="005525F6" w:rsidP="005525F6">
      <w:pPr>
        <w:numPr>
          <w:ilvl w:val="0"/>
          <w:numId w:val="11"/>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ما أبرز التوصيات والآليات المقترحة لتعزيز جاهزية القطاع التجزئة من خلال تبني ممارسات فعالة في إدارة المشاريع بما يتماشى مع رؤية المملكة 2030.</w:t>
      </w:r>
    </w:p>
    <w:p w:rsidR="005525F6" w:rsidRPr="005525F6" w:rsidRDefault="005525F6" w:rsidP="00795130">
      <w:pPr>
        <w:pStyle w:val="Heading1"/>
        <w:bidi/>
        <w:jc w:val="lowKashida"/>
        <w:rPr>
          <w:rFonts w:ascii="Sakkal Majalla" w:eastAsiaTheme="minorHAnsi" w:hAnsi="Sakkal Majalla" w:cs="Sakkal Majalla"/>
          <w:b w:val="0"/>
          <w:bCs/>
          <w:sz w:val="36"/>
          <w:szCs w:val="32"/>
        </w:rPr>
      </w:pPr>
      <w:bookmarkStart w:id="6" w:name="_Toc208064600"/>
      <w:r w:rsidRPr="005525F6">
        <w:rPr>
          <w:rFonts w:ascii="Sakkal Majalla" w:eastAsiaTheme="minorHAnsi" w:hAnsi="Sakkal Majalla" w:cs="Sakkal Majalla"/>
          <w:b w:val="0"/>
          <w:bCs/>
          <w:sz w:val="36"/>
          <w:szCs w:val="32"/>
          <w:rtl/>
        </w:rPr>
        <w:t>فروض الدراسة</w:t>
      </w:r>
      <w:bookmarkEnd w:id="6"/>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التحقيق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p>
    <w:p w:rsidR="005525F6" w:rsidRPr="005525F6" w:rsidRDefault="005525F6" w:rsidP="005525F6">
      <w:pPr>
        <w:numPr>
          <w:ilvl w:val="0"/>
          <w:numId w:val="12"/>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الفرضية الرئيسة الأول: لا يوجد أثر ذو دلالة إحصائية لتبني مبادرات إدارة المشاريع بأبعادها مجتمعة الهيكل التنظيمي، المنهجيات والأدوات تنمية القدرات البشرية المواءمة الاستراتيجية) على جاهزية القطاع التجزئة المواكبة التحول الاقتصادي في المملكة العربية السعودية وفق رؤية 2030.</w:t>
      </w:r>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وينبثق من هذه الفرضية الفرضيات الفرعية التالية:</w:t>
      </w:r>
    </w:p>
    <w:p w:rsidR="005525F6" w:rsidRPr="005525F6" w:rsidRDefault="005525F6" w:rsidP="005525F6">
      <w:pPr>
        <w:numPr>
          <w:ilvl w:val="0"/>
          <w:numId w:val="12"/>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لا يوجد أثر ذو دلالة إحصائية للهيكل التنظيمي الداعم الإدارة المشاريع على جاهزية قطاع التجزئة لمواكبة التحول الاقتصادي وفق رؤية 2030 .</w:t>
      </w:r>
    </w:p>
    <w:p w:rsidR="005525F6" w:rsidRPr="005525F6" w:rsidRDefault="005525F6" w:rsidP="005525F6">
      <w:pPr>
        <w:numPr>
          <w:ilvl w:val="0"/>
          <w:numId w:val="12"/>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لا يوجد أثر ذو دلالة إحصائية لاستخدام المنهجيات والأدوات الحديثة في إدارة المشاريع على جاهزية قطاع التجزئة لمواكبة التحول الاقتصادي وفق رؤية 2030 .</w:t>
      </w:r>
    </w:p>
    <w:p w:rsidR="005525F6" w:rsidRPr="005525F6" w:rsidRDefault="005525F6" w:rsidP="005525F6">
      <w:pPr>
        <w:numPr>
          <w:ilvl w:val="0"/>
          <w:numId w:val="12"/>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لا يوجد أثر ذو دلالة إحصائية التنمية القدرات البشرية في مجال إدارة المشاريع على جاهزية قطاع التجزئة لمواكبة التحول الاقتصادي وفق رؤية 2030 .</w:t>
      </w:r>
    </w:p>
    <w:p w:rsidR="005525F6" w:rsidRPr="005525F6" w:rsidRDefault="005525F6" w:rsidP="005525F6">
      <w:pPr>
        <w:numPr>
          <w:ilvl w:val="0"/>
          <w:numId w:val="12"/>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lastRenderedPageBreak/>
        <w:t>لا يوجد أثر ذو دلالة إحصائية المواءمة مبادرات المشاريع مع الأهداف الاستراتيجية الرؤية 2030 على جاهزية قطاع التجزئة لمواكبة التحول الاقتصادي .</w:t>
      </w:r>
    </w:p>
    <w:p w:rsidR="005525F6" w:rsidRPr="005525F6" w:rsidRDefault="005525F6" w:rsidP="00795130">
      <w:pPr>
        <w:pStyle w:val="Heading1"/>
        <w:bidi/>
        <w:jc w:val="lowKashida"/>
        <w:rPr>
          <w:rFonts w:ascii="Sakkal Majalla" w:eastAsiaTheme="minorHAnsi" w:hAnsi="Sakkal Majalla" w:cs="Sakkal Majalla"/>
          <w:b w:val="0"/>
          <w:bCs/>
          <w:sz w:val="36"/>
          <w:szCs w:val="32"/>
        </w:rPr>
      </w:pPr>
      <w:bookmarkStart w:id="7" w:name="_Toc208064601"/>
      <w:r w:rsidRPr="005525F6">
        <w:rPr>
          <w:rFonts w:ascii="Sakkal Majalla" w:eastAsiaTheme="minorHAnsi" w:hAnsi="Sakkal Majalla" w:cs="Sakkal Majalla"/>
          <w:b w:val="0"/>
          <w:bCs/>
          <w:sz w:val="36"/>
          <w:szCs w:val="32"/>
          <w:rtl/>
        </w:rPr>
        <w:t>الدراسات السابقة</w:t>
      </w:r>
      <w:bookmarkEnd w:id="7"/>
    </w:p>
    <w:p w:rsidR="005525F6" w:rsidRPr="005525F6" w:rsidRDefault="005525F6" w:rsidP="005525F6">
      <w:pPr>
        <w:bidi w:val="0"/>
        <w:spacing w:after="160" w:line="360" w:lineRule="auto"/>
        <w:ind w:left="0" w:right="0" w:firstLine="0"/>
        <w:rPr>
          <w:rFonts w:ascii="Sakkal Majalla" w:eastAsiaTheme="minorHAnsi" w:hAnsi="Sakkal Majalla" w:cs="Sakkal Majalla"/>
          <w:b/>
          <w:bCs/>
          <w:color w:val="auto"/>
          <w:sz w:val="32"/>
          <w:szCs w:val="32"/>
        </w:rPr>
      </w:pPr>
      <w:r w:rsidRPr="005525F6">
        <w:rPr>
          <w:rFonts w:ascii="Sakkal Majalla" w:eastAsiaTheme="minorHAnsi" w:hAnsi="Sakkal Majalla" w:cs="Sakkal Majalla"/>
          <w:b/>
          <w:bCs/>
          <w:color w:val="auto"/>
          <w:sz w:val="32"/>
          <w:szCs w:val="32"/>
        </w:rPr>
        <w:t xml:space="preserve">(Dahmer, 2024) </w:t>
      </w:r>
      <w:r w:rsidRPr="005525F6">
        <w:rPr>
          <w:rFonts w:ascii="Sakkal Majalla" w:eastAsiaTheme="minorHAnsi" w:hAnsi="Sakkal Majalla" w:cs="Sakkal Majalla"/>
          <w:b/>
          <w:bCs/>
          <w:color w:val="auto"/>
          <w:sz w:val="32"/>
          <w:szCs w:val="32"/>
          <w:rtl/>
        </w:rPr>
        <w:t>دراسة</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هدفت الدراسة إلى التعرف على دور إدارة المشاريع بأبعادها المنهجيات الرشيقة، الأدوات الرقمية. والتقنيات الناشئة مثل الذكاء الاصطناعي والأتمنة) في دعم جهود التحول الرقمي داخل المؤسسات وتعزيز نسب نجاح المشاريع في ظل تسارع التغيرات التكنولوجية وتبذل متطلبات السوق، واستخدمت الدراسة المنهج الوصفي التحليلي من خلال مراجعة الأدبيات العلمية المتعلقة بإدارة المشاريع والتحول</w:t>
      </w:r>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الرقمي، مع التركيز على تطبيقات المؤسسات الصغيرة والمتوسطة (</w:t>
      </w:r>
      <w:r w:rsidRPr="005525F6">
        <w:rPr>
          <w:rFonts w:ascii="Sakkal Majalla" w:eastAsiaTheme="minorHAnsi" w:hAnsi="Sakkal Majalla" w:cs="Sakkal Majalla"/>
          <w:color w:val="auto"/>
          <w:sz w:val="32"/>
          <w:szCs w:val="32"/>
        </w:rPr>
        <w:t xml:space="preserve">SMEs) </w:t>
      </w:r>
      <w:r w:rsidRPr="005525F6">
        <w:rPr>
          <w:rFonts w:ascii="Sakkal Majalla" w:eastAsiaTheme="minorHAnsi" w:hAnsi="Sakkal Majalla" w:cs="Sakkal Majalla"/>
          <w:color w:val="auto"/>
          <w:sz w:val="32"/>
          <w:szCs w:val="32"/>
          <w:rtl/>
        </w:rPr>
        <w:t xml:space="preserve">وتوصلت النتائج إلى أن استخدام منهجيات رشيقة مثل </w:t>
      </w:r>
      <w:r w:rsidRPr="005525F6">
        <w:rPr>
          <w:rFonts w:ascii="Sakkal Majalla" w:eastAsiaTheme="minorHAnsi" w:hAnsi="Sakkal Majalla" w:cs="Sakkal Majalla"/>
          <w:color w:val="auto"/>
          <w:sz w:val="32"/>
          <w:szCs w:val="32"/>
        </w:rPr>
        <w:t>Scrum</w:t>
      </w:r>
      <w:r w:rsidRPr="005525F6">
        <w:rPr>
          <w:rFonts w:ascii="Sakkal Majalla" w:eastAsiaTheme="minorHAnsi" w:hAnsi="Sakkal Majalla" w:cs="Sakkal Majalla"/>
          <w:color w:val="auto"/>
          <w:sz w:val="32"/>
          <w:szCs w:val="32"/>
          <w:rtl/>
        </w:rPr>
        <w:t xml:space="preserve"> و </w:t>
      </w:r>
      <w:r w:rsidRPr="005525F6">
        <w:rPr>
          <w:rFonts w:ascii="Sakkal Majalla" w:eastAsiaTheme="minorHAnsi" w:hAnsi="Sakkal Majalla" w:cs="Sakkal Majalla"/>
          <w:color w:val="auto"/>
          <w:sz w:val="32"/>
          <w:szCs w:val="32"/>
        </w:rPr>
        <w:t>Kanban</w:t>
      </w:r>
      <w:r w:rsidRPr="005525F6">
        <w:rPr>
          <w:rFonts w:ascii="Sakkal Majalla" w:eastAsiaTheme="minorHAnsi" w:hAnsi="Sakkal Majalla" w:cs="Sakkal Majalla"/>
          <w:color w:val="auto"/>
          <w:sz w:val="32"/>
          <w:szCs w:val="32"/>
          <w:rtl/>
        </w:rPr>
        <w:t xml:space="preserve">، واعتماد أدوات رقمية مثل </w:t>
      </w:r>
      <w:r w:rsidRPr="005525F6">
        <w:rPr>
          <w:rFonts w:ascii="Sakkal Majalla" w:eastAsiaTheme="minorHAnsi" w:hAnsi="Sakkal Majalla" w:cs="Sakkal Majalla"/>
          <w:color w:val="auto"/>
          <w:sz w:val="32"/>
          <w:szCs w:val="32"/>
        </w:rPr>
        <w:t>Trello</w:t>
      </w:r>
      <w:r w:rsidRPr="005525F6">
        <w:rPr>
          <w:rFonts w:ascii="Sakkal Majalla" w:eastAsiaTheme="minorHAnsi" w:hAnsi="Sakkal Majalla" w:cs="Sakkal Majalla"/>
          <w:color w:val="auto"/>
          <w:sz w:val="32"/>
          <w:szCs w:val="32"/>
          <w:rtl/>
        </w:rPr>
        <w:t xml:space="preserve"> و </w:t>
      </w:r>
      <w:r w:rsidRPr="005525F6">
        <w:rPr>
          <w:rFonts w:ascii="Sakkal Majalla" w:eastAsiaTheme="minorHAnsi" w:hAnsi="Sakkal Majalla" w:cs="Sakkal Majalla"/>
          <w:color w:val="auto"/>
          <w:sz w:val="32"/>
          <w:szCs w:val="32"/>
        </w:rPr>
        <w:t xml:space="preserve">Asana </w:t>
      </w:r>
      <w:proofErr w:type="spellStart"/>
      <w:r w:rsidRPr="005525F6">
        <w:rPr>
          <w:rFonts w:ascii="Sakkal Majalla" w:eastAsiaTheme="minorHAnsi" w:hAnsi="Sakkal Majalla" w:cs="Sakkal Majalla"/>
          <w:color w:val="auto"/>
          <w:sz w:val="32"/>
          <w:szCs w:val="32"/>
        </w:rPr>
        <w:t>Jiray</w:t>
      </w:r>
      <w:proofErr w:type="spellEnd"/>
      <w:r w:rsidRPr="005525F6">
        <w:rPr>
          <w:rFonts w:ascii="Sakkal Majalla" w:eastAsiaTheme="minorHAnsi" w:hAnsi="Sakkal Majalla" w:cs="Sakkal Majalla"/>
          <w:color w:val="auto"/>
          <w:sz w:val="32"/>
          <w:szCs w:val="32"/>
          <w:rtl/>
        </w:rPr>
        <w:t xml:space="preserve"> يسهم في تحسين التعاون بين الفرق، وتسريع الاستجابة لاحتياجات العملاء، واتخاذ قرارات مستنيرة بناء على تحليل البيانات. كما أظهرت الدراسة أن تقنيات الذكاء الاصطناعي والأتمتة تمثل. الفرصة لإعادة تشكيل إدارة المشاريع من خلال أتمتة المهام وتحسين تخصيص الموارد، وأوصت الدراسة بأهمية تدريب الكوادر على المهارات الرقمية، وتبني مزيج تكاملي من الأساليب التقليدية والرشيقة الضمان التكيف مع متطلبات الاقتصاد الرقمي وتحقيق الاستدامة المؤسسية .</w:t>
      </w:r>
    </w:p>
    <w:p w:rsidR="005525F6" w:rsidRPr="005525F6" w:rsidRDefault="005525F6" w:rsidP="005525F6">
      <w:pPr>
        <w:bidi w:val="0"/>
        <w:spacing w:after="160" w:line="360" w:lineRule="auto"/>
        <w:ind w:left="0" w:right="0" w:firstLine="0"/>
        <w:rPr>
          <w:rFonts w:ascii="Sakkal Majalla" w:eastAsiaTheme="minorHAnsi" w:hAnsi="Sakkal Majalla" w:cs="Sakkal Majalla"/>
          <w:b/>
          <w:bCs/>
          <w:color w:val="auto"/>
          <w:sz w:val="32"/>
          <w:szCs w:val="32"/>
        </w:rPr>
      </w:pPr>
      <w:r w:rsidRPr="005525F6">
        <w:rPr>
          <w:rFonts w:ascii="Sakkal Majalla" w:eastAsiaTheme="minorHAnsi" w:hAnsi="Sakkal Majalla" w:cs="Sakkal Majalla"/>
          <w:b/>
          <w:bCs/>
          <w:color w:val="auto"/>
          <w:sz w:val="32"/>
          <w:szCs w:val="32"/>
        </w:rPr>
        <w:t xml:space="preserve">(Shafi,2024) </w:t>
      </w:r>
      <w:r w:rsidRPr="005525F6">
        <w:rPr>
          <w:rFonts w:ascii="Sakkal Majalla" w:eastAsiaTheme="minorHAnsi" w:hAnsi="Sakkal Majalla" w:cs="Sakkal Majalla"/>
          <w:b/>
          <w:bCs/>
          <w:color w:val="auto"/>
          <w:sz w:val="32"/>
          <w:szCs w:val="32"/>
          <w:rtl/>
        </w:rPr>
        <w:t>دراسة</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 xml:space="preserve">هدفت الدراسة إلى التعرف على سبل إدارة عدم اليقين في بيئة إدارة المشاريع، من خلال تحليل عشرة محاور رئيسية تشمل: التكيف، إدارة المخاطر الاستباقية، إشراك أصحاب المصلحة التخطيط بالسيناريوهات التغذية الراجعة المستمرة الشراكات الاستراتيجية الامتثال التنظيمي، إدارة الموارد. </w:t>
      </w:r>
      <w:r w:rsidRPr="005525F6">
        <w:rPr>
          <w:rFonts w:ascii="Sakkal Majalla" w:eastAsiaTheme="minorHAnsi" w:hAnsi="Sakkal Majalla" w:cs="Sakkal Majalla"/>
          <w:color w:val="auto"/>
          <w:sz w:val="32"/>
          <w:szCs w:val="32"/>
          <w:rtl/>
        </w:rPr>
        <w:lastRenderedPageBreak/>
        <w:t>التواصل، والقيادة، وذلك بهدف تحقيق الاستقرار والمرونة في البيئات المتغيرة، واستخدمت الدراسة المنهج النوعي من خلال تحليل خمس دراسات حالة ميدانية في قطاعات مختلفة، إلى جانب مقابلات معمقة مع مديري مشاريع وتوصلت النتائج إلى أن التكيف بعد العامل الأهم في تعزيز القدرة على مواجهة التحديات، لا سيما عند توظيف الأساليب الرشيقة في قطاعات مثل الطيران والرعاية الصحية والتمويل، كما أن الإدارة الاستباقية للمخاطر والتخطيط بالسيناريوهات يقلان من احتمالية الأزمات. وأوصت الدراسة بتبني إطار متكامل الإدارة عدم اليقين يعزز من ثقافة الابتكار والمرونة، ويهين المؤسسات للنجاح في بينات ديناميكية ومعقدة.</w:t>
      </w:r>
    </w:p>
    <w:p w:rsidR="005525F6" w:rsidRPr="005525F6" w:rsidRDefault="005525F6" w:rsidP="005525F6">
      <w:pPr>
        <w:bidi w:val="0"/>
        <w:spacing w:after="160" w:line="360" w:lineRule="auto"/>
        <w:ind w:left="0" w:right="0" w:firstLine="0"/>
        <w:rPr>
          <w:rFonts w:ascii="Sakkal Majalla" w:eastAsiaTheme="minorHAnsi" w:hAnsi="Sakkal Majalla" w:cs="Sakkal Majalla"/>
          <w:b/>
          <w:bCs/>
          <w:color w:val="auto"/>
          <w:sz w:val="32"/>
          <w:szCs w:val="32"/>
          <w:rtl/>
        </w:rPr>
      </w:pPr>
      <w:r w:rsidRPr="005525F6">
        <w:rPr>
          <w:rFonts w:ascii="Sakkal Majalla" w:eastAsiaTheme="minorHAnsi" w:hAnsi="Sakkal Majalla" w:cs="Sakkal Majalla"/>
          <w:b/>
          <w:bCs/>
          <w:color w:val="auto"/>
          <w:sz w:val="32"/>
          <w:szCs w:val="32"/>
        </w:rPr>
        <w:t xml:space="preserve">(Patricio </w:t>
      </w:r>
      <w:proofErr w:type="spellStart"/>
      <w:r w:rsidRPr="005525F6">
        <w:rPr>
          <w:rFonts w:ascii="Sakkal Majalla" w:eastAsiaTheme="minorHAnsi" w:hAnsi="Sakkal Majalla" w:cs="Sakkal Majalla"/>
          <w:b/>
          <w:bCs/>
          <w:color w:val="auto"/>
          <w:sz w:val="32"/>
          <w:szCs w:val="32"/>
        </w:rPr>
        <w:t>etal</w:t>
      </w:r>
      <w:proofErr w:type="spellEnd"/>
      <w:r w:rsidRPr="005525F6">
        <w:rPr>
          <w:rFonts w:ascii="Sakkal Majalla" w:eastAsiaTheme="minorHAnsi" w:hAnsi="Sakkal Majalla" w:cs="Sakkal Majalla"/>
          <w:b/>
          <w:bCs/>
          <w:color w:val="auto"/>
          <w:sz w:val="32"/>
          <w:szCs w:val="32"/>
        </w:rPr>
        <w:t xml:space="preserve">., 2022) </w:t>
      </w:r>
      <w:r w:rsidRPr="005525F6">
        <w:rPr>
          <w:rFonts w:ascii="Sakkal Majalla" w:eastAsiaTheme="minorHAnsi" w:hAnsi="Sakkal Majalla" w:cs="Sakkal Majalla"/>
          <w:b/>
          <w:bCs/>
          <w:color w:val="auto"/>
          <w:sz w:val="32"/>
          <w:szCs w:val="32"/>
          <w:rtl/>
        </w:rPr>
        <w:t>دراسة</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هدفت الدراسة إلى التعرف على أثر ممارسات إدارة المشاريع بأبعادها تراكم المعرفة، تكامل المعرفة استخدام المعرفة، وإعادة تشكيل المعرفة على تحول القدرات داخل المنظمات بهدف تطوير القدرات الديناميكية</w:t>
      </w:r>
      <w:r w:rsidRPr="005525F6">
        <w:rPr>
          <w:rFonts w:ascii="Sakkal Majalla" w:eastAsiaTheme="minorHAnsi" w:hAnsi="Sakkal Majalla" w:cs="Sakkal Majalla"/>
          <w:color w:val="auto"/>
          <w:sz w:val="32"/>
          <w:szCs w:val="32"/>
        </w:rPr>
        <w:t xml:space="preserve"> (Dynamic Capabilities) </w:t>
      </w:r>
      <w:r w:rsidRPr="005525F6">
        <w:rPr>
          <w:rFonts w:ascii="Sakkal Majalla" w:eastAsiaTheme="minorHAnsi" w:hAnsi="Sakkal Majalla" w:cs="Sakkal Majalla"/>
          <w:color w:val="auto"/>
          <w:sz w:val="32"/>
          <w:szCs w:val="32"/>
          <w:rtl/>
        </w:rPr>
        <w:t>واستخدمت الدراسة المنهج الكمي، من خلال تحليل بيانات 141 استبانة تم جمعها من محترفين لديهم خبرة في إدارة المشاريع، وذلك باستخدام نمذجة المعادلات الهيكلية بطريقة المربعات الصغرى الجزئية</w:t>
      </w:r>
      <w:r w:rsidRPr="005525F6">
        <w:rPr>
          <w:rFonts w:ascii="Sakkal Majalla" w:eastAsiaTheme="minorHAnsi" w:hAnsi="Sakkal Majalla" w:cs="Sakkal Majalla"/>
          <w:color w:val="auto"/>
          <w:sz w:val="32"/>
          <w:szCs w:val="32"/>
        </w:rPr>
        <w:t xml:space="preserve"> (PLS-SEM) </w:t>
      </w:r>
      <w:r w:rsidRPr="005525F6">
        <w:rPr>
          <w:rFonts w:ascii="Sakkal Majalla" w:eastAsiaTheme="minorHAnsi" w:hAnsi="Sakkal Majalla" w:cs="Sakkal Majalla"/>
          <w:color w:val="auto"/>
          <w:sz w:val="32"/>
          <w:szCs w:val="32"/>
          <w:rtl/>
        </w:rPr>
        <w:t>وتوصلت نتائج الدراسة إلى وجود ممارسات وعوامل محددة في إدارة المشاريع تسهم بشكل فعال في تحويل القدرات التنظيمية، مما يعزز من تطوير القدرات الديناميكية واستثمار المعرفة المكتسبة من المشاريع وأوصت الدراسة بضرورة اعتماد هذه الممارسات ضمن السياسات الإدارية للمؤسسات لتعزيز الابتكار والاستجابة للتغيرات البينية، كما أوصت باستخدام المقاييس المطورة في تقييم ممارسات إدارة المشاريع في الدراسات المستقبلية</w:t>
      </w:r>
      <w:r w:rsidRPr="005525F6">
        <w:rPr>
          <w:rFonts w:ascii="Sakkal Majalla" w:eastAsiaTheme="minorHAnsi" w:hAnsi="Sakkal Majalla" w:cs="Sakkal Majalla"/>
          <w:color w:val="auto"/>
          <w:sz w:val="32"/>
          <w:szCs w:val="32"/>
        </w:rPr>
        <w:t>.</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tl/>
        </w:rPr>
      </w:pPr>
    </w:p>
    <w:p w:rsidR="005525F6" w:rsidRPr="005525F6" w:rsidRDefault="005525F6" w:rsidP="005525F6">
      <w:pPr>
        <w:bidi w:val="0"/>
        <w:spacing w:after="160" w:line="360" w:lineRule="auto"/>
        <w:ind w:left="0" w:right="0" w:firstLine="0"/>
        <w:rPr>
          <w:rFonts w:ascii="Sakkal Majalla" w:eastAsiaTheme="minorHAnsi" w:hAnsi="Sakkal Majalla" w:cs="Sakkal Majalla"/>
          <w:b/>
          <w:bCs/>
          <w:color w:val="auto"/>
          <w:sz w:val="32"/>
          <w:szCs w:val="32"/>
          <w:rtl/>
        </w:rPr>
      </w:pPr>
      <w:r w:rsidRPr="005525F6">
        <w:rPr>
          <w:rFonts w:ascii="Sakkal Majalla" w:eastAsiaTheme="minorHAnsi" w:hAnsi="Sakkal Majalla" w:cs="Sakkal Majalla"/>
          <w:b/>
          <w:bCs/>
          <w:color w:val="auto"/>
          <w:sz w:val="32"/>
          <w:szCs w:val="32"/>
        </w:rPr>
        <w:lastRenderedPageBreak/>
        <w:t xml:space="preserve">(Wu et al., 2023) </w:t>
      </w:r>
      <w:r w:rsidRPr="005525F6">
        <w:rPr>
          <w:rFonts w:ascii="Sakkal Majalla" w:eastAsiaTheme="minorHAnsi" w:hAnsi="Sakkal Majalla" w:cs="Sakkal Majalla"/>
          <w:b/>
          <w:bCs/>
          <w:color w:val="auto"/>
          <w:sz w:val="32"/>
          <w:szCs w:val="32"/>
          <w:rtl/>
        </w:rPr>
        <w:t>دراسة</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هدفت الدراسة إلى التعرف على دور إدارة محافظ المشاريع (</w:t>
      </w:r>
      <w:r w:rsidRPr="005525F6">
        <w:rPr>
          <w:rFonts w:ascii="Sakkal Majalla" w:eastAsiaTheme="minorHAnsi" w:hAnsi="Sakkal Majalla" w:cs="Sakkal Majalla"/>
          <w:color w:val="auto"/>
          <w:sz w:val="32"/>
          <w:szCs w:val="32"/>
        </w:rPr>
        <w:t xml:space="preserve">( PPM </w:t>
      </w:r>
      <w:r w:rsidRPr="005525F6">
        <w:rPr>
          <w:rFonts w:ascii="Sakkal Majalla" w:eastAsiaTheme="minorHAnsi" w:hAnsi="Sakkal Majalla" w:cs="Sakkal Majalla"/>
          <w:color w:val="auto"/>
          <w:sz w:val="32"/>
          <w:szCs w:val="32"/>
          <w:rtl/>
        </w:rPr>
        <w:t xml:space="preserve">في تطوير القدرات الاستباقية داخل المنظمات، واستغلال الاضطرابات المستقبلية كفرص للنمو والتكيف بدلاً من اعتبارها تهديدات فقط، وذلك من خلال تقديم إطار عملي وخطوات تنفيذية التكامل </w:t>
      </w:r>
      <w:r w:rsidRPr="005525F6">
        <w:rPr>
          <w:rFonts w:ascii="Sakkal Majalla" w:eastAsiaTheme="minorHAnsi" w:hAnsi="Sakkal Majalla" w:cs="Sakkal Majalla"/>
          <w:color w:val="auto"/>
          <w:sz w:val="32"/>
          <w:szCs w:val="32"/>
        </w:rPr>
        <w:t>PPM</w:t>
      </w:r>
      <w:r w:rsidRPr="005525F6">
        <w:rPr>
          <w:rFonts w:ascii="Sakkal Majalla" w:eastAsiaTheme="minorHAnsi" w:hAnsi="Sakkal Majalla" w:cs="Sakkal Majalla"/>
          <w:color w:val="auto"/>
          <w:sz w:val="32"/>
          <w:szCs w:val="32"/>
          <w:rtl/>
        </w:rPr>
        <w:t xml:space="preserve"> في العمليات اليومية. واستخدمت الدراسة المنهج الوصفي التحليلي بالاعتماد على تقارير بحثية وشركاتية ومعايير مهنية ومواد صحفية متاحة للعامة، إضافة إلى مقابلة مع شركة استشارية واستبانة ميسرة، وتوصلت نتائج الدراسة إلى أن التطبيق الفعال لإدارة المحافظ يشمل ست خطوات رئيسية: مواءمة المشاريع مع الأهداف الاستراتيجية، تأسيس إطار حوكمة متين، تحسين قدرات الموارد، تبني منهجيات تنفيذ ملائمة</w:t>
      </w:r>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المراقبة والتقييم المستمر للمحفظة، وتطوير ثقافة تنظيمية تحتضن المخاطر والابتكار، وأوصت الدراسة بضرورة اعتماد نهج إدارة المحافظ كأداة استراتيجية للتعامل مع مستقبل مضطرب وغير مؤكد، وتوسيع نطاق البحوث المستقبلية لاستكشاف أساليب أخرى فعالة لمواجهة التحديات المستقبلية.</w:t>
      </w:r>
    </w:p>
    <w:p w:rsidR="005525F6" w:rsidRPr="005525F6" w:rsidRDefault="005525F6" w:rsidP="005525F6">
      <w:pPr>
        <w:bidi w:val="0"/>
        <w:spacing w:after="160" w:line="360" w:lineRule="auto"/>
        <w:ind w:left="0" w:right="0" w:firstLine="0"/>
        <w:rPr>
          <w:rFonts w:ascii="Sakkal Majalla" w:eastAsiaTheme="minorHAnsi" w:hAnsi="Sakkal Majalla" w:cs="Sakkal Majalla"/>
          <w:b/>
          <w:bCs/>
          <w:color w:val="auto"/>
          <w:sz w:val="32"/>
          <w:szCs w:val="32"/>
        </w:rPr>
      </w:pPr>
      <w:r w:rsidRPr="005525F6">
        <w:rPr>
          <w:rFonts w:ascii="Sakkal Majalla" w:eastAsiaTheme="minorHAnsi" w:hAnsi="Sakkal Majalla" w:cs="Sakkal Majalla"/>
          <w:b/>
          <w:bCs/>
          <w:color w:val="auto"/>
          <w:sz w:val="32"/>
          <w:szCs w:val="32"/>
        </w:rPr>
        <w:t>(</w:t>
      </w:r>
      <w:proofErr w:type="spellStart"/>
      <w:r w:rsidRPr="005525F6">
        <w:rPr>
          <w:rFonts w:ascii="Sakkal Majalla" w:eastAsiaTheme="minorHAnsi" w:hAnsi="Sakkal Majalla" w:cs="Sakkal Majalla"/>
          <w:b/>
          <w:bCs/>
          <w:color w:val="auto"/>
          <w:sz w:val="32"/>
          <w:szCs w:val="32"/>
        </w:rPr>
        <w:t>Mortadza</w:t>
      </w:r>
      <w:proofErr w:type="spellEnd"/>
      <w:r w:rsidRPr="005525F6">
        <w:rPr>
          <w:rFonts w:ascii="Sakkal Majalla" w:eastAsiaTheme="minorHAnsi" w:hAnsi="Sakkal Majalla" w:cs="Sakkal Majalla"/>
          <w:b/>
          <w:bCs/>
          <w:color w:val="auto"/>
          <w:sz w:val="32"/>
          <w:szCs w:val="32"/>
        </w:rPr>
        <w:t xml:space="preserve"> &amp; Rizal ,2024) </w:t>
      </w:r>
      <w:r w:rsidRPr="005525F6">
        <w:rPr>
          <w:rFonts w:ascii="Sakkal Majalla" w:eastAsiaTheme="minorHAnsi" w:hAnsi="Sakkal Majalla" w:cs="Sakkal Majalla"/>
          <w:b/>
          <w:bCs/>
          <w:color w:val="auto"/>
          <w:sz w:val="32"/>
          <w:szCs w:val="32"/>
          <w:rtl/>
        </w:rPr>
        <w:t>دراسة</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 xml:space="preserve">هدفت الدراسة إلى التعرف على دور أنظمة إدارة المشاريع الرقمية </w:t>
      </w:r>
      <w:r w:rsidRPr="005525F6">
        <w:rPr>
          <w:rFonts w:ascii="Sakkal Majalla" w:eastAsiaTheme="minorHAnsi" w:hAnsi="Sakkal Majalla" w:cs="Sakkal Majalla"/>
          <w:color w:val="auto"/>
          <w:sz w:val="32"/>
          <w:szCs w:val="32"/>
        </w:rPr>
        <w:t xml:space="preserve"> PMS </w:t>
      </w:r>
      <w:r w:rsidRPr="005525F6">
        <w:rPr>
          <w:rFonts w:ascii="Sakkal Majalla" w:eastAsiaTheme="minorHAnsi" w:hAnsi="Sakkal Majalla" w:cs="Sakkal Majalla"/>
          <w:color w:val="auto"/>
          <w:sz w:val="32"/>
          <w:szCs w:val="32"/>
          <w:rtl/>
        </w:rPr>
        <w:t xml:space="preserve">في تحسين تقارير تقدم المشاريع من خلال توجيد العمليات وتعزيز التعاون بين الفرق، مع دراسة العوامل المؤثرة في تبني هذه الأنظمة في المؤسسات، واستندت الدراسة إلى المنهج الوصفي التحليلي من خلال مراجعة الأدبيات ذات الصلة، وتطبيق نموذج قبول التكنولوجيا </w:t>
      </w:r>
      <w:r w:rsidRPr="005525F6">
        <w:rPr>
          <w:rFonts w:ascii="Sakkal Majalla" w:eastAsiaTheme="minorHAnsi" w:hAnsi="Sakkal Majalla" w:cs="Sakkal Majalla"/>
          <w:color w:val="auto"/>
          <w:sz w:val="32"/>
          <w:szCs w:val="32"/>
        </w:rPr>
        <w:t xml:space="preserve"> TAM </w:t>
      </w:r>
      <w:r w:rsidRPr="005525F6">
        <w:rPr>
          <w:rFonts w:ascii="Sakkal Majalla" w:eastAsiaTheme="minorHAnsi" w:hAnsi="Sakkal Majalla" w:cs="Sakkal Majalla"/>
          <w:color w:val="auto"/>
          <w:sz w:val="32"/>
          <w:szCs w:val="32"/>
          <w:rtl/>
        </w:rPr>
        <w:t xml:space="preserve">لتحليل محددات التبني وتوصلت نتائج الدراسة إلى أن </w:t>
      </w:r>
      <w:r w:rsidRPr="005525F6">
        <w:rPr>
          <w:rFonts w:ascii="Sakkal Majalla" w:eastAsiaTheme="minorHAnsi" w:hAnsi="Sakkal Majalla" w:cs="Sakkal Majalla"/>
          <w:color w:val="auto"/>
          <w:sz w:val="32"/>
          <w:szCs w:val="32"/>
        </w:rPr>
        <w:t>PMS</w:t>
      </w:r>
      <w:r w:rsidRPr="005525F6">
        <w:rPr>
          <w:rFonts w:ascii="Sakkal Majalla" w:eastAsiaTheme="minorHAnsi" w:hAnsi="Sakkal Majalla" w:cs="Sakkal Majalla"/>
          <w:color w:val="auto"/>
          <w:sz w:val="32"/>
          <w:szCs w:val="32"/>
          <w:rtl/>
        </w:rPr>
        <w:t xml:space="preserve"> الرقمية تمكن المؤسسات من تحقيق رؤية أنية للبيانات، وتقلل من المخاطر، وتحسن من دقة التقارير الأداء والتواصل بين أصحاب المصلحة، كما كشفت عن وجود معوقات أمام التبني الناجح، أبرزها. مقاومة التغيير الثقافي، وصعوبة التكامل، والحاجة إلى تدريب المستخدمين، إلى جانب </w:t>
      </w:r>
      <w:r w:rsidRPr="005525F6">
        <w:rPr>
          <w:rFonts w:ascii="Sakkal Majalla" w:eastAsiaTheme="minorHAnsi" w:hAnsi="Sakkal Majalla" w:cs="Sakkal Majalla"/>
          <w:color w:val="auto"/>
          <w:sz w:val="32"/>
          <w:szCs w:val="32"/>
          <w:rtl/>
        </w:rPr>
        <w:lastRenderedPageBreak/>
        <w:t xml:space="preserve">مخاوف الأمن السيبراني وأوصت الدراسة بضرورة توجيه الجهود المستقبلية نحو دمج تقنيات متقدمة مثل الذكاء الاصطناعي وانترنت الأشياء وتحليلات البيانات الضخمة ضمن أنظمة </w:t>
      </w:r>
      <w:r w:rsidRPr="005525F6">
        <w:rPr>
          <w:rFonts w:ascii="Sakkal Majalla" w:eastAsiaTheme="minorHAnsi" w:hAnsi="Sakkal Majalla" w:cs="Sakkal Majalla"/>
          <w:color w:val="auto"/>
          <w:sz w:val="32"/>
          <w:szCs w:val="32"/>
        </w:rPr>
        <w:t>PMS</w:t>
      </w:r>
      <w:r w:rsidRPr="005525F6">
        <w:rPr>
          <w:rFonts w:ascii="Sakkal Majalla" w:eastAsiaTheme="minorHAnsi" w:hAnsi="Sakkal Majalla" w:cs="Sakkal Majalla"/>
          <w:color w:val="auto"/>
          <w:sz w:val="32"/>
          <w:szCs w:val="32"/>
          <w:rtl/>
        </w:rPr>
        <w:t xml:space="preserve"> ، وبناء أمر صناعية متخصصة تواكب التغير.</w:t>
      </w:r>
    </w:p>
    <w:p w:rsidR="005525F6" w:rsidRPr="005525F6" w:rsidRDefault="005525F6" w:rsidP="005525F6">
      <w:pPr>
        <w:bidi w:val="0"/>
        <w:spacing w:after="160" w:line="360" w:lineRule="auto"/>
        <w:ind w:left="0" w:right="0" w:firstLine="0"/>
        <w:rPr>
          <w:rFonts w:ascii="Sakkal Majalla" w:eastAsiaTheme="minorHAnsi" w:hAnsi="Sakkal Majalla" w:cs="Sakkal Majalla"/>
          <w:b/>
          <w:bCs/>
          <w:color w:val="auto"/>
          <w:sz w:val="32"/>
          <w:szCs w:val="32"/>
        </w:rPr>
      </w:pPr>
      <w:r w:rsidRPr="005525F6">
        <w:rPr>
          <w:rFonts w:ascii="Sakkal Majalla" w:eastAsiaTheme="minorHAnsi" w:hAnsi="Sakkal Majalla" w:cs="Sakkal Majalla"/>
          <w:b/>
          <w:bCs/>
          <w:color w:val="auto"/>
          <w:sz w:val="32"/>
          <w:szCs w:val="32"/>
          <w:rtl/>
        </w:rPr>
        <w:t>)</w:t>
      </w:r>
      <w:proofErr w:type="spellStart"/>
      <w:r w:rsidRPr="005525F6">
        <w:rPr>
          <w:rFonts w:ascii="Sakkal Majalla" w:eastAsiaTheme="minorHAnsi" w:hAnsi="Sakkal Majalla" w:cs="Sakkal Majalla"/>
          <w:b/>
          <w:bCs/>
          <w:color w:val="auto"/>
          <w:sz w:val="32"/>
          <w:szCs w:val="32"/>
        </w:rPr>
        <w:t>Haddab</w:t>
      </w:r>
      <w:proofErr w:type="spellEnd"/>
      <w:r w:rsidRPr="005525F6">
        <w:rPr>
          <w:rFonts w:ascii="Sakkal Majalla" w:eastAsiaTheme="minorHAnsi" w:hAnsi="Sakkal Majalla" w:cs="Sakkal Majalla"/>
          <w:b/>
          <w:bCs/>
          <w:color w:val="auto"/>
          <w:sz w:val="32"/>
          <w:szCs w:val="32"/>
        </w:rPr>
        <w:t xml:space="preserve">, 2024) </w:t>
      </w:r>
      <w:r w:rsidRPr="005525F6">
        <w:rPr>
          <w:rFonts w:ascii="Sakkal Majalla" w:eastAsiaTheme="minorHAnsi" w:hAnsi="Sakkal Majalla" w:cs="Sakkal Majalla"/>
          <w:b/>
          <w:bCs/>
          <w:color w:val="auto"/>
          <w:sz w:val="32"/>
          <w:szCs w:val="32"/>
          <w:rtl/>
        </w:rPr>
        <w:t>دراسة</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هدفت الدراسة إلى التعرف على أثر منهجيات إدارة المشاريع المنهج التقليدي، المنهج الرشيق، المنهج الهجين) بأبعادها المختلفة على نجاح المشاريع، وذلك من خلال تحليل مقارن لمدى فاعلية كل منهج في تحسين كفاءة تنفيذ المشاريع، وتعزيز ديناميكية الفرق، ورفع رضا العملاء، وتحقيق النتائج التجارية</w:t>
      </w:r>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واستعداد المؤسسات للمستقبل. واستخدمت الدراسة المنهج الكمي التحليلي، حيث تم جمع البيانات من</w:t>
      </w:r>
      <w:r w:rsidRPr="005525F6">
        <w:rPr>
          <w:rFonts w:ascii="Sakkal Majalla" w:eastAsiaTheme="minorHAnsi" w:hAnsi="Sakkal Majalla" w:cs="Sakkal Majalla"/>
          <w:color w:val="auto"/>
          <w:sz w:val="32"/>
          <w:szCs w:val="32"/>
        </w:rPr>
        <w:t xml:space="preserve"> 227</w:t>
      </w:r>
      <w:r w:rsidRPr="005525F6">
        <w:rPr>
          <w:rFonts w:ascii="Sakkal Majalla" w:eastAsiaTheme="minorHAnsi" w:hAnsi="Sakkal Majalla" w:cs="Sakkal Majalla"/>
          <w:color w:val="auto"/>
          <w:sz w:val="32"/>
          <w:szCs w:val="32"/>
          <w:rtl/>
        </w:rPr>
        <w:t xml:space="preserve"> متخصصا في إدارة المشاريع على مستوى عالمي، وتوصلت نتائج الدراسة إلى أن المنهجيتين الرشيقة والهجينة تتفوقان بشكل ملحوظ على المنهج التقليدي، خصوصا في ما يتعلق بتحسين تفاعل العرق ورفع جاهزية المؤسسات للتكيف مع التغيرات المستقبلية، وأوصت الدراسة بضرورة تبني المؤسسات نماذج إدارة مرنة ومتكاملة، تتلاءم مع طبيعة المشاريع المعقدة والديناميكية في العصر الرقمي، التعزيز فرص نجاح المشاريع ورفع القدرة التنافسية.</w:t>
      </w:r>
    </w:p>
    <w:p w:rsidR="005525F6" w:rsidRPr="005525F6" w:rsidRDefault="005525F6" w:rsidP="005525F6">
      <w:pPr>
        <w:bidi w:val="0"/>
        <w:spacing w:after="160" w:line="360" w:lineRule="auto"/>
        <w:ind w:left="0" w:right="0" w:firstLine="0"/>
        <w:rPr>
          <w:rFonts w:ascii="Sakkal Majalla" w:eastAsiaTheme="minorHAnsi" w:hAnsi="Sakkal Majalla" w:cs="Sakkal Majalla"/>
          <w:b/>
          <w:bCs/>
          <w:color w:val="auto"/>
          <w:sz w:val="32"/>
          <w:szCs w:val="32"/>
        </w:rPr>
      </w:pPr>
      <w:r w:rsidRPr="005525F6">
        <w:rPr>
          <w:rFonts w:ascii="Sakkal Majalla" w:eastAsiaTheme="minorHAnsi" w:hAnsi="Sakkal Majalla" w:cs="Sakkal Majalla"/>
          <w:b/>
          <w:bCs/>
          <w:color w:val="auto"/>
          <w:sz w:val="32"/>
          <w:szCs w:val="32"/>
        </w:rPr>
        <w:t>(</w:t>
      </w:r>
      <w:proofErr w:type="spellStart"/>
      <w:r w:rsidRPr="005525F6">
        <w:rPr>
          <w:rFonts w:ascii="Sakkal Majalla" w:eastAsiaTheme="minorHAnsi" w:hAnsi="Sakkal Majalla" w:cs="Sakkal Majalla"/>
          <w:b/>
          <w:bCs/>
          <w:color w:val="auto"/>
          <w:sz w:val="32"/>
          <w:szCs w:val="32"/>
        </w:rPr>
        <w:t>Yordanova</w:t>
      </w:r>
      <w:proofErr w:type="spellEnd"/>
      <w:r w:rsidRPr="005525F6">
        <w:rPr>
          <w:rFonts w:ascii="Sakkal Majalla" w:eastAsiaTheme="minorHAnsi" w:hAnsi="Sakkal Majalla" w:cs="Sakkal Majalla"/>
          <w:b/>
          <w:bCs/>
          <w:color w:val="auto"/>
          <w:sz w:val="32"/>
          <w:szCs w:val="32"/>
        </w:rPr>
        <w:t xml:space="preserve">, </w:t>
      </w:r>
      <w:proofErr w:type="gramStart"/>
      <w:r w:rsidRPr="005525F6">
        <w:rPr>
          <w:rFonts w:ascii="Sakkal Majalla" w:eastAsiaTheme="minorHAnsi" w:hAnsi="Sakkal Majalla" w:cs="Sakkal Majalla"/>
          <w:b/>
          <w:bCs/>
          <w:color w:val="auto"/>
          <w:sz w:val="32"/>
          <w:szCs w:val="32"/>
        </w:rPr>
        <w:t>2024)</w:t>
      </w:r>
      <w:r w:rsidRPr="005525F6">
        <w:rPr>
          <w:rFonts w:ascii="Sakkal Majalla" w:eastAsiaTheme="minorHAnsi" w:hAnsi="Sakkal Majalla" w:cs="Sakkal Majalla"/>
          <w:b/>
          <w:bCs/>
          <w:color w:val="auto"/>
          <w:sz w:val="32"/>
          <w:szCs w:val="32"/>
          <w:rtl/>
        </w:rPr>
        <w:t>دراسة</w:t>
      </w:r>
      <w:proofErr w:type="gramEnd"/>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 xml:space="preserve">هدفت الدراسة إلى التعرف على أثر فعالية وكفاءة إدارة المشاريع على نية وسلوك تبني التقنيات الرقمية، من خلال تحليل ببليومتري شامل للدراسات التي تناولت التحول الرقمي في إدارة المشاريع وربطها بمفاهيم الكفاءة والفعالية واستخدمت الدراسة المنهج الكمي التحليلي المعتمد على تحليل بليومتري لعدد 431 مقالة منشورة في قاعدة بيانات </w:t>
      </w:r>
      <w:r w:rsidRPr="005525F6">
        <w:rPr>
          <w:rFonts w:ascii="Sakkal Majalla" w:eastAsiaTheme="minorHAnsi" w:hAnsi="Sakkal Majalla" w:cs="Sakkal Majalla"/>
          <w:color w:val="auto"/>
          <w:sz w:val="32"/>
          <w:szCs w:val="32"/>
        </w:rPr>
        <w:t>Web of Science</w:t>
      </w:r>
      <w:r w:rsidRPr="005525F6">
        <w:rPr>
          <w:rFonts w:ascii="Sakkal Majalla" w:eastAsiaTheme="minorHAnsi" w:hAnsi="Sakkal Majalla" w:cs="Sakkal Majalla"/>
          <w:color w:val="auto"/>
          <w:sz w:val="32"/>
          <w:szCs w:val="32"/>
          <w:rtl/>
        </w:rPr>
        <w:t xml:space="preserve"> ، تضمنت مفاهيم إدارة المشاريع والرقمنة والتحول الرقمي، بالإضافة إلى الكفاءة والفعالية كمصطلحات رئيسية في العناوين أو </w:t>
      </w:r>
      <w:r w:rsidRPr="005525F6">
        <w:rPr>
          <w:rFonts w:ascii="Sakkal Majalla" w:eastAsiaTheme="minorHAnsi" w:hAnsi="Sakkal Majalla" w:cs="Sakkal Majalla"/>
          <w:color w:val="auto"/>
          <w:sz w:val="32"/>
          <w:szCs w:val="32"/>
          <w:rtl/>
        </w:rPr>
        <w:lastRenderedPageBreak/>
        <w:t>الملخصات أو الكلمات المفتاحية، وتوصلت نتائج الدراسة إلى أن التحول الرقمي يسهم بشكل واضحفي تحسين ممارسات إدارة المشاريع، وتعزيز كفاءتها وفعاليتها، مما يسهل اعتماد التقنيات الحديثة. كما قدمت الدراسة خريطة تطور الأدبيات، وتحليلاً الموضوعاتها ومؤلفيها، واقترحت اتجاهات بحثية مستقبلية. وأوصت الدراسة بضرورة تطوير الممارسات الإدارية التقليدية وتبني أساليب إدارة رقمية مستندة إلى النتائج العلمية، بما يعزز من فعالية تنفيذ المشاريع في العصر الرقمي.</w:t>
      </w:r>
    </w:p>
    <w:p w:rsidR="005525F6" w:rsidRPr="005525F6" w:rsidRDefault="005525F6" w:rsidP="005525F6">
      <w:pPr>
        <w:bidi w:val="0"/>
        <w:spacing w:after="160" w:line="360" w:lineRule="auto"/>
        <w:ind w:left="0" w:right="0" w:firstLine="0"/>
        <w:rPr>
          <w:rFonts w:ascii="Sakkal Majalla" w:eastAsiaTheme="minorHAnsi" w:hAnsi="Sakkal Majalla" w:cs="Sakkal Majalla"/>
          <w:b/>
          <w:bCs/>
          <w:color w:val="auto"/>
          <w:sz w:val="32"/>
          <w:szCs w:val="32"/>
        </w:rPr>
      </w:pPr>
      <w:r w:rsidRPr="005525F6">
        <w:rPr>
          <w:rFonts w:ascii="Sakkal Majalla" w:eastAsiaTheme="minorHAnsi" w:hAnsi="Sakkal Majalla" w:cs="Sakkal Majalla"/>
          <w:b/>
          <w:bCs/>
          <w:color w:val="auto"/>
          <w:sz w:val="32"/>
          <w:szCs w:val="32"/>
        </w:rPr>
        <w:t>(</w:t>
      </w:r>
      <w:proofErr w:type="spellStart"/>
      <w:r w:rsidRPr="005525F6">
        <w:rPr>
          <w:rFonts w:ascii="Sakkal Majalla" w:eastAsiaTheme="minorHAnsi" w:hAnsi="Sakkal Majalla" w:cs="Sakkal Majalla"/>
          <w:b/>
          <w:bCs/>
          <w:color w:val="auto"/>
          <w:sz w:val="32"/>
          <w:szCs w:val="32"/>
        </w:rPr>
        <w:t>Michelotto</w:t>
      </w:r>
      <w:proofErr w:type="spellEnd"/>
      <w:r w:rsidRPr="005525F6">
        <w:rPr>
          <w:rFonts w:ascii="Sakkal Majalla" w:eastAsiaTheme="minorHAnsi" w:hAnsi="Sakkal Majalla" w:cs="Sakkal Majalla"/>
          <w:b/>
          <w:bCs/>
          <w:color w:val="auto"/>
          <w:sz w:val="32"/>
          <w:szCs w:val="32"/>
        </w:rPr>
        <w:t xml:space="preserve"> &amp; Jóia ,2024) </w:t>
      </w:r>
      <w:r w:rsidRPr="005525F6">
        <w:rPr>
          <w:rFonts w:ascii="Sakkal Majalla" w:eastAsiaTheme="minorHAnsi" w:hAnsi="Sakkal Majalla" w:cs="Sakkal Majalla"/>
          <w:b/>
          <w:bCs/>
          <w:color w:val="auto"/>
          <w:sz w:val="32"/>
          <w:szCs w:val="32"/>
          <w:rtl/>
        </w:rPr>
        <w:t>دراسة</w:t>
      </w:r>
    </w:p>
    <w:p w:rsid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tl/>
        </w:rPr>
      </w:pPr>
      <w:r w:rsidRPr="005525F6">
        <w:rPr>
          <w:rFonts w:ascii="Sakkal Majalla" w:eastAsiaTheme="minorHAnsi" w:hAnsi="Sakkal Majalla" w:cs="Sakkal Majalla"/>
          <w:color w:val="auto"/>
          <w:sz w:val="32"/>
          <w:szCs w:val="32"/>
          <w:rtl/>
        </w:rPr>
        <w:t xml:space="preserve">هدفت الدراسة إلى التعرف على جاهزية التحول الرقمي في المنظمات بوصفها متغيرا متعدد الأبعاد يشمل الموارد التكنولوجية العمليات المؤسسية القدرات الإدارية القدرات البشرية، والثقافة التنظيمية) وذلك من خلال تحليل منهجي للأدبيات العلمية بهدف تطوير إطار تكاملي لتقييم مدى استعداد المنظمات للتحول الرقمي واستخدمت الدراسة المنهج النوعي التحليلي عبر المراجعة المنهجية ل344 دراسة منشورة خلال الفترة من 2004 إلى مايو 2022 في قواعد بيانات مثل </w:t>
      </w:r>
      <w:r w:rsidRPr="005525F6">
        <w:rPr>
          <w:rFonts w:ascii="Sakkal Majalla" w:eastAsiaTheme="minorHAnsi" w:hAnsi="Sakkal Majalla" w:cs="Sakkal Majalla"/>
          <w:color w:val="auto"/>
          <w:sz w:val="32"/>
          <w:szCs w:val="32"/>
        </w:rPr>
        <w:t>Web of Science</w:t>
      </w:r>
      <w:r w:rsidRPr="005525F6">
        <w:rPr>
          <w:rFonts w:ascii="Sakkal Majalla" w:eastAsiaTheme="minorHAnsi" w:hAnsi="Sakkal Majalla" w:cs="Sakkal Majalla"/>
          <w:color w:val="auto"/>
          <w:sz w:val="32"/>
          <w:szCs w:val="32"/>
          <w:rtl/>
        </w:rPr>
        <w:t xml:space="preserve"> وغيرها من المصادر العلمية الرائدة، وتوصلت نتائج الدراسة إلى أن مفهوم جاهزية التحول الرقمي التنظيمي هو مفهوم متعدد التخصصات بعد مؤشرا مهما على نضج المنظمات واستعدادها للتكيف مع العمليات الرقمية التحولية، كما كشفت الدراسة عن تقاطع مفاهيمي بين مفهومي الجاهزية الإلكترونية والجاهزية الرقمية، مما يتيح إمكانية تطوير نماذج القييم فعالة. وأوصت الدراسة يتيني الإطار المقترحكأداة لتقييم الاستعداد التنظيمي، وتعزيز الممارسات الداعمة لنجاح مبادرات التحول الرقمي، مع دعوة الدراسات المستقبلية لتوسيع نطاق التحليل التجريبي والتحقق العملي من الأطر النظرية المطروحة.</w:t>
      </w:r>
    </w:p>
    <w:p w:rsidR="003B6D0C" w:rsidRPr="005525F6" w:rsidRDefault="003B6D0C" w:rsidP="005525F6">
      <w:pPr>
        <w:spacing w:after="160" w:line="360" w:lineRule="auto"/>
        <w:ind w:left="0" w:right="0" w:firstLine="720"/>
        <w:jc w:val="lowKashida"/>
        <w:rPr>
          <w:rFonts w:ascii="Sakkal Majalla" w:eastAsiaTheme="minorHAnsi" w:hAnsi="Sakkal Majalla" w:cs="Sakkal Majalla"/>
          <w:color w:val="auto"/>
          <w:sz w:val="32"/>
          <w:szCs w:val="32"/>
        </w:rPr>
      </w:pPr>
    </w:p>
    <w:p w:rsidR="005525F6" w:rsidRPr="005525F6" w:rsidRDefault="005525F6" w:rsidP="005525F6">
      <w:pPr>
        <w:bidi w:val="0"/>
        <w:spacing w:after="160" w:line="360" w:lineRule="auto"/>
        <w:ind w:left="0" w:right="0" w:firstLine="0"/>
        <w:rPr>
          <w:rFonts w:ascii="Sakkal Majalla" w:eastAsiaTheme="minorHAnsi" w:hAnsi="Sakkal Majalla" w:cs="Sakkal Majalla"/>
          <w:b/>
          <w:bCs/>
          <w:color w:val="auto"/>
          <w:sz w:val="32"/>
          <w:szCs w:val="32"/>
        </w:rPr>
      </w:pPr>
      <w:r w:rsidRPr="005525F6">
        <w:rPr>
          <w:rFonts w:ascii="Sakkal Majalla" w:eastAsiaTheme="minorHAnsi" w:hAnsi="Sakkal Majalla" w:cs="Sakkal Majalla"/>
          <w:b/>
          <w:bCs/>
          <w:color w:val="auto"/>
          <w:sz w:val="32"/>
          <w:szCs w:val="32"/>
          <w:rtl/>
        </w:rPr>
        <w:lastRenderedPageBreak/>
        <w:t>)</w:t>
      </w:r>
      <w:proofErr w:type="spellStart"/>
      <w:r w:rsidRPr="005525F6">
        <w:rPr>
          <w:rFonts w:ascii="Sakkal Majalla" w:eastAsiaTheme="minorHAnsi" w:hAnsi="Sakkal Majalla" w:cs="Sakkal Majalla"/>
          <w:b/>
          <w:bCs/>
          <w:color w:val="auto"/>
          <w:sz w:val="32"/>
          <w:szCs w:val="32"/>
        </w:rPr>
        <w:t>Bugarcic</w:t>
      </w:r>
      <w:proofErr w:type="spellEnd"/>
      <w:r w:rsidRPr="005525F6">
        <w:rPr>
          <w:rFonts w:ascii="Sakkal Majalla" w:eastAsiaTheme="minorHAnsi" w:hAnsi="Sakkal Majalla" w:cs="Sakkal Majalla"/>
          <w:b/>
          <w:bCs/>
          <w:color w:val="auto"/>
          <w:sz w:val="32"/>
          <w:szCs w:val="32"/>
        </w:rPr>
        <w:t xml:space="preserve"> &amp; </w:t>
      </w:r>
      <w:proofErr w:type="spellStart"/>
      <w:r w:rsidRPr="005525F6">
        <w:rPr>
          <w:rFonts w:ascii="Sakkal Majalla" w:eastAsiaTheme="minorHAnsi" w:hAnsi="Sakkal Majalla" w:cs="Sakkal Majalla"/>
          <w:b/>
          <w:bCs/>
          <w:color w:val="auto"/>
          <w:sz w:val="32"/>
          <w:szCs w:val="32"/>
        </w:rPr>
        <w:t>Slavković</w:t>
      </w:r>
      <w:proofErr w:type="spellEnd"/>
      <w:r w:rsidRPr="005525F6">
        <w:rPr>
          <w:rFonts w:ascii="Sakkal Majalla" w:eastAsiaTheme="minorHAnsi" w:hAnsi="Sakkal Majalla" w:cs="Sakkal Majalla"/>
          <w:b/>
          <w:bCs/>
          <w:color w:val="auto"/>
          <w:sz w:val="32"/>
          <w:szCs w:val="32"/>
        </w:rPr>
        <w:t xml:space="preserve"> ,2023)</w:t>
      </w:r>
      <w:r w:rsidRPr="005525F6">
        <w:rPr>
          <w:rFonts w:ascii="Sakkal Majalla" w:eastAsiaTheme="minorHAnsi" w:hAnsi="Sakkal Majalla" w:cs="Sakkal Majalla"/>
          <w:b/>
          <w:bCs/>
          <w:color w:val="auto"/>
          <w:sz w:val="32"/>
          <w:szCs w:val="32"/>
          <w:rtl/>
        </w:rPr>
        <w:t>دراسة</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هدفت الدراسة إلى التعرف على أثر مكونات رأس المال الفكري بأبعاده (رأس المال البشري، رأس المال الهيكلي، ورأس المال العلاقاتي على فاعلية إدارة المشاريع في قطاع الإنشاءات، ودور الاستعداد للتحول الرقمي كمتغير وسيط وتعديلي في هذه العلاقة، وذلك في ظل تحديات الثورة الصناعية الرابعة. واستخدمت الدراسة المنهج الكمي من خلال جمع وتحليل 147 زوجا متطابقا من الاستبانات بين مديري المشاريع والمستخدمين النهائيين المشاريع إنشائية، وتوصلت نتائج الدراسة إلى أن الاستعداد للتحول الرقمي يلعب دورا جوهريا في تعزيز العلاقة بين رأس المال الفكري وفاعلية إدارة المشاريع حيث يساهم في تحفيز فرق العمل، وبناء الثقة، وتطوير القنوات الاتصال الفعالة، وأوصت الدراسة</w:t>
      </w:r>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بأهمية تعزيز جاهزية المنظمات الموجهة بالمشاريع للتحول الرقمي، واعتماد سياسات تنمية رأس المال الفكري لضمان نجاح المشاريع في بيئة الاقتصاد الرقمي...</w:t>
      </w:r>
    </w:p>
    <w:p w:rsidR="005525F6" w:rsidRPr="005525F6" w:rsidRDefault="005525F6" w:rsidP="005525F6">
      <w:pPr>
        <w:bidi w:val="0"/>
        <w:spacing w:after="160" w:line="360" w:lineRule="auto"/>
        <w:ind w:left="0" w:right="0" w:firstLine="0"/>
        <w:rPr>
          <w:rFonts w:ascii="Sakkal Majalla" w:eastAsiaTheme="minorHAnsi" w:hAnsi="Sakkal Majalla" w:cs="Sakkal Majalla"/>
          <w:b/>
          <w:bCs/>
          <w:color w:val="auto"/>
          <w:sz w:val="32"/>
          <w:szCs w:val="32"/>
        </w:rPr>
      </w:pPr>
      <w:r w:rsidRPr="005525F6">
        <w:rPr>
          <w:rFonts w:ascii="Sakkal Majalla" w:eastAsiaTheme="minorHAnsi" w:hAnsi="Sakkal Majalla" w:cs="Sakkal Majalla"/>
          <w:b/>
          <w:bCs/>
          <w:color w:val="auto"/>
          <w:sz w:val="32"/>
          <w:szCs w:val="32"/>
        </w:rPr>
        <w:t>(</w:t>
      </w:r>
      <w:proofErr w:type="spellStart"/>
      <w:r w:rsidRPr="005525F6">
        <w:rPr>
          <w:rFonts w:ascii="Sakkal Majalla" w:eastAsiaTheme="minorHAnsi" w:hAnsi="Sakkal Majalla" w:cs="Sakkal Majalla"/>
          <w:b/>
          <w:bCs/>
          <w:color w:val="auto"/>
          <w:sz w:val="32"/>
          <w:szCs w:val="32"/>
        </w:rPr>
        <w:t>Iriogbe</w:t>
      </w:r>
      <w:proofErr w:type="spellEnd"/>
      <w:r w:rsidRPr="005525F6">
        <w:rPr>
          <w:rFonts w:ascii="Sakkal Majalla" w:eastAsiaTheme="minorHAnsi" w:hAnsi="Sakkal Majalla" w:cs="Sakkal Majalla"/>
          <w:b/>
          <w:bCs/>
          <w:color w:val="auto"/>
          <w:sz w:val="32"/>
          <w:szCs w:val="32"/>
        </w:rPr>
        <w:t xml:space="preserve"> et al., 2024) </w:t>
      </w:r>
      <w:r w:rsidRPr="005525F6">
        <w:rPr>
          <w:rFonts w:ascii="Sakkal Majalla" w:eastAsiaTheme="minorHAnsi" w:hAnsi="Sakkal Majalla" w:cs="Sakkal Majalla"/>
          <w:b/>
          <w:bCs/>
          <w:color w:val="auto"/>
          <w:sz w:val="32"/>
          <w:szCs w:val="32"/>
          <w:rtl/>
        </w:rPr>
        <w:t>دراسة</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 xml:space="preserve">هدفت الدراسة إلى التعرف على دور إدارة المشاريع بأبعادها تعزيز الابتكار، دعم النمو الاقتصادي، واستشراف التوجهات المستقبلية في تمكين المؤسسات من تحويل الأفكار المبتكرة إلى نتائج ملموسة وتحقيق النجاح في تنفيذ المشاريع والمساهمة في تشكيل ملامح المستقبل من خلال تبني التقنيات الحديثة ونماذج الأعمال المتغيرة، واستخدمت الدراسة المنهج الوصفي التحليلي من خلال تحليل الأدبيات ذات الصلة والممارسات المعاصرة في إدارة المشاريع. وتكونت عينة الدراسة من مراجعة معمقة المشاريع ابتكارية وبنى تحتية وتقنية على المستويين المؤسسي والوطني، وتوصلت نتائج الدراسة إلى أن استخدام منهجيات مثل </w:t>
      </w:r>
      <w:r w:rsidRPr="005525F6">
        <w:rPr>
          <w:rFonts w:ascii="Sakkal Majalla" w:eastAsiaTheme="minorHAnsi" w:hAnsi="Sakkal Majalla" w:cs="Sakkal Majalla"/>
          <w:color w:val="auto"/>
          <w:sz w:val="32"/>
          <w:szCs w:val="32"/>
        </w:rPr>
        <w:t>Agile</w:t>
      </w:r>
      <w:r w:rsidRPr="005525F6">
        <w:rPr>
          <w:rFonts w:ascii="Sakkal Majalla" w:eastAsiaTheme="minorHAnsi" w:hAnsi="Sakkal Majalla" w:cs="Sakkal Majalla"/>
          <w:color w:val="auto"/>
          <w:sz w:val="32"/>
          <w:szCs w:val="32"/>
          <w:rtl/>
        </w:rPr>
        <w:t xml:space="preserve"> و </w:t>
      </w:r>
      <w:r w:rsidRPr="005525F6">
        <w:rPr>
          <w:rFonts w:ascii="Sakkal Majalla" w:eastAsiaTheme="minorHAnsi" w:hAnsi="Sakkal Majalla" w:cs="Sakkal Majalla"/>
          <w:color w:val="auto"/>
          <w:sz w:val="32"/>
          <w:szCs w:val="32"/>
        </w:rPr>
        <w:t>Lean Scrum</w:t>
      </w:r>
      <w:r w:rsidRPr="005525F6">
        <w:rPr>
          <w:rFonts w:ascii="Sakkal Majalla" w:eastAsiaTheme="minorHAnsi" w:hAnsi="Sakkal Majalla" w:cs="Sakkal Majalla"/>
          <w:color w:val="auto"/>
          <w:sz w:val="32"/>
          <w:szCs w:val="32"/>
          <w:rtl/>
        </w:rPr>
        <w:t xml:space="preserve"> يسهم في تسريع تنفيذ الابتكارات وتحقيق الكفاءة والجودة، كما تبين أن الإدارة المشاريع دورا محوريا في دعم النمو الاقتصادي من خلال رفع الكفاءة الإنتاجية، وتحقيق التنافسية، وخلق فرص عمل، وأوصت الدراسة بضرورة دمج تقنيات الذكاء </w:t>
      </w:r>
      <w:r w:rsidRPr="005525F6">
        <w:rPr>
          <w:rFonts w:ascii="Sakkal Majalla" w:eastAsiaTheme="minorHAnsi" w:hAnsi="Sakkal Majalla" w:cs="Sakkal Majalla"/>
          <w:color w:val="auto"/>
          <w:sz w:val="32"/>
          <w:szCs w:val="32"/>
          <w:rtl/>
        </w:rPr>
        <w:lastRenderedPageBreak/>
        <w:t>الاصطناعي وتحليلات البيانات وانترنت الأشياء في ممارسات إدارة المشاريع، وتبني مفاهيم الاستدامة والمسؤولية الاجتماعية الضمان مستقبل أكثر ازدهارا واستدامة.</w:t>
      </w:r>
    </w:p>
    <w:p w:rsidR="005525F6" w:rsidRPr="005525F6" w:rsidRDefault="005525F6" w:rsidP="005525F6">
      <w:pPr>
        <w:bidi w:val="0"/>
        <w:spacing w:after="160" w:line="360" w:lineRule="auto"/>
        <w:ind w:left="0" w:right="0" w:firstLine="0"/>
        <w:rPr>
          <w:rFonts w:ascii="Sakkal Majalla" w:eastAsiaTheme="minorHAnsi" w:hAnsi="Sakkal Majalla" w:cs="Sakkal Majalla"/>
          <w:b/>
          <w:bCs/>
          <w:color w:val="auto"/>
          <w:sz w:val="32"/>
          <w:szCs w:val="32"/>
        </w:rPr>
      </w:pPr>
      <w:r w:rsidRPr="005525F6">
        <w:rPr>
          <w:rFonts w:ascii="Sakkal Majalla" w:eastAsiaTheme="minorHAnsi" w:hAnsi="Sakkal Majalla" w:cs="Sakkal Majalla"/>
          <w:b/>
          <w:bCs/>
          <w:color w:val="auto"/>
          <w:sz w:val="32"/>
          <w:szCs w:val="32"/>
          <w:rtl/>
        </w:rPr>
        <w:t>)</w:t>
      </w:r>
      <w:r w:rsidRPr="005525F6">
        <w:rPr>
          <w:rFonts w:ascii="Sakkal Majalla" w:eastAsiaTheme="minorHAnsi" w:hAnsi="Sakkal Majalla" w:cs="Sakkal Majalla"/>
          <w:b/>
          <w:bCs/>
          <w:color w:val="auto"/>
          <w:sz w:val="32"/>
          <w:szCs w:val="32"/>
        </w:rPr>
        <w:t xml:space="preserve">Dahmer, 2024) </w:t>
      </w:r>
      <w:r w:rsidRPr="005525F6">
        <w:rPr>
          <w:rFonts w:ascii="Sakkal Majalla" w:eastAsiaTheme="minorHAnsi" w:hAnsi="Sakkal Majalla" w:cs="Sakkal Majalla"/>
          <w:b/>
          <w:bCs/>
          <w:color w:val="auto"/>
          <w:sz w:val="32"/>
          <w:szCs w:val="32"/>
          <w:rtl/>
        </w:rPr>
        <w:t>دراسة</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هدفت الدراسة إلى التعرف على دور إدارة المشاريع بأبعادها المنهجيات الرشيقة الأدوات الرقمية والتقنيات الناشئة مثل الذكاء الاصطناعي والأتمتة) في دعم التحول الرقمي ورفع نسب نجاح المشاريع في المؤسسات، لا سيما في ظل متغيرات السوق الرقمية، واستخدمت الدراسة المنهج الوصفي التحليلي من خلال مراجعة الأدبيات والدراسات السابقة ذات الصلة بمجال إدارة المشاريع والتحول الرقمي، مع</w:t>
      </w:r>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التركيز على تطبيقات المؤسسات الصغيرة والمتوسطة (</w:t>
      </w:r>
      <w:r w:rsidRPr="005525F6">
        <w:rPr>
          <w:rFonts w:ascii="Sakkal Majalla" w:eastAsiaTheme="minorHAnsi" w:hAnsi="Sakkal Majalla" w:cs="Sakkal Majalla"/>
          <w:color w:val="auto"/>
          <w:sz w:val="32"/>
          <w:szCs w:val="32"/>
        </w:rPr>
        <w:t xml:space="preserve">SMEs) </w:t>
      </w:r>
      <w:r w:rsidRPr="005525F6">
        <w:rPr>
          <w:rFonts w:ascii="Sakkal Majalla" w:eastAsiaTheme="minorHAnsi" w:hAnsi="Sakkal Majalla" w:cs="Sakkal Majalla"/>
          <w:color w:val="auto"/>
          <w:sz w:val="32"/>
          <w:szCs w:val="32"/>
          <w:rtl/>
        </w:rPr>
        <w:t xml:space="preserve">وتوصلت نتائج الدراسة إلى أن تبني المنهجيات الرشيقة مثل </w:t>
      </w:r>
      <w:r w:rsidRPr="005525F6">
        <w:rPr>
          <w:rFonts w:ascii="Sakkal Majalla" w:eastAsiaTheme="minorHAnsi" w:hAnsi="Sakkal Majalla" w:cs="Sakkal Majalla"/>
          <w:color w:val="auto"/>
          <w:sz w:val="32"/>
          <w:szCs w:val="32"/>
        </w:rPr>
        <w:t>Scrum</w:t>
      </w:r>
      <w:r w:rsidRPr="005525F6">
        <w:rPr>
          <w:rFonts w:ascii="Sakkal Majalla" w:eastAsiaTheme="minorHAnsi" w:hAnsi="Sakkal Majalla" w:cs="Sakkal Majalla"/>
          <w:color w:val="auto"/>
          <w:sz w:val="32"/>
          <w:szCs w:val="32"/>
          <w:rtl/>
        </w:rPr>
        <w:t xml:space="preserve"> و </w:t>
      </w:r>
      <w:r w:rsidRPr="005525F6">
        <w:rPr>
          <w:rFonts w:ascii="Sakkal Majalla" w:eastAsiaTheme="minorHAnsi" w:hAnsi="Sakkal Majalla" w:cs="Sakkal Majalla"/>
          <w:color w:val="auto"/>
          <w:sz w:val="32"/>
          <w:szCs w:val="32"/>
        </w:rPr>
        <w:t>Kanban</w:t>
      </w:r>
      <w:r w:rsidRPr="005525F6">
        <w:rPr>
          <w:rFonts w:ascii="Sakkal Majalla" w:eastAsiaTheme="minorHAnsi" w:hAnsi="Sakkal Majalla" w:cs="Sakkal Majalla"/>
          <w:color w:val="auto"/>
          <w:sz w:val="32"/>
          <w:szCs w:val="32"/>
          <w:rtl/>
        </w:rPr>
        <w:t xml:space="preserve">، واستخدام أدوات رقمية مثل </w:t>
      </w:r>
      <w:r w:rsidRPr="005525F6">
        <w:rPr>
          <w:rFonts w:ascii="Sakkal Majalla" w:eastAsiaTheme="minorHAnsi" w:hAnsi="Sakkal Majalla" w:cs="Sakkal Majalla"/>
          <w:color w:val="auto"/>
          <w:sz w:val="32"/>
          <w:szCs w:val="32"/>
        </w:rPr>
        <w:t>Trello</w:t>
      </w:r>
      <w:r w:rsidRPr="005525F6">
        <w:rPr>
          <w:rFonts w:ascii="Sakkal Majalla" w:eastAsiaTheme="minorHAnsi" w:hAnsi="Sakkal Majalla" w:cs="Sakkal Majalla"/>
          <w:color w:val="auto"/>
          <w:sz w:val="32"/>
          <w:szCs w:val="32"/>
          <w:rtl/>
        </w:rPr>
        <w:t xml:space="preserve"> و </w:t>
      </w:r>
      <w:r w:rsidRPr="005525F6">
        <w:rPr>
          <w:rFonts w:ascii="Sakkal Majalla" w:eastAsiaTheme="minorHAnsi" w:hAnsi="Sakkal Majalla" w:cs="Sakkal Majalla"/>
          <w:color w:val="auto"/>
          <w:sz w:val="32"/>
          <w:szCs w:val="32"/>
        </w:rPr>
        <w:t>Jira Asana</w:t>
      </w:r>
      <w:r w:rsidRPr="005525F6">
        <w:rPr>
          <w:rFonts w:ascii="Sakkal Majalla" w:eastAsiaTheme="minorHAnsi" w:hAnsi="Sakkal Majalla" w:cs="Sakkal Majalla"/>
          <w:color w:val="auto"/>
          <w:sz w:val="32"/>
          <w:szCs w:val="32"/>
          <w:rtl/>
        </w:rPr>
        <w:t xml:space="preserve"> يعزز من كفاءة فرق العمل وتسرع الاستجابة لمتطلبات العملاء. كما أوضحت الدراسة أن التقنيات الناشئة دوراً محوريا في تحسين تخصيص الموارد والتنبؤ بمخرجات المشاريع، وأوصت الدراسة بضرورة الاستثمار في تدريب الكوادر على المهارات الرقمية، وتبني مزيج متكامل من الأساليب التقليدية والرشيدة الإدارة المشاريع بما يتلاءم مع تحديات الاقتصاد الرقمي.</w:t>
      </w:r>
    </w:p>
    <w:p w:rsidR="005525F6" w:rsidRPr="005525F6" w:rsidRDefault="005525F6" w:rsidP="00795130">
      <w:pPr>
        <w:pStyle w:val="Heading1"/>
        <w:bidi/>
        <w:jc w:val="lowKashida"/>
        <w:rPr>
          <w:rFonts w:ascii="Sakkal Majalla" w:eastAsiaTheme="minorHAnsi" w:hAnsi="Sakkal Majalla" w:cs="Sakkal Majalla"/>
          <w:b w:val="0"/>
          <w:bCs/>
          <w:sz w:val="36"/>
          <w:szCs w:val="32"/>
        </w:rPr>
      </w:pPr>
      <w:bookmarkStart w:id="8" w:name="_Toc208064602"/>
      <w:r w:rsidRPr="005525F6">
        <w:rPr>
          <w:rFonts w:ascii="Sakkal Majalla" w:eastAsiaTheme="minorHAnsi" w:hAnsi="Sakkal Majalla" w:cs="Sakkal Majalla"/>
          <w:b w:val="0"/>
          <w:bCs/>
          <w:sz w:val="36"/>
          <w:szCs w:val="32"/>
          <w:rtl/>
        </w:rPr>
        <w:t>الفجوة البحثية</w:t>
      </w:r>
      <w:bookmarkEnd w:id="8"/>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 xml:space="preserve">تشترك الدراسة الحالية مع العديد من الدراسات السابقة، مثل دراسة (12024) </w:t>
      </w:r>
      <w:proofErr w:type="spellStart"/>
      <w:r w:rsidRPr="005525F6">
        <w:rPr>
          <w:rFonts w:ascii="Sakkal Majalla" w:eastAsiaTheme="minorHAnsi" w:hAnsi="Sakkal Majalla" w:cs="Sakkal Majalla"/>
          <w:color w:val="auto"/>
          <w:sz w:val="32"/>
          <w:szCs w:val="32"/>
        </w:rPr>
        <w:t>Iriogbe</w:t>
      </w:r>
      <w:proofErr w:type="spellEnd"/>
      <w:r w:rsidRPr="005525F6">
        <w:rPr>
          <w:rFonts w:ascii="Sakkal Majalla" w:eastAsiaTheme="minorHAnsi" w:hAnsi="Sakkal Majalla" w:cs="Sakkal Majalla"/>
          <w:color w:val="auto"/>
          <w:sz w:val="32"/>
          <w:szCs w:val="32"/>
        </w:rPr>
        <w:t xml:space="preserve"> et Dahmer (2024) .al</w:t>
      </w:r>
      <w:r w:rsidRPr="005525F6">
        <w:rPr>
          <w:rFonts w:ascii="Sakkal Majalla" w:eastAsiaTheme="minorHAnsi" w:hAnsi="Sakkal Majalla" w:cs="Sakkal Majalla"/>
          <w:color w:val="auto"/>
          <w:sz w:val="32"/>
          <w:szCs w:val="32"/>
          <w:rtl/>
        </w:rPr>
        <w:t xml:space="preserve"> في التأكيد على أن إدارة المشاريع لم تعد مجرد أداة تنفيذية، بل أصبحت أداة استراتيجية تدعم التحول المؤسسي والنمو الاقتصادي والرقمنة. كما تتفق هذه الدراسات في إبراز أهمية المنهجيات الرشيقة والأدوات الرقمية الحديثة في رفع فاعلية المشاريع وتعزيز قدرتها على مواكبة التحولات.</w:t>
      </w:r>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lastRenderedPageBreak/>
        <w:t xml:space="preserve">تختلف الدراسة الحالية عن أغلب الدراسات السابقة من حيث البيئة التطبيقية، إذ تركز على قطاع التجزئة في المملكة العربية السعودية ضمن إطار رؤية 2030، بينما ركزت دراسات مثل </w:t>
      </w:r>
      <w:r w:rsidRPr="005525F6">
        <w:rPr>
          <w:rFonts w:ascii="Sakkal Majalla" w:eastAsiaTheme="minorHAnsi" w:hAnsi="Sakkal Majalla" w:cs="Sakkal Majalla"/>
          <w:color w:val="auto"/>
          <w:sz w:val="32"/>
          <w:szCs w:val="32"/>
        </w:rPr>
        <w:t>Patricio</w:t>
      </w:r>
      <w:r w:rsidRPr="005525F6">
        <w:rPr>
          <w:rFonts w:ascii="Sakkal Majalla" w:eastAsiaTheme="minorHAnsi" w:hAnsi="Sakkal Majalla" w:cs="Sakkal Majalla"/>
          <w:color w:val="auto"/>
          <w:sz w:val="32"/>
          <w:szCs w:val="32"/>
          <w:rtl/>
        </w:rPr>
        <w:t xml:space="preserve"> على قطاعات مثل الصناعة أو البناء أو بيئات </w:t>
      </w:r>
      <w:proofErr w:type="spellStart"/>
      <w:r w:rsidRPr="005525F6">
        <w:rPr>
          <w:rFonts w:ascii="Sakkal Majalla" w:eastAsiaTheme="minorHAnsi" w:hAnsi="Sakkal Majalla" w:cs="Sakkal Majalla"/>
          <w:color w:val="auto"/>
          <w:sz w:val="32"/>
          <w:szCs w:val="32"/>
        </w:rPr>
        <w:t>Bugarcic</w:t>
      </w:r>
      <w:proofErr w:type="spellEnd"/>
      <w:r w:rsidRPr="005525F6">
        <w:rPr>
          <w:rFonts w:ascii="Sakkal Majalla" w:eastAsiaTheme="minorHAnsi" w:hAnsi="Sakkal Majalla" w:cs="Sakkal Majalla"/>
          <w:color w:val="auto"/>
          <w:sz w:val="32"/>
          <w:szCs w:val="32"/>
        </w:rPr>
        <w:t xml:space="preserve"> &amp; </w:t>
      </w:r>
      <w:proofErr w:type="spellStart"/>
      <w:r w:rsidRPr="005525F6">
        <w:rPr>
          <w:rFonts w:ascii="Sakkal Majalla" w:eastAsiaTheme="minorHAnsi" w:hAnsi="Sakkal Majalla" w:cs="Sakkal Majalla"/>
          <w:color w:val="auto"/>
          <w:sz w:val="32"/>
          <w:szCs w:val="32"/>
        </w:rPr>
        <w:t>Slavković</w:t>
      </w:r>
      <w:proofErr w:type="spellEnd"/>
      <w:r w:rsidRPr="005525F6">
        <w:rPr>
          <w:rFonts w:ascii="Sakkal Majalla" w:eastAsiaTheme="minorHAnsi" w:hAnsi="Sakkal Majalla" w:cs="Sakkal Majalla"/>
          <w:color w:val="auto"/>
          <w:sz w:val="32"/>
          <w:szCs w:val="32"/>
        </w:rPr>
        <w:t xml:space="preserve"> (2023) et al. (2022) </w:t>
      </w:r>
      <w:r w:rsidRPr="005525F6">
        <w:rPr>
          <w:rFonts w:ascii="Sakkal Majalla" w:eastAsiaTheme="minorHAnsi" w:hAnsi="Sakkal Majalla" w:cs="Sakkal Majalla"/>
          <w:color w:val="auto"/>
          <w:sz w:val="32"/>
          <w:szCs w:val="32"/>
          <w:rtl/>
        </w:rPr>
        <w:t>عامة دون ربطها بسياق اقتصادي وطني محدد. هذه الخصوصية تمنح الدراسة الحالية طابعا محليا وواقعيا يجعل نتائجها أكثر فائدة لصناع القرار في السعودية.</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 xml:space="preserve">تتقاطع الدراسة الحالية مع دراسات مثل (2024) </w:t>
      </w:r>
      <w:proofErr w:type="spellStart"/>
      <w:r w:rsidRPr="005525F6">
        <w:rPr>
          <w:rFonts w:ascii="Sakkal Majalla" w:eastAsiaTheme="minorHAnsi" w:hAnsi="Sakkal Majalla" w:cs="Sakkal Majalla"/>
          <w:color w:val="auto"/>
          <w:sz w:val="32"/>
          <w:szCs w:val="32"/>
        </w:rPr>
        <w:t>Michelotto</w:t>
      </w:r>
      <w:proofErr w:type="spellEnd"/>
      <w:r w:rsidRPr="005525F6">
        <w:rPr>
          <w:rFonts w:ascii="Sakkal Majalla" w:eastAsiaTheme="minorHAnsi" w:hAnsi="Sakkal Majalla" w:cs="Sakkal Majalla"/>
          <w:color w:val="auto"/>
          <w:sz w:val="32"/>
          <w:szCs w:val="32"/>
        </w:rPr>
        <w:t xml:space="preserve"> &amp; </w:t>
      </w:r>
      <w:proofErr w:type="spellStart"/>
      <w:r w:rsidRPr="005525F6">
        <w:rPr>
          <w:rFonts w:ascii="Sakkal Majalla" w:eastAsiaTheme="minorHAnsi" w:hAnsi="Sakkal Majalla" w:cs="Sakkal Majalla"/>
          <w:color w:val="auto"/>
          <w:sz w:val="32"/>
          <w:szCs w:val="32"/>
        </w:rPr>
        <w:t>Joia</w:t>
      </w:r>
      <w:proofErr w:type="spellEnd"/>
      <w:r w:rsidRPr="005525F6">
        <w:rPr>
          <w:rFonts w:ascii="Sakkal Majalla" w:eastAsiaTheme="minorHAnsi" w:hAnsi="Sakkal Majalla" w:cs="Sakkal Majalla"/>
          <w:color w:val="auto"/>
          <w:sz w:val="32"/>
          <w:szCs w:val="32"/>
        </w:rPr>
        <w:t xml:space="preserve"> </w:t>
      </w:r>
      <w:proofErr w:type="spellStart"/>
      <w:r w:rsidRPr="005525F6">
        <w:rPr>
          <w:rFonts w:ascii="Sakkal Majalla" w:eastAsiaTheme="minorHAnsi" w:hAnsi="Sakkal Majalla" w:cs="Sakkal Majalla"/>
          <w:color w:val="auto"/>
          <w:sz w:val="32"/>
          <w:szCs w:val="32"/>
        </w:rPr>
        <w:t>Mortadza</w:t>
      </w:r>
      <w:proofErr w:type="spellEnd"/>
      <w:r w:rsidRPr="005525F6">
        <w:rPr>
          <w:rFonts w:ascii="Sakkal Majalla" w:eastAsiaTheme="minorHAnsi" w:hAnsi="Sakkal Majalla" w:cs="Sakkal Majalla"/>
          <w:color w:val="auto"/>
          <w:sz w:val="32"/>
          <w:szCs w:val="32"/>
        </w:rPr>
        <w:t xml:space="preserve"> &amp; Rizal (2024) </w:t>
      </w:r>
      <w:r w:rsidRPr="005525F6">
        <w:rPr>
          <w:rFonts w:ascii="Sakkal Majalla" w:eastAsiaTheme="minorHAnsi" w:hAnsi="Sakkal Majalla" w:cs="Sakkal Majalla"/>
          <w:color w:val="auto"/>
          <w:sz w:val="32"/>
          <w:szCs w:val="32"/>
          <w:rtl/>
        </w:rPr>
        <w:t>في التأكيد على أهمية التحول الرقمي ودور الأدوات التكنولوجية مثل الذكاء الاصطناعي</w:t>
      </w:r>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وانترنت الأشياء والأتمتة في تحسين فعالية المشاريع غير أن الدراسة الحالية تركز على جاهزية قطاع اقتصادي محدد التجزئة)، في حين تناولت الدراسات الأخرى التحول الرقمي من منظور عام أو مفاهيمي دون التركيز على القطاع التجزئي كمجال حيوي مرتبط بشكل مباشر برؤية 2030.</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تميزت الدراسة الحالية عن باقي الدراسات من حيث تبني متغير تابع أحادي المحور وهو جاهزية قطاع التجزئة المواكبة التحول الاقتصادي، بينما تناولت الدراسات الأخرى مفاهيم متفرعة مثل تحول. القدرات (2022 ,.</w:t>
      </w:r>
      <w:r w:rsidRPr="005525F6">
        <w:rPr>
          <w:rFonts w:ascii="Sakkal Majalla" w:eastAsiaTheme="minorHAnsi" w:hAnsi="Sakkal Majalla" w:cs="Sakkal Majalla"/>
          <w:color w:val="auto"/>
          <w:sz w:val="32"/>
          <w:szCs w:val="32"/>
        </w:rPr>
        <w:t xml:space="preserve">Patricia et al) </w:t>
      </w:r>
      <w:r w:rsidRPr="005525F6">
        <w:rPr>
          <w:rFonts w:ascii="Sakkal Majalla" w:eastAsiaTheme="minorHAnsi" w:hAnsi="Sakkal Majalla" w:cs="Sakkal Majalla"/>
          <w:color w:val="auto"/>
          <w:sz w:val="32"/>
          <w:szCs w:val="32"/>
          <w:rtl/>
        </w:rPr>
        <w:t xml:space="preserve">، أو نجاح المشاريع (2024 </w:t>
      </w:r>
      <w:proofErr w:type="spellStart"/>
      <w:r w:rsidRPr="005525F6">
        <w:rPr>
          <w:rFonts w:ascii="Sakkal Majalla" w:eastAsiaTheme="minorHAnsi" w:hAnsi="Sakkal Majalla" w:cs="Sakkal Majalla"/>
          <w:color w:val="auto"/>
          <w:sz w:val="32"/>
          <w:szCs w:val="32"/>
        </w:rPr>
        <w:t>Haddab</w:t>
      </w:r>
      <w:proofErr w:type="spellEnd"/>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 أو تحسين تقارير الأداء (2024 ,</w:t>
      </w:r>
      <w:proofErr w:type="spellStart"/>
      <w:r w:rsidRPr="005525F6">
        <w:rPr>
          <w:rFonts w:ascii="Sakkal Majalla" w:eastAsiaTheme="minorHAnsi" w:hAnsi="Sakkal Majalla" w:cs="Sakkal Majalla"/>
          <w:color w:val="auto"/>
          <w:sz w:val="32"/>
          <w:szCs w:val="32"/>
        </w:rPr>
        <w:t>Mortadza</w:t>
      </w:r>
      <w:proofErr w:type="spellEnd"/>
      <w:r w:rsidRPr="005525F6">
        <w:rPr>
          <w:rFonts w:ascii="Sakkal Majalla" w:eastAsiaTheme="minorHAnsi" w:hAnsi="Sakkal Majalla" w:cs="Sakkal Majalla"/>
          <w:color w:val="auto"/>
          <w:sz w:val="32"/>
          <w:szCs w:val="32"/>
        </w:rPr>
        <w:t xml:space="preserve"> &amp; Rizal) </w:t>
      </w:r>
      <w:r w:rsidRPr="005525F6">
        <w:rPr>
          <w:rFonts w:ascii="Sakkal Majalla" w:eastAsiaTheme="minorHAnsi" w:hAnsi="Sakkal Majalla" w:cs="Sakkal Majalla"/>
          <w:color w:val="auto"/>
          <w:sz w:val="32"/>
          <w:szCs w:val="32"/>
          <w:rtl/>
        </w:rPr>
        <w:t>هذا التركيز يمنح الدراسة الحالية دقة في استكشاف أثر مبادرات إدارة المشاريع على الاستعداد الاستراتيجي لقطاع حيوي ضمن أهداف وطنية شاملة</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 xml:space="preserve">رغم التراكم المعرفي في الأدبيات السابقة حول أهمية إدارة المشاريع والتحول الرقمي، إلا أن هناك قصورا في الربط بين مبادرات إدارة المشاريع وجاهزية القطاعات الاقتصادية لمواجهة التحول الوطني في بيئة عربية، وخصوصا في القطاع التجزئة السعودي وهنا تبرز الفجوة البحثية التي تسدها الدراسة. الحالية، حيث تقدم إطارا تطبيقيا يربط بين أدوات إدارة المشاريع واستعداد قطاع اقتصادي </w:t>
      </w:r>
      <w:r w:rsidRPr="005525F6">
        <w:rPr>
          <w:rFonts w:ascii="Sakkal Majalla" w:eastAsiaTheme="minorHAnsi" w:hAnsi="Sakkal Majalla" w:cs="Sakkal Majalla"/>
          <w:color w:val="auto"/>
          <w:sz w:val="32"/>
          <w:szCs w:val="32"/>
          <w:rtl/>
        </w:rPr>
        <w:lastRenderedPageBreak/>
        <w:t>محوري الدعم أهداف رؤية المملكة 2030، بما يشمل التنوع الاقتصادي وزيادة التنافسية وتوطين المعرفة.</w:t>
      </w:r>
    </w:p>
    <w:p w:rsidR="005525F6" w:rsidRPr="005525F6" w:rsidRDefault="005525F6" w:rsidP="00795130">
      <w:pPr>
        <w:pStyle w:val="Heading1"/>
        <w:bidi/>
        <w:jc w:val="lowKashida"/>
        <w:rPr>
          <w:rFonts w:ascii="Sakkal Majalla" w:eastAsiaTheme="minorHAnsi" w:hAnsi="Sakkal Majalla" w:cs="Sakkal Majalla"/>
          <w:b w:val="0"/>
          <w:bCs/>
          <w:sz w:val="36"/>
          <w:szCs w:val="32"/>
        </w:rPr>
      </w:pPr>
      <w:bookmarkStart w:id="9" w:name="_Toc208064603"/>
      <w:r w:rsidRPr="005525F6">
        <w:rPr>
          <w:rFonts w:ascii="Sakkal Majalla" w:eastAsiaTheme="minorHAnsi" w:hAnsi="Sakkal Majalla" w:cs="Sakkal Majalla"/>
          <w:b w:val="0"/>
          <w:bCs/>
          <w:sz w:val="36"/>
          <w:szCs w:val="32"/>
          <w:rtl/>
        </w:rPr>
        <w:t>المنطلقات النظرية للدراسة</w:t>
      </w:r>
      <w:bookmarkEnd w:id="9"/>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أولا: تبني مبادرات إدارة المشاريع</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tl/>
          <w:lang w:bidi="ar-EG"/>
        </w:rPr>
      </w:pPr>
      <w:r w:rsidRPr="005525F6">
        <w:rPr>
          <w:rFonts w:ascii="Sakkal Majalla" w:eastAsiaTheme="minorHAnsi" w:hAnsi="Sakkal Majalla" w:cs="Sakkal Majalla"/>
          <w:color w:val="auto"/>
          <w:sz w:val="32"/>
          <w:szCs w:val="32"/>
          <w:rtl/>
        </w:rPr>
        <w:t>يشير مفهوم تبني مبادرات إدارة المشاريع إلى مجموعة الأنشطة والممارسات التي تتبناها المؤسسات بهدف تصين تنفيذ المشاريع وضمان مواءمتها مع الأهداف الاستراتيجية، لا سيما في البيئات الديناميكية</w:t>
      </w:r>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 xml:space="preserve">مثل بيئة التحول الاقتصادي </w:t>
      </w:r>
      <w:r w:rsidRPr="005525F6">
        <w:rPr>
          <w:rFonts w:ascii="Sakkal Majalla" w:eastAsiaTheme="minorHAnsi" w:hAnsi="Sakkal Majalla" w:cs="Sakkal Majalla"/>
          <w:color w:val="auto"/>
          <w:sz w:val="32"/>
          <w:szCs w:val="32"/>
        </w:rPr>
        <w:t>)</w:t>
      </w:r>
      <w:r w:rsidRPr="005525F6">
        <w:rPr>
          <w:rFonts w:ascii="Sakkal Majalla" w:eastAsiaTheme="minorHAnsi" w:hAnsi="Sakkal Majalla" w:cs="Sakkal Majalla"/>
          <w:color w:val="auto"/>
          <w:sz w:val="32"/>
          <w:szCs w:val="32"/>
          <w:rtl/>
        </w:rPr>
        <w:t xml:space="preserve">2022 </w:t>
      </w:r>
      <w:r w:rsidRPr="005525F6">
        <w:rPr>
          <w:rFonts w:ascii="Sakkal Majalla" w:eastAsiaTheme="minorHAnsi" w:hAnsi="Sakkal Majalla" w:cs="Sakkal Majalla"/>
          <w:color w:val="auto"/>
          <w:sz w:val="32"/>
          <w:szCs w:val="32"/>
        </w:rPr>
        <w:t>(</w:t>
      </w:r>
      <w:proofErr w:type="spellStart"/>
      <w:r w:rsidRPr="005525F6">
        <w:rPr>
          <w:rFonts w:ascii="Sakkal Majalla" w:eastAsiaTheme="minorHAnsi" w:hAnsi="Sakkal Majalla" w:cs="Sakkal Majalla"/>
          <w:color w:val="auto"/>
          <w:sz w:val="32"/>
          <w:szCs w:val="32"/>
        </w:rPr>
        <w:t>Kerzner</w:t>
      </w:r>
      <w:proofErr w:type="spellEnd"/>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 xml:space="preserve">وبعد هذا التبني عنصرا حاسما في تعزيز قدرة المؤسسات على الاستجابة للتغيرات من خلال تطوير نظم وهيكلة إدارية مرنة (2021 </w:t>
      </w:r>
      <w:r w:rsidRPr="005525F6">
        <w:rPr>
          <w:rFonts w:ascii="Sakkal Majalla" w:eastAsiaTheme="minorHAnsi" w:hAnsi="Sakkal Majalla" w:cs="Sakkal Majalla"/>
          <w:color w:val="auto"/>
          <w:sz w:val="32"/>
          <w:szCs w:val="32"/>
        </w:rPr>
        <w:t>PMI,</w:t>
      </w:r>
      <w:r w:rsidRPr="005525F6">
        <w:rPr>
          <w:rFonts w:ascii="Sakkal Majalla" w:eastAsiaTheme="minorHAnsi" w:hAnsi="Sakkal Majalla" w:cs="Sakkal Majalla" w:hint="cs"/>
          <w:color w:val="auto"/>
          <w:sz w:val="32"/>
          <w:szCs w:val="32"/>
          <w:rtl/>
          <w:lang w:bidi="ar-EG"/>
        </w:rPr>
        <w:t>)</w:t>
      </w:r>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أبعاد المتغير المستقل:</w:t>
      </w:r>
    </w:p>
    <w:p w:rsidR="005525F6" w:rsidRPr="005525F6" w:rsidRDefault="005525F6" w:rsidP="005525F6">
      <w:pPr>
        <w:numPr>
          <w:ilvl w:val="0"/>
          <w:numId w:val="13"/>
        </w:numPr>
        <w:spacing w:after="160" w:line="360" w:lineRule="auto"/>
        <w:ind w:right="0"/>
        <w:contextualSpacing/>
        <w:jc w:val="lowKashida"/>
        <w:rPr>
          <w:rFonts w:ascii="Sakkal Majalla" w:eastAsiaTheme="minorHAnsi" w:hAnsi="Sakkal Majalla" w:cs="Sakkal Majalla"/>
          <w:color w:val="auto"/>
          <w:sz w:val="32"/>
          <w:szCs w:val="32"/>
          <w:rtl/>
        </w:rPr>
      </w:pPr>
      <w:r w:rsidRPr="005525F6">
        <w:rPr>
          <w:rFonts w:ascii="Sakkal Majalla" w:eastAsiaTheme="minorHAnsi" w:hAnsi="Sakkal Majalla" w:cs="Sakkal Majalla"/>
          <w:color w:val="auto"/>
          <w:sz w:val="32"/>
          <w:szCs w:val="32"/>
          <w:rtl/>
        </w:rPr>
        <w:t>الهيكل</w:t>
      </w:r>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التنظيمي</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الداعم</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لإدارة</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المشاريع</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 xml:space="preserve">بعد وجود هيكل تنظيمي متخصص مثل مكتب إدارة المشاريع </w:t>
      </w:r>
      <w:r w:rsidRPr="005525F6">
        <w:rPr>
          <w:rFonts w:ascii="Sakkal Majalla" w:eastAsiaTheme="minorHAnsi" w:hAnsi="Sakkal Majalla" w:cs="Sakkal Majalla"/>
          <w:color w:val="auto"/>
          <w:sz w:val="32"/>
          <w:szCs w:val="32"/>
        </w:rPr>
        <w:t xml:space="preserve"> PMO </w:t>
      </w:r>
      <w:r w:rsidRPr="005525F6">
        <w:rPr>
          <w:rFonts w:ascii="Sakkal Majalla" w:eastAsiaTheme="minorHAnsi" w:hAnsi="Sakkal Majalla" w:cs="Sakkal Majalla"/>
          <w:color w:val="auto"/>
          <w:sz w:val="32"/>
          <w:szCs w:val="32"/>
          <w:rtl/>
        </w:rPr>
        <w:t xml:space="preserve">آداة استراتيجية ترفع كفاءة التخطيط والتنفيذ، وضمان الاتساق بين المشاريع والاستراتيجية المؤسسية &amp; </w:t>
      </w:r>
      <w:r w:rsidRPr="005525F6">
        <w:rPr>
          <w:rFonts w:ascii="Sakkal Majalla" w:eastAsiaTheme="minorHAnsi" w:hAnsi="Sakkal Majalla" w:cs="Sakkal Majalla"/>
          <w:color w:val="auto"/>
          <w:sz w:val="32"/>
          <w:szCs w:val="32"/>
        </w:rPr>
        <w:t>(Too, 2022) ,Weaver</w:t>
      </w:r>
      <w:r w:rsidRPr="005525F6">
        <w:rPr>
          <w:rFonts w:ascii="Sakkal Majalla" w:eastAsiaTheme="minorHAnsi" w:hAnsi="Sakkal Majalla" w:cs="Sakkal Majalla"/>
          <w:color w:val="auto"/>
          <w:sz w:val="32"/>
          <w:szCs w:val="32"/>
          <w:rtl/>
        </w:rPr>
        <w:t xml:space="preserve"> وقد أكدت دراسات حديثة أن الهيكل التنظيمي يؤثر على سرعة اتخاذ القرار ومستوى الحوكمة داخل المشاريع (2023 ,.</w:t>
      </w:r>
      <w:r w:rsidRPr="005525F6">
        <w:rPr>
          <w:rFonts w:ascii="Sakkal Majalla" w:eastAsiaTheme="minorHAnsi" w:hAnsi="Sakkal Majalla" w:cs="Sakkal Majalla"/>
          <w:color w:val="auto"/>
          <w:sz w:val="32"/>
          <w:szCs w:val="32"/>
        </w:rPr>
        <w:t>Wu et al</w:t>
      </w:r>
      <w:r w:rsidRPr="005525F6">
        <w:rPr>
          <w:rFonts w:ascii="Sakkal Majalla" w:eastAsiaTheme="minorHAnsi" w:hAnsi="Sakkal Majalla" w:cs="Sakkal Majalla" w:hint="cs"/>
          <w:color w:val="auto"/>
          <w:sz w:val="32"/>
          <w:szCs w:val="32"/>
          <w:rtl/>
          <w:lang w:bidi="ar-EG"/>
        </w:rPr>
        <w:t>)</w:t>
      </w:r>
    </w:p>
    <w:p w:rsidR="005525F6" w:rsidRPr="005525F6" w:rsidRDefault="005525F6" w:rsidP="005525F6">
      <w:pPr>
        <w:numPr>
          <w:ilvl w:val="0"/>
          <w:numId w:val="13"/>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تيني</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المنهجيات</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والأدوات</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 xml:space="preserve">الرقمية أصبح استخدام المنهجيات الرشيقة مثل </w:t>
      </w:r>
      <w:r w:rsidRPr="005525F6">
        <w:rPr>
          <w:rFonts w:ascii="Sakkal Majalla" w:eastAsiaTheme="minorHAnsi" w:hAnsi="Sakkal Majalla" w:cs="Sakkal Majalla"/>
          <w:color w:val="auto"/>
          <w:sz w:val="32"/>
          <w:szCs w:val="32"/>
        </w:rPr>
        <w:t>Agile</w:t>
      </w:r>
      <w:r w:rsidRPr="005525F6">
        <w:rPr>
          <w:rFonts w:ascii="Sakkal Majalla" w:eastAsiaTheme="minorHAnsi" w:hAnsi="Sakkal Majalla" w:cs="Sakkal Majalla"/>
          <w:color w:val="auto"/>
          <w:sz w:val="32"/>
          <w:szCs w:val="32"/>
          <w:rtl/>
        </w:rPr>
        <w:t xml:space="preserve"> و </w:t>
      </w:r>
      <w:proofErr w:type="spellStart"/>
      <w:r w:rsidRPr="005525F6">
        <w:rPr>
          <w:rFonts w:ascii="Sakkal Majalla" w:eastAsiaTheme="minorHAnsi" w:hAnsi="Sakkal Majalla" w:cs="Sakkal Majalla"/>
          <w:color w:val="auto"/>
          <w:sz w:val="32"/>
          <w:szCs w:val="32"/>
        </w:rPr>
        <w:t>crum</w:t>
      </w:r>
      <w:proofErr w:type="spellEnd"/>
      <w:r w:rsidRPr="005525F6">
        <w:rPr>
          <w:rFonts w:ascii="Sakkal Majalla" w:eastAsiaTheme="minorHAnsi" w:hAnsi="Sakkal Majalla" w:cs="Sakkal Majalla"/>
          <w:color w:val="auto"/>
          <w:sz w:val="32"/>
          <w:szCs w:val="32"/>
          <w:rtl/>
        </w:rPr>
        <w:t xml:space="preserve"> ك ضرورة في بيئة التحول الرقمي، حيث تسهم في تحسين التفاعل بين فرق العمل وتقليل زمن الإنجاز (2024 ,</w:t>
      </w:r>
      <w:proofErr w:type="spellStart"/>
      <w:r w:rsidRPr="005525F6">
        <w:rPr>
          <w:rFonts w:ascii="Sakkal Majalla" w:eastAsiaTheme="minorHAnsi" w:hAnsi="Sakkal Majalla" w:cs="Sakkal Majalla"/>
          <w:color w:val="auto"/>
          <w:sz w:val="32"/>
          <w:szCs w:val="32"/>
        </w:rPr>
        <w:t>Haddab</w:t>
      </w:r>
      <w:proofErr w:type="spellEnd"/>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 xml:space="preserve">كما أن اعتماد ادوات رقمية مثل </w:t>
      </w:r>
      <w:r w:rsidRPr="005525F6">
        <w:rPr>
          <w:rFonts w:ascii="Sakkal Majalla" w:eastAsiaTheme="minorHAnsi" w:hAnsi="Sakkal Majalla" w:cs="Sakkal Majalla"/>
          <w:color w:val="auto"/>
          <w:sz w:val="32"/>
          <w:szCs w:val="32"/>
        </w:rPr>
        <w:t>Trello</w:t>
      </w:r>
      <w:r w:rsidRPr="005525F6">
        <w:rPr>
          <w:rFonts w:ascii="Sakkal Majalla" w:eastAsiaTheme="minorHAnsi" w:hAnsi="Sakkal Majalla" w:cs="Sakkal Majalla"/>
          <w:color w:val="auto"/>
          <w:sz w:val="32"/>
          <w:szCs w:val="32"/>
          <w:rtl/>
        </w:rPr>
        <w:t xml:space="preserve"> و </w:t>
      </w:r>
      <w:r w:rsidRPr="005525F6">
        <w:rPr>
          <w:rFonts w:ascii="Sakkal Majalla" w:eastAsiaTheme="minorHAnsi" w:hAnsi="Sakkal Majalla" w:cs="Sakkal Majalla"/>
          <w:color w:val="auto"/>
          <w:sz w:val="32"/>
          <w:szCs w:val="32"/>
        </w:rPr>
        <w:t>Asana</w:t>
      </w:r>
      <w:r w:rsidRPr="005525F6">
        <w:rPr>
          <w:rFonts w:ascii="Sakkal Majalla" w:eastAsiaTheme="minorHAnsi" w:hAnsi="Sakkal Majalla" w:cs="Sakkal Majalla"/>
          <w:color w:val="auto"/>
          <w:sz w:val="32"/>
          <w:szCs w:val="32"/>
          <w:rtl/>
        </w:rPr>
        <w:t xml:space="preserve"> و </w:t>
      </w:r>
      <w:proofErr w:type="spellStart"/>
      <w:r w:rsidRPr="005525F6">
        <w:rPr>
          <w:rFonts w:ascii="Sakkal Majalla" w:eastAsiaTheme="minorHAnsi" w:hAnsi="Sakkal Majalla" w:cs="Sakkal Majalla"/>
          <w:color w:val="auto"/>
          <w:sz w:val="32"/>
          <w:szCs w:val="32"/>
        </w:rPr>
        <w:t>ra</w:t>
      </w:r>
      <w:proofErr w:type="spellEnd"/>
      <w:r w:rsidRPr="005525F6">
        <w:rPr>
          <w:rFonts w:ascii="Sakkal Majalla" w:eastAsiaTheme="minorHAnsi" w:hAnsi="Sakkal Majalla" w:cs="Sakkal Majalla"/>
          <w:color w:val="auto"/>
          <w:sz w:val="32"/>
          <w:szCs w:val="32"/>
          <w:rtl/>
        </w:rPr>
        <w:t xml:space="preserve"> اليسهل من تتبع الأداء، وتعزز من الشفافية في </w:t>
      </w:r>
      <w:r w:rsidRPr="005525F6">
        <w:rPr>
          <w:rFonts w:ascii="Sakkal Majalla" w:eastAsiaTheme="minorHAnsi" w:hAnsi="Sakkal Majalla" w:cs="Sakkal Majalla"/>
          <w:color w:val="auto"/>
          <w:sz w:val="32"/>
          <w:szCs w:val="32"/>
        </w:rPr>
        <w:t>(Dahmer ,2024)</w:t>
      </w:r>
      <w:r w:rsidRPr="005525F6">
        <w:rPr>
          <w:rFonts w:ascii="Sakkal Majalla" w:eastAsiaTheme="minorHAnsi" w:hAnsi="Sakkal Majalla" w:cs="Sakkal Majalla"/>
          <w:color w:val="auto"/>
          <w:sz w:val="32"/>
          <w:szCs w:val="32"/>
          <w:rtl/>
        </w:rPr>
        <w:t>إدارة الموارد</w:t>
      </w:r>
    </w:p>
    <w:p w:rsidR="005525F6" w:rsidRPr="005525F6" w:rsidRDefault="005525F6" w:rsidP="005525F6">
      <w:pPr>
        <w:numPr>
          <w:ilvl w:val="0"/>
          <w:numId w:val="13"/>
        </w:numPr>
        <w:spacing w:after="160" w:line="360" w:lineRule="auto"/>
        <w:ind w:right="0"/>
        <w:contextualSpacing/>
        <w:jc w:val="lowKashida"/>
        <w:rPr>
          <w:rFonts w:ascii="Sakkal Majalla" w:eastAsiaTheme="minorHAnsi" w:hAnsi="Sakkal Majalla" w:cs="Sakkal Majalla"/>
          <w:color w:val="auto"/>
          <w:sz w:val="32"/>
          <w:szCs w:val="32"/>
          <w:rtl/>
        </w:rPr>
      </w:pPr>
      <w:r w:rsidRPr="005525F6">
        <w:rPr>
          <w:rFonts w:ascii="Sakkal Majalla" w:eastAsiaTheme="minorHAnsi" w:hAnsi="Sakkal Majalla" w:cs="Sakkal Majalla"/>
          <w:color w:val="auto"/>
          <w:sz w:val="32"/>
          <w:szCs w:val="32"/>
          <w:rtl/>
        </w:rPr>
        <w:lastRenderedPageBreak/>
        <w:t>ت</w:t>
      </w:r>
      <w:r w:rsidRPr="005525F6">
        <w:rPr>
          <w:rFonts w:ascii="Sakkal Majalla" w:eastAsiaTheme="minorHAnsi" w:hAnsi="Sakkal Majalla" w:cs="Sakkal Majalla" w:hint="cs"/>
          <w:color w:val="auto"/>
          <w:sz w:val="32"/>
          <w:szCs w:val="32"/>
          <w:rtl/>
          <w:lang w:bidi="ar-EG"/>
        </w:rPr>
        <w:t>ن</w:t>
      </w:r>
      <w:r w:rsidRPr="005525F6">
        <w:rPr>
          <w:rFonts w:ascii="Sakkal Majalla" w:eastAsiaTheme="minorHAnsi" w:hAnsi="Sakkal Majalla" w:cs="Sakkal Majalla"/>
          <w:color w:val="auto"/>
          <w:sz w:val="32"/>
          <w:szCs w:val="32"/>
          <w:rtl/>
        </w:rPr>
        <w:t>مية</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القدرات</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إدارة</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المشاريع</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البشرية في أشارت الأدبيات إلى أن تأهيل الكوادر بالممارسات الحديثة في إدارة المشاريع يزيد من الاعلية التنفيذ وتسرع التكيف مع التغييرات الاستراتيجية . 2022 ,.</w:t>
      </w:r>
      <w:r w:rsidRPr="005525F6">
        <w:rPr>
          <w:rFonts w:ascii="Sakkal Majalla" w:eastAsiaTheme="minorHAnsi" w:hAnsi="Sakkal Majalla" w:cs="Sakkal Majalla"/>
          <w:color w:val="auto"/>
          <w:sz w:val="32"/>
          <w:szCs w:val="32"/>
        </w:rPr>
        <w:t xml:space="preserve">Patricio et al) </w:t>
      </w:r>
      <w:r w:rsidRPr="005525F6">
        <w:rPr>
          <w:rFonts w:ascii="Sakkal Majalla" w:eastAsiaTheme="minorHAnsi" w:hAnsi="Sakkal Majalla" w:cs="Sakkal Majalla"/>
          <w:color w:val="auto"/>
          <w:sz w:val="32"/>
          <w:szCs w:val="32"/>
          <w:rtl/>
        </w:rPr>
        <w:t>وبعد الاستثمار في رأس المال البشري أداء حيوية لتحقيق الاستدامة التنظيمية والنجاح الطويل الأمد (</w:t>
      </w:r>
      <w:proofErr w:type="spellStart"/>
      <w:r w:rsidRPr="005525F6">
        <w:rPr>
          <w:rFonts w:ascii="Sakkal Majalla" w:eastAsiaTheme="minorHAnsi" w:hAnsi="Sakkal Majalla" w:cs="Sakkal Majalla"/>
          <w:color w:val="auto"/>
          <w:sz w:val="32"/>
          <w:szCs w:val="32"/>
        </w:rPr>
        <w:t>Bugarcic</w:t>
      </w:r>
      <w:proofErr w:type="spellEnd"/>
      <w:r w:rsidRPr="005525F6">
        <w:rPr>
          <w:rFonts w:ascii="Sakkal Majalla" w:eastAsiaTheme="minorHAnsi" w:hAnsi="Sakkal Majalla" w:cs="Sakkal Majalla"/>
          <w:color w:val="auto"/>
          <w:sz w:val="32"/>
          <w:szCs w:val="32"/>
        </w:rPr>
        <w:t xml:space="preserve"> &amp; </w:t>
      </w:r>
      <w:proofErr w:type="spellStart"/>
      <w:r w:rsidRPr="005525F6">
        <w:rPr>
          <w:rFonts w:ascii="Sakkal Majalla" w:eastAsiaTheme="minorHAnsi" w:hAnsi="Sakkal Majalla" w:cs="Sakkal Majalla"/>
          <w:color w:val="auto"/>
          <w:sz w:val="32"/>
          <w:szCs w:val="32"/>
        </w:rPr>
        <w:t>Slavković</w:t>
      </w:r>
      <w:proofErr w:type="spellEnd"/>
      <w:r w:rsidRPr="005525F6">
        <w:rPr>
          <w:rFonts w:ascii="Sakkal Majalla" w:eastAsiaTheme="minorHAnsi" w:hAnsi="Sakkal Majalla" w:cs="Sakkal Majalla"/>
          <w:color w:val="auto"/>
          <w:sz w:val="32"/>
          <w:szCs w:val="32"/>
        </w:rPr>
        <w:t>, 2023).</w:t>
      </w:r>
    </w:p>
    <w:p w:rsidR="005525F6" w:rsidRPr="005525F6" w:rsidRDefault="005525F6" w:rsidP="005525F6">
      <w:pPr>
        <w:numPr>
          <w:ilvl w:val="0"/>
          <w:numId w:val="13"/>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الموادعة الاستراتيجية اين المشاريع وأهداف رؤية تعتمد المؤسسات الفعالة على مواءمة مشاريعها مع الخطط الوطنية الشاملة لضمان تحقيق الأثر الاقتصادي المستهدف، مثل رؤية المملكة 2030 التي تتطلب تعزيز التنويع الاقتصادي والاستثمار في التحول الرقمي 2024 ,.</w:t>
      </w:r>
      <w:proofErr w:type="spellStart"/>
      <w:r w:rsidRPr="005525F6">
        <w:rPr>
          <w:rFonts w:ascii="Sakkal Majalla" w:eastAsiaTheme="minorHAnsi" w:hAnsi="Sakkal Majalla" w:cs="Sakkal Majalla"/>
          <w:color w:val="auto"/>
          <w:sz w:val="32"/>
          <w:szCs w:val="32"/>
        </w:rPr>
        <w:t>Iriogbe</w:t>
      </w:r>
      <w:proofErr w:type="spellEnd"/>
      <w:r w:rsidRPr="005525F6">
        <w:rPr>
          <w:rFonts w:ascii="Sakkal Majalla" w:eastAsiaTheme="minorHAnsi" w:hAnsi="Sakkal Majalla" w:cs="Sakkal Majalla"/>
          <w:color w:val="auto"/>
          <w:sz w:val="32"/>
          <w:szCs w:val="32"/>
        </w:rPr>
        <w:t xml:space="preserve"> et al) </w:t>
      </w:r>
      <w:r w:rsidRPr="005525F6">
        <w:rPr>
          <w:rFonts w:ascii="Sakkal Majalla" w:eastAsiaTheme="minorHAnsi" w:hAnsi="Sakkal Majalla" w:cs="Sakkal Majalla"/>
          <w:color w:val="auto"/>
          <w:sz w:val="32"/>
          <w:szCs w:val="32"/>
          <w:rtl/>
        </w:rPr>
        <w:t>وتعد هذه المواسمة مؤشرا على نضحالمؤسسة وارتباطها بالرؤية الاقتصادية الكلية.</w:t>
      </w:r>
    </w:p>
    <w:p w:rsidR="005525F6" w:rsidRPr="005525F6" w:rsidRDefault="005525F6" w:rsidP="005525F6">
      <w:pPr>
        <w:spacing w:after="160" w:line="360" w:lineRule="auto"/>
        <w:ind w:left="0" w:right="0" w:firstLine="0"/>
        <w:jc w:val="lowKashida"/>
        <w:rPr>
          <w:rFonts w:ascii="Sakkal Majalla" w:eastAsiaTheme="minorHAnsi" w:hAnsi="Sakkal Majalla" w:cs="Sakkal Majalla"/>
          <w:b/>
          <w:bCs/>
          <w:color w:val="auto"/>
          <w:sz w:val="32"/>
          <w:szCs w:val="32"/>
        </w:rPr>
      </w:pPr>
      <w:r w:rsidRPr="005525F6">
        <w:rPr>
          <w:rFonts w:ascii="Sakkal Majalla" w:eastAsiaTheme="minorHAnsi" w:hAnsi="Sakkal Majalla" w:cs="Sakkal Majalla"/>
          <w:b/>
          <w:bCs/>
          <w:color w:val="auto"/>
          <w:sz w:val="32"/>
          <w:szCs w:val="32"/>
          <w:rtl/>
        </w:rPr>
        <w:t>ثانيا: المتغير التابع - جاهزية قطاع التجزئة لمواكبة التحول الاقتصادي</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 xml:space="preserve">تعكس الجاهزية للتحول الاقتصادي مدى استعداد المؤسسة أو القطاع التبني التغيرات الكبرى المرتبطة بإصلاحات اقتصادية أو خطط تنموية مثل رؤية 2030، ويشمل ذلك الجاهزية التنظيمية، والتقنية والبشرية، والثقافية (2024 </w:t>
      </w:r>
      <w:proofErr w:type="spellStart"/>
      <w:r w:rsidRPr="005525F6">
        <w:rPr>
          <w:rFonts w:ascii="Sakkal Majalla" w:eastAsiaTheme="minorHAnsi" w:hAnsi="Sakkal Majalla" w:cs="Sakkal Majalla"/>
          <w:color w:val="auto"/>
          <w:sz w:val="32"/>
          <w:szCs w:val="32"/>
        </w:rPr>
        <w:t>Michelotto</w:t>
      </w:r>
      <w:proofErr w:type="spellEnd"/>
      <w:r w:rsidRPr="005525F6">
        <w:rPr>
          <w:rFonts w:ascii="Sakkal Majalla" w:eastAsiaTheme="minorHAnsi" w:hAnsi="Sakkal Majalla" w:cs="Sakkal Majalla"/>
          <w:color w:val="auto"/>
          <w:sz w:val="32"/>
          <w:szCs w:val="32"/>
        </w:rPr>
        <w:t xml:space="preserve"> &amp; </w:t>
      </w:r>
      <w:proofErr w:type="spellStart"/>
      <w:r w:rsidRPr="005525F6">
        <w:rPr>
          <w:rFonts w:ascii="Sakkal Majalla" w:eastAsiaTheme="minorHAnsi" w:hAnsi="Sakkal Majalla" w:cs="Sakkal Majalla"/>
          <w:color w:val="auto"/>
          <w:sz w:val="32"/>
          <w:szCs w:val="32"/>
        </w:rPr>
        <w:t>Jola</w:t>
      </w:r>
      <w:proofErr w:type="spellEnd"/>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hint="cs"/>
          <w:color w:val="auto"/>
          <w:sz w:val="32"/>
          <w:szCs w:val="32"/>
          <w:rtl/>
          <w:lang w:bidi="ar-EG"/>
        </w:rPr>
        <w:t xml:space="preserve">) </w:t>
      </w:r>
      <w:r w:rsidRPr="005525F6">
        <w:rPr>
          <w:rFonts w:ascii="Sakkal Majalla" w:eastAsiaTheme="minorHAnsi" w:hAnsi="Sakkal Majalla" w:cs="Sakkal Majalla"/>
          <w:color w:val="auto"/>
          <w:sz w:val="32"/>
          <w:szCs w:val="32"/>
          <w:rtl/>
        </w:rPr>
        <w:t xml:space="preserve">وقد أظهرت الدراسات أن المؤسسات ذات الاستعداد العالي للتحول تتمتع بالمرونة، وسرعة الاستجابة، والقدرة على استغلال الفرص بدلا من مقاومتها </w:t>
      </w:r>
      <w:r w:rsidRPr="005525F6">
        <w:rPr>
          <w:rFonts w:ascii="Sakkal Majalla" w:eastAsiaTheme="minorHAnsi" w:hAnsi="Sakkal Majalla" w:cs="Sakkal Majalla"/>
          <w:color w:val="auto"/>
          <w:sz w:val="32"/>
          <w:szCs w:val="32"/>
        </w:rPr>
        <w:t>(</w:t>
      </w:r>
      <w:proofErr w:type="spellStart"/>
      <w:r w:rsidRPr="005525F6">
        <w:rPr>
          <w:rFonts w:ascii="Sakkal Majalla" w:eastAsiaTheme="minorHAnsi" w:hAnsi="Sakkal Majalla" w:cs="Sakkal Majalla"/>
          <w:color w:val="auto"/>
          <w:sz w:val="32"/>
          <w:szCs w:val="32"/>
        </w:rPr>
        <w:t>Shafi</w:t>
      </w:r>
      <w:proofErr w:type="spellEnd"/>
      <w:r w:rsidRPr="005525F6">
        <w:rPr>
          <w:rFonts w:ascii="Sakkal Majalla" w:eastAsiaTheme="minorHAnsi" w:hAnsi="Sakkal Majalla" w:cs="Sakkal Majalla"/>
          <w:color w:val="auto"/>
          <w:sz w:val="32"/>
          <w:szCs w:val="32"/>
        </w:rPr>
        <w:t>, 2024)</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وفي سياق قطاع التجزئة، فإن الجاهزية تعني قدرة هذا القطاع على</w:t>
      </w:r>
      <w:r w:rsidRPr="005525F6">
        <w:rPr>
          <w:rFonts w:ascii="Sakkal Majalla" w:eastAsiaTheme="minorHAnsi" w:hAnsi="Sakkal Majalla" w:cs="Sakkal Majalla" w:hint="cs"/>
          <w:color w:val="auto"/>
          <w:sz w:val="32"/>
          <w:szCs w:val="32"/>
          <w:rtl/>
        </w:rPr>
        <w:t>:</w:t>
      </w:r>
    </w:p>
    <w:p w:rsidR="005525F6" w:rsidRPr="005525F6" w:rsidRDefault="005525F6" w:rsidP="005525F6">
      <w:pPr>
        <w:numPr>
          <w:ilvl w:val="0"/>
          <w:numId w:val="14"/>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تبني تقنيات رقمية حديثة في إدارة العمليات.</w:t>
      </w:r>
    </w:p>
    <w:p w:rsidR="005525F6" w:rsidRPr="005525F6" w:rsidRDefault="005525F6" w:rsidP="005525F6">
      <w:pPr>
        <w:numPr>
          <w:ilvl w:val="0"/>
          <w:numId w:val="14"/>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تطوير المهارات والكوادر البشرية.</w:t>
      </w:r>
    </w:p>
    <w:p w:rsidR="005525F6" w:rsidRPr="005525F6" w:rsidRDefault="005525F6" w:rsidP="005525F6">
      <w:pPr>
        <w:numPr>
          <w:ilvl w:val="0"/>
          <w:numId w:val="14"/>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إعادة هيكلة العمليات المواءمة التحول الاقتصادي.</w:t>
      </w:r>
    </w:p>
    <w:p w:rsidR="005525F6" w:rsidRPr="005525F6" w:rsidRDefault="005525F6" w:rsidP="005525F6">
      <w:pPr>
        <w:numPr>
          <w:ilvl w:val="0"/>
          <w:numId w:val="14"/>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مواكبة التغيرات في سلوك المستهلك والبيئة التنظيمية.</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lastRenderedPageBreak/>
        <w:t xml:space="preserve">وقد أظهرت دراسة (2024) </w:t>
      </w:r>
      <w:proofErr w:type="spellStart"/>
      <w:r w:rsidRPr="005525F6">
        <w:rPr>
          <w:rFonts w:ascii="Sakkal Majalla" w:eastAsiaTheme="minorHAnsi" w:hAnsi="Sakkal Majalla" w:cs="Sakkal Majalla"/>
          <w:color w:val="auto"/>
          <w:sz w:val="32"/>
          <w:szCs w:val="32"/>
        </w:rPr>
        <w:t>yordanova</w:t>
      </w:r>
      <w:proofErr w:type="spellEnd"/>
      <w:r w:rsidRPr="005525F6">
        <w:rPr>
          <w:rFonts w:ascii="Sakkal Majalla" w:eastAsiaTheme="minorHAnsi" w:hAnsi="Sakkal Majalla" w:cs="Sakkal Majalla"/>
          <w:color w:val="auto"/>
          <w:sz w:val="32"/>
          <w:szCs w:val="32"/>
          <w:rtl/>
        </w:rPr>
        <w:t xml:space="preserve"> أن الكفاءة والفعالية الإدارية شرط أساسي لتحقيق التحول الرقمي الناجح في المشاريع، وهو ما يتعكس على الجاهزية الاستراتيجية للقطاعات</w:t>
      </w:r>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المنهجية وطرق البحث</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اعتمدت هذه الدراسة على المنهج الوصفي التحليلي، كونه الأنسب الطبيعة البحث الذي يهدف إلى دراسة العلاقة بين متغيرين رئيسيين هما تتبني مبادرات إدارة المشاريع بأبعاده الأربعة: الهيكل التنظيمي. المنهجيات والأدوات الرقمية تنمية القدرات البشرية المواسمة الاستراتيجية)، وجاهزية القطاع التجزئة المواكبة التحول الاقتصادي.</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يساعد المنهج الوصفي التحليلي في تشخيص الواقع الحالي الممارسات إدارة المشاريع في قطاع التجزئة وقياس أثر هذه الممارسات على مدى استعداد القطاع المواجهة متطلبات التحول الوطني المرتبط برؤية المملكة 2030، من خلال وصف الظاهرة كما هي وتحليل العلاقات الإحصائية بين المتغيرات.</w:t>
      </w:r>
    </w:p>
    <w:p w:rsidR="005525F6" w:rsidRPr="005525F6" w:rsidRDefault="005525F6" w:rsidP="00795130">
      <w:pPr>
        <w:pStyle w:val="Heading1"/>
        <w:bidi/>
        <w:jc w:val="lowKashida"/>
        <w:rPr>
          <w:rFonts w:ascii="Sakkal Majalla" w:eastAsiaTheme="minorHAnsi" w:hAnsi="Sakkal Majalla" w:cs="Sakkal Majalla"/>
          <w:b w:val="0"/>
          <w:bCs/>
          <w:sz w:val="36"/>
          <w:szCs w:val="32"/>
        </w:rPr>
      </w:pPr>
      <w:bookmarkStart w:id="10" w:name="_Toc208064604"/>
      <w:r w:rsidRPr="005525F6">
        <w:rPr>
          <w:rFonts w:ascii="Sakkal Majalla" w:eastAsiaTheme="minorHAnsi" w:hAnsi="Sakkal Majalla" w:cs="Sakkal Majalla"/>
          <w:b w:val="0"/>
          <w:bCs/>
          <w:sz w:val="36"/>
          <w:szCs w:val="32"/>
          <w:rtl/>
        </w:rPr>
        <w:t>مجتمع وعينة الدراسة</w:t>
      </w:r>
      <w:bookmarkEnd w:id="10"/>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يتكون مجتمع الدراسة من العاملين في المناصب الإدارية والإشرافية ذات العلاقة بإدارة المشاريع في شركات قطاع التجزئة في المملكة العربية السعودية، بما يشمل مديري المشاريع، ورؤساء الأقسام التشغيلية، ومديري مكاتب إدارة المشاريع (</w:t>
      </w:r>
      <w:r w:rsidRPr="005525F6">
        <w:rPr>
          <w:rFonts w:ascii="Sakkal Majalla" w:eastAsiaTheme="minorHAnsi" w:hAnsi="Sakkal Majalla" w:cs="Sakkal Majalla"/>
          <w:color w:val="auto"/>
          <w:sz w:val="32"/>
          <w:szCs w:val="32"/>
        </w:rPr>
        <w:t>PMOS)</w:t>
      </w:r>
      <w:r w:rsidRPr="005525F6">
        <w:rPr>
          <w:rFonts w:ascii="Sakkal Majalla" w:eastAsiaTheme="minorHAnsi" w:hAnsi="Sakkal Majalla" w:cs="Sakkal Majalla"/>
          <w:color w:val="auto"/>
          <w:sz w:val="32"/>
          <w:szCs w:val="32"/>
          <w:rtl/>
        </w:rPr>
        <w:t>، ومديري التحول المؤسسي، ويشمل المجتمع الشركات الكبرى والمتوسطة والصغيرة التي تمارس أنشطة تطويرية أو رقمية أو توسعية، وتلعب دورا في تحقيق مستهدفات التحول الاقتصادي ضمن رؤية المملكة 2030.</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 xml:space="preserve">وقد تم استخدام العينة العشوائية الطبقية الاختيار عينة تمثيلية من المجتمع، تراعي تنوع حجم الشركات وتوزعها الجغرافي، ثم تحديد حجم العينة باستخدام معادلة كريجسي ومورغان، حيث بلغ عدد الاستجابات الصالحة للتحليل الإحصائي (217) استبانة من أصل ما يقارب 500 تم توزيعها </w:t>
      </w:r>
      <w:r w:rsidRPr="005525F6">
        <w:rPr>
          <w:rFonts w:ascii="Sakkal Majalla" w:eastAsiaTheme="minorHAnsi" w:hAnsi="Sakkal Majalla" w:cs="Sakkal Majalla"/>
          <w:color w:val="auto"/>
          <w:sz w:val="32"/>
          <w:szCs w:val="32"/>
          <w:rtl/>
        </w:rPr>
        <w:lastRenderedPageBreak/>
        <w:t>على العاملين المستهدفين، وقد روعي في اختيار أفراد العينة أن يكونوا على اطلاع أو مشاركة مباشرة في إدارة المشاريع. داخل مؤسساتهم لضمان جودة البيانات وصدقها.</w:t>
      </w:r>
    </w:p>
    <w:p w:rsidR="005525F6" w:rsidRPr="005525F6" w:rsidRDefault="005525F6" w:rsidP="00795130">
      <w:pPr>
        <w:pStyle w:val="Heading1"/>
        <w:bidi/>
        <w:jc w:val="lowKashida"/>
        <w:rPr>
          <w:rFonts w:ascii="Sakkal Majalla" w:eastAsiaTheme="minorHAnsi" w:hAnsi="Sakkal Majalla" w:cs="Sakkal Majalla"/>
          <w:b w:val="0"/>
          <w:bCs/>
          <w:sz w:val="36"/>
          <w:szCs w:val="32"/>
        </w:rPr>
      </w:pPr>
      <w:bookmarkStart w:id="11" w:name="_Toc208064605"/>
      <w:r w:rsidRPr="005525F6">
        <w:rPr>
          <w:rFonts w:ascii="Sakkal Majalla" w:eastAsiaTheme="minorHAnsi" w:hAnsi="Sakkal Majalla" w:cs="Sakkal Majalla"/>
          <w:b w:val="0"/>
          <w:bCs/>
          <w:sz w:val="36"/>
          <w:szCs w:val="32"/>
          <w:rtl/>
        </w:rPr>
        <w:t>مصادر جمع البيانات</w:t>
      </w:r>
      <w:bookmarkEnd w:id="11"/>
    </w:p>
    <w:p w:rsidR="005525F6" w:rsidRPr="005525F6" w:rsidRDefault="005525F6" w:rsidP="005525F6">
      <w:pPr>
        <w:numPr>
          <w:ilvl w:val="0"/>
          <w:numId w:val="15"/>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المصادر الثانوية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p>
    <w:p w:rsidR="005525F6" w:rsidRPr="005525F6" w:rsidRDefault="005525F6" w:rsidP="005525F6">
      <w:pPr>
        <w:numPr>
          <w:ilvl w:val="0"/>
          <w:numId w:val="15"/>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 xml:space="preserve">المصادر الأولية: اعتمدت الدراسة على الاستبانة كأداة رئيسية في جمع البيانات من مصادرها والتي تم تصميمها خصيصاً لهذا العرض على </w:t>
      </w:r>
      <w:r w:rsidRPr="005525F6">
        <w:rPr>
          <w:rFonts w:ascii="Sakkal Majalla" w:eastAsiaTheme="minorHAnsi" w:hAnsi="Sakkal Majalla" w:cs="Sakkal Majalla"/>
          <w:color w:val="auto"/>
          <w:sz w:val="32"/>
          <w:szCs w:val="32"/>
        </w:rPr>
        <w:t>Google Forms</w:t>
      </w:r>
      <w:r w:rsidRPr="005525F6">
        <w:rPr>
          <w:rFonts w:ascii="Sakkal Majalla" w:eastAsiaTheme="minorHAnsi" w:hAnsi="Sakkal Majalla" w:cs="Sakkal Majalla"/>
          <w:color w:val="auto"/>
          <w:sz w:val="32"/>
          <w:szCs w:val="32"/>
          <w:rtl/>
        </w:rPr>
        <w:t xml:space="preserve"> وارسال رابطها إلى مجتمع البحث.</w:t>
      </w:r>
    </w:p>
    <w:p w:rsidR="005525F6" w:rsidRPr="005525F6" w:rsidRDefault="005525F6" w:rsidP="00795130">
      <w:pPr>
        <w:pStyle w:val="Heading1"/>
        <w:bidi/>
        <w:jc w:val="lowKashida"/>
        <w:rPr>
          <w:rFonts w:ascii="Sakkal Majalla" w:eastAsiaTheme="minorHAnsi" w:hAnsi="Sakkal Majalla" w:cs="Sakkal Majalla"/>
          <w:b w:val="0"/>
          <w:bCs/>
          <w:sz w:val="36"/>
          <w:szCs w:val="32"/>
        </w:rPr>
      </w:pPr>
      <w:bookmarkStart w:id="12" w:name="_Toc208064606"/>
      <w:r w:rsidRPr="005525F6">
        <w:rPr>
          <w:rFonts w:ascii="Sakkal Majalla" w:eastAsiaTheme="minorHAnsi" w:hAnsi="Sakkal Majalla" w:cs="Sakkal Majalla"/>
          <w:b w:val="0"/>
          <w:bCs/>
          <w:sz w:val="36"/>
          <w:szCs w:val="32"/>
          <w:rtl/>
        </w:rPr>
        <w:t>أدوات الدراسة</w:t>
      </w:r>
      <w:bookmarkEnd w:id="12"/>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تتكون الاستبانة من جزأين رئيسيين:</w:t>
      </w:r>
    </w:p>
    <w:p w:rsidR="005525F6" w:rsidRPr="005525F6" w:rsidRDefault="005525F6" w:rsidP="005525F6">
      <w:pPr>
        <w:numPr>
          <w:ilvl w:val="0"/>
          <w:numId w:val="16"/>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البيانات العامة وتشمل معلومات حول خصائص المبحوثين مثل: (المنصب الوظيفي، سنوات الخبرة، حجم الشركة القطاع الفرعي داخل التجزئة، عدد المشاريع المشاركة فيها</w:t>
      </w:r>
      <w:r w:rsidRPr="005525F6">
        <w:rPr>
          <w:rFonts w:ascii="Sakkal Majalla" w:eastAsiaTheme="minorHAnsi" w:hAnsi="Sakkal Majalla" w:cs="Sakkal Majalla" w:hint="cs"/>
          <w:color w:val="auto"/>
          <w:sz w:val="32"/>
          <w:szCs w:val="32"/>
          <w:rtl/>
        </w:rPr>
        <w:t>.</w:t>
      </w:r>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محاور الاستبانة الأساسية، وتشمل:</w:t>
      </w:r>
    </w:p>
    <w:p w:rsidR="005525F6" w:rsidRPr="005525F6" w:rsidRDefault="005525F6" w:rsidP="005525F6">
      <w:pPr>
        <w:numPr>
          <w:ilvl w:val="0"/>
          <w:numId w:val="16"/>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المحور الأول : الهيكل التنظيمي الداعم لإدارة المشاريع (5) القرات).</w:t>
      </w:r>
    </w:p>
    <w:p w:rsidR="005525F6" w:rsidRPr="005525F6" w:rsidRDefault="005525F6" w:rsidP="005525F6">
      <w:pPr>
        <w:numPr>
          <w:ilvl w:val="0"/>
          <w:numId w:val="16"/>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المحور الثاني التبني المنهجيات والأدوات الرقمية (5) القرات).</w:t>
      </w:r>
    </w:p>
    <w:p w:rsidR="005525F6" w:rsidRPr="005525F6" w:rsidRDefault="005525F6" w:rsidP="005525F6">
      <w:pPr>
        <w:numPr>
          <w:ilvl w:val="0"/>
          <w:numId w:val="16"/>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المحور الثالث التنمية القدرات البشرية في إدارة المشاريع (5) فقرات)</w:t>
      </w:r>
    </w:p>
    <w:p w:rsidR="005525F6" w:rsidRPr="005525F6" w:rsidRDefault="005525F6" w:rsidP="005525F6">
      <w:pPr>
        <w:numPr>
          <w:ilvl w:val="0"/>
          <w:numId w:val="16"/>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المحور الرابع : مواسعة المشاريع مع الأهداف الاستراتيجية لرؤية 2030 (5) فقرات).</w:t>
      </w:r>
    </w:p>
    <w:p w:rsidR="005525F6" w:rsidRPr="005525F6" w:rsidRDefault="005525F6" w:rsidP="005525F6">
      <w:pPr>
        <w:numPr>
          <w:ilvl w:val="0"/>
          <w:numId w:val="16"/>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lastRenderedPageBreak/>
        <w:t>المحور الخامس : جاهزية قطاع التجزئة المواكبة التحول الاقتصادي المتغير التابع -</w:t>
      </w:r>
      <w:r w:rsidRPr="005525F6">
        <w:rPr>
          <w:rFonts w:ascii="Sakkal Majalla" w:eastAsiaTheme="minorHAnsi" w:hAnsi="Sakkal Majalla" w:cs="Sakkal Majalla" w:hint="cs"/>
          <w:color w:val="auto"/>
          <w:sz w:val="32"/>
          <w:szCs w:val="32"/>
          <w:rtl/>
        </w:rPr>
        <w:t>7</w:t>
      </w:r>
      <w:r w:rsidRPr="005525F6">
        <w:rPr>
          <w:rFonts w:ascii="Sakkal Majalla" w:eastAsiaTheme="minorHAnsi" w:hAnsi="Sakkal Majalla" w:cs="Sakkal Majalla"/>
          <w:color w:val="auto"/>
          <w:sz w:val="32"/>
          <w:szCs w:val="32"/>
          <w:rtl/>
        </w:rPr>
        <w:t xml:space="preserve"> فقرات).</w:t>
      </w:r>
    </w:p>
    <w:p w:rsidR="005525F6" w:rsidRPr="005525F6" w:rsidRDefault="005525F6" w:rsidP="005525F6">
      <w:pPr>
        <w:spacing w:after="160" w:line="360" w:lineRule="auto"/>
        <w:ind w:left="0" w:right="0" w:firstLine="72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تمت صياغة الفقرات باستخدام مقياس ليكرت الخماسي لقياس درجة الاتفاق، بدءًا من (1 - لا أوافق بشدة) إلى (5 - أوافق بشدة).</w:t>
      </w:r>
    </w:p>
    <w:p w:rsidR="005525F6" w:rsidRPr="005525F6" w:rsidRDefault="005525F6" w:rsidP="00795130">
      <w:pPr>
        <w:pStyle w:val="Heading1"/>
        <w:bidi/>
        <w:jc w:val="lowKashida"/>
        <w:rPr>
          <w:rFonts w:ascii="Sakkal Majalla" w:eastAsiaTheme="minorHAnsi" w:hAnsi="Sakkal Majalla" w:cs="Sakkal Majalla"/>
          <w:b w:val="0"/>
          <w:bCs/>
          <w:sz w:val="36"/>
          <w:szCs w:val="32"/>
        </w:rPr>
      </w:pPr>
      <w:bookmarkStart w:id="13" w:name="_Toc208064607"/>
      <w:r w:rsidRPr="005525F6">
        <w:rPr>
          <w:rFonts w:ascii="Sakkal Majalla" w:eastAsiaTheme="minorHAnsi" w:hAnsi="Sakkal Majalla" w:cs="Sakkal Majalla"/>
          <w:b w:val="0"/>
          <w:bCs/>
          <w:sz w:val="36"/>
          <w:szCs w:val="32"/>
          <w:rtl/>
        </w:rPr>
        <w:t>الأساليب الإحصائية المستخدمة</w:t>
      </w:r>
      <w:bookmarkEnd w:id="13"/>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تم استخدام الأساليب الإحصائية التالية لتحقيق أهداف الدراسة:</w:t>
      </w:r>
    </w:p>
    <w:p w:rsidR="005525F6" w:rsidRPr="005525F6" w:rsidRDefault="005525F6" w:rsidP="005525F6">
      <w:pPr>
        <w:numPr>
          <w:ilvl w:val="0"/>
          <w:numId w:val="17"/>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معامل " ألفا كرونباخ القياس ثبات أداة الدراسة ومعامل الارتباط بيرسون لقياس صدق أداة الدراسة والعلاقة بين المتغيرات</w:t>
      </w:r>
    </w:p>
    <w:p w:rsidR="005525F6" w:rsidRPr="005525F6" w:rsidRDefault="005525F6" w:rsidP="005525F6">
      <w:pPr>
        <w:numPr>
          <w:ilvl w:val="0"/>
          <w:numId w:val="17"/>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التكرارات والنسب المئوية والمتوسط الحسابي والانحراف المعياري المتعلقة بمتغيرات</w:t>
      </w:r>
    </w:p>
    <w:p w:rsidR="005525F6" w:rsidRPr="005525F6" w:rsidRDefault="005525F6" w:rsidP="005525F6">
      <w:pPr>
        <w:numPr>
          <w:ilvl w:val="0"/>
          <w:numId w:val="17"/>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الدراسة ولجميع الاستجابات على فقرات الاستبيان</w:t>
      </w:r>
    </w:p>
    <w:p w:rsidR="005525F6" w:rsidRPr="005525F6" w:rsidRDefault="005525F6" w:rsidP="005525F6">
      <w:pPr>
        <w:numPr>
          <w:ilvl w:val="0"/>
          <w:numId w:val="17"/>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معامل الانحدار الخطي البسيط القياس أثر كل بعد من أبعاد المتغير المستقل على المتغير التابع</w:t>
      </w:r>
    </w:p>
    <w:p w:rsidR="005525F6" w:rsidRPr="005525F6" w:rsidRDefault="00C0778B" w:rsidP="00795130">
      <w:pPr>
        <w:pStyle w:val="Heading1"/>
        <w:bidi/>
        <w:jc w:val="lowKashida"/>
        <w:rPr>
          <w:rFonts w:ascii="Sakkal Majalla" w:eastAsiaTheme="minorHAnsi" w:hAnsi="Sakkal Majalla" w:cs="Sakkal Majalla"/>
          <w:b w:val="0"/>
          <w:bCs/>
          <w:sz w:val="36"/>
          <w:szCs w:val="32"/>
        </w:rPr>
      </w:pPr>
      <w:bookmarkStart w:id="14" w:name="_Toc208064608"/>
      <w:r w:rsidRPr="00795130">
        <w:rPr>
          <w:rFonts w:ascii="Sakkal Majalla" w:eastAsiaTheme="minorHAnsi" w:hAnsi="Sakkal Majalla" w:cs="Sakkal Majalla"/>
          <w:b w:val="0"/>
          <w:bCs/>
          <w:sz w:val="36"/>
          <w:szCs w:val="32"/>
          <w:rtl/>
        </w:rPr>
        <w:t>حدود الدراسة</w:t>
      </w:r>
      <w:bookmarkEnd w:id="14"/>
    </w:p>
    <w:p w:rsidR="005525F6" w:rsidRPr="005525F6" w:rsidRDefault="005525F6" w:rsidP="005525F6">
      <w:pPr>
        <w:numPr>
          <w:ilvl w:val="0"/>
          <w:numId w:val="18"/>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حدود موضوعية تقتصر هذه الدراسة على تحليل العلاقة بين تبني مبادرات إدارة المشاريع بأبعادها الأربعة الهيكل التنظيمي، المنهجيات والأدوات الرقمية، تنمية القدرات البشرية، المواءمة الاستراتيجية باعتباره المتغير المستقل، وبين جاهزية قطاع التجزئة لمواكبة التحول الاقتصادي في المملكة العربية السعودية...</w:t>
      </w:r>
    </w:p>
    <w:p w:rsidR="005525F6" w:rsidRPr="005525F6" w:rsidRDefault="005525F6" w:rsidP="005525F6">
      <w:pPr>
        <w:numPr>
          <w:ilvl w:val="0"/>
          <w:numId w:val="18"/>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حدود مكانية تجرى الدراسة ميدانيا على شركات ومؤسسات قطاع التجزئة العاملة داخل المملكة العربية السعودية، مع التركيز على المدن الرئيسية مثل الرياض، جدة، التمام، والمدينة المنورة.</w:t>
      </w:r>
    </w:p>
    <w:p w:rsidR="005525F6" w:rsidRPr="005525F6" w:rsidRDefault="005525F6" w:rsidP="005525F6">
      <w:pPr>
        <w:numPr>
          <w:ilvl w:val="0"/>
          <w:numId w:val="18"/>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lastRenderedPageBreak/>
        <w:t>حدود زمانية: تم إعداد الدراسة في عام 2025.</w:t>
      </w:r>
    </w:p>
    <w:p w:rsidR="005525F6" w:rsidRPr="005525F6" w:rsidRDefault="005525F6" w:rsidP="005525F6">
      <w:pPr>
        <w:numPr>
          <w:ilvl w:val="0"/>
          <w:numId w:val="18"/>
        </w:numPr>
        <w:spacing w:after="160" w:line="360" w:lineRule="auto"/>
        <w:ind w:right="0"/>
        <w:contextualSpacing/>
        <w:jc w:val="lowKashida"/>
        <w:rPr>
          <w:rFonts w:ascii="Sakkal Majalla" w:eastAsiaTheme="minorHAnsi" w:hAnsi="Sakkal Majalla" w:cs="Sakkal Majalla"/>
          <w:color w:val="auto"/>
          <w:sz w:val="32"/>
          <w:szCs w:val="32"/>
        </w:rPr>
      </w:pPr>
      <w:r w:rsidRPr="005525F6">
        <w:rPr>
          <w:rFonts w:ascii="Sakkal Majalla" w:eastAsiaTheme="minorHAnsi" w:hAnsi="Sakkal Majalla" w:cs="Sakkal Majalla"/>
          <w:color w:val="auto"/>
          <w:sz w:val="32"/>
          <w:szCs w:val="32"/>
          <w:rtl/>
        </w:rPr>
        <w:t>حدود بشرية تقتصر الحدود البشرية لهذه الدراسة على العاملين في المناصب الإدارية والإشرافية ذات العلاقة بإدارة المشاريع داخل مؤسسات قطاع التجزئة، مثل مديري المشاريع، ومديري</w:t>
      </w:r>
      <w:r w:rsidRPr="005525F6">
        <w:rPr>
          <w:rFonts w:ascii="Sakkal Majalla" w:eastAsiaTheme="minorHAnsi" w:hAnsi="Sakkal Majalla" w:cs="Sakkal Majalla"/>
          <w:color w:val="auto"/>
          <w:sz w:val="32"/>
          <w:szCs w:val="32"/>
        </w:rPr>
        <w:t xml:space="preserve"> </w:t>
      </w:r>
      <w:r w:rsidRPr="005525F6">
        <w:rPr>
          <w:rFonts w:ascii="Sakkal Majalla" w:eastAsiaTheme="minorHAnsi" w:hAnsi="Sakkal Majalla" w:cs="Sakkal Majalla"/>
          <w:color w:val="auto"/>
          <w:sz w:val="32"/>
          <w:szCs w:val="32"/>
          <w:rtl/>
        </w:rPr>
        <w:t>الإدارات التشغيلية، ومشرفي مكاتب إدارة المشاريع، ممن لديهم خبرة أو مشاركة مباشرة في تنفيذ</w:t>
      </w:r>
      <w:r w:rsidRPr="005525F6">
        <w:rPr>
          <w:rFonts w:ascii="Sakkal Majalla" w:eastAsiaTheme="minorHAnsi" w:hAnsi="Sakkal Majalla" w:cs="Sakkal Majalla" w:hint="cs"/>
          <w:color w:val="auto"/>
          <w:sz w:val="32"/>
          <w:szCs w:val="32"/>
          <w:rtl/>
        </w:rPr>
        <w:t xml:space="preserve"> </w:t>
      </w:r>
      <w:r w:rsidRPr="005525F6">
        <w:rPr>
          <w:rFonts w:ascii="Sakkal Majalla" w:eastAsiaTheme="minorHAnsi" w:hAnsi="Sakkal Majalla" w:cs="Sakkal Majalla"/>
          <w:color w:val="auto"/>
          <w:sz w:val="32"/>
          <w:szCs w:val="32"/>
          <w:rtl/>
        </w:rPr>
        <w:t>المشاريع التنظيمية أو الرقمية .</w:t>
      </w:r>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p>
    <w:p w:rsidR="005525F6" w:rsidRPr="005525F6" w:rsidRDefault="005525F6" w:rsidP="005525F6">
      <w:pPr>
        <w:spacing w:after="160" w:line="360" w:lineRule="auto"/>
        <w:ind w:left="0" w:right="0" w:firstLine="0"/>
        <w:jc w:val="lowKashida"/>
        <w:rPr>
          <w:rFonts w:ascii="Sakkal Majalla" w:eastAsiaTheme="minorHAnsi" w:hAnsi="Sakkal Majalla" w:cs="Sakkal Majalla"/>
          <w:color w:val="auto"/>
          <w:sz w:val="32"/>
          <w:szCs w:val="32"/>
        </w:rPr>
      </w:pPr>
    </w:p>
    <w:p w:rsidR="000B2DBC" w:rsidRPr="005525F6" w:rsidRDefault="000B2DBC">
      <w:pPr>
        <w:spacing w:after="4" w:line="364" w:lineRule="auto"/>
        <w:ind w:left="363" w:right="-10" w:hanging="363"/>
        <w:jc w:val="both"/>
        <w:rPr>
          <w:rtl/>
        </w:rPr>
      </w:pPr>
    </w:p>
    <w:p w:rsidR="005525F6" w:rsidRDefault="005525F6">
      <w:pPr>
        <w:spacing w:after="4" w:line="364" w:lineRule="auto"/>
        <w:ind w:left="363" w:right="-10" w:hanging="363"/>
        <w:jc w:val="both"/>
        <w:rPr>
          <w:rtl/>
        </w:rPr>
      </w:pPr>
    </w:p>
    <w:p w:rsidR="005525F6" w:rsidRDefault="005525F6">
      <w:pPr>
        <w:spacing w:after="4" w:line="364" w:lineRule="auto"/>
        <w:ind w:left="363" w:right="-10" w:hanging="363"/>
        <w:jc w:val="both"/>
        <w:rPr>
          <w:rtl/>
        </w:rPr>
      </w:pPr>
    </w:p>
    <w:p w:rsidR="005525F6" w:rsidRDefault="005525F6">
      <w:pPr>
        <w:spacing w:after="4" w:line="364" w:lineRule="auto"/>
        <w:ind w:left="363" w:right="-10" w:hanging="363"/>
        <w:jc w:val="both"/>
        <w:rPr>
          <w:rtl/>
        </w:rPr>
      </w:pPr>
    </w:p>
    <w:p w:rsidR="005525F6" w:rsidRDefault="005525F6">
      <w:pPr>
        <w:spacing w:after="4" w:line="364" w:lineRule="auto"/>
        <w:ind w:left="363" w:right="-10" w:hanging="363"/>
        <w:jc w:val="both"/>
        <w:rPr>
          <w:rtl/>
        </w:rPr>
      </w:pPr>
    </w:p>
    <w:p w:rsidR="005525F6" w:rsidRDefault="005525F6">
      <w:pPr>
        <w:spacing w:after="4" w:line="364" w:lineRule="auto"/>
        <w:ind w:left="363" w:right="-10" w:hanging="363"/>
        <w:jc w:val="both"/>
        <w:rPr>
          <w:rtl/>
        </w:rPr>
      </w:pPr>
    </w:p>
    <w:p w:rsidR="000B2DBC" w:rsidRPr="00795130" w:rsidRDefault="00795130" w:rsidP="00795130">
      <w:pPr>
        <w:pStyle w:val="Heading1"/>
        <w:bidi/>
        <w:jc w:val="center"/>
        <w:rPr>
          <w:rFonts w:ascii="Sakkal Majalla" w:eastAsiaTheme="minorHAnsi" w:hAnsi="Sakkal Majalla" w:cs="Sakkal Majalla"/>
          <w:b w:val="0"/>
          <w:bCs/>
          <w:sz w:val="36"/>
          <w:szCs w:val="32"/>
        </w:rPr>
      </w:pPr>
      <w:bookmarkStart w:id="15" w:name="_Toc208064609"/>
      <w:r>
        <w:rPr>
          <w:rFonts w:ascii="Sakkal Majalla" w:eastAsiaTheme="minorHAnsi" w:hAnsi="Sakkal Majalla" w:cs="Sakkal Majalla"/>
          <w:b w:val="0"/>
          <w:bCs/>
          <w:sz w:val="36"/>
          <w:szCs w:val="32"/>
          <w:rtl/>
        </w:rPr>
        <w:lastRenderedPageBreak/>
        <w:t>المراجع</w:t>
      </w:r>
      <w:bookmarkEnd w:id="15"/>
    </w:p>
    <w:p w:rsidR="000B2DBC" w:rsidRPr="003B6D0C" w:rsidRDefault="00270850" w:rsidP="003B6D0C">
      <w:pPr>
        <w:numPr>
          <w:ilvl w:val="0"/>
          <w:numId w:val="7"/>
        </w:numPr>
        <w:bidi w:val="0"/>
        <w:spacing w:after="9" w:line="355" w:lineRule="auto"/>
        <w:ind w:right="-6" w:hanging="360"/>
        <w:jc w:val="lowKashida"/>
        <w:rPr>
          <w:rFonts w:asciiTheme="majorBidi" w:hAnsiTheme="majorBidi" w:cstheme="majorBidi"/>
          <w:sz w:val="24"/>
          <w:szCs w:val="24"/>
        </w:rPr>
      </w:pPr>
      <w:proofErr w:type="spellStart"/>
      <w:r w:rsidRPr="003B6D0C">
        <w:rPr>
          <w:rFonts w:asciiTheme="majorBidi" w:hAnsiTheme="majorBidi" w:cstheme="majorBidi"/>
          <w:sz w:val="24"/>
          <w:szCs w:val="24"/>
        </w:rPr>
        <w:t>Bugar</w:t>
      </w:r>
      <w:r w:rsidRPr="003B6D0C">
        <w:rPr>
          <w:rFonts w:asciiTheme="majorBidi" w:eastAsia="Cambria" w:hAnsiTheme="majorBidi" w:cstheme="majorBidi"/>
          <w:sz w:val="24"/>
          <w:szCs w:val="24"/>
        </w:rPr>
        <w:t>č</w:t>
      </w:r>
      <w:r w:rsidRPr="003B6D0C">
        <w:rPr>
          <w:rFonts w:asciiTheme="majorBidi" w:hAnsiTheme="majorBidi" w:cstheme="majorBidi"/>
          <w:sz w:val="24"/>
          <w:szCs w:val="24"/>
        </w:rPr>
        <w:t>i</w:t>
      </w:r>
      <w:r w:rsidRPr="003B6D0C">
        <w:rPr>
          <w:rFonts w:asciiTheme="majorBidi" w:eastAsia="Cambria" w:hAnsiTheme="majorBidi" w:cstheme="majorBidi"/>
          <w:sz w:val="24"/>
          <w:szCs w:val="24"/>
        </w:rPr>
        <w:t>ć</w:t>
      </w:r>
      <w:proofErr w:type="spellEnd"/>
      <w:r w:rsidRPr="003B6D0C">
        <w:rPr>
          <w:rFonts w:asciiTheme="majorBidi" w:hAnsiTheme="majorBidi" w:cstheme="majorBidi"/>
          <w:sz w:val="24"/>
          <w:szCs w:val="24"/>
        </w:rPr>
        <w:t xml:space="preserve">, M., &amp; </w:t>
      </w:r>
      <w:proofErr w:type="spellStart"/>
      <w:r w:rsidRPr="003B6D0C">
        <w:rPr>
          <w:rFonts w:asciiTheme="majorBidi" w:hAnsiTheme="majorBidi" w:cstheme="majorBidi"/>
          <w:sz w:val="24"/>
          <w:szCs w:val="24"/>
        </w:rPr>
        <w:t>Slavkovi</w:t>
      </w:r>
      <w:r w:rsidRPr="003B6D0C">
        <w:rPr>
          <w:rFonts w:asciiTheme="majorBidi" w:eastAsia="Cambria" w:hAnsiTheme="majorBidi" w:cstheme="majorBidi"/>
          <w:sz w:val="24"/>
          <w:szCs w:val="24"/>
        </w:rPr>
        <w:t>ć</w:t>
      </w:r>
      <w:proofErr w:type="spellEnd"/>
      <w:r w:rsidRPr="003B6D0C">
        <w:rPr>
          <w:rFonts w:asciiTheme="majorBidi" w:hAnsiTheme="majorBidi" w:cstheme="majorBidi"/>
          <w:sz w:val="24"/>
          <w:szCs w:val="24"/>
        </w:rPr>
        <w:t xml:space="preserve">, M. (2023). Does digitalization </w:t>
      </w:r>
      <w:proofErr w:type="gramStart"/>
      <w:r w:rsidRPr="003B6D0C">
        <w:rPr>
          <w:rFonts w:asciiTheme="majorBidi" w:hAnsiTheme="majorBidi" w:cstheme="majorBidi"/>
          <w:sz w:val="24"/>
          <w:szCs w:val="24"/>
        </w:rPr>
        <w:t>supports</w:t>
      </w:r>
      <w:proofErr w:type="gramEnd"/>
      <w:r w:rsidRPr="003B6D0C">
        <w:rPr>
          <w:rFonts w:asciiTheme="majorBidi" w:hAnsiTheme="majorBidi" w:cstheme="majorBidi"/>
          <w:sz w:val="24"/>
          <w:szCs w:val="24"/>
        </w:rPr>
        <w:t xml:space="preserve"> project management effectiveness? New insight on the role of intellectual capital. Buildings, 13(8), .8981. </w:t>
      </w:r>
    </w:p>
    <w:p w:rsidR="000B2DBC" w:rsidRPr="003B6D0C" w:rsidRDefault="00270850" w:rsidP="003B6D0C">
      <w:pPr>
        <w:bidi w:val="0"/>
        <w:spacing w:after="96" w:line="259" w:lineRule="auto"/>
        <w:ind w:left="717" w:right="0" w:hanging="10"/>
        <w:jc w:val="lowKashida"/>
        <w:rPr>
          <w:rFonts w:asciiTheme="majorBidi" w:hAnsiTheme="majorBidi" w:cstheme="majorBidi"/>
          <w:sz w:val="24"/>
          <w:szCs w:val="24"/>
        </w:rPr>
      </w:pPr>
      <w:hyperlink r:id="rId9">
        <w:r w:rsidRPr="003B6D0C">
          <w:rPr>
            <w:rFonts w:asciiTheme="majorBidi" w:hAnsiTheme="majorBidi" w:cstheme="majorBidi"/>
            <w:color w:val="0563C1"/>
            <w:sz w:val="24"/>
            <w:szCs w:val="24"/>
            <w:u w:val="single" w:color="0563C1"/>
          </w:rPr>
          <w:t>https://doi.org/10.3390/buildings13081898</w:t>
        </w:r>
      </w:hyperlink>
      <w:hyperlink r:id="rId10">
        <w:r w:rsidRPr="003B6D0C">
          <w:rPr>
            <w:rFonts w:asciiTheme="majorBidi" w:hAnsiTheme="majorBidi" w:cstheme="majorBidi"/>
            <w:sz w:val="24"/>
            <w:szCs w:val="24"/>
          </w:rPr>
          <w:t xml:space="preserve"> </w:t>
        </w:r>
      </w:hyperlink>
    </w:p>
    <w:p w:rsidR="000B2DBC" w:rsidRPr="003B6D0C" w:rsidRDefault="00270850" w:rsidP="003B6D0C">
      <w:pPr>
        <w:numPr>
          <w:ilvl w:val="0"/>
          <w:numId w:val="7"/>
        </w:numPr>
        <w:bidi w:val="0"/>
        <w:spacing w:after="9" w:line="355" w:lineRule="auto"/>
        <w:ind w:right="-6" w:hanging="360"/>
        <w:jc w:val="lowKashida"/>
        <w:rPr>
          <w:rFonts w:asciiTheme="majorBidi" w:hAnsiTheme="majorBidi" w:cstheme="majorBidi"/>
          <w:sz w:val="24"/>
          <w:szCs w:val="24"/>
        </w:rPr>
      </w:pPr>
      <w:r w:rsidRPr="003B6D0C">
        <w:rPr>
          <w:rFonts w:asciiTheme="majorBidi" w:hAnsiTheme="majorBidi" w:cstheme="majorBidi"/>
          <w:sz w:val="24"/>
          <w:szCs w:val="24"/>
        </w:rPr>
        <w:t xml:space="preserve">Dahmer, L. J. N. (2024). Navigating project management in the digital transformation era. International Seven Multidisciplinary Journal, 3(5). </w:t>
      </w:r>
      <w:hyperlink r:id="rId11">
        <w:r w:rsidRPr="003B6D0C">
          <w:rPr>
            <w:rFonts w:asciiTheme="majorBidi" w:hAnsiTheme="majorBidi" w:cstheme="majorBidi"/>
            <w:color w:val="0563C1"/>
            <w:sz w:val="24"/>
            <w:szCs w:val="24"/>
            <w:u w:val="single" w:color="0563C1"/>
          </w:rPr>
          <w:t>https://doi.org/10.56238/isevmjv3n5</w:t>
        </w:r>
      </w:hyperlink>
      <w:hyperlink r:id="rId12">
        <w:r w:rsidRPr="003B6D0C">
          <w:rPr>
            <w:rFonts w:asciiTheme="majorBidi" w:hAnsiTheme="majorBidi" w:cstheme="majorBidi"/>
            <w:color w:val="0563C1"/>
            <w:sz w:val="24"/>
            <w:szCs w:val="24"/>
            <w:u w:val="single" w:color="0563C1"/>
          </w:rPr>
          <w:t>-</w:t>
        </w:r>
      </w:hyperlink>
      <w:hyperlink r:id="rId13">
        <w:r w:rsidRPr="003B6D0C">
          <w:rPr>
            <w:rFonts w:asciiTheme="majorBidi" w:hAnsiTheme="majorBidi" w:cstheme="majorBidi"/>
            <w:color w:val="0563C1"/>
            <w:sz w:val="24"/>
            <w:szCs w:val="24"/>
            <w:u w:val="single" w:color="0563C1"/>
          </w:rPr>
          <w:t>008</w:t>
        </w:r>
      </w:hyperlink>
      <w:hyperlink r:id="rId14">
        <w:r w:rsidRPr="003B6D0C">
          <w:rPr>
            <w:rFonts w:asciiTheme="majorBidi" w:hAnsiTheme="majorBidi" w:cstheme="majorBidi"/>
            <w:sz w:val="24"/>
            <w:szCs w:val="24"/>
          </w:rPr>
          <w:t xml:space="preserve"> </w:t>
        </w:r>
      </w:hyperlink>
    </w:p>
    <w:p w:rsidR="000B2DBC" w:rsidRPr="003B6D0C" w:rsidRDefault="00270850" w:rsidP="003B6D0C">
      <w:pPr>
        <w:numPr>
          <w:ilvl w:val="0"/>
          <w:numId w:val="7"/>
        </w:numPr>
        <w:bidi w:val="0"/>
        <w:spacing w:after="9" w:line="355" w:lineRule="auto"/>
        <w:ind w:right="-6" w:hanging="360"/>
        <w:jc w:val="lowKashida"/>
        <w:rPr>
          <w:rFonts w:asciiTheme="majorBidi" w:hAnsiTheme="majorBidi" w:cstheme="majorBidi"/>
          <w:sz w:val="24"/>
          <w:szCs w:val="24"/>
        </w:rPr>
      </w:pPr>
      <w:r w:rsidRPr="003B6D0C">
        <w:rPr>
          <w:rFonts w:asciiTheme="majorBidi" w:hAnsiTheme="majorBidi" w:cstheme="majorBidi"/>
          <w:sz w:val="24"/>
          <w:szCs w:val="24"/>
        </w:rPr>
        <w:t xml:space="preserve">Dahmer, L. J. N. (2024). Navigating project management in the digital transformation era. International Seven Multidisciplinary Journal, 3(5). </w:t>
      </w:r>
      <w:hyperlink r:id="rId15">
        <w:r w:rsidRPr="003B6D0C">
          <w:rPr>
            <w:rFonts w:asciiTheme="majorBidi" w:hAnsiTheme="majorBidi" w:cstheme="majorBidi"/>
            <w:color w:val="0563C1"/>
            <w:sz w:val="24"/>
            <w:szCs w:val="24"/>
            <w:u w:val="single" w:color="0563C1"/>
          </w:rPr>
          <w:t>https://doi.org/10.56238/isevmjv3n5</w:t>
        </w:r>
      </w:hyperlink>
      <w:hyperlink r:id="rId16">
        <w:r w:rsidRPr="003B6D0C">
          <w:rPr>
            <w:rFonts w:asciiTheme="majorBidi" w:hAnsiTheme="majorBidi" w:cstheme="majorBidi"/>
            <w:color w:val="0563C1"/>
            <w:sz w:val="24"/>
            <w:szCs w:val="24"/>
            <w:u w:val="single" w:color="0563C1"/>
          </w:rPr>
          <w:t>-</w:t>
        </w:r>
      </w:hyperlink>
      <w:hyperlink r:id="rId17">
        <w:r w:rsidRPr="003B6D0C">
          <w:rPr>
            <w:rFonts w:asciiTheme="majorBidi" w:hAnsiTheme="majorBidi" w:cstheme="majorBidi"/>
            <w:color w:val="0563C1"/>
            <w:sz w:val="24"/>
            <w:szCs w:val="24"/>
            <w:u w:val="single" w:color="0563C1"/>
          </w:rPr>
          <w:t>008</w:t>
        </w:r>
      </w:hyperlink>
      <w:hyperlink r:id="rId18">
        <w:r w:rsidRPr="003B6D0C">
          <w:rPr>
            <w:rFonts w:asciiTheme="majorBidi" w:hAnsiTheme="majorBidi" w:cstheme="majorBidi"/>
            <w:sz w:val="24"/>
            <w:szCs w:val="24"/>
          </w:rPr>
          <w:t xml:space="preserve"> </w:t>
        </w:r>
      </w:hyperlink>
    </w:p>
    <w:p w:rsidR="000B2DBC" w:rsidRPr="003B6D0C" w:rsidRDefault="00270850" w:rsidP="003B6D0C">
      <w:pPr>
        <w:numPr>
          <w:ilvl w:val="0"/>
          <w:numId w:val="7"/>
        </w:numPr>
        <w:bidi w:val="0"/>
        <w:spacing w:after="9" w:line="355" w:lineRule="auto"/>
        <w:ind w:right="-6" w:hanging="360"/>
        <w:jc w:val="lowKashida"/>
        <w:rPr>
          <w:rFonts w:asciiTheme="majorBidi" w:hAnsiTheme="majorBidi" w:cstheme="majorBidi"/>
          <w:sz w:val="24"/>
          <w:szCs w:val="24"/>
        </w:rPr>
      </w:pPr>
      <w:proofErr w:type="spellStart"/>
      <w:r w:rsidRPr="003B6D0C">
        <w:rPr>
          <w:rFonts w:asciiTheme="majorBidi" w:hAnsiTheme="majorBidi" w:cstheme="majorBidi"/>
          <w:sz w:val="24"/>
          <w:szCs w:val="24"/>
        </w:rPr>
        <w:t>Haddab</w:t>
      </w:r>
      <w:proofErr w:type="spellEnd"/>
      <w:r w:rsidRPr="003B6D0C">
        <w:rPr>
          <w:rFonts w:asciiTheme="majorBidi" w:hAnsiTheme="majorBidi" w:cstheme="majorBidi"/>
          <w:sz w:val="24"/>
          <w:szCs w:val="24"/>
        </w:rPr>
        <w:t xml:space="preserve">, D. M. (2024). Evaluating the Impact of Project Management Approaches on Project Success: A Comprehensive Analysis of Traditional, Agile, and Hybrid Models. Business &amp; IT, </w:t>
      </w:r>
      <w:proofErr w:type="gramStart"/>
      <w:r w:rsidRPr="003B6D0C">
        <w:rPr>
          <w:rFonts w:asciiTheme="majorBidi" w:hAnsiTheme="majorBidi" w:cstheme="majorBidi"/>
          <w:sz w:val="24"/>
          <w:szCs w:val="24"/>
        </w:rPr>
        <w:t>XIV(</w:t>
      </w:r>
      <w:proofErr w:type="gramEnd"/>
      <w:r w:rsidRPr="003B6D0C">
        <w:rPr>
          <w:rFonts w:asciiTheme="majorBidi" w:hAnsiTheme="majorBidi" w:cstheme="majorBidi"/>
          <w:sz w:val="24"/>
          <w:szCs w:val="24"/>
        </w:rPr>
        <w:t xml:space="preserve">2), 50–60. </w:t>
      </w:r>
      <w:hyperlink r:id="rId19">
        <w:r w:rsidRPr="003B6D0C">
          <w:rPr>
            <w:rFonts w:asciiTheme="majorBidi" w:hAnsiTheme="majorBidi" w:cstheme="majorBidi"/>
            <w:color w:val="0563C1"/>
            <w:sz w:val="24"/>
            <w:szCs w:val="24"/>
            <w:u w:val="single" w:color="0563C1"/>
          </w:rPr>
          <w:t>https://doi.org/10.14311/bit.2024.02.06</w:t>
        </w:r>
      </w:hyperlink>
      <w:hyperlink r:id="rId20">
        <w:r w:rsidRPr="003B6D0C">
          <w:rPr>
            <w:rFonts w:asciiTheme="majorBidi" w:hAnsiTheme="majorBidi" w:cstheme="majorBidi"/>
            <w:sz w:val="24"/>
            <w:szCs w:val="24"/>
          </w:rPr>
          <w:t xml:space="preserve"> </w:t>
        </w:r>
      </w:hyperlink>
    </w:p>
    <w:p w:rsidR="000B2DBC" w:rsidRPr="003B6D0C" w:rsidRDefault="00270850" w:rsidP="003B6D0C">
      <w:pPr>
        <w:numPr>
          <w:ilvl w:val="0"/>
          <w:numId w:val="7"/>
        </w:numPr>
        <w:bidi w:val="0"/>
        <w:spacing w:after="9" w:line="355" w:lineRule="auto"/>
        <w:ind w:right="-6" w:hanging="360"/>
        <w:jc w:val="lowKashida"/>
        <w:rPr>
          <w:rFonts w:asciiTheme="majorBidi" w:hAnsiTheme="majorBidi" w:cstheme="majorBidi"/>
          <w:sz w:val="24"/>
          <w:szCs w:val="24"/>
        </w:rPr>
      </w:pPr>
      <w:proofErr w:type="spellStart"/>
      <w:r w:rsidRPr="003B6D0C">
        <w:rPr>
          <w:rFonts w:asciiTheme="majorBidi" w:hAnsiTheme="majorBidi" w:cstheme="majorBidi"/>
          <w:sz w:val="24"/>
          <w:szCs w:val="24"/>
        </w:rPr>
        <w:t>Iriogbe</w:t>
      </w:r>
      <w:proofErr w:type="spellEnd"/>
      <w:r w:rsidRPr="003B6D0C">
        <w:rPr>
          <w:rFonts w:asciiTheme="majorBidi" w:hAnsiTheme="majorBidi" w:cstheme="majorBidi"/>
          <w:sz w:val="24"/>
          <w:szCs w:val="24"/>
        </w:rPr>
        <w:t xml:space="preserve">, H. O., </w:t>
      </w:r>
      <w:proofErr w:type="spellStart"/>
      <w:r w:rsidRPr="003B6D0C">
        <w:rPr>
          <w:rFonts w:asciiTheme="majorBidi" w:hAnsiTheme="majorBidi" w:cstheme="majorBidi"/>
          <w:sz w:val="24"/>
          <w:szCs w:val="24"/>
        </w:rPr>
        <w:t>Agu</w:t>
      </w:r>
      <w:proofErr w:type="spellEnd"/>
      <w:r w:rsidRPr="003B6D0C">
        <w:rPr>
          <w:rFonts w:asciiTheme="majorBidi" w:hAnsiTheme="majorBidi" w:cstheme="majorBidi"/>
          <w:sz w:val="24"/>
          <w:szCs w:val="24"/>
        </w:rPr>
        <w:t xml:space="preserve">, E. E., </w:t>
      </w:r>
      <w:proofErr w:type="spellStart"/>
      <w:r w:rsidRPr="003B6D0C">
        <w:rPr>
          <w:rFonts w:asciiTheme="majorBidi" w:hAnsiTheme="majorBidi" w:cstheme="majorBidi"/>
          <w:sz w:val="24"/>
          <w:szCs w:val="24"/>
        </w:rPr>
        <w:t>Efunniyi</w:t>
      </w:r>
      <w:proofErr w:type="spellEnd"/>
      <w:r w:rsidRPr="003B6D0C">
        <w:rPr>
          <w:rFonts w:asciiTheme="majorBidi" w:hAnsiTheme="majorBidi" w:cstheme="majorBidi"/>
          <w:sz w:val="24"/>
          <w:szCs w:val="24"/>
        </w:rPr>
        <w:t xml:space="preserve">, C. P., </w:t>
      </w:r>
      <w:proofErr w:type="spellStart"/>
      <w:r w:rsidRPr="003B6D0C">
        <w:rPr>
          <w:rFonts w:asciiTheme="majorBidi" w:hAnsiTheme="majorBidi" w:cstheme="majorBidi"/>
          <w:sz w:val="24"/>
          <w:szCs w:val="24"/>
        </w:rPr>
        <w:t>Osundare</w:t>
      </w:r>
      <w:proofErr w:type="spellEnd"/>
      <w:r w:rsidRPr="003B6D0C">
        <w:rPr>
          <w:rFonts w:asciiTheme="majorBidi" w:hAnsiTheme="majorBidi" w:cstheme="majorBidi"/>
          <w:sz w:val="24"/>
          <w:szCs w:val="24"/>
        </w:rPr>
        <w:t xml:space="preserve">, O. S., &amp; </w:t>
      </w:r>
      <w:proofErr w:type="spellStart"/>
      <w:r w:rsidRPr="003B6D0C">
        <w:rPr>
          <w:rFonts w:asciiTheme="majorBidi" w:hAnsiTheme="majorBidi" w:cstheme="majorBidi"/>
          <w:sz w:val="24"/>
          <w:szCs w:val="24"/>
        </w:rPr>
        <w:t>Adeniran</w:t>
      </w:r>
      <w:proofErr w:type="spellEnd"/>
      <w:r w:rsidRPr="003B6D0C">
        <w:rPr>
          <w:rFonts w:asciiTheme="majorBidi" w:hAnsiTheme="majorBidi" w:cstheme="majorBidi"/>
          <w:sz w:val="24"/>
          <w:szCs w:val="24"/>
        </w:rPr>
        <w:t xml:space="preserve">, I. A. (2024). The role of project management in driving innovation, economic growth, and future trends. International Journal of Management &amp; Entrepreneurship Research, 6(8), 2819–2834. </w:t>
      </w:r>
      <w:hyperlink r:id="rId21">
        <w:r w:rsidRPr="003B6D0C">
          <w:rPr>
            <w:rFonts w:asciiTheme="majorBidi" w:hAnsiTheme="majorBidi" w:cstheme="majorBidi"/>
            <w:color w:val="0563C1"/>
            <w:sz w:val="24"/>
            <w:szCs w:val="24"/>
            <w:u w:val="single" w:color="0563C1"/>
          </w:rPr>
          <w:t>https://doi.org/10.51594/</w:t>
        </w:r>
      </w:hyperlink>
      <w:hyperlink r:id="rId22">
        <w:r w:rsidRPr="003B6D0C">
          <w:rPr>
            <w:rFonts w:asciiTheme="majorBidi" w:hAnsiTheme="majorBidi" w:cstheme="majorBidi"/>
            <w:sz w:val="24"/>
            <w:szCs w:val="24"/>
          </w:rPr>
          <w:t xml:space="preserve"> </w:t>
        </w:r>
      </w:hyperlink>
    </w:p>
    <w:p w:rsidR="000B2DBC" w:rsidRPr="003B6D0C" w:rsidRDefault="00270850" w:rsidP="003B6D0C">
      <w:pPr>
        <w:numPr>
          <w:ilvl w:val="0"/>
          <w:numId w:val="7"/>
        </w:numPr>
        <w:bidi w:val="0"/>
        <w:spacing w:after="9" w:line="355" w:lineRule="auto"/>
        <w:ind w:right="-6" w:hanging="360"/>
        <w:jc w:val="lowKashida"/>
        <w:rPr>
          <w:rFonts w:asciiTheme="majorBidi" w:hAnsiTheme="majorBidi" w:cstheme="majorBidi"/>
          <w:sz w:val="24"/>
          <w:szCs w:val="24"/>
        </w:rPr>
      </w:pPr>
      <w:proofErr w:type="gramStart"/>
      <w:r w:rsidRPr="003B6D0C">
        <w:rPr>
          <w:rFonts w:asciiTheme="majorBidi" w:hAnsiTheme="majorBidi" w:cstheme="majorBidi"/>
          <w:sz w:val="24"/>
          <w:szCs w:val="24"/>
        </w:rPr>
        <w:t>F ,</w:t>
      </w:r>
      <w:proofErr w:type="spellStart"/>
      <w:r w:rsidRPr="003B6D0C">
        <w:rPr>
          <w:rFonts w:asciiTheme="majorBidi" w:hAnsiTheme="majorBidi" w:cstheme="majorBidi"/>
          <w:sz w:val="24"/>
          <w:szCs w:val="24"/>
        </w:rPr>
        <w:t>ottolehciM</w:t>
      </w:r>
      <w:proofErr w:type="spellEnd"/>
      <w:proofErr w:type="gramEnd"/>
      <w:r w:rsidRPr="003B6D0C">
        <w:rPr>
          <w:rFonts w:asciiTheme="majorBidi" w:hAnsiTheme="majorBidi" w:cstheme="majorBidi"/>
          <w:sz w:val="24"/>
          <w:szCs w:val="24"/>
          <w:rtl/>
        </w:rPr>
        <w:t>و</w:t>
      </w:r>
      <w:r w:rsidRPr="003B6D0C">
        <w:rPr>
          <w:rFonts w:asciiTheme="majorBidi" w:hAnsiTheme="majorBidi" w:cstheme="majorBidi"/>
          <w:sz w:val="24"/>
          <w:szCs w:val="24"/>
        </w:rPr>
        <w:t>, &amp; Jóia, L</w:t>
      </w:r>
      <w:r w:rsidRPr="003B6D0C">
        <w:rPr>
          <w:rFonts w:asciiTheme="majorBidi" w:hAnsiTheme="majorBidi" w:cstheme="majorBidi"/>
          <w:sz w:val="24"/>
          <w:szCs w:val="24"/>
          <w:rtl/>
        </w:rPr>
        <w:t>و</w:t>
      </w:r>
      <w:r w:rsidRPr="003B6D0C">
        <w:rPr>
          <w:rFonts w:asciiTheme="majorBidi" w:hAnsiTheme="majorBidi" w:cstheme="majorBidi"/>
          <w:sz w:val="24"/>
          <w:szCs w:val="24"/>
        </w:rPr>
        <w:t xml:space="preserve"> A</w:t>
      </w:r>
      <w:r w:rsidRPr="003B6D0C">
        <w:rPr>
          <w:rFonts w:asciiTheme="majorBidi" w:hAnsiTheme="majorBidi" w:cstheme="majorBidi"/>
          <w:sz w:val="24"/>
          <w:szCs w:val="24"/>
          <w:rtl/>
        </w:rPr>
        <w:t>و)</w:t>
      </w:r>
      <w:r w:rsidRPr="003B6D0C">
        <w:rPr>
          <w:rFonts w:asciiTheme="majorBidi" w:hAnsiTheme="majorBidi" w:cstheme="majorBidi"/>
          <w:sz w:val="24"/>
          <w:szCs w:val="24"/>
        </w:rPr>
        <w:t>4202</w:t>
      </w:r>
      <w:r w:rsidRPr="003B6D0C">
        <w:rPr>
          <w:rFonts w:asciiTheme="majorBidi" w:hAnsiTheme="majorBidi" w:cstheme="majorBidi"/>
          <w:sz w:val="24"/>
          <w:szCs w:val="24"/>
          <w:rtl/>
        </w:rPr>
        <w:t>( و</w:t>
      </w:r>
      <w:r w:rsidRPr="003B6D0C">
        <w:rPr>
          <w:rFonts w:asciiTheme="majorBidi" w:hAnsiTheme="majorBidi" w:cstheme="majorBidi"/>
          <w:sz w:val="24"/>
          <w:szCs w:val="24"/>
        </w:rPr>
        <w:t xml:space="preserve"> Organizational Digital Transformation Readiness: An Exploratory Investigation. Journal of </w:t>
      </w:r>
    </w:p>
    <w:p w:rsidR="000B2DBC" w:rsidRPr="003B6D0C" w:rsidRDefault="00270850" w:rsidP="003B6D0C">
      <w:pPr>
        <w:bidi w:val="0"/>
        <w:spacing w:after="192" w:line="259" w:lineRule="auto"/>
        <w:ind w:left="10" w:right="-9" w:hanging="10"/>
        <w:jc w:val="lowKashida"/>
        <w:rPr>
          <w:rFonts w:asciiTheme="majorBidi" w:hAnsiTheme="majorBidi" w:cstheme="majorBidi"/>
          <w:sz w:val="24"/>
          <w:szCs w:val="24"/>
        </w:rPr>
      </w:pPr>
      <w:r w:rsidRPr="003B6D0C">
        <w:rPr>
          <w:rFonts w:asciiTheme="majorBidi" w:hAnsiTheme="majorBidi" w:cstheme="majorBidi"/>
          <w:sz w:val="24"/>
          <w:szCs w:val="24"/>
        </w:rPr>
        <w:t>Theoretical and Applied Electronic Commerce Research, 19(4), 3283–</w:t>
      </w:r>
    </w:p>
    <w:p w:rsidR="000B2DBC" w:rsidRPr="003B6D0C" w:rsidRDefault="00270850" w:rsidP="003B6D0C">
      <w:pPr>
        <w:bidi w:val="0"/>
        <w:spacing w:after="96" w:line="259" w:lineRule="auto"/>
        <w:ind w:left="717" w:right="0" w:hanging="10"/>
        <w:jc w:val="lowKashida"/>
        <w:rPr>
          <w:rFonts w:asciiTheme="majorBidi" w:hAnsiTheme="majorBidi" w:cstheme="majorBidi"/>
          <w:sz w:val="24"/>
          <w:szCs w:val="24"/>
        </w:rPr>
      </w:pPr>
      <w:r w:rsidRPr="003B6D0C">
        <w:rPr>
          <w:rFonts w:asciiTheme="majorBidi" w:hAnsiTheme="majorBidi" w:cstheme="majorBidi"/>
          <w:sz w:val="24"/>
          <w:szCs w:val="24"/>
        </w:rPr>
        <w:t xml:space="preserve">3304. </w:t>
      </w:r>
      <w:hyperlink r:id="rId23">
        <w:r w:rsidRPr="003B6D0C">
          <w:rPr>
            <w:rFonts w:asciiTheme="majorBidi" w:hAnsiTheme="majorBidi" w:cstheme="majorBidi"/>
            <w:color w:val="0563C1"/>
            <w:sz w:val="24"/>
            <w:szCs w:val="24"/>
            <w:u w:val="single" w:color="0563C1"/>
          </w:rPr>
          <w:t>https://doi.org/10.3390/jtaer19040159</w:t>
        </w:r>
      </w:hyperlink>
      <w:hyperlink r:id="rId24">
        <w:r w:rsidRPr="003B6D0C">
          <w:rPr>
            <w:rFonts w:asciiTheme="majorBidi" w:hAnsiTheme="majorBidi" w:cstheme="majorBidi"/>
            <w:sz w:val="24"/>
            <w:szCs w:val="24"/>
          </w:rPr>
          <w:t xml:space="preserve"> </w:t>
        </w:r>
      </w:hyperlink>
    </w:p>
    <w:p w:rsidR="000B2DBC" w:rsidRPr="003B6D0C" w:rsidRDefault="00270850" w:rsidP="003B6D0C">
      <w:pPr>
        <w:numPr>
          <w:ilvl w:val="0"/>
          <w:numId w:val="7"/>
        </w:numPr>
        <w:bidi w:val="0"/>
        <w:spacing w:after="9" w:line="355" w:lineRule="auto"/>
        <w:ind w:right="-6" w:hanging="360"/>
        <w:jc w:val="lowKashida"/>
        <w:rPr>
          <w:rFonts w:asciiTheme="majorBidi" w:hAnsiTheme="majorBidi" w:cstheme="majorBidi"/>
          <w:sz w:val="24"/>
          <w:szCs w:val="24"/>
        </w:rPr>
      </w:pPr>
      <w:proofErr w:type="spellStart"/>
      <w:r w:rsidRPr="003B6D0C">
        <w:rPr>
          <w:rFonts w:asciiTheme="majorBidi" w:hAnsiTheme="majorBidi" w:cstheme="majorBidi"/>
          <w:sz w:val="24"/>
          <w:szCs w:val="24"/>
        </w:rPr>
        <w:t>Mortadza</w:t>
      </w:r>
      <w:proofErr w:type="spellEnd"/>
      <w:r w:rsidRPr="003B6D0C">
        <w:rPr>
          <w:rFonts w:asciiTheme="majorBidi" w:hAnsiTheme="majorBidi" w:cstheme="majorBidi"/>
          <w:sz w:val="24"/>
          <w:szCs w:val="24"/>
        </w:rPr>
        <w:t xml:space="preserve">, K. A. B., &amp; Rizal, A. M. (2024). The Roll-Out of Project Management System to Improve Project Progress Reporting. </w:t>
      </w:r>
    </w:p>
    <w:p w:rsidR="000B2DBC" w:rsidRPr="003B6D0C" w:rsidRDefault="00270850" w:rsidP="003B6D0C">
      <w:pPr>
        <w:bidi w:val="0"/>
        <w:spacing w:after="9" w:line="355" w:lineRule="auto"/>
        <w:ind w:left="722" w:right="-6" w:firstLine="0"/>
        <w:jc w:val="lowKashida"/>
        <w:rPr>
          <w:rFonts w:asciiTheme="majorBidi" w:hAnsiTheme="majorBidi" w:cstheme="majorBidi"/>
          <w:sz w:val="24"/>
          <w:szCs w:val="24"/>
        </w:rPr>
      </w:pPr>
      <w:r w:rsidRPr="003B6D0C">
        <w:rPr>
          <w:rFonts w:asciiTheme="majorBidi" w:hAnsiTheme="majorBidi" w:cstheme="majorBidi"/>
          <w:sz w:val="24"/>
          <w:szCs w:val="24"/>
        </w:rPr>
        <w:t xml:space="preserve">International Journal of Academic Research in Business &amp; Social Sciences, 14(12). </w:t>
      </w:r>
      <w:hyperlink r:id="rId25">
        <w:r w:rsidRPr="003B6D0C">
          <w:rPr>
            <w:rFonts w:asciiTheme="majorBidi" w:hAnsiTheme="majorBidi" w:cstheme="majorBidi"/>
            <w:color w:val="0563C1"/>
            <w:sz w:val="24"/>
            <w:szCs w:val="24"/>
            <w:u w:val="single" w:color="0563C1"/>
          </w:rPr>
          <w:t>https://doi.org/10.6007/ijarbss/v14</w:t>
        </w:r>
      </w:hyperlink>
      <w:hyperlink r:id="rId26">
        <w:r w:rsidRPr="003B6D0C">
          <w:rPr>
            <w:rFonts w:asciiTheme="majorBidi" w:hAnsiTheme="majorBidi" w:cstheme="majorBidi"/>
            <w:color w:val="0563C1"/>
            <w:sz w:val="24"/>
            <w:szCs w:val="24"/>
            <w:u w:val="single" w:color="0563C1"/>
          </w:rPr>
          <w:t>-</w:t>
        </w:r>
      </w:hyperlink>
      <w:hyperlink r:id="rId27">
        <w:r w:rsidRPr="003B6D0C">
          <w:rPr>
            <w:rFonts w:asciiTheme="majorBidi" w:hAnsiTheme="majorBidi" w:cstheme="majorBidi"/>
            <w:color w:val="0563C1"/>
            <w:sz w:val="24"/>
            <w:szCs w:val="24"/>
            <w:u w:val="single" w:color="0563C1"/>
          </w:rPr>
          <w:t>i12/23215</w:t>
        </w:r>
      </w:hyperlink>
      <w:hyperlink r:id="rId28">
        <w:r w:rsidRPr="003B6D0C">
          <w:rPr>
            <w:rFonts w:asciiTheme="majorBidi" w:hAnsiTheme="majorBidi" w:cstheme="majorBidi"/>
            <w:sz w:val="24"/>
            <w:szCs w:val="24"/>
          </w:rPr>
          <w:t xml:space="preserve"> </w:t>
        </w:r>
      </w:hyperlink>
    </w:p>
    <w:p w:rsidR="000B2DBC" w:rsidRPr="003B6D0C" w:rsidRDefault="00270850" w:rsidP="003B6D0C">
      <w:pPr>
        <w:numPr>
          <w:ilvl w:val="0"/>
          <w:numId w:val="7"/>
        </w:numPr>
        <w:bidi w:val="0"/>
        <w:spacing w:after="2" w:line="359" w:lineRule="auto"/>
        <w:ind w:right="-6" w:hanging="360"/>
        <w:jc w:val="lowKashida"/>
        <w:rPr>
          <w:rFonts w:asciiTheme="majorBidi" w:hAnsiTheme="majorBidi" w:cstheme="majorBidi"/>
          <w:sz w:val="24"/>
          <w:szCs w:val="24"/>
        </w:rPr>
      </w:pPr>
      <w:proofErr w:type="gramStart"/>
      <w:r w:rsidRPr="003B6D0C">
        <w:rPr>
          <w:rFonts w:asciiTheme="majorBidi" w:hAnsiTheme="majorBidi" w:cstheme="majorBidi"/>
          <w:sz w:val="24"/>
          <w:szCs w:val="24"/>
        </w:rPr>
        <w:t>V ,</w:t>
      </w:r>
      <w:proofErr w:type="spellStart"/>
      <w:r w:rsidRPr="003B6D0C">
        <w:rPr>
          <w:rFonts w:asciiTheme="majorBidi" w:hAnsiTheme="majorBidi" w:cstheme="majorBidi"/>
          <w:sz w:val="24"/>
          <w:szCs w:val="24"/>
        </w:rPr>
        <w:t>oicírtaP</w:t>
      </w:r>
      <w:proofErr w:type="spellEnd"/>
      <w:proofErr w:type="gramEnd"/>
      <w:r w:rsidRPr="003B6D0C">
        <w:rPr>
          <w:rFonts w:asciiTheme="majorBidi" w:hAnsiTheme="majorBidi" w:cstheme="majorBidi"/>
          <w:sz w:val="24"/>
          <w:szCs w:val="24"/>
          <w:rtl/>
        </w:rPr>
        <w:t>و</w:t>
      </w:r>
      <w:r w:rsidRPr="003B6D0C">
        <w:rPr>
          <w:rFonts w:asciiTheme="majorBidi" w:hAnsiTheme="majorBidi" w:cstheme="majorBidi"/>
          <w:sz w:val="24"/>
          <w:szCs w:val="24"/>
        </w:rPr>
        <w:t>, Costa, R</w:t>
      </w:r>
      <w:r w:rsidRPr="003B6D0C">
        <w:rPr>
          <w:rFonts w:asciiTheme="majorBidi" w:hAnsiTheme="majorBidi" w:cstheme="majorBidi"/>
          <w:sz w:val="24"/>
          <w:szCs w:val="24"/>
          <w:rtl/>
        </w:rPr>
        <w:t>و</w:t>
      </w:r>
      <w:r w:rsidRPr="003B6D0C">
        <w:rPr>
          <w:rFonts w:asciiTheme="majorBidi" w:hAnsiTheme="majorBidi" w:cstheme="majorBidi"/>
          <w:sz w:val="24"/>
          <w:szCs w:val="24"/>
        </w:rPr>
        <w:t xml:space="preserve"> L</w:t>
      </w:r>
      <w:r w:rsidRPr="003B6D0C">
        <w:rPr>
          <w:rFonts w:asciiTheme="majorBidi" w:hAnsiTheme="majorBidi" w:cstheme="majorBidi"/>
          <w:sz w:val="24"/>
          <w:szCs w:val="24"/>
          <w:rtl/>
        </w:rPr>
        <w:t>و</w:t>
      </w:r>
      <w:r w:rsidRPr="003B6D0C">
        <w:rPr>
          <w:rFonts w:asciiTheme="majorBidi" w:hAnsiTheme="majorBidi" w:cstheme="majorBidi"/>
          <w:sz w:val="24"/>
          <w:szCs w:val="24"/>
        </w:rPr>
        <w:t xml:space="preserve"> D</w:t>
      </w:r>
      <w:r w:rsidRPr="003B6D0C">
        <w:rPr>
          <w:rFonts w:asciiTheme="majorBidi" w:hAnsiTheme="majorBidi" w:cstheme="majorBidi"/>
          <w:sz w:val="24"/>
          <w:szCs w:val="24"/>
          <w:rtl/>
        </w:rPr>
        <w:t>و</w:t>
      </w:r>
      <w:r w:rsidRPr="003B6D0C">
        <w:rPr>
          <w:rFonts w:asciiTheme="majorBidi" w:hAnsiTheme="majorBidi" w:cstheme="majorBidi"/>
          <w:sz w:val="24"/>
          <w:szCs w:val="24"/>
        </w:rPr>
        <w:t xml:space="preserve">, </w:t>
      </w:r>
      <w:proofErr w:type="spellStart"/>
      <w:r w:rsidRPr="003B6D0C">
        <w:rPr>
          <w:rFonts w:asciiTheme="majorBidi" w:hAnsiTheme="majorBidi" w:cstheme="majorBidi"/>
          <w:sz w:val="24"/>
          <w:szCs w:val="24"/>
        </w:rPr>
        <w:t>António</w:t>
      </w:r>
      <w:proofErr w:type="spellEnd"/>
      <w:r w:rsidRPr="003B6D0C">
        <w:rPr>
          <w:rFonts w:asciiTheme="majorBidi" w:hAnsiTheme="majorBidi" w:cstheme="majorBidi"/>
          <w:sz w:val="24"/>
          <w:szCs w:val="24"/>
        </w:rPr>
        <w:t>, N</w:t>
      </w:r>
      <w:r w:rsidRPr="003B6D0C">
        <w:rPr>
          <w:rFonts w:asciiTheme="majorBidi" w:hAnsiTheme="majorBidi" w:cstheme="majorBidi"/>
          <w:sz w:val="24"/>
          <w:szCs w:val="24"/>
          <w:rtl/>
        </w:rPr>
        <w:t>و</w:t>
      </w:r>
      <w:r w:rsidRPr="003B6D0C">
        <w:rPr>
          <w:rFonts w:asciiTheme="majorBidi" w:hAnsiTheme="majorBidi" w:cstheme="majorBidi"/>
          <w:sz w:val="24"/>
          <w:szCs w:val="24"/>
        </w:rPr>
        <w:t>, Pereira, L</w:t>
      </w:r>
      <w:r w:rsidRPr="003B6D0C">
        <w:rPr>
          <w:rFonts w:asciiTheme="majorBidi" w:hAnsiTheme="majorBidi" w:cstheme="majorBidi"/>
          <w:sz w:val="24"/>
          <w:szCs w:val="24"/>
          <w:rtl/>
        </w:rPr>
        <w:t>و</w:t>
      </w:r>
      <w:r w:rsidRPr="003B6D0C">
        <w:rPr>
          <w:rFonts w:asciiTheme="majorBidi" w:hAnsiTheme="majorBidi" w:cstheme="majorBidi"/>
          <w:sz w:val="24"/>
          <w:szCs w:val="24"/>
        </w:rPr>
        <w:t xml:space="preserve">, </w:t>
      </w:r>
      <w:proofErr w:type="spellStart"/>
      <w:r w:rsidRPr="003B6D0C">
        <w:rPr>
          <w:rFonts w:asciiTheme="majorBidi" w:hAnsiTheme="majorBidi" w:cstheme="majorBidi"/>
          <w:sz w:val="24"/>
          <w:szCs w:val="24"/>
        </w:rPr>
        <w:t>Gonçalves</w:t>
      </w:r>
      <w:proofErr w:type="spellEnd"/>
      <w:r w:rsidRPr="003B6D0C">
        <w:rPr>
          <w:rFonts w:asciiTheme="majorBidi" w:hAnsiTheme="majorBidi" w:cstheme="majorBidi"/>
          <w:sz w:val="24"/>
          <w:szCs w:val="24"/>
        </w:rPr>
        <w:t>, R</w:t>
      </w:r>
      <w:r w:rsidRPr="003B6D0C">
        <w:rPr>
          <w:rFonts w:asciiTheme="majorBidi" w:hAnsiTheme="majorBidi" w:cstheme="majorBidi"/>
          <w:sz w:val="24"/>
          <w:szCs w:val="24"/>
          <w:rtl/>
        </w:rPr>
        <w:t>و</w:t>
      </w:r>
      <w:r w:rsidRPr="003B6D0C">
        <w:rPr>
          <w:rFonts w:asciiTheme="majorBidi" w:hAnsiTheme="majorBidi" w:cstheme="majorBidi"/>
          <w:sz w:val="24"/>
          <w:szCs w:val="24"/>
        </w:rPr>
        <w:t>, &amp; C ,</w:t>
      </w:r>
      <w:proofErr w:type="spellStart"/>
      <w:r w:rsidRPr="003B6D0C">
        <w:rPr>
          <w:rFonts w:asciiTheme="majorBidi" w:hAnsiTheme="majorBidi" w:cstheme="majorBidi"/>
          <w:sz w:val="24"/>
          <w:szCs w:val="24"/>
        </w:rPr>
        <w:t>ominóreJ</w:t>
      </w:r>
      <w:proofErr w:type="spellEnd"/>
      <w:r w:rsidRPr="003B6D0C">
        <w:rPr>
          <w:rFonts w:asciiTheme="majorBidi" w:hAnsiTheme="majorBidi" w:cstheme="majorBidi"/>
          <w:sz w:val="24"/>
          <w:szCs w:val="24"/>
          <w:rtl/>
        </w:rPr>
        <w:t>و)</w:t>
      </w:r>
      <w:r w:rsidRPr="003B6D0C">
        <w:rPr>
          <w:rFonts w:asciiTheme="majorBidi" w:hAnsiTheme="majorBidi" w:cstheme="majorBidi"/>
          <w:sz w:val="24"/>
          <w:szCs w:val="24"/>
        </w:rPr>
        <w:t>2202</w:t>
      </w:r>
      <w:r w:rsidRPr="003B6D0C">
        <w:rPr>
          <w:rFonts w:asciiTheme="majorBidi" w:hAnsiTheme="majorBidi" w:cstheme="majorBidi"/>
          <w:sz w:val="24"/>
          <w:szCs w:val="24"/>
          <w:rtl/>
        </w:rPr>
        <w:t>( و</w:t>
      </w:r>
      <w:r w:rsidRPr="003B6D0C">
        <w:rPr>
          <w:rFonts w:asciiTheme="majorBidi" w:hAnsiTheme="majorBidi" w:cstheme="majorBidi"/>
          <w:sz w:val="24"/>
          <w:szCs w:val="24"/>
        </w:rPr>
        <w:t xml:space="preserve"> Impact of project management to capability transformation. International Journal of Agile Systems and Management, 15(2), 167-199 </w:t>
      </w:r>
    </w:p>
    <w:p w:rsidR="000B2DBC" w:rsidRPr="003B6D0C" w:rsidRDefault="00270850" w:rsidP="003B6D0C">
      <w:pPr>
        <w:numPr>
          <w:ilvl w:val="0"/>
          <w:numId w:val="7"/>
        </w:numPr>
        <w:bidi w:val="0"/>
        <w:spacing w:after="9" w:line="355" w:lineRule="auto"/>
        <w:ind w:right="-6" w:hanging="360"/>
        <w:jc w:val="lowKashida"/>
        <w:rPr>
          <w:rFonts w:asciiTheme="majorBidi" w:hAnsiTheme="majorBidi" w:cstheme="majorBidi"/>
          <w:sz w:val="24"/>
          <w:szCs w:val="24"/>
        </w:rPr>
      </w:pPr>
      <w:proofErr w:type="spellStart"/>
      <w:r w:rsidRPr="003B6D0C">
        <w:rPr>
          <w:rFonts w:asciiTheme="majorBidi" w:hAnsiTheme="majorBidi" w:cstheme="majorBidi"/>
          <w:sz w:val="24"/>
          <w:szCs w:val="24"/>
        </w:rPr>
        <w:t>Shafi</w:t>
      </w:r>
      <w:proofErr w:type="spellEnd"/>
      <w:r w:rsidRPr="003B6D0C">
        <w:rPr>
          <w:rFonts w:asciiTheme="majorBidi" w:hAnsiTheme="majorBidi" w:cstheme="majorBidi"/>
          <w:sz w:val="24"/>
          <w:szCs w:val="24"/>
        </w:rPr>
        <w:t xml:space="preserve">, M. T. (2024). Developing Resilient Project Management Strategies for Adapting to Uncertain Environments. International Journal of Science and Research. </w:t>
      </w:r>
      <w:r w:rsidRPr="003B6D0C">
        <w:rPr>
          <w:rFonts w:asciiTheme="majorBidi" w:hAnsiTheme="majorBidi" w:cstheme="majorBidi"/>
          <w:sz w:val="24"/>
          <w:szCs w:val="24"/>
        </w:rPr>
        <w:lastRenderedPageBreak/>
        <w:t>Available at: https://doi. org/10.21275/sr241029123602.</w:t>
      </w:r>
      <w:hyperlink r:id="rId29">
        <w:r w:rsidRPr="003B6D0C">
          <w:rPr>
            <w:rFonts w:asciiTheme="majorBidi" w:hAnsiTheme="majorBidi" w:cstheme="majorBidi"/>
            <w:color w:val="0563C1"/>
            <w:sz w:val="24"/>
            <w:szCs w:val="24"/>
            <w:u w:val="single" w:color="0563C1"/>
          </w:rPr>
          <w:t xml:space="preserve">https://doi.org/10.21275/sr24102912 </w:t>
        </w:r>
      </w:hyperlink>
      <w:hyperlink r:id="rId30">
        <w:r w:rsidRPr="003B6D0C">
          <w:rPr>
            <w:rFonts w:asciiTheme="majorBidi" w:hAnsiTheme="majorBidi" w:cstheme="majorBidi"/>
            <w:color w:val="0563C1"/>
            <w:sz w:val="24"/>
            <w:szCs w:val="24"/>
            <w:u w:val="single" w:color="0563C1"/>
          </w:rPr>
          <w:t>3602</w:t>
        </w:r>
      </w:hyperlink>
      <w:hyperlink r:id="rId31">
        <w:r w:rsidRPr="003B6D0C">
          <w:rPr>
            <w:rFonts w:asciiTheme="majorBidi" w:hAnsiTheme="majorBidi" w:cstheme="majorBidi"/>
            <w:sz w:val="24"/>
            <w:szCs w:val="24"/>
          </w:rPr>
          <w:t xml:space="preserve"> </w:t>
        </w:r>
      </w:hyperlink>
    </w:p>
    <w:p w:rsidR="000B2DBC" w:rsidRPr="003B6D0C" w:rsidRDefault="00270850" w:rsidP="003B6D0C">
      <w:pPr>
        <w:numPr>
          <w:ilvl w:val="0"/>
          <w:numId w:val="7"/>
        </w:numPr>
        <w:bidi w:val="0"/>
        <w:spacing w:after="9" w:line="355" w:lineRule="auto"/>
        <w:ind w:right="-6" w:hanging="360"/>
        <w:jc w:val="lowKashida"/>
        <w:rPr>
          <w:rFonts w:asciiTheme="majorBidi" w:hAnsiTheme="majorBidi" w:cstheme="majorBidi"/>
          <w:sz w:val="24"/>
          <w:szCs w:val="24"/>
        </w:rPr>
      </w:pPr>
      <w:r w:rsidRPr="003B6D0C">
        <w:rPr>
          <w:rFonts w:asciiTheme="majorBidi" w:hAnsiTheme="majorBidi" w:cstheme="majorBidi"/>
          <w:sz w:val="24"/>
          <w:szCs w:val="24"/>
        </w:rPr>
        <w:t>Wu, T., Nguyen, H. W., Jung, Y. H., &amp; Ren, I. Y. (2024). Not the usual project management: a better way to prepare for major disruptions. Journal of Business Strategy, 45(5), 338-</w:t>
      </w:r>
      <w:proofErr w:type="gramStart"/>
      <w:r w:rsidRPr="003B6D0C">
        <w:rPr>
          <w:rFonts w:asciiTheme="majorBidi" w:hAnsiTheme="majorBidi" w:cstheme="majorBidi"/>
          <w:sz w:val="24"/>
          <w:szCs w:val="24"/>
        </w:rPr>
        <w:t>347..</w:t>
      </w:r>
      <w:proofErr w:type="gramEnd"/>
      <w:r w:rsidRPr="003B6D0C">
        <w:rPr>
          <w:rFonts w:asciiTheme="majorBidi" w:hAnsiTheme="majorBidi" w:cstheme="majorBidi"/>
          <w:sz w:val="24"/>
          <w:szCs w:val="24"/>
        </w:rPr>
        <w:t xml:space="preserve"> </w:t>
      </w:r>
      <w:hyperlink r:id="rId32">
        <w:r w:rsidRPr="003B6D0C">
          <w:rPr>
            <w:rFonts w:asciiTheme="majorBidi" w:hAnsiTheme="majorBidi" w:cstheme="majorBidi"/>
            <w:color w:val="0563C1"/>
            <w:sz w:val="24"/>
            <w:szCs w:val="24"/>
            <w:u w:val="single" w:color="0563C1"/>
          </w:rPr>
          <w:t>https://doi.org/10.1108/jbs</w:t>
        </w:r>
      </w:hyperlink>
      <w:hyperlink r:id="rId33">
        <w:r w:rsidRPr="003B6D0C">
          <w:rPr>
            <w:rFonts w:asciiTheme="majorBidi" w:hAnsiTheme="majorBidi" w:cstheme="majorBidi"/>
            <w:color w:val="0563C1"/>
            <w:sz w:val="24"/>
            <w:szCs w:val="24"/>
            <w:u w:val="single" w:color="0563C1"/>
          </w:rPr>
          <w:t>-</w:t>
        </w:r>
      </w:hyperlink>
      <w:hyperlink r:id="rId34">
        <w:r w:rsidRPr="003B6D0C">
          <w:rPr>
            <w:rFonts w:asciiTheme="majorBidi" w:hAnsiTheme="majorBidi" w:cstheme="majorBidi"/>
            <w:color w:val="0563C1"/>
            <w:sz w:val="24"/>
            <w:szCs w:val="24"/>
            <w:u w:val="single" w:color="0563C1"/>
          </w:rPr>
          <w:t>05</w:t>
        </w:r>
      </w:hyperlink>
      <w:hyperlink r:id="rId35">
        <w:r w:rsidRPr="003B6D0C">
          <w:rPr>
            <w:rFonts w:asciiTheme="majorBidi" w:hAnsiTheme="majorBidi" w:cstheme="majorBidi"/>
            <w:color w:val="0563C1"/>
            <w:sz w:val="24"/>
            <w:szCs w:val="24"/>
            <w:u w:val="single" w:color="0563C1"/>
          </w:rPr>
          <w:t>-</w:t>
        </w:r>
      </w:hyperlink>
      <w:hyperlink r:id="rId36">
        <w:r w:rsidRPr="003B6D0C">
          <w:rPr>
            <w:rFonts w:asciiTheme="majorBidi" w:hAnsiTheme="majorBidi" w:cstheme="majorBidi"/>
            <w:color w:val="0563C1"/>
            <w:sz w:val="24"/>
            <w:szCs w:val="24"/>
            <w:u w:val="single" w:color="0563C1"/>
          </w:rPr>
          <w:t>2023</w:t>
        </w:r>
      </w:hyperlink>
      <w:hyperlink r:id="rId37">
        <w:r w:rsidRPr="003B6D0C">
          <w:rPr>
            <w:rFonts w:asciiTheme="majorBidi" w:hAnsiTheme="majorBidi" w:cstheme="majorBidi"/>
            <w:color w:val="0563C1"/>
            <w:sz w:val="24"/>
            <w:szCs w:val="24"/>
            <w:u w:val="single" w:color="0563C1"/>
          </w:rPr>
          <w:t>-</w:t>
        </w:r>
      </w:hyperlink>
      <w:hyperlink r:id="rId38">
        <w:r w:rsidRPr="003B6D0C">
          <w:rPr>
            <w:rFonts w:asciiTheme="majorBidi" w:hAnsiTheme="majorBidi" w:cstheme="majorBidi"/>
            <w:color w:val="0563C1"/>
            <w:sz w:val="24"/>
            <w:szCs w:val="24"/>
            <w:u w:val="single" w:color="0563C1"/>
          </w:rPr>
          <w:t>0108</w:t>
        </w:r>
      </w:hyperlink>
      <w:hyperlink r:id="rId39">
        <w:r w:rsidRPr="003B6D0C">
          <w:rPr>
            <w:rFonts w:asciiTheme="majorBidi" w:hAnsiTheme="majorBidi" w:cstheme="majorBidi"/>
            <w:sz w:val="24"/>
            <w:szCs w:val="24"/>
          </w:rPr>
          <w:t xml:space="preserve"> </w:t>
        </w:r>
      </w:hyperlink>
    </w:p>
    <w:p w:rsidR="000B2DBC" w:rsidRPr="003B6D0C" w:rsidRDefault="00270850" w:rsidP="003B6D0C">
      <w:pPr>
        <w:numPr>
          <w:ilvl w:val="0"/>
          <w:numId w:val="7"/>
        </w:numPr>
        <w:bidi w:val="0"/>
        <w:spacing w:after="195" w:line="259" w:lineRule="auto"/>
        <w:ind w:right="-6" w:hanging="360"/>
        <w:jc w:val="lowKashida"/>
        <w:rPr>
          <w:rFonts w:asciiTheme="majorBidi" w:hAnsiTheme="majorBidi" w:cstheme="majorBidi"/>
          <w:sz w:val="24"/>
          <w:szCs w:val="24"/>
        </w:rPr>
      </w:pPr>
      <w:proofErr w:type="spellStart"/>
      <w:r w:rsidRPr="003B6D0C">
        <w:rPr>
          <w:rFonts w:asciiTheme="majorBidi" w:hAnsiTheme="majorBidi" w:cstheme="majorBidi"/>
          <w:sz w:val="24"/>
          <w:szCs w:val="24"/>
        </w:rPr>
        <w:t>Yordanova</w:t>
      </w:r>
      <w:proofErr w:type="spellEnd"/>
      <w:r w:rsidRPr="003B6D0C">
        <w:rPr>
          <w:rFonts w:asciiTheme="majorBidi" w:hAnsiTheme="majorBidi" w:cstheme="majorBidi"/>
          <w:sz w:val="24"/>
          <w:szCs w:val="24"/>
        </w:rPr>
        <w:t xml:space="preserve">, Z. (2024). Digital Transformation of Project Management </w:t>
      </w:r>
    </w:p>
    <w:p w:rsidR="000B2DBC" w:rsidRPr="003B6D0C" w:rsidRDefault="00270850" w:rsidP="003B6D0C">
      <w:pPr>
        <w:tabs>
          <w:tab w:val="center" w:pos="953"/>
          <w:tab w:val="center" w:pos="2499"/>
          <w:tab w:val="center" w:pos="4291"/>
          <w:tab w:val="center" w:pos="6175"/>
          <w:tab w:val="right" w:pos="8840"/>
        </w:tabs>
        <w:bidi w:val="0"/>
        <w:spacing w:after="192" w:line="259" w:lineRule="auto"/>
        <w:ind w:left="0" w:right="-9" w:firstLine="0"/>
        <w:jc w:val="lowKashida"/>
        <w:rPr>
          <w:rFonts w:asciiTheme="majorBidi" w:hAnsiTheme="majorBidi" w:cstheme="majorBidi"/>
          <w:sz w:val="24"/>
          <w:szCs w:val="24"/>
        </w:rPr>
      </w:pPr>
      <w:r w:rsidRPr="003B6D0C">
        <w:rPr>
          <w:rFonts w:asciiTheme="majorBidi" w:eastAsia="Calibri" w:hAnsiTheme="majorBidi" w:cstheme="majorBidi"/>
          <w:sz w:val="24"/>
          <w:szCs w:val="24"/>
        </w:rPr>
        <w:tab/>
      </w:r>
      <w:r w:rsidRPr="003B6D0C">
        <w:rPr>
          <w:rFonts w:asciiTheme="majorBidi" w:hAnsiTheme="majorBidi" w:cstheme="majorBidi"/>
          <w:sz w:val="24"/>
          <w:szCs w:val="24"/>
        </w:rPr>
        <w:t xml:space="preserve">(pp. </w:t>
      </w:r>
      <w:r w:rsidRPr="003B6D0C">
        <w:rPr>
          <w:rFonts w:asciiTheme="majorBidi" w:hAnsiTheme="majorBidi" w:cstheme="majorBidi"/>
          <w:sz w:val="24"/>
          <w:szCs w:val="24"/>
        </w:rPr>
        <w:tab/>
        <w:t xml:space="preserve">258–268). </w:t>
      </w:r>
      <w:r w:rsidRPr="003B6D0C">
        <w:rPr>
          <w:rFonts w:asciiTheme="majorBidi" w:hAnsiTheme="majorBidi" w:cstheme="majorBidi"/>
          <w:sz w:val="24"/>
          <w:szCs w:val="24"/>
        </w:rPr>
        <w:tab/>
        <w:t xml:space="preserve">Springer </w:t>
      </w:r>
      <w:r w:rsidRPr="003B6D0C">
        <w:rPr>
          <w:rFonts w:asciiTheme="majorBidi" w:hAnsiTheme="majorBidi" w:cstheme="majorBidi"/>
          <w:sz w:val="24"/>
          <w:szCs w:val="24"/>
        </w:rPr>
        <w:tab/>
        <w:t xml:space="preserve">International </w:t>
      </w:r>
      <w:r w:rsidRPr="003B6D0C">
        <w:rPr>
          <w:rFonts w:asciiTheme="majorBidi" w:hAnsiTheme="majorBidi" w:cstheme="majorBidi"/>
          <w:sz w:val="24"/>
          <w:szCs w:val="24"/>
        </w:rPr>
        <w:tab/>
        <w:t xml:space="preserve">Publishing. </w:t>
      </w:r>
    </w:p>
    <w:p w:rsidR="000B2DBC" w:rsidRDefault="00270850" w:rsidP="003B6D0C">
      <w:pPr>
        <w:bidi w:val="0"/>
        <w:spacing w:after="96" w:line="259" w:lineRule="auto"/>
        <w:ind w:left="717" w:right="0" w:hanging="10"/>
        <w:jc w:val="lowKashida"/>
        <w:rPr>
          <w:rFonts w:asciiTheme="majorBidi" w:hAnsiTheme="majorBidi" w:cstheme="majorBidi"/>
          <w:sz w:val="24"/>
          <w:szCs w:val="24"/>
          <w:rtl/>
        </w:rPr>
      </w:pPr>
      <w:hyperlink r:id="rId40">
        <w:r w:rsidRPr="003B6D0C">
          <w:rPr>
            <w:rFonts w:asciiTheme="majorBidi" w:hAnsiTheme="majorBidi" w:cstheme="majorBidi"/>
            <w:color w:val="0563C1"/>
            <w:sz w:val="24"/>
            <w:szCs w:val="24"/>
            <w:u w:val="single" w:color="0563C1"/>
          </w:rPr>
          <w:t>https://doi.org/10.1007/978</w:t>
        </w:r>
      </w:hyperlink>
      <w:hyperlink r:id="rId41">
        <w:r w:rsidRPr="003B6D0C">
          <w:rPr>
            <w:rFonts w:asciiTheme="majorBidi" w:hAnsiTheme="majorBidi" w:cstheme="majorBidi"/>
            <w:color w:val="0563C1"/>
            <w:sz w:val="24"/>
            <w:szCs w:val="24"/>
            <w:u w:val="single" w:color="0563C1"/>
          </w:rPr>
          <w:t>-</w:t>
        </w:r>
      </w:hyperlink>
      <w:hyperlink r:id="rId42">
        <w:r w:rsidRPr="003B6D0C">
          <w:rPr>
            <w:rFonts w:asciiTheme="majorBidi" w:hAnsiTheme="majorBidi" w:cstheme="majorBidi"/>
            <w:color w:val="0563C1"/>
            <w:sz w:val="24"/>
            <w:szCs w:val="24"/>
            <w:u w:val="single" w:color="0563C1"/>
          </w:rPr>
          <w:t>3</w:t>
        </w:r>
      </w:hyperlink>
      <w:hyperlink r:id="rId43">
        <w:r w:rsidRPr="003B6D0C">
          <w:rPr>
            <w:rFonts w:asciiTheme="majorBidi" w:hAnsiTheme="majorBidi" w:cstheme="majorBidi"/>
            <w:color w:val="0563C1"/>
            <w:sz w:val="24"/>
            <w:szCs w:val="24"/>
            <w:u w:val="single" w:color="0563C1"/>
          </w:rPr>
          <w:t>-</w:t>
        </w:r>
      </w:hyperlink>
      <w:hyperlink r:id="rId44">
        <w:r w:rsidRPr="003B6D0C">
          <w:rPr>
            <w:rFonts w:asciiTheme="majorBidi" w:hAnsiTheme="majorBidi" w:cstheme="majorBidi"/>
            <w:color w:val="0563C1"/>
            <w:sz w:val="24"/>
            <w:szCs w:val="24"/>
            <w:u w:val="single" w:color="0563C1"/>
          </w:rPr>
          <w:t>031</w:t>
        </w:r>
      </w:hyperlink>
      <w:hyperlink r:id="rId45">
        <w:r w:rsidRPr="003B6D0C">
          <w:rPr>
            <w:rFonts w:asciiTheme="majorBidi" w:hAnsiTheme="majorBidi" w:cstheme="majorBidi"/>
            <w:color w:val="0563C1"/>
            <w:sz w:val="24"/>
            <w:szCs w:val="24"/>
            <w:u w:val="single" w:color="0563C1"/>
          </w:rPr>
          <w:t>-</w:t>
        </w:r>
      </w:hyperlink>
      <w:hyperlink r:id="rId46">
        <w:r w:rsidRPr="003B6D0C">
          <w:rPr>
            <w:rFonts w:asciiTheme="majorBidi" w:hAnsiTheme="majorBidi" w:cstheme="majorBidi"/>
            <w:color w:val="0563C1"/>
            <w:sz w:val="24"/>
            <w:szCs w:val="24"/>
            <w:u w:val="single" w:color="0563C1"/>
          </w:rPr>
          <w:t>54053</w:t>
        </w:r>
      </w:hyperlink>
      <w:hyperlink r:id="rId47">
        <w:r w:rsidRPr="003B6D0C">
          <w:rPr>
            <w:rFonts w:asciiTheme="majorBidi" w:hAnsiTheme="majorBidi" w:cstheme="majorBidi"/>
            <w:color w:val="0563C1"/>
            <w:sz w:val="24"/>
            <w:szCs w:val="24"/>
            <w:u w:val="single" w:color="0563C1"/>
          </w:rPr>
          <w:t>-</w:t>
        </w:r>
      </w:hyperlink>
      <w:hyperlink r:id="rId48">
        <w:r w:rsidRPr="003B6D0C">
          <w:rPr>
            <w:rFonts w:asciiTheme="majorBidi" w:hAnsiTheme="majorBidi" w:cstheme="majorBidi"/>
            <w:color w:val="0563C1"/>
            <w:sz w:val="24"/>
            <w:szCs w:val="24"/>
            <w:u w:val="single" w:color="0563C1"/>
          </w:rPr>
          <w:t>0_19</w:t>
        </w:r>
      </w:hyperlink>
      <w:hyperlink r:id="rId49">
        <w:r w:rsidRPr="003B6D0C">
          <w:rPr>
            <w:rFonts w:asciiTheme="majorBidi" w:hAnsiTheme="majorBidi" w:cstheme="majorBidi"/>
            <w:sz w:val="24"/>
            <w:szCs w:val="24"/>
          </w:rPr>
          <w:t xml:space="preserve"> </w:t>
        </w:r>
      </w:hyperlink>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Default="00C0778B" w:rsidP="00C0778B">
      <w:pPr>
        <w:bidi w:val="0"/>
        <w:spacing w:after="96" w:line="259" w:lineRule="auto"/>
        <w:ind w:left="717" w:right="0" w:hanging="10"/>
        <w:jc w:val="lowKashida"/>
        <w:rPr>
          <w:rFonts w:asciiTheme="majorBidi" w:hAnsiTheme="majorBidi" w:cstheme="majorBidi"/>
          <w:sz w:val="24"/>
          <w:szCs w:val="24"/>
          <w:rtl/>
        </w:rPr>
      </w:pPr>
    </w:p>
    <w:p w:rsidR="00C0778B" w:rsidRPr="003B6D0C" w:rsidRDefault="00C0778B" w:rsidP="00C0778B">
      <w:pPr>
        <w:bidi w:val="0"/>
        <w:spacing w:after="96" w:line="259" w:lineRule="auto"/>
        <w:ind w:left="717" w:right="0" w:hanging="10"/>
        <w:jc w:val="lowKashida"/>
        <w:rPr>
          <w:rFonts w:asciiTheme="majorBidi" w:hAnsiTheme="majorBidi" w:cstheme="majorBidi"/>
          <w:sz w:val="24"/>
          <w:szCs w:val="24"/>
        </w:rPr>
      </w:pPr>
    </w:p>
    <w:p w:rsidR="000B2DBC" w:rsidRDefault="00270850" w:rsidP="00C0778B">
      <w:pPr>
        <w:bidi w:val="0"/>
        <w:spacing w:after="354" w:line="259" w:lineRule="auto"/>
        <w:ind w:left="-2" w:right="273" w:hanging="10"/>
        <w:jc w:val="left"/>
      </w:pPr>
      <w:r>
        <w:rPr>
          <w:b/>
        </w:rPr>
        <w:t xml:space="preserve"> </w:t>
      </w:r>
    </w:p>
    <w:p w:rsidR="000B2DBC" w:rsidRDefault="00270850">
      <w:pPr>
        <w:bidi w:val="0"/>
        <w:spacing w:after="344" w:line="259" w:lineRule="auto"/>
        <w:ind w:left="2972" w:right="273" w:firstLine="0"/>
        <w:jc w:val="left"/>
      </w:pPr>
      <w:r>
        <w:rPr>
          <w:b/>
          <w:sz w:val="40"/>
        </w:rPr>
        <w:t xml:space="preserve"> </w:t>
      </w:r>
    </w:p>
    <w:p w:rsidR="00C0778B" w:rsidRDefault="00C0778B">
      <w:pPr>
        <w:bidi w:val="0"/>
        <w:spacing w:after="316" w:line="259" w:lineRule="auto"/>
        <w:ind w:left="0" w:right="2" w:firstLine="0"/>
        <w:jc w:val="center"/>
        <w:rPr>
          <w:b/>
          <w:sz w:val="32"/>
          <w:rtl/>
        </w:rPr>
      </w:pPr>
    </w:p>
    <w:p w:rsidR="00C0778B" w:rsidRDefault="00C0778B" w:rsidP="00C0778B">
      <w:pPr>
        <w:bidi w:val="0"/>
        <w:spacing w:after="316" w:line="259" w:lineRule="auto"/>
        <w:ind w:left="0" w:right="2" w:firstLine="0"/>
        <w:jc w:val="center"/>
        <w:rPr>
          <w:b/>
          <w:bCs/>
          <w:sz w:val="32"/>
        </w:rPr>
      </w:pPr>
      <w:r>
        <w:rPr>
          <w:noProof/>
        </w:rPr>
        <w:lastRenderedPageBreak/>
        <mc:AlternateContent>
          <mc:Choice Requires="wps">
            <w:drawing>
              <wp:anchor distT="0" distB="0" distL="114300" distR="114300" simplePos="0" relativeHeight="251662336" behindDoc="0" locked="0" layoutInCell="1" allowOverlap="1" wp14:anchorId="37C19EC8" wp14:editId="19F53A39">
                <wp:simplePos x="0" y="0"/>
                <wp:positionH relativeFrom="column">
                  <wp:posOffset>-827405</wp:posOffset>
                </wp:positionH>
                <wp:positionV relativeFrom="paragraph">
                  <wp:posOffset>-117475</wp:posOffset>
                </wp:positionV>
                <wp:extent cx="2514600" cy="1152525"/>
                <wp:effectExtent l="0" t="0" r="0" b="0"/>
                <wp:wrapNone/>
                <wp:docPr id="3" name="Text Box 3"/>
                <wp:cNvGraphicFramePr/>
                <a:graphic xmlns:a="http://schemas.openxmlformats.org/drawingml/2006/main">
                  <a:graphicData uri="http://schemas.microsoft.com/office/word/2010/wordprocessingShape">
                    <wps:wsp>
                      <wps:cNvSpPr txBox="1"/>
                      <wps:spPr>
                        <a:xfrm>
                          <a:off x="0" y="0"/>
                          <a:ext cx="2514600" cy="1152525"/>
                        </a:xfrm>
                        <a:prstGeom prst="rect">
                          <a:avLst/>
                        </a:prstGeom>
                        <a:noFill/>
                        <a:ln w="6350">
                          <a:noFill/>
                        </a:ln>
                      </wps:spPr>
                      <wps:txbx>
                        <w:txbxContent>
                          <w:p w:rsidR="00270850" w:rsidRPr="00E23657" w:rsidRDefault="00270850" w:rsidP="00C0778B">
                            <w:pPr>
                              <w:bidi w:val="0"/>
                              <w:spacing w:after="0" w:line="240" w:lineRule="auto"/>
                              <w:ind w:left="-2" w:right="273" w:hanging="10"/>
                              <w:jc w:val="center"/>
                              <w:rPr>
                                <w:rFonts w:asciiTheme="majorBidi" w:hAnsiTheme="majorBidi" w:cstheme="majorBidi"/>
                                <w:bCs/>
                                <w:sz w:val="22"/>
                                <w:szCs w:val="18"/>
                              </w:rPr>
                            </w:pPr>
                            <w:r w:rsidRPr="00E23657">
                              <w:rPr>
                                <w:rFonts w:asciiTheme="majorBidi" w:hAnsiTheme="majorBidi" w:cstheme="majorBidi"/>
                                <w:bCs/>
                                <w:sz w:val="22"/>
                                <w:szCs w:val="18"/>
                              </w:rPr>
                              <w:t>Mid Ocean University</w:t>
                            </w:r>
                          </w:p>
                          <w:p w:rsidR="00270850" w:rsidRPr="00E23657" w:rsidRDefault="00270850" w:rsidP="00C0778B">
                            <w:pPr>
                              <w:bidi w:val="0"/>
                              <w:spacing w:after="0" w:line="240" w:lineRule="auto"/>
                              <w:ind w:left="-2" w:right="273" w:hanging="10"/>
                              <w:jc w:val="center"/>
                              <w:rPr>
                                <w:rFonts w:asciiTheme="majorBidi" w:hAnsiTheme="majorBidi" w:cstheme="majorBidi"/>
                                <w:bCs/>
                                <w:sz w:val="22"/>
                                <w:szCs w:val="18"/>
                              </w:rPr>
                            </w:pPr>
                            <w:r w:rsidRPr="00E23657">
                              <w:rPr>
                                <w:rFonts w:asciiTheme="majorBidi" w:hAnsiTheme="majorBidi" w:cstheme="majorBidi"/>
                                <w:bCs/>
                                <w:sz w:val="22"/>
                                <w:szCs w:val="18"/>
                              </w:rPr>
                              <w:t>College of Management</w:t>
                            </w:r>
                          </w:p>
                          <w:p w:rsidR="00270850" w:rsidRPr="00E23657" w:rsidRDefault="00270850" w:rsidP="00C0778B">
                            <w:pPr>
                              <w:bidi w:val="0"/>
                              <w:spacing w:after="0" w:line="240" w:lineRule="auto"/>
                              <w:ind w:left="-2" w:right="273" w:hanging="10"/>
                              <w:jc w:val="center"/>
                              <w:rPr>
                                <w:rFonts w:asciiTheme="majorBidi" w:hAnsiTheme="majorBidi" w:cstheme="majorBidi"/>
                                <w:bCs/>
                                <w:sz w:val="22"/>
                                <w:szCs w:val="18"/>
                              </w:rPr>
                            </w:pPr>
                            <w:r w:rsidRPr="00E23657">
                              <w:rPr>
                                <w:rFonts w:asciiTheme="majorBidi" w:hAnsiTheme="majorBidi" w:cstheme="majorBidi"/>
                                <w:bCs/>
                                <w:sz w:val="22"/>
                                <w:szCs w:val="18"/>
                              </w:rPr>
                              <w:t>Department of project management</w:t>
                            </w:r>
                          </w:p>
                          <w:p w:rsidR="00270850" w:rsidRPr="00C0778B" w:rsidRDefault="00270850" w:rsidP="00C0778B">
                            <w:pPr>
                              <w:spacing w:after="0" w:line="240" w:lineRule="auto"/>
                              <w:ind w:left="0"/>
                              <w:jc w:val="center"/>
                              <w:rPr>
                                <w:bCs/>
                                <w:sz w:val="22"/>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C19EC8" id="Text Box 3" o:spid="_x0000_s1028" type="#_x0000_t202" style="position:absolute;left:0;text-align:left;margin-left:-65.15pt;margin-top:-9.25pt;width:198pt;height:90.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" filled="f" stroked="f" strokeweight=".5pt">
                <v:textbox>
                  <w:txbxContent>
                    <w:p w:rsidR="00270850" w:rsidRPr="00E23657" w:rsidRDefault="00270850" w:rsidP="00C0778B">
                      <w:pPr>
                        <w:bidi w:val="0"/>
                        <w:spacing w:after="0" w:line="240" w:lineRule="auto"/>
                        <w:ind w:left="-2" w:right="273" w:hanging="10"/>
                        <w:jc w:val="center"/>
                        <w:rPr>
                          <w:rFonts w:asciiTheme="majorBidi" w:hAnsiTheme="majorBidi" w:cstheme="majorBidi"/>
                          <w:bCs/>
                          <w:sz w:val="22"/>
                          <w:szCs w:val="18"/>
                        </w:rPr>
                      </w:pPr>
                      <w:r w:rsidRPr="00E23657">
                        <w:rPr>
                          <w:rFonts w:asciiTheme="majorBidi" w:hAnsiTheme="majorBidi" w:cstheme="majorBidi"/>
                          <w:bCs/>
                          <w:sz w:val="22"/>
                          <w:szCs w:val="18"/>
                        </w:rPr>
                        <w:t>Mid Ocean University</w:t>
                      </w:r>
                    </w:p>
                    <w:p w:rsidR="00270850" w:rsidRPr="00E23657" w:rsidRDefault="00270850" w:rsidP="00C0778B">
                      <w:pPr>
                        <w:bidi w:val="0"/>
                        <w:spacing w:after="0" w:line="240" w:lineRule="auto"/>
                        <w:ind w:left="-2" w:right="273" w:hanging="10"/>
                        <w:jc w:val="center"/>
                        <w:rPr>
                          <w:rFonts w:asciiTheme="majorBidi" w:hAnsiTheme="majorBidi" w:cstheme="majorBidi"/>
                          <w:bCs/>
                          <w:sz w:val="22"/>
                          <w:szCs w:val="18"/>
                        </w:rPr>
                      </w:pPr>
                      <w:r w:rsidRPr="00E23657">
                        <w:rPr>
                          <w:rFonts w:asciiTheme="majorBidi" w:hAnsiTheme="majorBidi" w:cstheme="majorBidi"/>
                          <w:bCs/>
                          <w:sz w:val="22"/>
                          <w:szCs w:val="18"/>
                        </w:rPr>
                        <w:t>College of Management</w:t>
                      </w:r>
                    </w:p>
                    <w:p w:rsidR="00270850" w:rsidRPr="00E23657" w:rsidRDefault="00270850" w:rsidP="00C0778B">
                      <w:pPr>
                        <w:bidi w:val="0"/>
                        <w:spacing w:after="0" w:line="240" w:lineRule="auto"/>
                        <w:ind w:left="-2" w:right="273" w:hanging="10"/>
                        <w:jc w:val="center"/>
                        <w:rPr>
                          <w:rFonts w:asciiTheme="majorBidi" w:hAnsiTheme="majorBidi" w:cstheme="majorBidi"/>
                          <w:bCs/>
                          <w:sz w:val="22"/>
                          <w:szCs w:val="18"/>
                        </w:rPr>
                      </w:pPr>
                      <w:r w:rsidRPr="00E23657">
                        <w:rPr>
                          <w:rFonts w:asciiTheme="majorBidi" w:hAnsiTheme="majorBidi" w:cstheme="majorBidi"/>
                          <w:bCs/>
                          <w:sz w:val="22"/>
                          <w:szCs w:val="18"/>
                        </w:rPr>
                        <w:t>Department of project management</w:t>
                      </w:r>
                    </w:p>
                    <w:p w:rsidR="00270850" w:rsidRPr="00C0778B" w:rsidRDefault="00270850" w:rsidP="00C0778B">
                      <w:pPr>
                        <w:spacing w:after="0" w:line="240" w:lineRule="auto"/>
                        <w:ind w:left="0"/>
                        <w:jc w:val="center"/>
                        <w:rPr>
                          <w:bCs/>
                          <w:sz w:val="22"/>
                          <w:szCs w:val="18"/>
                        </w:rPr>
                      </w:pPr>
                    </w:p>
                  </w:txbxContent>
                </v:textbox>
              </v:shape>
            </w:pict>
          </mc:Fallback>
        </mc:AlternateContent>
      </w:r>
      <w:r>
        <w:rPr>
          <w:noProof/>
        </w:rPr>
        <w:drawing>
          <wp:anchor distT="0" distB="0" distL="114300" distR="114300" simplePos="0" relativeHeight="251659264" behindDoc="1" locked="0" layoutInCell="1" allowOverlap="0" wp14:anchorId="7F4CE80C" wp14:editId="446F0F2B">
            <wp:simplePos x="0" y="0"/>
            <wp:positionH relativeFrom="margin">
              <wp:posOffset>3887470</wp:posOffset>
            </wp:positionH>
            <wp:positionV relativeFrom="paragraph">
              <wp:posOffset>0</wp:posOffset>
            </wp:positionV>
            <wp:extent cx="2047240" cy="1066800"/>
            <wp:effectExtent l="0" t="0" r="0" b="0"/>
            <wp:wrapTight wrapText="bothSides">
              <wp:wrapPolygon edited="0">
                <wp:start x="0" y="0"/>
                <wp:lineTo x="0" y="21214"/>
                <wp:lineTo x="21305" y="21214"/>
                <wp:lineTo x="21305" y="0"/>
                <wp:lineTo x="0" y="0"/>
              </wp:wrapPolygon>
            </wp:wrapTight>
            <wp:docPr id="17710" name="Picture 17710"/>
            <wp:cNvGraphicFramePr/>
            <a:graphic xmlns:a="http://schemas.openxmlformats.org/drawingml/2006/main">
              <a:graphicData uri="http://schemas.openxmlformats.org/drawingml/2006/picture">
                <pic:pic xmlns:pic="http://schemas.openxmlformats.org/drawingml/2006/picture">
                  <pic:nvPicPr>
                    <pic:cNvPr id="17710" name="Picture 17710"/>
                    <pic:cNvPicPr/>
                  </pic:nvPicPr>
                  <pic:blipFill>
                    <a:blip r:embed="rId50"/>
                    <a:stretch>
                      <a:fillRect/>
                    </a:stretch>
                  </pic:blipFill>
                  <pic:spPr>
                    <a:xfrm>
                      <a:off x="0" y="0"/>
                      <a:ext cx="2047240" cy="1066800"/>
                    </a:xfrm>
                    <a:prstGeom prst="rect">
                      <a:avLst/>
                    </a:prstGeom>
                  </pic:spPr>
                </pic:pic>
              </a:graphicData>
            </a:graphic>
            <wp14:sizeRelH relativeFrom="margin">
              <wp14:pctWidth>0</wp14:pctWidth>
            </wp14:sizeRelH>
            <wp14:sizeRelV relativeFrom="margin">
              <wp14:pctHeight>0</wp14:pctHeight>
            </wp14:sizeRelV>
          </wp:anchor>
        </w:drawing>
      </w:r>
    </w:p>
    <w:p w:rsidR="00C0778B" w:rsidRDefault="00C0778B" w:rsidP="00C0778B">
      <w:pPr>
        <w:bidi w:val="0"/>
        <w:spacing w:after="316" w:line="259" w:lineRule="auto"/>
        <w:ind w:left="0" w:right="2" w:firstLine="0"/>
        <w:jc w:val="center"/>
        <w:rPr>
          <w:b/>
          <w:bCs/>
          <w:sz w:val="32"/>
        </w:rPr>
      </w:pPr>
    </w:p>
    <w:p w:rsidR="00C0778B" w:rsidRDefault="00C0778B" w:rsidP="00C0778B">
      <w:pPr>
        <w:bidi w:val="0"/>
        <w:spacing w:after="316" w:line="259" w:lineRule="auto"/>
        <w:ind w:left="0" w:right="2" w:firstLine="0"/>
        <w:jc w:val="center"/>
        <w:rPr>
          <w:b/>
          <w:bCs/>
          <w:sz w:val="32"/>
        </w:rPr>
      </w:pPr>
    </w:p>
    <w:p w:rsidR="00C0778B" w:rsidRPr="00E23657" w:rsidRDefault="00C0778B" w:rsidP="00C0778B">
      <w:pPr>
        <w:bidi w:val="0"/>
        <w:spacing w:after="316" w:line="259" w:lineRule="auto"/>
        <w:ind w:left="0" w:right="2" w:firstLine="0"/>
        <w:jc w:val="center"/>
        <w:rPr>
          <w:rFonts w:asciiTheme="majorBidi" w:hAnsiTheme="majorBidi" w:cstheme="majorBidi"/>
          <w:b/>
          <w:color w:val="C00000"/>
          <w:szCs w:val="20"/>
        </w:rPr>
      </w:pPr>
      <w:r w:rsidRPr="00E23657">
        <w:rPr>
          <w:rFonts w:asciiTheme="majorBidi" w:hAnsiTheme="majorBidi" w:cstheme="majorBidi"/>
          <w:b/>
          <w:bCs/>
          <w:color w:val="C00000"/>
          <w:szCs w:val="20"/>
        </w:rPr>
        <w:t>"The Impact of Adopting Project Management Initiatives on the Readiness of the Retail Sector to Keep Pace with the Economic Transformation in the Kingdom of Saudi Arabia in Line with Vision 2030: An Applied Study"</w:t>
      </w:r>
    </w:p>
    <w:p w:rsidR="00C0778B" w:rsidRDefault="00C0778B" w:rsidP="00C0778B">
      <w:pPr>
        <w:bidi w:val="0"/>
        <w:spacing w:after="316" w:line="259" w:lineRule="auto"/>
        <w:ind w:left="0" w:right="2" w:firstLine="0"/>
        <w:jc w:val="center"/>
        <w:rPr>
          <w:b/>
          <w:sz w:val="32"/>
          <w:rtl/>
        </w:rPr>
      </w:pPr>
    </w:p>
    <w:p w:rsidR="00E23657" w:rsidRPr="00E23657" w:rsidRDefault="00270850" w:rsidP="00E23657">
      <w:pPr>
        <w:bidi w:val="0"/>
        <w:spacing w:after="316" w:line="259" w:lineRule="auto"/>
        <w:ind w:left="0" w:right="2" w:firstLine="0"/>
        <w:jc w:val="center"/>
        <w:rPr>
          <w:rFonts w:asciiTheme="majorBidi" w:hAnsiTheme="majorBidi" w:cstheme="majorBidi"/>
          <w:sz w:val="24"/>
          <w:szCs w:val="24"/>
        </w:rPr>
      </w:pPr>
      <w:r w:rsidRPr="00E23657">
        <w:rPr>
          <w:rFonts w:asciiTheme="majorBidi" w:hAnsiTheme="majorBidi" w:cstheme="majorBidi"/>
          <w:b/>
          <w:sz w:val="24"/>
          <w:szCs w:val="24"/>
        </w:rPr>
        <w:t xml:space="preserve">Prepared by: </w:t>
      </w:r>
    </w:p>
    <w:p w:rsidR="00E23657" w:rsidRPr="00E23657" w:rsidRDefault="00270850" w:rsidP="00E23657">
      <w:pPr>
        <w:bidi w:val="0"/>
        <w:spacing w:after="316" w:line="259" w:lineRule="auto"/>
        <w:ind w:left="0" w:right="2" w:firstLine="0"/>
        <w:jc w:val="center"/>
        <w:rPr>
          <w:rFonts w:asciiTheme="majorBidi" w:hAnsiTheme="majorBidi" w:cstheme="majorBidi"/>
          <w:sz w:val="24"/>
          <w:szCs w:val="24"/>
        </w:rPr>
      </w:pPr>
      <w:proofErr w:type="spellStart"/>
      <w:r w:rsidRPr="00E23657">
        <w:rPr>
          <w:rFonts w:asciiTheme="majorBidi" w:hAnsiTheme="majorBidi" w:cstheme="majorBidi"/>
          <w:b/>
          <w:sz w:val="24"/>
          <w:szCs w:val="24"/>
        </w:rPr>
        <w:t>Danayah</w:t>
      </w:r>
      <w:proofErr w:type="spellEnd"/>
      <w:r w:rsidRPr="00E23657">
        <w:rPr>
          <w:rFonts w:asciiTheme="majorBidi" w:hAnsiTheme="majorBidi" w:cstheme="majorBidi"/>
          <w:b/>
          <w:sz w:val="24"/>
          <w:szCs w:val="24"/>
        </w:rPr>
        <w:t xml:space="preserve"> Adnan </w:t>
      </w:r>
      <w:proofErr w:type="spellStart"/>
      <w:r w:rsidRPr="00E23657">
        <w:rPr>
          <w:rFonts w:asciiTheme="majorBidi" w:hAnsiTheme="majorBidi" w:cstheme="majorBidi"/>
          <w:b/>
          <w:sz w:val="24"/>
          <w:szCs w:val="24"/>
        </w:rPr>
        <w:t>Mahdali</w:t>
      </w:r>
      <w:proofErr w:type="spellEnd"/>
      <w:r w:rsidRPr="00E23657">
        <w:rPr>
          <w:rFonts w:asciiTheme="majorBidi" w:hAnsiTheme="majorBidi" w:cstheme="majorBidi"/>
          <w:b/>
          <w:sz w:val="24"/>
          <w:szCs w:val="24"/>
        </w:rPr>
        <w:t xml:space="preserve"> </w:t>
      </w:r>
    </w:p>
    <w:p w:rsidR="00E23657" w:rsidRPr="00E23657" w:rsidRDefault="00270850" w:rsidP="00E23657">
      <w:pPr>
        <w:bidi w:val="0"/>
        <w:spacing w:after="316" w:line="259" w:lineRule="auto"/>
        <w:ind w:left="0" w:right="2" w:firstLine="0"/>
        <w:jc w:val="center"/>
        <w:rPr>
          <w:rFonts w:asciiTheme="majorBidi" w:hAnsiTheme="majorBidi" w:cstheme="majorBidi"/>
          <w:sz w:val="24"/>
          <w:szCs w:val="24"/>
        </w:rPr>
      </w:pPr>
      <w:r w:rsidRPr="00E23657">
        <w:rPr>
          <w:rFonts w:asciiTheme="majorBidi" w:hAnsiTheme="majorBidi" w:cstheme="majorBidi"/>
          <w:b/>
          <w:sz w:val="24"/>
          <w:szCs w:val="24"/>
        </w:rPr>
        <w:t xml:space="preserve">251000113 </w:t>
      </w:r>
    </w:p>
    <w:p w:rsidR="000B2DBC" w:rsidRPr="00E23657" w:rsidRDefault="00270850" w:rsidP="00E23657">
      <w:pPr>
        <w:bidi w:val="0"/>
        <w:spacing w:after="316" w:line="259" w:lineRule="auto"/>
        <w:ind w:left="0" w:right="2" w:firstLine="0"/>
        <w:jc w:val="center"/>
        <w:rPr>
          <w:rFonts w:asciiTheme="majorBidi" w:hAnsiTheme="majorBidi" w:cstheme="majorBidi"/>
          <w:sz w:val="24"/>
          <w:szCs w:val="24"/>
        </w:rPr>
      </w:pPr>
      <w:r w:rsidRPr="00E23657">
        <w:rPr>
          <w:rFonts w:asciiTheme="majorBidi" w:hAnsiTheme="majorBidi" w:cstheme="majorBidi"/>
          <w:b/>
          <w:sz w:val="24"/>
          <w:szCs w:val="24"/>
        </w:rPr>
        <w:t xml:space="preserve">Supervision: </w:t>
      </w:r>
    </w:p>
    <w:p w:rsidR="00E23657" w:rsidRPr="00E23657" w:rsidRDefault="00270850" w:rsidP="00E23657">
      <w:pPr>
        <w:bidi w:val="0"/>
        <w:spacing w:after="355" w:line="259" w:lineRule="auto"/>
        <w:ind w:left="11" w:right="4" w:hanging="10"/>
        <w:jc w:val="center"/>
        <w:rPr>
          <w:rFonts w:asciiTheme="majorBidi" w:hAnsiTheme="majorBidi" w:cstheme="majorBidi"/>
          <w:sz w:val="24"/>
          <w:szCs w:val="24"/>
        </w:rPr>
      </w:pPr>
      <w:r w:rsidRPr="00E23657">
        <w:rPr>
          <w:rFonts w:asciiTheme="majorBidi" w:hAnsiTheme="majorBidi" w:cstheme="majorBidi"/>
          <w:b/>
          <w:sz w:val="24"/>
          <w:szCs w:val="24"/>
        </w:rPr>
        <w:t xml:space="preserve">Dr. Al-Faisal </w:t>
      </w:r>
      <w:proofErr w:type="spellStart"/>
      <w:r w:rsidRPr="00E23657">
        <w:rPr>
          <w:rFonts w:asciiTheme="majorBidi" w:hAnsiTheme="majorBidi" w:cstheme="majorBidi"/>
          <w:b/>
          <w:sz w:val="24"/>
          <w:szCs w:val="24"/>
        </w:rPr>
        <w:t>Abdelhamid</w:t>
      </w:r>
      <w:proofErr w:type="spellEnd"/>
      <w:r w:rsidRPr="00E23657">
        <w:rPr>
          <w:rFonts w:asciiTheme="majorBidi" w:hAnsiTheme="majorBidi" w:cstheme="majorBidi"/>
          <w:b/>
          <w:sz w:val="24"/>
          <w:szCs w:val="24"/>
        </w:rPr>
        <w:t xml:space="preserve"> Mohamed Hassan </w:t>
      </w:r>
    </w:p>
    <w:p w:rsidR="000B2DBC" w:rsidRPr="00E23657" w:rsidRDefault="00270850" w:rsidP="00E23657">
      <w:pPr>
        <w:bidi w:val="0"/>
        <w:spacing w:after="355" w:line="259" w:lineRule="auto"/>
        <w:ind w:left="11" w:right="4" w:hanging="10"/>
        <w:jc w:val="center"/>
        <w:rPr>
          <w:rFonts w:asciiTheme="majorBidi" w:hAnsiTheme="majorBidi" w:cstheme="majorBidi"/>
          <w:sz w:val="24"/>
          <w:szCs w:val="24"/>
        </w:rPr>
      </w:pPr>
      <w:r w:rsidRPr="00E23657">
        <w:rPr>
          <w:rFonts w:asciiTheme="majorBidi" w:hAnsiTheme="majorBidi" w:cstheme="majorBidi"/>
          <w:b/>
          <w:sz w:val="24"/>
          <w:szCs w:val="24"/>
        </w:rPr>
        <w:t xml:space="preserve">Dr. Fayez </w:t>
      </w:r>
      <w:proofErr w:type="spellStart"/>
      <w:r w:rsidRPr="00E23657">
        <w:rPr>
          <w:rFonts w:asciiTheme="majorBidi" w:hAnsiTheme="majorBidi" w:cstheme="majorBidi"/>
          <w:b/>
          <w:sz w:val="24"/>
          <w:szCs w:val="24"/>
        </w:rPr>
        <w:t>Jarad</w:t>
      </w:r>
      <w:proofErr w:type="spellEnd"/>
      <w:r w:rsidRPr="00E23657">
        <w:rPr>
          <w:rFonts w:asciiTheme="majorBidi" w:hAnsiTheme="majorBidi" w:cstheme="majorBidi"/>
          <w:b/>
          <w:sz w:val="24"/>
          <w:szCs w:val="24"/>
        </w:rPr>
        <w:t xml:space="preserve"> </w:t>
      </w:r>
    </w:p>
    <w:p w:rsidR="000B2DBC" w:rsidRPr="00E23657" w:rsidRDefault="00270850">
      <w:pPr>
        <w:bidi w:val="0"/>
        <w:spacing w:after="355" w:line="259" w:lineRule="auto"/>
        <w:ind w:left="11" w:right="103" w:hanging="10"/>
        <w:jc w:val="center"/>
        <w:rPr>
          <w:rFonts w:asciiTheme="majorBidi" w:hAnsiTheme="majorBidi" w:cstheme="majorBidi"/>
          <w:sz w:val="24"/>
          <w:szCs w:val="24"/>
        </w:rPr>
      </w:pPr>
      <w:r w:rsidRPr="00E23657">
        <w:rPr>
          <w:rFonts w:asciiTheme="majorBidi" w:hAnsiTheme="majorBidi" w:cstheme="majorBidi"/>
          <w:sz w:val="24"/>
          <w:szCs w:val="24"/>
        </w:rPr>
        <w:t xml:space="preserve"> </w:t>
      </w:r>
      <w:r w:rsidRPr="00E23657">
        <w:rPr>
          <w:rFonts w:asciiTheme="majorBidi" w:hAnsiTheme="majorBidi" w:cstheme="majorBidi"/>
          <w:b/>
          <w:sz w:val="24"/>
          <w:szCs w:val="24"/>
        </w:rPr>
        <w:t>1447-2025</w:t>
      </w:r>
    </w:p>
    <w:sectPr w:rsidR="000B2DBC" w:rsidRPr="00E23657">
      <w:headerReference w:type="even" r:id="rId51"/>
      <w:headerReference w:type="default" r:id="rId52"/>
      <w:footerReference w:type="even" r:id="rId53"/>
      <w:footerReference w:type="default" r:id="rId54"/>
      <w:headerReference w:type="first" r:id="rId55"/>
      <w:footerReference w:type="first" r:id="rId56"/>
      <w:pgSz w:w="11906" w:h="16838"/>
      <w:pgMar w:top="1440" w:right="1269" w:bottom="1459" w:left="1798" w:header="480" w:footer="478" w:gutter="0"/>
      <w:cols w:space="720"/>
      <w:bidi/>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A65" w:rsidRDefault="00F92A65">
      <w:pPr>
        <w:spacing w:after="0" w:line="240" w:lineRule="auto"/>
      </w:pPr>
      <w:r>
        <w:separator/>
      </w:r>
    </w:p>
  </w:endnote>
  <w:endnote w:type="continuationSeparator" w:id="0">
    <w:p w:rsidR="00F92A65" w:rsidRDefault="00F92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850" w:rsidRDefault="00270850">
    <w:pPr>
      <w:bidi w:val="0"/>
      <w:spacing w:after="0" w:line="259" w:lineRule="auto"/>
      <w:ind w:left="0" w:right="127"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10332720</wp:posOffset>
              </wp:positionV>
              <wp:extent cx="6952488" cy="56387"/>
              <wp:effectExtent l="0" t="0" r="0" b="0"/>
              <wp:wrapSquare wrapText="bothSides"/>
              <wp:docPr id="164041" name="Group 164041"/>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342507" name="Shape 342507"/>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508" name="Shape 342508"/>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509" name="Shape 342509"/>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510" name="Shape 342510"/>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511" name="Shape 342511"/>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512" name="Shape 342512"/>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513" name="Shape 342513"/>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514" name="Shape 342514"/>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515" name="Shape 342515"/>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516" name="Shape 342516"/>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517" name="Shape 342517"/>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518" name="Shape 342518"/>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519" name="Shape 342519"/>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4041" style="width:547.44pt;height:4.43994pt;position:absolute;mso-position-horizontal-relative:page;mso-position-horizontal:absolute;margin-left:24pt;mso-position-vertical-relative:page;margin-top:813.6pt;" coordsize="69524,563">
              <v:shape id="Shape 342520" style="position:absolute;width:381;height:563;left:0;top:0;" coordsize="38100,56386" path="m0,0l38100,0l38100,56386l0,56386l0,0">
                <v:stroke weight="0pt" endcap="flat" joinstyle="miter" miterlimit="10" on="false" color="#000000" opacity="0"/>
                <v:fill on="true" color="#000000"/>
              </v:shape>
              <v:shape id="Shape 342521" style="position:absolute;width:563;height:381;left:0;top:182;" coordsize="56388,38100" path="m0,0l56388,0l56388,38100l0,38100l0,0">
                <v:stroke weight="0pt" endcap="flat" joinstyle="miter" miterlimit="10" on="false" color="#000000" opacity="0"/>
                <v:fill on="true" color="#000000"/>
              </v:shape>
              <v:shape id="Shape 342522" style="position:absolute;width:91;height:182;left:381;top:0;" coordsize="9144,18286" path="m0,0l9144,0l9144,18286l0,18286l0,0">
                <v:stroke weight="0pt" endcap="flat" joinstyle="miter" miterlimit="10" on="false" color="#000000" opacity="0"/>
                <v:fill on="true" color="#ffffff"/>
              </v:shape>
              <v:shape id="Shape 342523" style="position:absolute;width:182;height:91;left:381;top:91;" coordsize="18288,9144" path="m0,0l18288,0l18288,9144l0,9144l0,0">
                <v:stroke weight="0pt" endcap="flat" joinstyle="miter" miterlimit="10" on="false" color="#000000" opacity="0"/>
                <v:fill on="true" color="#ffffff"/>
              </v:shape>
              <v:shape id="Shape 342524" style="position:absolute;width:91;height:91;left:472;top:0;" coordsize="9144,9144" path="m0,0l9144,0l9144,9144l0,9144l0,0">
                <v:stroke weight="0pt" endcap="flat" joinstyle="miter" miterlimit="10" on="false" color="#000000" opacity="0"/>
                <v:fill on="true" color="#000000"/>
              </v:shape>
              <v:shape id="Shape 342525" style="position:absolute;width:68397;height:381;left:563;top:182;" coordsize="6839712,38100" path="m0,0l6839712,0l6839712,38100l0,38100l0,0">
                <v:stroke weight="0pt" endcap="flat" joinstyle="miter" miterlimit="10" on="false" color="#000000" opacity="0"/>
                <v:fill on="true" color="#000000"/>
              </v:shape>
              <v:shape id="Shape 342526" style="position:absolute;width:68397;height:91;left:563;top:91;" coordsize="6839712,9144" path="m0,0l6839712,0l6839712,9144l0,9144l0,0">
                <v:stroke weight="0pt" endcap="flat" joinstyle="miter" miterlimit="10" on="false" color="#000000" opacity="0"/>
                <v:fill on="true" color="#ffffff"/>
              </v:shape>
              <v:shape id="Shape 342527" style="position:absolute;width:68397;height:91;left:563;top:0;" coordsize="6839712,9144" path="m0,0l6839712,0l6839712,9144l0,9144l0,0">
                <v:stroke weight="0pt" endcap="flat" joinstyle="miter" miterlimit="10" on="false" color="#000000" opacity="0"/>
                <v:fill on="true" color="#000000"/>
              </v:shape>
              <v:shape id="Shape 342528" style="position:absolute;width:381;height:563;left:69143;top:0;" coordsize="38100,56386" path="m0,0l38100,0l38100,56386l0,56386l0,0">
                <v:stroke weight="0pt" endcap="flat" joinstyle="miter" miterlimit="10" on="false" color="#000000" opacity="0"/>
                <v:fill on="true" color="#000000"/>
              </v:shape>
              <v:shape id="Shape 342529" style="position:absolute;width:563;height:381;left:68961;top:182;" coordsize="56388,38100" path="m0,0l56388,0l56388,38100l0,38100l0,0">
                <v:stroke weight="0pt" endcap="flat" joinstyle="miter" miterlimit="10" on="false" color="#000000" opacity="0"/>
                <v:fill on="true" color="#000000"/>
              </v:shape>
              <v:shape id="Shape 342530" style="position:absolute;width:91;height:182;left:69052;top:0;" coordsize="9144,18286" path="m0,0l9144,0l9144,18286l0,18286l0,0">
                <v:stroke weight="0pt" endcap="flat" joinstyle="miter" miterlimit="10" on="false" color="#000000" opacity="0"/>
                <v:fill on="true" color="#ffffff"/>
              </v:shape>
              <v:shape id="Shape 342531" style="position:absolute;width:182;height:91;left:68961;top:91;" coordsize="18288,9144" path="m0,0l18288,0l18288,9144l0,9144l0,0">
                <v:stroke weight="0pt" endcap="flat" joinstyle="miter" miterlimit="10" on="false" color="#000000" opacity="0"/>
                <v:fill on="true" color="#ffffff"/>
              </v:shape>
              <v:shape id="Shape 342532"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rsidR="00270850" w:rsidRDefault="00270850">
    <w:pPr>
      <w:bidi w:val="0"/>
      <w:spacing w:after="0" w:line="259" w:lineRule="auto"/>
      <w:ind w:left="0" w:right="83"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850" w:rsidRDefault="00270850">
    <w:pPr>
      <w:bidi w:val="0"/>
      <w:spacing w:after="0" w:line="259" w:lineRule="auto"/>
      <w:ind w:left="0" w:right="127"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10332720</wp:posOffset>
              </wp:positionV>
              <wp:extent cx="6952488" cy="56387"/>
              <wp:effectExtent l="0" t="0" r="0" b="0"/>
              <wp:wrapSquare wrapText="bothSides"/>
              <wp:docPr id="163992" name="Group 163992"/>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342481" name="Shape 342481"/>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82" name="Shape 342482"/>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83" name="Shape 342483"/>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84" name="Shape 342484"/>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85" name="Shape 342485"/>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86" name="Shape 342486"/>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87" name="Shape 342487"/>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88" name="Shape 342488"/>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89" name="Shape 342489"/>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90" name="Shape 342490"/>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91" name="Shape 342491"/>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92" name="Shape 342492"/>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93" name="Shape 342493"/>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3992" style="width:547.44pt;height:4.43994pt;position:absolute;mso-position-horizontal-relative:page;mso-position-horizontal:absolute;margin-left:24pt;mso-position-vertical-relative:page;margin-top:813.6pt;" coordsize="69524,563">
              <v:shape id="Shape 342494" style="position:absolute;width:381;height:563;left:0;top:0;" coordsize="38100,56386" path="m0,0l38100,0l38100,56386l0,56386l0,0">
                <v:stroke weight="0pt" endcap="flat" joinstyle="miter" miterlimit="10" on="false" color="#000000" opacity="0"/>
                <v:fill on="true" color="#000000"/>
              </v:shape>
              <v:shape id="Shape 342495" style="position:absolute;width:563;height:381;left:0;top:182;" coordsize="56388,38100" path="m0,0l56388,0l56388,38100l0,38100l0,0">
                <v:stroke weight="0pt" endcap="flat" joinstyle="miter" miterlimit="10" on="false" color="#000000" opacity="0"/>
                <v:fill on="true" color="#000000"/>
              </v:shape>
              <v:shape id="Shape 342496" style="position:absolute;width:91;height:182;left:381;top:0;" coordsize="9144,18286" path="m0,0l9144,0l9144,18286l0,18286l0,0">
                <v:stroke weight="0pt" endcap="flat" joinstyle="miter" miterlimit="10" on="false" color="#000000" opacity="0"/>
                <v:fill on="true" color="#ffffff"/>
              </v:shape>
              <v:shape id="Shape 342497" style="position:absolute;width:182;height:91;left:381;top:91;" coordsize="18288,9144" path="m0,0l18288,0l18288,9144l0,9144l0,0">
                <v:stroke weight="0pt" endcap="flat" joinstyle="miter" miterlimit="10" on="false" color="#000000" opacity="0"/>
                <v:fill on="true" color="#ffffff"/>
              </v:shape>
              <v:shape id="Shape 342498" style="position:absolute;width:91;height:91;left:472;top:0;" coordsize="9144,9144" path="m0,0l9144,0l9144,9144l0,9144l0,0">
                <v:stroke weight="0pt" endcap="flat" joinstyle="miter" miterlimit="10" on="false" color="#000000" opacity="0"/>
                <v:fill on="true" color="#000000"/>
              </v:shape>
              <v:shape id="Shape 342499" style="position:absolute;width:68397;height:381;left:563;top:182;" coordsize="6839712,38100" path="m0,0l6839712,0l6839712,38100l0,38100l0,0">
                <v:stroke weight="0pt" endcap="flat" joinstyle="miter" miterlimit="10" on="false" color="#000000" opacity="0"/>
                <v:fill on="true" color="#000000"/>
              </v:shape>
              <v:shape id="Shape 342500" style="position:absolute;width:68397;height:91;left:563;top:91;" coordsize="6839712,9144" path="m0,0l6839712,0l6839712,9144l0,9144l0,0">
                <v:stroke weight="0pt" endcap="flat" joinstyle="miter" miterlimit="10" on="false" color="#000000" opacity="0"/>
                <v:fill on="true" color="#ffffff"/>
              </v:shape>
              <v:shape id="Shape 342501" style="position:absolute;width:68397;height:91;left:563;top:0;" coordsize="6839712,9144" path="m0,0l6839712,0l6839712,9144l0,9144l0,0">
                <v:stroke weight="0pt" endcap="flat" joinstyle="miter" miterlimit="10" on="false" color="#000000" opacity="0"/>
                <v:fill on="true" color="#000000"/>
              </v:shape>
              <v:shape id="Shape 342502" style="position:absolute;width:381;height:563;left:69143;top:0;" coordsize="38100,56386" path="m0,0l38100,0l38100,56386l0,56386l0,0">
                <v:stroke weight="0pt" endcap="flat" joinstyle="miter" miterlimit="10" on="false" color="#000000" opacity="0"/>
                <v:fill on="true" color="#000000"/>
              </v:shape>
              <v:shape id="Shape 342503" style="position:absolute;width:563;height:381;left:68961;top:182;" coordsize="56388,38100" path="m0,0l56388,0l56388,38100l0,38100l0,0">
                <v:stroke weight="0pt" endcap="flat" joinstyle="miter" miterlimit="10" on="false" color="#000000" opacity="0"/>
                <v:fill on="true" color="#000000"/>
              </v:shape>
              <v:shape id="Shape 342504" style="position:absolute;width:91;height:182;left:69052;top:0;" coordsize="9144,18286" path="m0,0l9144,0l9144,18286l0,18286l0,0">
                <v:stroke weight="0pt" endcap="flat" joinstyle="miter" miterlimit="10" on="false" color="#000000" opacity="0"/>
                <v:fill on="true" color="#ffffff"/>
              </v:shape>
              <v:shape id="Shape 342505" style="position:absolute;width:182;height:91;left:68961;top:91;" coordsize="18288,9144" path="m0,0l18288,0l18288,9144l0,9144l0,0">
                <v:stroke weight="0pt" endcap="flat" joinstyle="miter" miterlimit="10" on="false" color="#000000" opacity="0"/>
                <v:fill on="true" color="#ffffff"/>
              </v:shape>
              <v:shape id="Shape 342506"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fldChar w:fldCharType="begin"/>
    </w:r>
    <w:r>
      <w:instrText xml:space="preserve"> PAGE   \* MERGEFORMAT </w:instrText>
    </w:r>
    <w:r>
      <w:fldChar w:fldCharType="separate"/>
    </w:r>
    <w:r w:rsidR="00E232E5" w:rsidRPr="00E232E5">
      <w:rPr>
        <w:rFonts w:ascii="Calibri" w:eastAsia="Calibri" w:hAnsi="Calibri" w:cs="Calibri"/>
        <w:noProof/>
        <w:sz w:val="22"/>
      </w:rPr>
      <w:t>4</w:t>
    </w:r>
    <w:r>
      <w:rPr>
        <w:rFonts w:ascii="Calibri" w:eastAsia="Calibri" w:hAnsi="Calibri" w:cs="Calibri"/>
        <w:sz w:val="22"/>
      </w:rPr>
      <w:fldChar w:fldCharType="end"/>
    </w:r>
  </w:p>
  <w:p w:rsidR="00270850" w:rsidRDefault="00270850">
    <w:pPr>
      <w:bidi w:val="0"/>
      <w:spacing w:after="0" w:line="259" w:lineRule="auto"/>
      <w:ind w:left="0" w:right="83"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850" w:rsidRDefault="00270850">
    <w:pPr>
      <w:bidi w:val="0"/>
      <w:spacing w:after="0" w:line="259" w:lineRule="auto"/>
      <w:ind w:left="0" w:right="127"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10332720</wp:posOffset>
              </wp:positionV>
              <wp:extent cx="6952488" cy="56387"/>
              <wp:effectExtent l="0" t="0" r="0" b="0"/>
              <wp:wrapSquare wrapText="bothSides"/>
              <wp:docPr id="163943" name="Group 163943"/>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342455" name="Shape 342455"/>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56" name="Shape 342456"/>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57" name="Shape 342457"/>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58" name="Shape 342458"/>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59" name="Shape 342459"/>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60" name="Shape 342460"/>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61" name="Shape 342461"/>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62" name="Shape 342462"/>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63" name="Shape 342463"/>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64" name="Shape 342464"/>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65" name="Shape 342465"/>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66" name="Shape 342466"/>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67" name="Shape 342467"/>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3943" style="width:547.44pt;height:4.43994pt;position:absolute;mso-position-horizontal-relative:page;mso-position-horizontal:absolute;margin-left:24pt;mso-position-vertical-relative:page;margin-top:813.6pt;" coordsize="69524,563">
              <v:shape id="Shape 342468" style="position:absolute;width:381;height:563;left:0;top:0;" coordsize="38100,56386" path="m0,0l38100,0l38100,56386l0,56386l0,0">
                <v:stroke weight="0pt" endcap="flat" joinstyle="miter" miterlimit="10" on="false" color="#000000" opacity="0"/>
                <v:fill on="true" color="#000000"/>
              </v:shape>
              <v:shape id="Shape 342469" style="position:absolute;width:563;height:381;left:0;top:182;" coordsize="56388,38100" path="m0,0l56388,0l56388,38100l0,38100l0,0">
                <v:stroke weight="0pt" endcap="flat" joinstyle="miter" miterlimit="10" on="false" color="#000000" opacity="0"/>
                <v:fill on="true" color="#000000"/>
              </v:shape>
              <v:shape id="Shape 342470" style="position:absolute;width:91;height:182;left:381;top:0;" coordsize="9144,18286" path="m0,0l9144,0l9144,18286l0,18286l0,0">
                <v:stroke weight="0pt" endcap="flat" joinstyle="miter" miterlimit="10" on="false" color="#000000" opacity="0"/>
                <v:fill on="true" color="#ffffff"/>
              </v:shape>
              <v:shape id="Shape 342471" style="position:absolute;width:182;height:91;left:381;top:91;" coordsize="18288,9144" path="m0,0l18288,0l18288,9144l0,9144l0,0">
                <v:stroke weight="0pt" endcap="flat" joinstyle="miter" miterlimit="10" on="false" color="#000000" opacity="0"/>
                <v:fill on="true" color="#ffffff"/>
              </v:shape>
              <v:shape id="Shape 342472" style="position:absolute;width:91;height:91;left:472;top:0;" coordsize="9144,9144" path="m0,0l9144,0l9144,9144l0,9144l0,0">
                <v:stroke weight="0pt" endcap="flat" joinstyle="miter" miterlimit="10" on="false" color="#000000" opacity="0"/>
                <v:fill on="true" color="#000000"/>
              </v:shape>
              <v:shape id="Shape 342473" style="position:absolute;width:68397;height:381;left:563;top:182;" coordsize="6839712,38100" path="m0,0l6839712,0l6839712,38100l0,38100l0,0">
                <v:stroke weight="0pt" endcap="flat" joinstyle="miter" miterlimit="10" on="false" color="#000000" opacity="0"/>
                <v:fill on="true" color="#000000"/>
              </v:shape>
              <v:shape id="Shape 342474" style="position:absolute;width:68397;height:91;left:563;top:91;" coordsize="6839712,9144" path="m0,0l6839712,0l6839712,9144l0,9144l0,0">
                <v:stroke weight="0pt" endcap="flat" joinstyle="miter" miterlimit="10" on="false" color="#000000" opacity="0"/>
                <v:fill on="true" color="#ffffff"/>
              </v:shape>
              <v:shape id="Shape 342475" style="position:absolute;width:68397;height:91;left:563;top:0;" coordsize="6839712,9144" path="m0,0l6839712,0l6839712,9144l0,9144l0,0">
                <v:stroke weight="0pt" endcap="flat" joinstyle="miter" miterlimit="10" on="false" color="#000000" opacity="0"/>
                <v:fill on="true" color="#000000"/>
              </v:shape>
              <v:shape id="Shape 342476" style="position:absolute;width:381;height:563;left:69143;top:0;" coordsize="38100,56386" path="m0,0l38100,0l38100,56386l0,56386l0,0">
                <v:stroke weight="0pt" endcap="flat" joinstyle="miter" miterlimit="10" on="false" color="#000000" opacity="0"/>
                <v:fill on="true" color="#000000"/>
              </v:shape>
              <v:shape id="Shape 342477" style="position:absolute;width:563;height:381;left:68961;top:182;" coordsize="56388,38100" path="m0,0l56388,0l56388,38100l0,38100l0,0">
                <v:stroke weight="0pt" endcap="flat" joinstyle="miter" miterlimit="10" on="false" color="#000000" opacity="0"/>
                <v:fill on="true" color="#000000"/>
              </v:shape>
              <v:shape id="Shape 342478" style="position:absolute;width:91;height:182;left:69052;top:0;" coordsize="9144,18286" path="m0,0l9144,0l9144,18286l0,18286l0,0">
                <v:stroke weight="0pt" endcap="flat" joinstyle="miter" miterlimit="10" on="false" color="#000000" opacity="0"/>
                <v:fill on="true" color="#ffffff"/>
              </v:shape>
              <v:shape id="Shape 342479" style="position:absolute;width:182;height:91;left:68961;top:91;" coordsize="18288,9144" path="m0,0l18288,0l18288,9144l0,9144l0,0">
                <v:stroke weight="0pt" endcap="flat" joinstyle="miter" miterlimit="10" on="false" color="#000000" opacity="0"/>
                <v:fill on="true" color="#ffffff"/>
              </v:shape>
              <v:shape id="Shape 342480"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rsidR="00270850" w:rsidRDefault="00270850">
    <w:pPr>
      <w:bidi w:val="0"/>
      <w:spacing w:after="0" w:line="259" w:lineRule="auto"/>
      <w:ind w:left="0" w:right="83"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A65" w:rsidRDefault="00F92A65">
      <w:pPr>
        <w:spacing w:after="0" w:line="240" w:lineRule="auto"/>
      </w:pPr>
      <w:r>
        <w:separator/>
      </w:r>
    </w:p>
  </w:footnote>
  <w:footnote w:type="continuationSeparator" w:id="0">
    <w:p w:rsidR="00F92A65" w:rsidRDefault="00F92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850" w:rsidRDefault="00270850">
    <w:pPr>
      <w:bidi w:val="0"/>
      <w:spacing w:after="0" w:line="259" w:lineRule="auto"/>
      <w:ind w:left="-1798" w:right="10638"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164013" name="Group 164013"/>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342417" name="Shape 342417"/>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18" name="Shape 342418"/>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19" name="Shape 342419"/>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20" name="Shape 342420"/>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21" name="Shape 342421"/>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22" name="Shape 342422"/>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23" name="Shape 342423"/>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24" name="Shape 342424"/>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25" name="Shape 342425"/>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26" name="Shape 342426"/>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27" name="Shape 342427"/>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28" name="Shape 342428"/>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29" name="Shape 342429"/>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4013" style="width:547.44pt;height:4.44pt;position:absolute;mso-position-horizontal-relative:page;mso-position-horizontal:absolute;margin-left:24pt;mso-position-vertical-relative:page;margin-top:24pt;" coordsize="69524,563">
              <v:shape id="Shape 342430" style="position:absolute;width:381;height:563;left:0;top:0;" coordsize="38100,56388" path="m0,0l38100,0l38100,56388l0,56388l0,0">
                <v:stroke weight="0pt" endcap="flat" joinstyle="miter" miterlimit="10" on="false" color="#000000" opacity="0"/>
                <v:fill on="true" color="#000000"/>
              </v:shape>
              <v:shape id="Shape 342431" style="position:absolute;width:563;height:381;left:0;top:0;" coordsize="56388,38100" path="m0,0l56388,0l56388,38100l0,38100l0,0">
                <v:stroke weight="0pt" endcap="flat" joinstyle="miter" miterlimit="10" on="false" color="#000000" opacity="0"/>
                <v:fill on="true" color="#000000"/>
              </v:shape>
              <v:shape id="Shape 342432" style="position:absolute;width:91;height:182;left:381;top:381;" coordsize="9144,18288" path="m0,0l9144,0l9144,18288l0,18288l0,0">
                <v:stroke weight="0pt" endcap="flat" joinstyle="miter" miterlimit="10" on="false" color="#000000" opacity="0"/>
                <v:fill on="true" color="#ffffff"/>
              </v:shape>
              <v:shape id="Shape 342433" style="position:absolute;width:182;height:91;left:381;top:381;" coordsize="18288,9144" path="m0,0l18288,0l18288,9144l0,9144l0,0">
                <v:stroke weight="0pt" endcap="flat" joinstyle="miter" miterlimit="10" on="false" color="#000000" opacity="0"/>
                <v:fill on="true" color="#ffffff"/>
              </v:shape>
              <v:shape id="Shape 342434" style="position:absolute;width:91;height:91;left:472;top:472;" coordsize="9144,9144" path="m0,0l9144,0l9144,9144l0,9144l0,0">
                <v:stroke weight="0pt" endcap="flat" joinstyle="miter" miterlimit="10" on="false" color="#000000" opacity="0"/>
                <v:fill on="true" color="#000000"/>
              </v:shape>
              <v:shape id="Shape 342435" style="position:absolute;width:68397;height:381;left:563;top:0;" coordsize="6839712,38100" path="m0,0l6839712,0l6839712,38100l0,38100l0,0">
                <v:stroke weight="0pt" endcap="flat" joinstyle="miter" miterlimit="10" on="false" color="#000000" opacity="0"/>
                <v:fill on="true" color="#000000"/>
              </v:shape>
              <v:shape id="Shape 342436" style="position:absolute;width:68397;height:91;left:563;top:381;" coordsize="6839712,9144" path="m0,0l6839712,0l6839712,9144l0,9144l0,0">
                <v:stroke weight="0pt" endcap="flat" joinstyle="miter" miterlimit="10" on="false" color="#000000" opacity="0"/>
                <v:fill on="true" color="#ffffff"/>
              </v:shape>
              <v:shape id="Shape 342437" style="position:absolute;width:68397;height:91;left:563;top:472;" coordsize="6839712,9144" path="m0,0l6839712,0l6839712,9144l0,9144l0,0">
                <v:stroke weight="0pt" endcap="flat" joinstyle="miter" miterlimit="10" on="false" color="#000000" opacity="0"/>
                <v:fill on="true" color="#000000"/>
              </v:shape>
              <v:shape id="Shape 342438" style="position:absolute;width:381;height:563;left:69143;top:0;" coordsize="38100,56388" path="m0,0l38100,0l38100,56388l0,56388l0,0">
                <v:stroke weight="0pt" endcap="flat" joinstyle="miter" miterlimit="10" on="false" color="#000000" opacity="0"/>
                <v:fill on="true" color="#000000"/>
              </v:shape>
              <v:shape id="Shape 342439" style="position:absolute;width:563;height:381;left:68961;top:0;" coordsize="56388,38100" path="m0,0l56388,0l56388,38100l0,38100l0,0">
                <v:stroke weight="0pt" endcap="flat" joinstyle="miter" miterlimit="10" on="false" color="#000000" opacity="0"/>
                <v:fill on="true" color="#000000"/>
              </v:shape>
              <v:shape id="Shape 342440" style="position:absolute;width:91;height:182;left:69052;top:381;" coordsize="9144,18288" path="m0,0l9144,0l9144,18288l0,18288l0,0">
                <v:stroke weight="0pt" endcap="flat" joinstyle="miter" miterlimit="10" on="false" color="#000000" opacity="0"/>
                <v:fill on="true" color="#ffffff"/>
              </v:shape>
              <v:shape id="Shape 342441" style="position:absolute;width:182;height:91;left:68961;top:381;" coordsize="18288,9144" path="m0,0l18288,0l18288,9144l0,9144l0,0">
                <v:stroke weight="0pt" endcap="flat" joinstyle="miter" miterlimit="10" on="false" color="#000000" opacity="0"/>
                <v:fill on="true" color="#ffffff"/>
              </v:shape>
              <v:shape id="Shape 342442"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rsidR="00270850" w:rsidRDefault="00270850">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164027" name="Group 164027"/>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342443" name="Shape 342443"/>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44" name="Shape 342444"/>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45" name="Shape 342445"/>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46" name="Shape 342446"/>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47" name="Shape 342447"/>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48" name="Shape 342448"/>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4027" style="width:547.44pt;height:785.16pt;position:absolute;z-index:-2147483648;mso-position-horizontal-relative:page;mso-position-horizontal:absolute;margin-left:24pt;mso-position-vertical-relative:page;margin-top:28.44pt;" coordsize="69524,99715">
              <v:shape id="Shape 342449" style="position:absolute;width:381;height:99715;left:0;top:0;" coordsize="38100,9971532" path="m0,0l38100,0l38100,9971532l0,9971532l0,0">
                <v:stroke weight="0pt" endcap="flat" joinstyle="miter" miterlimit="10" on="false" color="#000000" opacity="0"/>
                <v:fill on="true" color="#000000"/>
              </v:shape>
              <v:shape id="Shape 342450" style="position:absolute;width:91;height:99715;left:381;top:0;" coordsize="9144,9971532" path="m0,0l9144,0l9144,9971532l0,9971532l0,0">
                <v:stroke weight="0pt" endcap="flat" joinstyle="miter" miterlimit="10" on="false" color="#000000" opacity="0"/>
                <v:fill on="true" color="#ffffff"/>
              </v:shape>
              <v:shape id="Shape 342451" style="position:absolute;width:91;height:99715;left:472;top:0;" coordsize="9144,9971532" path="m0,0l9144,0l9144,9971532l0,9971532l0,0">
                <v:stroke weight="0pt" endcap="flat" joinstyle="miter" miterlimit="10" on="false" color="#000000" opacity="0"/>
                <v:fill on="true" color="#000000"/>
              </v:shape>
              <v:shape id="Shape 342452" style="position:absolute;width:381;height:99715;left:69143;top:0;" coordsize="38100,9971532" path="m0,0l38100,0l38100,9971532l0,9971532l0,0">
                <v:stroke weight="0pt" endcap="flat" joinstyle="miter" miterlimit="10" on="false" color="#000000" opacity="0"/>
                <v:fill on="true" color="#000000"/>
              </v:shape>
              <v:shape id="Shape 342453" style="position:absolute;width:91;height:99715;left:69052;top:0;" coordsize="9144,9971532" path="m0,0l9144,0l9144,9971532l0,9971532l0,0">
                <v:stroke weight="0pt" endcap="flat" joinstyle="miter" miterlimit="10" on="false" color="#000000" opacity="0"/>
                <v:fill on="true" color="#ffffff"/>
              </v:shape>
              <v:shape id="Shape 342454"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850" w:rsidRDefault="00270850">
    <w:pPr>
      <w:bidi w:val="0"/>
      <w:spacing w:after="0" w:line="259" w:lineRule="auto"/>
      <w:ind w:left="-1798" w:right="10638"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163964" name="Group 163964"/>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342379" name="Shape 342379"/>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80" name="Shape 342380"/>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81" name="Shape 342381"/>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382" name="Shape 342382"/>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383" name="Shape 342383"/>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84" name="Shape 342384"/>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85" name="Shape 342385"/>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386" name="Shape 342386"/>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87" name="Shape 342387"/>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88" name="Shape 342388"/>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89" name="Shape 342389"/>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390" name="Shape 342390"/>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391" name="Shape 342391"/>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3964" style="width:547.44pt;height:4.44pt;position:absolute;mso-position-horizontal-relative:page;mso-position-horizontal:absolute;margin-left:24pt;mso-position-vertical-relative:page;margin-top:24pt;" coordsize="69524,563">
              <v:shape id="Shape 342392" style="position:absolute;width:381;height:563;left:0;top:0;" coordsize="38100,56388" path="m0,0l38100,0l38100,56388l0,56388l0,0">
                <v:stroke weight="0pt" endcap="flat" joinstyle="miter" miterlimit="10" on="false" color="#000000" opacity="0"/>
                <v:fill on="true" color="#000000"/>
              </v:shape>
              <v:shape id="Shape 342393" style="position:absolute;width:563;height:381;left:0;top:0;" coordsize="56388,38100" path="m0,0l56388,0l56388,38100l0,38100l0,0">
                <v:stroke weight="0pt" endcap="flat" joinstyle="miter" miterlimit="10" on="false" color="#000000" opacity="0"/>
                <v:fill on="true" color="#000000"/>
              </v:shape>
              <v:shape id="Shape 342394" style="position:absolute;width:91;height:182;left:381;top:381;" coordsize="9144,18288" path="m0,0l9144,0l9144,18288l0,18288l0,0">
                <v:stroke weight="0pt" endcap="flat" joinstyle="miter" miterlimit="10" on="false" color="#000000" opacity="0"/>
                <v:fill on="true" color="#ffffff"/>
              </v:shape>
              <v:shape id="Shape 342395" style="position:absolute;width:182;height:91;left:381;top:381;" coordsize="18288,9144" path="m0,0l18288,0l18288,9144l0,9144l0,0">
                <v:stroke weight="0pt" endcap="flat" joinstyle="miter" miterlimit="10" on="false" color="#000000" opacity="0"/>
                <v:fill on="true" color="#ffffff"/>
              </v:shape>
              <v:shape id="Shape 342396" style="position:absolute;width:91;height:91;left:472;top:472;" coordsize="9144,9144" path="m0,0l9144,0l9144,9144l0,9144l0,0">
                <v:stroke weight="0pt" endcap="flat" joinstyle="miter" miterlimit="10" on="false" color="#000000" opacity="0"/>
                <v:fill on="true" color="#000000"/>
              </v:shape>
              <v:shape id="Shape 342397" style="position:absolute;width:68397;height:381;left:563;top:0;" coordsize="6839712,38100" path="m0,0l6839712,0l6839712,38100l0,38100l0,0">
                <v:stroke weight="0pt" endcap="flat" joinstyle="miter" miterlimit="10" on="false" color="#000000" opacity="0"/>
                <v:fill on="true" color="#000000"/>
              </v:shape>
              <v:shape id="Shape 342398" style="position:absolute;width:68397;height:91;left:563;top:381;" coordsize="6839712,9144" path="m0,0l6839712,0l6839712,9144l0,9144l0,0">
                <v:stroke weight="0pt" endcap="flat" joinstyle="miter" miterlimit="10" on="false" color="#000000" opacity="0"/>
                <v:fill on="true" color="#ffffff"/>
              </v:shape>
              <v:shape id="Shape 342399" style="position:absolute;width:68397;height:91;left:563;top:472;" coordsize="6839712,9144" path="m0,0l6839712,0l6839712,9144l0,9144l0,0">
                <v:stroke weight="0pt" endcap="flat" joinstyle="miter" miterlimit="10" on="false" color="#000000" opacity="0"/>
                <v:fill on="true" color="#000000"/>
              </v:shape>
              <v:shape id="Shape 342400" style="position:absolute;width:381;height:563;left:69143;top:0;" coordsize="38100,56388" path="m0,0l38100,0l38100,56388l0,56388l0,0">
                <v:stroke weight="0pt" endcap="flat" joinstyle="miter" miterlimit="10" on="false" color="#000000" opacity="0"/>
                <v:fill on="true" color="#000000"/>
              </v:shape>
              <v:shape id="Shape 342401" style="position:absolute;width:563;height:381;left:68961;top:0;" coordsize="56388,38100" path="m0,0l56388,0l56388,38100l0,38100l0,0">
                <v:stroke weight="0pt" endcap="flat" joinstyle="miter" miterlimit="10" on="false" color="#000000" opacity="0"/>
                <v:fill on="true" color="#000000"/>
              </v:shape>
              <v:shape id="Shape 342402" style="position:absolute;width:91;height:182;left:69052;top:381;" coordsize="9144,18288" path="m0,0l9144,0l9144,18288l0,18288l0,0">
                <v:stroke weight="0pt" endcap="flat" joinstyle="miter" miterlimit="10" on="false" color="#000000" opacity="0"/>
                <v:fill on="true" color="#ffffff"/>
              </v:shape>
              <v:shape id="Shape 342403" style="position:absolute;width:182;height:91;left:68961;top:381;" coordsize="18288,9144" path="m0,0l18288,0l18288,9144l0,9144l0,0">
                <v:stroke weight="0pt" endcap="flat" joinstyle="miter" miterlimit="10" on="false" color="#000000" opacity="0"/>
                <v:fill on="true" color="#ffffff"/>
              </v:shape>
              <v:shape id="Shape 342404"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rsidR="00270850" w:rsidRDefault="00270850">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163978" name="Group 163978"/>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342405" name="Shape 342405"/>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06" name="Shape 342406"/>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07" name="Shape 342407"/>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08" name="Shape 342408"/>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409" name="Shape 342409"/>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410" name="Shape 342410"/>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3978" style="width:547.44pt;height:785.16pt;position:absolute;z-index:-2147483648;mso-position-horizontal-relative:page;mso-position-horizontal:absolute;margin-left:24pt;mso-position-vertical-relative:page;margin-top:28.44pt;" coordsize="69524,99715">
              <v:shape id="Shape 342411" style="position:absolute;width:381;height:99715;left:0;top:0;" coordsize="38100,9971532" path="m0,0l38100,0l38100,9971532l0,9971532l0,0">
                <v:stroke weight="0pt" endcap="flat" joinstyle="miter" miterlimit="10" on="false" color="#000000" opacity="0"/>
                <v:fill on="true" color="#000000"/>
              </v:shape>
              <v:shape id="Shape 342412" style="position:absolute;width:91;height:99715;left:381;top:0;" coordsize="9144,9971532" path="m0,0l9144,0l9144,9971532l0,9971532l0,0">
                <v:stroke weight="0pt" endcap="flat" joinstyle="miter" miterlimit="10" on="false" color="#000000" opacity="0"/>
                <v:fill on="true" color="#ffffff"/>
              </v:shape>
              <v:shape id="Shape 342413" style="position:absolute;width:91;height:99715;left:472;top:0;" coordsize="9144,9971532" path="m0,0l9144,0l9144,9971532l0,9971532l0,0">
                <v:stroke weight="0pt" endcap="flat" joinstyle="miter" miterlimit="10" on="false" color="#000000" opacity="0"/>
                <v:fill on="true" color="#000000"/>
              </v:shape>
              <v:shape id="Shape 342414" style="position:absolute;width:381;height:99715;left:69143;top:0;" coordsize="38100,9971532" path="m0,0l38100,0l38100,9971532l0,9971532l0,0">
                <v:stroke weight="0pt" endcap="flat" joinstyle="miter" miterlimit="10" on="false" color="#000000" opacity="0"/>
                <v:fill on="true" color="#000000"/>
              </v:shape>
              <v:shape id="Shape 342415" style="position:absolute;width:91;height:99715;left:69052;top:0;" coordsize="9144,9971532" path="m0,0l9144,0l9144,9971532l0,9971532l0,0">
                <v:stroke weight="0pt" endcap="flat" joinstyle="miter" miterlimit="10" on="false" color="#000000" opacity="0"/>
                <v:fill on="true" color="#ffffff"/>
              </v:shape>
              <v:shape id="Shape 342416"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850" w:rsidRDefault="00270850">
    <w:pPr>
      <w:bidi w:val="0"/>
      <w:spacing w:after="0" w:line="259" w:lineRule="auto"/>
      <w:ind w:left="-1798" w:right="10638"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163915" name="Group 163915"/>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342341" name="Shape 342341"/>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42" name="Shape 342342"/>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43" name="Shape 342343"/>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344" name="Shape 342344"/>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345" name="Shape 342345"/>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46" name="Shape 342346"/>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47" name="Shape 342347"/>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348" name="Shape 342348"/>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49" name="Shape 342349"/>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50" name="Shape 342350"/>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51" name="Shape 342351"/>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352" name="Shape 342352"/>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353" name="Shape 342353"/>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3915" style="width:547.44pt;height:4.44pt;position:absolute;mso-position-horizontal-relative:page;mso-position-horizontal:absolute;margin-left:24pt;mso-position-vertical-relative:page;margin-top:24pt;" coordsize="69524,563">
              <v:shape id="Shape 342354" style="position:absolute;width:381;height:563;left:0;top:0;" coordsize="38100,56388" path="m0,0l38100,0l38100,56388l0,56388l0,0">
                <v:stroke weight="0pt" endcap="flat" joinstyle="miter" miterlimit="10" on="false" color="#000000" opacity="0"/>
                <v:fill on="true" color="#000000"/>
              </v:shape>
              <v:shape id="Shape 342355" style="position:absolute;width:563;height:381;left:0;top:0;" coordsize="56388,38100" path="m0,0l56388,0l56388,38100l0,38100l0,0">
                <v:stroke weight="0pt" endcap="flat" joinstyle="miter" miterlimit="10" on="false" color="#000000" opacity="0"/>
                <v:fill on="true" color="#000000"/>
              </v:shape>
              <v:shape id="Shape 342356" style="position:absolute;width:91;height:182;left:381;top:381;" coordsize="9144,18288" path="m0,0l9144,0l9144,18288l0,18288l0,0">
                <v:stroke weight="0pt" endcap="flat" joinstyle="miter" miterlimit="10" on="false" color="#000000" opacity="0"/>
                <v:fill on="true" color="#ffffff"/>
              </v:shape>
              <v:shape id="Shape 342357" style="position:absolute;width:182;height:91;left:381;top:381;" coordsize="18288,9144" path="m0,0l18288,0l18288,9144l0,9144l0,0">
                <v:stroke weight="0pt" endcap="flat" joinstyle="miter" miterlimit="10" on="false" color="#000000" opacity="0"/>
                <v:fill on="true" color="#ffffff"/>
              </v:shape>
              <v:shape id="Shape 342358" style="position:absolute;width:91;height:91;left:472;top:472;" coordsize="9144,9144" path="m0,0l9144,0l9144,9144l0,9144l0,0">
                <v:stroke weight="0pt" endcap="flat" joinstyle="miter" miterlimit="10" on="false" color="#000000" opacity="0"/>
                <v:fill on="true" color="#000000"/>
              </v:shape>
              <v:shape id="Shape 342359" style="position:absolute;width:68397;height:381;left:563;top:0;" coordsize="6839712,38100" path="m0,0l6839712,0l6839712,38100l0,38100l0,0">
                <v:stroke weight="0pt" endcap="flat" joinstyle="miter" miterlimit="10" on="false" color="#000000" opacity="0"/>
                <v:fill on="true" color="#000000"/>
              </v:shape>
              <v:shape id="Shape 342360" style="position:absolute;width:68397;height:91;left:563;top:381;" coordsize="6839712,9144" path="m0,0l6839712,0l6839712,9144l0,9144l0,0">
                <v:stroke weight="0pt" endcap="flat" joinstyle="miter" miterlimit="10" on="false" color="#000000" opacity="0"/>
                <v:fill on="true" color="#ffffff"/>
              </v:shape>
              <v:shape id="Shape 342361" style="position:absolute;width:68397;height:91;left:563;top:472;" coordsize="6839712,9144" path="m0,0l6839712,0l6839712,9144l0,9144l0,0">
                <v:stroke weight="0pt" endcap="flat" joinstyle="miter" miterlimit="10" on="false" color="#000000" opacity="0"/>
                <v:fill on="true" color="#000000"/>
              </v:shape>
              <v:shape id="Shape 342362" style="position:absolute;width:381;height:563;left:69143;top:0;" coordsize="38100,56388" path="m0,0l38100,0l38100,56388l0,56388l0,0">
                <v:stroke weight="0pt" endcap="flat" joinstyle="miter" miterlimit="10" on="false" color="#000000" opacity="0"/>
                <v:fill on="true" color="#000000"/>
              </v:shape>
              <v:shape id="Shape 342363" style="position:absolute;width:563;height:381;left:68961;top:0;" coordsize="56388,38100" path="m0,0l56388,0l56388,38100l0,38100l0,0">
                <v:stroke weight="0pt" endcap="flat" joinstyle="miter" miterlimit="10" on="false" color="#000000" opacity="0"/>
                <v:fill on="true" color="#000000"/>
              </v:shape>
              <v:shape id="Shape 342364" style="position:absolute;width:91;height:182;left:69052;top:381;" coordsize="9144,18288" path="m0,0l9144,0l9144,18288l0,18288l0,0">
                <v:stroke weight="0pt" endcap="flat" joinstyle="miter" miterlimit="10" on="false" color="#000000" opacity="0"/>
                <v:fill on="true" color="#ffffff"/>
              </v:shape>
              <v:shape id="Shape 342365" style="position:absolute;width:182;height:91;left:68961;top:381;" coordsize="18288,9144" path="m0,0l18288,0l18288,9144l0,9144l0,0">
                <v:stroke weight="0pt" endcap="flat" joinstyle="miter" miterlimit="10" on="false" color="#000000" opacity="0"/>
                <v:fill on="true" color="#ffffff"/>
              </v:shape>
              <v:shape id="Shape 342366"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rsidR="00270850" w:rsidRDefault="00270850">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163929" name="Group 163929"/>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342367" name="Shape 342367"/>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68" name="Shape 342368"/>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369" name="Shape 342369"/>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70" name="Shape 342370"/>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2371" name="Shape 342371"/>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372" name="Shape 342372"/>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3929" style="width:547.44pt;height:785.16pt;position:absolute;z-index:-2147483648;mso-position-horizontal-relative:page;mso-position-horizontal:absolute;margin-left:24pt;mso-position-vertical-relative:page;margin-top:28.44pt;" coordsize="69524,99715">
              <v:shape id="Shape 342373" style="position:absolute;width:381;height:99715;left:0;top:0;" coordsize="38100,9971532" path="m0,0l38100,0l38100,9971532l0,9971532l0,0">
                <v:stroke weight="0pt" endcap="flat" joinstyle="miter" miterlimit="10" on="false" color="#000000" opacity="0"/>
                <v:fill on="true" color="#000000"/>
              </v:shape>
              <v:shape id="Shape 342374" style="position:absolute;width:91;height:99715;left:381;top:0;" coordsize="9144,9971532" path="m0,0l9144,0l9144,9971532l0,9971532l0,0">
                <v:stroke weight="0pt" endcap="flat" joinstyle="miter" miterlimit="10" on="false" color="#000000" opacity="0"/>
                <v:fill on="true" color="#ffffff"/>
              </v:shape>
              <v:shape id="Shape 342375" style="position:absolute;width:91;height:99715;left:472;top:0;" coordsize="9144,9971532" path="m0,0l9144,0l9144,9971532l0,9971532l0,0">
                <v:stroke weight="0pt" endcap="flat" joinstyle="miter" miterlimit="10" on="false" color="#000000" opacity="0"/>
                <v:fill on="true" color="#000000"/>
              </v:shape>
              <v:shape id="Shape 342376" style="position:absolute;width:381;height:99715;left:69143;top:0;" coordsize="38100,9971532" path="m0,0l38100,0l38100,9971532l0,9971532l0,0">
                <v:stroke weight="0pt" endcap="flat" joinstyle="miter" miterlimit="10" on="false" color="#000000" opacity="0"/>
                <v:fill on="true" color="#000000"/>
              </v:shape>
              <v:shape id="Shape 342377" style="position:absolute;width:91;height:99715;left:69052;top:0;" coordsize="9144,9971532" path="m0,0l9144,0l9144,9971532l0,9971532l0,0">
                <v:stroke weight="0pt" endcap="flat" joinstyle="miter" miterlimit="10" on="false" color="#000000" opacity="0"/>
                <v:fill on="true" color="#ffffff"/>
              </v:shape>
              <v:shape id="Shape 342378"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6B7A"/>
    <w:multiLevelType w:val="hybridMultilevel"/>
    <w:tmpl w:val="D19A9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52630"/>
    <w:multiLevelType w:val="hybridMultilevel"/>
    <w:tmpl w:val="6D4A3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55EE6"/>
    <w:multiLevelType w:val="hybridMultilevel"/>
    <w:tmpl w:val="F2A2C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914E94"/>
    <w:multiLevelType w:val="hybridMultilevel"/>
    <w:tmpl w:val="7CE01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B40F80"/>
    <w:multiLevelType w:val="hybridMultilevel"/>
    <w:tmpl w:val="94DA0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0C664A"/>
    <w:multiLevelType w:val="hybridMultilevel"/>
    <w:tmpl w:val="FD402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8620F1"/>
    <w:multiLevelType w:val="hybridMultilevel"/>
    <w:tmpl w:val="0D501DF0"/>
    <w:lvl w:ilvl="0" w:tplc="DD48BFBE">
      <w:start w:val="21"/>
      <w:numFmt w:val="decimal"/>
      <w:lvlText w:val="%1"/>
      <w:lvlJc w:val="left"/>
      <w:pPr>
        <w:ind w:left="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083DCC">
      <w:start w:val="1"/>
      <w:numFmt w:val="lowerLetter"/>
      <w:lvlText w:val="%2"/>
      <w:lvlJc w:val="left"/>
      <w:pPr>
        <w:ind w:left="12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5027CAE">
      <w:start w:val="1"/>
      <w:numFmt w:val="lowerRoman"/>
      <w:lvlText w:val="%3"/>
      <w:lvlJc w:val="left"/>
      <w:pPr>
        <w:ind w:left="19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0826EC6">
      <w:start w:val="1"/>
      <w:numFmt w:val="decimal"/>
      <w:lvlText w:val="%4"/>
      <w:lvlJc w:val="left"/>
      <w:pPr>
        <w:ind w:left="26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18BB6A">
      <w:start w:val="1"/>
      <w:numFmt w:val="lowerLetter"/>
      <w:lvlText w:val="%5"/>
      <w:lvlJc w:val="left"/>
      <w:pPr>
        <w:ind w:left="33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158A602">
      <w:start w:val="1"/>
      <w:numFmt w:val="lowerRoman"/>
      <w:lvlText w:val="%6"/>
      <w:lvlJc w:val="left"/>
      <w:pPr>
        <w:ind w:left="40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B586A8C">
      <w:start w:val="1"/>
      <w:numFmt w:val="decimal"/>
      <w:lvlText w:val="%7"/>
      <w:lvlJc w:val="left"/>
      <w:pPr>
        <w:ind w:left="48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BD63840">
      <w:start w:val="1"/>
      <w:numFmt w:val="lowerLetter"/>
      <w:lvlText w:val="%8"/>
      <w:lvlJc w:val="left"/>
      <w:pPr>
        <w:ind w:left="55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CA813BA">
      <w:start w:val="1"/>
      <w:numFmt w:val="lowerRoman"/>
      <w:lvlText w:val="%9"/>
      <w:lvlJc w:val="left"/>
      <w:pPr>
        <w:ind w:left="62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D19763C"/>
    <w:multiLevelType w:val="hybridMultilevel"/>
    <w:tmpl w:val="96361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A749DB"/>
    <w:multiLevelType w:val="hybridMultilevel"/>
    <w:tmpl w:val="500EC1A8"/>
    <w:lvl w:ilvl="0" w:tplc="E4646932">
      <w:start w:val="1"/>
      <w:numFmt w:val="bullet"/>
      <w:lvlText w:val=""/>
      <w:lvlJc w:val="left"/>
      <w:pPr>
        <w:ind w:left="369"/>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34CCDDCE">
      <w:start w:val="1"/>
      <w:numFmt w:val="bullet"/>
      <w:lvlText w:val="➢"/>
      <w:lvlJc w:val="left"/>
      <w:pPr>
        <w:ind w:left="985"/>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E31C5BD6">
      <w:start w:val="1"/>
      <w:numFmt w:val="bullet"/>
      <w:lvlText w:val="▪"/>
      <w:lvlJc w:val="left"/>
      <w:pPr>
        <w:ind w:left="180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B656A63E">
      <w:start w:val="1"/>
      <w:numFmt w:val="bullet"/>
      <w:lvlText w:val="•"/>
      <w:lvlJc w:val="left"/>
      <w:pPr>
        <w:ind w:left="252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1D70BE5C">
      <w:start w:val="1"/>
      <w:numFmt w:val="bullet"/>
      <w:lvlText w:val="o"/>
      <w:lvlJc w:val="left"/>
      <w:pPr>
        <w:ind w:left="324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55A6393C">
      <w:start w:val="1"/>
      <w:numFmt w:val="bullet"/>
      <w:lvlText w:val="▪"/>
      <w:lvlJc w:val="left"/>
      <w:pPr>
        <w:ind w:left="396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14F08548">
      <w:start w:val="1"/>
      <w:numFmt w:val="bullet"/>
      <w:lvlText w:val="•"/>
      <w:lvlJc w:val="left"/>
      <w:pPr>
        <w:ind w:left="468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8910B9EE">
      <w:start w:val="1"/>
      <w:numFmt w:val="bullet"/>
      <w:lvlText w:val="o"/>
      <w:lvlJc w:val="left"/>
      <w:pPr>
        <w:ind w:left="540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8E72438C">
      <w:start w:val="1"/>
      <w:numFmt w:val="bullet"/>
      <w:lvlText w:val="▪"/>
      <w:lvlJc w:val="left"/>
      <w:pPr>
        <w:ind w:left="612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9" w15:restartNumberingAfterBreak="0">
    <w:nsid w:val="27A22620"/>
    <w:multiLevelType w:val="hybridMultilevel"/>
    <w:tmpl w:val="A2123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28782A"/>
    <w:multiLevelType w:val="hybridMultilevel"/>
    <w:tmpl w:val="800A7EBA"/>
    <w:lvl w:ilvl="0" w:tplc="20F6DFF4">
      <w:start w:val="1"/>
      <w:numFmt w:val="bullet"/>
      <w:lvlText w:val=""/>
      <w:lvlJc w:val="left"/>
      <w:pPr>
        <w:ind w:left="70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0D9C7792">
      <w:start w:val="1"/>
      <w:numFmt w:val="bullet"/>
      <w:lvlText w:val="o"/>
      <w:lvlJc w:val="left"/>
      <w:pPr>
        <w:ind w:left="111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94FAB522">
      <w:start w:val="1"/>
      <w:numFmt w:val="bullet"/>
      <w:lvlText w:val="▪"/>
      <w:lvlJc w:val="left"/>
      <w:pPr>
        <w:ind w:left="183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DDA3D90">
      <w:start w:val="1"/>
      <w:numFmt w:val="bullet"/>
      <w:lvlText w:val="•"/>
      <w:lvlJc w:val="left"/>
      <w:pPr>
        <w:ind w:left="255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51CA0E54">
      <w:start w:val="1"/>
      <w:numFmt w:val="bullet"/>
      <w:lvlText w:val="o"/>
      <w:lvlJc w:val="left"/>
      <w:pPr>
        <w:ind w:left="327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24D44124">
      <w:start w:val="1"/>
      <w:numFmt w:val="bullet"/>
      <w:lvlText w:val="▪"/>
      <w:lvlJc w:val="left"/>
      <w:pPr>
        <w:ind w:left="399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628AD388">
      <w:start w:val="1"/>
      <w:numFmt w:val="bullet"/>
      <w:lvlText w:val="•"/>
      <w:lvlJc w:val="left"/>
      <w:pPr>
        <w:ind w:left="471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891A41D0">
      <w:start w:val="1"/>
      <w:numFmt w:val="bullet"/>
      <w:lvlText w:val="o"/>
      <w:lvlJc w:val="left"/>
      <w:pPr>
        <w:ind w:left="543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4B1CE0EA">
      <w:start w:val="1"/>
      <w:numFmt w:val="bullet"/>
      <w:lvlText w:val="▪"/>
      <w:lvlJc w:val="left"/>
      <w:pPr>
        <w:ind w:left="615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4CB18E3"/>
    <w:multiLevelType w:val="hybridMultilevel"/>
    <w:tmpl w:val="C2502C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2713A2F"/>
    <w:multiLevelType w:val="hybridMultilevel"/>
    <w:tmpl w:val="ABFA04A0"/>
    <w:lvl w:ilvl="0" w:tplc="AC2206C0">
      <w:start w:val="1"/>
      <w:numFmt w:val="bullet"/>
      <w:lvlText w:val="➢"/>
      <w:lvlJc w:val="left"/>
      <w:pPr>
        <w:ind w:left="72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40CE6E36">
      <w:start w:val="1"/>
      <w:numFmt w:val="bullet"/>
      <w:lvlText w:val="o"/>
      <w:lvlJc w:val="left"/>
      <w:pPr>
        <w:ind w:left="14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9F6451EE">
      <w:start w:val="1"/>
      <w:numFmt w:val="bullet"/>
      <w:lvlText w:val="▪"/>
      <w:lvlJc w:val="left"/>
      <w:pPr>
        <w:ind w:left="215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79E6E264">
      <w:start w:val="1"/>
      <w:numFmt w:val="bullet"/>
      <w:lvlText w:val="•"/>
      <w:lvlJc w:val="left"/>
      <w:pPr>
        <w:ind w:left="287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D506F992">
      <w:start w:val="1"/>
      <w:numFmt w:val="bullet"/>
      <w:lvlText w:val="o"/>
      <w:lvlJc w:val="left"/>
      <w:pPr>
        <w:ind w:left="359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1D1C3D64">
      <w:start w:val="1"/>
      <w:numFmt w:val="bullet"/>
      <w:lvlText w:val="▪"/>
      <w:lvlJc w:val="left"/>
      <w:pPr>
        <w:ind w:left="431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7E7C0088">
      <w:start w:val="1"/>
      <w:numFmt w:val="bullet"/>
      <w:lvlText w:val="•"/>
      <w:lvlJc w:val="left"/>
      <w:pPr>
        <w:ind w:left="503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A62C9084">
      <w:start w:val="1"/>
      <w:numFmt w:val="bullet"/>
      <w:lvlText w:val="o"/>
      <w:lvlJc w:val="left"/>
      <w:pPr>
        <w:ind w:left="575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81DECA74">
      <w:start w:val="1"/>
      <w:numFmt w:val="bullet"/>
      <w:lvlText w:val="▪"/>
      <w:lvlJc w:val="left"/>
      <w:pPr>
        <w:ind w:left="647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13" w15:restartNumberingAfterBreak="0">
    <w:nsid w:val="571A5689"/>
    <w:multiLevelType w:val="hybridMultilevel"/>
    <w:tmpl w:val="FCC24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EC1D42"/>
    <w:multiLevelType w:val="hybridMultilevel"/>
    <w:tmpl w:val="3D9CE69E"/>
    <w:lvl w:ilvl="0" w:tplc="BB2ADE36">
      <w:start w:val="7"/>
      <w:numFmt w:val="decimal"/>
      <w:lvlText w:val="%1"/>
      <w:lvlJc w:val="left"/>
      <w:pPr>
        <w:ind w:left="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F10A144">
      <w:start w:val="1"/>
      <w:numFmt w:val="lowerLetter"/>
      <w:lvlText w:val="%2"/>
      <w:lvlJc w:val="left"/>
      <w:pPr>
        <w:ind w:left="12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AC0A1AA">
      <w:start w:val="1"/>
      <w:numFmt w:val="lowerRoman"/>
      <w:lvlText w:val="%3"/>
      <w:lvlJc w:val="left"/>
      <w:pPr>
        <w:ind w:left="19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E821FD4">
      <w:start w:val="1"/>
      <w:numFmt w:val="decimal"/>
      <w:lvlText w:val="%4"/>
      <w:lvlJc w:val="left"/>
      <w:pPr>
        <w:ind w:left="26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22854C">
      <w:start w:val="1"/>
      <w:numFmt w:val="lowerLetter"/>
      <w:lvlText w:val="%5"/>
      <w:lvlJc w:val="left"/>
      <w:pPr>
        <w:ind w:left="33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4205032">
      <w:start w:val="1"/>
      <w:numFmt w:val="lowerRoman"/>
      <w:lvlText w:val="%6"/>
      <w:lvlJc w:val="left"/>
      <w:pPr>
        <w:ind w:left="40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DCEB92C">
      <w:start w:val="1"/>
      <w:numFmt w:val="decimal"/>
      <w:lvlText w:val="%7"/>
      <w:lvlJc w:val="left"/>
      <w:pPr>
        <w:ind w:left="48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F00E9EE">
      <w:start w:val="1"/>
      <w:numFmt w:val="lowerLetter"/>
      <w:lvlText w:val="%8"/>
      <w:lvlJc w:val="left"/>
      <w:pPr>
        <w:ind w:left="55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324A296">
      <w:start w:val="1"/>
      <w:numFmt w:val="lowerRoman"/>
      <w:lvlText w:val="%9"/>
      <w:lvlJc w:val="left"/>
      <w:pPr>
        <w:ind w:left="62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A4E219A"/>
    <w:multiLevelType w:val="hybridMultilevel"/>
    <w:tmpl w:val="B1C41D0C"/>
    <w:lvl w:ilvl="0" w:tplc="CEE81A2C">
      <w:start w:val="1"/>
      <w:numFmt w:val="bullet"/>
      <w:lvlText w:val="•"/>
      <w:lvlJc w:val="left"/>
      <w:pPr>
        <w:ind w:left="726"/>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4E4E6DB4">
      <w:start w:val="1"/>
      <w:numFmt w:val="bullet"/>
      <w:lvlText w:val="o"/>
      <w:lvlJc w:val="left"/>
      <w:pPr>
        <w:ind w:left="143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FDA8B8B6">
      <w:start w:val="1"/>
      <w:numFmt w:val="bullet"/>
      <w:lvlText w:val="▪"/>
      <w:lvlJc w:val="left"/>
      <w:pPr>
        <w:ind w:left="215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A2A29776">
      <w:start w:val="1"/>
      <w:numFmt w:val="bullet"/>
      <w:lvlText w:val="•"/>
      <w:lvlJc w:val="left"/>
      <w:pPr>
        <w:ind w:left="2879"/>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274847AC">
      <w:start w:val="1"/>
      <w:numFmt w:val="bullet"/>
      <w:lvlText w:val="o"/>
      <w:lvlJc w:val="left"/>
      <w:pPr>
        <w:ind w:left="359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20B2AC0E">
      <w:start w:val="1"/>
      <w:numFmt w:val="bullet"/>
      <w:lvlText w:val="▪"/>
      <w:lvlJc w:val="left"/>
      <w:pPr>
        <w:ind w:left="431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3CD62A8E">
      <w:start w:val="1"/>
      <w:numFmt w:val="bullet"/>
      <w:lvlText w:val="•"/>
      <w:lvlJc w:val="left"/>
      <w:pPr>
        <w:ind w:left="5039"/>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D68C626E">
      <w:start w:val="1"/>
      <w:numFmt w:val="bullet"/>
      <w:lvlText w:val="o"/>
      <w:lvlJc w:val="left"/>
      <w:pPr>
        <w:ind w:left="575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85D483FA">
      <w:start w:val="1"/>
      <w:numFmt w:val="bullet"/>
      <w:lvlText w:val="▪"/>
      <w:lvlJc w:val="left"/>
      <w:pPr>
        <w:ind w:left="647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16" w15:restartNumberingAfterBreak="0">
    <w:nsid w:val="5FAE6B01"/>
    <w:multiLevelType w:val="hybridMultilevel"/>
    <w:tmpl w:val="8FE01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666F01"/>
    <w:multiLevelType w:val="hybridMultilevel"/>
    <w:tmpl w:val="93B4D56E"/>
    <w:lvl w:ilvl="0" w:tplc="5C6878AE">
      <w:start w:val="17"/>
      <w:numFmt w:val="decimal"/>
      <w:lvlText w:val="%1"/>
      <w:lvlJc w:val="left"/>
      <w:pPr>
        <w:ind w:left="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1E5A9A">
      <w:start w:val="1"/>
      <w:numFmt w:val="lowerLetter"/>
      <w:lvlText w:val="%2"/>
      <w:lvlJc w:val="left"/>
      <w:pPr>
        <w:ind w:left="12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8188B06">
      <w:start w:val="1"/>
      <w:numFmt w:val="lowerRoman"/>
      <w:lvlText w:val="%3"/>
      <w:lvlJc w:val="left"/>
      <w:pPr>
        <w:ind w:left="19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076C7D4">
      <w:start w:val="1"/>
      <w:numFmt w:val="decimal"/>
      <w:lvlText w:val="%4"/>
      <w:lvlJc w:val="left"/>
      <w:pPr>
        <w:ind w:left="26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E1AB94A">
      <w:start w:val="1"/>
      <w:numFmt w:val="lowerLetter"/>
      <w:lvlText w:val="%5"/>
      <w:lvlJc w:val="left"/>
      <w:pPr>
        <w:ind w:left="33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44849FE">
      <w:start w:val="1"/>
      <w:numFmt w:val="lowerRoman"/>
      <w:lvlText w:val="%6"/>
      <w:lvlJc w:val="left"/>
      <w:pPr>
        <w:ind w:left="40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A98936E">
      <w:start w:val="1"/>
      <w:numFmt w:val="decimal"/>
      <w:lvlText w:val="%7"/>
      <w:lvlJc w:val="left"/>
      <w:pPr>
        <w:ind w:left="48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A65BDA">
      <w:start w:val="1"/>
      <w:numFmt w:val="lowerLetter"/>
      <w:lvlText w:val="%8"/>
      <w:lvlJc w:val="left"/>
      <w:pPr>
        <w:ind w:left="55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764B2C2">
      <w:start w:val="1"/>
      <w:numFmt w:val="lowerRoman"/>
      <w:lvlText w:val="%9"/>
      <w:lvlJc w:val="left"/>
      <w:pPr>
        <w:ind w:left="62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4"/>
  </w:num>
  <w:num w:numId="2">
    <w:abstractNumId w:val="17"/>
  </w:num>
  <w:num w:numId="3">
    <w:abstractNumId w:val="6"/>
  </w:num>
  <w:num w:numId="4">
    <w:abstractNumId w:val="8"/>
  </w:num>
  <w:num w:numId="5">
    <w:abstractNumId w:val="15"/>
  </w:num>
  <w:num w:numId="6">
    <w:abstractNumId w:val="12"/>
  </w:num>
  <w:num w:numId="7">
    <w:abstractNumId w:val="10"/>
  </w:num>
  <w:num w:numId="8">
    <w:abstractNumId w:val="4"/>
  </w:num>
  <w:num w:numId="9">
    <w:abstractNumId w:val="5"/>
  </w:num>
  <w:num w:numId="10">
    <w:abstractNumId w:val="16"/>
  </w:num>
  <w:num w:numId="11">
    <w:abstractNumId w:val="0"/>
  </w:num>
  <w:num w:numId="12">
    <w:abstractNumId w:val="7"/>
  </w:num>
  <w:num w:numId="13">
    <w:abstractNumId w:val="11"/>
  </w:num>
  <w:num w:numId="14">
    <w:abstractNumId w:val="3"/>
  </w:num>
  <w:num w:numId="15">
    <w:abstractNumId w:val="9"/>
  </w:num>
  <w:num w:numId="16">
    <w:abstractNumId w:val="1"/>
  </w:num>
  <w:num w:numId="17">
    <w:abstractNumId w:val="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DBC"/>
    <w:rsid w:val="000942A3"/>
    <w:rsid w:val="000B2DBC"/>
    <w:rsid w:val="0020543F"/>
    <w:rsid w:val="00270850"/>
    <w:rsid w:val="003B6D0C"/>
    <w:rsid w:val="005525F6"/>
    <w:rsid w:val="00795130"/>
    <w:rsid w:val="00C0778B"/>
    <w:rsid w:val="00E232E5"/>
    <w:rsid w:val="00E23657"/>
    <w:rsid w:val="00F92A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3A7FE"/>
  <w15:docId w15:val="{E8C670BC-8137-4A0A-8219-05F0AF98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spacing w:after="5" w:line="367" w:lineRule="auto"/>
      <w:ind w:left="1" w:right="5" w:hanging="1"/>
      <w:jc w:val="right"/>
    </w:pPr>
    <w:rPr>
      <w:rFonts w:ascii="Simplified Arabic" w:eastAsia="Simplified Arabic" w:hAnsi="Simplified Arabic" w:cs="Simplified Arabic"/>
      <w:color w:val="000000"/>
      <w:sz w:val="28"/>
    </w:rPr>
  </w:style>
  <w:style w:type="paragraph" w:styleId="Heading1">
    <w:name w:val="heading 1"/>
    <w:next w:val="Normal"/>
    <w:link w:val="Heading1Char"/>
    <w:uiPriority w:val="9"/>
    <w:unhideWhenUsed/>
    <w:qFormat/>
    <w:pPr>
      <w:keepNext/>
      <w:keepLines/>
      <w:spacing w:after="426"/>
      <w:ind w:right="2"/>
      <w:jc w:val="right"/>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795130"/>
    <w:pPr>
      <w:spacing w:before="240" w:after="0"/>
      <w:ind w:right="0"/>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270850"/>
    <w:pPr>
      <w:spacing w:after="100"/>
      <w:ind w:left="0"/>
    </w:pPr>
  </w:style>
  <w:style w:type="character" w:styleId="Hyperlink">
    <w:name w:val="Hyperlink"/>
    <w:basedOn w:val="DefaultParagraphFont"/>
    <w:uiPriority w:val="99"/>
    <w:unhideWhenUsed/>
    <w:rsid w:val="002708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9044909">
      <w:bodyDiv w:val="1"/>
      <w:marLeft w:val="0"/>
      <w:marRight w:val="0"/>
      <w:marTop w:val="0"/>
      <w:marBottom w:val="0"/>
      <w:divBdr>
        <w:top w:val="none" w:sz="0" w:space="0" w:color="auto"/>
        <w:left w:val="none" w:sz="0" w:space="0" w:color="auto"/>
        <w:bottom w:val="none" w:sz="0" w:space="0" w:color="auto"/>
        <w:right w:val="none" w:sz="0" w:space="0" w:color="auto"/>
      </w:divBdr>
      <w:divsChild>
        <w:div w:id="1472357463">
          <w:marLeft w:val="0"/>
          <w:marRight w:val="0"/>
          <w:marTop w:val="0"/>
          <w:marBottom w:val="0"/>
          <w:divBdr>
            <w:top w:val="none" w:sz="0" w:space="0" w:color="auto"/>
            <w:left w:val="none" w:sz="0" w:space="0" w:color="auto"/>
            <w:bottom w:val="none" w:sz="0" w:space="0" w:color="auto"/>
            <w:right w:val="none" w:sz="0" w:space="0" w:color="auto"/>
          </w:divBdr>
          <w:divsChild>
            <w:div w:id="37048872">
              <w:marLeft w:val="0"/>
              <w:marRight w:val="0"/>
              <w:marTop w:val="0"/>
              <w:marBottom w:val="0"/>
              <w:divBdr>
                <w:top w:val="none" w:sz="0" w:space="0" w:color="auto"/>
                <w:left w:val="none" w:sz="0" w:space="0" w:color="auto"/>
                <w:bottom w:val="none" w:sz="0" w:space="0" w:color="auto"/>
                <w:right w:val="none" w:sz="0" w:space="0" w:color="auto"/>
              </w:divBdr>
              <w:divsChild>
                <w:div w:id="644697173">
                  <w:marLeft w:val="0"/>
                  <w:marRight w:val="0"/>
                  <w:marTop w:val="0"/>
                  <w:marBottom w:val="0"/>
                  <w:divBdr>
                    <w:top w:val="none" w:sz="0" w:space="0" w:color="auto"/>
                    <w:left w:val="none" w:sz="0" w:space="0" w:color="auto"/>
                    <w:bottom w:val="none" w:sz="0" w:space="0" w:color="auto"/>
                    <w:right w:val="none" w:sz="0" w:space="0" w:color="auto"/>
                  </w:divBdr>
                  <w:divsChild>
                    <w:div w:id="1734504810">
                      <w:marLeft w:val="0"/>
                      <w:marRight w:val="0"/>
                      <w:marTop w:val="0"/>
                      <w:marBottom w:val="0"/>
                      <w:divBdr>
                        <w:top w:val="none" w:sz="0" w:space="0" w:color="auto"/>
                        <w:left w:val="none" w:sz="0" w:space="0" w:color="auto"/>
                        <w:bottom w:val="none" w:sz="0" w:space="0" w:color="auto"/>
                        <w:right w:val="none" w:sz="0" w:space="0" w:color="auto"/>
                      </w:divBdr>
                      <w:divsChild>
                        <w:div w:id="129054403">
                          <w:marLeft w:val="0"/>
                          <w:marRight w:val="0"/>
                          <w:marTop w:val="0"/>
                          <w:marBottom w:val="0"/>
                          <w:divBdr>
                            <w:top w:val="none" w:sz="0" w:space="0" w:color="auto"/>
                            <w:left w:val="none" w:sz="0" w:space="0" w:color="auto"/>
                            <w:bottom w:val="none" w:sz="0" w:space="0" w:color="auto"/>
                            <w:right w:val="none" w:sz="0" w:space="0" w:color="auto"/>
                          </w:divBdr>
                          <w:divsChild>
                            <w:div w:id="13136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56238/isevmjv3n5-008" TargetMode="External"/><Relationship Id="rId18" Type="http://schemas.openxmlformats.org/officeDocument/2006/relationships/hyperlink" Target="https://doi.org/10.56238/isevmjv3n5-008" TargetMode="External"/><Relationship Id="rId26" Type="http://schemas.openxmlformats.org/officeDocument/2006/relationships/hyperlink" Target="https://doi.org/10.6007/ijarbss/v14-i12/23215" TargetMode="External"/><Relationship Id="rId39" Type="http://schemas.openxmlformats.org/officeDocument/2006/relationships/hyperlink" Target="https://doi.org/10.1108/jbs-05-2023-0108" TargetMode="External"/><Relationship Id="rId21" Type="http://schemas.openxmlformats.org/officeDocument/2006/relationships/hyperlink" Target="https://doi.org/10.51594/" TargetMode="External"/><Relationship Id="rId34" Type="http://schemas.openxmlformats.org/officeDocument/2006/relationships/hyperlink" Target="https://doi.org/10.1108/jbs-05-2023-0108" TargetMode="External"/><Relationship Id="rId42" Type="http://schemas.openxmlformats.org/officeDocument/2006/relationships/hyperlink" Target="https://doi.org/10.1007/978-3-031-54053-0_19" TargetMode="External"/><Relationship Id="rId47" Type="http://schemas.openxmlformats.org/officeDocument/2006/relationships/hyperlink" Target="https://doi.org/10.1007/978-3-031-54053-0_19" TargetMode="External"/><Relationship Id="rId50" Type="http://schemas.openxmlformats.org/officeDocument/2006/relationships/image" Target="media/image2.jpg"/><Relationship Id="rId55"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56238/isevmjv3n5-008" TargetMode="External"/><Relationship Id="rId29" Type="http://schemas.openxmlformats.org/officeDocument/2006/relationships/hyperlink" Target="https://doi.org/10.21275/sr241029123602" TargetMode="External"/><Relationship Id="rId11" Type="http://schemas.openxmlformats.org/officeDocument/2006/relationships/hyperlink" Target="https://doi.org/10.56238/isevmjv3n5-008" TargetMode="External"/><Relationship Id="rId24" Type="http://schemas.openxmlformats.org/officeDocument/2006/relationships/hyperlink" Target="https://doi.org/10.3390/jtaer19040159" TargetMode="External"/><Relationship Id="rId32" Type="http://schemas.openxmlformats.org/officeDocument/2006/relationships/hyperlink" Target="https://doi.org/10.1108/jbs-05-2023-0108" TargetMode="External"/><Relationship Id="rId37" Type="http://schemas.openxmlformats.org/officeDocument/2006/relationships/hyperlink" Target="https://doi.org/10.1108/jbs-05-2023-0108" TargetMode="External"/><Relationship Id="rId40" Type="http://schemas.openxmlformats.org/officeDocument/2006/relationships/hyperlink" Target="https://doi.org/10.1007/978-3-031-54053-0_19" TargetMode="External"/><Relationship Id="rId45" Type="http://schemas.openxmlformats.org/officeDocument/2006/relationships/hyperlink" Target="https://doi.org/10.1007/978-3-031-54053-0_19"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doi.org/10.14311/bit.2024.02.06" TargetMode="External"/><Relationship Id="rId4" Type="http://schemas.openxmlformats.org/officeDocument/2006/relationships/settings" Target="settings.xml"/><Relationship Id="rId9" Type="http://schemas.openxmlformats.org/officeDocument/2006/relationships/hyperlink" Target="https://doi.org/10.3390/buildings13081898" TargetMode="External"/><Relationship Id="rId14" Type="http://schemas.openxmlformats.org/officeDocument/2006/relationships/hyperlink" Target="https://doi.org/10.56238/isevmjv3n5-008" TargetMode="External"/><Relationship Id="rId22" Type="http://schemas.openxmlformats.org/officeDocument/2006/relationships/hyperlink" Target="https://doi.org/10.51594/" TargetMode="External"/><Relationship Id="rId27" Type="http://schemas.openxmlformats.org/officeDocument/2006/relationships/hyperlink" Target="https://doi.org/10.6007/ijarbss/v14-i12/23215" TargetMode="External"/><Relationship Id="rId30" Type="http://schemas.openxmlformats.org/officeDocument/2006/relationships/hyperlink" Target="https://doi.org/10.21275/sr241029123602" TargetMode="External"/><Relationship Id="rId35" Type="http://schemas.openxmlformats.org/officeDocument/2006/relationships/hyperlink" Target="https://doi.org/10.1108/jbs-05-2023-0108" TargetMode="External"/><Relationship Id="rId43" Type="http://schemas.openxmlformats.org/officeDocument/2006/relationships/hyperlink" Target="https://doi.org/10.1007/978-3-031-54053-0_19" TargetMode="External"/><Relationship Id="rId48" Type="http://schemas.openxmlformats.org/officeDocument/2006/relationships/hyperlink" Target="https://doi.org/10.1007/978-3-031-54053-0_19" TargetMode="External"/><Relationship Id="rId56" Type="http://schemas.openxmlformats.org/officeDocument/2006/relationships/footer" Target="footer3.xml"/><Relationship Id="rId8" Type="http://schemas.openxmlformats.org/officeDocument/2006/relationships/image" Target="media/image1.jp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doi.org/10.56238/isevmjv3n5-008" TargetMode="External"/><Relationship Id="rId17" Type="http://schemas.openxmlformats.org/officeDocument/2006/relationships/hyperlink" Target="https://doi.org/10.56238/isevmjv3n5-008" TargetMode="External"/><Relationship Id="rId25" Type="http://schemas.openxmlformats.org/officeDocument/2006/relationships/hyperlink" Target="https://doi.org/10.6007/ijarbss/v14-i12/23215" TargetMode="External"/><Relationship Id="rId33" Type="http://schemas.openxmlformats.org/officeDocument/2006/relationships/hyperlink" Target="https://doi.org/10.1108/jbs-05-2023-0108" TargetMode="External"/><Relationship Id="rId38" Type="http://schemas.openxmlformats.org/officeDocument/2006/relationships/hyperlink" Target="https://doi.org/10.1108/jbs-05-2023-0108" TargetMode="External"/><Relationship Id="rId46" Type="http://schemas.openxmlformats.org/officeDocument/2006/relationships/hyperlink" Target="https://doi.org/10.1007/978-3-031-54053-0_19" TargetMode="External"/><Relationship Id="rId20" Type="http://schemas.openxmlformats.org/officeDocument/2006/relationships/hyperlink" Target="https://doi.org/10.14311/bit.2024.02.06" TargetMode="External"/><Relationship Id="rId41" Type="http://schemas.openxmlformats.org/officeDocument/2006/relationships/hyperlink" Target="https://doi.org/10.1007/978-3-031-54053-0_19"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56238/isevmjv3n5-008" TargetMode="External"/><Relationship Id="rId23" Type="http://schemas.openxmlformats.org/officeDocument/2006/relationships/hyperlink" Target="https://doi.org/10.3390/jtaer19040159" TargetMode="External"/><Relationship Id="rId28" Type="http://schemas.openxmlformats.org/officeDocument/2006/relationships/hyperlink" Target="https://doi.org/10.6007/ijarbss/v14-i12/23215" TargetMode="External"/><Relationship Id="rId36" Type="http://schemas.openxmlformats.org/officeDocument/2006/relationships/hyperlink" Target="https://doi.org/10.1108/jbs-05-2023-0108" TargetMode="External"/><Relationship Id="rId49" Type="http://schemas.openxmlformats.org/officeDocument/2006/relationships/hyperlink" Target="https://doi.org/10.1007/978-3-031-54053-0_19" TargetMode="External"/><Relationship Id="rId57" Type="http://schemas.openxmlformats.org/officeDocument/2006/relationships/fontTable" Target="fontTable.xml"/><Relationship Id="rId10" Type="http://schemas.openxmlformats.org/officeDocument/2006/relationships/hyperlink" Target="https://doi.org/10.3390/buildings13081898" TargetMode="External"/><Relationship Id="rId31" Type="http://schemas.openxmlformats.org/officeDocument/2006/relationships/hyperlink" Target="https://doi.org/10.21275/sr241029123602" TargetMode="External"/><Relationship Id="rId44" Type="http://schemas.openxmlformats.org/officeDocument/2006/relationships/hyperlink" Target="https://doi.org/10.1007/978-3-031-54053-0_19" TargetMode="External"/><Relationship Id="rId5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BACEA-E27F-4E04-A86F-43FBC1886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5085</Words>
  <Characters>28987</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Domain</cp:lastModifiedBy>
  <cp:revision>3</cp:revision>
  <cp:lastPrinted>2025-09-06T12:24:00Z</cp:lastPrinted>
  <dcterms:created xsi:type="dcterms:W3CDTF">2025-09-06T12:23:00Z</dcterms:created>
  <dcterms:modified xsi:type="dcterms:W3CDTF">2025-09-06T12:24:00Z</dcterms:modified>
</cp:coreProperties>
</file>