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45EEC" w14:textId="77777777" w:rsidR="00C07F58" w:rsidRPr="00FC62C6" w:rsidRDefault="00264677" w:rsidP="0054309A">
      <w:pPr>
        <w:bidi/>
        <w:spacing w:line="240" w:lineRule="auto"/>
        <w:jc w:val="both"/>
        <w:rPr>
          <w:rFonts w:ascii="Sakkal Majalla" w:hAnsi="Sakkal Majalla" w:cs="Sakkal Majalla"/>
          <w:b/>
          <w:bCs/>
          <w:color w:val="548DD4" w:themeColor="text2" w:themeTint="99"/>
          <w:sz w:val="28"/>
          <w:szCs w:val="28"/>
        </w:rPr>
      </w:pPr>
      <w:r w:rsidRPr="00FC62C6">
        <w:rPr>
          <w:rFonts w:ascii="Sakkal Majalla" w:hAnsi="Sakkal Majalla" w:cs="Sakkal Majalla"/>
          <w:b/>
          <w:noProof/>
          <w:sz w:val="28"/>
          <w:szCs w:val="28"/>
        </w:rPr>
        <w:drawing>
          <wp:anchor distT="0" distB="0" distL="114300" distR="114300" simplePos="0" relativeHeight="251659776" behindDoc="0" locked="0" layoutInCell="1" allowOverlap="1" wp14:anchorId="20E6F61A" wp14:editId="717789D8">
            <wp:simplePos x="0" y="0"/>
            <wp:positionH relativeFrom="margin">
              <wp:posOffset>-198120</wp:posOffset>
            </wp:positionH>
            <wp:positionV relativeFrom="margin">
              <wp:posOffset>-342900</wp:posOffset>
            </wp:positionV>
            <wp:extent cx="1684020" cy="76454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4020" cy="764540"/>
                    </a:xfrm>
                    <a:prstGeom prst="rect">
                      <a:avLst/>
                    </a:prstGeom>
                  </pic:spPr>
                </pic:pic>
              </a:graphicData>
            </a:graphic>
            <wp14:sizeRelH relativeFrom="margin">
              <wp14:pctWidth>0</wp14:pctWidth>
            </wp14:sizeRelH>
            <wp14:sizeRelV relativeFrom="margin">
              <wp14:pctHeight>0</wp14:pctHeight>
            </wp14:sizeRelV>
          </wp:anchor>
        </w:drawing>
      </w:r>
    </w:p>
    <w:p w14:paraId="666A3256" w14:textId="77777777" w:rsidR="00C07F58" w:rsidRPr="00A572F9" w:rsidRDefault="000B28C7" w:rsidP="000B28C7">
      <w:pPr>
        <w:spacing w:line="360" w:lineRule="auto"/>
        <w:jc w:val="right"/>
        <w:rPr>
          <w:rFonts w:ascii="Simplified Arabic" w:hAnsi="Simplified Arabic" w:cs="Simplified Arabic"/>
          <w:b/>
          <w:bCs/>
          <w:sz w:val="28"/>
          <w:szCs w:val="28"/>
          <w:rtl/>
        </w:rPr>
      </w:pPr>
      <w:r w:rsidRPr="00FC62C6">
        <w:rPr>
          <w:rFonts w:ascii="Sakkal Majalla" w:hAnsi="Sakkal Majalla" w:cs="Sakkal Majalla"/>
          <w:b/>
          <w:bCs/>
          <w:sz w:val="28"/>
          <w:szCs w:val="28"/>
          <w:rtl/>
        </w:rPr>
        <w:t>جامعة ميداوشن</w:t>
      </w:r>
    </w:p>
    <w:p w14:paraId="131A0CB3" w14:textId="77777777" w:rsidR="00540C9A" w:rsidRPr="00A572F9" w:rsidRDefault="00540C9A" w:rsidP="00540C9A">
      <w:pPr>
        <w:spacing w:line="360" w:lineRule="auto"/>
        <w:jc w:val="center"/>
        <w:rPr>
          <w:rFonts w:ascii="Simplified Arabic" w:hAnsi="Simplified Arabic" w:cs="Simplified Arabic"/>
          <w:b/>
          <w:bCs/>
          <w:sz w:val="28"/>
          <w:szCs w:val="28"/>
        </w:rPr>
      </w:pPr>
      <w:r w:rsidRPr="00A572F9">
        <w:rPr>
          <w:rFonts w:ascii="Simplified Arabic" w:hAnsi="Simplified Arabic" w:cs="Simplified Arabic"/>
          <w:b/>
          <w:bCs/>
          <w:sz w:val="28"/>
          <w:szCs w:val="28"/>
          <w:rtl/>
        </w:rPr>
        <w:t xml:space="preserve"> أطروحة درجة الدكتوراة بالإدارة</w:t>
      </w:r>
    </w:p>
    <w:p w14:paraId="6965E161" w14:textId="77777777" w:rsidR="002B27CA" w:rsidRDefault="002B27CA" w:rsidP="00AF486B">
      <w:pPr>
        <w:bidi/>
        <w:spacing w:line="360" w:lineRule="auto"/>
        <w:jc w:val="both"/>
        <w:rPr>
          <w:rFonts w:asciiTheme="majorBidi" w:hAnsiTheme="majorBidi" w:cstheme="majorBidi"/>
          <w:b/>
          <w:bCs/>
          <w:sz w:val="28"/>
          <w:szCs w:val="28"/>
          <w:rtl/>
        </w:rPr>
      </w:pPr>
      <w:r>
        <w:rPr>
          <w:rFonts w:ascii="Simplified Arabic" w:eastAsia="Simplified Arabic" w:hAnsi="Simplified Arabic" w:cs="Simplified Arabic"/>
          <w:b/>
          <w:sz w:val="28"/>
          <w:rtl/>
        </w:rPr>
        <w:t>أثر القيادة التحويلية في التقليل المُدرَك للأحداث الضارة من خلال ثقافة وسلوكيات السلامة في مستشفيات القطاع الحكومي: دراسة ميدانية في منطقة الجوف</w:t>
      </w:r>
    </w:p>
    <w:p w14:paraId="0484227B" w14:textId="77777777" w:rsidR="002B27CA" w:rsidRDefault="002B27CA" w:rsidP="00A572F9">
      <w:pPr>
        <w:spacing w:line="360" w:lineRule="auto"/>
        <w:jc w:val="both"/>
        <w:rPr>
          <w:rFonts w:asciiTheme="majorBidi" w:hAnsiTheme="majorBidi" w:cstheme="majorBidi"/>
          <w:b/>
          <w:bCs/>
          <w:sz w:val="28"/>
          <w:szCs w:val="28"/>
        </w:rPr>
      </w:pPr>
      <w:r>
        <w:rPr>
          <w:rFonts w:ascii="Times New Roman" w:eastAsia="Times New Roman" w:hAnsi="Times New Roman" w:cs="Times New Roman"/>
          <w:b/>
          <w:sz w:val="28"/>
        </w:rPr>
        <w:t>The impact of transformational leadership on the perceived reduction of adverse events through patient safety culture and safety behaviours in public-sector hospitals: A field study in the Al-Jouf region</w:t>
      </w:r>
    </w:p>
    <w:p w14:paraId="5C2B6CCC" w14:textId="77777777" w:rsidR="009A689A" w:rsidRPr="00A572F9" w:rsidRDefault="009A689A" w:rsidP="00A572F9">
      <w:pPr>
        <w:spacing w:line="360" w:lineRule="auto"/>
        <w:jc w:val="both"/>
        <w:rPr>
          <w:rFonts w:asciiTheme="majorBidi" w:hAnsiTheme="majorBidi" w:cstheme="majorBidi"/>
          <w:b/>
          <w:bCs/>
          <w:sz w:val="28"/>
          <w:szCs w:val="28"/>
        </w:rPr>
      </w:pPr>
      <w:r w:rsidRPr="00A572F9">
        <w:rPr>
          <w:rFonts w:asciiTheme="majorBidi" w:hAnsiTheme="majorBidi" w:cstheme="majorBidi"/>
          <w:b/>
          <w:bCs/>
          <w:sz w:val="28"/>
          <w:szCs w:val="28"/>
        </w:rPr>
        <w:t>Submitted to Midocean University in partial fulfilment of the requirements for the degree of Doctor of Philosophy</w:t>
      </w:r>
      <w:r w:rsidR="003D7090" w:rsidRPr="00A572F9">
        <w:rPr>
          <w:rFonts w:asciiTheme="majorBidi" w:hAnsiTheme="majorBidi" w:cstheme="majorBidi"/>
          <w:b/>
          <w:bCs/>
          <w:sz w:val="28"/>
          <w:szCs w:val="28"/>
        </w:rPr>
        <w:t>.</w:t>
      </w:r>
    </w:p>
    <w:p w14:paraId="08F9BD15"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6FD7827A"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39B576D6"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اعداد الباحث: عبد الله مجزع الرويلي</w:t>
      </w:r>
    </w:p>
    <w:p w14:paraId="019CB49B"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 xml:space="preserve"> الرقم الجامعي:242000241</w:t>
      </w:r>
    </w:p>
    <w:p w14:paraId="73C94F02"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المملكة العربية السعودية</w:t>
      </w:r>
    </w:p>
    <w:p w14:paraId="0CE9027B" w14:textId="77777777" w:rsidR="00573910" w:rsidRPr="00A572F9" w:rsidRDefault="003D7090" w:rsidP="003D7090">
      <w:pPr>
        <w:bidi/>
        <w:spacing w:line="360" w:lineRule="auto"/>
        <w:rPr>
          <w:rFonts w:ascii="Simplified Arabic" w:hAnsi="Simplified Arabic" w:cs="Simplified Arabic"/>
          <w:sz w:val="28"/>
          <w:szCs w:val="28"/>
          <w:rtl/>
        </w:rPr>
      </w:pPr>
      <w:r w:rsidRPr="00A572F9">
        <w:rPr>
          <w:rFonts w:ascii="Simplified Arabic" w:hAnsi="Simplified Arabic" w:cs="Simplified Arabic"/>
          <w:b/>
          <w:bCs/>
          <w:sz w:val="28"/>
          <w:szCs w:val="28"/>
          <w:rtl/>
        </w:rPr>
        <w:t>الكلية: الإدارة</w:t>
      </w:r>
    </w:p>
    <w:p w14:paraId="6210E659" w14:textId="77777777" w:rsidR="003D7090" w:rsidRPr="00FC62C6" w:rsidRDefault="003D7090" w:rsidP="003D7090">
      <w:pPr>
        <w:bidi/>
        <w:spacing w:line="360" w:lineRule="auto"/>
        <w:jc w:val="center"/>
        <w:rPr>
          <w:rFonts w:ascii="Sakkal Majalla" w:hAnsi="Sakkal Majalla" w:cs="Sakkal Majalla"/>
          <w:sz w:val="28"/>
          <w:szCs w:val="28"/>
          <w:rtl/>
        </w:rPr>
      </w:pPr>
    </w:p>
    <w:p w14:paraId="3D61D0FB" w14:textId="77777777" w:rsidR="00573910" w:rsidRPr="00FC62C6" w:rsidRDefault="00573910" w:rsidP="00573910">
      <w:pPr>
        <w:bidi/>
        <w:spacing w:line="360" w:lineRule="auto"/>
        <w:jc w:val="both"/>
        <w:rPr>
          <w:rFonts w:ascii="Sakkal Majalla" w:hAnsi="Sakkal Majalla" w:cs="Sakkal Majalla"/>
          <w:b/>
          <w:bCs/>
          <w:color w:val="EE0000"/>
          <w:sz w:val="28"/>
          <w:szCs w:val="28"/>
          <w:rtl/>
        </w:rPr>
      </w:pPr>
    </w:p>
    <w:p w14:paraId="6C9AEF31" w14:textId="77777777" w:rsidR="004F70A5" w:rsidRPr="00FC62C6" w:rsidRDefault="004F70A5" w:rsidP="004F70A5">
      <w:pPr>
        <w:bidi/>
        <w:spacing w:line="360" w:lineRule="auto"/>
        <w:jc w:val="both"/>
        <w:rPr>
          <w:rFonts w:ascii="Sakkal Majalla" w:hAnsi="Sakkal Majalla" w:cs="Sakkal Majalla"/>
          <w:b/>
          <w:bCs/>
          <w:color w:val="EE0000"/>
          <w:sz w:val="28"/>
          <w:szCs w:val="28"/>
          <w:rtl/>
        </w:rPr>
      </w:pPr>
    </w:p>
    <w:p w14:paraId="0ED72BFB" w14:textId="77777777" w:rsidR="004F70A5" w:rsidRDefault="004F70A5" w:rsidP="004F70A5">
      <w:pPr>
        <w:bidi/>
        <w:spacing w:line="360" w:lineRule="auto"/>
        <w:jc w:val="both"/>
        <w:rPr>
          <w:rFonts w:ascii="Sakkal Majalla" w:hAnsi="Sakkal Majalla" w:cs="Sakkal Majalla"/>
          <w:b/>
          <w:bCs/>
          <w:color w:val="EE0000"/>
          <w:sz w:val="28"/>
          <w:szCs w:val="28"/>
          <w:rtl/>
        </w:rPr>
      </w:pPr>
    </w:p>
    <w:p w14:paraId="219CC107" w14:textId="77777777" w:rsidR="00270300" w:rsidRDefault="00270300" w:rsidP="00270300">
      <w:pPr>
        <w:bidi/>
        <w:spacing w:line="360" w:lineRule="auto"/>
        <w:jc w:val="both"/>
        <w:rPr>
          <w:rFonts w:ascii="Sakkal Majalla" w:hAnsi="Sakkal Majalla" w:cs="Sakkal Majalla"/>
          <w:b/>
          <w:bCs/>
          <w:color w:val="EE0000"/>
          <w:sz w:val="28"/>
          <w:szCs w:val="28"/>
          <w:rtl/>
        </w:rPr>
      </w:pPr>
    </w:p>
    <w:p w14:paraId="6FBEF55A" w14:textId="77777777" w:rsidR="00E76DA2" w:rsidRPr="00564566" w:rsidRDefault="00564566" w:rsidP="00564566">
      <w:pPr>
        <w:bidi/>
        <w:spacing w:line="360" w:lineRule="auto"/>
        <w:jc w:val="both"/>
        <w:rPr>
          <w:rFonts w:ascii="Sakkal Majalla" w:hAnsi="Sakkal Majalla" w:cs="Sakkal Majalla"/>
          <w:b/>
          <w:bCs/>
          <w:color w:val="000000" w:themeColor="text1"/>
          <w:sz w:val="32"/>
          <w:szCs w:val="32"/>
          <w:rtl/>
        </w:rPr>
      </w:pPr>
      <w:r w:rsidRPr="00564566">
        <w:rPr>
          <w:rFonts w:ascii="Sakkal Majalla" w:hAnsi="Sakkal Majalla" w:cs="Sakkal Majalla"/>
          <w:b/>
          <w:bCs/>
          <w:color w:val="000000" w:themeColor="text1"/>
          <w:sz w:val="32"/>
          <w:szCs w:val="32"/>
          <w:rtl/>
        </w:rPr>
        <w:lastRenderedPageBreak/>
        <w:t>الفصل الأول: مدخل إلى الدراسة</w:t>
      </w:r>
    </w:p>
    <w:p w14:paraId="0BD76E3E" w14:textId="77777777" w:rsidR="00680415" w:rsidRPr="0011430B" w:rsidRDefault="00680415" w:rsidP="00573910">
      <w:pPr>
        <w:bidi/>
        <w:spacing w:line="360" w:lineRule="auto"/>
        <w:jc w:val="both"/>
        <w:rPr>
          <w:rFonts w:ascii="Simplified Arabic" w:eastAsiaTheme="majorEastAsia" w:hAnsi="Simplified Arabic" w:cs="Simplified Arabic"/>
          <w:b/>
          <w:bCs/>
          <w:spacing w:val="-10"/>
          <w:kern w:val="28"/>
          <w:sz w:val="24"/>
          <w:szCs w:val="24"/>
          <w:rtl/>
        </w:rPr>
      </w:pPr>
      <w:r w:rsidRPr="00FC62C6">
        <w:rPr>
          <w:rFonts w:ascii="Sakkal Majalla" w:hAnsi="Sakkal Majalla" w:cs="Sakkal Majalla"/>
          <w:b/>
          <w:bCs/>
          <w:sz w:val="28"/>
          <w:szCs w:val="28"/>
          <w:rtl/>
          <w:lang w:bidi="ar-JO"/>
        </w:rPr>
        <w:t>1</w:t>
      </w:r>
      <w:r w:rsidRPr="0011430B">
        <w:rPr>
          <w:rFonts w:ascii="Simplified Arabic" w:hAnsi="Simplified Arabic" w:cs="Simplified Arabic"/>
          <w:b/>
          <w:bCs/>
          <w:sz w:val="24"/>
          <w:szCs w:val="24"/>
          <w:rtl/>
          <w:lang w:bidi="ar-JO"/>
        </w:rPr>
        <w:t>.</w:t>
      </w:r>
      <w:r w:rsidR="0000479E" w:rsidRPr="0011430B">
        <w:rPr>
          <w:rFonts w:ascii="Simplified Arabic" w:eastAsiaTheme="majorEastAsia" w:hAnsi="Simplified Arabic" w:cs="Simplified Arabic"/>
          <w:b/>
          <w:bCs/>
          <w:spacing w:val="-10"/>
          <w:kern w:val="28"/>
          <w:sz w:val="24"/>
          <w:szCs w:val="24"/>
          <w:rtl/>
        </w:rPr>
        <w:t>ال</w:t>
      </w:r>
      <w:r w:rsidR="00E94DD2" w:rsidRPr="0011430B">
        <w:rPr>
          <w:rFonts w:ascii="Simplified Arabic" w:eastAsiaTheme="majorEastAsia" w:hAnsi="Simplified Arabic" w:cs="Simplified Arabic"/>
          <w:b/>
          <w:bCs/>
          <w:spacing w:val="-10"/>
          <w:kern w:val="28"/>
          <w:sz w:val="24"/>
          <w:szCs w:val="24"/>
          <w:rtl/>
        </w:rPr>
        <w:t xml:space="preserve">مقدمة </w:t>
      </w:r>
    </w:p>
    <w:p w14:paraId="62ACED67" w14:textId="77777777" w:rsidR="00493C51" w:rsidRPr="00597A6B" w:rsidRDefault="0011430B" w:rsidP="00597A6B">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يشهد النظام الصحي العالمي تحولات جوهرية تفرض إعادة النظر في الأساليب التقليدية للرعاية، وأصبحت سلامة المرضى أحد المعايير الأساسية لقياس جودة الخدمات وفاعلية الأنظمة الطبية</w:t>
      </w:r>
      <w:r w:rsidR="006E53C5" w:rsidRPr="0011430B">
        <w:rPr>
          <w:rFonts w:ascii="Simplified Arabic" w:eastAsiaTheme="majorEastAsia" w:hAnsi="Simplified Arabic" w:cs="Simplified Arabic"/>
          <w:spacing w:val="-10"/>
          <w:kern w:val="28"/>
          <w:sz w:val="24"/>
          <w:szCs w:val="24"/>
          <w:rtl/>
        </w:rPr>
        <w:t>. (</w:t>
      </w:r>
      <w:r w:rsidR="006E53C5" w:rsidRPr="0011430B">
        <w:rPr>
          <w:rFonts w:ascii="Simplified Arabic" w:eastAsiaTheme="majorEastAsia" w:hAnsi="Simplified Arabic" w:cs="Simplified Arabic"/>
          <w:spacing w:val="-10"/>
          <w:kern w:val="28"/>
          <w:sz w:val="24"/>
          <w:szCs w:val="24"/>
        </w:rPr>
        <w:t>Shenoy, 2021</w:t>
      </w:r>
      <w:r w:rsidR="006E53C5" w:rsidRPr="0011430B">
        <w:rPr>
          <w:rFonts w:ascii="Simplified Arabic" w:eastAsiaTheme="majorEastAsia" w:hAnsi="Simplified Arabic" w:cs="Simplified Arabic"/>
          <w:spacing w:val="-10"/>
          <w:kern w:val="28"/>
          <w:sz w:val="24"/>
          <w:szCs w:val="24"/>
          <w:rtl/>
        </w:rPr>
        <w:t xml:space="preserve">) ويُعد تحقيق هذا الهدف مسؤولية تتجاوز نمط الإدارة الصحية التقليدية، إذ يتطلب توفير </w:t>
      </w:r>
      <w:r w:rsidR="006E53C5" w:rsidRPr="00597A6B">
        <w:rPr>
          <w:rFonts w:ascii="Simplified Arabic" w:eastAsiaTheme="majorEastAsia" w:hAnsi="Simplified Arabic" w:cs="Simplified Arabic"/>
          <w:spacing w:val="-10"/>
          <w:kern w:val="28"/>
          <w:sz w:val="24"/>
          <w:szCs w:val="24"/>
          <w:rtl/>
        </w:rPr>
        <w:t>بيئات تنظيمية آمنة وثقافة مؤسسية داعمة لضمان تقديم رعاية عالية الجودة. (</w:t>
      </w:r>
      <w:r w:rsidR="006E53C5" w:rsidRPr="00597A6B">
        <w:rPr>
          <w:rFonts w:ascii="Simplified Arabic" w:eastAsiaTheme="majorEastAsia" w:hAnsi="Simplified Arabic" w:cs="Simplified Arabic"/>
          <w:spacing w:val="-10"/>
          <w:kern w:val="28"/>
          <w:sz w:val="24"/>
          <w:szCs w:val="24"/>
        </w:rPr>
        <w:t>Hamdan et al., 2024</w:t>
      </w:r>
      <w:r w:rsidR="006E53C5" w:rsidRPr="00597A6B">
        <w:rPr>
          <w:rFonts w:ascii="Simplified Arabic" w:eastAsiaTheme="majorEastAsia" w:hAnsi="Simplified Arabic" w:cs="Simplified Arabic"/>
          <w:spacing w:val="-10"/>
          <w:kern w:val="28"/>
          <w:sz w:val="24"/>
          <w:szCs w:val="24"/>
          <w:rtl/>
        </w:rPr>
        <w:t>) ومع التطور السريع في التقنيات الطبية وتزايد تعقيد الإجراءات العلاجية، أصبحت المستشفيات تواجه تحديات متزايدة تستلزم تحقيق توازن دقيق بين متطلبات سلامة المرضى وفعالية الخدمات المقدمة، وهو ما يشكل عبئًا تنظيميًا وإداريًا متزايدًا.</w:t>
      </w:r>
    </w:p>
    <w:p w14:paraId="1F1C810E" w14:textId="57A63826" w:rsidR="00493C51" w:rsidRPr="00597A6B" w:rsidRDefault="001C2889" w:rsidP="00597A6B">
      <w:pPr>
        <w:bidi/>
        <w:spacing w:line="360" w:lineRule="auto"/>
        <w:jc w:val="both"/>
        <w:rPr>
          <w:rFonts w:ascii="Simplified Arabic" w:eastAsiaTheme="majorEastAsia" w:hAnsi="Simplified Arabic" w:cs="Simplified Arabic"/>
          <w:spacing w:val="-10"/>
          <w:kern w:val="28"/>
          <w:sz w:val="24"/>
          <w:szCs w:val="24"/>
        </w:rPr>
      </w:pPr>
      <w:r w:rsidRPr="00597A6B">
        <w:rPr>
          <w:rFonts w:ascii="Simplified Arabic" w:eastAsia="Simplified Arabic" w:hAnsi="Simplified Arabic" w:cs="Simplified Arabic"/>
          <w:sz w:val="24"/>
          <w:szCs w:val="24"/>
          <w:rtl/>
        </w:rPr>
        <w:t xml:space="preserve">وفي المملكة العربية السعودية، </w:t>
      </w:r>
      <w:r w:rsidR="00597A6B" w:rsidRPr="00597A6B">
        <w:rPr>
          <w:rFonts w:ascii="Simplified Arabic" w:eastAsia="Arial" w:hAnsi="Simplified Arabic" w:cs="Simplified Arabic"/>
          <w:color w:val="000000"/>
          <w:sz w:val="24"/>
          <w:szCs w:val="24"/>
          <w:rtl/>
        </w:rPr>
        <w:t>وتُعد الجوف منطقة ذات أهمية استراتيجية</w:t>
      </w:r>
      <w:r w:rsidRPr="00597A6B">
        <w:rPr>
          <w:rFonts w:ascii="Simplified Arabic" w:eastAsia="Simplified Arabic" w:hAnsi="Simplified Arabic" w:cs="Simplified Arabic"/>
          <w:sz w:val="24"/>
          <w:szCs w:val="24"/>
          <w:rtl/>
        </w:rPr>
        <w:t xml:space="preserve">  تمتد عبر خمس محافظات رئيسة: سكاكا، ودومة الجندل، وصوير، وطبرجل، والقريات. ويقدم تجمع الجوف الصحي خدماته لأكثر من 595,000 مستفيد من خلال 14 مستشفى عامًا ومتخصصًا، في حين يقتصر إطار المعاينة في الدراسة الحالية على تسعة مستشفيات حكومية تستوفي حدود الدراسة ومعاييرها الإجرائية (Health Holding Company, n.d.). وتتميز المنطقة بتباين جغرافي وديموغرافي قد ينعكس على طبيعة الهياكل التنظيمية وممارسات القيادة والسلامة داخل منشآتها الصحية.</w:t>
      </w:r>
    </w:p>
    <w:p w14:paraId="238FBA7F" w14:textId="5158B97E" w:rsidR="00493C51" w:rsidRPr="00597A6B" w:rsidRDefault="001C2889" w:rsidP="00597A6B">
      <w:pPr>
        <w:bidi/>
        <w:spacing w:line="360" w:lineRule="auto"/>
        <w:jc w:val="both"/>
        <w:rPr>
          <w:rFonts w:ascii="Simplified Arabic" w:eastAsiaTheme="majorEastAsia" w:hAnsi="Simplified Arabic" w:cs="Simplified Arabic"/>
          <w:spacing w:val="-10"/>
          <w:kern w:val="28"/>
          <w:sz w:val="24"/>
          <w:szCs w:val="24"/>
          <w:rtl/>
        </w:rPr>
      </w:pPr>
      <w:r w:rsidRPr="00597A6B">
        <w:rPr>
          <w:rFonts w:ascii="Simplified Arabic" w:eastAsiaTheme="majorEastAsia" w:hAnsi="Simplified Arabic" w:cs="Simplified Arabic"/>
          <w:spacing w:val="-10"/>
          <w:kern w:val="28"/>
          <w:sz w:val="24"/>
          <w:szCs w:val="24"/>
          <w:rtl/>
        </w:rPr>
        <w:t xml:space="preserve">وتشمل سلامة المرضى مجموعة من الإجراءات الهادفة إلى الحد من الأخطاء وتقليل الأضرار المحتملة التي قد تنتج عن الرعاية الصحية </w:t>
      </w:r>
      <w:r w:rsidR="004E07BC">
        <w:rPr>
          <w:rFonts w:ascii="Simplified Arabic" w:eastAsiaTheme="majorEastAsia" w:hAnsi="Simplified Arabic" w:cs="Simplified Arabic"/>
          <w:spacing w:val="-10"/>
          <w:kern w:val="28"/>
          <w:sz w:val="24"/>
          <w:szCs w:val="24"/>
          <w:rtl/>
        </w:rPr>
        <w:t>(</w:t>
      </w:r>
      <w:r w:rsidR="004E07BC">
        <w:rPr>
          <w:rFonts w:ascii="Simplified Arabic" w:eastAsiaTheme="majorEastAsia" w:hAnsi="Simplified Arabic" w:cs="Simplified Arabic"/>
          <w:spacing w:val="-10"/>
          <w:kern w:val="28"/>
          <w:sz w:val="24"/>
          <w:szCs w:val="24"/>
        </w:rPr>
        <w:t>Konlan &amp; Shin, 2022</w:t>
      </w:r>
      <w:r w:rsidR="004E07BC">
        <w:rPr>
          <w:rFonts w:ascii="Simplified Arabic" w:eastAsiaTheme="majorEastAsia" w:hAnsi="Simplified Arabic" w:cs="Simplified Arabic"/>
          <w:spacing w:val="-10"/>
          <w:kern w:val="28"/>
          <w:sz w:val="24"/>
          <w:szCs w:val="24"/>
          <w:rtl/>
        </w:rPr>
        <w:t>)</w:t>
      </w:r>
      <w:r w:rsidRPr="00597A6B">
        <w:rPr>
          <w:rFonts w:ascii="Simplified Arabic" w:eastAsiaTheme="majorEastAsia" w:hAnsi="Simplified Arabic" w:cs="Simplified Arabic"/>
          <w:spacing w:val="-10"/>
          <w:kern w:val="28"/>
          <w:sz w:val="24"/>
          <w:szCs w:val="24"/>
          <w:rtl/>
        </w:rPr>
        <w:t>. وقد بيّنت الأدبيات العلمية أن الأخطاء الطبية لا تقتصر آثارها على الضرر الصحي المباشر، بل تمتد لتؤثر في ثقة المجتمع بالمؤسسات الصحية، فضلًا عن سببها في خسائر اقتصادية إضافية (</w:t>
      </w:r>
      <w:r w:rsidRPr="00597A6B">
        <w:rPr>
          <w:rFonts w:ascii="Simplified Arabic" w:eastAsiaTheme="majorEastAsia" w:hAnsi="Simplified Arabic" w:cs="Simplified Arabic"/>
          <w:spacing w:val="-10"/>
          <w:kern w:val="28"/>
          <w:sz w:val="24"/>
          <w:szCs w:val="24"/>
        </w:rPr>
        <w:t>Ahmed et al., 2024</w:t>
      </w:r>
      <w:r w:rsidRPr="00597A6B">
        <w:rPr>
          <w:rFonts w:ascii="Simplified Arabic" w:eastAsiaTheme="majorEastAsia" w:hAnsi="Simplified Arabic" w:cs="Simplified Arabic"/>
          <w:spacing w:val="-10"/>
          <w:kern w:val="28"/>
          <w:sz w:val="24"/>
          <w:szCs w:val="24"/>
          <w:rtl/>
        </w:rPr>
        <w:t xml:space="preserve">). </w:t>
      </w:r>
      <w:r w:rsidR="0011430B" w:rsidRPr="00597A6B">
        <w:rPr>
          <w:rFonts w:ascii="Simplified Arabic" w:eastAsiaTheme="majorEastAsia" w:hAnsi="Simplified Arabic" w:cs="Simplified Arabic"/>
          <w:spacing w:val="-10"/>
          <w:kern w:val="28"/>
          <w:sz w:val="24"/>
          <w:szCs w:val="24"/>
          <w:rtl/>
        </w:rPr>
        <w:t>ومن ثم، يعد تعزيز بيئة السلامة ضرورة ملحّة يسهم في خفض الحوادث الضارة القابلة للوقاية</w:t>
      </w:r>
      <w:r w:rsidR="0011430B" w:rsidRPr="00597A6B">
        <w:rPr>
          <w:rFonts w:ascii="Simplified Arabic" w:eastAsiaTheme="majorEastAsia" w:hAnsi="Simplified Arabic" w:cs="Simplified Arabic" w:hint="cs"/>
          <w:spacing w:val="-10"/>
          <w:kern w:val="28"/>
          <w:sz w:val="24"/>
          <w:szCs w:val="24"/>
          <w:rtl/>
        </w:rPr>
        <w:t xml:space="preserve"> </w:t>
      </w:r>
      <w:r w:rsidRPr="00597A6B">
        <w:rPr>
          <w:rFonts w:ascii="Simplified Arabic" w:eastAsiaTheme="majorEastAsia" w:hAnsi="Simplified Arabic" w:cs="Simplified Arabic"/>
          <w:spacing w:val="-10"/>
          <w:kern w:val="28"/>
          <w:sz w:val="24"/>
          <w:szCs w:val="24"/>
          <w:rtl/>
        </w:rPr>
        <w:t>(</w:t>
      </w:r>
      <w:r w:rsidRPr="00597A6B">
        <w:rPr>
          <w:rFonts w:ascii="Simplified Arabic" w:eastAsiaTheme="majorEastAsia" w:hAnsi="Simplified Arabic" w:cs="Simplified Arabic"/>
          <w:spacing w:val="-10"/>
          <w:kern w:val="28"/>
          <w:sz w:val="24"/>
          <w:szCs w:val="24"/>
        </w:rPr>
        <w:t>Mistri et al., 2023</w:t>
      </w:r>
      <w:r w:rsidRPr="00597A6B">
        <w:rPr>
          <w:rFonts w:ascii="Simplified Arabic" w:eastAsiaTheme="majorEastAsia" w:hAnsi="Simplified Arabic" w:cs="Simplified Arabic"/>
          <w:spacing w:val="-10"/>
          <w:kern w:val="28"/>
          <w:sz w:val="24"/>
          <w:szCs w:val="24"/>
          <w:rtl/>
        </w:rPr>
        <w:t>).</w:t>
      </w:r>
    </w:p>
    <w:p w14:paraId="5BF26DC1" w14:textId="77777777" w:rsidR="00B458CA" w:rsidRPr="0011430B" w:rsidRDefault="001C2889" w:rsidP="00B458CA">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وتُعبّر البيانات الوطنية عن حجم التحدي المرتبط بسلامة المرضى في المملكة العربية السعودية، إذ أظهر تحليل منهجي شامل لـستة عشرة دراسة أن معدل الأخطاء الدوائية الإجمالي في المستشفيات السعودية بلغ 44.4٪ من جميع العمليات الدوائية، حيث شكلت أخطاء الوصف الطبي 40.2٪، وأخطاء الصرف 28.2٪، بينما بلغت أخطاء التطبيق والإعطاء 34.5٪ </w:t>
      </w:r>
      <w:r w:rsidRPr="0011430B">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w:instrText>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EN.CITE.DATA</w:instrText>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tl/>
        </w:rPr>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r>
      <w:r w:rsidRPr="0011430B">
        <w:rPr>
          <w:rFonts w:ascii="Simplified Arabic" w:eastAsiaTheme="majorEastAsia" w:hAnsi="Simplified Arabic" w:cs="Simplified Arabic"/>
          <w:spacing w:val="-10"/>
          <w:kern w:val="28"/>
          <w:sz w:val="24"/>
          <w:szCs w:val="24"/>
          <w:rtl/>
        </w:rPr>
        <w:fldChar w:fldCharType="separate"/>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noProof/>
          <w:spacing w:val="-10"/>
          <w:kern w:val="28"/>
          <w:sz w:val="24"/>
          <w:szCs w:val="24"/>
        </w:rPr>
        <w:t>Almalki et al., 2021</w:t>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وعلى الصعيد المحلي، أظهرت دراسة استرجاعية في أحد مستشفيات المدينة المنورة تسجيل 2,658 خطأً دوائيًا خلال عام واحد، حيث شكّلت الأخطاء شبه المميتة (</w:t>
      </w:r>
      <w:r w:rsidRPr="0011430B">
        <w:rPr>
          <w:rFonts w:ascii="Simplified Arabic" w:eastAsiaTheme="majorEastAsia" w:hAnsi="Simplified Arabic" w:cs="Simplified Arabic"/>
          <w:spacing w:val="-10"/>
          <w:kern w:val="28"/>
          <w:sz w:val="24"/>
          <w:szCs w:val="24"/>
        </w:rPr>
        <w:t>near misses</w:t>
      </w:r>
      <w:r w:rsidRPr="0011430B">
        <w:rPr>
          <w:rFonts w:ascii="Simplified Arabic" w:eastAsiaTheme="majorEastAsia" w:hAnsi="Simplified Arabic" w:cs="Simplified Arabic"/>
          <w:spacing w:val="-10"/>
          <w:kern w:val="28"/>
          <w:sz w:val="24"/>
          <w:szCs w:val="24"/>
          <w:rtl/>
        </w:rPr>
        <w:t>) نسبة 96.5٪، في حين بلغت الأخطاء الفعلية التي وصلت إلى المرضى 3.4٪ فقط (</w:t>
      </w:r>
      <w:r w:rsidRPr="0011430B">
        <w:rPr>
          <w:rFonts w:ascii="Simplified Arabic" w:eastAsiaTheme="majorEastAsia" w:hAnsi="Simplified Arabic" w:cs="Simplified Arabic"/>
          <w:spacing w:val="-10"/>
          <w:kern w:val="28"/>
          <w:sz w:val="24"/>
          <w:szCs w:val="24"/>
        </w:rPr>
        <w:t>Alahmadi et al., 2022</w:t>
      </w:r>
      <w:r w:rsidRPr="0011430B">
        <w:rPr>
          <w:rFonts w:ascii="Simplified Arabic" w:eastAsiaTheme="majorEastAsia" w:hAnsi="Simplified Arabic" w:cs="Simplified Arabic"/>
          <w:spacing w:val="-10"/>
          <w:kern w:val="28"/>
          <w:sz w:val="24"/>
          <w:szCs w:val="24"/>
          <w:rtl/>
        </w:rPr>
        <w:t>).</w:t>
      </w:r>
    </w:p>
    <w:p w14:paraId="7E697A39" w14:textId="77777777" w:rsidR="00B458CA" w:rsidRPr="0011430B" w:rsidRDefault="009D5A9D" w:rsidP="00B458CA">
      <w:pPr>
        <w:bidi/>
        <w:spacing w:line="360" w:lineRule="auto"/>
        <w:jc w:val="both"/>
        <w:rPr>
          <w:rFonts w:ascii="Simplified Arabic" w:eastAsiaTheme="majorEastAsia" w:hAnsi="Simplified Arabic" w:cs="Simplified Arabic"/>
          <w:spacing w:val="-10"/>
          <w:kern w:val="28"/>
          <w:sz w:val="24"/>
          <w:szCs w:val="24"/>
          <w:rtl/>
        </w:rPr>
      </w:pPr>
      <w:r>
        <w:rPr>
          <w:rFonts w:ascii="Simplified Arabic" w:eastAsia="Simplified Arabic" w:hAnsi="Simplified Arabic" w:cs="Simplified Arabic"/>
          <w:sz w:val="24"/>
          <w:rtl/>
        </w:rPr>
        <w:t xml:space="preserve">وتؤكد الأدلة الوطنية استمرار التحديات المرتبطة بالأضرار القابلة للوقاية. فقد أظهرت المراجعات السعودية ارتفاعًا وتباينًا ملحوظين في معدلات الأخطاء الدوائية، كما بينت الدراسات المحلية أن نظم الإبلاغ قد لا تعكس الحجم الحقيقي للحوادث بسبب الخوف من اللوم وتباين إجراءات التوثيق </w:t>
      </w:r>
      <w:r>
        <w:rPr>
          <w:rFonts w:ascii="Simplified Arabic" w:eastAsia="Simplified Arabic" w:hAnsi="Simplified Arabic" w:cs="Simplified Arabic"/>
          <w:sz w:val="24"/>
          <w:rtl/>
        </w:rPr>
        <w:lastRenderedPageBreak/>
        <w:t>(Almalki et al., 2021; Alahmadi et al., 2022). وفيما يتعلق بالعدوى المرتبطة بالرعاية الصحية، أشارت دراسة سعودية إلى ارتفاع العبء داخل بعض البيئات عالية الخطورة، ولا سيما وحدات العناية المركزة (Khan et al., 2018).</w:t>
      </w:r>
    </w:p>
    <w:p w14:paraId="2F82D93D" w14:textId="77777777" w:rsidR="00B458CA" w:rsidRPr="0011430B" w:rsidRDefault="009D5A9D" w:rsidP="00B458CA">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أما على مستوى الإبلاغ عن الحوادث، فقد بلغ معدل الإبلاغ في أحد المستشفيات الجامعية السعودية 5.8 حادثة لكل 1,000 يوم مريض، وهو معدل يشير إلى احتمال وجود نقص في الإبلاغ (Arabi et al., 2012). وفي منطقة الجوف تحديدًا، أظهرت دراسة مقطعية شملت 423 ممرضًا وممرضة في خمسة مستشفيات أن 83% من المشاركين لم يقدموا أي بلاغ عن حادث خلال الاثني عشر شهرًا السابقة، وكانت الاستجابة غير العقابية للأخطاء من أضعف أبعاد ثقافة السلامة (Alshammari et al., 2024).</w:t>
      </w:r>
    </w:p>
    <w:p w14:paraId="49D4CECE" w14:textId="77777777" w:rsidR="005922C4" w:rsidRPr="0011430B" w:rsidRDefault="009D5A9D" w:rsidP="007D1551">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نظراً لكون العديد من الأخطاء الطبية ناتجة عن خلل في الأنظمة والعمليات الداخلية بدلاً من أن تكون أخطاء فردية بحتة، فقد توجهت الجهود العالمية نحو تعزيز ثقافة سلامة مؤسسية شاملة. تعرف </w:t>
      </w:r>
      <w:r w:rsidR="007D1551" w:rsidRPr="007D1551">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بأنها منظومة متكاملة من القيم والمعتقدات والسلوكيات المشتركة التي تضع السلامة في مقدمة الأولويات في جميع العمليات التنظيمية (</w:t>
      </w:r>
      <w:r w:rsidRPr="0011430B">
        <w:rPr>
          <w:rFonts w:ascii="Simplified Arabic" w:eastAsiaTheme="majorEastAsia" w:hAnsi="Simplified Arabic" w:cs="Simplified Arabic"/>
          <w:spacing w:val="-10"/>
          <w:kern w:val="28"/>
          <w:sz w:val="24"/>
          <w:szCs w:val="24"/>
        </w:rPr>
        <w:t>Mistri et al., 2023</w:t>
      </w:r>
      <w:r w:rsidRPr="0011430B">
        <w:rPr>
          <w:rFonts w:ascii="Simplified Arabic" w:eastAsiaTheme="majorEastAsia" w:hAnsi="Simplified Arabic" w:cs="Simplified Arabic"/>
          <w:spacing w:val="-10"/>
          <w:kern w:val="28"/>
          <w:sz w:val="24"/>
          <w:szCs w:val="24"/>
          <w:rtl/>
        </w:rPr>
        <w:t>).</w:t>
      </w:r>
    </w:p>
    <w:p w14:paraId="040E7FEB" w14:textId="77777777" w:rsidR="00B81AA9" w:rsidRPr="0011430B" w:rsidRDefault="001C2889" w:rsidP="00B81AA9">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تجسد الثقافة الإيجابية للسلامة عبر بيئة عمل واضحة المعايير تُشجع على التعاون والتعلم المستمر بين أعضاء الفريق. وتقوم هذه الثقافة على أسس راسخة تعكس التزام المؤسسة بجعل السلامة قيمة أساسية في جميع الممارسات </w:t>
      </w:r>
      <w:r w:rsidRPr="0011430B">
        <w:rPr>
          <w:rFonts w:ascii="Simplified Arabic" w:eastAsiaTheme="majorEastAsia" w:hAnsi="Simplified Arabic" w:cs="Simplified Arabic"/>
          <w:spacing w:val="-10"/>
          <w:kern w:val="28"/>
          <w:sz w:val="24"/>
          <w:szCs w:val="24"/>
          <w:rtl/>
        </w:rPr>
        <w:fldChar w:fldCharType="begin"/>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1430B">
        <w:rPr>
          <w:rFonts w:ascii="Simplified Arabic" w:eastAsiaTheme="majorEastAsia" w:hAnsi="Simplified Arabic" w:cs="Simplified Arabic"/>
          <w:spacing w:val="-10"/>
          <w:kern w:val="28"/>
          <w:sz w:val="24"/>
          <w:szCs w:val="24"/>
          <w:rtl/>
        </w:rPr>
        <w:instrText>.&lt;/</w:instrText>
      </w:r>
      <w:r w:rsidRPr="0011430B">
        <w:rPr>
          <w:rFonts w:ascii="Simplified Arabic" w:eastAsiaTheme="majorEastAsia" w:hAnsi="Simplified Arabic" w:cs="Simplified Arabic"/>
          <w:spacing w:val="-10"/>
          <w:kern w:val="28"/>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1430B">
        <w:rPr>
          <w:rFonts w:ascii="Simplified Arabic" w:eastAsiaTheme="majorEastAsia" w:hAnsi="Simplified Arabic" w:cs="Simplified Arabic"/>
          <w:spacing w:val="-10"/>
          <w:kern w:val="28"/>
          <w:sz w:val="24"/>
          <w:szCs w:val="24"/>
          <w:rtl/>
        </w:rPr>
        <w:instrText>&gt;&lt;/</w:instrText>
      </w:r>
      <w:r w:rsidRPr="0011430B">
        <w:rPr>
          <w:rFonts w:ascii="Simplified Arabic" w:eastAsiaTheme="majorEastAsia" w:hAnsi="Simplified Arabic" w:cs="Simplified Arabic"/>
          <w:spacing w:val="-10"/>
          <w:kern w:val="28"/>
          <w:sz w:val="24"/>
          <w:szCs w:val="24"/>
        </w:rPr>
        <w:instrText>record&gt;&lt;/Cite&gt;&lt;/EndNote</w:instrText>
      </w:r>
      <w:r w:rsidRPr="0011430B">
        <w:rPr>
          <w:rFonts w:ascii="Simplified Arabic" w:eastAsiaTheme="majorEastAsia" w:hAnsi="Simplified Arabic" w:cs="Simplified Arabic"/>
          <w:spacing w:val="-10"/>
          <w:kern w:val="28"/>
          <w:sz w:val="24"/>
          <w:szCs w:val="24"/>
          <w:rtl/>
        </w:rPr>
        <w:instrText>&gt;</w:instrText>
      </w:r>
      <w:r w:rsidRPr="0011430B">
        <w:rPr>
          <w:rFonts w:ascii="Simplified Arabic" w:eastAsiaTheme="majorEastAsia" w:hAnsi="Simplified Arabic" w:cs="Simplified Arabic"/>
          <w:spacing w:val="-10"/>
          <w:kern w:val="28"/>
          <w:sz w:val="24"/>
          <w:szCs w:val="24"/>
          <w:rtl/>
        </w:rPr>
        <w:fldChar w:fldCharType="separate"/>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noProof/>
          <w:spacing w:val="-10"/>
          <w:kern w:val="28"/>
          <w:sz w:val="24"/>
          <w:szCs w:val="24"/>
        </w:rPr>
        <w:t>Konlan &amp; Shin, 2022</w:t>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w:t>
      </w:r>
    </w:p>
    <w:p w14:paraId="3B4E0DFF" w14:textId="77777777" w:rsidR="009D5A9D"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تعد </w:t>
      </w:r>
      <w:r w:rsidR="00631A37" w:rsidRPr="00631A37">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مكونة من أربعة عناصر رئيسية: أولاً، دعم الإدارة والالتزام القيادي حيث يُعتبر التزام القادة الطبيين والإداريين بتعزيز الممارسات الآمنة وتوفير الموارد الضرورية عاملاً حاسمًا. ثانيًا، التواصل المفتوح والعدالة التنظيمية إذ يسهم الكشف عن المخاطر والأخطاء بدون خوف من العقاب في تعزيز التعلم التنظيمي (</w:t>
      </w:r>
      <w:r w:rsidRPr="0011430B">
        <w:rPr>
          <w:rFonts w:ascii="Simplified Arabic" w:eastAsiaTheme="majorEastAsia" w:hAnsi="Simplified Arabic" w:cs="Simplified Arabic"/>
          <w:spacing w:val="-10"/>
          <w:kern w:val="28"/>
          <w:sz w:val="24"/>
          <w:szCs w:val="24"/>
        </w:rPr>
        <w:t>Ahmed et al., 2024</w:t>
      </w:r>
      <w:r w:rsidRPr="0011430B">
        <w:rPr>
          <w:rFonts w:ascii="Simplified Arabic" w:eastAsiaTheme="majorEastAsia" w:hAnsi="Simplified Arabic" w:cs="Simplified Arabic"/>
          <w:spacing w:val="-10"/>
          <w:kern w:val="28"/>
          <w:sz w:val="24"/>
          <w:szCs w:val="24"/>
          <w:rtl/>
        </w:rPr>
        <w:t xml:space="preserve">). ثالثًا، التعلم المستمر من الأخطاء حيث إن التعامل مع الحوادث كفرص للتحسين يسهم في التطور المستمر للأنظمة. رابعًا، التعاون والعمل الجماعي إذ يُعد التعاون بين فرق العمل متعددة التخصصات عنصرًا أساسيًا لضمان تقديم رعاية متكاملة </w:t>
      </w:r>
      <w:r w:rsidR="001C2889" w:rsidRPr="0011430B">
        <w:rPr>
          <w:rFonts w:ascii="Simplified Arabic" w:eastAsiaTheme="majorEastAsia" w:hAnsi="Simplified Arabic" w:cs="Simplified Arabic"/>
          <w:spacing w:val="-10"/>
          <w:kern w:val="28"/>
          <w:sz w:val="24"/>
          <w:szCs w:val="24"/>
          <w:rtl/>
        </w:rPr>
        <w:fldChar w:fldCharType="begin"/>
      </w:r>
      <w:r w:rsidR="001C2889" w:rsidRPr="0011430B">
        <w:rPr>
          <w:rFonts w:ascii="Simplified Arabic" w:eastAsiaTheme="majorEastAsia" w:hAnsi="Simplified Arabic" w:cs="Simplified Arabic"/>
          <w:spacing w:val="-10"/>
          <w:kern w:val="28"/>
          <w:sz w:val="24"/>
          <w:szCs w:val="24"/>
          <w:rtl/>
        </w:rPr>
        <w:instrText xml:space="preserve"> </w:instrText>
      </w:r>
      <w:r w:rsidR="001C2889" w:rsidRPr="0011430B">
        <w:rPr>
          <w:rFonts w:ascii="Simplified Arabic" w:eastAsiaTheme="majorEastAsia" w:hAnsi="Simplified Arabic" w:cs="Simplified Arabic"/>
          <w:spacing w:val="-10"/>
          <w:kern w:val="28"/>
          <w:sz w:val="24"/>
          <w:szCs w:val="24"/>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C2889" w:rsidRPr="0011430B">
        <w:rPr>
          <w:rFonts w:ascii="Simplified Arabic" w:eastAsiaTheme="majorEastAsia" w:hAnsi="Simplified Arabic" w:cs="Simplified Arabic"/>
          <w:spacing w:val="-10"/>
          <w:kern w:val="28"/>
          <w:sz w:val="24"/>
          <w:szCs w:val="24"/>
          <w:rtl/>
        </w:rPr>
        <w:instrText>&gt;</w:instrText>
      </w:r>
      <w:r w:rsidR="001C2889" w:rsidRPr="0011430B">
        <w:rPr>
          <w:rFonts w:ascii="Simplified Arabic" w:eastAsiaTheme="majorEastAsia" w:hAnsi="Simplified Arabic" w:cs="Simplified Arabic"/>
          <w:spacing w:val="-10"/>
          <w:kern w:val="28"/>
          <w:sz w:val="24"/>
          <w:szCs w:val="24"/>
          <w:rtl/>
        </w:rPr>
        <w:fldChar w:fldCharType="separate"/>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noProof/>
          <w:spacing w:val="-10"/>
          <w:kern w:val="28"/>
          <w:sz w:val="24"/>
          <w:szCs w:val="24"/>
        </w:rPr>
        <w:t>Asante &amp; Novak, 2024</w:t>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xml:space="preserve">. </w:t>
      </w:r>
    </w:p>
    <w:p w14:paraId="3C7BCF3F" w14:textId="77777777" w:rsidR="00493C51"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وتشير الدراسات إلى أن قوة </w:t>
      </w:r>
      <w:r w:rsidR="00631A37" w:rsidRPr="00631A37">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داخل المؤسسات الصحية ترتبط ارتباطًا مباشرًا بقدرتها على تقليل الحوادث الضارة والالتزام بتطبيق المعايير الأمنية (</w:t>
      </w:r>
      <w:r w:rsidRPr="0011430B">
        <w:rPr>
          <w:rFonts w:ascii="Simplified Arabic" w:eastAsiaTheme="majorEastAsia" w:hAnsi="Simplified Arabic" w:cs="Simplified Arabic"/>
          <w:spacing w:val="-10"/>
          <w:kern w:val="28"/>
          <w:sz w:val="24"/>
          <w:szCs w:val="24"/>
        </w:rPr>
        <w:t>Alsahli et al., 202</w:t>
      </w:r>
      <w:r w:rsidR="00063C17" w:rsidRPr="0011430B">
        <w:rPr>
          <w:rFonts w:ascii="Simplified Arabic" w:eastAsiaTheme="majorEastAsia" w:hAnsi="Simplified Arabic" w:cs="Simplified Arabic"/>
          <w:spacing w:val="-10"/>
          <w:kern w:val="28"/>
          <w:sz w:val="24"/>
          <w:szCs w:val="24"/>
        </w:rPr>
        <w:t>4</w:t>
      </w:r>
      <w:r w:rsidRPr="0011430B">
        <w:rPr>
          <w:rFonts w:ascii="Simplified Arabic" w:eastAsiaTheme="majorEastAsia" w:hAnsi="Simplified Arabic" w:cs="Simplified Arabic"/>
          <w:spacing w:val="-10"/>
          <w:kern w:val="28"/>
          <w:sz w:val="24"/>
          <w:szCs w:val="24"/>
          <w:rtl/>
        </w:rPr>
        <w:t xml:space="preserve">). ويُبرز في هذا الإطار الدور الحيوي للقيادة الفعالة، التي تمثل المحرك الرئيسي لتعزيز هذه الثقافة عبر توجيه العمليات وتحديد الأولويات.  </w:t>
      </w:r>
    </w:p>
    <w:p w14:paraId="74CA7508" w14:textId="77777777" w:rsidR="00663477" w:rsidRPr="00663477" w:rsidRDefault="00D329D0" w:rsidP="00D329D0">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تُعد القيادة التحويلية أحد أبرز أساليب القيادة القادرة على إحداث تغيير منظم في قيم العمل وممارساته (Ahmed et al., 2024). ولقياس هذا النمط بصورة متسقة مع الإطار النظري، تعتمد الدراسة مخزون القيادة التحويلية (Transformational Leadership Inventory – TLI) الذي طوره Podsakoff وزملاؤه، ويتكون من ستة أبعاد سلوكية مترابطة (Podsakoff et al., 1990). وتشير الأدلة إلى أن الممارسات القيادية التحويلية ترتبط ببيئات عمل أكثر دعمًا للتعلم والتواصل والسلامة (Hamdan et al., 2024).</w:t>
      </w:r>
    </w:p>
    <w:p w14:paraId="15F8A93F" w14:textId="77777777" w:rsidR="00493C51"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Pr>
          <w:rFonts w:ascii="Simplified Arabic" w:eastAsia="Simplified Arabic" w:hAnsi="Simplified Arabic" w:cs="Simplified Arabic"/>
          <w:sz w:val="24"/>
          <w:rtl/>
        </w:rPr>
        <w:lastRenderedPageBreak/>
        <w:t>ويستند هذا الأسلوب إلى توضيح الرؤية، وتقديم القدوة، وتشجيع الأهداف الجماعية، ورفع توقعات الأداء، وتقديم الدعم الفردي، وتحفيز التفكير النقدي. وفي المؤسسات الصحية، قد تنعكس هذه الممارسات في زيادة الثقة، وتحسين التعلم من الأخطاء، وتعزيز الالتزام بالممارسات الآمنة (Podsakoff et al., 1990; Ahmed et al., 2024).</w:t>
      </w:r>
    </w:p>
    <w:p w14:paraId="7F819ABE" w14:textId="77777777" w:rsidR="00493C51" w:rsidRPr="0011430B" w:rsidRDefault="00493C51" w:rsidP="00054F0A">
      <w:pPr>
        <w:bidi/>
        <w:spacing w:line="360" w:lineRule="auto"/>
        <w:jc w:val="both"/>
        <w:rPr>
          <w:rFonts w:ascii="Simplified Arabic" w:eastAsiaTheme="majorEastAsia" w:hAnsi="Simplified Arabic" w:cs="Simplified Arabic"/>
          <w:b/>
          <w:bCs/>
          <w:spacing w:val="-10"/>
          <w:kern w:val="28"/>
          <w:sz w:val="24"/>
          <w:szCs w:val="24"/>
          <w:rtl/>
        </w:rPr>
      </w:pPr>
      <w:r w:rsidRPr="0011430B">
        <w:rPr>
          <w:rFonts w:ascii="Simplified Arabic" w:eastAsiaTheme="majorEastAsia" w:hAnsi="Simplified Arabic" w:cs="Simplified Arabic"/>
          <w:b/>
          <w:bCs/>
          <w:spacing w:val="-10"/>
          <w:kern w:val="28"/>
          <w:sz w:val="24"/>
          <w:szCs w:val="24"/>
          <w:rtl/>
        </w:rPr>
        <w:t xml:space="preserve">الأهمية الاستراتيجية للدراسة في السياق السعودي </w:t>
      </w:r>
    </w:p>
    <w:p w14:paraId="2A1A6874" w14:textId="77777777" w:rsidR="00493C51" w:rsidRPr="0011430B" w:rsidRDefault="00FF40E9" w:rsidP="00BD1209">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تكتسب هذه الدراسة أهمية بالغة في السياق السعودي في ضوء التحولات الجارية في القطاع الصحي ومستهدفات رؤية المملكة 2030 الرامية إلى تحسين الجودة وتعزيز سلامة المرضى. ويقدم تجمع الجوف الصحي خدماته لأكثر من 595,000 مستفيد عبر شبكة واسعة من المنشآت الصحية، وهو ما يجعل توفير أدلة محلية حول القيادة وثقافة السلامة وسلوكيات العاملين أمرًا ذا قيمة تنظيمية وتطبيقية (Health Holding Company, n.d.).</w:t>
      </w:r>
    </w:p>
    <w:p w14:paraId="522606AD" w14:textId="77777777" w:rsidR="00493C51" w:rsidRPr="0011430B" w:rsidRDefault="00FF40E9" w:rsidP="00BD1209">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وتشير الأدلة الوطنية إلى أن الأخطاء الدوائية ونقص الإبلاغ عن الحوادث ما زالا يمثلان تحديًا لسلامة المرضى في المستشفيات السعودية (Almalki et al., 2021; Alahmadi et al., 2022). كما أظهرت دراسة منطقة الجوف وجود جوانب قوة في العمل الجماعي، مقابل حاجة واضحة إلى تحسين الاستجابة غير العقابية والتواصل المفتوح والإبلاغ عن الحوادث (Alshammari et al., 2024). وتدعم هذه النتائج الحاجة إلى دراسة العوامل القيادية والتنظيمية والسلوكية ضمن نموذج متكامل.</w:t>
      </w:r>
    </w:p>
    <w:p w14:paraId="17DB0134" w14:textId="77777777" w:rsidR="00493C51" w:rsidRPr="0011430B" w:rsidRDefault="00493C51" w:rsidP="00054F0A">
      <w:pPr>
        <w:bidi/>
        <w:spacing w:line="360" w:lineRule="auto"/>
        <w:jc w:val="both"/>
        <w:rPr>
          <w:rFonts w:ascii="Simplified Arabic" w:eastAsiaTheme="majorEastAsia" w:hAnsi="Simplified Arabic" w:cs="Simplified Arabic"/>
          <w:b/>
          <w:bCs/>
          <w:spacing w:val="-10"/>
          <w:kern w:val="28"/>
          <w:sz w:val="24"/>
          <w:szCs w:val="24"/>
        </w:rPr>
      </w:pPr>
      <w:r w:rsidRPr="0011430B">
        <w:rPr>
          <w:rFonts w:ascii="Simplified Arabic" w:eastAsiaTheme="majorEastAsia" w:hAnsi="Simplified Arabic" w:cs="Simplified Arabic"/>
          <w:b/>
          <w:bCs/>
          <w:spacing w:val="-10"/>
          <w:kern w:val="28"/>
          <w:sz w:val="24"/>
          <w:szCs w:val="24"/>
          <w:rtl/>
        </w:rPr>
        <w:t xml:space="preserve">الفجوة البحثية وتبرير الحاجة للدراسة </w:t>
      </w:r>
    </w:p>
    <w:p w14:paraId="47C9E003" w14:textId="77777777" w:rsidR="00CA0E31" w:rsidRPr="0011430B" w:rsidRDefault="00FF40E9" w:rsidP="00CA0E31">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تكشف المراجعة النقدية للأدبيات السابقة عن وجود فجوة واضحة في التوزيع الجغرافي للدراسات المتعلقة بسلامة المرضى داخل المملكة. إذ غالبًا ما تم التركيز على مناطق مثل الرياض، الحد</w:t>
      </w:r>
      <w:r w:rsidR="00032F82">
        <w:rPr>
          <w:rFonts w:ascii="Simplified Arabic" w:eastAsiaTheme="majorEastAsia" w:hAnsi="Simplified Arabic" w:cs="Simplified Arabic" w:hint="cs"/>
          <w:spacing w:val="-10"/>
          <w:kern w:val="28"/>
          <w:sz w:val="24"/>
          <w:szCs w:val="24"/>
          <w:rtl/>
        </w:rPr>
        <w:t>ود</w:t>
      </w:r>
      <w:r w:rsidRPr="0011430B">
        <w:rPr>
          <w:rFonts w:ascii="Simplified Arabic" w:eastAsiaTheme="majorEastAsia" w:hAnsi="Simplified Arabic" w:cs="Simplified Arabic"/>
          <w:spacing w:val="-10"/>
          <w:kern w:val="28"/>
          <w:sz w:val="24"/>
          <w:szCs w:val="24"/>
          <w:rtl/>
        </w:rPr>
        <w:t xml:space="preserve"> الشمالية، وجدة، في حين لم تحظَ منطقة الجوف بالاهتمام البحثي الكافي بالرغم من أهميتها الإقليمية وحجم المستفيدين من خدماتها الصحية. </w:t>
      </w:r>
      <w:r w:rsidR="007420FC" w:rsidRPr="007420FC">
        <w:rPr>
          <w:rFonts w:ascii="Simplified Arabic" w:eastAsiaTheme="majorEastAsia" w:hAnsi="Simplified Arabic" w:cs="Simplified Arabic"/>
          <w:spacing w:val="-10"/>
          <w:kern w:val="28"/>
          <w:sz w:val="24"/>
          <w:szCs w:val="24"/>
          <w:rtl/>
        </w:rPr>
        <w:t>كما ركزت معظم الدراسات على العلاقات المباشرة بين المتغيرات، مع إغفال الآليات الوسيطة التي تنتقل من خلالها تأثيرات القيادة التحويلية إلى النتائج المرتبطة بسلامة المرضى</w:t>
      </w:r>
      <w:r w:rsidR="007420FC" w:rsidRPr="007420FC">
        <w:rPr>
          <w:rFonts w:ascii="Simplified Arabic" w:eastAsiaTheme="majorEastAsia" w:hAnsi="Simplified Arabic" w:cs="Simplified Arabic"/>
          <w:spacing w:val="-10"/>
          <w:kern w:val="28"/>
          <w:sz w:val="24"/>
          <w:szCs w:val="24"/>
        </w:rPr>
        <w:t>.</w:t>
      </w:r>
    </w:p>
    <w:p w14:paraId="26A3AECE" w14:textId="77777777" w:rsidR="00CA0E31" w:rsidRPr="00CA0E31" w:rsidRDefault="00B74258" w:rsidP="00CA0E31">
      <w:pPr>
        <w:bidi/>
        <w:spacing w:line="360" w:lineRule="auto"/>
        <w:jc w:val="both"/>
        <w:rPr>
          <w:rFonts w:ascii="Simplified Arabic" w:eastAsiaTheme="majorEastAsia" w:hAnsi="Simplified Arabic" w:cs="Simplified Arabic"/>
          <w:spacing w:val="-10"/>
          <w:kern w:val="28"/>
          <w:sz w:val="24"/>
          <w:szCs w:val="24"/>
        </w:rPr>
      </w:pPr>
      <w:r>
        <w:rPr>
          <w:rFonts w:ascii="Simplified Arabic" w:eastAsia="Simplified Arabic" w:hAnsi="Simplified Arabic" w:cs="Simplified Arabic"/>
          <w:sz w:val="24"/>
          <w:rtl/>
        </w:rPr>
        <w:t>تنطلق هذه الدراسة من افتراض نظري مفاده أن الأثر الإحصائي للقيادة التحويلية في نتائج السلامة قد ينتقل عبر مراحل تنظيمية وسلوكية مترابطة. فالممارسات القيادية يمكن أن تسهم أولًا في تشكيل بيئة تنظيمية تُعلي قيمة السلامة وتدعم التعلم من الخطأ والتواصل المفتوح. وعندما تترسخ هذه البيئة في صورة ثقافة سلامة إيجابية، فإنها قد تنعكس على سلوكيات العاملين اليومية، مثل الالتزام بالبروتوكولات، والتحقق من الإجراءات الحرجة، والإبلاغ عن الحوادث والمخاطر. ومن ثم، يُفهم التقليل المُدرَك للأحداث الضارة بوصفه المخرج النهائي لمسار نظري تفسيري يبدأ بالقيادة التحويلية، ويمر بثقافة السلامة، ثم يتجسد في سلوكيات السلامة، وهو ما يبرر اختبار الوساطة المتتابعة في هذه الدراسة.</w:t>
      </w:r>
    </w:p>
    <w:p w14:paraId="7075D4E6" w14:textId="77777777" w:rsidR="00E624E0" w:rsidRPr="0011430B" w:rsidRDefault="00897949" w:rsidP="001132D0">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Pr>
        <w:t>2</w:t>
      </w:r>
      <w:r w:rsidRPr="0011430B">
        <w:rPr>
          <w:rFonts w:ascii="Simplified Arabic" w:hAnsi="Simplified Arabic" w:cs="Simplified Arabic"/>
          <w:b/>
          <w:bCs/>
          <w:sz w:val="24"/>
          <w:szCs w:val="24"/>
          <w:rtl/>
        </w:rPr>
        <w:t>.</w:t>
      </w:r>
      <w:r w:rsidR="00E624E0" w:rsidRPr="0011430B">
        <w:rPr>
          <w:rFonts w:ascii="Simplified Arabic" w:hAnsi="Simplified Arabic" w:cs="Simplified Arabic"/>
          <w:b/>
          <w:bCs/>
          <w:sz w:val="24"/>
          <w:szCs w:val="24"/>
          <w:rtl/>
        </w:rPr>
        <w:t xml:space="preserve"> مشكلة الدراسة</w:t>
      </w:r>
    </w:p>
    <w:p w14:paraId="73756101" w14:textId="77777777"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2.1 </w:t>
      </w:r>
      <w:r w:rsidRPr="0011430B">
        <w:rPr>
          <w:rFonts w:ascii="Simplified Arabic" w:hAnsi="Simplified Arabic" w:cs="Simplified Arabic"/>
          <w:b/>
          <w:bCs/>
          <w:sz w:val="24"/>
          <w:szCs w:val="24"/>
          <w:rtl/>
        </w:rPr>
        <w:t>السياق العالمي والتحديات المرتبطة بسلامة المرضى</w:t>
      </w:r>
    </w:p>
    <w:p w14:paraId="79176177" w14:textId="77777777" w:rsidR="00FF40E9" w:rsidRPr="0011430B" w:rsidRDefault="00FF40E9"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lastRenderedPageBreak/>
        <w:t xml:space="preserve">تواجه الأنظمة الصحية في جميع أنحاء العالم تحديات متزايدة تتعلق بضمان سلامة المرضى، حيث تُعد هذه القضية محورًا أساسيًا في الممارسات الطبية وأبحاث العلم المعاصر. وتشير الأدبيات إلى أن الأخطاء الطبية والحوادث الضارة التي يمكن الوقاية منها لا تزال تشكل سببًا رئيسيًا للأضرار الجسيمة التي تلحق بالمرضى، بالإضافة إلى الأعباء المالية والتشغيلية الكبيرة التي تفرضها على المؤسسات الصحية </w:t>
      </w:r>
      <w:r w:rsidR="001C2889" w:rsidRPr="0011430B">
        <w:rPr>
          <w:rFonts w:ascii="Simplified Arabic" w:hAnsi="Simplified Arabic" w:cs="Simplified Arabic"/>
          <w:sz w:val="24"/>
          <w:szCs w:val="24"/>
          <w:rtl/>
        </w:rPr>
        <w:fldChar w:fldCharType="begin"/>
      </w:r>
      <w:r w:rsidR="001C2889" w:rsidRPr="0011430B">
        <w:rPr>
          <w:rFonts w:ascii="Simplified Arabic" w:hAnsi="Simplified Arabic" w:cs="Simplified Arabic"/>
          <w:sz w:val="24"/>
          <w:szCs w:val="24"/>
          <w:rtl/>
        </w:rPr>
        <w:instrText xml:space="preserve"> </w:instrText>
      </w:r>
      <w:r w:rsidR="001C2889" w:rsidRPr="0011430B">
        <w:rPr>
          <w:rFonts w:ascii="Simplified Arabic" w:hAnsi="Simplified Arabic" w:cs="Simplified Arabic"/>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001C2889" w:rsidRPr="0011430B">
        <w:rPr>
          <w:rFonts w:ascii="Simplified Arabic" w:hAnsi="Simplified Arabic" w:cs="Simplified Arabic"/>
          <w:sz w:val="24"/>
          <w:szCs w:val="24"/>
          <w:rtl/>
        </w:rPr>
        <w:instrText xml:space="preserve">" </w:instrText>
      </w:r>
      <w:r w:rsidR="001C2889" w:rsidRPr="0011430B">
        <w:rPr>
          <w:rFonts w:ascii="Simplified Arabic" w:hAnsi="Simplified Arabic" w:cs="Simplified Arabic"/>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001C2889" w:rsidRPr="0011430B">
        <w:rPr>
          <w:rFonts w:ascii="Simplified Arabic" w:hAnsi="Simplified Arabic" w:cs="Simplified Arabic"/>
          <w:sz w:val="24"/>
          <w:szCs w:val="24"/>
          <w:rtl/>
        </w:rPr>
        <w:instrText>&gt;</w:instrText>
      </w:r>
      <w:r w:rsidR="001C2889" w:rsidRPr="0011430B">
        <w:rPr>
          <w:rFonts w:ascii="Simplified Arabic" w:hAnsi="Simplified Arabic" w:cs="Simplified Arabic"/>
          <w:sz w:val="24"/>
          <w:szCs w:val="24"/>
          <w:rtl/>
        </w:rPr>
        <w:fldChar w:fldCharType="separate"/>
      </w:r>
      <w:r w:rsidR="001C2889" w:rsidRPr="0011430B">
        <w:rPr>
          <w:rFonts w:ascii="Simplified Arabic" w:hAnsi="Simplified Arabic" w:cs="Simplified Arabic"/>
          <w:noProof/>
          <w:sz w:val="24"/>
          <w:szCs w:val="24"/>
          <w:rtl/>
        </w:rPr>
        <w:t>(</w:t>
      </w:r>
      <w:r w:rsidR="001C2889" w:rsidRPr="0011430B">
        <w:rPr>
          <w:rFonts w:ascii="Simplified Arabic" w:hAnsi="Simplified Arabic" w:cs="Simplified Arabic"/>
          <w:noProof/>
          <w:sz w:val="24"/>
          <w:szCs w:val="24"/>
        </w:rPr>
        <w:t>Hussain &amp; Khayat, 2021</w:t>
      </w:r>
      <w:r w:rsidR="001C2889" w:rsidRPr="0011430B">
        <w:rPr>
          <w:rFonts w:ascii="Simplified Arabic" w:hAnsi="Simplified Arabic" w:cs="Simplified Arabic"/>
          <w:noProof/>
          <w:sz w:val="24"/>
          <w:szCs w:val="24"/>
          <w:rtl/>
        </w:rPr>
        <w:t>)</w:t>
      </w:r>
      <w:r w:rsidR="001C2889" w:rsidRPr="0011430B">
        <w:rPr>
          <w:rFonts w:ascii="Simplified Arabic" w:hAnsi="Simplified Arabic" w:cs="Simplified Arabic"/>
          <w:sz w:val="24"/>
          <w:szCs w:val="24"/>
          <w:rtl/>
        </w:rPr>
        <w:fldChar w:fldCharType="end"/>
      </w:r>
      <w:r w:rsidRPr="0011430B">
        <w:rPr>
          <w:rFonts w:ascii="Simplified Arabic" w:hAnsi="Simplified Arabic" w:cs="Simplified Arabic"/>
          <w:sz w:val="24"/>
          <w:szCs w:val="24"/>
          <w:rtl/>
        </w:rPr>
        <w:t xml:space="preserve">. </w:t>
      </w:r>
    </w:p>
    <w:p w14:paraId="1103070C" w14:textId="77777777" w:rsidR="00B176F1" w:rsidRPr="0011430B" w:rsidRDefault="00FF40E9" w:rsidP="00FF40E9">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ويزداد تعقيد هذا التحدي في البيئات التي تتطلب تنسيقًا متكاملاً بين فرق العمل ذات التخصصات المتعددة، وإدارة دقيقة للعمليات الحيوية. في هذا السياق، تتزايد الحاجة إلى فهم العوامل القيادية والتنظيمية التي تساهم في ترسيخ ثقافة قوية لسلامة المرضى، وتعزيز قدرة المؤسسة على الوقاية من الأخطاء وتقليل آثارها.</w:t>
      </w:r>
    </w:p>
    <w:p w14:paraId="3C3211BB" w14:textId="77777777"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2.2 </w:t>
      </w:r>
      <w:r w:rsidRPr="0011430B">
        <w:rPr>
          <w:rFonts w:ascii="Simplified Arabic" w:hAnsi="Simplified Arabic" w:cs="Simplified Arabic"/>
          <w:b/>
          <w:bCs/>
          <w:sz w:val="24"/>
          <w:szCs w:val="24"/>
          <w:rtl/>
        </w:rPr>
        <w:t>الوضع في المملكة العربية السعودية والحاجة إلى التحول القيادي</w:t>
      </w:r>
    </w:p>
    <w:p w14:paraId="67DEF984" w14:textId="77777777" w:rsidR="00FF40E9" w:rsidRPr="0011430B" w:rsidRDefault="00FF40E9" w:rsidP="00054F0A">
      <w:p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في المملكة العربية السعودية، تكتسب قضايا سلامة المرضى أهمية متزايدة في ضوء مستهدفات رؤية 2030 وبرنامج تحول القطاع الصحي. ورغم المبادرات الموجهة لتحسين جودة الرعاية، تظهر الأدلة المنشورة استمرار بعض الأخطاء القابلة للوقاية ونقص الإبلاغ عن الحوادث في عدد من المنشآت الصحية (Almalki et al., 2021; Alahmadi et al., 2022).</w:t>
      </w:r>
    </w:p>
    <w:p w14:paraId="70171AD6" w14:textId="77777777" w:rsidR="00B176F1" w:rsidRPr="0011430B" w:rsidRDefault="00FF40E9" w:rsidP="00BD1209">
      <w:p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وتبرز الأدبيات الحديثة الدور المهم للقيادة التحويلية بوصفها عاملًا تنظيميًا يرتبط بتشكيل ثقافة السلامة وتعزيز ممارساتها. فقد أظهرت دراسات صحية أن هذا الأسلوب القيادي يرتبط إيجابيًا بثقافة سلامة المرضى وسلوكيات العاملين الآمنة، وأن ثقافة السلامة قد تؤدي دورًا وسيطًا في نقل الأثر القيادي إلى الممارسة اليومية (Hamdan et al., 2024; Alotaibi et al., 2015).</w:t>
      </w:r>
    </w:p>
    <w:p w14:paraId="416D746F" w14:textId="77777777" w:rsidR="00B176F1" w:rsidRPr="0011430B" w:rsidRDefault="00930E7C" w:rsidP="00054F0A">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Pr>
        <w:t xml:space="preserve">2.3 </w:t>
      </w:r>
      <w:r w:rsidRPr="0011430B">
        <w:rPr>
          <w:rFonts w:ascii="Simplified Arabic" w:hAnsi="Simplified Arabic" w:cs="Simplified Arabic"/>
          <w:b/>
          <w:bCs/>
          <w:sz w:val="24"/>
          <w:szCs w:val="24"/>
          <w:rtl/>
        </w:rPr>
        <w:t>الفجوة</w:t>
      </w:r>
      <w:r w:rsidR="00B176F1" w:rsidRPr="0011430B">
        <w:rPr>
          <w:rFonts w:ascii="Simplified Arabic" w:hAnsi="Simplified Arabic" w:cs="Simplified Arabic"/>
          <w:b/>
          <w:bCs/>
          <w:sz w:val="24"/>
          <w:szCs w:val="24"/>
          <w:rtl/>
        </w:rPr>
        <w:t xml:space="preserve"> البحثية والحاجة المحددة في منطقة الجوف</w:t>
      </w:r>
    </w:p>
    <w:p w14:paraId="1F18A75C" w14:textId="30590BF4" w:rsidR="00FF40E9" w:rsidRPr="0011430B" w:rsidRDefault="00B176F1"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على الرغم من التراكم المعرفي في مجال القيادة التحويلية وسلامة المرضى، إلا أن الأبحاث لا تزال تُظهر فجوة واضحة في فهم الآليات الوسيطة التي تربط بين القيادة والثقافة والسلوكيات المؤسسية، خاصة ضمن السياق السعودي. ويبرز هذا القصور بوضوح في مستشفيات القطاع الحكومي بمنطقة الجوف، التي تواجه تحديات متزايدة في ترسيخ ثقافة قوية للسلامة ورفع مستوى التزام العاملين بالممارسات الآمنة، مما قد ينعكس سلبًا على جودة الرعاية الصحية المقدمة (مخدوم</w:t>
      </w:r>
      <w:r w:rsidR="001B6D9B">
        <w:rPr>
          <w:rFonts w:ascii="Simplified Arabic" w:hAnsi="Simplified Arabic" w:cs="Simplified Arabic" w:hint="cs"/>
          <w:sz w:val="24"/>
          <w:szCs w:val="24"/>
          <w:rtl/>
        </w:rPr>
        <w:t>,</w:t>
      </w:r>
      <w:r w:rsidRPr="0011430B">
        <w:rPr>
          <w:rFonts w:ascii="Simplified Arabic" w:hAnsi="Simplified Arabic" w:cs="Simplified Arabic"/>
          <w:sz w:val="24"/>
          <w:szCs w:val="24"/>
          <w:rtl/>
        </w:rPr>
        <w:t xml:space="preserve"> 2019). </w:t>
      </w:r>
    </w:p>
    <w:p w14:paraId="0FD93085" w14:textId="77777777" w:rsidR="00B176F1" w:rsidRPr="0011430B" w:rsidRDefault="00FF40E9" w:rsidP="007D1551">
      <w:p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كما يظهر عدم التوازن الجغرافي في الدراسات الوطنية، إذ تتركز نسبة كبيرة من الأبحاث في مناطق حضرية كبرى، في حين ما تزال الأدلة من منطقة الجوف محدودة. وعليه، تتمثل المشكلة الأساسية للدراسة في فحص المسار النظري المتتابع الذي يربط القيادة التحويلية بالتقليل المُدرَك للأحداث الضارة من خلال ثقافة سلامة المرضى وسلوكيات السلامة لدى العاملين في المستشفيات الحكومية بمنطقة الجوف. وتهدف الدراسة إلى توفير بيانات ميدانية محلية تدعم متخذي القرار في تطوير تدخلات قيادية وتنظيمية ملائمة للسياق الإقليمي، مع الالتزام بأن التصميم المقطعي يختبر علاقات إحصائية ولا يثبت السببية أو التتابع الزمني.</w:t>
      </w:r>
    </w:p>
    <w:p w14:paraId="1A27055B" w14:textId="77777777"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tl/>
        </w:rPr>
        <w:lastRenderedPageBreak/>
        <w:t>3.</w:t>
      </w:r>
      <w:r w:rsidRPr="0011430B">
        <w:rPr>
          <w:rFonts w:ascii="Simplified Arabic" w:hAnsi="Simplified Arabic" w:cs="Simplified Arabic"/>
          <w:b/>
          <w:bCs/>
          <w:sz w:val="24"/>
          <w:szCs w:val="24"/>
        </w:rPr>
        <w:t xml:space="preserve"> </w:t>
      </w:r>
      <w:r w:rsidRPr="0011430B">
        <w:rPr>
          <w:rFonts w:ascii="Simplified Arabic" w:hAnsi="Simplified Arabic" w:cs="Simplified Arabic"/>
          <w:b/>
          <w:bCs/>
          <w:sz w:val="24"/>
          <w:szCs w:val="24"/>
          <w:rtl/>
        </w:rPr>
        <w:t xml:space="preserve">أسئلة الدراسة </w:t>
      </w:r>
    </w:p>
    <w:p w14:paraId="66053FE2" w14:textId="77777777"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3.1 </w:t>
      </w:r>
      <w:r w:rsidRPr="0011430B">
        <w:rPr>
          <w:rFonts w:ascii="Simplified Arabic" w:hAnsi="Simplified Arabic" w:cs="Simplified Arabic"/>
          <w:b/>
          <w:bCs/>
          <w:sz w:val="24"/>
          <w:szCs w:val="24"/>
          <w:rtl/>
        </w:rPr>
        <w:t>السؤال الرئيسي</w:t>
      </w:r>
    </w:p>
    <w:p w14:paraId="7270BA68" w14:textId="77777777" w:rsidR="00A15DD9" w:rsidRDefault="00A15DD9" w:rsidP="00054F0A">
      <w:pPr>
        <w:bidi/>
        <w:spacing w:line="360" w:lineRule="auto"/>
        <w:jc w:val="both"/>
        <w:rPr>
          <w:rFonts w:ascii="Simplified Arabic" w:hAnsi="Simplified Arabic" w:cs="Simplified Arabic"/>
          <w:b/>
          <w:bCs/>
          <w:sz w:val="24"/>
          <w:szCs w:val="24"/>
          <w:rtl/>
        </w:rPr>
      </w:pPr>
      <w:r>
        <w:rPr>
          <w:rFonts w:ascii="Simplified Arabic" w:eastAsia="Simplified Arabic" w:hAnsi="Simplified Arabic" w:cs="Simplified Arabic"/>
          <w:sz w:val="24"/>
          <w:rtl/>
        </w:rPr>
        <w:t>ما أثر القيادة التحويلية بأبعادها الستة في التقليل المُدرَك للأحداث الضارة من خلال الوساطة المتتابعة لثقافة سلامة المرضى وسلوكيات السلامة لدى العاملين في مستشفيات القطاع الحكومي بمنطقة الجوف، وفق إطار Podsakoff et al. (1990)؟</w:t>
      </w:r>
    </w:p>
    <w:p w14:paraId="69AC2AE7" w14:textId="77777777" w:rsidR="00B176F1" w:rsidRPr="0011430B" w:rsidRDefault="00B176F1" w:rsidP="00A15DD9">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3.2 </w:t>
      </w:r>
      <w:r w:rsidRPr="0011430B">
        <w:rPr>
          <w:rFonts w:ascii="Simplified Arabic" w:hAnsi="Simplified Arabic" w:cs="Simplified Arabic"/>
          <w:b/>
          <w:bCs/>
          <w:sz w:val="24"/>
          <w:szCs w:val="24"/>
          <w:rtl/>
        </w:rPr>
        <w:t>الأسئلة الفرعية</w:t>
      </w:r>
    </w:p>
    <w:p w14:paraId="0CF6DB54" w14:textId="77777777" w:rsidR="00B176F1" w:rsidRPr="0011430B" w:rsidRDefault="00A15DD9">
      <w:pPr>
        <w:numPr>
          <w:ilvl w:val="0"/>
          <w:numId w:val="3"/>
        </w:num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ما أثر أبعاد القيادة التحويلية، وفق مقياس TLI، في ثقافة سلامة المرضى لدى العاملين في المستشفيات الحكومية بمنطقة الجوف؟</w:t>
      </w:r>
    </w:p>
    <w:p w14:paraId="7548DF35" w14:textId="77777777" w:rsidR="00B176F1" w:rsidRPr="0011430B" w:rsidRDefault="00FF40E9">
      <w:pPr>
        <w:numPr>
          <w:ilvl w:val="0"/>
          <w:numId w:val="3"/>
        </w:num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ما أثر ثقافة سلامة المرضى في سلوكيات السلامة لدى العاملين في المستشفيات الحكومية بمنطقة الجوف؟</w:t>
      </w:r>
    </w:p>
    <w:p w14:paraId="07A7EF37" w14:textId="77777777" w:rsidR="00B176F1" w:rsidRPr="0011430B" w:rsidRDefault="00FF40E9">
      <w:pPr>
        <w:numPr>
          <w:ilvl w:val="0"/>
          <w:numId w:val="3"/>
        </w:num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ما أثر سلوكيات السلامة في التقليل المُدرَك للأحداث الضارة لدى العاملين في المستشفيات الحكومية بمنطقة الجوف؟</w:t>
      </w:r>
    </w:p>
    <w:p w14:paraId="5090C74E" w14:textId="77777777" w:rsidR="00B176F1" w:rsidRPr="0011430B" w:rsidRDefault="00FF40E9">
      <w:pPr>
        <w:numPr>
          <w:ilvl w:val="0"/>
          <w:numId w:val="3"/>
        </w:num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إلى أي مدى تتوسط ثقافة سلامة المرضى العلاقة بين القيادة التحويلية وسلوكيات السلامة لدى العاملين في المستشفيات الحكومية بمنطقة الجوف؟</w:t>
      </w:r>
    </w:p>
    <w:p w14:paraId="5D3AC943" w14:textId="77777777" w:rsidR="00B176F1" w:rsidRPr="0011430B" w:rsidRDefault="00FF40E9">
      <w:pPr>
        <w:numPr>
          <w:ilvl w:val="0"/>
          <w:numId w:val="3"/>
        </w:numPr>
        <w:bidi/>
        <w:spacing w:line="360" w:lineRule="auto"/>
        <w:jc w:val="both"/>
        <w:rPr>
          <w:rFonts w:ascii="Simplified Arabic" w:hAnsi="Simplified Arabic" w:cs="Simplified Arabic"/>
          <w:sz w:val="24"/>
          <w:szCs w:val="24"/>
          <w:rtl/>
        </w:rPr>
      </w:pPr>
      <w:r>
        <w:rPr>
          <w:rFonts w:ascii="Simplified Arabic" w:eastAsia="Simplified Arabic" w:hAnsi="Simplified Arabic" w:cs="Simplified Arabic"/>
          <w:sz w:val="24"/>
          <w:rtl/>
        </w:rPr>
        <w:t>إلى أي مدى تتوسط ثقافة سلامة المرضى وسلوكيات السلامة، على نحو متتابع، العلاقة بين القيادة التحويلية والتقليل المُدرَك للأحداث الضارة في المستشفيات الحكومية بمنطقة الجوف؟</w:t>
      </w:r>
    </w:p>
    <w:p w14:paraId="3347E595" w14:textId="77777777" w:rsidR="001E6447" w:rsidRPr="0011430B" w:rsidRDefault="00E751D1" w:rsidP="00BE577C">
      <w:pPr>
        <w:pStyle w:val="a8"/>
        <w:bidi/>
        <w:spacing w:line="360" w:lineRule="auto"/>
        <w:jc w:val="both"/>
        <w:rPr>
          <w:rFonts w:ascii="Simplified Arabic" w:hAnsi="Simplified Arabic" w:cs="Simplified Arabic"/>
          <w:b/>
          <w:bCs/>
          <w:color w:val="000000"/>
          <w:rtl/>
        </w:rPr>
      </w:pPr>
      <w:r>
        <w:rPr>
          <w:rFonts w:ascii="Simplified Arabic" w:hAnsi="Simplified Arabic" w:cs="Simplified Arabic" w:hint="cs"/>
          <w:b/>
          <w:bCs/>
          <w:color w:val="000000"/>
          <w:rtl/>
        </w:rPr>
        <w:t>4</w:t>
      </w:r>
      <w:r w:rsidR="001E6447" w:rsidRPr="0011430B">
        <w:rPr>
          <w:rFonts w:ascii="Simplified Arabic" w:hAnsi="Simplified Arabic" w:cs="Simplified Arabic"/>
          <w:b/>
          <w:bCs/>
          <w:color w:val="000000"/>
          <w:rtl/>
        </w:rPr>
        <w:t>. أهمية الدراسة</w:t>
      </w:r>
    </w:p>
    <w:p w14:paraId="683F6197" w14:textId="77777777" w:rsidR="00B27C81" w:rsidRPr="0011430B" w:rsidRDefault="00B27C81" w:rsidP="00BD1209">
      <w:pPr>
        <w:pStyle w:val="a8"/>
        <w:bidi/>
        <w:spacing w:line="360" w:lineRule="auto"/>
        <w:jc w:val="both"/>
        <w:rPr>
          <w:rFonts w:ascii="Simplified Arabic" w:hAnsi="Simplified Arabic" w:cs="Simplified Arabic"/>
          <w:b/>
          <w:bCs/>
          <w:color w:val="000000"/>
        </w:rPr>
      </w:pPr>
      <w:r>
        <w:rPr>
          <w:rFonts w:ascii="Simplified Arabic" w:eastAsia="Simplified Arabic" w:hAnsi="Simplified Arabic" w:cs="Simplified Arabic"/>
          <w:color w:val="000000"/>
          <w:sz w:val="28"/>
          <w:rtl/>
        </w:rPr>
        <w:t>تكتسب هذه الدراسة أهميتها من فحصها للمسار المتتابع الذي يربط القيادة التحويلية بالتقليل المُدرَك للأحداث الضارة من خلال ثقافة سلامة المرضى وسلوكيات السلامة. وتقدم الدراسة إطارًا تحليليًا يوضح كيف قد تنتقل التأثيرات القيادية عبر البيئة التنظيمية والممارسات اليومية، مع تفسير النتائج بوصفها علاقات إحصائية ضمن تصميم مقطعي.</w:t>
      </w:r>
    </w:p>
    <w:p w14:paraId="628FBD3D" w14:textId="77777777" w:rsidR="00054F0A" w:rsidRPr="0011430B" w:rsidRDefault="00054F0A" w:rsidP="00B27C81">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4.1 </w:t>
      </w:r>
      <w:r w:rsidRPr="0011430B">
        <w:rPr>
          <w:rFonts w:ascii="Simplified Arabic" w:hAnsi="Simplified Arabic" w:cs="Simplified Arabic"/>
          <w:b/>
          <w:bCs/>
          <w:color w:val="000000"/>
          <w:rtl/>
        </w:rPr>
        <w:t>الأهمية النظرية (العلمية)</w:t>
      </w:r>
    </w:p>
    <w:p w14:paraId="3F5BAFC4" w14:textId="77777777" w:rsidR="00054F0A" w:rsidRPr="0011430B" w:rsidRDefault="00FF40E9" w:rsidP="00125F5F">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تُقدم هذه الدراسة إسهامات معرفية تسهم في إثراء حقل دراسات القيادة والتنظيم في القطاع الصحي. وتقع هذه الإسهامات ضمن أربعة محاور رئيسية موضحة أدناه.</w:t>
      </w:r>
    </w:p>
    <w:p w14:paraId="3B72CD8B" w14:textId="77777777" w:rsidR="00C55181" w:rsidRPr="0011430B" w:rsidRDefault="00FF40E9">
      <w:pPr>
        <w:pStyle w:val="a8"/>
        <w:numPr>
          <w:ilvl w:val="0"/>
          <w:numId w:val="4"/>
        </w:numPr>
        <w:bidi/>
        <w:spacing w:line="360" w:lineRule="auto"/>
        <w:jc w:val="both"/>
        <w:rPr>
          <w:rFonts w:ascii="Simplified Arabic" w:hAnsi="Simplified Arabic" w:cs="Simplified Arabic"/>
          <w:color w:val="000000"/>
        </w:rPr>
      </w:pPr>
      <w:r>
        <w:rPr>
          <w:rFonts w:ascii="Simplified Arabic" w:eastAsia="Simplified Arabic" w:hAnsi="Simplified Arabic" w:cs="Simplified Arabic"/>
          <w:color w:val="000000"/>
          <w:sz w:val="28"/>
          <w:rtl/>
        </w:rPr>
        <w:lastRenderedPageBreak/>
        <w:t>اختبار نموذج التوسيط المتتابع المتكامل: تختبر الدراسة نموذجًا يوضح ارتباط القيادة التحويلية بالتقليل المُدرَك للأحداث الضارة من خلال ثقافة سلامة المرضى ثم سلوكيات السلامة. ويسهم هذا النهج في معالجة النقص في الدراسات التي دمجت المتغيرات الأربعة في نموذج واحد، ولا سيما في السياق السعودي ومنطقة الجوف.</w:t>
      </w:r>
    </w:p>
    <w:p w14:paraId="3E441115" w14:textId="77777777" w:rsidR="00054F0A"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تُعزِّز الدراسة فهم المتغيرات في السياق المحلي من خلال إسهامها في توسيع المعرفة العلمية عبر تقديم أدلة تجريبية مأخوذة من الواقع السعودي، مما يُثري الأدبيات ذات الصلة بتأثيرات القيادة التحويلية على الأداء التنظيمي في القطاع الصحي. بالإضافة إلى ذلك، توفر الدراسة تحليلًا شاملاً لأبعاد القيادة التحويلية وأبعاد </w:t>
      </w:r>
      <w:r w:rsidR="00BD1209" w:rsidRPr="00BD1209">
        <w:rPr>
          <w:rFonts w:ascii="Simplified Arabic" w:hAnsi="Simplified Arabic" w:cs="Simplified Arabic"/>
          <w:color w:val="000000"/>
          <w:rtl/>
        </w:rPr>
        <w:t>ثقافة سلامة المرضى</w:t>
      </w:r>
      <w:r w:rsidRPr="0011430B">
        <w:rPr>
          <w:rFonts w:ascii="Simplified Arabic" w:hAnsi="Simplified Arabic" w:cs="Simplified Arabic"/>
          <w:color w:val="000000"/>
          <w:rtl/>
        </w:rPr>
        <w:t xml:space="preserve">، مع استكشاف التأثيرات المباشرة وغير المباشرة بينهما </w:t>
      </w:r>
      <w:r w:rsidR="001C2889" w:rsidRPr="0011430B">
        <w:rPr>
          <w:rFonts w:ascii="Simplified Arabic" w:hAnsi="Simplified Arabic" w:cs="Simplified Arabic"/>
          <w:color w:val="000000"/>
          <w:rtl/>
        </w:rPr>
        <w:fldChar w:fldCharType="begin"/>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ADDIN EN.CITE &lt;EndNote&gt;&lt;Cite&gt;&lt;Author&gt;Khirfan&lt;/Author&gt;&lt;Year&gt;2022&lt;/Year&gt;&lt;RecNum&gt;180&lt;/RecNum&gt;&lt;DisplayText&gt;(Khirfan &amp;amp; Abd Aziz, 2022)&lt;/DisplayText&gt;&lt;record&gt;&lt;rec-number&gt;180&lt;/rec-number&gt;&lt;foreign-keys&gt;&lt;key app="EN" db-id="02retxxrerxdxhe9aphvs0z2t9z25p0ew99s</w:instrText>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sidRPr="0011430B">
        <w:rPr>
          <w:rFonts w:ascii="Simplified Arabic" w:hAnsi="Simplified Arabic" w:cs="Simplified Arabic"/>
          <w:color w:val="000000"/>
          <w:rtl/>
        </w:rPr>
        <w:instrText>&gt;</w:instrText>
      </w:r>
      <w:r w:rsidR="001C2889" w:rsidRPr="0011430B">
        <w:rPr>
          <w:rFonts w:ascii="Simplified Arabic" w:hAnsi="Simplified Arabic" w:cs="Simplified Arabic"/>
          <w:color w:val="000000"/>
          <w:rtl/>
        </w:rPr>
        <w:fldChar w:fldCharType="separate"/>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noProof/>
          <w:color w:val="000000"/>
        </w:rPr>
        <w:t>Khirfan &amp; Abd Aziz, 2022</w:t>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color w:val="000000"/>
          <w:rtl/>
        </w:rPr>
        <w:fldChar w:fldCharType="end"/>
      </w:r>
      <w:r w:rsidRPr="0011430B">
        <w:rPr>
          <w:rFonts w:ascii="Simplified Arabic" w:hAnsi="Simplified Arabic" w:cs="Simplified Arabic"/>
          <w:color w:val="000000"/>
          <w:rtl/>
        </w:rPr>
        <w:t>.</w:t>
      </w:r>
    </w:p>
    <w:p w14:paraId="54502653" w14:textId="68681E5A" w:rsidR="00054F0A"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إثراء الأطر المنهجية في البحوث الصحية: تعتمد الدراسة على نمذجة </w:t>
      </w:r>
      <w:r w:rsidRPr="00247419">
        <w:rPr>
          <w:rFonts w:ascii="Simplified Arabic" w:hAnsi="Simplified Arabic" w:cs="Simplified Arabic"/>
          <w:color w:val="000000"/>
          <w:rtl/>
        </w:rPr>
        <w:t xml:space="preserve">المعادلات الهيكلية بوصفها منهجية متقدمة تتيح قياس العلاقات بين المتغيرات، وفحص المسارات الوسيطة المعقدة. ويساهم هذا الأسلوب </w:t>
      </w:r>
      <w:r w:rsidR="00247419" w:rsidRPr="00247419">
        <w:rPr>
          <w:rFonts w:ascii="Simplified Arabic" w:eastAsia="Arial" w:hAnsi="Simplified Arabic" w:cs="Simplified Arabic"/>
          <w:color w:val="000000"/>
          <w:rtl/>
        </w:rPr>
        <w:t>رفع مستوى الانضباط المنهجي</w:t>
      </w:r>
      <w:r w:rsidR="00247419">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وتحسين جودة النماذج التحليلية المستخدمة في مجال دراسات القيادة والسلامة المهنية ضمن القطاع الصحي.</w:t>
      </w:r>
    </w:p>
    <w:p w14:paraId="21DB13DF" w14:textId="77777777" w:rsidR="00054F0A" w:rsidRPr="0011430B" w:rsidRDefault="00FF40E9">
      <w:pPr>
        <w:pStyle w:val="a8"/>
        <w:numPr>
          <w:ilvl w:val="0"/>
          <w:numId w:val="4"/>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تقليل الفجوة الجغرافية في البحث العلمي: تساهم الدراسة في سد النقص الملحوظ في الأبحاث المتعلقة بمنطقة الجوف، حيث تُعتبر هذه المنطقة من المناطق التي لم تحظَ بالعناية البحثية الكافية رغم أهميتها الإقليمية وعدد المستفيدين من خدماتها الصحية. وبالتالي، فإن الدراسة تضيف قيمة معرفية من خلال تسليط الضوء على واقع القيادة والسلامة في سياق جغرافي لم يُتناول بشكل كافٍ في الأدبيات، مما يعزز الفهم العلمي ويوسع نطاق المعرفة في هذا المجال.</w:t>
      </w:r>
    </w:p>
    <w:p w14:paraId="6C96240E" w14:textId="77777777" w:rsidR="00054F0A" w:rsidRPr="0011430B" w:rsidRDefault="00054F0A" w:rsidP="00054F0A">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4.2 </w:t>
      </w:r>
      <w:r w:rsidRPr="0011430B">
        <w:rPr>
          <w:rFonts w:ascii="Simplified Arabic" w:hAnsi="Simplified Arabic" w:cs="Simplified Arabic"/>
          <w:b/>
          <w:bCs/>
          <w:color w:val="000000"/>
          <w:rtl/>
        </w:rPr>
        <w:t>الأهمية التطبيقية (العملية)</w:t>
      </w:r>
    </w:p>
    <w:p w14:paraId="56F22951" w14:textId="77777777" w:rsidR="00054F0A" w:rsidRPr="0011430B" w:rsidRDefault="00FF40E9" w:rsidP="00054F0A">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تُسهم الدراسة في تقديم قيمة عملية ملموسة تُعزز دعم صانعي القرار والقادة في القطاع الصحي من خلال ما يلي:</w:t>
      </w:r>
    </w:p>
    <w:p w14:paraId="2327E890" w14:textId="77777777" w:rsidR="00054F0A" w:rsidRPr="0011430B" w:rsidRDefault="00054F0A">
      <w:pPr>
        <w:pStyle w:val="a8"/>
        <w:numPr>
          <w:ilvl w:val="0"/>
          <w:numId w:val="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دعم تحقيق الأهداف الاستراتيجية لرؤية المملكة 2030</w:t>
      </w:r>
      <w:r w:rsidRPr="0011430B">
        <w:rPr>
          <w:rFonts w:ascii="Simplified Arabic" w:hAnsi="Simplified Arabic" w:cs="Simplified Arabic"/>
          <w:color w:val="000000"/>
        </w:rPr>
        <w:t>: </w:t>
      </w:r>
      <w:r w:rsidRPr="0011430B">
        <w:rPr>
          <w:rFonts w:ascii="Simplified Arabic" w:hAnsi="Simplified Arabic" w:cs="Simplified Arabic"/>
          <w:color w:val="000000"/>
          <w:rtl/>
        </w:rPr>
        <w:t>توفر الدراسة بيانات محلية دقيقة يمكن الاستفادة منها في دعم برامج التحول الصحي، وتوجيه الجهود نحو تحسين جودة الخدمات وتعزيز سلامة المرضى. وتُمكن نتائج الدراسة من تطوير مبادرات متوافقة مع مستهدفات رؤية 2030، مما يُسهم في تحسين مستوى الرعاية داخل المستشفيات الحكومية</w:t>
      </w:r>
      <w:r w:rsidRPr="0011430B">
        <w:rPr>
          <w:rFonts w:ascii="Simplified Arabic" w:hAnsi="Simplified Arabic" w:cs="Simplified Arabic"/>
          <w:color w:val="000000"/>
        </w:rPr>
        <w:t>.</w:t>
      </w:r>
    </w:p>
    <w:p w14:paraId="4D119183" w14:textId="77777777" w:rsidR="001C2889" w:rsidRPr="0011430B" w:rsidRDefault="00FF40E9">
      <w:pPr>
        <w:pStyle w:val="a8"/>
        <w:numPr>
          <w:ilvl w:val="0"/>
          <w:numId w:val="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تعزيز فعالية التدخلات القيادية: يقدّم النموذج الذي تقترحه الدراسة إطارًا عمليًا يُساعد القادة في المستشفيات على تحديد أبعاد القيادة التحويلية الأكثر تأثيرًا في تعزيز </w:t>
      </w:r>
      <w:r w:rsidR="00C16B99" w:rsidRPr="00C16B99">
        <w:rPr>
          <w:rFonts w:ascii="Simplified Arabic" w:hAnsi="Simplified Arabic" w:cs="Simplified Arabic"/>
          <w:color w:val="000000"/>
          <w:rtl/>
        </w:rPr>
        <w:t>ثقافة سلامة المرضى</w:t>
      </w:r>
      <w:r w:rsidRPr="0011430B">
        <w:rPr>
          <w:rFonts w:ascii="Simplified Arabic" w:hAnsi="Simplified Arabic" w:cs="Simplified Arabic"/>
          <w:color w:val="000000"/>
          <w:rtl/>
        </w:rPr>
        <w:t xml:space="preserve">. ويساعد ذلك في توجيه الموارد نحو الممارسات القيادية التي ترتبط بشكل مباشر بالنتائج الإيجابية في مجال سلامة المرضى </w:t>
      </w:r>
      <w:r w:rsidR="001C2889" w:rsidRPr="0011430B">
        <w:rPr>
          <w:rFonts w:ascii="Simplified Arabic" w:hAnsi="Simplified Arabic" w:cs="Simplified Arabic"/>
          <w:color w:val="000000"/>
          <w:rtl/>
        </w:rPr>
        <w:fldChar w:fldCharType="begin"/>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ADDIN EN.CITE &lt;EndNote&gt;&lt;Cite&gt;&lt;Author&gt;Jones&lt;/Author&gt;&lt;Year&gt;2008&lt;/Year&gt;&lt;RecNum&gt;187&lt;/RecNum&gt;&lt;DisplayText&gt;(Jones et al., 2008; Khirfan &amp;amp; Abd Aziz, 2022)&lt;/DisplayText&gt;&lt;record&gt;&lt;rec-number&gt;187&lt;/rec-number&gt;&lt;foreign-keys&gt;&lt;key app="EN" db-id="02retxxrerxdxhe9aphvs0z2t9z25p0ew99s" timestamp="1754603905"&gt;187&lt;/key&gt;&lt;/foreign-keys&gt;&lt;ref-type name="Conference Proceedings"&gt;10&lt;/ref-type&gt;&lt;contributors&gt;&lt;authors&gt;&lt;author&gt;Jones, Katherine Janiec&lt;/author&gt;&lt;author&gt;Skinner, Anne&lt;/author&gt;&lt;author&gt;Xu, Liyan&lt;/author&gt;&lt;author&gt;Sun, Junfeng&lt;/author&gt;&lt;author&gt;Mueller, Keith&lt;/author&gt;&lt;/authors&gt;&lt;/contributors&gt;&lt;titles&gt;&lt;title&gt;The AHRQ Hospital Survey on Patient Safety Culture: A Tool to Plan and Evaluate Patient Safety Programs&lt;/title&gt;&lt;/titles&gt;&lt;dates&gt;&lt;year&gt;2008&lt;/year&gt;&lt;/dates&gt;&lt;urls&gt;&lt;/urls&gt;&lt;electronic-resource-num&gt;21249886&lt;/electronic-resource-num&gt;&lt;/record&gt;&lt;/Cite&gt;&lt;Cite&gt;&lt;Author&gt;Khirfan&lt;/Author&gt;&lt;Year&gt;2022&lt;/Year&gt;&lt;RecNum&gt;180&lt;/RecNum&gt;&lt;record&gt;&lt;rec-number&gt;180&lt;/rec-number&gt;&lt;foreign-keys&gt;&lt;key app="EN" db-id="02retxxrerxdxhe9aphvs0z2t9z25p0ew99s" timestamp</w:instrText>
      </w:r>
      <w:r w:rsidR="001C2889" w:rsidRPr="0011430B">
        <w:rPr>
          <w:rFonts w:ascii="Simplified Arabic" w:hAnsi="Simplified Arabic" w:cs="Simplified Arabic"/>
          <w:color w:val="000000"/>
          <w:rtl/>
        </w:rPr>
        <w:instrText>="1754596836"&gt;180&lt;/</w:instrText>
      </w:r>
      <w:r w:rsidR="001C2889" w:rsidRPr="0011430B">
        <w:rPr>
          <w:rFonts w:ascii="Simplified Arabic" w:hAnsi="Simplified Arabic" w:cs="Simplified Arabic"/>
          <w:color w:val="000000"/>
        </w:rPr>
        <w:instrTex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sidRPr="0011430B">
        <w:rPr>
          <w:rFonts w:ascii="Simplified Arabic" w:hAnsi="Simplified Arabic" w:cs="Simplified Arabic"/>
          <w:color w:val="000000"/>
          <w:rtl/>
        </w:rPr>
        <w:instrText>&gt;</w:instrText>
      </w:r>
      <w:r w:rsidR="001C2889" w:rsidRPr="0011430B">
        <w:rPr>
          <w:rFonts w:ascii="Simplified Arabic" w:hAnsi="Simplified Arabic" w:cs="Simplified Arabic"/>
          <w:color w:val="000000"/>
          <w:rtl/>
        </w:rPr>
        <w:fldChar w:fldCharType="separate"/>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noProof/>
          <w:color w:val="000000"/>
        </w:rPr>
        <w:t>Jones et al., 2008; Khirfan &amp; Abd Aziz, 2022</w:t>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color w:val="000000"/>
          <w:rtl/>
        </w:rPr>
        <w:fldChar w:fldCharType="end"/>
      </w:r>
      <w:r w:rsidR="001C2889" w:rsidRPr="0011430B">
        <w:rPr>
          <w:rFonts w:ascii="Simplified Arabic" w:hAnsi="Simplified Arabic" w:cs="Simplified Arabic"/>
          <w:color w:val="000000"/>
          <w:rtl/>
        </w:rPr>
        <w:t>.</w:t>
      </w:r>
    </w:p>
    <w:p w14:paraId="36082715" w14:textId="77777777" w:rsidR="00054F0A" w:rsidRPr="0011430B" w:rsidRDefault="00C8596E">
      <w:pPr>
        <w:pStyle w:val="a8"/>
        <w:numPr>
          <w:ilvl w:val="0"/>
          <w:numId w:val="5"/>
        </w:numPr>
        <w:bidi/>
        <w:spacing w:line="360" w:lineRule="auto"/>
        <w:jc w:val="both"/>
        <w:rPr>
          <w:rFonts w:ascii="Simplified Arabic" w:hAnsi="Simplified Arabic" w:cs="Simplified Arabic"/>
          <w:color w:val="000000"/>
        </w:rPr>
      </w:pPr>
      <w:r>
        <w:rPr>
          <w:rFonts w:ascii="Simplified Arabic" w:eastAsia="Simplified Arabic" w:hAnsi="Simplified Arabic" w:cs="Simplified Arabic"/>
          <w:color w:val="000000"/>
          <w:sz w:val="28"/>
          <w:rtl/>
        </w:rPr>
        <w:lastRenderedPageBreak/>
        <w:t>تحسين سلوكيات الموظفين وتقليل المخاطر الصحية: توضح الدراسة الدور المحتمل لثقافة سلامة المرضى الإيجابية في تعزيز الالتزام بالإجراءات التنظيمية والإبلاغ عن الحوادث. ويمكن الاستفادة من النتائج في تحديد الممارسات التنظيمية المرتبطة بإدراك أعلى لفاعلية إجراءات الوقاية والتقليل، دون تفسير المقياس بوصفه معدلًا فعليًا للحوادث.</w:t>
      </w:r>
    </w:p>
    <w:p w14:paraId="71D017F5" w14:textId="77777777" w:rsidR="00C8596E" w:rsidRPr="0011430B" w:rsidRDefault="00C8596E">
      <w:pPr>
        <w:pStyle w:val="a8"/>
        <w:numPr>
          <w:ilvl w:val="0"/>
          <w:numId w:val="5"/>
        </w:numPr>
        <w:bidi/>
        <w:spacing w:line="360" w:lineRule="auto"/>
        <w:jc w:val="both"/>
        <w:rPr>
          <w:rFonts w:ascii="Simplified Arabic" w:hAnsi="Simplified Arabic" w:cs="Simplified Arabic"/>
          <w:b/>
          <w:bCs/>
          <w:color w:val="000000"/>
        </w:rPr>
      </w:pPr>
      <w:r w:rsidRPr="0011430B">
        <w:rPr>
          <w:rFonts w:ascii="Simplified Arabic" w:hAnsi="Simplified Arabic" w:cs="Simplified Arabic"/>
          <w:color w:val="000000"/>
          <w:rtl/>
        </w:rPr>
        <w:t xml:space="preserve">تصميم برامج تدريبية موجهة ومبنية على الأدلة: </w:t>
      </w:r>
      <w:r w:rsidR="00582069" w:rsidRPr="00582069">
        <w:rPr>
          <w:rFonts w:ascii="Simplified Arabic" w:hAnsi="Simplified Arabic" w:cs="Simplified Arabic"/>
          <w:color w:val="000000"/>
          <w:rtl/>
        </w:rPr>
        <w:t>يمكن أن توجّه نتائج الدراسة المؤسسات الصحية إلى تصميم برامج تدريبية مخصصة تستهدف القادة والعاملين في منطقة الجوف، استنادًا إلى الفجوات التي تكشفها النتائج</w:t>
      </w:r>
      <w:r w:rsidRPr="0011430B">
        <w:rPr>
          <w:rFonts w:ascii="Simplified Arabic" w:hAnsi="Simplified Arabic" w:cs="Simplified Arabic"/>
          <w:color w:val="000000"/>
          <w:rtl/>
        </w:rPr>
        <w:t>. ويؤدي هذا النهج إلى برامج تدريبية أكثر فاعلية مقارنةً بالبرامج العامة، ويضمن تحقيق تحسين مستدام في ثقافة وسلوكيات السلامة.</w:t>
      </w:r>
    </w:p>
    <w:p w14:paraId="57340F35" w14:textId="77777777" w:rsidR="00ED6763" w:rsidRPr="0011430B" w:rsidRDefault="00ED6763" w:rsidP="00ED6763">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tl/>
        </w:rPr>
        <w:t>5.</w:t>
      </w:r>
      <w:r w:rsidRPr="0011430B">
        <w:rPr>
          <w:rFonts w:ascii="Simplified Arabic" w:hAnsi="Simplified Arabic" w:cs="Simplified Arabic"/>
          <w:b/>
          <w:bCs/>
          <w:color w:val="000000"/>
        </w:rPr>
        <w:t xml:space="preserve"> </w:t>
      </w:r>
      <w:r w:rsidRPr="0011430B">
        <w:rPr>
          <w:rFonts w:ascii="Simplified Arabic" w:hAnsi="Simplified Arabic" w:cs="Simplified Arabic"/>
          <w:b/>
          <w:bCs/>
          <w:color w:val="000000"/>
          <w:rtl/>
        </w:rPr>
        <w:t>أهداف الدراسة</w:t>
      </w:r>
    </w:p>
    <w:p w14:paraId="0338522E" w14:textId="77777777" w:rsidR="00435137" w:rsidRDefault="00C8596E" w:rsidP="00BE508A">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tl/>
        </w:rPr>
        <w:t>5.1 الهدف العام</w:t>
      </w:r>
    </w:p>
    <w:p w14:paraId="22B54DBC" w14:textId="77777777" w:rsidR="00576589" w:rsidRPr="00576589" w:rsidRDefault="00076824" w:rsidP="00576589">
      <w:pPr>
        <w:pStyle w:val="a8"/>
        <w:bidi/>
        <w:spacing w:line="360" w:lineRule="auto"/>
        <w:ind w:left="180"/>
        <w:jc w:val="both"/>
        <w:rPr>
          <w:rFonts w:ascii="Simplified Arabic" w:hAnsi="Simplified Arabic" w:cs="Simplified Arabic"/>
          <w:color w:val="000000"/>
          <w:rtl/>
        </w:rPr>
      </w:pPr>
      <w:r>
        <w:rPr>
          <w:rFonts w:ascii="Simplified Arabic" w:eastAsia="Simplified Arabic" w:hAnsi="Simplified Arabic" w:cs="Simplified Arabic"/>
          <w:color w:val="000000"/>
          <w:sz w:val="28"/>
          <w:rtl/>
        </w:rPr>
        <w:t>تهدف هذه الدراسة إلى اختبار أثر القيادة التحويلية في التقليل المُدرَك للأحداث الضارة من خلال الدور الوسيط المتتابع لكل من ثقافة سلامة المرضى وسلوكيات السلامة لدى العاملين في مستشفيات القطاع الحكومي بمنطقة الجوف.</w:t>
      </w:r>
    </w:p>
    <w:p w14:paraId="2073E06B" w14:textId="77777777" w:rsidR="00ED6763" w:rsidRPr="0011430B" w:rsidRDefault="00435137" w:rsidP="00435137">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tl/>
        </w:rPr>
        <w:t xml:space="preserve">5.2 </w:t>
      </w:r>
      <w:r w:rsidR="00ED6763" w:rsidRPr="0011430B">
        <w:rPr>
          <w:rFonts w:ascii="Simplified Arabic" w:hAnsi="Simplified Arabic" w:cs="Simplified Arabic"/>
          <w:b/>
          <w:bCs/>
          <w:color w:val="000000"/>
          <w:rtl/>
        </w:rPr>
        <w:t>الأهداف الفرعية</w:t>
      </w:r>
    </w:p>
    <w:p w14:paraId="18753F6A" w14:textId="77777777" w:rsidR="00ED6763" w:rsidRPr="0011430B" w:rsidRDefault="00A15DD9">
      <w:pPr>
        <w:pStyle w:val="a8"/>
        <w:numPr>
          <w:ilvl w:val="0"/>
          <w:numId w:val="6"/>
        </w:numPr>
        <w:bidi/>
        <w:spacing w:line="360" w:lineRule="auto"/>
        <w:jc w:val="both"/>
        <w:rPr>
          <w:rFonts w:ascii="Simplified Arabic" w:hAnsi="Simplified Arabic" w:cs="Simplified Arabic"/>
          <w:color w:val="000000"/>
        </w:rPr>
      </w:pPr>
      <w:r>
        <w:rPr>
          <w:rFonts w:ascii="Simplified Arabic" w:hAnsi="Simplified Arabic" w:cs="Simplified Arabic"/>
          <w:color w:val="000000"/>
          <w:rtl/>
        </w:rPr>
        <w:t>تقييم مستوى تطبيق القيادة التحويلية بأبعادها الستة (توضيح الرؤية، تقديم النموذج، تشجيع قبول الأهداف الجماعية، توقعات الأداء العالية، الدعم الفردي، الاستثارة الفكرية) في المستشفيات الحكومية بمنطقة الجوف من وجهة نظر العاملين.</w:t>
      </w:r>
    </w:p>
    <w:p w14:paraId="650E977A" w14:textId="62AC3778" w:rsidR="00ED6763" w:rsidRPr="0011430B" w:rsidRDefault="0042524E">
      <w:pPr>
        <w:pStyle w:val="a8"/>
        <w:numPr>
          <w:ilvl w:val="0"/>
          <w:numId w:val="6"/>
        </w:numPr>
        <w:bidi/>
        <w:spacing w:line="360" w:lineRule="auto"/>
        <w:jc w:val="both"/>
        <w:rPr>
          <w:rFonts w:ascii="Simplified Arabic" w:hAnsi="Simplified Arabic" w:cs="Simplified Arabic"/>
          <w:color w:val="000000"/>
        </w:rPr>
      </w:pPr>
      <w:r w:rsidRPr="0042524E">
        <w:rPr>
          <w:rFonts w:ascii="Simplified Arabic" w:eastAsia="Arial" w:hAnsi="Simplified Arabic" w:cs="Simplified Arabic"/>
          <w:color w:val="000000"/>
          <w:rtl/>
        </w:rPr>
        <w:t>تقييم مستوى إدراك العاملين لثقافة سلامة المرضى في أبعادها الأربعة المعتمدة</w:t>
      </w:r>
      <w:r w:rsidR="00ED6763" w:rsidRPr="0011430B">
        <w:rPr>
          <w:rFonts w:ascii="Simplified Arabic" w:hAnsi="Simplified Arabic" w:cs="Simplified Arabic"/>
          <w:color w:val="000000"/>
          <w:rtl/>
        </w:rPr>
        <w:t xml:space="preserve"> (دعم الإدارة، التواصل المفتوح، التعلم المستمر، العمل الجماعي) في بيئة المستشفيات الحكومية بمنطقة الجوف</w:t>
      </w:r>
      <w:r w:rsidR="00ED6763" w:rsidRPr="0011430B">
        <w:rPr>
          <w:rFonts w:ascii="Simplified Arabic" w:hAnsi="Simplified Arabic" w:cs="Simplified Arabic"/>
          <w:color w:val="000000"/>
        </w:rPr>
        <w:t>.</w:t>
      </w:r>
    </w:p>
    <w:p w14:paraId="7BD61894" w14:textId="0D9B5606" w:rsidR="00ED6763" w:rsidRPr="004E1090" w:rsidRDefault="004E1090" w:rsidP="004E1090">
      <w:pPr>
        <w:pStyle w:val="a3"/>
        <w:numPr>
          <w:ilvl w:val="0"/>
          <w:numId w:val="6"/>
        </w:numPr>
        <w:bidi/>
        <w:spacing w:line="360" w:lineRule="auto"/>
        <w:ind w:left="634"/>
        <w:jc w:val="both"/>
        <w:rPr>
          <w:rFonts w:ascii="Simplified Arabic" w:hAnsi="Simplified Arabic" w:cs="Simplified Arabic"/>
          <w:sz w:val="24"/>
          <w:szCs w:val="24"/>
        </w:rPr>
      </w:pPr>
      <w:r w:rsidRPr="004E1090">
        <w:rPr>
          <w:rFonts w:ascii="Simplified Arabic" w:hAnsi="Simplified Arabic" w:cs="Simplified Arabic"/>
          <w:color w:val="000000"/>
          <w:sz w:val="24"/>
          <w:szCs w:val="24"/>
          <w:rtl/>
        </w:rPr>
        <w:t>قياس مدى التزام الممارسين الصحيين بسلوكيات السلامة ذاتيًا، مع التركيز على جانبي الامتثال والمشاركة في المستشفيات الحكومية بمنطقة الجوف.</w:t>
      </w:r>
    </w:p>
    <w:p w14:paraId="5F79F03B" w14:textId="77777777" w:rsidR="00ED6763" w:rsidRPr="0011430B" w:rsidRDefault="00ED6763">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اختبار أثر القيادة التحويلية على </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لدى العاملين في المستشفيات الحكومية بمنطقة الجوف</w:t>
      </w:r>
      <w:r w:rsidRPr="0011430B">
        <w:rPr>
          <w:rFonts w:ascii="Simplified Arabic" w:hAnsi="Simplified Arabic" w:cs="Simplified Arabic"/>
          <w:color w:val="000000"/>
        </w:rPr>
        <w:t>.</w:t>
      </w:r>
    </w:p>
    <w:p w14:paraId="6401FB0C" w14:textId="77777777" w:rsidR="00251FD3" w:rsidRPr="0011430B" w:rsidRDefault="00C8596E">
      <w:pPr>
        <w:pStyle w:val="a8"/>
        <w:numPr>
          <w:ilvl w:val="0"/>
          <w:numId w:val="6"/>
        </w:numPr>
        <w:bidi/>
        <w:spacing w:line="360" w:lineRule="auto"/>
        <w:jc w:val="both"/>
        <w:rPr>
          <w:rFonts w:ascii="Simplified Arabic" w:hAnsi="Simplified Arabic" w:cs="Simplified Arabic"/>
          <w:color w:val="000000"/>
        </w:rPr>
      </w:pPr>
      <w:r>
        <w:rPr>
          <w:rFonts w:ascii="Simplified Arabic" w:eastAsia="Simplified Arabic" w:hAnsi="Simplified Arabic" w:cs="Simplified Arabic"/>
          <w:color w:val="000000"/>
          <w:sz w:val="28"/>
          <w:rtl/>
        </w:rPr>
        <w:t>اختبار الأثر المباشر لثقافة سلامة المرضى في سلوكيات السلامة، واختبار أثر سلوكيات السلامة في التقليل المُدرَك للأحداث الضارة.</w:t>
      </w:r>
    </w:p>
    <w:p w14:paraId="3B08DF9D" w14:textId="77777777" w:rsidR="00ED6763" w:rsidRPr="0011430B" w:rsidRDefault="00251FD3">
      <w:pPr>
        <w:pStyle w:val="a8"/>
        <w:numPr>
          <w:ilvl w:val="0"/>
          <w:numId w:val="6"/>
        </w:numPr>
        <w:bidi/>
        <w:spacing w:line="360" w:lineRule="auto"/>
        <w:jc w:val="both"/>
        <w:rPr>
          <w:rFonts w:ascii="Simplified Arabic" w:hAnsi="Simplified Arabic" w:cs="Simplified Arabic"/>
          <w:color w:val="000000"/>
        </w:rPr>
      </w:pPr>
      <w:r>
        <w:rPr>
          <w:rFonts w:ascii="Simplified Arabic" w:eastAsia="Simplified Arabic" w:hAnsi="Simplified Arabic" w:cs="Simplified Arabic"/>
          <w:color w:val="000000"/>
          <w:sz w:val="28"/>
          <w:rtl/>
        </w:rPr>
        <w:lastRenderedPageBreak/>
        <w:t>اختبار الأثر غير المباشر للقيادة التحويلية في سلوكيات السلامة من خلال ثقافة سلامة المرضى، ثم اختبار الأثر غير المباشر المتتابع للقيادة التحويلية في التقليل المُدرَك للأحداث الضارة من خلال ثقافة سلامة المرضى وسلوكيات السلامة (TL → SC → SB → PRAE).</w:t>
      </w:r>
    </w:p>
    <w:p w14:paraId="5E776539" w14:textId="77777777" w:rsidR="0019387F" w:rsidRPr="0011430B" w:rsidRDefault="00C8596E">
      <w:pPr>
        <w:pStyle w:val="a8"/>
        <w:numPr>
          <w:ilvl w:val="0"/>
          <w:numId w:val="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إعداد نموذج تحليلي شامل وتقديم توصيات تطبيقية تعتمد على النتائج الإحصائية، بهدف تطوير برامج تدريبية وتدخلات إدارية موجهة لتحسين سلامة المرضى في منشآت الرعاية الصحية بمنطقة الجوف.</w:t>
      </w:r>
    </w:p>
    <w:p w14:paraId="257317B9" w14:textId="320302B2" w:rsidR="00ED6763" w:rsidRPr="0011430B" w:rsidRDefault="005B4C5A" w:rsidP="00ED6763">
      <w:pPr>
        <w:pStyle w:val="a8"/>
        <w:bidi/>
        <w:spacing w:line="360" w:lineRule="auto"/>
        <w:ind w:left="180"/>
        <w:jc w:val="both"/>
        <w:rPr>
          <w:rFonts w:ascii="Simplified Arabic" w:hAnsi="Simplified Arabic" w:cs="Simplified Arabic"/>
          <w:b/>
          <w:bCs/>
          <w:color w:val="000000"/>
          <w:rtl/>
        </w:rPr>
      </w:pPr>
      <w:r>
        <w:rPr>
          <w:rFonts w:ascii="Simplified Arabic" w:hAnsi="Simplified Arabic" w:cs="Simplified Arabic"/>
          <w:b/>
          <w:bCs/>
          <w:color w:val="000000"/>
        </w:rPr>
        <w:t xml:space="preserve"> </w:t>
      </w:r>
      <w:r w:rsidR="00ED6763" w:rsidRPr="0011430B">
        <w:rPr>
          <w:rFonts w:ascii="Simplified Arabic" w:hAnsi="Simplified Arabic" w:cs="Simplified Arabic"/>
          <w:b/>
          <w:bCs/>
          <w:color w:val="000000"/>
        </w:rPr>
        <w:t xml:space="preserve">.6 </w:t>
      </w:r>
      <w:r w:rsidR="00ED6763" w:rsidRPr="0011430B">
        <w:rPr>
          <w:rFonts w:ascii="Simplified Arabic" w:hAnsi="Simplified Arabic" w:cs="Simplified Arabic"/>
          <w:b/>
          <w:bCs/>
          <w:color w:val="000000"/>
          <w:rtl/>
        </w:rPr>
        <w:t>فرضيات الدراسة</w:t>
      </w:r>
    </w:p>
    <w:p w14:paraId="4B61C9C8" w14:textId="48290F40" w:rsidR="009F0B77" w:rsidRPr="0011430B" w:rsidRDefault="00C8596E" w:rsidP="009F0B77">
      <w:pPr>
        <w:pStyle w:val="a8"/>
        <w:bidi/>
        <w:spacing w:line="360" w:lineRule="auto"/>
        <w:ind w:left="360"/>
        <w:jc w:val="both"/>
        <w:rPr>
          <w:rFonts w:ascii="Simplified Arabic" w:hAnsi="Simplified Arabic" w:cs="Simplified Arabic"/>
          <w:b/>
          <w:bCs/>
          <w:color w:val="000000"/>
        </w:rPr>
      </w:pPr>
      <w:r w:rsidRPr="0011430B">
        <w:rPr>
          <w:rFonts w:ascii="Simplified Arabic" w:hAnsi="Simplified Arabic" w:cs="Simplified Arabic"/>
          <w:b/>
          <w:bCs/>
          <w:color w:val="000000"/>
          <w:rtl/>
        </w:rPr>
        <w:t>6.1 الفروض المتعلقة بالتأثيرات المباشرة (</w:t>
      </w:r>
      <w:r w:rsidRPr="0011430B">
        <w:rPr>
          <w:rFonts w:ascii="Simplified Arabic" w:hAnsi="Simplified Arabic" w:cs="Simplified Arabic"/>
          <w:b/>
          <w:bCs/>
          <w:color w:val="000000"/>
        </w:rPr>
        <w:t>Effects</w:t>
      </w:r>
      <w:r w:rsidRPr="0011430B">
        <w:rPr>
          <w:rFonts w:ascii="Simplified Arabic" w:hAnsi="Simplified Arabic" w:cs="Simplified Arabic"/>
          <w:b/>
          <w:bCs/>
          <w:color w:val="000000"/>
          <w:rtl/>
        </w:rPr>
        <w:t xml:space="preserve"> المباشرة)</w:t>
      </w:r>
    </w:p>
    <w:p w14:paraId="0186D2A1" w14:textId="77777777" w:rsidR="009F0B77" w:rsidRPr="0011430B" w:rsidRDefault="009F0B77" w:rsidP="00F518B1">
      <w:pPr>
        <w:pStyle w:val="a8"/>
        <w:bidi/>
        <w:spacing w:line="360" w:lineRule="auto"/>
        <w:ind w:left="180"/>
        <w:jc w:val="both"/>
        <w:rPr>
          <w:rFonts w:ascii="Simplified Arabic" w:hAnsi="Simplified Arabic" w:cs="Simplified Arabic"/>
          <w:color w:val="000000"/>
        </w:rPr>
      </w:pPr>
      <w:r>
        <w:rPr>
          <w:rFonts w:ascii="Simplified Arabic" w:eastAsia="Simplified Arabic" w:hAnsi="Simplified Arabic" w:cs="Simplified Arabic"/>
          <w:color w:val="000000"/>
          <w:sz w:val="28"/>
          <w:rtl/>
        </w:rPr>
        <w:t>H1: يُتوقع وجود أثر إحصائي موجب للقيادة التحويلية في ثقافة سلامة المرضى لدى العاملين في المستشفيات الحكومية بمنطقة الجوف.</w:t>
      </w:r>
    </w:p>
    <w:p w14:paraId="2C4B1D37" w14:textId="77777777" w:rsidR="009F0B77" w:rsidRPr="0011430B" w:rsidRDefault="009F0B77" w:rsidP="00F518B1">
      <w:pPr>
        <w:pStyle w:val="a8"/>
        <w:bidi/>
        <w:spacing w:line="360" w:lineRule="auto"/>
        <w:ind w:left="180"/>
        <w:jc w:val="both"/>
        <w:rPr>
          <w:rFonts w:ascii="Simplified Arabic" w:hAnsi="Simplified Arabic" w:cs="Simplified Arabic"/>
          <w:color w:val="000000"/>
        </w:rPr>
      </w:pPr>
      <w:r>
        <w:rPr>
          <w:rFonts w:ascii="Simplified Arabic" w:eastAsia="Simplified Arabic" w:hAnsi="Simplified Arabic" w:cs="Simplified Arabic"/>
          <w:color w:val="000000"/>
          <w:sz w:val="28"/>
          <w:rtl/>
        </w:rPr>
        <w:t>H2: يُتوقع وجود أثر إحصائي موجب لثقافة سلامة المرضى في سلوكيات السلامة لدى العاملين في المستشفيات الحكومية بمنطقة الجوف.</w:t>
      </w:r>
    </w:p>
    <w:p w14:paraId="58AC9FB2" w14:textId="57F3FBFB" w:rsidR="009F0B77" w:rsidRPr="0011430B" w:rsidRDefault="009F0B77" w:rsidP="00F518B1">
      <w:pPr>
        <w:pStyle w:val="a8"/>
        <w:bidi/>
        <w:spacing w:line="360" w:lineRule="auto"/>
        <w:ind w:left="180"/>
        <w:jc w:val="both"/>
        <w:rPr>
          <w:rFonts w:ascii="Simplified Arabic" w:hAnsi="Simplified Arabic" w:cs="Simplified Arabic"/>
          <w:color w:val="000000"/>
          <w:rtl/>
        </w:rPr>
      </w:pPr>
      <w:r>
        <w:rPr>
          <w:rFonts w:ascii="Simplified Arabic" w:eastAsia="Simplified Arabic" w:hAnsi="Simplified Arabic" w:cs="Simplified Arabic"/>
          <w:color w:val="000000"/>
          <w:sz w:val="28"/>
          <w:rtl/>
        </w:rPr>
        <w:t xml:space="preserve">H3: </w:t>
      </w:r>
      <w:r w:rsidR="000B39C7" w:rsidRPr="000652BE">
        <w:rPr>
          <w:rFonts w:ascii="Simplified Arabic" w:eastAsia="Arial" w:hAnsi="Simplified Arabic" w:cs="Simplified Arabic"/>
          <w:color w:val="000000"/>
          <w:sz w:val="21"/>
          <w:szCs w:val="21"/>
          <w:rtl/>
        </w:rPr>
        <w:t>يوجد تأثير مباشر ذو دلالة إحصائية لسلوكيات السلامة في التقليل المُدرَك للأحداث الضارة</w:t>
      </w:r>
      <w:r w:rsidR="000B39C7">
        <w:rPr>
          <w:rFonts w:ascii="Simplified Arabic" w:eastAsia="Simplified Arabic" w:hAnsi="Simplified Arabic" w:cs="Simplified Arabic" w:hint="cs"/>
          <w:color w:val="000000"/>
          <w:sz w:val="28"/>
          <w:rtl/>
        </w:rPr>
        <w:t xml:space="preserve"> </w:t>
      </w:r>
      <w:r>
        <w:rPr>
          <w:rFonts w:ascii="Simplified Arabic" w:eastAsia="Simplified Arabic" w:hAnsi="Simplified Arabic" w:cs="Simplified Arabic"/>
          <w:color w:val="000000"/>
          <w:sz w:val="28"/>
          <w:rtl/>
        </w:rPr>
        <w:t>لدى العاملين في المستشفيات الحكومية بمنطقة الجوف.</w:t>
      </w:r>
    </w:p>
    <w:p w14:paraId="71775766" w14:textId="6A3ADCAB" w:rsidR="009F0B77" w:rsidRPr="0011430B" w:rsidRDefault="00A86206" w:rsidP="009F0B77">
      <w:pPr>
        <w:pStyle w:val="a8"/>
        <w:bidi/>
        <w:spacing w:line="360" w:lineRule="auto"/>
        <w:ind w:left="180"/>
        <w:jc w:val="both"/>
        <w:rPr>
          <w:rFonts w:ascii="Simplified Arabic" w:hAnsi="Simplified Arabic" w:cs="Simplified Arabic"/>
          <w:b/>
          <w:bCs/>
          <w:color w:val="000000"/>
          <w:rtl/>
        </w:rPr>
      </w:pPr>
      <w:r>
        <w:rPr>
          <w:rFonts w:ascii="Simplified Arabic" w:hAnsi="Simplified Arabic" w:cs="Simplified Arabic"/>
          <w:b/>
          <w:bCs/>
          <w:color w:val="000000"/>
        </w:rPr>
        <w:t xml:space="preserve"> </w:t>
      </w:r>
      <w:r w:rsidR="009F0B77" w:rsidRPr="0011430B">
        <w:rPr>
          <w:rFonts w:ascii="Simplified Arabic" w:hAnsi="Simplified Arabic" w:cs="Simplified Arabic"/>
          <w:b/>
          <w:bCs/>
          <w:color w:val="000000"/>
        </w:rPr>
        <w:t xml:space="preserve">6.2 </w:t>
      </w:r>
      <w:r w:rsidR="009F0B77" w:rsidRPr="0011430B">
        <w:rPr>
          <w:rFonts w:ascii="Simplified Arabic" w:hAnsi="Simplified Arabic" w:cs="Simplified Arabic"/>
          <w:b/>
          <w:bCs/>
          <w:color w:val="000000"/>
          <w:rtl/>
        </w:rPr>
        <w:t>الفروض المتعلقة بالتأثيرات غير المباشرة</w:t>
      </w:r>
      <w:r w:rsidR="009F0B77" w:rsidRPr="0011430B">
        <w:rPr>
          <w:rFonts w:ascii="Simplified Arabic" w:hAnsi="Simplified Arabic" w:cs="Simplified Arabic"/>
          <w:b/>
          <w:bCs/>
          <w:color w:val="000000"/>
        </w:rPr>
        <w:t xml:space="preserve"> </w:t>
      </w:r>
      <w:r w:rsidR="00451443" w:rsidRPr="0011430B">
        <w:rPr>
          <w:rFonts w:ascii="Simplified Arabic" w:hAnsi="Simplified Arabic" w:cs="Simplified Arabic"/>
          <w:b/>
          <w:bCs/>
          <w:color w:val="000000"/>
          <w:rtl/>
        </w:rPr>
        <w:t>الوساطة</w:t>
      </w:r>
      <w:r w:rsidR="00451443" w:rsidRPr="0011430B">
        <w:rPr>
          <w:rFonts w:ascii="Simplified Arabic" w:hAnsi="Simplified Arabic" w:cs="Simplified Arabic"/>
          <w:b/>
          <w:bCs/>
          <w:color w:val="000000"/>
        </w:rPr>
        <w:t xml:space="preserve"> (</w:t>
      </w:r>
      <w:r w:rsidR="009F0B77" w:rsidRPr="0011430B">
        <w:rPr>
          <w:rFonts w:ascii="Simplified Arabic" w:hAnsi="Simplified Arabic" w:cs="Simplified Arabic"/>
          <w:b/>
          <w:bCs/>
          <w:color w:val="000000"/>
        </w:rPr>
        <w:t>Mediation)</w:t>
      </w:r>
    </w:p>
    <w:p w14:paraId="0A60E396" w14:textId="77777777" w:rsidR="009F0B77" w:rsidRPr="0011430B" w:rsidRDefault="009F0B77" w:rsidP="00F518B1">
      <w:pPr>
        <w:pStyle w:val="a8"/>
        <w:bidi/>
        <w:spacing w:line="360" w:lineRule="auto"/>
        <w:ind w:left="180"/>
        <w:jc w:val="both"/>
        <w:rPr>
          <w:rFonts w:ascii="Simplified Arabic" w:hAnsi="Simplified Arabic" w:cs="Simplified Arabic"/>
          <w:color w:val="000000"/>
          <w:rtl/>
        </w:rPr>
      </w:pPr>
      <w:r>
        <w:rPr>
          <w:rFonts w:ascii="Simplified Arabic" w:eastAsia="Simplified Arabic" w:hAnsi="Simplified Arabic" w:cs="Simplified Arabic"/>
          <w:color w:val="000000"/>
          <w:sz w:val="28"/>
          <w:rtl/>
        </w:rPr>
        <w:t>H4: يُتوقع وجود أثر غير مباشر ذي دلالة إحصائية للقيادة التحويلية في سلوكيات السلامة من خلال ثقافة سلامة المرضى بوصفها متغيرًا وسيطًا (TL → SC → SB).</w:t>
      </w:r>
    </w:p>
    <w:p w14:paraId="4207AAF6" w14:textId="6F3084D4" w:rsidR="009F0B77" w:rsidRPr="0011430B" w:rsidRDefault="00A86206" w:rsidP="009F0B77">
      <w:pPr>
        <w:pStyle w:val="a8"/>
        <w:bidi/>
        <w:spacing w:line="360" w:lineRule="auto"/>
        <w:ind w:left="180"/>
        <w:jc w:val="both"/>
        <w:rPr>
          <w:rFonts w:ascii="Simplified Arabic" w:hAnsi="Simplified Arabic" w:cs="Simplified Arabic"/>
          <w:b/>
          <w:bCs/>
          <w:color w:val="000000"/>
        </w:rPr>
      </w:pPr>
      <w:r>
        <w:rPr>
          <w:rFonts w:ascii="Simplified Arabic" w:hAnsi="Simplified Arabic" w:cs="Simplified Arabic"/>
          <w:b/>
          <w:bCs/>
          <w:color w:val="000000"/>
        </w:rPr>
        <w:t xml:space="preserve"> </w:t>
      </w:r>
      <w:r w:rsidR="009F0B77" w:rsidRPr="0011430B">
        <w:rPr>
          <w:rFonts w:ascii="Simplified Arabic" w:hAnsi="Simplified Arabic" w:cs="Simplified Arabic"/>
          <w:b/>
          <w:bCs/>
          <w:color w:val="000000"/>
        </w:rPr>
        <w:t xml:space="preserve">6.3 </w:t>
      </w:r>
      <w:r w:rsidR="009F0B77" w:rsidRPr="0011430B">
        <w:rPr>
          <w:rFonts w:ascii="Simplified Arabic" w:hAnsi="Simplified Arabic" w:cs="Simplified Arabic"/>
          <w:b/>
          <w:bCs/>
          <w:color w:val="000000"/>
          <w:rtl/>
        </w:rPr>
        <w:t>الفروض المتعلقة بالوساطة المتسلسلة</w:t>
      </w:r>
      <w:r w:rsidR="009F0B77" w:rsidRPr="0011430B">
        <w:rPr>
          <w:rFonts w:ascii="Simplified Arabic" w:hAnsi="Simplified Arabic" w:cs="Simplified Arabic"/>
          <w:b/>
          <w:bCs/>
          <w:color w:val="000000"/>
        </w:rPr>
        <w:t xml:space="preserve"> (Serial Mediation)</w:t>
      </w:r>
    </w:p>
    <w:p w14:paraId="3B36856C" w14:textId="77777777" w:rsidR="009F0B77" w:rsidRPr="0011430B" w:rsidRDefault="00C8596E" w:rsidP="00F518B1">
      <w:pPr>
        <w:pStyle w:val="a8"/>
        <w:bidi/>
        <w:spacing w:line="360" w:lineRule="auto"/>
        <w:ind w:left="180"/>
        <w:jc w:val="both"/>
        <w:rPr>
          <w:rFonts w:ascii="Simplified Arabic" w:hAnsi="Simplified Arabic" w:cs="Simplified Arabic"/>
          <w:color w:val="000000"/>
        </w:rPr>
      </w:pPr>
      <w:r>
        <w:rPr>
          <w:rFonts w:ascii="Simplified Arabic" w:eastAsia="Simplified Arabic" w:hAnsi="Simplified Arabic" w:cs="Simplified Arabic"/>
          <w:color w:val="000000"/>
          <w:sz w:val="28"/>
          <w:rtl/>
        </w:rPr>
        <w:t>H5: يُتوقع وجود أثر غير مباشر متتابع ذي دلالة إحصائية للقيادة التحويلية في التقليل المُدرَك للأحداث الضارة من خلال ثقافة سلامة المرضى ثم سلوكيات السلامة لدى العاملين في المستشفيات الحكومية بمنطقة الجوف.</w:t>
      </w:r>
    </w:p>
    <w:p w14:paraId="35A942D9" w14:textId="77777777" w:rsidR="009F0B77" w:rsidRPr="0011430B" w:rsidRDefault="009F0B77" w:rsidP="009F0B77">
      <w:pPr>
        <w:pStyle w:val="a8"/>
        <w:bidi/>
        <w:spacing w:line="360" w:lineRule="auto"/>
        <w:ind w:left="180"/>
        <w:jc w:val="both"/>
        <w:rPr>
          <w:rFonts w:ascii="Simplified Arabic" w:hAnsi="Simplified Arabic" w:cs="Simplified Arabic"/>
          <w:color w:val="000000"/>
        </w:rPr>
      </w:pPr>
      <w:r>
        <w:rPr>
          <w:rFonts w:ascii="Simplified Arabic" w:eastAsia="Simplified Arabic" w:hAnsi="Simplified Arabic" w:cs="Simplified Arabic"/>
          <w:color w:val="000000"/>
          <w:sz w:val="28"/>
          <w:rtl/>
        </w:rPr>
        <w:t>ويمثل ذلك المسار النظري: TL → SC → SB → PRAE.</w:t>
      </w:r>
    </w:p>
    <w:p w14:paraId="397644AA" w14:textId="3364AAC2" w:rsidR="00ED6763" w:rsidRPr="0011430B" w:rsidRDefault="00A86206" w:rsidP="003D4C1A">
      <w:pPr>
        <w:pStyle w:val="a8"/>
        <w:bidi/>
        <w:spacing w:line="360" w:lineRule="auto"/>
        <w:ind w:left="180"/>
        <w:jc w:val="both"/>
        <w:rPr>
          <w:rFonts w:ascii="Simplified Arabic" w:hAnsi="Simplified Arabic" w:cs="Simplified Arabic"/>
          <w:b/>
          <w:bCs/>
          <w:color w:val="000000"/>
          <w:rtl/>
        </w:rPr>
      </w:pPr>
      <w:r>
        <w:rPr>
          <w:rFonts w:ascii="Simplified Arabic" w:hAnsi="Simplified Arabic" w:cs="Simplified Arabic"/>
          <w:b/>
          <w:bCs/>
          <w:color w:val="000000"/>
        </w:rPr>
        <w:lastRenderedPageBreak/>
        <w:t xml:space="preserve"> </w:t>
      </w:r>
      <w:r w:rsidR="00ED6763" w:rsidRPr="0011430B">
        <w:rPr>
          <w:rFonts w:ascii="Simplified Arabic" w:hAnsi="Simplified Arabic" w:cs="Simplified Arabic"/>
          <w:b/>
          <w:bCs/>
          <w:color w:val="000000"/>
        </w:rPr>
        <w:t>6.</w:t>
      </w:r>
      <w:r w:rsidR="00E87873">
        <w:rPr>
          <w:rFonts w:ascii="Simplified Arabic" w:hAnsi="Simplified Arabic" w:cs="Simplified Arabic"/>
          <w:b/>
          <w:bCs/>
          <w:color w:val="000000"/>
        </w:rPr>
        <w:t>4</w:t>
      </w:r>
      <w:r w:rsidR="00ED6763" w:rsidRPr="0011430B">
        <w:rPr>
          <w:rFonts w:ascii="Simplified Arabic" w:hAnsi="Simplified Arabic" w:cs="Simplified Arabic"/>
          <w:b/>
          <w:bCs/>
          <w:color w:val="000000"/>
        </w:rPr>
        <w:t xml:space="preserve"> </w:t>
      </w:r>
      <w:r w:rsidR="00ED6763" w:rsidRPr="0011430B">
        <w:rPr>
          <w:rFonts w:ascii="Simplified Arabic" w:hAnsi="Simplified Arabic" w:cs="Simplified Arabic"/>
          <w:b/>
          <w:bCs/>
          <w:color w:val="000000"/>
          <w:rtl/>
        </w:rPr>
        <w:t>المتغيرات الضابطة</w:t>
      </w:r>
    </w:p>
    <w:p w14:paraId="541AB71D" w14:textId="48A1A37B" w:rsidR="00ED6763" w:rsidRPr="00307ED0" w:rsidRDefault="00307ED0" w:rsidP="00307ED0">
      <w:pPr>
        <w:pStyle w:val="a8"/>
        <w:bidi/>
        <w:spacing w:line="360" w:lineRule="auto"/>
        <w:ind w:left="187"/>
        <w:jc w:val="both"/>
        <w:rPr>
          <w:rFonts w:ascii="Simplified Arabic" w:hAnsi="Simplified Arabic" w:cs="Simplified Arabic"/>
          <w:color w:val="000000"/>
        </w:rPr>
      </w:pPr>
      <w:r w:rsidRPr="00307ED0">
        <w:rPr>
          <w:rFonts w:ascii="Simplified Arabic" w:eastAsia="Arial" w:hAnsi="Simplified Arabic" w:cs="Simplified Arabic"/>
          <w:color w:val="000000"/>
          <w:rtl/>
        </w:rPr>
        <w:t>تُدخَل في النموذج أربعة متغيرات ضابطة محددة سلفًا، وهي سنوات الخبرة، والقسم أو التخصص، ونوع المناوبة، والمرتبة الوظيفية؛ لارتباط كل منها نظريًا بمدى التعرض للقيادة المباشرة وبفرص ملاحظة إجراءات السلامة وتطبيقها. ويُثبَّت قرار الإدخال قبل التحليل ولا يُعلَّق على نتيجته.</w:t>
      </w:r>
    </w:p>
    <w:p w14:paraId="1FEFB0D3" w14:textId="77777777" w:rsidR="00E07AD8" w:rsidRPr="0011430B" w:rsidRDefault="00820A0F" w:rsidP="008B5C39">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Pr>
        <w:t>7</w:t>
      </w:r>
      <w:r w:rsidR="007E5BA4" w:rsidRPr="0011430B">
        <w:rPr>
          <w:rFonts w:ascii="Simplified Arabic" w:hAnsi="Simplified Arabic" w:cs="Simplified Arabic"/>
          <w:b/>
          <w:bCs/>
          <w:sz w:val="24"/>
          <w:szCs w:val="24"/>
          <w:rtl/>
        </w:rPr>
        <w:t>. مفاهيم الدراسة ومصطلحاتها</w:t>
      </w:r>
      <w:r w:rsidR="00E07AD8" w:rsidRPr="0011430B">
        <w:rPr>
          <w:rFonts w:ascii="Simplified Arabic" w:hAnsi="Simplified Arabic" w:cs="Simplified Arabic"/>
          <w:b/>
          <w:bCs/>
          <w:sz w:val="24"/>
          <w:szCs w:val="24"/>
          <w:rtl/>
        </w:rPr>
        <w:br/>
        <w:t>جدول موجز لتعريفات المتغيرات وقياسها:</w:t>
      </w:r>
    </w:p>
    <w:p w14:paraId="495F4799"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7.1 </w:t>
      </w:r>
      <w:r w:rsidRPr="0011430B">
        <w:rPr>
          <w:rFonts w:ascii="Simplified Arabic" w:hAnsi="Simplified Arabic" w:cs="Simplified Arabic"/>
          <w:b/>
          <w:bCs/>
          <w:sz w:val="24"/>
          <w:szCs w:val="24"/>
          <w:rtl/>
        </w:rPr>
        <w:t>القيادة التحويلية</w:t>
      </w:r>
      <w:r w:rsidRPr="0011430B">
        <w:rPr>
          <w:rFonts w:ascii="Simplified Arabic" w:hAnsi="Simplified Arabic" w:cs="Simplified Arabic"/>
          <w:b/>
          <w:bCs/>
          <w:sz w:val="24"/>
          <w:szCs w:val="24"/>
        </w:rPr>
        <w:t xml:space="preserve"> (Transformational Leadership – TL)</w:t>
      </w:r>
    </w:p>
    <w:p w14:paraId="332507CE" w14:textId="48CB1B30" w:rsidR="005C7680" w:rsidRPr="00270300" w:rsidRDefault="00820A0F" w:rsidP="00270300">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النظري</w:t>
      </w:r>
    </w:p>
    <w:p w14:paraId="2EA92D0C" w14:textId="77777777" w:rsidR="00545814" w:rsidRDefault="00545814" w:rsidP="00545814">
      <w:pPr>
        <w:bidi/>
        <w:spacing w:line="360" w:lineRule="auto"/>
        <w:jc w:val="both"/>
        <w:rPr>
          <w:rFonts w:ascii="Simplified Arabic" w:hAnsi="Simplified Arabic" w:cs="Simplified Arabic"/>
          <w:b/>
          <w:bCs/>
          <w:sz w:val="24"/>
          <w:szCs w:val="24"/>
          <w:rtl/>
        </w:rPr>
      </w:pPr>
      <w:r>
        <w:rPr>
          <w:rFonts w:ascii="Simplified Arabic" w:hAnsi="Simplified Arabic" w:cs="Simplified Arabic"/>
          <w:sz w:val="24"/>
          <w:szCs w:val="24"/>
          <w:rtl/>
        </w:rPr>
        <w:t xml:space="preserve">تُعرَّف القيادة التحويلية وفق إطار </w:t>
      </w:r>
      <w:r>
        <w:rPr>
          <w:rFonts w:ascii="Simplified Arabic" w:hAnsi="Simplified Arabic" w:cs="Simplified Arabic"/>
          <w:sz w:val="24"/>
          <w:szCs w:val="24"/>
        </w:rPr>
        <w:t>Podsakoff et al</w:t>
      </w:r>
      <w:r>
        <w:rPr>
          <w:rFonts w:ascii="Simplified Arabic" w:hAnsi="Simplified Arabic" w:cs="Simplified Arabic"/>
          <w:sz w:val="24"/>
          <w:szCs w:val="24"/>
          <w:rtl/>
        </w:rPr>
        <w:t>. (1990) بأنها نمط قيادي يتجلى في ست ممارسات محورية: الأولى، تحديد رؤية واضحة ومقنعة للمستقبل تُلهم العاملين وتوجّه جهودهم نحو هدف مشترك. والثانية، تقديم نموذج سلوكي يُحتذى به من خلال التوافق بين ما يقوله القائد وما يفعله. والثالثة، تشجيع العاملين على قبول الأهداف الجماعية وتوحيد جهود الفريق نحو تحقيق أهداف المنظمة. والرابعة، وضع توقعات أداء مرتفعة وواضحة تدفع العاملين إلى تجاوز مستوياتهم المعتادة. والخامسة، تقديم الدعم الفردي من خلال الاهتمام الشخصي باحتياجات كل موظف وتطلعاته. والسادسة، الاستثارة الفكرية بتحفيز العاملين على التفكير النقدي وإعادة تقييم المسلّمات والبحث عن حلول جديدة (</w:t>
      </w:r>
      <w:r>
        <w:rPr>
          <w:rFonts w:ascii="Simplified Arabic" w:hAnsi="Simplified Arabic" w:cs="Simplified Arabic"/>
          <w:sz w:val="24"/>
          <w:szCs w:val="24"/>
        </w:rPr>
        <w:t>Podsakoff et al., 1990</w:t>
      </w:r>
      <w:r>
        <w:rPr>
          <w:rFonts w:ascii="Simplified Arabic" w:hAnsi="Simplified Arabic" w:cs="Simplified Arabic"/>
          <w:sz w:val="24"/>
          <w:szCs w:val="24"/>
          <w:rtl/>
        </w:rPr>
        <w:t>).</w:t>
      </w:r>
    </w:p>
    <w:p w14:paraId="2B31FC94" w14:textId="77777777" w:rsidR="00425B7A" w:rsidRPr="00425B7A" w:rsidRDefault="00820A0F" w:rsidP="00545814">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الإجرائي</w:t>
      </w:r>
    </w:p>
    <w:p w14:paraId="37B37DBA" w14:textId="77777777" w:rsidR="00060A80" w:rsidRDefault="00060A80" w:rsidP="00060A80">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 يُعرَّف متغير القيادة التحويلية إجرائياً في هذه الدراسة بأنه الدرجة الكلية والدرجات الفرعية التي يحصل عليها المشارك على مقياس </w:t>
      </w:r>
      <w:r>
        <w:rPr>
          <w:rFonts w:ascii="Simplified Arabic" w:hAnsi="Simplified Arabic" w:cs="Simplified Arabic"/>
          <w:sz w:val="24"/>
          <w:szCs w:val="24"/>
        </w:rPr>
        <w:t>Transformational Leadership Inventory (TLI)</w:t>
      </w:r>
      <w:r>
        <w:rPr>
          <w:rFonts w:ascii="Simplified Arabic" w:hAnsi="Simplified Arabic" w:cs="Simplified Arabic"/>
          <w:sz w:val="24"/>
          <w:szCs w:val="24"/>
          <w:rtl/>
        </w:rPr>
        <w:t xml:space="preserve"> المطوَّر بواسطة </w:t>
      </w:r>
      <w:r>
        <w:rPr>
          <w:rFonts w:ascii="Simplified Arabic" w:hAnsi="Simplified Arabic" w:cs="Simplified Arabic"/>
          <w:sz w:val="24"/>
          <w:szCs w:val="24"/>
        </w:rPr>
        <w:t>Podsakoff et al</w:t>
      </w:r>
      <w:r>
        <w:rPr>
          <w:rFonts w:ascii="Simplified Arabic" w:hAnsi="Simplified Arabic" w:cs="Simplified Arabic"/>
          <w:sz w:val="24"/>
          <w:szCs w:val="24"/>
          <w:rtl/>
        </w:rPr>
        <w:t>. (1990)، والذي يقيس مدى إدراك العاملين للسلوك القيادي التحويلي لدى القيادات الإدارية والطبية في مستشفيات القطاع الحكومي بمنطقة الجوف. ويشمل القياس ستة أبعاد رئيسة هي: صياغة الرؤية، تقديم النموذج المناسب، تعزيز قبول أهداف المجموعة، توقعات الأداء العالي، الدعم الفردي، والاستثارة الفكرية.</w:t>
      </w:r>
    </w:p>
    <w:p w14:paraId="7BEB18BE" w14:textId="77777777" w:rsidR="00DE2DA1" w:rsidRPr="00DE2DA1" w:rsidRDefault="00DE2DA1" w:rsidP="00DE2DA1">
      <w:pPr>
        <w:bidi/>
        <w:spacing w:line="360" w:lineRule="auto"/>
        <w:jc w:val="both"/>
        <w:rPr>
          <w:rFonts w:ascii="Simplified Arabic" w:hAnsi="Simplified Arabic" w:cs="Simplified Arabic"/>
          <w:sz w:val="24"/>
          <w:szCs w:val="24"/>
          <w:rtl/>
        </w:rPr>
      </w:pPr>
      <w:r w:rsidRPr="00DE2DA1">
        <w:rPr>
          <w:rFonts w:ascii="Simplified Arabic" w:hAnsi="Simplified Arabic" w:cs="Simplified Arabic"/>
          <w:sz w:val="24"/>
          <w:szCs w:val="24"/>
          <w:rtl/>
        </w:rPr>
        <w:t>واعتمدت الدراسة الحالية مقياس</w:t>
      </w:r>
      <w:r w:rsidRPr="00DE2DA1">
        <w:rPr>
          <w:rFonts w:ascii="Simplified Arabic" w:hAnsi="Simplified Arabic" w:cs="Simplified Arabic"/>
          <w:sz w:val="24"/>
          <w:szCs w:val="24"/>
        </w:rPr>
        <w:t xml:space="preserve"> TLI </w:t>
      </w:r>
      <w:r w:rsidRPr="00DE2DA1">
        <w:rPr>
          <w:rFonts w:ascii="Simplified Arabic" w:hAnsi="Simplified Arabic" w:cs="Simplified Arabic"/>
          <w:sz w:val="24"/>
          <w:szCs w:val="24"/>
          <w:rtl/>
        </w:rPr>
        <w:t>بوصفه الأداة المعتمدة لقياس القيادة التحويلية، وذلك اتساقًا مع الإطار النظري الذي تتبناه الدراسة ومع طبيعة النموذج البحثي القائم على تحليل الأبعاد السلوكية المباشرة للقيادة التحويلية في البيئة الصحية</w:t>
      </w:r>
    </w:p>
    <w:p w14:paraId="05211881" w14:textId="77777777" w:rsidR="00440C4B" w:rsidRDefault="00440C4B" w:rsidP="00060A80">
      <w:pPr>
        <w:bidi/>
        <w:spacing w:line="360" w:lineRule="auto"/>
        <w:jc w:val="both"/>
        <w:rPr>
          <w:rFonts w:ascii="Simplified Arabic" w:hAnsi="Simplified Arabic" w:cs="Simplified Arabic"/>
          <w:sz w:val="24"/>
          <w:szCs w:val="24"/>
          <w:rtl/>
        </w:rPr>
      </w:pPr>
      <w:r w:rsidRPr="00440C4B">
        <w:rPr>
          <w:rFonts w:ascii="Simplified Arabic" w:hAnsi="Simplified Arabic" w:cs="Simplified Arabic"/>
          <w:b/>
          <w:bCs/>
          <w:sz w:val="24"/>
          <w:szCs w:val="24"/>
          <w:rtl/>
        </w:rPr>
        <w:lastRenderedPageBreak/>
        <w:t>الأبعاد الستة لـ</w:t>
      </w:r>
      <w:r w:rsidR="001558E2">
        <w:rPr>
          <w:rFonts w:ascii="Simplified Arabic" w:hAnsi="Simplified Arabic" w:cs="Simplified Arabic" w:hint="cs"/>
          <w:b/>
          <w:bCs/>
          <w:sz w:val="24"/>
          <w:szCs w:val="24"/>
          <w:rtl/>
        </w:rPr>
        <w:t xml:space="preserve"> </w:t>
      </w:r>
      <w:r w:rsidRPr="00440C4B">
        <w:rPr>
          <w:rFonts w:ascii="Simplified Arabic" w:hAnsi="Simplified Arabic" w:cs="Simplified Arabic"/>
          <w:b/>
          <w:bCs/>
          <w:sz w:val="24"/>
          <w:szCs w:val="24"/>
        </w:rPr>
        <w:t xml:space="preserve"> TLI</w:t>
      </w:r>
      <w:r>
        <w:rPr>
          <w:rFonts w:ascii="Simplified Arabic" w:hAnsi="Simplified Arabic" w:cs="Simplified Arabic" w:hint="cs"/>
          <w:sz w:val="24"/>
          <w:szCs w:val="24"/>
          <w:rtl/>
        </w:rPr>
        <w:t>:</w:t>
      </w:r>
    </w:p>
    <w:p w14:paraId="61B5BA7E" w14:textId="77777777" w:rsidR="00F535F9" w:rsidRPr="00F535F9" w:rsidRDefault="00F535F9" w:rsidP="00440C4B">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 xml:space="preserve">البُعد </w:t>
      </w:r>
      <w:r w:rsidRPr="00F535F9">
        <w:rPr>
          <w:rFonts w:ascii="Simplified Arabic" w:hAnsi="Simplified Arabic" w:cs="Simplified Arabic" w:hint="cs"/>
          <w:sz w:val="24"/>
          <w:szCs w:val="24"/>
          <w:rtl/>
        </w:rPr>
        <w:t>الأول: تحديد</w:t>
      </w:r>
      <w:r w:rsidRPr="00F535F9">
        <w:rPr>
          <w:rFonts w:ascii="Simplified Arabic" w:hAnsi="Simplified Arabic" w:cs="Simplified Arabic"/>
          <w:sz w:val="24"/>
          <w:szCs w:val="24"/>
          <w:rtl/>
        </w:rPr>
        <w:t xml:space="preserve"> الرؤية وتوضيحها (</w:t>
      </w:r>
      <w:r w:rsidRPr="00F535F9">
        <w:rPr>
          <w:rFonts w:ascii="Simplified Arabic" w:hAnsi="Simplified Arabic" w:cs="Simplified Arabic"/>
          <w:sz w:val="24"/>
          <w:szCs w:val="24"/>
        </w:rPr>
        <w:t>Articulating a Vision</w:t>
      </w:r>
      <w:r w:rsidRPr="00F535F9">
        <w:rPr>
          <w:rFonts w:ascii="Simplified Arabic" w:hAnsi="Simplified Arabic" w:cs="Simplified Arabic"/>
          <w:sz w:val="24"/>
          <w:szCs w:val="24"/>
          <w:rtl/>
        </w:rPr>
        <w:t>)</w:t>
      </w:r>
    </w:p>
    <w:p w14:paraId="13C0655E"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الثاني: تقديم النموذج القيادي يُحتذى (</w:t>
      </w:r>
      <w:r w:rsidRPr="00F535F9">
        <w:rPr>
          <w:rFonts w:ascii="Simplified Arabic" w:hAnsi="Simplified Arabic" w:cs="Simplified Arabic"/>
          <w:sz w:val="24"/>
          <w:szCs w:val="24"/>
        </w:rPr>
        <w:t>Providing an Appropriate Model</w:t>
      </w:r>
      <w:r w:rsidRPr="00F535F9">
        <w:rPr>
          <w:rFonts w:ascii="Simplified Arabic" w:hAnsi="Simplified Arabic" w:cs="Simplified Arabic"/>
          <w:sz w:val="24"/>
          <w:szCs w:val="24"/>
          <w:rtl/>
        </w:rPr>
        <w:t>)</w:t>
      </w:r>
    </w:p>
    <w:p w14:paraId="56FD88B6"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الثالث: تشجيع قبول الأهداف الجماعية (</w:t>
      </w:r>
      <w:r w:rsidRPr="00F535F9">
        <w:rPr>
          <w:rFonts w:ascii="Simplified Arabic" w:hAnsi="Simplified Arabic" w:cs="Simplified Arabic"/>
          <w:sz w:val="24"/>
          <w:szCs w:val="24"/>
        </w:rPr>
        <w:t>Fostering Acceptance of Group Goals</w:t>
      </w:r>
      <w:r w:rsidRPr="00F535F9">
        <w:rPr>
          <w:rFonts w:ascii="Simplified Arabic" w:hAnsi="Simplified Arabic" w:cs="Simplified Arabic"/>
          <w:sz w:val="24"/>
          <w:szCs w:val="24"/>
          <w:rtl/>
        </w:rPr>
        <w:t>)</w:t>
      </w:r>
    </w:p>
    <w:p w14:paraId="5772857C"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الرابع: توقعات الأداء العالية (</w:t>
      </w:r>
      <w:r w:rsidRPr="00F535F9">
        <w:rPr>
          <w:rFonts w:ascii="Simplified Arabic" w:hAnsi="Simplified Arabic" w:cs="Simplified Arabic"/>
          <w:sz w:val="24"/>
          <w:szCs w:val="24"/>
        </w:rPr>
        <w:t>High Performance Expectations</w:t>
      </w:r>
      <w:r w:rsidRPr="00F535F9">
        <w:rPr>
          <w:rFonts w:ascii="Simplified Arabic" w:hAnsi="Simplified Arabic" w:cs="Simplified Arabic"/>
          <w:sz w:val="24"/>
          <w:szCs w:val="24"/>
          <w:rtl/>
        </w:rPr>
        <w:t>)</w:t>
      </w:r>
    </w:p>
    <w:p w14:paraId="5F77B7F1" w14:textId="77777777" w:rsidR="00F535F9" w:rsidRPr="00F535F9" w:rsidRDefault="00F535F9" w:rsidP="00F535F9">
      <w:pPr>
        <w:bidi/>
        <w:spacing w:line="360" w:lineRule="auto"/>
        <w:rPr>
          <w:rFonts w:ascii="Simplified Arabic" w:hAnsi="Simplified Arabic" w:cs="Simplified Arabic"/>
          <w:sz w:val="24"/>
          <w:szCs w:val="24"/>
        </w:rPr>
      </w:pPr>
      <w:r w:rsidRPr="00F535F9">
        <w:rPr>
          <w:rFonts w:ascii="Simplified Arabic" w:hAnsi="Simplified Arabic" w:cs="Simplified Arabic"/>
          <w:sz w:val="24"/>
          <w:szCs w:val="24"/>
          <w:rtl/>
        </w:rPr>
        <w:t>البُعد الخامس: الدعم الفردي (</w:t>
      </w:r>
      <w:r w:rsidRPr="00F535F9">
        <w:rPr>
          <w:rFonts w:ascii="Simplified Arabic" w:hAnsi="Simplified Arabic" w:cs="Simplified Arabic"/>
          <w:sz w:val="24"/>
          <w:szCs w:val="24"/>
        </w:rPr>
        <w:t>Individualized Support</w:t>
      </w:r>
      <w:r w:rsidRPr="00F535F9">
        <w:rPr>
          <w:rFonts w:ascii="Simplified Arabic" w:hAnsi="Simplified Arabic" w:cs="Simplified Arabic"/>
          <w:sz w:val="24"/>
          <w:szCs w:val="24"/>
          <w:rtl/>
        </w:rPr>
        <w:t>)</w:t>
      </w:r>
    </w:p>
    <w:p w14:paraId="0ED886D9" w14:textId="77777777" w:rsidR="00F535F9" w:rsidRDefault="00F535F9" w:rsidP="00F535F9">
      <w:pPr>
        <w:bidi/>
        <w:spacing w:line="360" w:lineRule="auto"/>
        <w:rPr>
          <w:rFonts w:ascii="Simplified Arabic" w:hAnsi="Simplified Arabic" w:cs="Simplified Arabic"/>
          <w:b/>
          <w:bCs/>
          <w:sz w:val="24"/>
          <w:szCs w:val="24"/>
          <w:rtl/>
        </w:rPr>
      </w:pPr>
      <w:r w:rsidRPr="00F535F9">
        <w:rPr>
          <w:rFonts w:ascii="Simplified Arabic" w:hAnsi="Simplified Arabic" w:cs="Simplified Arabic"/>
          <w:sz w:val="24"/>
          <w:szCs w:val="24"/>
          <w:rtl/>
        </w:rPr>
        <w:t>البُعد السادس: الاستثارة الفكرية (</w:t>
      </w:r>
      <w:r w:rsidRPr="00F535F9">
        <w:rPr>
          <w:rFonts w:ascii="Simplified Arabic" w:hAnsi="Simplified Arabic" w:cs="Simplified Arabic"/>
          <w:sz w:val="24"/>
          <w:szCs w:val="24"/>
        </w:rPr>
        <w:t>Intellectual Stimulation)</w:t>
      </w:r>
      <w:r>
        <w:rPr>
          <w:rFonts w:ascii="Simplified Arabic" w:hAnsi="Simplified Arabic" w:cs="Simplified Arabic" w:hint="cs"/>
          <w:b/>
          <w:bCs/>
          <w:sz w:val="24"/>
          <w:szCs w:val="24"/>
          <w:rtl/>
        </w:rPr>
        <w:t>)</w:t>
      </w:r>
    </w:p>
    <w:p w14:paraId="23B9F4B2" w14:textId="77777777" w:rsidR="00820A0F" w:rsidRPr="0011430B" w:rsidRDefault="00820A0F" w:rsidP="00F535F9">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7.2 </w:t>
      </w:r>
      <w:r w:rsidR="003475EA" w:rsidRPr="003475EA">
        <w:rPr>
          <w:rFonts w:ascii="Simplified Arabic" w:hAnsi="Simplified Arabic" w:cs="Simplified Arabic"/>
          <w:b/>
          <w:bCs/>
          <w:sz w:val="24"/>
          <w:szCs w:val="24"/>
          <w:rtl/>
        </w:rPr>
        <w:t xml:space="preserve">ثقافة سلامة </w:t>
      </w:r>
      <w:r w:rsidR="00076824" w:rsidRPr="003475EA">
        <w:rPr>
          <w:rFonts w:ascii="Simplified Arabic" w:hAnsi="Simplified Arabic" w:cs="Simplified Arabic" w:hint="cs"/>
          <w:b/>
          <w:bCs/>
          <w:sz w:val="24"/>
          <w:szCs w:val="24"/>
          <w:rtl/>
        </w:rPr>
        <w:t>المرضى</w:t>
      </w:r>
      <w:r w:rsidR="00076824" w:rsidRPr="0011430B">
        <w:rPr>
          <w:rFonts w:ascii="Simplified Arabic" w:hAnsi="Simplified Arabic" w:cs="Simplified Arabic"/>
          <w:b/>
          <w:bCs/>
          <w:sz w:val="24"/>
          <w:szCs w:val="24"/>
        </w:rPr>
        <w:t xml:space="preserve"> (</w:t>
      </w:r>
      <w:r w:rsidRPr="0011430B">
        <w:rPr>
          <w:rFonts w:ascii="Simplified Arabic" w:hAnsi="Simplified Arabic" w:cs="Simplified Arabic"/>
          <w:b/>
          <w:bCs/>
          <w:sz w:val="24"/>
          <w:szCs w:val="24"/>
        </w:rPr>
        <w:t>Safety Culture – SC)</w:t>
      </w:r>
    </w:p>
    <w:p w14:paraId="2FED1D8B"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النظري</w:t>
      </w:r>
    </w:p>
    <w:p w14:paraId="36931EE9" w14:textId="77777777" w:rsidR="00820A0F" w:rsidRPr="0011430B" w:rsidRDefault="00C8596E"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 xml:space="preserve">تمثل ثقافة السلامة نظامًا متكاملًا من القيم والاتجاهات والسلوكيات الفردية والجماعية التي تجسد التزام المؤسسة بتعزيز مبادئ السلامة وجعلها أولوية ثابتة ضمن الممارسات اليومية، بهدف دعم بيئة عمل آمنة وفعالة </w:t>
      </w:r>
      <w:r w:rsidR="00154D4E" w:rsidRPr="0011430B">
        <w:rPr>
          <w:rFonts w:ascii="Simplified Arabic" w:hAnsi="Simplified Arabic" w:cs="Simplified Arabic"/>
          <w:sz w:val="24"/>
          <w:szCs w:val="24"/>
          <w:rtl/>
        </w:rPr>
        <w:fldChar w:fldCharType="begin"/>
      </w:r>
      <w:r w:rsidR="00154D4E" w:rsidRPr="0011430B">
        <w:rPr>
          <w:rFonts w:ascii="Simplified Arabic" w:hAnsi="Simplified Arabic" w:cs="Simplified Arabic"/>
          <w:sz w:val="24"/>
          <w:szCs w:val="24"/>
          <w:rtl/>
        </w:rPr>
        <w:instrText xml:space="preserve"> </w:instrText>
      </w:r>
      <w:r w:rsidR="00154D4E" w:rsidRPr="0011430B">
        <w:rPr>
          <w:rFonts w:ascii="Simplified Arabic" w:hAnsi="Simplified Arabic" w:cs="Simplified Arabic"/>
          <w:sz w:val="24"/>
          <w:szCs w:val="24"/>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54D4E" w:rsidRPr="0011430B">
        <w:rPr>
          <w:rFonts w:ascii="Simplified Arabic" w:hAnsi="Simplified Arabic" w:cs="Simplified Arabic"/>
          <w:sz w:val="24"/>
          <w:szCs w:val="24"/>
          <w:rtl/>
        </w:rPr>
        <w:instrText>&gt;</w:instrText>
      </w:r>
      <w:r w:rsidR="00154D4E" w:rsidRPr="0011430B">
        <w:rPr>
          <w:rFonts w:ascii="Simplified Arabic" w:hAnsi="Simplified Arabic" w:cs="Simplified Arabic"/>
          <w:sz w:val="24"/>
          <w:szCs w:val="24"/>
          <w:rtl/>
        </w:rPr>
        <w:fldChar w:fldCharType="separate"/>
      </w:r>
      <w:r w:rsidR="00154D4E" w:rsidRPr="0011430B">
        <w:rPr>
          <w:rFonts w:ascii="Simplified Arabic" w:hAnsi="Simplified Arabic" w:cs="Simplified Arabic"/>
          <w:noProof/>
          <w:sz w:val="24"/>
          <w:szCs w:val="24"/>
          <w:rtl/>
        </w:rPr>
        <w:t>(</w:t>
      </w:r>
      <w:r w:rsidR="00154D4E" w:rsidRPr="0011430B">
        <w:rPr>
          <w:rFonts w:ascii="Simplified Arabic" w:hAnsi="Simplified Arabic" w:cs="Simplified Arabic"/>
          <w:noProof/>
          <w:sz w:val="24"/>
          <w:szCs w:val="24"/>
        </w:rPr>
        <w:t>Asante &amp; Novak, 2024</w:t>
      </w:r>
      <w:r w:rsidR="00154D4E" w:rsidRPr="0011430B">
        <w:rPr>
          <w:rFonts w:ascii="Simplified Arabic" w:hAnsi="Simplified Arabic" w:cs="Simplified Arabic"/>
          <w:noProof/>
          <w:sz w:val="24"/>
          <w:szCs w:val="24"/>
          <w:rtl/>
        </w:rPr>
        <w:t>)</w:t>
      </w:r>
      <w:r w:rsidR="00154D4E" w:rsidRPr="0011430B">
        <w:rPr>
          <w:rFonts w:ascii="Simplified Arabic" w:hAnsi="Simplified Arabic" w:cs="Simplified Arabic"/>
          <w:sz w:val="24"/>
          <w:szCs w:val="24"/>
          <w:rtl/>
        </w:rPr>
        <w:fldChar w:fldCharType="end"/>
      </w:r>
      <w:r w:rsidRPr="0011430B">
        <w:rPr>
          <w:rFonts w:ascii="Simplified Arabic" w:hAnsi="Simplified Arabic" w:cs="Simplified Arabic"/>
          <w:sz w:val="24"/>
          <w:szCs w:val="24"/>
          <w:rtl/>
        </w:rPr>
        <w:t>.</w:t>
      </w:r>
    </w:p>
    <w:p w14:paraId="45159A13" w14:textId="77777777" w:rsidR="00820A0F" w:rsidRPr="00CD264E" w:rsidRDefault="00820A0F" w:rsidP="00CD264E">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الإجرائي</w:t>
      </w:r>
    </w:p>
    <w:p w14:paraId="4061FA15" w14:textId="2128B30D" w:rsidR="00CD264E" w:rsidRPr="00CD264E" w:rsidRDefault="00CD264E" w:rsidP="00CD264E">
      <w:pPr>
        <w:bidi/>
        <w:spacing w:line="360" w:lineRule="auto"/>
        <w:jc w:val="both"/>
        <w:rPr>
          <w:rFonts w:ascii="Simplified Arabic" w:hAnsi="Simplified Arabic" w:cs="Simplified Arabic"/>
          <w:sz w:val="24"/>
          <w:szCs w:val="24"/>
        </w:rPr>
      </w:pPr>
      <w:r w:rsidRPr="00CD264E">
        <w:rPr>
          <w:rFonts w:ascii="Simplified Arabic" w:hAnsi="Simplified Arabic" w:cs="Simplified Arabic"/>
          <w:color w:val="000000"/>
          <w:sz w:val="24"/>
          <w:szCs w:val="24"/>
          <w:rtl/>
        </w:rPr>
        <w:t>يُعرف هذا المتغير إجرائيًا بأنه الدرجة التي يحققها المشارك في ثلاث عشرة فقرة مختارة من استبيان مسح المستشفى لثقافة سلامة المرضى (</w:t>
      </w:r>
      <w:r w:rsidRPr="00CD264E">
        <w:rPr>
          <w:rFonts w:ascii="Simplified Arabic" w:hAnsi="Simplified Arabic" w:cs="Simplified Arabic"/>
          <w:color w:val="000000"/>
          <w:sz w:val="24"/>
          <w:szCs w:val="24"/>
        </w:rPr>
        <w:t>HSOPSC v1.0</w:t>
      </w:r>
      <w:r w:rsidRPr="00CD264E">
        <w:rPr>
          <w:rFonts w:ascii="Simplified Arabic" w:hAnsi="Simplified Arabic" w:cs="Simplified Arabic"/>
          <w:color w:val="000000"/>
          <w:sz w:val="24"/>
          <w:szCs w:val="24"/>
          <w:rtl/>
        </w:rPr>
        <w:t>)، والتي تغطي أربعة أبعاد: دعم إدارة المستشفى لسلامة المرضى، والتواصل المفتوح، والتعلم التنظيمي والتحسين المستمر، والعمل الجماعي داخل الوحدة. لا تُعد هذه الدرجة بمثابة تطبيق كامل للأداة، ولا تُقارن بالقيم المعيارية التي تنشرها وكالة أبحاث الرعاية الصحية والجودة للتطبيق الكامل</w:t>
      </w:r>
      <w:r>
        <w:rPr>
          <w:rFonts w:ascii="Simplified Arabic" w:hAnsi="Simplified Arabic" w:cs="Simplified Arabic"/>
          <w:color w:val="000000"/>
          <w:sz w:val="24"/>
          <w:szCs w:val="24"/>
          <w:rtl/>
        </w:rPr>
        <w:t xml:space="preserve"> (</w:t>
      </w:r>
      <w:r>
        <w:rPr>
          <w:rFonts w:ascii="Simplified Arabic" w:hAnsi="Simplified Arabic" w:cs="Simplified Arabic"/>
          <w:color w:val="000000"/>
          <w:sz w:val="24"/>
          <w:szCs w:val="24"/>
        </w:rPr>
        <w:t>AHRQ, 2018; Sorra &amp; Dyer, 2010</w:t>
      </w:r>
      <w:r>
        <w:rPr>
          <w:rFonts w:ascii="Simplified Arabic" w:hAnsi="Simplified Arabic" w:cs="Simplified Arabic"/>
          <w:color w:val="000000"/>
          <w:sz w:val="24"/>
          <w:szCs w:val="24"/>
          <w:rtl/>
        </w:rPr>
        <w:t>)</w:t>
      </w:r>
      <w:r w:rsidRPr="00CD264E">
        <w:rPr>
          <w:rFonts w:ascii="Simplified Arabic" w:hAnsi="Simplified Arabic" w:cs="Simplified Arabic"/>
          <w:color w:val="000000"/>
          <w:sz w:val="24"/>
          <w:szCs w:val="24"/>
          <w:rtl/>
        </w:rPr>
        <w:t>.</w:t>
      </w:r>
    </w:p>
    <w:p w14:paraId="5AFC5E2D"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الأبعاد الرئيسة</w:t>
      </w:r>
    </w:p>
    <w:p w14:paraId="1EB5D39E" w14:textId="77777777" w:rsidR="00820A0F" w:rsidRPr="0011430B" w:rsidRDefault="00FC62C6" w:rsidP="00974AA7">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1- دعم الإدارة للسلامة؛ 2- التواصل المفتوح بشأن الأخطاء؛ 3- التعلم المستمر من الحوادث؛ 4- العمل الجماعي والتعاون.</w:t>
      </w:r>
    </w:p>
    <w:p w14:paraId="4084241F"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7.3 </w:t>
      </w:r>
      <w:r w:rsidRPr="0011430B">
        <w:rPr>
          <w:rFonts w:ascii="Simplified Arabic" w:hAnsi="Simplified Arabic" w:cs="Simplified Arabic"/>
          <w:b/>
          <w:bCs/>
          <w:sz w:val="24"/>
          <w:szCs w:val="24"/>
          <w:rtl/>
        </w:rPr>
        <w:t>سلوكيات السلامة</w:t>
      </w:r>
      <w:r w:rsidRPr="0011430B">
        <w:rPr>
          <w:rFonts w:ascii="Simplified Arabic" w:hAnsi="Simplified Arabic" w:cs="Simplified Arabic"/>
          <w:b/>
          <w:bCs/>
          <w:sz w:val="24"/>
          <w:szCs w:val="24"/>
        </w:rPr>
        <w:t xml:space="preserve"> (Safety Behaviors – SB)</w:t>
      </w:r>
      <w:r w:rsidR="00EE4069" w:rsidRPr="0011430B">
        <w:rPr>
          <w:rFonts w:ascii="Simplified Arabic" w:hAnsi="Simplified Arabic" w:cs="Simplified Arabic"/>
          <w:b/>
          <w:bCs/>
          <w:sz w:val="24"/>
          <w:szCs w:val="24"/>
        </w:rPr>
        <w:t xml:space="preserve"> </w:t>
      </w:r>
    </w:p>
    <w:p w14:paraId="286A9D4B"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النظري</w:t>
      </w:r>
    </w:p>
    <w:p w14:paraId="1D210C88" w14:textId="16FA4A5D" w:rsidR="00820A0F" w:rsidRPr="0011430B" w:rsidRDefault="00C92050"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lastRenderedPageBreak/>
        <w:t>تشير سلوكيات السلامة إلى مجموعة الإجراءات والتصرفات العملية التي يلتزم بها الممارسون الصحيون بهدف حماية المرضى ومنع الأخطاء، وتشمل الالتزام بالبروتوكولات المعتمدة وممارسات الوقاية الأساسية وإجراءات السلامة الشخصية (</w:t>
      </w:r>
      <w:r w:rsidRPr="0011430B">
        <w:rPr>
          <w:rFonts w:ascii="Simplified Arabic" w:hAnsi="Simplified Arabic" w:cs="Simplified Arabic"/>
          <w:sz w:val="24"/>
          <w:szCs w:val="24"/>
        </w:rPr>
        <w:t>Mohammed</w:t>
      </w:r>
      <w:r w:rsidR="005B71D4">
        <w:rPr>
          <w:rFonts w:ascii="Simplified Arabic" w:hAnsi="Simplified Arabic" w:cs="Simplified Arabic" w:hint="cs"/>
          <w:sz w:val="24"/>
          <w:szCs w:val="24"/>
          <w:rtl/>
        </w:rPr>
        <w:t>,</w:t>
      </w:r>
      <w:r w:rsidRPr="0011430B">
        <w:rPr>
          <w:rFonts w:ascii="Simplified Arabic" w:hAnsi="Simplified Arabic" w:cs="Simplified Arabic"/>
          <w:sz w:val="24"/>
          <w:szCs w:val="24"/>
          <w:rtl/>
        </w:rPr>
        <w:t xml:space="preserve"> 2025).</w:t>
      </w:r>
    </w:p>
    <w:p w14:paraId="17EA7F6C"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الإجرائي</w:t>
      </w:r>
    </w:p>
    <w:p w14:paraId="655105CF" w14:textId="77777777" w:rsidR="004E1090" w:rsidRPr="004E1090" w:rsidRDefault="004E1090" w:rsidP="004E1090">
      <w:pPr>
        <w:bidi/>
        <w:spacing w:line="360" w:lineRule="auto"/>
        <w:jc w:val="both"/>
        <w:rPr>
          <w:rFonts w:ascii="Simplified Arabic" w:hAnsi="Simplified Arabic" w:cs="Simplified Arabic"/>
          <w:sz w:val="24"/>
          <w:szCs w:val="24"/>
          <w:rtl/>
        </w:rPr>
      </w:pPr>
      <w:r w:rsidRPr="004E1090">
        <w:rPr>
          <w:rFonts w:ascii="Simplified Arabic" w:hAnsi="Simplified Arabic" w:cs="Simplified Arabic"/>
          <w:color w:val="000000"/>
          <w:sz w:val="24"/>
          <w:szCs w:val="24"/>
          <w:rtl/>
        </w:rPr>
        <w:t>يُقاس مستوى مشاركة المشارك وامتثاله لإجراءات السلامة المعتمدة عبر 12 فقرة، يتم تقييمها على مقياس تكراري خماسي. تُقرأ الدرجة كتقرير ذاتي يصف مدى تكرار الممارسة، ولا تستند إلى ملاحظات ميدانية مباشرة أو مؤشرات مستخرجة من سجلات الالتزام.</w:t>
      </w:r>
    </w:p>
    <w:p w14:paraId="6638471B" w14:textId="77777777" w:rsidR="00820A0F" w:rsidRPr="00F93203" w:rsidRDefault="00820A0F" w:rsidP="00820A0F">
      <w:pPr>
        <w:bidi/>
        <w:spacing w:line="360" w:lineRule="auto"/>
        <w:rPr>
          <w:rFonts w:ascii="Simplified Arabic" w:hAnsi="Simplified Arabic" w:cs="Simplified Arabic"/>
          <w:bCs/>
          <w:sz w:val="24"/>
          <w:szCs w:val="24"/>
          <w:rtl/>
        </w:rPr>
      </w:pPr>
      <w:r w:rsidRPr="00F93203">
        <w:rPr>
          <w:rFonts w:ascii="Simplified Arabic" w:eastAsia="Simplified Arabic" w:hAnsi="Simplified Arabic" w:cs="Simplified Arabic"/>
          <w:bCs/>
          <w:sz w:val="24"/>
          <w:szCs w:val="24"/>
          <w:rtl/>
        </w:rPr>
        <w:t>7.4 التقليل المُدرَك للأحداث الضارة (Perceived Reduction of Adverse Events – PRAE)</w:t>
      </w:r>
    </w:p>
    <w:p w14:paraId="180CC75B"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النظري</w:t>
      </w:r>
    </w:p>
    <w:p w14:paraId="3D489ACB" w14:textId="3D01ED78" w:rsidR="00820A0F" w:rsidRPr="00F93203" w:rsidRDefault="002773BE" w:rsidP="002773BE">
      <w:pPr>
        <w:bidi/>
        <w:spacing w:line="360" w:lineRule="auto"/>
        <w:jc w:val="both"/>
        <w:rPr>
          <w:rFonts w:ascii="Simplified Arabic" w:hAnsi="Simplified Arabic" w:cs="Simplified Arabic"/>
          <w:sz w:val="24"/>
          <w:szCs w:val="24"/>
        </w:rPr>
      </w:pPr>
      <w:r w:rsidRPr="002773BE">
        <w:rPr>
          <w:rFonts w:ascii="Simplified Arabic" w:eastAsia="Simplified Arabic" w:hAnsi="Simplified Arabic" w:cs="Simplified Arabic"/>
          <w:sz w:val="24"/>
          <w:szCs w:val="24"/>
          <w:rtl/>
        </w:rPr>
        <w:t>تُعرَّف الأحداث الضارة بأنها إصابات أو نتائج سلبية غير مقصودة ترتبط بالرعاية الصحية</w:t>
      </w:r>
      <w:r>
        <w:rPr>
          <w:rFonts w:ascii="Simplified Arabic" w:eastAsia="Simplified Arabic" w:hAnsi="Simplified Arabic" w:cs="Simplified Arabic" w:hint="cs"/>
          <w:sz w:val="24"/>
          <w:szCs w:val="24"/>
          <w:rtl/>
        </w:rPr>
        <w:t xml:space="preserve"> </w:t>
      </w:r>
      <w:r w:rsidR="00C92050" w:rsidRPr="00F93203">
        <w:rPr>
          <w:rFonts w:ascii="Simplified Arabic" w:eastAsia="Simplified Arabic" w:hAnsi="Simplified Arabic" w:cs="Simplified Arabic"/>
          <w:sz w:val="24"/>
          <w:szCs w:val="24"/>
          <w:rtl/>
        </w:rPr>
        <w:t>أكثر من ارتباطها بالحالة المرضية الأساسية، وقد تؤدي إلى ضرر وظيفي أو إطالة الإقامة أو الوفاة. أما البناء التابع في هذه الدراسة فلا يقيس وقوع تلك الأحداث فعليًا؛ بل يقيس إدراك العاملين لفاعلية التدابير المتخذة للوقاية منها وتقليلها (Shenoy, 2021).</w:t>
      </w:r>
    </w:p>
    <w:p w14:paraId="25672215" w14:textId="77777777" w:rsidR="001E5385" w:rsidRPr="0011430B" w:rsidRDefault="00D501DC" w:rsidP="001E5385">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ا</w:t>
      </w:r>
      <w:r w:rsidR="001E5385" w:rsidRPr="0011430B">
        <w:rPr>
          <w:rFonts w:ascii="Simplified Arabic" w:hAnsi="Simplified Arabic" w:cs="Simplified Arabic"/>
          <w:b/>
          <w:bCs/>
          <w:sz w:val="24"/>
          <w:szCs w:val="24"/>
          <w:rtl/>
        </w:rPr>
        <w:t>لتعريف الإجرائي</w:t>
      </w:r>
    </w:p>
    <w:p w14:paraId="00934C49" w14:textId="77777777" w:rsidR="001E5385" w:rsidRPr="00F93203" w:rsidRDefault="00C92050" w:rsidP="001E5385">
      <w:pPr>
        <w:bidi/>
        <w:spacing w:line="360" w:lineRule="auto"/>
        <w:rPr>
          <w:rFonts w:ascii="Simplified Arabic" w:hAnsi="Simplified Arabic" w:cs="Simplified Arabic"/>
          <w:sz w:val="24"/>
          <w:szCs w:val="24"/>
        </w:rPr>
      </w:pPr>
      <w:r w:rsidRPr="00F93203">
        <w:rPr>
          <w:rFonts w:ascii="Simplified Arabic" w:eastAsia="Simplified Arabic" w:hAnsi="Simplified Arabic" w:cs="Simplified Arabic"/>
          <w:sz w:val="24"/>
          <w:szCs w:val="24"/>
          <w:rtl/>
        </w:rPr>
        <w:t>يُعرَّف التقليل المُدرَك للأحداث الضارة إجرائيًا بأنه الدرجة التي يحصل عليها المشارك على مقياس مكون من ثماني فقرات تعكس تقييمه لفاعلية الإجراءات والتدابير المعتمدة للحد من الأخطاء والحوادث القابلة للوقاية في المستشفيات الحكومية بمنطقة الجوف.</w:t>
      </w:r>
    </w:p>
    <w:p w14:paraId="2DB54B64" w14:textId="4A545A3D" w:rsidR="00F93203" w:rsidRPr="00F93203" w:rsidRDefault="00F93203" w:rsidP="00F93203">
      <w:pPr>
        <w:bidi/>
        <w:spacing w:line="360" w:lineRule="auto"/>
        <w:jc w:val="both"/>
        <w:rPr>
          <w:rFonts w:ascii="Simplified Arabic" w:hAnsi="Simplified Arabic" w:cs="Simplified Arabic"/>
          <w:sz w:val="24"/>
          <w:szCs w:val="24"/>
          <w:rtl/>
        </w:rPr>
      </w:pPr>
      <w:r>
        <w:rPr>
          <w:rFonts w:ascii="Simplified Arabic" w:hAnsi="Simplified Arabic" w:cs="Simplified Arabic"/>
          <w:color w:val="000000"/>
          <w:sz w:val="24"/>
          <w:szCs w:val="24"/>
          <w:rtl/>
        </w:rPr>
        <w:t xml:space="preserve">يغطي محتوى المقياس مجالات الوقاية من الأخطاء الشائعة، واستجابة الفاعلية لها، والتحسن الملحوظ في السلامة، دون اعتبارها أبعادًا فرعية مستقلة. فمن المُفترض بناء نموذج موحد يُختبر بشكل تأكيدي ويُقارن بنموذج آخر متعدد الأبعاد قبل اعتماد أحدهما. نظرًا لأن جزءًا من المحتوى يتناول الإبلاغ والتعلم، وهو مجالان يدرسهما أيضًا مقياس ثقافة سلامة المرضى، يُجرى فحص دقيق للفروقات بين النموذجين باستخدام مؤشر </w:t>
      </w:r>
      <w:r>
        <w:rPr>
          <w:rFonts w:ascii="Simplified Arabic" w:hAnsi="Simplified Arabic" w:cs="Simplified Arabic"/>
          <w:color w:val="000000"/>
          <w:sz w:val="24"/>
          <w:szCs w:val="24"/>
        </w:rPr>
        <w:t>HTMT</w:t>
      </w:r>
      <w:r>
        <w:rPr>
          <w:rFonts w:ascii="Simplified Arabic" w:hAnsi="Simplified Arabic" w:cs="Simplified Arabic"/>
          <w:color w:val="000000"/>
          <w:sz w:val="24"/>
          <w:szCs w:val="24"/>
          <w:rtl/>
        </w:rPr>
        <w:t xml:space="preserve"> واختبار كاي تربيع بين نموذج حر ونموذج مقيد يُعطى الارتباط بينهما القيمة 1. ولا يُبدأ في تقدير النموذج الهيكلي إلا بعد استيفاء هذا الشرط.</w:t>
      </w:r>
    </w:p>
    <w:p w14:paraId="3BF2F7D9" w14:textId="77777777" w:rsidR="00866DE7" w:rsidRPr="00F93203" w:rsidRDefault="001E5385" w:rsidP="00866DE7">
      <w:pPr>
        <w:bidi/>
        <w:spacing w:line="360" w:lineRule="auto"/>
        <w:jc w:val="both"/>
        <w:rPr>
          <w:rFonts w:ascii="Simplified Arabic" w:hAnsi="Simplified Arabic" w:cs="Simplified Arabic"/>
          <w:b/>
          <w:bCs/>
          <w:sz w:val="24"/>
          <w:szCs w:val="24"/>
          <w:rtl/>
        </w:rPr>
      </w:pPr>
      <w:r w:rsidRPr="00F93203">
        <w:rPr>
          <w:rFonts w:ascii="Simplified Arabic" w:eastAsia="Simplified Arabic" w:hAnsi="Simplified Arabic" w:cs="Simplified Arabic"/>
          <w:sz w:val="24"/>
          <w:szCs w:val="24"/>
          <w:rtl/>
        </w:rPr>
        <w:t>طريقة القياس: تُجمع البيانات من خلال ثماني عبارات على مقياس ليكرت خماسي للاتفاق. وتعني الدرجة الأعلى إدراكًا أكبر لفاعلية إجراءات التقليل والوقاية. ولا تمثل الدرجة عددًا أو نسبة أو معدلًا حقيقيًا للأحداث المستخرجة من السجلات.</w:t>
      </w:r>
    </w:p>
    <w:p w14:paraId="731B0C08" w14:textId="5D21D452" w:rsidR="004E2481" w:rsidRPr="007877B6" w:rsidRDefault="00076824" w:rsidP="002773BE">
      <w:pPr>
        <w:bidi/>
        <w:spacing w:line="360" w:lineRule="auto"/>
        <w:jc w:val="both"/>
        <w:rPr>
          <w:rFonts w:ascii="Simplified Arabic" w:hAnsi="Simplified Arabic" w:cs="Simplified Arabic"/>
          <w:sz w:val="24"/>
          <w:szCs w:val="24"/>
          <w:rtl/>
        </w:rPr>
      </w:pPr>
      <w:r w:rsidRPr="007877B6">
        <w:rPr>
          <w:rFonts w:ascii="Simplified Arabic" w:hAnsi="Simplified Arabic" w:cs="Simplified Arabic"/>
          <w:sz w:val="24"/>
          <w:szCs w:val="24"/>
          <w:rtl/>
        </w:rPr>
        <w:t xml:space="preserve">وعلى الرغم من الترابط الوثيق بين متغيرات الدراسة، فإنها لا تنتمي إلى المستوى التحليلي نفسه. فثقافة السلامة تشير إلى الإطار التنظيمي القيمي والإدراكي الذي يحدد كيف تُفهم السلامة داخل المؤسسة وكيف يُتَعامل مع الخطأ والتعلم منه، في حين تشير سلوكيات </w:t>
      </w:r>
      <w:r w:rsidRPr="007877B6">
        <w:rPr>
          <w:rFonts w:ascii="Simplified Arabic" w:hAnsi="Simplified Arabic" w:cs="Simplified Arabic"/>
          <w:sz w:val="24"/>
          <w:szCs w:val="24"/>
          <w:rtl/>
        </w:rPr>
        <w:lastRenderedPageBreak/>
        <w:t xml:space="preserve">السلامة إلى الممارسات التنفيذية اليومية التي يجسد بها العاملون تلك القيم في الواقع العملي. </w:t>
      </w:r>
      <w:r w:rsidR="002773BE" w:rsidRPr="002773BE">
        <w:rPr>
          <w:rFonts w:ascii="Simplified Arabic" w:hAnsi="Simplified Arabic" w:cs="Simplified Arabic"/>
          <w:sz w:val="24"/>
          <w:szCs w:val="24"/>
          <w:rtl/>
        </w:rPr>
        <w:t>أما الأحداث الضارة فتمثل النتيجة النهائية أو المخرج السريري والتنظيمي</w:t>
      </w:r>
      <w:r w:rsidRPr="007877B6">
        <w:rPr>
          <w:rFonts w:ascii="Simplified Arabic" w:hAnsi="Simplified Arabic" w:cs="Simplified Arabic"/>
          <w:sz w:val="24"/>
          <w:szCs w:val="24"/>
          <w:rtl/>
        </w:rPr>
        <w:t xml:space="preserve"> الذي يعكس حصيلة جودة الممارسة، ولذلك فإن الفصل بين الثقافة بوصفها مناخًا تنظيميًا، والسلوك بوصفه ممارسة فعلية، والحدث الضار بوصفه نتيجة، يعد ضروريًا لضبط النموذج نظريًا وقياسيًا.</w:t>
      </w:r>
    </w:p>
    <w:p w14:paraId="6FA984B1" w14:textId="77777777" w:rsidR="001E5385" w:rsidRPr="0011430B" w:rsidRDefault="001E5385" w:rsidP="00866DE7">
      <w:pPr>
        <w:bidi/>
        <w:spacing w:line="360" w:lineRule="auto"/>
        <w:rPr>
          <w:rFonts w:ascii="Simplified Arabic" w:hAnsi="Simplified Arabic" w:cs="Simplified Arabic"/>
          <w:sz w:val="24"/>
          <w:szCs w:val="24"/>
        </w:rPr>
      </w:pPr>
      <w:r w:rsidRPr="0011430B">
        <w:rPr>
          <w:rFonts w:ascii="Simplified Arabic" w:hAnsi="Simplified Arabic" w:cs="Simplified Arabic"/>
          <w:b/>
          <w:bCs/>
          <w:sz w:val="24"/>
          <w:szCs w:val="24"/>
          <w:rtl/>
        </w:rPr>
        <w:t>ملاحظة منهجية مهمة</w:t>
      </w:r>
      <w:r w:rsidRPr="0011430B">
        <w:rPr>
          <w:rFonts w:ascii="Simplified Arabic" w:hAnsi="Simplified Arabic" w:cs="Simplified Arabic"/>
          <w:b/>
          <w:bCs/>
          <w:sz w:val="24"/>
          <w:szCs w:val="24"/>
        </w:rPr>
        <w:t>:</w:t>
      </w:r>
      <w:r w:rsidR="00C34E8B" w:rsidRPr="0011430B">
        <w:rPr>
          <w:rFonts w:ascii="Simplified Arabic" w:hAnsi="Simplified Arabic" w:cs="Simplified Arabic"/>
          <w:sz w:val="24"/>
          <w:szCs w:val="24"/>
          <w:rtl/>
        </w:rPr>
        <w:t xml:space="preserve"> </w:t>
      </w:r>
      <w:r w:rsidRPr="0011430B">
        <w:rPr>
          <w:rFonts w:ascii="Simplified Arabic" w:hAnsi="Simplified Arabic" w:cs="Simplified Arabic"/>
          <w:sz w:val="24"/>
          <w:szCs w:val="24"/>
          <w:rtl/>
        </w:rPr>
        <w:t>اختيار القياس الإدراكي (بدلاً من البيانات الموضوعية من السجلات الرسمية) يبرره</w:t>
      </w:r>
      <w:r w:rsidRPr="0011430B">
        <w:rPr>
          <w:rFonts w:ascii="Simplified Arabic" w:hAnsi="Simplified Arabic" w:cs="Simplified Arabic"/>
          <w:sz w:val="24"/>
          <w:szCs w:val="24"/>
        </w:rPr>
        <w:t>:</w:t>
      </w:r>
    </w:p>
    <w:p w14:paraId="555468D2" w14:textId="77777777" w:rsidR="001E5385" w:rsidRPr="0011430B" w:rsidRDefault="001E5385"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أولاً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توفر البيانات الإدراكية منظوراً شاملاً عن ثقة العاملين (وهم المنفذون الأساسيون) في فعالية التدابير الوقائية</w:t>
      </w:r>
    </w:p>
    <w:p w14:paraId="22461722" w14:textId="77777777" w:rsidR="001E5385" w:rsidRPr="0011430B" w:rsidRDefault="001E5385"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ثانياً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ارتباط مباشر بين إدراك فعالية الإجراءات والامتثال الفعلي للممارسات الآمنة</w:t>
      </w:r>
      <w:r w:rsidR="00E36573">
        <w:rPr>
          <w:rFonts w:ascii="Simplified Arabic" w:hAnsi="Simplified Arabic" w:cs="Simplified Arabic" w:hint="cs"/>
          <w:sz w:val="24"/>
          <w:szCs w:val="24"/>
          <w:rtl/>
        </w:rPr>
        <w:t>.</w:t>
      </w:r>
    </w:p>
    <w:p w14:paraId="75F23AD5" w14:textId="77777777" w:rsidR="001E5385" w:rsidRDefault="001E5385" w:rsidP="001E5385">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ثالثاً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عملياً، السجلات الرسمية للحوادث قد تكون غير كاملة أو غير متاحة للباحث، بينما الاستبانة توفر بيانات مباشرة وموحدة</w:t>
      </w:r>
      <w:r w:rsidR="00DE2DA1">
        <w:rPr>
          <w:rFonts w:ascii="Simplified Arabic" w:hAnsi="Simplified Arabic" w:cs="Simplified Arabic" w:hint="cs"/>
          <w:sz w:val="24"/>
          <w:szCs w:val="24"/>
          <w:rtl/>
        </w:rPr>
        <w:t>.</w:t>
      </w:r>
    </w:p>
    <w:p w14:paraId="6D4EA576" w14:textId="32F14F9B" w:rsidR="00E52628" w:rsidRPr="0011430B" w:rsidRDefault="00DE2DA1" w:rsidP="00705E6C">
      <w:pPr>
        <w:bidi/>
        <w:spacing w:line="360" w:lineRule="auto"/>
        <w:rPr>
          <w:rFonts w:ascii="Simplified Arabic" w:hAnsi="Simplified Arabic" w:cs="Simplified Arabic"/>
          <w:sz w:val="24"/>
          <w:szCs w:val="24"/>
        </w:rPr>
      </w:pPr>
      <w:r>
        <w:rPr>
          <w:rFonts w:ascii="Simplified Arabic" w:hAnsi="Simplified Arabic" w:cs="Simplified Arabic"/>
          <w:sz w:val="24"/>
          <w:szCs w:val="24"/>
          <w:rtl/>
        </w:rPr>
        <w:t xml:space="preserve">وتجدر الإشارة إلى أن الدراسة الحالية لا تعتمد استبانة </w:t>
      </w:r>
      <w:r>
        <w:rPr>
          <w:rFonts w:ascii="Simplified Arabic" w:hAnsi="Simplified Arabic" w:cs="Simplified Arabic"/>
          <w:sz w:val="24"/>
          <w:szCs w:val="24"/>
        </w:rPr>
        <w:t>MLQ</w:t>
      </w:r>
      <w:r>
        <w:rPr>
          <w:rFonts w:ascii="Simplified Arabic" w:hAnsi="Simplified Arabic" w:cs="Simplified Arabic"/>
          <w:sz w:val="24"/>
          <w:szCs w:val="24"/>
          <w:rtl/>
        </w:rPr>
        <w:t xml:space="preserve"> لقياس القيادة التحويلية، وإنما تعتمد مقياس </w:t>
      </w:r>
      <w:r>
        <w:rPr>
          <w:rFonts w:ascii="Simplified Arabic" w:hAnsi="Simplified Arabic" w:cs="Simplified Arabic"/>
          <w:sz w:val="24"/>
          <w:szCs w:val="24"/>
        </w:rPr>
        <w:t>TLI</w:t>
      </w:r>
      <w:r>
        <w:rPr>
          <w:rFonts w:ascii="Simplified Arabic" w:hAnsi="Simplified Arabic" w:cs="Simplified Arabic"/>
          <w:sz w:val="24"/>
          <w:szCs w:val="24"/>
          <w:rtl/>
        </w:rPr>
        <w:t xml:space="preserve"> وفقًا لـ </w:t>
      </w:r>
      <w:r>
        <w:rPr>
          <w:rFonts w:ascii="Simplified Arabic" w:hAnsi="Simplified Arabic" w:cs="Simplified Arabic"/>
          <w:sz w:val="24"/>
          <w:szCs w:val="24"/>
        </w:rPr>
        <w:t>Podsakoff et al</w:t>
      </w:r>
      <w:r>
        <w:rPr>
          <w:rFonts w:ascii="Simplified Arabic" w:hAnsi="Simplified Arabic" w:cs="Simplified Arabic"/>
          <w:sz w:val="24"/>
          <w:szCs w:val="24"/>
          <w:rtl/>
        </w:rPr>
        <w:t>. (1990)، وعليه فإن جميع الإشارات اللاحقة لقياس القيادة التحويلية في هذه الرسالة ينبغي أن تُفهم في ضوء هذا المقياس وأبعاده الستة.</w:t>
      </w:r>
    </w:p>
    <w:p w14:paraId="573BFE35" w14:textId="77777777" w:rsidR="00336EAC" w:rsidRDefault="00856F43" w:rsidP="00EE32C9">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8</w:t>
      </w:r>
      <w:r w:rsidR="00336EAC" w:rsidRPr="0011430B">
        <w:rPr>
          <w:rFonts w:ascii="Simplified Arabic" w:hAnsi="Simplified Arabic" w:cs="Simplified Arabic"/>
          <w:b/>
          <w:bCs/>
          <w:sz w:val="24"/>
          <w:szCs w:val="24"/>
          <w:rtl/>
        </w:rPr>
        <w:t xml:space="preserve">. الدراسات السابقة </w:t>
      </w:r>
    </w:p>
    <w:p w14:paraId="15B74450" w14:textId="37EAAB87" w:rsidR="00AA0E21" w:rsidRPr="004055C4" w:rsidRDefault="004055C4" w:rsidP="004055C4">
      <w:pPr>
        <w:bidi/>
        <w:spacing w:line="360" w:lineRule="auto"/>
        <w:jc w:val="both"/>
        <w:rPr>
          <w:rFonts w:ascii="Simplified Arabic" w:hAnsi="Simplified Arabic" w:cs="Simplified Arabic"/>
          <w:sz w:val="24"/>
          <w:szCs w:val="24"/>
          <w:rtl/>
        </w:rPr>
      </w:pPr>
      <w:r>
        <w:rPr>
          <w:rFonts w:ascii="Simplified Arabic" w:hAnsi="Simplified Arabic" w:cs="Simplified Arabic"/>
          <w:color w:val="000000"/>
          <w:sz w:val="24"/>
          <w:szCs w:val="24"/>
          <w:rtl/>
        </w:rPr>
        <w:t xml:space="preserve">تتقاطع هذه الدراسة مع ثلاثة خطوط بحثية متمايزة: خط يربط القيادة التحويلية بثقافة سلامة المرضى، وخط يربط ثقافة السلامة بسلوكيات العاملين ونتائج السلامة، وخط ثالث أحدث يختبر مسارات الوساطة المتعددة بنمذجة المعادلات الهيكلية. ويغلب على هذه الخطوط مجتمعةً اختبار علاقات ثنائية منفصلة، وندرة الأدلة المستمدة من مستشفيات المناطق خارج المراكز الحضرية الكبرى. </w:t>
      </w:r>
      <w:r w:rsidR="00634C26" w:rsidRPr="00634C26">
        <w:rPr>
          <w:rFonts w:ascii="Simplified Arabic" w:eastAsia="Arial" w:hAnsi="Simplified Arabic" w:cs="Simplified Arabic"/>
          <w:color w:val="000000"/>
          <w:sz w:val="24"/>
          <w:szCs w:val="24"/>
          <w:rtl/>
        </w:rPr>
        <w:t>وتُعرض هذه الأدبيات عرضًا نقديًا مفصَّلًا في البند 2.8 من الفصل الثاني، إذ تُناقَش شواهدها وقيودها المنهجية والسياقية وتُشتق منها فرضيات الدراسة</w:t>
      </w:r>
      <w:r>
        <w:rPr>
          <w:rFonts w:ascii="Simplified Arabic" w:hAnsi="Simplified Arabic" w:cs="Simplified Arabic"/>
          <w:color w:val="000000"/>
          <w:sz w:val="24"/>
          <w:szCs w:val="24"/>
          <w:rtl/>
        </w:rPr>
        <w:t>.</w:t>
      </w:r>
    </w:p>
    <w:p w14:paraId="53931E06" w14:textId="1F6EB51F" w:rsidR="00443F33" w:rsidRPr="0011430B" w:rsidRDefault="004055C4" w:rsidP="004055C4">
      <w:pPr>
        <w:bidi/>
        <w:spacing w:line="360" w:lineRule="auto"/>
        <w:rPr>
          <w:rFonts w:ascii="Simplified Arabic" w:hAnsi="Simplified Arabic" w:cs="Simplified Arabic"/>
          <w:b/>
          <w:bCs/>
          <w:sz w:val="24"/>
          <w:szCs w:val="24"/>
          <w:rtl/>
        </w:rPr>
      </w:pPr>
      <w:r>
        <w:rPr>
          <w:rFonts w:ascii="Simplified Arabic" w:hAnsi="Simplified Arabic" w:cs="Simplified Arabic" w:hint="cs"/>
          <w:b/>
          <w:bCs/>
          <w:noProof/>
          <w:sz w:val="24"/>
          <w:szCs w:val="24"/>
          <w:rtl/>
          <w:lang w:val="ar-SA"/>
        </w:rPr>
        <w:t>9</w:t>
      </w:r>
      <w:r w:rsidR="00443F33" w:rsidRPr="0011430B">
        <w:rPr>
          <w:rFonts w:ascii="Simplified Arabic" w:hAnsi="Simplified Arabic" w:cs="Simplified Arabic"/>
          <w:b/>
          <w:bCs/>
          <w:sz w:val="24"/>
          <w:szCs w:val="24"/>
          <w:rtl/>
        </w:rPr>
        <w:t xml:space="preserve">.حدود الدراسة </w:t>
      </w:r>
    </w:p>
    <w:p w14:paraId="4DF3B096" w14:textId="77777777" w:rsidR="00F74889" w:rsidRDefault="00856F43" w:rsidP="00F74889">
      <w:pPr>
        <w:bidi/>
        <w:spacing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Pr>
        <w:t>9.1</w:t>
      </w:r>
      <w:r>
        <w:rPr>
          <w:rFonts w:ascii="Simplified Arabic" w:hAnsi="Simplified Arabic" w:cs="Simplified Arabic" w:hint="cs"/>
          <w:b/>
          <w:bCs/>
          <w:sz w:val="24"/>
          <w:szCs w:val="24"/>
          <w:rtl/>
        </w:rPr>
        <w:t xml:space="preserve"> </w:t>
      </w:r>
      <w:r w:rsidR="00EE32C9" w:rsidRPr="0011430B">
        <w:rPr>
          <w:rFonts w:ascii="Simplified Arabic" w:hAnsi="Simplified Arabic" w:cs="Simplified Arabic"/>
          <w:b/>
          <w:bCs/>
          <w:sz w:val="24"/>
          <w:szCs w:val="24"/>
          <w:rtl/>
        </w:rPr>
        <w:t>الحدود الموضوعية</w:t>
      </w:r>
    </w:p>
    <w:p w14:paraId="18CA4442" w14:textId="1AF1D805" w:rsidR="00F74889" w:rsidRPr="00F74889" w:rsidRDefault="00F74889" w:rsidP="00F74889">
      <w:pPr>
        <w:bidi/>
        <w:spacing w:line="360" w:lineRule="auto"/>
        <w:jc w:val="both"/>
        <w:rPr>
          <w:rFonts w:ascii="Simplified Arabic" w:hAnsi="Simplified Arabic" w:cs="Simplified Arabic"/>
          <w:b/>
          <w:bCs/>
          <w:sz w:val="24"/>
          <w:szCs w:val="24"/>
        </w:rPr>
      </w:pPr>
      <w:r>
        <w:rPr>
          <w:rFonts w:ascii="Simplified Arabic" w:hAnsi="Simplified Arabic" w:cs="Simplified Arabic"/>
          <w:sz w:val="24"/>
          <w:szCs w:val="24"/>
          <w:rtl/>
        </w:rPr>
        <w:t xml:space="preserve">تركز هذه الدراسة على اختبار آلية </w:t>
      </w:r>
      <w:r w:rsidRPr="001310EB">
        <w:rPr>
          <w:rFonts w:ascii="Simplified Arabic" w:hAnsi="Simplified Arabic" w:cs="Simplified Arabic"/>
          <w:sz w:val="24"/>
          <w:szCs w:val="24"/>
          <w:rtl/>
        </w:rPr>
        <w:t>التسلسل ل</w:t>
      </w:r>
      <w:r w:rsidR="001310EB" w:rsidRPr="001310EB">
        <w:rPr>
          <w:rFonts w:ascii="Simplified Arabic" w:eastAsia="Arial" w:hAnsi="Simplified Arabic" w:cs="Simplified Arabic"/>
          <w:color w:val="000000"/>
          <w:sz w:val="24"/>
          <w:szCs w:val="24"/>
          <w:rtl/>
        </w:rPr>
        <w:t>أثر القيادة التحويلية في التقليل المُدرَك للأحداث الضارة</w:t>
      </w:r>
      <w:r>
        <w:rPr>
          <w:rFonts w:ascii="Simplified Arabic" w:hAnsi="Simplified Arabic" w:cs="Simplified Arabic"/>
          <w:sz w:val="24"/>
          <w:szCs w:val="24"/>
          <w:rtl/>
        </w:rPr>
        <w:t xml:space="preserve"> من خلال متغيرين وسيطين متتابعين، هما ثقافة سلامة المرضى وسلوكيات السلامة. وهي لا تتطرق لتحليل أنماط قيادية أخرى أو مقارنة مدارس القيادة المختلفة، ولا تتناول متغيرات سياقية إضافية قد تساهم في تفسير النتائج، مثل مستوى الموارد المالية أو نظم المعلومات الصحية أو خصائص </w:t>
      </w:r>
      <w:r>
        <w:rPr>
          <w:rFonts w:ascii="Simplified Arabic" w:hAnsi="Simplified Arabic" w:cs="Simplified Arabic"/>
          <w:sz w:val="24"/>
          <w:szCs w:val="24"/>
          <w:rtl/>
        </w:rPr>
        <w:lastRenderedPageBreak/>
        <w:t>البنية التحتية. وبالتالي، يقتصر الإطار الموضوعي على العلاقات المحددة بين المتغيرات الأربعة الرئيسية في الدراسة كما هو موضح في النموذج المقترح.</w:t>
      </w:r>
    </w:p>
    <w:p w14:paraId="22A962AF" w14:textId="77777777" w:rsidR="00EE32C9" w:rsidRPr="0011430B" w:rsidRDefault="00856F43" w:rsidP="00EE32C9">
      <w:pPr>
        <w:bidi/>
        <w:spacing w:line="360" w:lineRule="auto"/>
        <w:jc w:val="both"/>
        <w:rPr>
          <w:rFonts w:ascii="Simplified Arabic" w:hAnsi="Simplified Arabic" w:cs="Simplified Arabic"/>
          <w:b/>
          <w:bCs/>
          <w:sz w:val="24"/>
          <w:szCs w:val="24"/>
        </w:rPr>
      </w:pPr>
      <w:r>
        <w:rPr>
          <w:rFonts w:ascii="Simplified Arabic" w:hAnsi="Simplified Arabic" w:cs="Simplified Arabic"/>
          <w:b/>
          <w:bCs/>
          <w:sz w:val="24"/>
          <w:szCs w:val="24"/>
        </w:rPr>
        <w:t xml:space="preserve"> 9</w:t>
      </w:r>
      <w:r w:rsidR="000E2549" w:rsidRPr="0011430B">
        <w:rPr>
          <w:rFonts w:ascii="Simplified Arabic" w:hAnsi="Simplified Arabic" w:cs="Simplified Arabic"/>
          <w:b/>
          <w:bCs/>
          <w:sz w:val="24"/>
          <w:szCs w:val="24"/>
        </w:rPr>
        <w:t xml:space="preserve">.2 </w:t>
      </w:r>
      <w:r w:rsidR="000E2549" w:rsidRPr="0011430B">
        <w:rPr>
          <w:rFonts w:ascii="Simplified Arabic" w:hAnsi="Simplified Arabic" w:cs="Simplified Arabic"/>
          <w:b/>
          <w:bCs/>
          <w:sz w:val="24"/>
          <w:szCs w:val="24"/>
          <w:rtl/>
        </w:rPr>
        <w:t>الحدود</w:t>
      </w:r>
      <w:r w:rsidR="00EE32C9" w:rsidRPr="0011430B">
        <w:rPr>
          <w:rFonts w:ascii="Simplified Arabic" w:hAnsi="Simplified Arabic" w:cs="Simplified Arabic"/>
          <w:b/>
          <w:bCs/>
          <w:sz w:val="24"/>
          <w:szCs w:val="24"/>
          <w:rtl/>
        </w:rPr>
        <w:t xml:space="preserve"> المكانية</w:t>
      </w:r>
    </w:p>
    <w:p w14:paraId="244E1C14" w14:textId="3A09CBED" w:rsidR="00E52628" w:rsidRPr="004D0777" w:rsidRDefault="00EA3C4E" w:rsidP="004D0777">
      <w:pPr>
        <w:bidi/>
        <w:spacing w:line="360" w:lineRule="auto"/>
        <w:jc w:val="both"/>
        <w:rPr>
          <w:rFonts w:ascii="Simplified Arabic" w:hAnsi="Simplified Arabic" w:cs="Simplified Arabic"/>
          <w:sz w:val="24"/>
          <w:szCs w:val="24"/>
        </w:rPr>
      </w:pPr>
      <w:r>
        <w:rPr>
          <w:rFonts w:ascii="Simplified Arabic" w:hAnsi="Simplified Arabic" w:cs="Simplified Arabic" w:hint="eastAsia"/>
          <w:sz w:val="24"/>
          <w:szCs w:val="24"/>
          <w:rtl/>
        </w:rPr>
        <w:t>تُجري</w:t>
      </w:r>
      <w:r>
        <w:rPr>
          <w:rFonts w:ascii="Simplified Arabic" w:hAnsi="Simplified Arabic" w:cs="Simplified Arabic"/>
          <w:sz w:val="24"/>
          <w:szCs w:val="24"/>
          <w:rtl/>
        </w:rPr>
        <w:t xml:space="preserve"> الدراسة في مستشفيات القطاع الحكومي التابعة لوزارة الصحة في منطقة الجوف بالمملكة العربية السعودية، وتشمل المستشفيات الواقعة في المحافظات الخمس: سكاكا، دومة الجندل، صوير، طبرجل، والقريات. وقد تم اختيار هذه المنطقة لكونها بيئة بحثية لم تحظَ بالاهتمام ا</w:t>
      </w:r>
      <w:r>
        <w:rPr>
          <w:rFonts w:ascii="Simplified Arabic" w:hAnsi="Simplified Arabic" w:cs="Simplified Arabic" w:hint="eastAsia"/>
          <w:sz w:val="24"/>
          <w:szCs w:val="24"/>
          <w:rtl/>
        </w:rPr>
        <w:t>لكافي</w:t>
      </w:r>
      <w:r>
        <w:rPr>
          <w:rFonts w:ascii="Simplified Arabic" w:hAnsi="Simplified Arabic" w:cs="Simplified Arabic"/>
          <w:sz w:val="24"/>
          <w:szCs w:val="24"/>
          <w:rtl/>
        </w:rPr>
        <w:t xml:space="preserve"> في الأدبيات السابقة، بما يثري المعرفة حول واقع السلامة في المناطق الطرفية. وبناءً على ذلك، فإن قابليّة تعميم النتائج قد تكون محدودة عند تطبيقها على مناطق أخرى أو قطاعات صحية غير حكومية مثل القطاع الخاص أو العسكري.</w:t>
      </w:r>
    </w:p>
    <w:p w14:paraId="2245A90F" w14:textId="5D94FA73" w:rsidR="00EE32C9" w:rsidRPr="0011430B" w:rsidRDefault="00856F43" w:rsidP="00E52628">
      <w:pPr>
        <w:bidi/>
        <w:spacing w:line="360" w:lineRule="auto"/>
        <w:jc w:val="both"/>
        <w:rPr>
          <w:rFonts w:ascii="Simplified Arabic" w:hAnsi="Simplified Arabic" w:cs="Simplified Arabic"/>
          <w:b/>
          <w:bCs/>
          <w:sz w:val="24"/>
          <w:szCs w:val="24"/>
          <w:rtl/>
        </w:rPr>
      </w:pPr>
      <w:r>
        <w:rPr>
          <w:rFonts w:ascii="Simplified Arabic" w:hAnsi="Simplified Arabic" w:cs="Simplified Arabic"/>
          <w:b/>
          <w:bCs/>
          <w:sz w:val="24"/>
          <w:szCs w:val="24"/>
        </w:rPr>
        <w:t>9</w:t>
      </w:r>
      <w:r w:rsidR="00EE32C9" w:rsidRPr="0011430B">
        <w:rPr>
          <w:rFonts w:ascii="Simplified Arabic" w:hAnsi="Simplified Arabic" w:cs="Simplified Arabic"/>
          <w:b/>
          <w:bCs/>
          <w:sz w:val="24"/>
          <w:szCs w:val="24"/>
        </w:rPr>
        <w:t xml:space="preserve">.3 </w:t>
      </w:r>
      <w:r w:rsidR="00EE32C9" w:rsidRPr="0011430B">
        <w:rPr>
          <w:rFonts w:ascii="Simplified Arabic" w:hAnsi="Simplified Arabic" w:cs="Simplified Arabic"/>
          <w:b/>
          <w:bCs/>
          <w:sz w:val="24"/>
          <w:szCs w:val="24"/>
          <w:rtl/>
        </w:rPr>
        <w:t>الحدود الزمنية</w:t>
      </w:r>
    </w:p>
    <w:p w14:paraId="657373B9" w14:textId="77777777" w:rsidR="007E63A2" w:rsidRPr="0011430B" w:rsidRDefault="007E63A2" w:rsidP="007E63A2">
      <w:pPr>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sz w:val="24"/>
          <w:rtl/>
        </w:rPr>
        <w:t>يقتصر الإطار الزمني للدراسة على عام 2026، وهو العام المحدد لجمع البيانات الميدانية. وتزامنُ هذه الفترة مع تنفيذ مبادرات وطنية في مجالات الجودة وسلامة المرضى قد يؤثر على مستوى إدراكات المشاركين. وعليه، تعكس النتائج هذه الفترة الزمنية تحديدًا، ولا يمكن افتراض ثبات العلاقات النظرية والمسارات الإحصائية عبر فترات زمنية مختلفة دون دراسات لاحقة.</w:t>
      </w:r>
    </w:p>
    <w:p w14:paraId="192B60CB" w14:textId="77777777" w:rsidR="00EE32C9" w:rsidRPr="0011430B" w:rsidRDefault="00856F43" w:rsidP="00EE32C9">
      <w:pPr>
        <w:bidi/>
        <w:spacing w:line="360" w:lineRule="auto"/>
        <w:jc w:val="both"/>
        <w:rPr>
          <w:rFonts w:ascii="Simplified Arabic" w:hAnsi="Simplified Arabic" w:cs="Simplified Arabic"/>
          <w:b/>
          <w:bCs/>
          <w:sz w:val="24"/>
          <w:szCs w:val="24"/>
        </w:rPr>
      </w:pPr>
      <w:r>
        <w:rPr>
          <w:rFonts w:ascii="Simplified Arabic" w:hAnsi="Simplified Arabic" w:cs="Simplified Arabic"/>
          <w:b/>
          <w:bCs/>
          <w:sz w:val="24"/>
          <w:szCs w:val="24"/>
        </w:rPr>
        <w:t xml:space="preserve"> 9.4</w:t>
      </w:r>
      <w:r w:rsidR="00204C84" w:rsidRPr="0011430B">
        <w:rPr>
          <w:rFonts w:ascii="Simplified Arabic" w:hAnsi="Simplified Arabic" w:cs="Simplified Arabic"/>
          <w:b/>
          <w:bCs/>
          <w:sz w:val="24"/>
          <w:szCs w:val="24"/>
        </w:rPr>
        <w:t xml:space="preserve"> </w:t>
      </w:r>
      <w:r w:rsidR="00204C84">
        <w:rPr>
          <w:rFonts w:ascii="Simplified Arabic" w:hAnsi="Simplified Arabic" w:cs="Simplified Arabic" w:hint="cs"/>
          <w:b/>
          <w:bCs/>
          <w:sz w:val="24"/>
          <w:szCs w:val="24"/>
          <w:rtl/>
        </w:rPr>
        <w:t>الحدود</w:t>
      </w:r>
      <w:r w:rsidR="00EE32C9" w:rsidRPr="0011430B">
        <w:rPr>
          <w:rFonts w:ascii="Simplified Arabic" w:hAnsi="Simplified Arabic" w:cs="Simplified Arabic"/>
          <w:b/>
          <w:bCs/>
          <w:sz w:val="24"/>
          <w:szCs w:val="24"/>
          <w:rtl/>
        </w:rPr>
        <w:t xml:space="preserve"> البشرية</w:t>
      </w:r>
    </w:p>
    <w:p w14:paraId="302D0465" w14:textId="77777777" w:rsidR="00204C84" w:rsidRDefault="00204C84" w:rsidP="00204C84">
      <w:pPr>
        <w:bidi/>
        <w:spacing w:line="360" w:lineRule="auto"/>
        <w:jc w:val="both"/>
        <w:rPr>
          <w:rFonts w:ascii="Simplified Arabic" w:hAnsi="Simplified Arabic" w:cs="Simplified Arabic"/>
          <w:b/>
          <w:bCs/>
          <w:sz w:val="24"/>
          <w:szCs w:val="24"/>
          <w:rtl/>
        </w:rPr>
      </w:pPr>
      <w:r>
        <w:rPr>
          <w:rFonts w:ascii="Simplified Arabic" w:hAnsi="Simplified Arabic" w:cs="Simplified Arabic"/>
          <w:sz w:val="24"/>
          <w:szCs w:val="24"/>
          <w:rtl/>
        </w:rPr>
        <w:t>تستهدف الدراسة عينة من العاملين في المستشفيات الحكومية ضمن الفئات الآتية: الأطباء بمختلف تخصصاتهم، الممرضون والممرضات، فنيو الرعاية الصحية، والإداريون الصحيون. ويُستبعد من العينة العاملون في خدمات الدعم مثل النظافة والصيانة والأمن، نظرًا لاختلاف طبيعة مهامهم ودرجة انخراطهم في العمليات السريرية التي تؤثر مباشرة في سلامة المرضى.</w:t>
      </w:r>
    </w:p>
    <w:p w14:paraId="4A0E5675" w14:textId="77777777" w:rsidR="00443F33" w:rsidRDefault="00856F43" w:rsidP="00204C84">
      <w:pPr>
        <w:bidi/>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9.5</w:t>
      </w:r>
      <w:r w:rsidR="00443F33" w:rsidRPr="0011430B">
        <w:rPr>
          <w:rFonts w:ascii="Simplified Arabic" w:hAnsi="Simplified Arabic" w:cs="Simplified Arabic"/>
          <w:b/>
          <w:bCs/>
          <w:sz w:val="24"/>
          <w:szCs w:val="24"/>
          <w:rtl/>
        </w:rPr>
        <w:t xml:space="preserve"> القيود على التعميم </w:t>
      </w:r>
      <w:r w:rsidR="0078042C" w:rsidRPr="0011430B">
        <w:rPr>
          <w:rFonts w:ascii="Simplified Arabic" w:hAnsi="Simplified Arabic" w:cs="Simplified Arabic"/>
          <w:b/>
          <w:bCs/>
          <w:sz w:val="24"/>
          <w:szCs w:val="24"/>
          <w:rtl/>
        </w:rPr>
        <w:t>وارتباطها</w:t>
      </w:r>
      <w:r w:rsidR="00443F33" w:rsidRPr="0011430B">
        <w:rPr>
          <w:rFonts w:ascii="Simplified Arabic" w:hAnsi="Simplified Arabic" w:cs="Simplified Arabic"/>
          <w:b/>
          <w:bCs/>
          <w:sz w:val="24"/>
          <w:szCs w:val="24"/>
          <w:rtl/>
        </w:rPr>
        <w:t xml:space="preserve"> </w:t>
      </w:r>
      <w:r w:rsidR="0078042C" w:rsidRPr="0011430B">
        <w:rPr>
          <w:rFonts w:ascii="Simplified Arabic" w:hAnsi="Simplified Arabic" w:cs="Simplified Arabic"/>
          <w:b/>
          <w:bCs/>
          <w:sz w:val="24"/>
          <w:szCs w:val="24"/>
          <w:rtl/>
        </w:rPr>
        <w:t>بالدراسة</w:t>
      </w:r>
    </w:p>
    <w:p w14:paraId="23179016" w14:textId="77777777" w:rsidR="00983CFD" w:rsidRPr="0011430B" w:rsidRDefault="00856F43" w:rsidP="00983CFD">
      <w:pPr>
        <w:bidi/>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9.5.1 </w:t>
      </w:r>
      <w:r w:rsidR="00983CFD" w:rsidRPr="00983CFD">
        <w:rPr>
          <w:rFonts w:ascii="Simplified Arabic" w:hAnsi="Simplified Arabic" w:cs="Simplified Arabic"/>
          <w:b/>
          <w:bCs/>
          <w:sz w:val="24"/>
          <w:szCs w:val="24"/>
          <w:rtl/>
        </w:rPr>
        <w:t>القيود وإمكانية التعميم</w:t>
      </w:r>
    </w:p>
    <w:p w14:paraId="59FF5DB4" w14:textId="77777777" w:rsidR="007C375D" w:rsidRDefault="007C375D" w:rsidP="007C375D">
      <w:pPr>
        <w:bidi/>
        <w:spacing w:line="360" w:lineRule="auto"/>
        <w:jc w:val="both"/>
        <w:rPr>
          <w:rFonts w:ascii="Simplified Arabic" w:hAnsi="Simplified Arabic" w:cs="Simplified Arabic"/>
          <w:sz w:val="24"/>
          <w:szCs w:val="24"/>
          <w:rtl/>
        </w:rPr>
      </w:pPr>
      <w:r w:rsidRPr="007C375D">
        <w:rPr>
          <w:rFonts w:ascii="Simplified Arabic" w:hAnsi="Simplified Arabic" w:cs="Simplified Arabic"/>
          <w:b/>
          <w:bCs/>
          <w:sz w:val="24"/>
          <w:szCs w:val="24"/>
          <w:rtl/>
        </w:rPr>
        <w:t>تخضع إمكانية تعميم نتائج هذه الدراسة لعدد من القيود، من أبرزها ما يأتي</w:t>
      </w:r>
      <w:r w:rsidRPr="007C375D">
        <w:rPr>
          <w:rFonts w:ascii="Simplified Arabic" w:hAnsi="Simplified Arabic" w:cs="Simplified Arabic"/>
          <w:b/>
          <w:bCs/>
          <w:sz w:val="24"/>
          <w:szCs w:val="24"/>
        </w:rPr>
        <w:t>:</w:t>
      </w:r>
    </w:p>
    <w:p w14:paraId="34BAA7B2" w14:textId="34FB7872" w:rsidR="007C375D" w:rsidRDefault="007C375D">
      <w:pPr>
        <w:numPr>
          <w:ilvl w:val="0"/>
          <w:numId w:val="10"/>
        </w:numPr>
        <w:tabs>
          <w:tab w:val="num" w:pos="720"/>
        </w:tabs>
        <w:bidi/>
        <w:spacing w:line="360" w:lineRule="auto"/>
        <w:jc w:val="both"/>
        <w:rPr>
          <w:rFonts w:ascii="Simplified Arabic" w:hAnsi="Simplified Arabic" w:cs="Simplified Arabic"/>
          <w:sz w:val="24"/>
          <w:szCs w:val="24"/>
        </w:rPr>
      </w:pPr>
      <w:r w:rsidRPr="007C375D">
        <w:rPr>
          <w:rFonts w:ascii="Simplified Arabic" w:hAnsi="Simplified Arabic" w:cs="Simplified Arabic"/>
          <w:b/>
          <w:bCs/>
          <w:sz w:val="24"/>
          <w:szCs w:val="24"/>
          <w:rtl/>
        </w:rPr>
        <w:t>القيود المكانية والبشرية</w:t>
      </w:r>
      <w:r w:rsidRPr="007C375D">
        <w:rPr>
          <w:rFonts w:ascii="Simplified Arabic" w:hAnsi="Simplified Arabic" w:cs="Simplified Arabic"/>
          <w:b/>
          <w:bCs/>
          <w:sz w:val="24"/>
          <w:szCs w:val="24"/>
        </w:rPr>
        <w:t>:</w:t>
      </w:r>
      <w:r w:rsidRPr="007C375D">
        <w:rPr>
          <w:rFonts w:ascii="Simplified Arabic" w:hAnsi="Simplified Arabic" w:cs="Simplified Arabic"/>
          <w:sz w:val="24"/>
          <w:szCs w:val="24"/>
        </w:rPr>
        <w:t> </w:t>
      </w:r>
      <w:r>
        <w:rPr>
          <w:rFonts w:ascii="Simplified Arabic" w:hAnsi="Simplified Arabic" w:cs="Simplified Arabic"/>
          <w:sz w:val="24"/>
          <w:szCs w:val="24"/>
          <w:rtl/>
        </w:rPr>
        <w:t xml:space="preserve">النتائج تقتصر على مستشفيات القطاع الحكومي في منطقة الجوف والعاملين الصحيين والإداريين هناك، ولا يمكن تعميمها على مستشفيات القطاع </w:t>
      </w:r>
      <w:r w:rsidR="00B74258">
        <w:rPr>
          <w:rFonts w:ascii="Simplified Arabic" w:hAnsi="Simplified Arabic" w:cs="Simplified Arabic" w:hint="cs"/>
          <w:sz w:val="24"/>
          <w:szCs w:val="24"/>
          <w:rtl/>
        </w:rPr>
        <w:t>الخاص</w:t>
      </w:r>
      <w:r w:rsidR="00B74258">
        <w:rPr>
          <w:rFonts w:ascii="Simplified Arabic" w:hAnsi="Simplified Arabic" w:cs="Simplified Arabic" w:hint="eastAsia"/>
          <w:sz w:val="24"/>
          <w:szCs w:val="24"/>
          <w:rtl/>
        </w:rPr>
        <w:t>،</w:t>
      </w:r>
      <w:r>
        <w:rPr>
          <w:rFonts w:ascii="Simplified Arabic" w:hAnsi="Simplified Arabic" w:cs="Simplified Arabic"/>
          <w:sz w:val="24"/>
          <w:szCs w:val="24"/>
          <w:rtl/>
        </w:rPr>
        <w:t xml:space="preserve"> أو </w:t>
      </w:r>
      <w:r w:rsidR="00076824">
        <w:rPr>
          <w:rFonts w:ascii="Simplified Arabic" w:hAnsi="Simplified Arabic" w:cs="Simplified Arabic" w:hint="cs"/>
          <w:sz w:val="24"/>
          <w:szCs w:val="24"/>
          <w:rtl/>
        </w:rPr>
        <w:t xml:space="preserve">المستشفيات </w:t>
      </w:r>
      <w:r w:rsidR="00E52628">
        <w:rPr>
          <w:rFonts w:ascii="Simplified Arabic" w:hAnsi="Simplified Arabic" w:cs="Simplified Arabic" w:hint="cs"/>
          <w:sz w:val="24"/>
          <w:szCs w:val="24"/>
          <w:rtl/>
        </w:rPr>
        <w:t>التخصصية، أو</w:t>
      </w:r>
      <w:r>
        <w:rPr>
          <w:rFonts w:ascii="Simplified Arabic" w:hAnsi="Simplified Arabic" w:cs="Simplified Arabic"/>
          <w:sz w:val="24"/>
          <w:szCs w:val="24"/>
          <w:rtl/>
        </w:rPr>
        <w:t xml:space="preserve"> العسكرية أو مراكز الرعاية الأولية، بسبب اختلاف الهياكل الإدارية والثقافة التنظيمية وأنماط القيادة.</w:t>
      </w:r>
    </w:p>
    <w:p w14:paraId="77C02151" w14:textId="77777777" w:rsidR="00983CFD" w:rsidRDefault="007C375D">
      <w:pPr>
        <w:numPr>
          <w:ilvl w:val="0"/>
          <w:numId w:val="10"/>
        </w:numPr>
        <w:tabs>
          <w:tab w:val="num" w:pos="720"/>
        </w:tabs>
        <w:bidi/>
        <w:spacing w:line="360" w:lineRule="auto"/>
        <w:jc w:val="both"/>
        <w:rPr>
          <w:rFonts w:ascii="Simplified Arabic" w:hAnsi="Simplified Arabic" w:cs="Simplified Arabic"/>
          <w:sz w:val="24"/>
          <w:szCs w:val="24"/>
        </w:rPr>
      </w:pPr>
      <w:r>
        <w:rPr>
          <w:rFonts w:ascii="Simplified Arabic" w:eastAsia="Simplified Arabic" w:hAnsi="Simplified Arabic" w:cs="Simplified Arabic"/>
          <w:b/>
          <w:sz w:val="24"/>
          <w:rtl/>
        </w:rPr>
        <w:lastRenderedPageBreak/>
        <w:t>القيود المنهجية: تعتمد الدراسة على بيانات ذاتية الإبلاغ وفي نقطة زمنية واحدة، مما يجعلها عرضة لتحيز الرغبة الاجتماعية وتحيز المنهج المشترك، ويحد من الاستدلال السببي. كما أن المتغير التابع يقيس التقليل المُدرَك للأحداث الضارة، لا معدلات الحوادث الفعلية. وستُخفف هذه القيود بإجراءات السرية، وفحص تحيز المنهج المشترك، وتحليل حساسية النتائج، مع التوصية بدراسات طولية وبيانات سجلات مكملة.</w:t>
      </w:r>
    </w:p>
    <w:p w14:paraId="20CB0F79" w14:textId="77777777" w:rsidR="00443F33" w:rsidRPr="00983CFD" w:rsidRDefault="00856F43" w:rsidP="00983CFD">
      <w:pPr>
        <w:bidi/>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t>9</w:t>
      </w:r>
      <w:r w:rsidR="00983CFD" w:rsidRPr="00983CFD">
        <w:rPr>
          <w:rFonts w:ascii="Simplified Arabic" w:hAnsi="Simplified Arabic" w:cs="Simplified Arabic" w:hint="cs"/>
          <w:b/>
          <w:bCs/>
          <w:sz w:val="24"/>
          <w:szCs w:val="24"/>
          <w:rtl/>
        </w:rPr>
        <w:t xml:space="preserve">.5.2 </w:t>
      </w:r>
      <w:r w:rsidR="00983CFD" w:rsidRPr="00983CFD">
        <w:rPr>
          <w:rFonts w:ascii="Simplified Arabic" w:hAnsi="Simplified Arabic" w:cs="Simplified Arabic"/>
          <w:b/>
          <w:bCs/>
          <w:sz w:val="24"/>
          <w:szCs w:val="24"/>
          <w:rtl/>
        </w:rPr>
        <w:t>ربط القيود بعنوان الدراسة</w:t>
      </w:r>
    </w:p>
    <w:p w14:paraId="291D4FED" w14:textId="77777777" w:rsidR="00983CFD" w:rsidRDefault="00983CFD" w:rsidP="00983CFD">
      <w:pPr>
        <w:bidi/>
        <w:spacing w:line="360" w:lineRule="auto"/>
        <w:rPr>
          <w:rFonts w:ascii="Simplified Arabic" w:hAnsi="Simplified Arabic" w:cs="Simplified Arabic"/>
          <w:sz w:val="24"/>
          <w:szCs w:val="24"/>
          <w:rtl/>
        </w:rPr>
      </w:pPr>
      <w:r w:rsidRPr="00983CFD">
        <w:rPr>
          <w:rFonts w:ascii="Simplified Arabic" w:hAnsi="Simplified Arabic" w:cs="Simplified Arabic"/>
          <w:sz w:val="24"/>
          <w:szCs w:val="24"/>
          <w:rtl/>
        </w:rPr>
        <w:t>تسهم هذه الحدود في توضيح إطار عنوان الدراسة؛ فهي تؤكد أن البحث</w:t>
      </w:r>
      <w:r w:rsidRPr="00983CFD">
        <w:rPr>
          <w:rFonts w:ascii="Simplified Arabic" w:hAnsi="Simplified Arabic" w:cs="Simplified Arabic"/>
          <w:sz w:val="24"/>
          <w:szCs w:val="24"/>
        </w:rPr>
        <w:t>:</w:t>
      </w:r>
    </w:p>
    <w:p w14:paraId="64900F10" w14:textId="77777777" w:rsidR="0014527A" w:rsidRPr="0014527A" w:rsidRDefault="0014527A">
      <w:pPr>
        <w:numPr>
          <w:ilvl w:val="0"/>
          <w:numId w:val="11"/>
        </w:numPr>
        <w:bidi/>
        <w:spacing w:line="360" w:lineRule="auto"/>
        <w:rPr>
          <w:rFonts w:ascii="Simplified Arabic" w:hAnsi="Simplified Arabic" w:cs="Simplified Arabic"/>
          <w:sz w:val="24"/>
          <w:szCs w:val="24"/>
        </w:rPr>
      </w:pPr>
      <w:r>
        <w:rPr>
          <w:rFonts w:ascii="Simplified Arabic" w:eastAsia="Simplified Arabic" w:hAnsi="Simplified Arabic" w:cs="Simplified Arabic"/>
          <w:b/>
          <w:sz w:val="24"/>
          <w:rtl/>
        </w:rPr>
        <w:t>موضوعيًا: دراسة تحليلية للعلاقات بين القيادة التحويلية، وثقافة سلامة المرضى، وسلوكيات السلامة، والتقليل المُدرَك للأحداث الضارة ضمن نموذج وساطة متتابعة محدد.</w:t>
      </w:r>
    </w:p>
    <w:p w14:paraId="059EBC19" w14:textId="77777777" w:rsidR="0014527A" w:rsidRPr="0014527A" w:rsidRDefault="0014527A">
      <w:pPr>
        <w:numPr>
          <w:ilvl w:val="0"/>
          <w:numId w:val="11"/>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 مكانيًا: </w:t>
      </w:r>
      <w:r w:rsidRPr="0014527A">
        <w:rPr>
          <w:rFonts w:ascii="Simplified Arabic" w:hAnsi="Simplified Arabic" w:cs="Simplified Arabic"/>
          <w:sz w:val="24"/>
          <w:szCs w:val="24"/>
          <w:rtl/>
        </w:rPr>
        <w:t>محصور في مستشفيات القطاع الحكومي في منطقة الجوف كما يرد في العنوان.</w:t>
      </w:r>
    </w:p>
    <w:p w14:paraId="35A2B20C" w14:textId="77777777" w:rsidR="0014527A" w:rsidRPr="0014527A" w:rsidRDefault="0014527A">
      <w:pPr>
        <w:numPr>
          <w:ilvl w:val="0"/>
          <w:numId w:val="11"/>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  بشريًا: </w:t>
      </w:r>
      <w:r w:rsidRPr="0014527A">
        <w:rPr>
          <w:rFonts w:ascii="Simplified Arabic" w:hAnsi="Simplified Arabic" w:cs="Simplified Arabic"/>
          <w:sz w:val="24"/>
          <w:szCs w:val="24"/>
          <w:rtl/>
        </w:rPr>
        <w:t>موجه إلى الممارسين الصحيين والإداريين بوصفهم الفاعلين الرئيسين في تطبيق ممارسات سلامة المرضى والقيادة داخل هذه المستشفيات.</w:t>
      </w:r>
    </w:p>
    <w:p w14:paraId="3D953B38" w14:textId="77777777" w:rsidR="00615235" w:rsidRPr="0011430B" w:rsidRDefault="00856F43" w:rsidP="00615235">
      <w:pPr>
        <w:bidi/>
        <w:spacing w:line="360" w:lineRule="auto"/>
        <w:rPr>
          <w:rFonts w:ascii="Simplified Arabic" w:hAnsi="Simplified Arabic" w:cs="Simplified Arabic"/>
          <w:b/>
          <w:bCs/>
          <w:sz w:val="24"/>
          <w:szCs w:val="24"/>
          <w:rtl/>
        </w:rPr>
      </w:pPr>
      <w:r>
        <w:rPr>
          <w:rFonts w:ascii="Simplified Arabic" w:hAnsi="Simplified Arabic" w:cs="Simplified Arabic" w:hint="cs"/>
          <w:b/>
          <w:bCs/>
          <w:sz w:val="24"/>
          <w:szCs w:val="24"/>
          <w:rtl/>
        </w:rPr>
        <w:t>10</w:t>
      </w:r>
      <w:r w:rsidR="00615235" w:rsidRPr="0011430B">
        <w:rPr>
          <w:rFonts w:ascii="Simplified Arabic" w:hAnsi="Simplified Arabic" w:cs="Simplified Arabic"/>
          <w:b/>
          <w:bCs/>
          <w:sz w:val="24"/>
          <w:szCs w:val="24"/>
          <w:rtl/>
        </w:rPr>
        <w:t xml:space="preserve">. الإطار المنهجي للدراسة </w:t>
      </w:r>
    </w:p>
    <w:p w14:paraId="72EA1069" w14:textId="3872A675" w:rsidR="002474FC" w:rsidRDefault="00A1291D" w:rsidP="00A1291D">
      <w:pPr>
        <w:bidi/>
        <w:spacing w:line="360" w:lineRule="auto"/>
        <w:jc w:val="both"/>
        <w:rPr>
          <w:rFonts w:ascii="Simplified Arabic" w:hAnsi="Simplified Arabic" w:cs="Simplified Arabic"/>
          <w:sz w:val="24"/>
          <w:szCs w:val="24"/>
          <w:rtl/>
        </w:rPr>
      </w:pPr>
      <w:r w:rsidRPr="00A1291D">
        <w:rPr>
          <w:rFonts w:ascii="Simplified Arabic" w:hAnsi="Simplified Arabic" w:cs="Simplified Arabic"/>
          <w:color w:val="000000"/>
          <w:sz w:val="24"/>
          <w:szCs w:val="24"/>
          <w:rtl/>
        </w:rPr>
        <w:t xml:space="preserve">تتبنى الدراسة منهجًا كميًا ووصفياً ومسحيًا ذا طابع ارتباطي ضمن تصميم مقطعي، تُجمع فيه البيانات بواسطة استبانة منظمة من عينة طبقية عشوائية نسبية من العاملين في تسعة مستشفيات حكومية بمنطقة الجوف، بحجم مستهدف قدره 600 استجابة صالحة. وتُختبر الفرضيات الخمس بنمذجة المعادلات الهيكلية القائمة على التباين المشترك في برنامج </w:t>
      </w:r>
      <w:r w:rsidRPr="00A1291D">
        <w:rPr>
          <w:rFonts w:ascii="Simplified Arabic" w:hAnsi="Simplified Arabic" w:cs="Simplified Arabic"/>
          <w:color w:val="000000"/>
          <w:sz w:val="24"/>
          <w:szCs w:val="24"/>
        </w:rPr>
        <w:t>IBM SPSS AMOS</w:t>
      </w:r>
      <w:r w:rsidRPr="00A1291D">
        <w:rPr>
          <w:rFonts w:ascii="Simplified Arabic" w:hAnsi="Simplified Arabic" w:cs="Simplified Arabic"/>
          <w:color w:val="000000"/>
          <w:sz w:val="24"/>
          <w:szCs w:val="24"/>
          <w:rtl/>
        </w:rPr>
        <w:t xml:space="preserve"> الإصدار 28، وفق نهج المرحلتين: نموذج القياس أولًا، ثم النموذج الهيكلي، مع تقدير التأثيرات غير المباشرة والمتتابعة بإعادة المعاينة وفترات ثقة مصححة للتحيز. ويُفصّل ذلك كله في الفصل الثالث: مجتمع الدراسة وإطار المعاينة، وبناء الأداة وترجمتها وتحكيمها، وخطة التحقق من الصدق والثبات، وضوابط جودة البيانات، والاعتبارات الأخلاقية. وتُفسّر جميع المسارات بوصفها علاقات إحصائية داخل نموذج نظري، لا أدلة قاطعة على السببية، التزامًا بحدود التصميم المقطعي.</w:t>
      </w:r>
    </w:p>
    <w:p w14:paraId="4819B373" w14:textId="77777777" w:rsidR="00A1291D" w:rsidRPr="00033C2D" w:rsidRDefault="00A1291D" w:rsidP="00A1291D">
      <w:pPr>
        <w:bidi/>
        <w:spacing w:line="360" w:lineRule="auto"/>
        <w:jc w:val="both"/>
        <w:rPr>
          <w:rFonts w:ascii="Simplified Arabic" w:hAnsi="Simplified Arabic" w:cs="Simplified Arabic"/>
          <w:sz w:val="24"/>
          <w:szCs w:val="24"/>
        </w:rPr>
      </w:pPr>
    </w:p>
    <w:p w14:paraId="18847BA4" w14:textId="77777777" w:rsidR="000B0FA3" w:rsidRPr="00033C2D" w:rsidRDefault="008B1883" w:rsidP="00DC763A">
      <w:pPr>
        <w:bidi/>
        <w:spacing w:line="360" w:lineRule="auto"/>
        <w:rPr>
          <w:rFonts w:ascii="Simplified Arabic" w:hAnsi="Simplified Arabic" w:cs="Simplified Arabic"/>
          <w:b/>
          <w:bCs/>
          <w:sz w:val="28"/>
          <w:szCs w:val="28"/>
        </w:rPr>
      </w:pPr>
      <w:r w:rsidRPr="00033C2D">
        <w:rPr>
          <w:rFonts w:ascii="Simplified Arabic" w:hAnsi="Simplified Arabic" w:cs="Simplified Arabic"/>
          <w:b/>
          <w:bCs/>
          <w:sz w:val="28"/>
          <w:szCs w:val="28"/>
          <w:rtl/>
        </w:rPr>
        <w:t>1</w:t>
      </w:r>
      <w:r w:rsidR="00386C14">
        <w:rPr>
          <w:rFonts w:ascii="Simplified Arabic" w:hAnsi="Simplified Arabic" w:cs="Simplified Arabic" w:hint="cs"/>
          <w:b/>
          <w:bCs/>
          <w:sz w:val="28"/>
          <w:szCs w:val="28"/>
          <w:rtl/>
        </w:rPr>
        <w:t>1</w:t>
      </w:r>
      <w:r w:rsidRPr="00033C2D">
        <w:rPr>
          <w:rFonts w:ascii="Simplified Arabic" w:hAnsi="Simplified Arabic" w:cs="Simplified Arabic"/>
          <w:b/>
          <w:bCs/>
          <w:sz w:val="28"/>
          <w:szCs w:val="28"/>
          <w:rtl/>
        </w:rPr>
        <w:t>.</w:t>
      </w:r>
      <w:r w:rsidR="00DC763A" w:rsidRPr="00DC763A">
        <w:rPr>
          <w:rFonts w:ascii="Simplified Arabic" w:hAnsi="Simplified Arabic" w:cs="Simplified Arabic"/>
          <w:b/>
          <w:bCs/>
          <w:sz w:val="28"/>
          <w:szCs w:val="28"/>
          <w:rtl/>
        </w:rPr>
        <w:t>النموذج المفاهيمي للدراسة</w:t>
      </w:r>
    </w:p>
    <w:p w14:paraId="4CC5356E" w14:textId="4AA80A3D" w:rsidR="00D20A21" w:rsidRPr="00AB124E" w:rsidRDefault="001C72AD" w:rsidP="00AB124E">
      <w:pPr>
        <w:bidi/>
        <w:spacing w:line="360" w:lineRule="auto"/>
        <w:rPr>
          <w:rFonts w:ascii="Simplified Arabic" w:eastAsia="Sakkal Majalla" w:hAnsi="Simplified Arabic" w:cs="Simplified Arabic"/>
          <w:sz w:val="24"/>
          <w:szCs w:val="24"/>
          <w:rtl/>
        </w:rPr>
      </w:pPr>
      <w:r w:rsidRPr="00A1291D">
        <w:rPr>
          <w:rFonts w:ascii="Simplified Arabic" w:eastAsia="Sakkal Majalla" w:hAnsi="Simplified Arabic" w:cs="Simplified Arabic"/>
          <w:sz w:val="24"/>
          <w:szCs w:val="24"/>
          <w:rtl/>
        </w:rPr>
        <w:t>يهدف هذا النموذج البصري إلى تمثيل العلاقات النظرية المفترضة بين متغيرات الدراسة، والتي ستُختبر باستخدام نمذجة المعادلات الهيكلية. ولا يثبت اتجاه الأسهم وحده سببية أو تعاقبًا زمنيًا.</w:t>
      </w:r>
      <w:r w:rsidR="00AB124E">
        <w:rPr>
          <w:rFonts w:ascii="Simplified Arabic" w:eastAsia="Sakkal Majalla" w:hAnsi="Simplified Arabic" w:cs="Simplified Arabic" w:hint="cs"/>
          <w:sz w:val="24"/>
          <w:szCs w:val="24"/>
          <w:rtl/>
        </w:rPr>
        <w:t xml:space="preserve"> </w:t>
      </w:r>
      <w:r w:rsidR="00D20A21">
        <w:rPr>
          <w:rFonts w:ascii="Simplified Arabic" w:eastAsia="Sakkal Majalla" w:hAnsi="Simplified Arabic" w:cs="Simplified Arabic" w:hint="cs"/>
          <w:sz w:val="24"/>
          <w:szCs w:val="24"/>
          <w:rtl/>
        </w:rPr>
        <w:t xml:space="preserve">صورة </w:t>
      </w:r>
      <w:r w:rsidR="00D20A21">
        <w:rPr>
          <w:rFonts w:ascii="Simplified Arabic" w:eastAsia="Sakkal Majalla" w:hAnsi="Simplified Arabic" w:cs="Simplified Arabic"/>
          <w:sz w:val="24"/>
          <w:szCs w:val="24"/>
          <w:rtl/>
        </w:rPr>
        <w:t>(</w:t>
      </w:r>
      <w:r w:rsidR="00D20A21">
        <w:rPr>
          <w:rFonts w:ascii="Simplified Arabic" w:eastAsia="Sakkal Majalla" w:hAnsi="Simplified Arabic" w:cs="Simplified Arabic" w:hint="cs"/>
          <w:sz w:val="24"/>
          <w:szCs w:val="24"/>
          <w:rtl/>
        </w:rPr>
        <w:t>1-1)</w:t>
      </w:r>
    </w:p>
    <w:p w14:paraId="55953622" w14:textId="77777777" w:rsidR="00163292" w:rsidRDefault="00450E55">
      <w:pPr>
        <w:keepLines/>
        <w:bidi/>
        <w:spacing w:before="200" w:after="200"/>
        <w:jc w:val="center"/>
      </w:pPr>
      <w:r>
        <w:rPr>
          <w:noProof/>
        </w:rPr>
        <w:lastRenderedPageBreak/>
        <w:drawing>
          <wp:anchor distT="0" distB="0" distL="114300" distR="114300" simplePos="0" relativeHeight="251660800" behindDoc="1" locked="0" layoutInCell="1" allowOverlap="1" wp14:anchorId="50554F19" wp14:editId="639F4683">
            <wp:simplePos x="0" y="0"/>
            <wp:positionH relativeFrom="margin">
              <wp:posOffset>-897890</wp:posOffset>
            </wp:positionH>
            <wp:positionV relativeFrom="paragraph">
              <wp:posOffset>1224280</wp:posOffset>
            </wp:positionV>
            <wp:extent cx="8062595" cy="6278245"/>
            <wp:effectExtent l="0" t="3175" r="0" b="0"/>
            <wp:wrapTight wrapText="bothSides">
              <wp:wrapPolygon edited="0">
                <wp:start x="21609" y="11"/>
                <wp:lineTo x="71" y="11"/>
                <wp:lineTo x="71" y="21508"/>
                <wp:lineTo x="21609" y="21508"/>
                <wp:lineTo x="21609" y="11"/>
              </wp:wrapPolygon>
            </wp:wrapTight>
            <wp:docPr id="4" name="النموذج المفاهيمي للدراسة" descr="نموذج وساطة متتابعة يوضح المسار من القيادة التحويلية إلى ثقافة سلامة المرضى ثم سلوكيات السلامة وصولًا إلى تقليل الأحداث الضارة المدرك، مع الفرضيات H1 إلى H5." title="النموذج المفاهيمي للدراس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نموذج المفاهيمي للدراسة" descr="نموذج وساطة متتابعة يوضح المسار من القيادة التحويلية إلى ثقافة سلامة المرضى ثم سلوكيات السلامة وصولًا إلى تقليل الأحداث الضارة المدرك، مع الفرضيات H1 إلى H5."/>
                    <pic:cNvPicPr/>
                  </pic:nvPicPr>
                  <pic:blipFill>
                    <a:blip r:embed="rId9">
                      <a:extLst>
                        <a:ext uri="{28A0092B-C50C-407E-A947-70E740481C1C}">
                          <a14:useLocalDpi xmlns:a14="http://schemas.microsoft.com/office/drawing/2010/main" val="0"/>
                        </a:ext>
                      </a:extLst>
                    </a:blip>
                    <a:stretch>
                      <a:fillRect/>
                    </a:stretch>
                  </pic:blipFill>
                  <pic:spPr>
                    <a:xfrm rot="16200000">
                      <a:off x="0" y="0"/>
                      <a:ext cx="8062595" cy="6278245"/>
                    </a:xfrm>
                    <a:prstGeom prst="rect">
                      <a:avLst/>
                    </a:prstGeom>
                  </pic:spPr>
                </pic:pic>
              </a:graphicData>
            </a:graphic>
            <wp14:sizeRelH relativeFrom="margin">
              <wp14:pctWidth>0</wp14:pctWidth>
            </wp14:sizeRelH>
            <wp14:sizeRelV relativeFrom="margin">
              <wp14:pctHeight>0</wp14:pctHeight>
            </wp14:sizeRelV>
          </wp:anchor>
        </w:drawing>
      </w:r>
    </w:p>
    <w:p w14:paraId="584AA41F" w14:textId="77777777" w:rsidR="0021013A" w:rsidRPr="0021013A" w:rsidRDefault="00D962B3" w:rsidP="0021013A">
      <w:pPr>
        <w:pageBreakBefore/>
        <w:bidi/>
        <w:spacing w:before="210" w:after="0" w:line="360" w:lineRule="auto"/>
        <w:rPr>
          <w:rFonts w:ascii="Simplified Arabic" w:hAnsi="Simplified Arabic" w:cs="Simplified Arabic"/>
          <w:b/>
          <w:bCs/>
          <w:noProof/>
          <w:sz w:val="24"/>
          <w:szCs w:val="24"/>
          <w:rtl/>
        </w:rPr>
      </w:pPr>
      <w:r w:rsidRPr="0021013A">
        <w:rPr>
          <w:rFonts w:ascii="Simplified Arabic" w:hAnsi="Simplified Arabic" w:cs="Simplified Arabic"/>
          <w:b/>
          <w:bCs/>
          <w:noProof/>
          <w:sz w:val="24"/>
          <w:szCs w:val="24"/>
          <w:rtl/>
        </w:rPr>
        <w:lastRenderedPageBreak/>
        <w:t>الفصل الثاني: الإطار النظري والدراسات السابقة</w:t>
      </w:r>
    </w:p>
    <w:p w14:paraId="42871712"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 </w:t>
      </w:r>
      <w:r w:rsidRPr="0021013A">
        <w:rPr>
          <w:rFonts w:ascii="Simplified Arabic" w:hAnsi="Simplified Arabic" w:cs="Simplified Arabic"/>
          <w:b/>
          <w:bCs/>
          <w:noProof/>
          <w:sz w:val="24"/>
          <w:szCs w:val="24"/>
          <w:rtl/>
        </w:rPr>
        <w:t>الإطار النظري للدراسة</w:t>
      </w:r>
    </w:p>
    <w:p w14:paraId="538CF743"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2.1.1 </w:t>
      </w:r>
      <w:r w:rsidRPr="0021013A">
        <w:rPr>
          <w:rFonts w:ascii="Simplified Arabic" w:hAnsi="Simplified Arabic" w:cs="Simplified Arabic"/>
          <w:b/>
          <w:bCs/>
          <w:noProof/>
          <w:sz w:val="24"/>
          <w:szCs w:val="24"/>
          <w:rtl/>
        </w:rPr>
        <w:t>نظرية القيادة التحويلية</w:t>
      </w:r>
    </w:p>
    <w:p w14:paraId="61F6AA7E" w14:textId="77777777" w:rsidR="003A447B" w:rsidRPr="00DD007D" w:rsidRDefault="003A447B" w:rsidP="00DD007D">
      <w:pPr>
        <w:bidi/>
        <w:spacing w:before="210" w:after="0" w:line="360" w:lineRule="auto"/>
        <w:jc w:val="both"/>
        <w:rPr>
          <w:rFonts w:ascii="Simplified Arabic" w:hAnsi="Simplified Arabic" w:cs="Simplified Arabic"/>
          <w:b/>
          <w:bCs/>
          <w:noProof/>
          <w:sz w:val="24"/>
          <w:szCs w:val="24"/>
          <w:rtl/>
        </w:rPr>
      </w:pPr>
      <w:r>
        <w:rPr>
          <w:rFonts w:ascii="Simplified Arabic" w:hAnsi="Simplified Arabic" w:cs="Simplified Arabic"/>
          <w:noProof/>
          <w:sz w:val="24"/>
          <w:szCs w:val="24"/>
          <w:rtl/>
        </w:rPr>
        <w:t xml:space="preserve">تعتمد هذه الدراسة في شرح المتغير المستقل على نظرية القيادة التحويلية استنادًا إلى إطار </w:t>
      </w:r>
      <w:r>
        <w:rPr>
          <w:rFonts w:ascii="Simplified Arabic" w:hAnsi="Simplified Arabic" w:cs="Simplified Arabic"/>
          <w:noProof/>
          <w:sz w:val="24"/>
          <w:szCs w:val="24"/>
        </w:rPr>
        <w:t>Podsakoff et al</w:t>
      </w:r>
      <w:r>
        <w:rPr>
          <w:rFonts w:ascii="Simplified Arabic" w:hAnsi="Simplified Arabic" w:cs="Simplified Arabic"/>
          <w:noProof/>
          <w:sz w:val="24"/>
          <w:szCs w:val="24"/>
          <w:rtl/>
        </w:rPr>
        <w:t>. (1990)، التي تؤكد أن القائد التحويلي لا يقتصر على إدارة المهام الروتينية، بل يتعداها إلى إلهام الأتباع وتحويل قيمهم ودوافعهم لتحقيق أهداف المنظمة من خلال ست ممارسات قيادية مترابطة: (1) توضيح الرؤية من خلال صياغة صورة مستقبلية ملهمة ومشتركة، (2) تقديم النموذج الذي يتوافق بين السلوك والقيم، (3) تشجيع قبول الأهداف الجماعية وتوحيد جهود الفريق، (4) وضع توقعات عالية للأداء تَّدفع نحو التميز، (5) تقديم الدعم الفردي للموظفين، و(6) تحفيز التفكير النقدي والإبداعي عبر الاستثارة الفكرية. وقد أظهرت دراسات عديدة في المجال الصحي أن هذا الإطار مرتبط بتحسين بيئة العمل وزيادة الالتزام بمبادئ الجودة وسلامة المرضى.</w:t>
      </w:r>
      <w:r w:rsidR="00E36573">
        <w:rPr>
          <w:rFonts w:ascii="Simplified Arabic" w:hAnsi="Simplified Arabic" w:cs="Simplified Arabic"/>
          <w:b/>
          <w:bCs/>
          <w:noProof/>
          <w:sz w:val="24"/>
          <w:szCs w:val="24"/>
          <w:rtl/>
        </w:rPr>
        <w:br/>
      </w:r>
      <w:r w:rsidR="00E36573">
        <w:rPr>
          <w:rFonts w:ascii="Simplified Arabic" w:hAnsi="Simplified Arabic" w:cs="Simplified Arabic"/>
          <w:noProof/>
          <w:sz w:val="24"/>
          <w:szCs w:val="24"/>
          <w:rtl/>
        </w:rPr>
        <w:t>وفي ضوء هذا التأصيل النظري، تتبنى الدراسة الحالية مقياس </w:t>
      </w:r>
      <w:r w:rsidR="00E36573">
        <w:rPr>
          <w:rFonts w:ascii="Simplified Arabic" w:hAnsi="Simplified Arabic" w:cs="Simplified Arabic"/>
          <w:noProof/>
          <w:sz w:val="24"/>
          <w:szCs w:val="24"/>
        </w:rPr>
        <w:t>Transformational Leadership Inventory (TLI)</w:t>
      </w:r>
      <w:r w:rsidR="00E36573">
        <w:rPr>
          <w:rFonts w:ascii="Simplified Arabic" w:hAnsi="Simplified Arabic" w:cs="Simplified Arabic"/>
          <w:noProof/>
          <w:sz w:val="24"/>
          <w:szCs w:val="24"/>
          <w:rtl/>
        </w:rPr>
        <w:t> بوصفه الأداة الإجرائية المعتمدة لقياس القيادة التحويلية، لأنه يترجم هذا البناء النظري إلى ستة أبعاد سلوكية واضحة وملائمة لبيئة المستشفيات الحكومية.</w:t>
      </w:r>
    </w:p>
    <w:p w14:paraId="4EF785DB" w14:textId="77777777" w:rsidR="0021013A" w:rsidRPr="0021013A" w:rsidRDefault="0021013A" w:rsidP="003A447B">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2.1.2 </w:t>
      </w:r>
      <w:r w:rsidRPr="0021013A">
        <w:rPr>
          <w:rFonts w:ascii="Simplified Arabic" w:hAnsi="Simplified Arabic" w:cs="Simplified Arabic"/>
          <w:b/>
          <w:bCs/>
          <w:noProof/>
          <w:sz w:val="24"/>
          <w:szCs w:val="24"/>
          <w:rtl/>
        </w:rPr>
        <w:t>إطار ثقافة سلامة المرضى</w:t>
      </w:r>
    </w:p>
    <w:p w14:paraId="6593809F" w14:textId="68E333DA" w:rsidR="0007487D" w:rsidRPr="005F4F97" w:rsidRDefault="007420FC" w:rsidP="0007487D">
      <w:pPr>
        <w:bidi/>
        <w:spacing w:before="210" w:after="0" w:line="360" w:lineRule="auto"/>
        <w:jc w:val="both"/>
        <w:rPr>
          <w:rFonts w:ascii="Simplified Arabic" w:hAnsi="Simplified Arabic" w:cs="Simplified Arabic"/>
          <w:noProof/>
          <w:sz w:val="24"/>
          <w:szCs w:val="24"/>
          <w:rtl/>
        </w:rPr>
      </w:pPr>
      <w:r w:rsidRPr="005F4F97">
        <w:rPr>
          <w:rFonts w:ascii="Simplified Arabic" w:hAnsi="Simplified Arabic" w:cs="Simplified Arabic"/>
          <w:noProof/>
          <w:sz w:val="24"/>
          <w:szCs w:val="24"/>
          <w:rtl/>
        </w:rPr>
        <w:t>بعد تناول نظرية القيادة التحويلية، ينتقل هذا القسم إلى إطار ثقافة سلامة المرضى بوصفها البيئة التنظيمية التي تتجلى فيها تأثيرات الأسلوب القيادي</w:t>
      </w:r>
      <w:r w:rsidRPr="005F4F97">
        <w:rPr>
          <w:rFonts w:ascii="Simplified Arabic" w:hAnsi="Simplified Arabic" w:cs="Simplified Arabic"/>
          <w:noProof/>
          <w:sz w:val="24"/>
          <w:szCs w:val="24"/>
        </w:rPr>
        <w:t>.</w:t>
      </w:r>
      <w:r w:rsidR="0021013A" w:rsidRPr="005F4F97">
        <w:rPr>
          <w:rFonts w:ascii="Simplified Arabic" w:hAnsi="Simplified Arabic" w:cs="Simplified Arabic"/>
          <w:noProof/>
          <w:sz w:val="24"/>
          <w:szCs w:val="24"/>
          <w:rtl/>
        </w:rPr>
        <w:t>تعبر ثقافة سلامة المرضى عن مجموعة من القيم والمعتقدات والمواقف والسلوكيات المشتركة التي تجعل السلامة أولوية في جميع مستويات المنظمة الصحية. يتجلى هذا الإطار من خلال عناصر مثل دعم الإدارة العليا للسلامة، العدالة في التعامل مع الأخطاء، التواصل المفتوح، التعلم من الحوادث، العمل الجماعي داخل الوحدات وبينها، وتوفر الموارد الضرورية لتنفيذ ممارسات آمنة. تشير الأدبيات إلى أن المؤسسات التي تتمتع بثقافة سلامة قوية تسجل معدلات أقل من الأخطاء و</w:t>
      </w:r>
      <w:r w:rsidR="007877B6" w:rsidRPr="005F4F97">
        <w:rPr>
          <w:rFonts w:ascii="Simplified Arabic" w:eastAsia="Arial" w:hAnsi="Simplified Arabic" w:cs="Simplified Arabic" w:hint="cs"/>
          <w:color w:val="000000"/>
          <w:sz w:val="24"/>
          <w:szCs w:val="24"/>
          <w:rtl/>
        </w:rPr>
        <w:t>التقليل</w:t>
      </w:r>
      <w:r w:rsidR="007877B6" w:rsidRPr="005F4F97">
        <w:rPr>
          <w:rFonts w:ascii="Simplified Arabic" w:eastAsia="Arial" w:hAnsi="Simplified Arabic" w:cs="Simplified Arabic"/>
          <w:color w:val="000000"/>
          <w:sz w:val="24"/>
          <w:szCs w:val="24"/>
          <w:rtl/>
        </w:rPr>
        <w:t xml:space="preserve"> </w:t>
      </w:r>
      <w:r w:rsidR="007877B6" w:rsidRPr="005F4F97">
        <w:rPr>
          <w:rFonts w:ascii="Simplified Arabic" w:eastAsia="Arial" w:hAnsi="Simplified Arabic" w:cs="Simplified Arabic" w:hint="cs"/>
          <w:color w:val="000000"/>
          <w:sz w:val="24"/>
          <w:szCs w:val="24"/>
          <w:rtl/>
        </w:rPr>
        <w:t>المُدرَك</w:t>
      </w:r>
      <w:r w:rsidR="007877B6" w:rsidRPr="005F4F97">
        <w:rPr>
          <w:rFonts w:ascii="Simplified Arabic" w:eastAsia="Arial" w:hAnsi="Simplified Arabic" w:cs="Simplified Arabic"/>
          <w:color w:val="000000"/>
          <w:sz w:val="24"/>
          <w:szCs w:val="24"/>
          <w:rtl/>
        </w:rPr>
        <w:t xml:space="preserve"> </w:t>
      </w:r>
      <w:r w:rsidR="007877B6" w:rsidRPr="005F4F97">
        <w:rPr>
          <w:rFonts w:ascii="Simplified Arabic" w:eastAsia="Arial" w:hAnsi="Simplified Arabic" w:cs="Simplified Arabic" w:hint="cs"/>
          <w:color w:val="000000"/>
          <w:sz w:val="24"/>
          <w:szCs w:val="24"/>
          <w:rtl/>
        </w:rPr>
        <w:t>للأحداث</w:t>
      </w:r>
      <w:r w:rsidR="007877B6" w:rsidRPr="005F4F97">
        <w:rPr>
          <w:rFonts w:ascii="Simplified Arabic" w:eastAsia="Arial" w:hAnsi="Simplified Arabic" w:cs="Simplified Arabic"/>
          <w:color w:val="000000"/>
          <w:sz w:val="24"/>
          <w:szCs w:val="24"/>
          <w:rtl/>
        </w:rPr>
        <w:t xml:space="preserve"> </w:t>
      </w:r>
      <w:r w:rsidR="007877B6" w:rsidRPr="005F4F97">
        <w:rPr>
          <w:rFonts w:ascii="Simplified Arabic" w:eastAsia="Arial" w:hAnsi="Simplified Arabic" w:cs="Simplified Arabic" w:hint="cs"/>
          <w:color w:val="000000"/>
          <w:sz w:val="24"/>
          <w:szCs w:val="24"/>
          <w:rtl/>
        </w:rPr>
        <w:t>الضارة</w:t>
      </w:r>
      <w:r w:rsidR="0021013A" w:rsidRPr="005F4F97">
        <w:rPr>
          <w:rFonts w:ascii="Simplified Arabic" w:hAnsi="Simplified Arabic" w:cs="Simplified Arabic"/>
          <w:noProof/>
          <w:sz w:val="24"/>
          <w:szCs w:val="24"/>
          <w:rtl/>
        </w:rPr>
        <w:t>، مع ارتفاع في مستوى الإبلاغ عن الحوادث والاستجابة لأنظمة الإنذار المبكر.</w:t>
      </w:r>
      <w:r w:rsidR="00A96785" w:rsidRPr="005F4F97">
        <w:rPr>
          <w:rFonts w:ascii="Simplified Arabic" w:hAnsi="Simplified Arabic" w:cs="Simplified Arabic" w:hint="cs"/>
          <w:noProof/>
          <w:sz w:val="24"/>
          <w:szCs w:val="24"/>
          <w:rtl/>
        </w:rPr>
        <w:t xml:space="preserve"> </w:t>
      </w:r>
      <w:r w:rsidR="00A96785" w:rsidRPr="005F4F97">
        <w:rPr>
          <w:rFonts w:ascii="Simplified Arabic" w:hAnsi="Simplified Arabic" w:cs="Simplified Arabic"/>
          <w:noProof/>
          <w:sz w:val="24"/>
          <w:szCs w:val="24"/>
          <w:rtl/>
        </w:rPr>
        <w:t xml:space="preserve">استنادًا إلى الإطارات السابقة، يجمع هذا الجزء بين متغيرات الدراسة في نموذج نظري متكامل يوضح </w:t>
      </w:r>
      <w:r w:rsidR="005F4F97" w:rsidRPr="005F4F97">
        <w:rPr>
          <w:rFonts w:ascii="Simplified Arabic" w:eastAsia="Arial" w:hAnsi="Simplified Arabic" w:cs="Simplified Arabic"/>
          <w:color w:val="000000"/>
          <w:sz w:val="24"/>
          <w:szCs w:val="24"/>
          <w:rtl/>
        </w:rPr>
        <w:t>المسارات المفترضة بين القيادة التحويلية</w:t>
      </w:r>
      <w:r w:rsidR="00A96785" w:rsidRPr="005F4F97">
        <w:rPr>
          <w:rFonts w:ascii="Simplified Arabic" w:hAnsi="Simplified Arabic" w:cs="Simplified Arabic"/>
          <w:noProof/>
          <w:sz w:val="24"/>
          <w:szCs w:val="24"/>
          <w:rtl/>
        </w:rPr>
        <w:t>، و</w:t>
      </w:r>
      <w:r w:rsidR="007D1551" w:rsidRPr="005F4F97">
        <w:rPr>
          <w:rFonts w:ascii="Simplified Arabic" w:hAnsi="Simplified Arabic" w:cs="Simplified Arabic"/>
          <w:noProof/>
          <w:sz w:val="24"/>
          <w:szCs w:val="24"/>
          <w:rtl/>
        </w:rPr>
        <w:t>ثقافة سلامة المرضى</w:t>
      </w:r>
      <w:r w:rsidR="00A96785" w:rsidRPr="005F4F97">
        <w:rPr>
          <w:rFonts w:ascii="Simplified Arabic" w:hAnsi="Simplified Arabic" w:cs="Simplified Arabic"/>
          <w:noProof/>
          <w:sz w:val="24"/>
          <w:szCs w:val="24"/>
          <w:rtl/>
        </w:rPr>
        <w:t>، و</w:t>
      </w:r>
      <w:r w:rsidR="0007487D" w:rsidRPr="005F4F97">
        <w:rPr>
          <w:rFonts w:ascii="Simplified Arabic" w:eastAsia="Arial" w:hAnsi="Simplified Arabic" w:cs="Simplified Arabic"/>
          <w:color w:val="000000"/>
          <w:sz w:val="24"/>
          <w:szCs w:val="24"/>
          <w:rtl/>
        </w:rPr>
        <w:t>سلوكيات السلامة، والتقليل المُدرَك للأحداث الضارة</w:t>
      </w:r>
      <w:r w:rsidR="00A96785" w:rsidRPr="005F4F97">
        <w:rPr>
          <w:rFonts w:ascii="Simplified Arabic" w:hAnsi="Simplified Arabic" w:cs="Simplified Arabic"/>
          <w:noProof/>
          <w:sz w:val="24"/>
          <w:szCs w:val="24"/>
        </w:rPr>
        <w:t>.</w:t>
      </w:r>
    </w:p>
    <w:p w14:paraId="08D6F37C" w14:textId="22A94F12" w:rsidR="0021013A" w:rsidRPr="00A96785" w:rsidRDefault="00DD007D" w:rsidP="0007487D">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lastRenderedPageBreak/>
        <w:t xml:space="preserve">تُفترض في </w:t>
      </w:r>
      <w:r w:rsidRPr="000E77BA">
        <w:rPr>
          <w:rFonts w:ascii="Simplified Arabic" w:hAnsi="Simplified Arabic" w:cs="Simplified Arabic"/>
          <w:noProof/>
          <w:sz w:val="24"/>
          <w:szCs w:val="24"/>
          <w:rtl/>
        </w:rPr>
        <w:t xml:space="preserve">هذه الدراسة أن تمثيل القيادة التحويلية داخل النموذج الهيكلي لا يُنظر إليها كمفهوم عام مجرد، بل كبناء متعدد الأبعاد يُقيم باستخدام الأبعاد الستة لـ </w:t>
      </w:r>
      <w:r w:rsidRPr="000E77BA">
        <w:rPr>
          <w:rFonts w:ascii="Simplified Arabic" w:hAnsi="Simplified Arabic" w:cs="Simplified Arabic"/>
          <w:noProof/>
          <w:sz w:val="24"/>
          <w:szCs w:val="24"/>
        </w:rPr>
        <w:t>TLI</w:t>
      </w:r>
      <w:r w:rsidRPr="000E77BA">
        <w:rPr>
          <w:rFonts w:ascii="Simplified Arabic" w:hAnsi="Simplified Arabic" w:cs="Simplified Arabic"/>
          <w:noProof/>
          <w:sz w:val="24"/>
          <w:szCs w:val="24"/>
          <w:rtl/>
        </w:rPr>
        <w:t xml:space="preserve">، مما يسهل تحليل تأثيرها على ثقافة سلامة المرضى، </w:t>
      </w:r>
      <w:r w:rsidR="0007487D" w:rsidRPr="000E77BA">
        <w:rPr>
          <w:rFonts w:ascii="Simplified Arabic" w:eastAsia="Arial" w:hAnsi="Simplified Arabic" w:cs="Simplified Arabic"/>
          <w:color w:val="000000"/>
          <w:sz w:val="24"/>
          <w:szCs w:val="24"/>
          <w:rtl/>
        </w:rPr>
        <w:t>سلوكيات السلامة، والتقليل المُدرَك للأحداث الضارة</w:t>
      </w:r>
      <w:r w:rsidR="0007487D" w:rsidRPr="000E77BA">
        <w:rPr>
          <w:rFonts w:ascii="Simplified Arabic" w:hAnsi="Simplified Arabic" w:cs="Simplified Arabic" w:hint="cs"/>
          <w:noProof/>
          <w:sz w:val="24"/>
          <w:szCs w:val="24"/>
          <w:rtl/>
        </w:rPr>
        <w:t xml:space="preserve"> </w:t>
      </w:r>
      <w:r w:rsidR="000E77BA" w:rsidRPr="000E77BA">
        <w:rPr>
          <w:rFonts w:ascii="Simplified Arabic" w:eastAsia="Arial" w:hAnsi="Simplified Arabic" w:cs="Simplified Arabic"/>
          <w:color w:val="000000"/>
          <w:sz w:val="24"/>
          <w:szCs w:val="24"/>
          <w:rtl/>
        </w:rPr>
        <w:t>ضمن سلسلة تفسيرية متتابعة</w:t>
      </w:r>
      <w:r>
        <w:rPr>
          <w:rFonts w:ascii="Simplified Arabic" w:hAnsi="Simplified Arabic" w:cs="Simplified Arabic"/>
          <w:noProof/>
          <w:sz w:val="24"/>
          <w:szCs w:val="24"/>
          <w:rtl/>
        </w:rPr>
        <w:t>.</w:t>
      </w:r>
    </w:p>
    <w:p w14:paraId="16592A4C" w14:textId="77777777" w:rsidR="00684598" w:rsidRPr="00F05F25" w:rsidRDefault="00684598" w:rsidP="00684598">
      <w:pPr>
        <w:bidi/>
        <w:spacing w:after="0" w:line="320" w:lineRule="auto"/>
        <w:jc w:val="both"/>
        <w:rPr>
          <w:rFonts w:ascii="Simplified Arabic" w:hAnsi="Simplified Arabic" w:cs="Simplified Arabic"/>
          <w:b/>
          <w:bCs/>
          <w:sz w:val="24"/>
          <w:szCs w:val="24"/>
        </w:rPr>
      </w:pPr>
      <w:r w:rsidRPr="00F05F25">
        <w:rPr>
          <w:rFonts w:ascii="Simplified Arabic" w:hAnsi="Simplified Arabic" w:cs="Simplified Arabic"/>
          <w:b/>
          <w:bCs/>
          <w:sz w:val="24"/>
          <w:szCs w:val="24"/>
          <w:rtl/>
        </w:rPr>
        <w:t xml:space="preserve">2.1.3 الإطار النظري المتكامل لمسار </w:t>
      </w:r>
      <w:r w:rsidRPr="00F05F25">
        <w:rPr>
          <w:rFonts w:ascii="Simplified Arabic" w:hAnsi="Simplified Arabic" w:cs="Simplified Arabic"/>
          <w:b/>
          <w:bCs/>
          <w:sz w:val="24"/>
          <w:szCs w:val="24"/>
        </w:rPr>
        <w:t xml:space="preserve">TL </w:t>
      </w:r>
      <w:r w:rsidRPr="00F05F25">
        <w:rPr>
          <w:rFonts w:ascii="Times New Roman" w:hAnsi="Times New Roman" w:cs="Times New Roman"/>
          <w:b/>
          <w:bCs/>
          <w:sz w:val="24"/>
          <w:szCs w:val="24"/>
        </w:rPr>
        <w:t>→</w:t>
      </w:r>
      <w:r w:rsidRPr="00F05F25">
        <w:rPr>
          <w:rFonts w:ascii="Simplified Arabic" w:hAnsi="Simplified Arabic" w:cs="Simplified Arabic"/>
          <w:b/>
          <w:bCs/>
          <w:sz w:val="24"/>
          <w:szCs w:val="24"/>
        </w:rPr>
        <w:t xml:space="preserve"> SC </w:t>
      </w:r>
      <w:r w:rsidRPr="00F05F25">
        <w:rPr>
          <w:rFonts w:ascii="Times New Roman" w:hAnsi="Times New Roman" w:cs="Times New Roman"/>
          <w:b/>
          <w:bCs/>
          <w:sz w:val="24"/>
          <w:szCs w:val="24"/>
        </w:rPr>
        <w:t>→</w:t>
      </w:r>
      <w:r w:rsidRPr="00F05F25">
        <w:rPr>
          <w:rFonts w:ascii="Simplified Arabic" w:hAnsi="Simplified Arabic" w:cs="Simplified Arabic"/>
          <w:b/>
          <w:bCs/>
          <w:sz w:val="24"/>
          <w:szCs w:val="24"/>
        </w:rPr>
        <w:t xml:space="preserve"> SB </w:t>
      </w:r>
      <w:r w:rsidRPr="00F05F25">
        <w:rPr>
          <w:rFonts w:ascii="Times New Roman" w:hAnsi="Times New Roman" w:cs="Times New Roman"/>
          <w:b/>
          <w:bCs/>
          <w:sz w:val="24"/>
          <w:szCs w:val="24"/>
        </w:rPr>
        <w:t>→</w:t>
      </w:r>
      <w:r w:rsidRPr="00F05F25">
        <w:rPr>
          <w:rFonts w:ascii="Simplified Arabic" w:hAnsi="Simplified Arabic" w:cs="Simplified Arabic"/>
          <w:b/>
          <w:bCs/>
          <w:sz w:val="24"/>
          <w:szCs w:val="24"/>
        </w:rPr>
        <w:t xml:space="preserve"> PRAE</w:t>
      </w:r>
    </w:p>
    <w:p w14:paraId="75B85A5C" w14:textId="77777777" w:rsidR="00684598" w:rsidRPr="00F05F25" w:rsidRDefault="00684598" w:rsidP="0084065A">
      <w:pPr>
        <w:bidi/>
        <w:spacing w:after="0" w:line="360" w:lineRule="auto"/>
        <w:jc w:val="both"/>
        <w:rPr>
          <w:rFonts w:ascii="Simplified Arabic" w:hAnsi="Simplified Arabic" w:cs="Simplified Arabic"/>
          <w:sz w:val="24"/>
          <w:szCs w:val="24"/>
          <w:rtl/>
        </w:rPr>
      </w:pPr>
      <w:r w:rsidRPr="00F05F25">
        <w:rPr>
          <w:rFonts w:ascii="Simplified Arabic" w:hAnsi="Simplified Arabic" w:cs="Simplified Arabic"/>
          <w:sz w:val="24"/>
          <w:szCs w:val="24"/>
          <w:rtl/>
        </w:rPr>
        <w:t>تجمع الدراسة بين إطار القيادة التحويلية وإطار ثقافة سلامة المرضى في نموذج واحد يوضح الطريق الذي قد تنتقل عبره الممارسات القيادية إلى نتائج السلامة كما يدركها العاملون. ويقوم هذا الجمع على افتراض مركزي مؤداه أن أثر القيادة في السلامة أثر غير مباشر في معظمه؛ فالقائد لا يمنع خطأً دوائيًا بنفسه ولا يتحقق من هوية مريض، وإنما يشكّل البيئة التي تُتخذ فيها هذه القرارات اليومية ويُحدد ما تكافئه المنظمة وما تتسامح معه.</w:t>
      </w:r>
    </w:p>
    <w:p w14:paraId="3C6F6778" w14:textId="77777777" w:rsidR="00684598" w:rsidRPr="00F05F25" w:rsidRDefault="00684598" w:rsidP="0084065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وتدعم الأدبيات الحلقة الأولى من هذا المسار دعمًا واضحًا. فالقادة الذين يصوغون رؤية مفهومة للسلامة ويقرنون أقوالهم بأفعالهم يرتبطون بمناخ تنظيمي أكثر انفتاحًا على الإبلاغ عن الأخطاء والتعلم منها، وبمستويات أعلى من الثقة في الإدارة والتعاون بين الفرق (</w:t>
      </w:r>
      <w:r>
        <w:rPr>
          <w:rFonts w:ascii="Simplified Arabic" w:hAnsi="Simplified Arabic" w:cs="Simplified Arabic"/>
          <w:sz w:val="24"/>
          <w:szCs w:val="24"/>
        </w:rPr>
        <w:t>Ahmed</w:t>
      </w:r>
      <w:r>
        <w:rPr>
          <w:rFonts w:ascii="Simplified Arabic" w:hAnsi="Simplified Arabic" w:cs="Simplified Arabic"/>
          <w:sz w:val="24"/>
          <w:szCs w:val="24"/>
          <w:rtl/>
        </w:rPr>
        <w:t xml:space="preserve"> </w:t>
      </w:r>
      <w:r>
        <w:rPr>
          <w:rFonts w:ascii="Simplified Arabic" w:hAnsi="Simplified Arabic" w:cs="Simplified Arabic"/>
          <w:sz w:val="24"/>
          <w:szCs w:val="24"/>
        </w:rPr>
        <w:t>et al., 2024</w:t>
      </w:r>
      <w:r>
        <w:rPr>
          <w:rFonts w:ascii="Simplified Arabic" w:hAnsi="Simplified Arabic" w:cs="Simplified Arabic"/>
          <w:sz w:val="24"/>
          <w:szCs w:val="24"/>
          <w:rtl/>
        </w:rPr>
        <w:t xml:space="preserve">؛ </w:t>
      </w:r>
      <w:r>
        <w:rPr>
          <w:rFonts w:ascii="Simplified Arabic" w:hAnsi="Simplified Arabic" w:cs="Simplified Arabic"/>
          <w:sz w:val="24"/>
          <w:szCs w:val="24"/>
        </w:rPr>
        <w:t>Hamdan et al., 2024</w:t>
      </w:r>
      <w:r>
        <w:rPr>
          <w:rFonts w:ascii="Simplified Arabic" w:hAnsi="Simplified Arabic" w:cs="Simplified Arabic"/>
          <w:sz w:val="24"/>
          <w:szCs w:val="24"/>
          <w:rtl/>
        </w:rPr>
        <w:t xml:space="preserve">). وقد ظهر هذا الارتباط في السياق السعودي تحديدًا، إذ وجد </w:t>
      </w:r>
      <w:r>
        <w:rPr>
          <w:rFonts w:ascii="Simplified Arabic" w:hAnsi="Simplified Arabic" w:cs="Simplified Arabic"/>
          <w:sz w:val="24"/>
          <w:szCs w:val="24"/>
        </w:rPr>
        <w:t>Alotaibi</w:t>
      </w:r>
      <w:r>
        <w:rPr>
          <w:rFonts w:ascii="Simplified Arabic" w:hAnsi="Simplified Arabic" w:cs="Simplified Arabic"/>
          <w:sz w:val="24"/>
          <w:szCs w:val="24"/>
          <w:rtl/>
        </w:rPr>
        <w:t xml:space="preserve"> وزملاؤه (2015) دورًا وسيطًا للمناخ التنظيمي بين القيادة التحويلية وسلامة المرضى في مستشفيات سعودية، وهو ما يعزز قراءة الثقافة بوصفها حلقة وصل لا نتيجة نهائية. على أن الاعتماد على إطار </w:t>
      </w:r>
      <w:r>
        <w:rPr>
          <w:rFonts w:ascii="Simplified Arabic" w:hAnsi="Simplified Arabic" w:cs="Simplified Arabic"/>
          <w:sz w:val="24"/>
          <w:szCs w:val="24"/>
        </w:rPr>
        <w:t>Podsakoff</w:t>
      </w:r>
      <w:r>
        <w:rPr>
          <w:rFonts w:ascii="Simplified Arabic" w:hAnsi="Simplified Arabic" w:cs="Simplified Arabic"/>
          <w:sz w:val="24"/>
          <w:szCs w:val="24"/>
          <w:rtl/>
        </w:rPr>
        <w:t xml:space="preserve"> وزملائه (1990) يقتضي تنبيهًا مفاهيميًا: القيادة التحويلية هنا ليست مفهومًا عامًا مجردًا، وإنما بناء متعدد الأبعاد يُقاس بست ممارسات سلوكية محددة. وهذا التفصيل مقصود لغرض تحليلي؛ إذ يتيح لاحقًا تمييز الأبعاد الأوثق صلة ببيئة السلامة عن غيرها، وهو تمييز تفقده الأدوات التي تقيس القيادة التحويلية بوصفها كتلة واحدة.</w:t>
      </w:r>
    </w:p>
    <w:p w14:paraId="18E13DBD" w14:textId="77777777" w:rsidR="00684598" w:rsidRPr="00F05F25" w:rsidRDefault="00684598" w:rsidP="0084065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ويُختبر التسلسل كاملًا عبر المسار </w:t>
      </w:r>
      <w:r>
        <w:rPr>
          <w:rFonts w:ascii="Simplified Arabic" w:hAnsi="Simplified Arabic" w:cs="Simplified Arabic"/>
          <w:sz w:val="24"/>
          <w:szCs w:val="24"/>
        </w:rPr>
        <w:t xml:space="preserve">TL </w:t>
      </w:r>
      <w:r>
        <w:rPr>
          <w:rFonts w:ascii="Times New Roman" w:hAnsi="Times New Roman" w:cs="Times New Roman"/>
          <w:sz w:val="24"/>
          <w:szCs w:val="24"/>
        </w:rPr>
        <w:t>→</w:t>
      </w:r>
      <w:r>
        <w:rPr>
          <w:rFonts w:ascii="Simplified Arabic" w:hAnsi="Simplified Arabic" w:cs="Simplified Arabic"/>
          <w:sz w:val="24"/>
          <w:szCs w:val="24"/>
        </w:rPr>
        <w:t xml:space="preserve"> SC </w:t>
      </w:r>
      <w:r>
        <w:rPr>
          <w:rFonts w:ascii="Times New Roman" w:hAnsi="Times New Roman" w:cs="Times New Roman"/>
          <w:sz w:val="24"/>
          <w:szCs w:val="24"/>
        </w:rPr>
        <w:t>→</w:t>
      </w:r>
      <w:r>
        <w:rPr>
          <w:rFonts w:ascii="Simplified Arabic" w:hAnsi="Simplified Arabic" w:cs="Simplified Arabic"/>
          <w:sz w:val="24"/>
          <w:szCs w:val="24"/>
        </w:rPr>
        <w:t xml:space="preserve"> SB </w:t>
      </w:r>
      <w:r>
        <w:rPr>
          <w:rFonts w:ascii="Times New Roman" w:hAnsi="Times New Roman" w:cs="Times New Roman"/>
          <w:sz w:val="24"/>
          <w:szCs w:val="24"/>
        </w:rPr>
        <w:t>→</w:t>
      </w:r>
      <w:r>
        <w:rPr>
          <w:rFonts w:ascii="Simplified Arabic" w:hAnsi="Simplified Arabic" w:cs="Simplified Arabic"/>
          <w:sz w:val="24"/>
          <w:szCs w:val="24"/>
        </w:rPr>
        <w:t xml:space="preserve"> PRAE</w:t>
      </w:r>
      <w:r>
        <w:rPr>
          <w:rFonts w:ascii="Simplified Arabic" w:hAnsi="Simplified Arabic" w:cs="Simplified Arabic"/>
          <w:sz w:val="24"/>
          <w:szCs w:val="24"/>
          <w:rtl/>
        </w:rPr>
        <w:t xml:space="preserve"> بنمذجة المعادلات الهيكلية. ويبقى تفسير هذا المسار مقيدًا بحدود التصميم المقطعي المبين في الفصل الثالث: فترتيب المتغيرات في النموذج ترتيبه نظري مستمد من الأدبيات، لا تتابع زمني مرصود في البيانات.</w:t>
      </w:r>
    </w:p>
    <w:p w14:paraId="3E201730" w14:textId="77777777" w:rsidR="00684598" w:rsidRPr="00F05F25" w:rsidRDefault="00684598" w:rsidP="0084065A">
      <w:pPr>
        <w:bidi/>
        <w:spacing w:after="0" w:line="360" w:lineRule="auto"/>
        <w:jc w:val="both"/>
        <w:rPr>
          <w:rFonts w:ascii="Simplified Arabic" w:hAnsi="Simplified Arabic" w:cs="Simplified Arabic"/>
          <w:b/>
          <w:bCs/>
          <w:sz w:val="24"/>
          <w:szCs w:val="24"/>
        </w:rPr>
      </w:pPr>
      <w:r w:rsidRPr="00F05F25">
        <w:rPr>
          <w:rFonts w:ascii="Simplified Arabic" w:hAnsi="Simplified Arabic" w:cs="Simplified Arabic"/>
          <w:b/>
          <w:bCs/>
          <w:sz w:val="24"/>
          <w:szCs w:val="24"/>
          <w:rtl/>
        </w:rPr>
        <w:t xml:space="preserve">2.1.4 الأساس النظري للوساطة المتتابعة </w:t>
      </w:r>
      <w:r w:rsidRPr="00F05F25">
        <w:rPr>
          <w:rFonts w:ascii="Simplified Arabic" w:hAnsi="Simplified Arabic" w:cs="Simplified Arabic"/>
          <w:b/>
          <w:bCs/>
          <w:sz w:val="24"/>
          <w:szCs w:val="24"/>
        </w:rPr>
        <w:t xml:space="preserve">TL </w:t>
      </w:r>
      <w:r w:rsidRPr="00F05F25">
        <w:rPr>
          <w:rFonts w:ascii="Times New Roman" w:hAnsi="Times New Roman" w:cs="Times New Roman"/>
          <w:b/>
          <w:bCs/>
          <w:sz w:val="24"/>
          <w:szCs w:val="24"/>
        </w:rPr>
        <w:t>→</w:t>
      </w:r>
      <w:r w:rsidRPr="00F05F25">
        <w:rPr>
          <w:rFonts w:ascii="Simplified Arabic" w:hAnsi="Simplified Arabic" w:cs="Simplified Arabic"/>
          <w:b/>
          <w:bCs/>
          <w:sz w:val="24"/>
          <w:szCs w:val="24"/>
        </w:rPr>
        <w:t xml:space="preserve"> SC </w:t>
      </w:r>
      <w:r w:rsidRPr="00F05F25">
        <w:rPr>
          <w:rFonts w:ascii="Times New Roman" w:hAnsi="Times New Roman" w:cs="Times New Roman"/>
          <w:b/>
          <w:bCs/>
          <w:sz w:val="24"/>
          <w:szCs w:val="24"/>
        </w:rPr>
        <w:t>→</w:t>
      </w:r>
      <w:r w:rsidRPr="00F05F25">
        <w:rPr>
          <w:rFonts w:ascii="Simplified Arabic" w:hAnsi="Simplified Arabic" w:cs="Simplified Arabic"/>
          <w:b/>
          <w:bCs/>
          <w:sz w:val="24"/>
          <w:szCs w:val="24"/>
        </w:rPr>
        <w:t xml:space="preserve"> SB </w:t>
      </w:r>
      <w:r w:rsidRPr="00F05F25">
        <w:rPr>
          <w:rFonts w:ascii="Times New Roman" w:hAnsi="Times New Roman" w:cs="Times New Roman"/>
          <w:b/>
          <w:bCs/>
          <w:sz w:val="24"/>
          <w:szCs w:val="24"/>
        </w:rPr>
        <w:t>→</w:t>
      </w:r>
      <w:r w:rsidRPr="00F05F25">
        <w:rPr>
          <w:rFonts w:ascii="Simplified Arabic" w:hAnsi="Simplified Arabic" w:cs="Simplified Arabic"/>
          <w:b/>
          <w:bCs/>
          <w:sz w:val="24"/>
          <w:szCs w:val="24"/>
        </w:rPr>
        <w:t xml:space="preserve"> PRAE</w:t>
      </w:r>
    </w:p>
    <w:p w14:paraId="7026685F" w14:textId="77777777" w:rsidR="00684598" w:rsidRPr="00F05F25" w:rsidRDefault="00684598" w:rsidP="0084065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يقوم منطق الوساطة المتتابعة على انتقال متدرج عبر ثلاثة مستويات تحليلية متمايزة: من المستوى القيادي، إلى المستوى التنظيمي القيمي، إلى المستوى السلوكي الفردي، وصولًا إلى المخرج المدرك. وتمايز هذه المستويات هو ما يمنح النموذج مسوغَه؛ فلو كانت المتغيرات على مستوى واحد، لما كان للتتابع معنى.</w:t>
      </w:r>
    </w:p>
    <w:p w14:paraId="0C7EFFD9" w14:textId="77777777" w:rsidR="00684598" w:rsidRPr="00F05F25" w:rsidRDefault="00684598" w:rsidP="0084065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lastRenderedPageBreak/>
        <w:t>في الانتقال الأول، تتحول الرسائل القيادية إلى قيم مشتركة. فالرؤية المعلنة والدعم الفردي وتشجيع الاستثارة الفكرية ممارسات تُقرأ داخل المنظمة بوصفها إشارات عمّا يُنتظر من العاملين فعله عند وقوع خطأ: هل يُبلَّغ عنه أم يُخفي، وهل يُعامَل مصدرًا للتعلم أم مبررًا للّوم. وتتراكم هذه الإشارات حتى تستقر ثقافةً، أي إطارًا مشتركًا لا يُقاس من حادثة منفردة بل من إدراك العاملين لبيئة العمل في مجملها.</w:t>
      </w:r>
    </w:p>
    <w:p w14:paraId="7F29DAB4" w14:textId="77777777" w:rsidR="00684598" w:rsidRPr="00F05F25" w:rsidRDefault="00684598" w:rsidP="0084065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وفي الانتقال الثاني، تعمل الثقافة كآلية تحويل تترجم القيم إلى ممارسة. فحين يشعر العاملون بأن الإدارة تدعم السلامة فعلًا وأن الإبلاغ لا يُقابل بالعقاب، يرتفع التزامهم بالبروتوكولات المعتمدة وتزداد مبادرتهم للمشاركة في أنشطة التحسين. وقد أظهرت دراسة </w:t>
      </w:r>
      <w:r>
        <w:rPr>
          <w:rFonts w:ascii="Simplified Arabic" w:hAnsi="Simplified Arabic" w:cs="Simplified Arabic"/>
          <w:sz w:val="24"/>
          <w:szCs w:val="24"/>
        </w:rPr>
        <w:t>Alsahli</w:t>
      </w:r>
      <w:r>
        <w:rPr>
          <w:rFonts w:ascii="Simplified Arabic" w:hAnsi="Simplified Arabic" w:cs="Simplified Arabic"/>
          <w:sz w:val="24"/>
          <w:szCs w:val="24"/>
          <w:rtl/>
        </w:rPr>
        <w:t xml:space="preserve"> وزملائه (2024) في مستشفيات سعودية أن الإدراك الإيجابي لثقافة السلامة يقترن بزيادة الإبلاغ عن الحوادث وتحسن الالتزام، بينما تدفع الثقافة القائمة على اللوم إلى التردد والإخفاء، وهو ما انتهت إليه أيضًا أطروحة </w:t>
      </w:r>
      <w:r>
        <w:rPr>
          <w:rFonts w:ascii="Simplified Arabic" w:hAnsi="Simplified Arabic" w:cs="Simplified Arabic"/>
          <w:sz w:val="24"/>
          <w:szCs w:val="24"/>
        </w:rPr>
        <w:t>Mohammed</w:t>
      </w:r>
      <w:r>
        <w:rPr>
          <w:rFonts w:ascii="Simplified Arabic" w:hAnsi="Simplified Arabic" w:cs="Simplified Arabic"/>
          <w:sz w:val="24"/>
          <w:szCs w:val="24"/>
          <w:rtl/>
        </w:rPr>
        <w:t xml:space="preserve"> (2025) في مستشفيات مكة والمدينة. وبهذا، لا تكون سلوكيات السلامة استجابات فردية معزولة، وإنما تجسيد عملي لبيئة تنظيمية سابقة عليها.</w:t>
      </w:r>
    </w:p>
    <w:p w14:paraId="03B83869" w14:textId="77777777" w:rsidR="00684598" w:rsidRPr="00F05F25" w:rsidRDefault="00684598" w:rsidP="0084065A">
      <w:pPr>
        <w:bidi/>
        <w:spacing w:after="0" w:line="360" w:lineRule="auto"/>
        <w:jc w:val="both"/>
        <w:rPr>
          <w:rFonts w:ascii="Simplified Arabic" w:hAnsi="Simplified Arabic" w:cs="Simplified Arabic"/>
          <w:sz w:val="24"/>
          <w:szCs w:val="24"/>
          <w:rtl/>
        </w:rPr>
      </w:pPr>
      <w:r w:rsidRPr="00F05F25">
        <w:rPr>
          <w:rFonts w:ascii="Simplified Arabic" w:hAnsi="Simplified Arabic" w:cs="Simplified Arabic"/>
          <w:sz w:val="24"/>
          <w:szCs w:val="24"/>
          <w:rtl/>
        </w:rPr>
        <w:t>وفي الانتقال الثالث والأخير، ترتبط هذه السلوكيات بتقدير العاملين لفاعلية إجراءات الوقاية والتقليل. وتشير المراجعات المنهجية إلى أن المؤسسات ذات ثقافة السلامة القوية تسجل معدلات أدنى من المضاعفات والأضرار القابلة للوقاية، وأن هذا الارتباط يمر في الغالب عبر سلوكيات العاملين لا في معزل عنها (</w:t>
      </w:r>
      <w:r w:rsidRPr="00F05F25">
        <w:rPr>
          <w:rFonts w:ascii="Simplified Arabic" w:hAnsi="Simplified Arabic" w:cs="Simplified Arabic"/>
          <w:sz w:val="24"/>
          <w:szCs w:val="24"/>
        </w:rPr>
        <w:t>Mistri et al., 2023</w:t>
      </w:r>
      <w:r w:rsidRPr="00F05F25">
        <w:rPr>
          <w:rFonts w:ascii="Simplified Arabic" w:hAnsi="Simplified Arabic" w:cs="Simplified Arabic"/>
          <w:sz w:val="24"/>
          <w:szCs w:val="24"/>
          <w:rtl/>
        </w:rPr>
        <w:t xml:space="preserve">؛ </w:t>
      </w:r>
      <w:r w:rsidRPr="00F05F25">
        <w:rPr>
          <w:rFonts w:ascii="Simplified Arabic" w:hAnsi="Simplified Arabic" w:cs="Simplified Arabic"/>
          <w:sz w:val="24"/>
          <w:szCs w:val="24"/>
        </w:rPr>
        <w:t>Konlan</w:t>
      </w:r>
      <w:r w:rsidRPr="00F05F25">
        <w:rPr>
          <w:rFonts w:ascii="Simplified Arabic" w:hAnsi="Simplified Arabic" w:cs="Simplified Arabic"/>
          <w:sz w:val="24"/>
          <w:szCs w:val="24"/>
          <w:rtl/>
        </w:rPr>
        <w:t xml:space="preserve"> &amp; </w:t>
      </w:r>
      <w:r w:rsidRPr="00F05F25">
        <w:rPr>
          <w:rFonts w:ascii="Simplified Arabic" w:hAnsi="Simplified Arabic" w:cs="Simplified Arabic"/>
          <w:sz w:val="24"/>
          <w:szCs w:val="24"/>
        </w:rPr>
        <w:t>Shin, 2022</w:t>
      </w:r>
      <w:r w:rsidRPr="00F05F25">
        <w:rPr>
          <w:rFonts w:ascii="Simplified Arabic" w:hAnsi="Simplified Arabic" w:cs="Simplified Arabic"/>
          <w:sz w:val="24"/>
          <w:szCs w:val="24"/>
          <w:rtl/>
        </w:rPr>
        <w:t>). غير أن الدراسة الحالية لا تقيس تلك المعدلات؛ إذ إن ما تقيسه هو التقليل المُدرَك للأحداث الضارة، أي تقييم العاملين لفاعلية ما يُتخذ من تدابير. وهذا التمييز ليس تحفظًا شكليًا: فسجلات الحوادث نفسها معروفة بنقص الإبلاغ وتباين التوثيق بين المنشآت، وهو ما يجعل قراءتها معدلًا حقيقيًا محل نظر أصلًا (</w:t>
      </w:r>
      <w:r w:rsidRPr="00F05F25">
        <w:rPr>
          <w:rFonts w:ascii="Simplified Arabic" w:hAnsi="Simplified Arabic" w:cs="Simplified Arabic"/>
          <w:sz w:val="24"/>
          <w:szCs w:val="24"/>
        </w:rPr>
        <w:t>Alahmadi et al., 2022</w:t>
      </w:r>
      <w:r w:rsidRPr="00F05F25">
        <w:rPr>
          <w:rFonts w:ascii="Simplified Arabic" w:hAnsi="Simplified Arabic" w:cs="Simplified Arabic"/>
          <w:sz w:val="24"/>
          <w:szCs w:val="24"/>
          <w:rtl/>
        </w:rPr>
        <w:t>).</w:t>
      </w:r>
    </w:p>
    <w:p w14:paraId="4D58C1ED" w14:textId="77777777" w:rsidR="00684598" w:rsidRPr="00F05F25" w:rsidRDefault="00684598" w:rsidP="0084065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ويترتب على ذلك أن حلقات المسار الثلاث تُقرأ بوصفها آلية تفسيرية مقترحة تربط القيادة بالثقافة، ثم بالسلوك، ثم بالمخرج المُدرَك</w:t>
      </w:r>
      <w:r>
        <w:rPr>
          <w:rFonts w:ascii="Simplified Arabic" w:hAnsi="Simplified Arabic" w:cs="Simplified Arabic" w:hint="cs"/>
          <w:sz w:val="24"/>
          <w:szCs w:val="24"/>
          <w:rtl/>
        </w:rPr>
        <w:t xml:space="preserve"> </w:t>
      </w:r>
      <w:r>
        <w:rPr>
          <w:rFonts w:ascii="Simplified Arabic" w:hAnsi="Simplified Arabic" w:cs="Simplified Arabic"/>
          <w:sz w:val="24"/>
          <w:szCs w:val="24"/>
          <w:rtl/>
        </w:rPr>
        <w:t>لا بوصفها سلسلة سببية مثبتة. أما العرض النقدي المفصل للأدبيات التي تسند كل حلقة، ولحدودها المنهجية والسياقية، فمحله البند 2.9 من هذا الفصل.</w:t>
      </w:r>
    </w:p>
    <w:p w14:paraId="287CBEA2" w14:textId="77777777" w:rsidR="0021013A" w:rsidRPr="0021013A" w:rsidRDefault="0021013A" w:rsidP="0021013A">
      <w:pPr>
        <w:bidi/>
        <w:spacing w:before="210" w:after="0" w:line="360" w:lineRule="auto"/>
        <w:rPr>
          <w:rFonts w:ascii="Simplified Arabic" w:hAnsi="Simplified Arabic" w:cs="Simplified Arabic"/>
          <w:b/>
          <w:bCs/>
          <w:noProof/>
          <w:sz w:val="24"/>
          <w:szCs w:val="24"/>
          <w:rtl/>
        </w:rPr>
      </w:pPr>
      <w:r w:rsidRPr="0021013A">
        <w:rPr>
          <w:rFonts w:ascii="Simplified Arabic" w:hAnsi="Simplified Arabic" w:cs="Simplified Arabic"/>
          <w:b/>
          <w:bCs/>
          <w:noProof/>
          <w:sz w:val="24"/>
          <w:szCs w:val="24"/>
        </w:rPr>
        <w:t xml:space="preserve">2.2 </w:t>
      </w:r>
      <w:r w:rsidRPr="0021013A">
        <w:rPr>
          <w:rFonts w:ascii="Simplified Arabic" w:hAnsi="Simplified Arabic" w:cs="Simplified Arabic"/>
          <w:b/>
          <w:bCs/>
          <w:noProof/>
          <w:sz w:val="24"/>
          <w:szCs w:val="24"/>
          <w:rtl/>
        </w:rPr>
        <w:t>منهج مراجعة الأدبيات</w:t>
      </w:r>
    </w:p>
    <w:p w14:paraId="54AA15E8" w14:textId="77777777" w:rsidR="007674F9" w:rsidRDefault="00E52BF5" w:rsidP="007674F9">
      <w:pPr>
        <w:bidi/>
        <w:spacing w:before="210" w:after="0" w:line="360" w:lineRule="auto"/>
        <w:jc w:val="both"/>
        <w:rPr>
          <w:rFonts w:ascii="Simplified Arabic" w:hAnsi="Simplified Arabic" w:cs="Simplified Arabic"/>
          <w:noProof/>
          <w:sz w:val="24"/>
          <w:szCs w:val="24"/>
          <w:rtl/>
        </w:rPr>
      </w:pPr>
      <w:r w:rsidRPr="00E52BF5">
        <w:rPr>
          <w:rFonts w:ascii="Simplified Arabic" w:hAnsi="Simplified Arabic" w:cs="Simplified Arabic"/>
          <w:noProof/>
          <w:sz w:val="24"/>
          <w:szCs w:val="24"/>
          <w:rtl/>
        </w:rPr>
        <w:t>تم البحث في قواعد بيانات علمية معتمدة، تشمل</w:t>
      </w:r>
      <w:r w:rsidRPr="00E52BF5">
        <w:rPr>
          <w:rFonts w:ascii="Simplified Arabic" w:hAnsi="Simplified Arabic" w:cs="Simplified Arabic"/>
          <w:noProof/>
          <w:sz w:val="24"/>
          <w:szCs w:val="24"/>
        </w:rPr>
        <w:t xml:space="preserve"> Web of Science </w:t>
      </w:r>
      <w:r w:rsidRPr="00E52BF5">
        <w:rPr>
          <w:rFonts w:ascii="Simplified Arabic" w:hAnsi="Simplified Arabic" w:cs="Simplified Arabic"/>
          <w:noProof/>
          <w:sz w:val="24"/>
          <w:szCs w:val="24"/>
          <w:rtl/>
        </w:rPr>
        <w:t>و</w:t>
      </w:r>
      <w:r w:rsidRPr="00E52BF5">
        <w:rPr>
          <w:rFonts w:ascii="Simplified Arabic" w:hAnsi="Simplified Arabic" w:cs="Simplified Arabic"/>
          <w:noProof/>
          <w:sz w:val="24"/>
          <w:szCs w:val="24"/>
        </w:rPr>
        <w:t xml:space="preserve">Scopus </w:t>
      </w:r>
      <w:r w:rsidRPr="00E52BF5">
        <w:rPr>
          <w:rFonts w:ascii="Simplified Arabic" w:hAnsi="Simplified Arabic" w:cs="Simplified Arabic"/>
          <w:noProof/>
          <w:sz w:val="24"/>
          <w:szCs w:val="24"/>
          <w:rtl/>
        </w:rPr>
        <w:t>و</w:t>
      </w:r>
      <w:r w:rsidRPr="00E52BF5">
        <w:rPr>
          <w:rFonts w:ascii="Simplified Arabic" w:hAnsi="Simplified Arabic" w:cs="Simplified Arabic"/>
          <w:noProof/>
          <w:sz w:val="24"/>
          <w:szCs w:val="24"/>
        </w:rPr>
        <w:t xml:space="preserve">PubMed </w:t>
      </w:r>
      <w:r w:rsidRPr="00E52BF5">
        <w:rPr>
          <w:rFonts w:ascii="Simplified Arabic" w:hAnsi="Simplified Arabic" w:cs="Simplified Arabic"/>
          <w:noProof/>
          <w:sz w:val="24"/>
          <w:szCs w:val="24"/>
          <w:rtl/>
        </w:rPr>
        <w:t>و</w:t>
      </w:r>
      <w:r w:rsidRPr="00E52BF5">
        <w:rPr>
          <w:rFonts w:ascii="Simplified Arabic" w:hAnsi="Simplified Arabic" w:cs="Simplified Arabic"/>
          <w:noProof/>
          <w:sz w:val="24"/>
          <w:szCs w:val="24"/>
        </w:rPr>
        <w:t>Google Scholar</w:t>
      </w:r>
      <w:r w:rsidRPr="00E52BF5">
        <w:rPr>
          <w:rFonts w:ascii="Simplified Arabic" w:hAnsi="Simplified Arabic" w:cs="Simplified Arabic"/>
          <w:noProof/>
          <w:sz w:val="24"/>
          <w:szCs w:val="24"/>
          <w:rtl/>
        </w:rPr>
        <w:t xml:space="preserve">، إضافة إلى قاعدة المنهل العربية، خلال الفترة من </w:t>
      </w:r>
      <w:r>
        <w:rPr>
          <w:rFonts w:ascii="Simplified Arabic" w:hAnsi="Simplified Arabic" w:cs="Simplified Arabic" w:hint="cs"/>
          <w:noProof/>
          <w:sz w:val="24"/>
          <w:szCs w:val="24"/>
          <w:rtl/>
        </w:rPr>
        <w:t>2010</w:t>
      </w:r>
      <w:r w:rsidRPr="00E52BF5">
        <w:rPr>
          <w:rFonts w:ascii="Simplified Arabic" w:hAnsi="Simplified Arabic" w:cs="Simplified Arabic"/>
          <w:noProof/>
          <w:sz w:val="24"/>
          <w:szCs w:val="24"/>
          <w:rtl/>
        </w:rPr>
        <w:t xml:space="preserve"> إلى 2025، مع تركيز أكبر على الأدبيات المنشورة بين 2021 و2025 نظرًا لحداثة نماذج الوساطة المتسلسلة في هذا المجال، باستخدام كلمات مفتاحية باللغتين العربية والإنجليزية</w:t>
      </w:r>
      <w:r w:rsidR="0021013A">
        <w:rPr>
          <w:rFonts w:ascii="Simplified Arabic" w:hAnsi="Simplified Arabic" w:cs="Simplified Arabic"/>
          <w:noProof/>
          <w:sz w:val="24"/>
          <w:szCs w:val="24"/>
          <w:rtl/>
        </w:rPr>
        <w:t xml:space="preserve">، مثل: </w:t>
      </w:r>
      <w:r w:rsidR="0021013A">
        <w:rPr>
          <w:rFonts w:ascii="Simplified Arabic" w:hAnsi="Simplified Arabic" w:cs="Simplified Arabic"/>
          <w:noProof/>
          <w:sz w:val="24"/>
          <w:szCs w:val="24"/>
        </w:rPr>
        <w:t>Transformational Leadership</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Patient Safety Culture</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Safety Behaviors</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Adverse Events</w:t>
      </w:r>
      <w:r w:rsidR="0021013A">
        <w:rPr>
          <w:rFonts w:ascii="Simplified Arabic" w:hAnsi="Simplified Arabic" w:cs="Simplified Arabic"/>
          <w:noProof/>
          <w:sz w:val="24"/>
          <w:szCs w:val="24"/>
          <w:rtl/>
        </w:rPr>
        <w:t xml:space="preserve">، </w:t>
      </w:r>
      <w:r w:rsidR="0021013A">
        <w:rPr>
          <w:rFonts w:ascii="Simplified Arabic" w:hAnsi="Simplified Arabic" w:cs="Simplified Arabic"/>
          <w:noProof/>
          <w:sz w:val="24"/>
          <w:szCs w:val="24"/>
        </w:rPr>
        <w:t>Saudi Hospitals</w:t>
      </w:r>
      <w:r w:rsidR="0021013A">
        <w:rPr>
          <w:rFonts w:ascii="Simplified Arabic" w:hAnsi="Simplified Arabic" w:cs="Simplified Arabic"/>
          <w:noProof/>
          <w:sz w:val="24"/>
          <w:szCs w:val="24"/>
          <w:rtl/>
        </w:rPr>
        <w:t>، إلى جانب المرادفات العربية.</w:t>
      </w:r>
    </w:p>
    <w:p w14:paraId="1C1742F2" w14:textId="2FA7C402" w:rsidR="0021013A" w:rsidRPr="007877B6" w:rsidRDefault="0021013A" w:rsidP="007674F9">
      <w:pPr>
        <w:bidi/>
        <w:spacing w:before="210" w:after="0" w:line="360" w:lineRule="auto"/>
        <w:jc w:val="both"/>
        <w:rPr>
          <w:rFonts w:ascii="Simplified Arabic" w:hAnsi="Simplified Arabic" w:cs="Simplified Arabic"/>
          <w:noProof/>
          <w:sz w:val="24"/>
          <w:szCs w:val="24"/>
        </w:rPr>
      </w:pPr>
      <w:r w:rsidRPr="007877B6">
        <w:rPr>
          <w:rFonts w:ascii="Simplified Arabic" w:hAnsi="Simplified Arabic" w:cs="Simplified Arabic"/>
          <w:noProof/>
          <w:sz w:val="24"/>
          <w:szCs w:val="24"/>
          <w:rtl/>
        </w:rPr>
        <w:lastRenderedPageBreak/>
        <w:t xml:space="preserve">شملت معايير الاشتمال الدراسات المنشورة في مجلات محكَّمة، المكتوبة بالعربية أو الإنجليزية، والتي تناولت واحداً أو أكثر من المتغيرات الأربعة في سياقات صحية، مع تفضيل الدراسات التي أُجريت في المملكة العربية السعودية أو سياقات قريبة. أما معايير الاستبعاد فشملت الدراسات النظرية غير المدعومة ببيانات ميدانية، والأبحاث التي أُجريت خارج القطاع الصحي، والدراسات التي لا توفر معلومات كافية عن المنهجية أو أدوات القياس. بعد فحص العناوين والملخصات وقراءة النصوص الكاملة، تم اختيار حوالي أربعين دراسة تجريبية تناولت واحداً أو أكثر من المتغيرات الأربعة ضمن سياقات صحية متنوعة. نُظمت الدراسات في محاور رئيسة تعكس المسارات في النموذج المفاهيمي المقترح (القيادة التحويلية </w:t>
      </w:r>
      <w:r w:rsidRPr="007877B6">
        <w:rPr>
          <w:rFonts w:ascii="Times New Roman" w:hAnsi="Times New Roman" w:cs="Times New Roman" w:hint="cs"/>
          <w:noProof/>
          <w:sz w:val="24"/>
          <w:szCs w:val="24"/>
          <w:rtl/>
        </w:rPr>
        <w:t>→</w:t>
      </w:r>
      <w:r w:rsidRPr="007877B6">
        <w:rPr>
          <w:rFonts w:ascii="Simplified Arabic" w:hAnsi="Simplified Arabic" w:cs="Simplified Arabic"/>
          <w:noProof/>
          <w:sz w:val="24"/>
          <w:szCs w:val="24"/>
          <w:rtl/>
        </w:rPr>
        <w:t xml:space="preserve"> </w:t>
      </w:r>
      <w:r w:rsidR="007D1551" w:rsidRPr="007877B6">
        <w:rPr>
          <w:rFonts w:ascii="Simplified Arabic" w:hAnsi="Simplified Arabic" w:cs="Simplified Arabic"/>
          <w:noProof/>
          <w:sz w:val="24"/>
          <w:szCs w:val="24"/>
          <w:rtl/>
        </w:rPr>
        <w:t>ثقافة سلامة المرضى</w:t>
      </w:r>
      <w:r w:rsidRPr="007877B6">
        <w:rPr>
          <w:rFonts w:ascii="Simplified Arabic" w:hAnsi="Simplified Arabic" w:cs="Simplified Arabic" w:hint="cs"/>
          <w:noProof/>
          <w:sz w:val="24"/>
          <w:szCs w:val="24"/>
          <w:rtl/>
        </w:rPr>
        <w:t>،</w:t>
      </w:r>
      <w:r w:rsidRPr="007877B6">
        <w:rPr>
          <w:rFonts w:ascii="Simplified Arabic" w:hAnsi="Simplified Arabic" w:cs="Simplified Arabic"/>
          <w:noProof/>
          <w:sz w:val="24"/>
          <w:szCs w:val="24"/>
          <w:rtl/>
        </w:rPr>
        <w:t xml:space="preserve"> </w:t>
      </w:r>
      <w:r w:rsidR="000A33FE" w:rsidRPr="007877B6">
        <w:rPr>
          <w:rFonts w:ascii="Simplified Arabic" w:hAnsi="Simplified Arabic" w:cs="Simplified Arabic"/>
          <w:noProof/>
          <w:sz w:val="24"/>
          <w:szCs w:val="24"/>
          <w:rtl/>
        </w:rPr>
        <w:t>ثقافة سلامة المرضى</w:t>
      </w:r>
      <w:r w:rsidRPr="007877B6">
        <w:rPr>
          <w:rFonts w:ascii="Simplified Arabic" w:hAnsi="Simplified Arabic" w:cs="Simplified Arabic"/>
          <w:noProof/>
          <w:sz w:val="24"/>
          <w:szCs w:val="24"/>
          <w:rtl/>
        </w:rPr>
        <w:t xml:space="preserve"> </w:t>
      </w:r>
      <w:r w:rsidRPr="007877B6">
        <w:rPr>
          <w:rFonts w:ascii="Times New Roman" w:hAnsi="Times New Roman" w:cs="Times New Roman" w:hint="cs"/>
          <w:noProof/>
          <w:sz w:val="24"/>
          <w:szCs w:val="24"/>
          <w:rtl/>
        </w:rPr>
        <w:t>→</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سلوكيات</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السلامة،</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سلوكيات</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السلامة</w:t>
      </w:r>
      <w:r w:rsidRPr="007877B6">
        <w:rPr>
          <w:rFonts w:ascii="Simplified Arabic" w:hAnsi="Simplified Arabic" w:cs="Simplified Arabic"/>
          <w:noProof/>
          <w:sz w:val="24"/>
          <w:szCs w:val="24"/>
          <w:rtl/>
        </w:rPr>
        <w:t xml:space="preserve"> </w:t>
      </w:r>
      <w:r w:rsidRPr="007877B6">
        <w:rPr>
          <w:rFonts w:ascii="Times New Roman" w:hAnsi="Times New Roman" w:cs="Times New Roman" w:hint="cs"/>
          <w:noProof/>
          <w:sz w:val="24"/>
          <w:szCs w:val="24"/>
          <w:rtl/>
        </w:rPr>
        <w:t>→</w:t>
      </w:r>
      <w:r w:rsidRPr="007877B6">
        <w:rPr>
          <w:rFonts w:ascii="Simplified Arabic" w:hAnsi="Simplified Arabic" w:cs="Simplified Arabic"/>
          <w:noProof/>
          <w:sz w:val="24"/>
          <w:szCs w:val="24"/>
          <w:rtl/>
        </w:rPr>
        <w:t xml:space="preserve"> </w:t>
      </w:r>
      <w:r w:rsidR="007877B6" w:rsidRPr="007877B6">
        <w:rPr>
          <w:rFonts w:ascii="Simplified Arabic" w:eastAsia="Arial" w:hAnsi="Simplified Arabic" w:cs="Simplified Arabic" w:hint="cs"/>
          <w:color w:val="000000"/>
          <w:sz w:val="24"/>
          <w:szCs w:val="24"/>
          <w:rtl/>
        </w:rPr>
        <w:t>التقليل</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المُدرَك</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للأحداث</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الضارة</w:t>
      </w:r>
      <w:r w:rsidRPr="007877B6">
        <w:rPr>
          <w:rFonts w:ascii="Simplified Arabic" w:hAnsi="Simplified Arabic" w:cs="Simplified Arabic" w:hint="cs"/>
          <w:noProof/>
          <w:sz w:val="24"/>
          <w:szCs w:val="24"/>
          <w:rtl/>
        </w:rPr>
        <w:t>،</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المسار</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الكامل</w:t>
      </w:r>
      <w:r w:rsidRPr="007877B6">
        <w:rPr>
          <w:rFonts w:ascii="Simplified Arabic" w:hAnsi="Simplified Arabic" w:cs="Simplified Arabic"/>
          <w:noProof/>
          <w:sz w:val="24"/>
          <w:szCs w:val="24"/>
          <w:rtl/>
        </w:rPr>
        <w:t>)</w:t>
      </w:r>
      <w:r w:rsidRPr="007877B6">
        <w:rPr>
          <w:rFonts w:ascii="Simplified Arabic" w:hAnsi="Simplified Arabic" w:cs="Simplified Arabic" w:hint="cs"/>
          <w:noProof/>
          <w:sz w:val="24"/>
          <w:szCs w:val="24"/>
          <w:rtl/>
        </w:rPr>
        <w:t>،</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مما</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ساهم</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في</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بناء</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توليف</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نقدي</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يوضح</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أوجه</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التشابه</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والاختلاف</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والقيود</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المنهجية</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والسياقية</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في</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الأدبيات</w:t>
      </w:r>
      <w:r w:rsidRPr="007877B6">
        <w:rPr>
          <w:rFonts w:ascii="Simplified Arabic" w:hAnsi="Simplified Arabic" w:cs="Simplified Arabic"/>
          <w:noProof/>
          <w:sz w:val="24"/>
          <w:szCs w:val="24"/>
          <w:rtl/>
        </w:rPr>
        <w:t xml:space="preserve"> </w:t>
      </w:r>
      <w:r w:rsidRPr="007877B6">
        <w:rPr>
          <w:rFonts w:ascii="Simplified Arabic" w:hAnsi="Simplified Arabic" w:cs="Simplified Arabic" w:hint="cs"/>
          <w:noProof/>
          <w:sz w:val="24"/>
          <w:szCs w:val="24"/>
          <w:rtl/>
        </w:rPr>
        <w:t>السابقة</w:t>
      </w:r>
      <w:r w:rsidRPr="007877B6">
        <w:rPr>
          <w:rFonts w:ascii="Simplified Arabic" w:hAnsi="Simplified Arabic" w:cs="Simplified Arabic"/>
          <w:noProof/>
          <w:sz w:val="24"/>
          <w:szCs w:val="24"/>
          <w:rtl/>
        </w:rPr>
        <w:t>.</w:t>
      </w:r>
    </w:p>
    <w:p w14:paraId="2C85A50E" w14:textId="38864E64"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2.</w:t>
      </w:r>
      <w:r w:rsidR="00684598">
        <w:rPr>
          <w:rFonts w:ascii="Simplified Arabic" w:hAnsi="Simplified Arabic" w:cs="Simplified Arabic"/>
          <w:b/>
          <w:bCs/>
          <w:noProof/>
          <w:sz w:val="24"/>
          <w:szCs w:val="24"/>
        </w:rPr>
        <w:t>3</w:t>
      </w:r>
      <w:r w:rsidRPr="0021013A">
        <w:rPr>
          <w:rFonts w:ascii="Simplified Arabic" w:hAnsi="Simplified Arabic" w:cs="Simplified Arabic"/>
          <w:b/>
          <w:bCs/>
          <w:noProof/>
          <w:sz w:val="24"/>
          <w:szCs w:val="24"/>
        </w:rPr>
        <w:t xml:space="preserve"> </w:t>
      </w:r>
      <w:r w:rsidRPr="0021013A">
        <w:rPr>
          <w:rFonts w:ascii="Simplified Arabic" w:hAnsi="Simplified Arabic" w:cs="Simplified Arabic"/>
          <w:b/>
          <w:bCs/>
          <w:noProof/>
          <w:sz w:val="24"/>
          <w:szCs w:val="24"/>
          <w:rtl/>
        </w:rPr>
        <w:t>تعريفات المتغيرات الرئيسة وأدوات القياس</w:t>
      </w:r>
    </w:p>
    <w:p w14:paraId="1E19D132" w14:textId="505966AA"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2.</w:t>
      </w:r>
      <w:r w:rsidR="00684598">
        <w:rPr>
          <w:rFonts w:ascii="Simplified Arabic" w:hAnsi="Simplified Arabic" w:cs="Simplified Arabic"/>
          <w:b/>
          <w:bCs/>
          <w:noProof/>
          <w:sz w:val="24"/>
          <w:szCs w:val="24"/>
        </w:rPr>
        <w:t>3</w:t>
      </w:r>
      <w:r w:rsidRPr="0021013A">
        <w:rPr>
          <w:rFonts w:ascii="Simplified Arabic" w:hAnsi="Simplified Arabic" w:cs="Simplified Arabic"/>
          <w:b/>
          <w:bCs/>
          <w:noProof/>
          <w:sz w:val="24"/>
          <w:szCs w:val="24"/>
        </w:rPr>
        <w:t xml:space="preserve">.1 </w:t>
      </w:r>
      <w:r w:rsidRPr="0021013A">
        <w:rPr>
          <w:rFonts w:ascii="Simplified Arabic" w:hAnsi="Simplified Arabic" w:cs="Simplified Arabic"/>
          <w:b/>
          <w:bCs/>
          <w:noProof/>
          <w:sz w:val="24"/>
          <w:szCs w:val="24"/>
          <w:rtl/>
        </w:rPr>
        <w:t>تعريفات المتغيرات الرئيسة</w:t>
      </w:r>
    </w:p>
    <w:p w14:paraId="5F7B2D19" w14:textId="77777777" w:rsidR="0021013A" w:rsidRPr="0021013A" w:rsidRDefault="00EA597B" w:rsidP="002E4152">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hint="cs"/>
          <w:noProof/>
          <w:sz w:val="24"/>
          <w:szCs w:val="24"/>
          <w:rtl/>
        </w:rPr>
        <w:t xml:space="preserve">1. </w:t>
      </w:r>
      <w:r w:rsidR="002E4152">
        <w:rPr>
          <w:rFonts w:ascii="Simplified Arabic" w:hAnsi="Simplified Arabic" w:cs="Simplified Arabic"/>
          <w:noProof/>
          <w:sz w:val="24"/>
          <w:szCs w:val="24"/>
          <w:rtl/>
        </w:rPr>
        <w:t>القيادة التحويلية (</w:t>
      </w:r>
      <w:r w:rsidR="002E4152">
        <w:rPr>
          <w:rFonts w:ascii="Simplified Arabic" w:hAnsi="Simplified Arabic" w:cs="Simplified Arabic"/>
          <w:noProof/>
          <w:sz w:val="24"/>
          <w:szCs w:val="24"/>
        </w:rPr>
        <w:t>TL</w:t>
      </w:r>
      <w:r w:rsidR="002E4152">
        <w:rPr>
          <w:rFonts w:ascii="Simplified Arabic" w:hAnsi="Simplified Arabic" w:cs="Simplified Arabic"/>
          <w:noProof/>
          <w:sz w:val="24"/>
          <w:szCs w:val="24"/>
          <w:rtl/>
        </w:rPr>
        <w:t>) هي نمط من القيادة يمارسه المديرون في المستشفيات الحكومية، ويتجلى في ست ممارسات رئيسية: توضيح الرؤية، وتقديم النموذج، وتشجيع قبول الأهداف الجماعية، ووضع توقعات أداء مرتفعة، والدعم الفردي، والاستثارة الفكرية. ويتم قياسها من خلال استجابات العاملين على أبعاد مقياس مخزون القيادة التحويلية (</w:t>
      </w:r>
      <w:r w:rsidR="002E4152">
        <w:rPr>
          <w:rFonts w:ascii="Simplified Arabic" w:hAnsi="Simplified Arabic" w:cs="Simplified Arabic"/>
          <w:noProof/>
          <w:sz w:val="24"/>
          <w:szCs w:val="24"/>
        </w:rPr>
        <w:t>TLI</w:t>
      </w:r>
      <w:r w:rsidR="002E4152">
        <w:rPr>
          <w:rFonts w:ascii="Simplified Arabic" w:hAnsi="Simplified Arabic" w:cs="Simplified Arabic"/>
          <w:noProof/>
          <w:sz w:val="24"/>
          <w:szCs w:val="24"/>
          <w:rtl/>
        </w:rPr>
        <w:t xml:space="preserve">) وفقًا لـ </w:t>
      </w:r>
      <w:r w:rsidR="002E4152">
        <w:rPr>
          <w:rFonts w:ascii="Simplified Arabic" w:hAnsi="Simplified Arabic" w:cs="Simplified Arabic"/>
          <w:noProof/>
          <w:sz w:val="24"/>
          <w:szCs w:val="24"/>
        </w:rPr>
        <w:t>Podsakoff et al</w:t>
      </w:r>
      <w:r w:rsidR="002E4152">
        <w:rPr>
          <w:rFonts w:ascii="Simplified Arabic" w:hAnsi="Simplified Arabic" w:cs="Simplified Arabic"/>
          <w:noProof/>
          <w:sz w:val="24"/>
          <w:szCs w:val="24"/>
          <w:rtl/>
        </w:rPr>
        <w:t>. (1990)، والمعتمد في الدراسة.</w:t>
      </w:r>
    </w:p>
    <w:p w14:paraId="137E124B" w14:textId="77777777"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t xml:space="preserve">2. </w:t>
      </w:r>
      <w:r>
        <w:rPr>
          <w:rFonts w:ascii="Simplified Arabic" w:hAnsi="Simplified Arabic" w:cs="Simplified Arabic"/>
          <w:noProof/>
          <w:sz w:val="24"/>
          <w:szCs w:val="24"/>
          <w:rtl/>
        </w:rPr>
        <w:t>ثقافة السلامة (</w:t>
      </w:r>
      <w:r>
        <w:rPr>
          <w:rFonts w:ascii="Simplified Arabic" w:hAnsi="Simplified Arabic" w:cs="Simplified Arabic"/>
          <w:noProof/>
          <w:sz w:val="24"/>
          <w:szCs w:val="24"/>
        </w:rPr>
        <w:t>SC</w:t>
      </w:r>
      <w:r>
        <w:rPr>
          <w:rFonts w:ascii="Simplified Arabic" w:hAnsi="Simplified Arabic" w:cs="Simplified Arabic"/>
          <w:noProof/>
          <w:sz w:val="24"/>
          <w:szCs w:val="24"/>
          <w:rtl/>
        </w:rPr>
        <w:t>): وعي العاملين في المستشفيات الحكومية بقيم وممارسات واتجاهات تؤكد أن سلامة المرضى تأتي في مقدمة أولويات المؤسسة، ويُقاس ذلك بناءً على الأبعاد الأساسية لمقياس ثقافة سلامة المرضى المستخدم في الدراسة.</w:t>
      </w:r>
    </w:p>
    <w:p w14:paraId="66908489" w14:textId="77777777" w:rsidR="0021013A" w:rsidRDefault="00EA597B" w:rsidP="00EA597B">
      <w:pPr>
        <w:bidi/>
        <w:spacing w:before="210" w:after="0" w:line="360" w:lineRule="auto"/>
        <w:rPr>
          <w:rFonts w:ascii="Simplified Arabic" w:hAnsi="Simplified Arabic" w:cs="Simplified Arabic"/>
          <w:noProof/>
          <w:sz w:val="24"/>
          <w:szCs w:val="24"/>
          <w:rtl/>
        </w:rPr>
      </w:pPr>
      <w:r>
        <w:rPr>
          <w:rFonts w:ascii="Simplified Arabic" w:hAnsi="Simplified Arabic" w:cs="Simplified Arabic" w:hint="cs"/>
          <w:noProof/>
          <w:sz w:val="24"/>
          <w:szCs w:val="24"/>
          <w:rtl/>
        </w:rPr>
        <w:t>3.</w:t>
      </w:r>
      <w:r>
        <w:rPr>
          <w:rFonts w:ascii="Simplified Arabic" w:hAnsi="Simplified Arabic" w:cs="Simplified Arabic"/>
          <w:noProof/>
          <w:sz w:val="24"/>
          <w:szCs w:val="24"/>
          <w:rtl/>
        </w:rPr>
        <w:t>سلوكيات السلامة (</w:t>
      </w:r>
      <w:r>
        <w:rPr>
          <w:rFonts w:ascii="Simplified Arabic" w:hAnsi="Simplified Arabic" w:cs="Simplified Arabic"/>
          <w:noProof/>
          <w:sz w:val="24"/>
          <w:szCs w:val="24"/>
        </w:rPr>
        <w:t>SB</w:t>
      </w:r>
      <w:r>
        <w:rPr>
          <w:rFonts w:ascii="Simplified Arabic" w:hAnsi="Simplified Arabic" w:cs="Simplified Arabic"/>
          <w:noProof/>
          <w:sz w:val="24"/>
          <w:szCs w:val="24"/>
          <w:rtl/>
        </w:rPr>
        <w:t>): التصرفات والممارسات اليومية المتعلقة بالسلامة التي يقوم بها العاملون في المستشفيات، مثل الالتزام بالبروتوكولات والإبلاغ عن الحوادث، وتقاس باستخدام مقياس سلوكيات السلامة المعتمد.</w:t>
      </w:r>
    </w:p>
    <w:p w14:paraId="2BA36B0D" w14:textId="0D2E5448" w:rsidR="009623D0" w:rsidRPr="0021013A" w:rsidRDefault="009623D0" w:rsidP="009623D0">
      <w:pPr>
        <w:bidi/>
        <w:spacing w:before="210" w:after="0" w:line="360" w:lineRule="auto"/>
        <w:jc w:val="both"/>
        <w:rPr>
          <w:rFonts w:ascii="Simplified Arabic" w:hAnsi="Simplified Arabic" w:cs="Simplified Arabic"/>
          <w:noProof/>
          <w:sz w:val="24"/>
          <w:szCs w:val="24"/>
        </w:rPr>
      </w:pPr>
      <w:r>
        <w:rPr>
          <w:rFonts w:ascii="Simplified Arabic" w:eastAsia="Simplified Arabic" w:hAnsi="Simplified Arabic" w:cs="Simplified Arabic"/>
          <w:sz w:val="24"/>
          <w:rtl/>
        </w:rPr>
        <w:t>4. التقليل المُدرَك للأحداث الضارة (PRAE): تقييم العاملين لفاعلية الإجراءات المعتمدة للوقاية من الأخطاء والحوادث القابلة للوقاية وتقليلها. ويُقاس من خلال ثماني فقرات اتفاقية، ولا يمثل تكرار الحوادث الفعلي أو شدتها المستخرجة من السجلات.</w:t>
      </w:r>
    </w:p>
    <w:p w14:paraId="22EEACCF" w14:textId="56F8435A" w:rsidR="008B5C39" w:rsidRPr="008B5C39" w:rsidRDefault="008B5C39" w:rsidP="00684598">
      <w:pPr>
        <w:keepNext/>
        <w:keepLines/>
        <w:pBdr>
          <w:bottom w:val="single" w:sz="7" w:space="3" w:color="00A6C8"/>
        </w:pBdr>
        <w:bidi/>
        <w:spacing w:before="180" w:after="100" w:line="360" w:lineRule="auto"/>
        <w:rPr>
          <w:rFonts w:ascii="Simplified Arabic" w:hAnsi="Simplified Arabic" w:cs="Simplified Arabic"/>
          <w:b/>
          <w:bCs/>
          <w:noProof/>
          <w:sz w:val="24"/>
          <w:szCs w:val="24"/>
          <w:rtl/>
        </w:rPr>
      </w:pPr>
      <w:r w:rsidRPr="008B5C39">
        <w:rPr>
          <w:rFonts w:ascii="Times New Roman" w:eastAsia="Sakkal Majalla" w:hAnsi="Times New Roman" w:cs="Sakkal Majalla"/>
          <w:b/>
          <w:bCs/>
          <w:noProof/>
          <w:color w:val="1F4E78"/>
          <w:sz w:val="24"/>
          <w:szCs w:val="24"/>
          <w:rtl/>
        </w:rPr>
        <w:lastRenderedPageBreak/>
        <w:t>جدول (</w:t>
      </w:r>
      <w:r w:rsidR="009623D0">
        <w:rPr>
          <w:rFonts w:ascii="Times New Roman" w:eastAsia="Sakkal Majalla" w:hAnsi="Times New Roman" w:cs="Sakkal Majalla" w:hint="cs"/>
          <w:b/>
          <w:bCs/>
          <w:noProof/>
          <w:color w:val="1F4E78"/>
          <w:sz w:val="24"/>
          <w:szCs w:val="24"/>
          <w:rtl/>
        </w:rPr>
        <w:t>2-1</w:t>
      </w:r>
      <w:r w:rsidRPr="008B5C39">
        <w:rPr>
          <w:rFonts w:ascii="Times New Roman" w:eastAsia="Sakkal Majalla" w:hAnsi="Times New Roman" w:cs="Sakkal Majalla"/>
          <w:b/>
          <w:bCs/>
          <w:noProof/>
          <w:color w:val="1F4E78"/>
          <w:sz w:val="24"/>
          <w:szCs w:val="24"/>
          <w:rtl/>
        </w:rPr>
        <w:t>): تعريفات المتغيرات وحدودها المفاهيمية</w:t>
      </w:r>
      <w:r>
        <w:rPr>
          <w:rFonts w:ascii="Times New Roman" w:eastAsia="Sakkal Majalla" w:hAnsi="Times New Roman" w:cs="Sakkal Majalla" w:hint="cs"/>
          <w:b/>
          <w:bCs/>
          <w:noProof/>
          <w:color w:val="1F4E78"/>
          <w:sz w:val="24"/>
          <w:szCs w:val="24"/>
          <w:rtl/>
        </w:rPr>
        <w:t>:</w:t>
      </w:r>
    </w:p>
    <w:tbl>
      <w:tblPr>
        <w:tblStyle w:val="10"/>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1312"/>
        <w:gridCol w:w="92"/>
        <w:gridCol w:w="1906"/>
        <w:gridCol w:w="1993"/>
        <w:gridCol w:w="2082"/>
        <w:gridCol w:w="2479"/>
      </w:tblGrid>
      <w:tr w:rsidR="008B5C39" w:rsidRPr="00E07AD8" w14:paraId="4D950C2D" w14:textId="77777777" w:rsidTr="00E52628">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1312"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96833C7" w14:textId="77777777" w:rsidR="008B5C39" w:rsidRPr="00E07AD8" w:rsidRDefault="008B5C39" w:rsidP="008A4558">
            <w:pPr>
              <w:keepLines/>
              <w:bidi/>
              <w:spacing w:after="0" w:line="240" w:lineRule="auto"/>
              <w:jc w:val="center"/>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المتغير</w:t>
            </w:r>
          </w:p>
        </w:tc>
        <w:tc>
          <w:tcPr>
            <w:tcW w:w="1998" w:type="dxa"/>
            <w:gridSpan w:val="2"/>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6D972412" w14:textId="77777777" w:rsidR="008B5C39" w:rsidRPr="00E07AD8" w:rsidRDefault="008B5C39" w:rsidP="008A4558">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التعريف المعتمد</w:t>
            </w:r>
          </w:p>
        </w:tc>
        <w:tc>
          <w:tcPr>
            <w:tcW w:w="1993"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5A4FAB04" w14:textId="77777777" w:rsidR="008B5C39" w:rsidRPr="00E07AD8" w:rsidRDefault="008B5C39" w:rsidP="008A4558">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الأبعاد الرئيسة</w:t>
            </w:r>
          </w:p>
        </w:tc>
        <w:tc>
          <w:tcPr>
            <w:tcW w:w="2082"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D60A89F" w14:textId="77777777" w:rsidR="008B5C39" w:rsidRPr="00E07AD8" w:rsidRDefault="008B5C39" w:rsidP="008A4558">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التمييز عن مفهوم قريب</w:t>
            </w:r>
          </w:p>
        </w:tc>
        <w:tc>
          <w:tcPr>
            <w:tcW w:w="2479"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4031B261" w14:textId="77777777" w:rsidR="008B5C39" w:rsidRPr="00E07AD8" w:rsidRDefault="008B5C39" w:rsidP="008A4558">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Traditional Arabic" w:eastAsia="Traditional Arabic" w:hAnsi="Traditional Arabic" w:cs="Traditional Arabic"/>
                <w:color w:val="FFFFFF"/>
                <w:sz w:val="17"/>
                <w:szCs w:val="20"/>
                <w:rtl/>
              </w:rPr>
              <w:t>أداة القياس/المصدر</w:t>
            </w:r>
          </w:p>
        </w:tc>
      </w:tr>
      <w:tr w:rsidR="008B5C39" w:rsidRPr="00E07AD8" w14:paraId="506C8D58" w14:textId="77777777" w:rsidTr="00E52628">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312" w:type="dxa"/>
            <w:shd w:val="clear" w:color="auto" w:fill="EAF1F8"/>
            <w:tcMar>
              <w:top w:w="70" w:type="dxa"/>
              <w:left w:w="70" w:type="dxa"/>
              <w:bottom w:w="70" w:type="dxa"/>
              <w:right w:w="70" w:type="dxa"/>
            </w:tcMar>
            <w:vAlign w:val="center"/>
          </w:tcPr>
          <w:p w14:paraId="6A010B7D" w14:textId="77777777" w:rsidR="008B5C39" w:rsidRPr="00E07AD8" w:rsidRDefault="008B5C39" w:rsidP="00F811EB">
            <w:pPr>
              <w:keepLines/>
              <w:bidi/>
              <w:spacing w:after="0" w:line="240" w:lineRule="auto"/>
              <w:rPr>
                <w:rFonts w:ascii="Sakkal Majalla" w:hAnsi="Sakkal Majalla" w:cs="Sakkal Majalla"/>
                <w:b w:val="0"/>
                <w:bCs w:val="0"/>
                <w:sz w:val="20"/>
                <w:szCs w:val="20"/>
              </w:rPr>
            </w:pPr>
            <w:r w:rsidRPr="00E07AD8">
              <w:rPr>
                <w:rFonts w:ascii="Traditional Arabic" w:eastAsia="Traditional Arabic" w:hAnsi="Traditional Arabic" w:cs="Traditional Arabic"/>
                <w:color w:val="1F4E78"/>
                <w:sz w:val="17"/>
                <w:szCs w:val="20"/>
                <w:rtl/>
              </w:rPr>
              <w:t>القيادة التحويلية</w:t>
            </w:r>
            <w:r w:rsidRPr="00E07AD8">
              <w:rPr>
                <w:rFonts w:ascii="Times New Roman" w:eastAsia="Times New Roman" w:hAnsi="Times New Roman" w:cs="Times New Roman"/>
                <w:color w:val="1F4E78"/>
                <w:sz w:val="17"/>
                <w:szCs w:val="20"/>
              </w:rPr>
              <w:t xml:space="preserve"> (TL)</w:t>
            </w:r>
          </w:p>
        </w:tc>
        <w:tc>
          <w:tcPr>
            <w:tcW w:w="1998" w:type="dxa"/>
            <w:gridSpan w:val="2"/>
            <w:shd w:val="clear" w:color="auto" w:fill="EAF1F8"/>
            <w:tcMar>
              <w:top w:w="70" w:type="dxa"/>
              <w:left w:w="70" w:type="dxa"/>
              <w:bottom w:w="70" w:type="dxa"/>
              <w:right w:w="70" w:type="dxa"/>
            </w:tcMar>
            <w:vAlign w:val="center"/>
          </w:tcPr>
          <w:p w14:paraId="45229EE4" w14:textId="77777777" w:rsidR="008B5C39" w:rsidRPr="00E07AD8" w:rsidRDefault="005C112B"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5C112B">
              <w:rPr>
                <w:rFonts w:ascii="Traditional Arabic" w:eastAsia="Traditional Arabic" w:hAnsi="Traditional Arabic" w:cs="Traditional Arabic"/>
                <w:bCs/>
                <w:color w:val="1F1F1F"/>
                <w:sz w:val="17"/>
                <w:szCs w:val="20"/>
                <w:rtl/>
              </w:rPr>
              <w:t>أسلوب قيادي يُلهم ويحفز الموظفين لتبني أهداف المنظمة على المصالح الشخصية عبر التأثير، والتحفيز، وتنشيط الفكر، والاعتراف بالفردية</w:t>
            </w:r>
            <w:r w:rsidRPr="005C112B">
              <w:rPr>
                <w:rFonts w:ascii="Times New Roman" w:eastAsia="Times New Roman" w:hAnsi="Times New Roman" w:cs="Times New Roman"/>
                <w:bCs/>
                <w:color w:val="1F1F1F"/>
                <w:sz w:val="17"/>
                <w:szCs w:val="20"/>
              </w:rPr>
              <w:t>.</w:t>
            </w:r>
          </w:p>
        </w:tc>
        <w:tc>
          <w:tcPr>
            <w:tcW w:w="1993" w:type="dxa"/>
            <w:shd w:val="clear" w:color="auto" w:fill="EAF1F8"/>
            <w:tcMar>
              <w:top w:w="70" w:type="dxa"/>
              <w:left w:w="70" w:type="dxa"/>
              <w:bottom w:w="70" w:type="dxa"/>
              <w:right w:w="70" w:type="dxa"/>
            </w:tcMar>
            <w:vAlign w:val="center"/>
          </w:tcPr>
          <w:p w14:paraId="5C365A8E" w14:textId="77777777" w:rsidR="008B5C39" w:rsidRPr="00E07AD8" w:rsidRDefault="005C112B"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5C112B">
              <w:rPr>
                <w:rFonts w:ascii="Traditional Arabic" w:eastAsia="Traditional Arabic" w:hAnsi="Traditional Arabic" w:cs="Traditional Arabic"/>
                <w:bCs/>
                <w:color w:val="1F1F1F"/>
                <w:sz w:val="17"/>
                <w:szCs w:val="20"/>
                <w:rtl/>
              </w:rPr>
              <w:t>صياغة الرؤية، تقديم النموذج المناسب، تعزيز قبول الأهداف الجماعية، توقعات الأداء العالي، الدعم الفردي، الاستثارة الفكرية</w:t>
            </w:r>
            <w:r w:rsidRPr="005C112B">
              <w:rPr>
                <w:rFonts w:ascii="Times New Roman" w:eastAsia="Times New Roman" w:hAnsi="Times New Roman" w:cs="Times New Roman"/>
                <w:bCs/>
                <w:color w:val="1F1F1F"/>
                <w:sz w:val="17"/>
                <w:szCs w:val="20"/>
              </w:rPr>
              <w:t>.</w:t>
            </w:r>
          </w:p>
        </w:tc>
        <w:tc>
          <w:tcPr>
            <w:tcW w:w="2082" w:type="dxa"/>
            <w:shd w:val="clear" w:color="auto" w:fill="EAF1F8"/>
            <w:tcMar>
              <w:top w:w="70" w:type="dxa"/>
              <w:left w:w="70" w:type="dxa"/>
              <w:bottom w:w="70" w:type="dxa"/>
              <w:right w:w="70" w:type="dxa"/>
            </w:tcMar>
            <w:vAlign w:val="center"/>
          </w:tcPr>
          <w:p w14:paraId="2C3CEF99" w14:textId="77777777" w:rsidR="008B5C39" w:rsidRPr="00E07AD8" w:rsidRDefault="005C112B"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5C112B">
              <w:rPr>
                <w:rFonts w:ascii="Traditional Arabic" w:eastAsia="Traditional Arabic" w:hAnsi="Traditional Arabic" w:cs="Traditional Arabic"/>
                <w:bCs/>
                <w:color w:val="1F1F1F"/>
                <w:sz w:val="17"/>
                <w:szCs w:val="20"/>
                <w:rtl/>
              </w:rPr>
              <w:t>تتميز عن القيادة التبادلية التي تركز على الحوافز والعقوبات قصيرة الأجل، وعن القيادة الخدمية التي تركز أساسًا على خدمة التابعين لا على تغيير المنظومة</w:t>
            </w:r>
            <w:r w:rsidRPr="005C112B">
              <w:rPr>
                <w:rFonts w:ascii="Times New Roman" w:eastAsia="Times New Roman" w:hAnsi="Times New Roman" w:cs="Times New Roman"/>
                <w:bCs/>
                <w:color w:val="1F1F1F"/>
                <w:sz w:val="17"/>
                <w:szCs w:val="20"/>
              </w:rPr>
              <w:t>.</w:t>
            </w:r>
          </w:p>
        </w:tc>
        <w:tc>
          <w:tcPr>
            <w:tcW w:w="2479" w:type="dxa"/>
            <w:shd w:val="clear" w:color="auto" w:fill="EAF1F8"/>
            <w:tcMar>
              <w:top w:w="70" w:type="dxa"/>
              <w:left w:w="70" w:type="dxa"/>
              <w:bottom w:w="70" w:type="dxa"/>
              <w:right w:w="70" w:type="dxa"/>
            </w:tcMar>
            <w:vAlign w:val="center"/>
          </w:tcPr>
          <w:p w14:paraId="38C09DA5" w14:textId="77777777" w:rsidR="008B5C39" w:rsidRPr="00E07AD8" w:rsidRDefault="005C112B"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5C112B">
              <w:rPr>
                <w:rFonts w:ascii="Traditional Arabic" w:eastAsia="Traditional Arabic" w:hAnsi="Traditional Arabic" w:cs="Traditional Arabic"/>
                <w:bCs/>
                <w:color w:val="1F1F1F"/>
                <w:sz w:val="17"/>
                <w:szCs w:val="20"/>
                <w:rtl/>
              </w:rPr>
              <w:t>مقياس مخزون القيادة التحويلية </w:t>
            </w:r>
            <w:r w:rsidRPr="005C112B">
              <w:rPr>
                <w:rFonts w:ascii="Times New Roman" w:eastAsia="Times New Roman" w:hAnsi="Times New Roman" w:cs="Times New Roman"/>
                <w:bCs/>
                <w:color w:val="1F1F1F"/>
                <w:sz w:val="17"/>
                <w:szCs w:val="20"/>
              </w:rPr>
              <w:t>Transformational Leadership Inventory (TLI) </w:t>
            </w:r>
            <w:r w:rsidRPr="005C112B">
              <w:rPr>
                <w:rFonts w:ascii="Traditional Arabic" w:eastAsia="Traditional Arabic" w:hAnsi="Traditional Arabic" w:cs="Traditional Arabic"/>
                <w:bCs/>
                <w:color w:val="1F1F1F"/>
                <w:sz w:val="17"/>
                <w:szCs w:val="20"/>
                <w:rtl/>
              </w:rPr>
              <w:t>الذي وضعه </w:t>
            </w:r>
            <w:r w:rsidRPr="005C112B">
              <w:rPr>
                <w:rFonts w:ascii="Times New Roman" w:eastAsia="Times New Roman" w:hAnsi="Times New Roman" w:cs="Times New Roman"/>
                <w:bCs/>
                <w:color w:val="1F1F1F"/>
                <w:sz w:val="17"/>
                <w:szCs w:val="20"/>
              </w:rPr>
              <w:t>Podsakoff et al. (1990)</w:t>
            </w:r>
            <w:r w:rsidRPr="005C112B">
              <w:rPr>
                <w:rFonts w:ascii="Traditional Arabic" w:eastAsia="Traditional Arabic" w:hAnsi="Traditional Arabic" w:cs="Traditional Arabic"/>
                <w:bCs/>
                <w:color w:val="1F1F1F"/>
                <w:sz w:val="17"/>
                <w:szCs w:val="20"/>
                <w:rtl/>
              </w:rPr>
              <w:t>، ويتكون من </w:t>
            </w:r>
            <w:r w:rsidRPr="005C112B">
              <w:rPr>
                <w:rFonts w:ascii="Times New Roman" w:eastAsia="Times New Roman" w:hAnsi="Times New Roman" w:cs="Times New Roman"/>
                <w:bCs/>
                <w:color w:val="1F1F1F"/>
                <w:sz w:val="17"/>
                <w:szCs w:val="20"/>
              </w:rPr>
              <w:t xml:space="preserve">23 </w:t>
            </w:r>
            <w:r w:rsidRPr="005C112B">
              <w:rPr>
                <w:rFonts w:ascii="Traditional Arabic" w:eastAsia="Traditional Arabic" w:hAnsi="Traditional Arabic" w:cs="Traditional Arabic"/>
                <w:bCs/>
                <w:color w:val="1F1F1F"/>
                <w:sz w:val="17"/>
                <w:szCs w:val="20"/>
                <w:rtl/>
              </w:rPr>
              <w:t>عبارة موزعة على ستة أبعاد سلوكية، مع تعديل لغوي وسياقي ليناسب البيئة السعودية</w:t>
            </w:r>
            <w:r w:rsidRPr="005C112B">
              <w:rPr>
                <w:rFonts w:ascii="Times New Roman" w:eastAsia="Times New Roman" w:hAnsi="Times New Roman" w:cs="Times New Roman"/>
                <w:bCs/>
                <w:color w:val="1F1F1F"/>
                <w:sz w:val="17"/>
                <w:szCs w:val="20"/>
              </w:rPr>
              <w:t>.</w:t>
            </w:r>
          </w:p>
        </w:tc>
      </w:tr>
      <w:tr w:rsidR="008B5C39" w:rsidRPr="00E07AD8" w14:paraId="1252882A" w14:textId="77777777" w:rsidTr="00E52628">
        <w:trPr>
          <w:cantSplit/>
          <w:jc w:val="center"/>
        </w:trPr>
        <w:tc>
          <w:tcPr>
            <w:cnfStyle w:val="001000000000" w:firstRow="0" w:lastRow="0" w:firstColumn="1" w:lastColumn="0" w:oddVBand="0" w:evenVBand="0" w:oddHBand="0" w:evenHBand="0" w:firstRowFirstColumn="0" w:firstRowLastColumn="0" w:lastRowFirstColumn="0" w:lastRowLastColumn="0"/>
            <w:tcW w:w="1404" w:type="dxa"/>
            <w:gridSpan w:val="2"/>
            <w:shd w:val="clear" w:color="auto" w:fill="DCE6F1"/>
            <w:tcMar>
              <w:top w:w="70" w:type="dxa"/>
              <w:left w:w="70" w:type="dxa"/>
              <w:bottom w:w="70" w:type="dxa"/>
              <w:right w:w="70" w:type="dxa"/>
            </w:tcMar>
            <w:vAlign w:val="center"/>
          </w:tcPr>
          <w:p w14:paraId="6F7750F7" w14:textId="77777777" w:rsidR="008B5C39" w:rsidRPr="00E07AD8" w:rsidRDefault="008B5C39" w:rsidP="00E52628">
            <w:pPr>
              <w:keepLines/>
              <w:bidi/>
              <w:spacing w:after="0" w:line="240" w:lineRule="auto"/>
              <w:jc w:val="center"/>
              <w:rPr>
                <w:rFonts w:ascii="Sakkal Majalla" w:hAnsi="Sakkal Majalla" w:cs="Sakkal Majalla"/>
                <w:b w:val="0"/>
                <w:bCs w:val="0"/>
                <w:sz w:val="20"/>
                <w:szCs w:val="20"/>
              </w:rPr>
            </w:pPr>
            <w:r w:rsidRPr="00E07AD8">
              <w:rPr>
                <w:rFonts w:ascii="Traditional Arabic" w:eastAsia="Traditional Arabic" w:hAnsi="Traditional Arabic" w:cs="Traditional Arabic"/>
                <w:color w:val="1F4E78"/>
                <w:sz w:val="17"/>
                <w:szCs w:val="20"/>
                <w:rtl/>
              </w:rPr>
              <w:t>ثقافة السلامة</w:t>
            </w:r>
            <w:r w:rsidRPr="00E07AD8">
              <w:rPr>
                <w:rFonts w:ascii="Times New Roman" w:eastAsia="Times New Roman" w:hAnsi="Times New Roman" w:cs="Times New Roman"/>
                <w:color w:val="1F4E78"/>
                <w:sz w:val="17"/>
                <w:szCs w:val="20"/>
              </w:rPr>
              <w:t xml:space="preserve"> (SC)</w:t>
            </w:r>
          </w:p>
        </w:tc>
        <w:tc>
          <w:tcPr>
            <w:tcW w:w="1906" w:type="dxa"/>
            <w:shd w:val="clear" w:color="auto" w:fill="F7FAFC"/>
            <w:tcMar>
              <w:top w:w="70" w:type="dxa"/>
              <w:left w:w="70" w:type="dxa"/>
              <w:bottom w:w="70" w:type="dxa"/>
              <w:right w:w="70" w:type="dxa"/>
            </w:tcMar>
            <w:vAlign w:val="center"/>
          </w:tcPr>
          <w:p w14:paraId="4F6A186E" w14:textId="77777777" w:rsidR="008B5C39" w:rsidRPr="00E07AD8" w:rsidRDefault="008B5C39" w:rsidP="00F811EB">
            <w:pPr>
              <w:keepLines/>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bCs/>
                <w:color w:val="1F1F1F"/>
                <w:sz w:val="17"/>
                <w:szCs w:val="20"/>
                <w:rtl/>
              </w:rPr>
              <w:t>نظام من القيم والاتجاهات والسلوكيات لضمان سلامة المرضى في الممارسات والقرارات.</w:t>
            </w:r>
          </w:p>
        </w:tc>
        <w:tc>
          <w:tcPr>
            <w:tcW w:w="1993" w:type="dxa"/>
            <w:shd w:val="clear" w:color="auto" w:fill="F7FAFC"/>
            <w:tcMar>
              <w:top w:w="70" w:type="dxa"/>
              <w:left w:w="70" w:type="dxa"/>
              <w:bottom w:w="70" w:type="dxa"/>
              <w:right w:w="70" w:type="dxa"/>
            </w:tcMar>
            <w:vAlign w:val="center"/>
          </w:tcPr>
          <w:p w14:paraId="343801D0" w14:textId="77777777" w:rsidR="008B5C39" w:rsidRPr="00E07AD8" w:rsidRDefault="008B5C39" w:rsidP="00F811EB">
            <w:pPr>
              <w:keepLines/>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bCs/>
                <w:color w:val="1F1F1F"/>
                <w:sz w:val="17"/>
                <w:szCs w:val="20"/>
                <w:rtl/>
              </w:rPr>
              <w:t>دعم الإدارة للسلامة، التواصل المفتوح، التعلم من الحوادث، والعمل الجماعي.</w:t>
            </w:r>
          </w:p>
        </w:tc>
        <w:tc>
          <w:tcPr>
            <w:tcW w:w="2082" w:type="dxa"/>
            <w:shd w:val="clear" w:color="auto" w:fill="F7FAFC"/>
            <w:tcMar>
              <w:top w:w="70" w:type="dxa"/>
              <w:left w:w="70" w:type="dxa"/>
              <w:bottom w:w="70" w:type="dxa"/>
              <w:right w:w="70" w:type="dxa"/>
            </w:tcMar>
            <w:vAlign w:val="center"/>
          </w:tcPr>
          <w:p w14:paraId="63AA57D6" w14:textId="77777777" w:rsidR="008B5C39" w:rsidRPr="00E07AD8" w:rsidRDefault="008B5C39" w:rsidP="00F811EB">
            <w:pPr>
              <w:keepLines/>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bCs/>
                <w:color w:val="1F1F1F"/>
                <w:sz w:val="17"/>
                <w:szCs w:val="20"/>
                <w:rtl/>
              </w:rPr>
              <w:t>تُميز الثقافة عن سلوكيات السلامة التي هي الأفعال الفردية اليومية؛ فالثقافة تمثل الإطار القيمي أو المناخي، بينما السلوك هو ترجمة عملية لهذا الإطار.</w:t>
            </w:r>
          </w:p>
        </w:tc>
        <w:tc>
          <w:tcPr>
            <w:tcW w:w="2479" w:type="dxa"/>
            <w:shd w:val="clear" w:color="auto" w:fill="F7FAFC"/>
            <w:tcMar>
              <w:top w:w="70" w:type="dxa"/>
              <w:left w:w="70" w:type="dxa"/>
              <w:bottom w:w="70" w:type="dxa"/>
              <w:right w:w="70" w:type="dxa"/>
            </w:tcMar>
            <w:vAlign w:val="center"/>
          </w:tcPr>
          <w:p w14:paraId="18F88D54" w14:textId="77777777" w:rsidR="008B5C39" w:rsidRPr="00E07AD8" w:rsidRDefault="008B5C39" w:rsidP="00F811EB">
            <w:pPr>
              <w:keepLines/>
              <w:bidi/>
              <w:spacing w:after="0" w:line="24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Traditional Arabic" w:eastAsia="Traditional Arabic" w:hAnsi="Traditional Arabic" w:cs="Traditional Arabic"/>
                <w:bCs/>
                <w:color w:val="1F1F1F"/>
                <w:sz w:val="17"/>
                <w:szCs w:val="20"/>
                <w:rtl/>
              </w:rPr>
              <w:t>استبيان المستشفى حول ثقافة سلامة المرضى (</w:t>
            </w:r>
            <w:r>
              <w:rPr>
                <w:rFonts w:ascii="Times New Roman" w:eastAsia="Times New Roman" w:hAnsi="Times New Roman" w:cs="Times New Roman"/>
                <w:bCs/>
                <w:color w:val="1F1F1F"/>
                <w:sz w:val="17"/>
                <w:szCs w:val="20"/>
              </w:rPr>
              <w:t>HSOPSC</w:t>
            </w:r>
            <w:r>
              <w:rPr>
                <w:rFonts w:ascii="Traditional Arabic" w:eastAsia="Traditional Arabic" w:hAnsi="Traditional Arabic" w:cs="Traditional Arabic"/>
                <w:bCs/>
                <w:color w:val="1F1F1F"/>
                <w:sz w:val="17"/>
                <w:szCs w:val="20"/>
                <w:rtl/>
              </w:rPr>
              <w:t xml:space="preserve">) كما أقرّته </w:t>
            </w:r>
            <w:r>
              <w:rPr>
                <w:rFonts w:ascii="Times New Roman" w:eastAsia="Times New Roman" w:hAnsi="Times New Roman" w:cs="Times New Roman"/>
                <w:bCs/>
                <w:color w:val="1F1F1F"/>
                <w:sz w:val="17"/>
                <w:szCs w:val="20"/>
              </w:rPr>
              <w:t>AHRQ</w:t>
            </w:r>
            <w:r>
              <w:rPr>
                <w:rFonts w:ascii="Traditional Arabic" w:eastAsia="Traditional Arabic" w:hAnsi="Traditional Arabic" w:cs="Traditional Arabic"/>
                <w:bCs/>
                <w:color w:val="1F1F1F"/>
                <w:sz w:val="17"/>
                <w:szCs w:val="20"/>
                <w:rtl/>
              </w:rPr>
              <w:t xml:space="preserve"> مع التكييف للسياق</w:t>
            </w:r>
            <w:r w:rsidRPr="00E07AD8">
              <w:rPr>
                <w:rFonts w:ascii="Times New Roman" w:eastAsia="Times New Roman" w:hAnsi="Times New Roman" w:cs="Times New Roman"/>
                <w:bCs/>
                <w:color w:val="1F1F1F"/>
                <w:sz w:val="17"/>
                <w:szCs w:val="20"/>
              </w:rPr>
              <w:t>.</w:t>
            </w:r>
          </w:p>
        </w:tc>
      </w:tr>
      <w:tr w:rsidR="008B5C39" w:rsidRPr="00E07AD8" w14:paraId="6151DA03" w14:textId="77777777" w:rsidTr="00923916">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404" w:type="dxa"/>
            <w:gridSpan w:val="2"/>
            <w:shd w:val="clear" w:color="auto" w:fill="EAF1F8"/>
            <w:tcMar>
              <w:top w:w="70" w:type="dxa"/>
              <w:left w:w="70" w:type="dxa"/>
              <w:bottom w:w="70" w:type="dxa"/>
              <w:right w:w="70" w:type="dxa"/>
            </w:tcMar>
            <w:vAlign w:val="center"/>
          </w:tcPr>
          <w:p w14:paraId="033E7307" w14:textId="77777777" w:rsidR="008B5C39" w:rsidRPr="00E07AD8" w:rsidRDefault="008B5C39" w:rsidP="00E52628">
            <w:pPr>
              <w:keepLines/>
              <w:bidi/>
              <w:spacing w:after="0" w:line="240" w:lineRule="auto"/>
              <w:jc w:val="center"/>
              <w:rPr>
                <w:rFonts w:ascii="Sakkal Majalla" w:hAnsi="Sakkal Majalla" w:cs="Sakkal Majalla"/>
                <w:b w:val="0"/>
                <w:bCs w:val="0"/>
                <w:sz w:val="20"/>
                <w:szCs w:val="20"/>
              </w:rPr>
            </w:pPr>
            <w:r w:rsidRPr="00E07AD8">
              <w:rPr>
                <w:rFonts w:ascii="Traditional Arabic" w:eastAsia="Traditional Arabic" w:hAnsi="Traditional Arabic" w:cs="Traditional Arabic"/>
                <w:color w:val="1F4E78"/>
                <w:sz w:val="17"/>
                <w:szCs w:val="20"/>
                <w:rtl/>
              </w:rPr>
              <w:t>سلوكيات السلامة</w:t>
            </w:r>
            <w:r w:rsidRPr="00E07AD8">
              <w:rPr>
                <w:rFonts w:ascii="Times New Roman" w:eastAsia="Times New Roman" w:hAnsi="Times New Roman" w:cs="Times New Roman"/>
                <w:color w:val="1F4E78"/>
                <w:sz w:val="17"/>
                <w:szCs w:val="20"/>
              </w:rPr>
              <w:t xml:space="preserve"> (SB)</w:t>
            </w:r>
          </w:p>
        </w:tc>
        <w:tc>
          <w:tcPr>
            <w:tcW w:w="1906" w:type="dxa"/>
            <w:shd w:val="clear" w:color="auto" w:fill="EAF1F8"/>
            <w:tcMar>
              <w:top w:w="70" w:type="dxa"/>
              <w:left w:w="70" w:type="dxa"/>
              <w:bottom w:w="70" w:type="dxa"/>
              <w:right w:w="70" w:type="dxa"/>
            </w:tcMar>
            <w:vAlign w:val="center"/>
          </w:tcPr>
          <w:p w14:paraId="0DCF76C3" w14:textId="77777777" w:rsidR="008B5C39" w:rsidRPr="00E07AD8" w:rsidRDefault="008B5C39"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E07AD8">
              <w:rPr>
                <w:rFonts w:ascii="Traditional Arabic" w:eastAsia="Traditional Arabic" w:hAnsi="Traditional Arabic" w:cs="Traditional Arabic"/>
                <w:bCs/>
                <w:color w:val="1F1F1F"/>
                <w:sz w:val="17"/>
                <w:szCs w:val="20"/>
                <w:rtl/>
              </w:rPr>
              <w:t>مجموعة الإجراءات التطبيقية التي يلتزم بها الممارسون الصحيون لحماية المرضى ومنع الأخطاء، مثل غسل اليدين، والتحقق من الهوية، والالتزام بقوائم التدقيق</w:t>
            </w:r>
            <w:r w:rsidRPr="00E07AD8">
              <w:rPr>
                <w:rFonts w:ascii="Times New Roman" w:eastAsia="Times New Roman" w:hAnsi="Times New Roman" w:cs="Times New Roman"/>
                <w:bCs/>
                <w:color w:val="1F1F1F"/>
                <w:sz w:val="17"/>
                <w:szCs w:val="20"/>
              </w:rPr>
              <w:t>.</w:t>
            </w:r>
          </w:p>
        </w:tc>
        <w:tc>
          <w:tcPr>
            <w:tcW w:w="1993" w:type="dxa"/>
            <w:shd w:val="clear" w:color="auto" w:fill="EAF1F8"/>
            <w:tcMar>
              <w:top w:w="70" w:type="dxa"/>
              <w:left w:w="70" w:type="dxa"/>
              <w:bottom w:w="70" w:type="dxa"/>
              <w:right w:w="70" w:type="dxa"/>
            </w:tcMar>
            <w:vAlign w:val="center"/>
          </w:tcPr>
          <w:p w14:paraId="69E3044E" w14:textId="307B324B" w:rsidR="00923916" w:rsidRPr="00923916" w:rsidRDefault="00923916" w:rsidP="00923916">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0"/>
                <w:szCs w:val="20"/>
                <w:rtl/>
              </w:rPr>
            </w:pPr>
            <w:r>
              <w:rPr>
                <w:rFonts w:ascii="Traditional Arabic" w:hAnsi="Traditional Arabic" w:cs="Traditional Arabic"/>
                <w:b/>
                <w:bCs/>
                <w:color w:val="000000"/>
                <w:sz w:val="20"/>
                <w:szCs w:val="20"/>
                <w:rtl/>
              </w:rPr>
              <w:t>بعدان هما الامتثال لإجراءات السلامة المعتمدة (ست فقرات) والمشاركة في أنشطة تحسين السلامة (ست فقرات)</w:t>
            </w:r>
          </w:p>
          <w:p w14:paraId="6B0BD88D" w14:textId="1997A6B4" w:rsidR="008B5C39" w:rsidRPr="00923916" w:rsidRDefault="008B5C39" w:rsidP="00923916">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p>
        </w:tc>
        <w:tc>
          <w:tcPr>
            <w:tcW w:w="2082" w:type="dxa"/>
            <w:shd w:val="clear" w:color="auto" w:fill="EAF1F8"/>
            <w:tcMar>
              <w:top w:w="70" w:type="dxa"/>
              <w:left w:w="70" w:type="dxa"/>
              <w:bottom w:w="70" w:type="dxa"/>
              <w:right w:w="70" w:type="dxa"/>
            </w:tcMar>
            <w:vAlign w:val="center"/>
          </w:tcPr>
          <w:p w14:paraId="407F9587" w14:textId="77777777" w:rsidR="008B5C39" w:rsidRPr="00E07AD8" w:rsidRDefault="008B5C39" w:rsidP="00F811EB">
            <w:pPr>
              <w:keepLines/>
              <w:bidi/>
              <w:spacing w:after="0" w:line="24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E07AD8">
              <w:rPr>
                <w:rFonts w:ascii="Traditional Arabic" w:eastAsia="Traditional Arabic" w:hAnsi="Traditional Arabic" w:cs="Traditional Arabic"/>
                <w:bCs/>
                <w:color w:val="1F1F1F"/>
                <w:sz w:val="17"/>
                <w:szCs w:val="20"/>
                <w:rtl/>
              </w:rPr>
              <w:t>تُميَّز عن ثقافة السلامة (الإطار القيمي)، وعن نتائج الجودة مثل معدلات الوفيات أو طول الإقامة، التي تُعد نتائج نهائية لا سلوكيات</w:t>
            </w:r>
            <w:r w:rsidRPr="00E07AD8">
              <w:rPr>
                <w:rFonts w:ascii="Times New Roman" w:eastAsia="Times New Roman" w:hAnsi="Times New Roman" w:cs="Times New Roman"/>
                <w:bCs/>
                <w:color w:val="1F1F1F"/>
                <w:sz w:val="17"/>
                <w:szCs w:val="20"/>
              </w:rPr>
              <w:t>.​</w:t>
            </w:r>
          </w:p>
        </w:tc>
        <w:tc>
          <w:tcPr>
            <w:tcW w:w="2479" w:type="dxa"/>
            <w:shd w:val="clear" w:color="auto" w:fill="EAF1F8"/>
            <w:tcMar>
              <w:top w:w="70" w:type="dxa"/>
              <w:left w:w="70" w:type="dxa"/>
              <w:bottom w:w="70" w:type="dxa"/>
              <w:right w:w="70" w:type="dxa"/>
            </w:tcMar>
            <w:vAlign w:val="center"/>
          </w:tcPr>
          <w:p w14:paraId="585BFF92" w14:textId="2ED9FFCD" w:rsidR="00CD0BDA" w:rsidRPr="00CD0BDA" w:rsidRDefault="00923916" w:rsidP="00CD0BDA">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18"/>
                <w:szCs w:val="18"/>
              </w:rPr>
            </w:pPr>
            <w:r>
              <w:rPr>
                <w:rFonts w:ascii="Traditional Arabic" w:hAnsi="Traditional Arabic" w:cs="Traditional Arabic"/>
                <w:b/>
                <w:bCs/>
                <w:color w:val="000000"/>
                <w:sz w:val="18"/>
                <w:szCs w:val="18"/>
                <w:rtl/>
              </w:rPr>
              <w:t xml:space="preserve">مقياس متقدم يتكون من اثني عشر فقرة، ويستند إلى إطار </w:t>
            </w:r>
            <w:r>
              <w:rPr>
                <w:rFonts w:ascii="Traditional Arabic" w:hAnsi="Traditional Arabic" w:cs="Traditional Arabic"/>
                <w:b/>
                <w:bCs/>
                <w:color w:val="000000"/>
                <w:sz w:val="18"/>
                <w:szCs w:val="18"/>
              </w:rPr>
              <w:t>Neal &amp; Griffin</w:t>
            </w:r>
            <w:r>
              <w:rPr>
                <w:rFonts w:ascii="Traditional Arabic" w:hAnsi="Traditional Arabic" w:cs="Traditional Arabic"/>
                <w:b/>
                <w:bCs/>
                <w:color w:val="000000"/>
                <w:sz w:val="18"/>
                <w:szCs w:val="18"/>
                <w:rtl/>
              </w:rPr>
              <w:t xml:space="preserve"> (2006) وأدبيات التنظيم الآمن في الرعاية الصحية (</w:t>
            </w:r>
            <w:r>
              <w:rPr>
                <w:rFonts w:ascii="Traditional Arabic" w:hAnsi="Traditional Arabic" w:cs="Traditional Arabic"/>
                <w:b/>
                <w:bCs/>
                <w:color w:val="000000"/>
                <w:sz w:val="18"/>
                <w:szCs w:val="18"/>
              </w:rPr>
              <w:t>Vogus &amp; Sutcliffe</w:t>
            </w:r>
            <w:r w:rsidR="00C17A34">
              <w:rPr>
                <w:rFonts w:ascii="Traditional Arabic" w:hAnsi="Traditional Arabic" w:cs="Traditional Arabic" w:hint="cs"/>
                <w:b/>
                <w:bCs/>
                <w:color w:val="000000"/>
                <w:sz w:val="18"/>
                <w:szCs w:val="18"/>
                <w:rtl/>
              </w:rPr>
              <w:t>,</w:t>
            </w:r>
            <w:r>
              <w:rPr>
                <w:rFonts w:ascii="Traditional Arabic" w:hAnsi="Traditional Arabic" w:cs="Traditional Arabic"/>
                <w:b/>
                <w:bCs/>
                <w:color w:val="000000"/>
                <w:sz w:val="18"/>
                <w:szCs w:val="18"/>
                <w:rtl/>
              </w:rPr>
              <w:t xml:space="preserve"> 2007). يخضع لاختبارات صدق المحتوى والتحليل العاملي الاستكشافي والتوكيدي.</w:t>
            </w:r>
          </w:p>
          <w:p w14:paraId="79984311" w14:textId="7CEE2DB2" w:rsidR="008B5C39" w:rsidRPr="00CD0BDA" w:rsidRDefault="008B5C39" w:rsidP="00CD0BDA">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18"/>
                <w:szCs w:val="18"/>
              </w:rPr>
            </w:pPr>
          </w:p>
        </w:tc>
      </w:tr>
      <w:tr w:rsidR="008B5C39" w:rsidRPr="00E07AD8" w14:paraId="1AA0BF3A" w14:textId="77777777" w:rsidTr="00E52628">
        <w:trPr>
          <w:cantSplit/>
          <w:jc w:val="center"/>
        </w:trPr>
        <w:tc>
          <w:tcPr>
            <w:cnfStyle w:val="001000000000" w:firstRow="0" w:lastRow="0" w:firstColumn="1" w:lastColumn="0" w:oddVBand="0" w:evenVBand="0" w:oddHBand="0" w:evenHBand="0" w:firstRowFirstColumn="0" w:firstRowLastColumn="0" w:lastRowFirstColumn="0" w:lastRowLastColumn="0"/>
            <w:tcW w:w="1312" w:type="dxa"/>
            <w:shd w:val="clear" w:color="auto" w:fill="DCE6F1"/>
            <w:tcMar>
              <w:top w:w="70" w:type="dxa"/>
              <w:left w:w="70" w:type="dxa"/>
              <w:bottom w:w="70" w:type="dxa"/>
              <w:right w:w="70" w:type="dxa"/>
            </w:tcMar>
            <w:vAlign w:val="center"/>
          </w:tcPr>
          <w:p w14:paraId="1C25823A" w14:textId="77777777" w:rsidR="008B5C39" w:rsidRPr="00E07AD8" w:rsidRDefault="008B5C39" w:rsidP="00E52628">
            <w:pPr>
              <w:keepLines/>
              <w:bidi/>
              <w:spacing w:after="0" w:line="240" w:lineRule="auto"/>
              <w:jc w:val="center"/>
              <w:rPr>
                <w:rFonts w:ascii="Sakkal Majalla" w:hAnsi="Sakkal Majalla" w:cs="Sakkal Majalla"/>
                <w:b w:val="0"/>
                <w:bCs w:val="0"/>
                <w:sz w:val="20"/>
                <w:szCs w:val="20"/>
              </w:rPr>
            </w:pPr>
            <w:r>
              <w:rPr>
                <w:rFonts w:ascii="Traditional Arabic" w:eastAsia="Traditional Arabic" w:hAnsi="Traditional Arabic" w:cs="Traditional Arabic"/>
                <w:b w:val="0"/>
                <w:color w:val="1F4E78"/>
                <w:sz w:val="17"/>
                <w:rtl/>
              </w:rPr>
              <w:t>التقليل المُدرَك للأحداث الضارة (PRAE)</w:t>
            </w:r>
          </w:p>
        </w:tc>
        <w:tc>
          <w:tcPr>
            <w:tcW w:w="1998" w:type="dxa"/>
            <w:gridSpan w:val="2"/>
            <w:shd w:val="clear" w:color="auto" w:fill="F7FAFC"/>
            <w:tcMar>
              <w:top w:w="70" w:type="dxa"/>
              <w:left w:w="70" w:type="dxa"/>
              <w:bottom w:w="70" w:type="dxa"/>
              <w:right w:w="70" w:type="dxa"/>
            </w:tcMar>
            <w:vAlign w:val="center"/>
          </w:tcPr>
          <w:p w14:paraId="6601BC71" w14:textId="77777777" w:rsidR="008B5C39" w:rsidRPr="00E07AD8" w:rsidRDefault="008B5C39"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Traditional Arabic" w:eastAsia="Traditional Arabic" w:hAnsi="Traditional Arabic" w:cs="Traditional Arabic"/>
                <w:color w:val="1F1F1F"/>
                <w:sz w:val="17"/>
                <w:rtl/>
              </w:rPr>
              <w:t>إدراك العاملين لفاعلية الإجراءات والتدابير المعتمدة في الوقاية من الأخطاء والحوادث القابلة للوقاية وتقليلها.</w:t>
            </w:r>
          </w:p>
        </w:tc>
        <w:tc>
          <w:tcPr>
            <w:tcW w:w="1993" w:type="dxa"/>
            <w:shd w:val="clear" w:color="auto" w:fill="F7FAFC"/>
            <w:tcMar>
              <w:top w:w="70" w:type="dxa"/>
              <w:left w:w="70" w:type="dxa"/>
              <w:bottom w:w="70" w:type="dxa"/>
              <w:right w:w="70" w:type="dxa"/>
            </w:tcMar>
            <w:vAlign w:val="center"/>
          </w:tcPr>
          <w:p w14:paraId="6BA71EEE" w14:textId="77777777" w:rsidR="008B5C39" w:rsidRPr="00E07AD8" w:rsidRDefault="008B5C39"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color w:val="1F1F1F"/>
                <w:sz w:val="17"/>
                <w:rtl/>
              </w:rPr>
              <w:t>بناء أحادي البعد يعكس فاعلية التقليل والوقاية كما يدركها العاملون.</w:t>
            </w:r>
          </w:p>
        </w:tc>
        <w:tc>
          <w:tcPr>
            <w:tcW w:w="2082" w:type="dxa"/>
            <w:shd w:val="clear" w:color="auto" w:fill="F7FAFC"/>
            <w:tcMar>
              <w:top w:w="70" w:type="dxa"/>
              <w:left w:w="70" w:type="dxa"/>
              <w:bottom w:w="70" w:type="dxa"/>
              <w:right w:w="70" w:type="dxa"/>
            </w:tcMar>
            <w:vAlign w:val="center"/>
          </w:tcPr>
          <w:p w14:paraId="055A6F2D" w14:textId="77777777" w:rsidR="008B5C39" w:rsidRPr="00E07AD8" w:rsidRDefault="008B5C39"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Traditional Arabic" w:eastAsia="Traditional Arabic" w:hAnsi="Traditional Arabic" w:cs="Traditional Arabic"/>
                <w:color w:val="1F1F1F"/>
                <w:sz w:val="17"/>
                <w:rtl/>
              </w:rPr>
              <w:t>يختلف عن معدل الأحداث الفعلي، وعن عدد البلاغات أو شدتها المستخرجة من السجلات.</w:t>
            </w:r>
          </w:p>
        </w:tc>
        <w:tc>
          <w:tcPr>
            <w:tcW w:w="2479" w:type="dxa"/>
            <w:shd w:val="clear" w:color="auto" w:fill="F7FAFC"/>
            <w:tcMar>
              <w:top w:w="70" w:type="dxa"/>
              <w:left w:w="70" w:type="dxa"/>
              <w:bottom w:w="70" w:type="dxa"/>
              <w:right w:w="70" w:type="dxa"/>
            </w:tcMar>
            <w:vAlign w:val="center"/>
          </w:tcPr>
          <w:p w14:paraId="7967B53C" w14:textId="77777777" w:rsidR="008B5C39" w:rsidRPr="00E07AD8" w:rsidRDefault="008B5C39"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Traditional Arabic" w:eastAsia="Traditional Arabic" w:hAnsi="Traditional Arabic" w:cs="Traditional Arabic"/>
                <w:color w:val="1F1F1F"/>
                <w:sz w:val="17"/>
                <w:rtl/>
              </w:rPr>
              <w:t>مقياس مطور من 8 فقرات اتفاقية؛ الدرجة الأعلى تعني إدراكًا أكبر لفاعلية التقليل.</w:t>
            </w:r>
          </w:p>
        </w:tc>
      </w:tr>
    </w:tbl>
    <w:p w14:paraId="36E6814A" w14:textId="77777777" w:rsidR="00F811EB" w:rsidRPr="008B5C39" w:rsidRDefault="00F811EB" w:rsidP="00F811EB">
      <w:pPr>
        <w:bidi/>
        <w:spacing w:before="210" w:after="0" w:line="360" w:lineRule="auto"/>
        <w:rPr>
          <w:rFonts w:ascii="Simplified Arabic" w:hAnsi="Simplified Arabic" w:cs="Simplified Arabic"/>
          <w:noProof/>
          <w:sz w:val="24"/>
          <w:szCs w:val="24"/>
          <w:rtl/>
        </w:rPr>
      </w:pPr>
    </w:p>
    <w:p w14:paraId="43FABAFD" w14:textId="4DF6B01C" w:rsidR="003E1959" w:rsidRPr="003E1959" w:rsidRDefault="003E1959" w:rsidP="00A572F9">
      <w:pPr>
        <w:bidi/>
        <w:spacing w:after="0" w:line="360" w:lineRule="auto"/>
        <w:rPr>
          <w:rFonts w:ascii="Simplified Arabic" w:hAnsi="Simplified Arabic" w:cs="Simplified Arabic"/>
          <w:b/>
          <w:bCs/>
          <w:noProof/>
          <w:sz w:val="24"/>
          <w:szCs w:val="24"/>
        </w:rPr>
      </w:pPr>
      <w:r w:rsidRPr="003E1959">
        <w:rPr>
          <w:rFonts w:ascii="Simplified Arabic" w:hAnsi="Simplified Arabic" w:cs="Simplified Arabic"/>
          <w:b/>
          <w:bCs/>
          <w:noProof/>
          <w:sz w:val="24"/>
          <w:szCs w:val="24"/>
        </w:rPr>
        <w:t>2.</w:t>
      </w:r>
      <w:r w:rsidR="0084065A">
        <w:rPr>
          <w:rFonts w:ascii="Simplified Arabic" w:hAnsi="Simplified Arabic" w:cs="Simplified Arabic"/>
          <w:b/>
          <w:bCs/>
          <w:noProof/>
          <w:sz w:val="24"/>
          <w:szCs w:val="24"/>
        </w:rPr>
        <w:t>3</w:t>
      </w:r>
      <w:r w:rsidRPr="003E1959">
        <w:rPr>
          <w:rFonts w:ascii="Simplified Arabic" w:hAnsi="Simplified Arabic" w:cs="Simplified Arabic"/>
          <w:b/>
          <w:bCs/>
          <w:noProof/>
          <w:sz w:val="24"/>
          <w:szCs w:val="24"/>
        </w:rPr>
        <w:t xml:space="preserve">.2 </w:t>
      </w:r>
      <w:r w:rsidRPr="003E1959">
        <w:rPr>
          <w:rFonts w:ascii="Simplified Arabic" w:hAnsi="Simplified Arabic" w:cs="Simplified Arabic"/>
          <w:b/>
          <w:bCs/>
          <w:noProof/>
          <w:sz w:val="24"/>
          <w:szCs w:val="24"/>
          <w:rtl/>
        </w:rPr>
        <w:t>أدوات القياس والأبعاد</w:t>
      </w:r>
    </w:p>
    <w:p w14:paraId="48E53F76" w14:textId="723AB165" w:rsidR="00C53D9D" w:rsidRPr="006B6F89" w:rsidRDefault="006B6F89" w:rsidP="009623D0">
      <w:pPr>
        <w:keepNext/>
        <w:keepLines/>
        <w:pBdr>
          <w:bottom w:val="single" w:sz="7" w:space="3" w:color="00A6C8"/>
        </w:pBdr>
        <w:bidi/>
        <w:spacing w:before="180" w:after="100" w:line="360" w:lineRule="auto"/>
        <w:rPr>
          <w:rFonts w:ascii="Simplified Arabic" w:hAnsi="Simplified Arabic" w:cs="Simplified Arabic"/>
          <w:b/>
          <w:bCs/>
          <w:noProof/>
          <w:sz w:val="24"/>
          <w:szCs w:val="24"/>
          <w:rtl/>
        </w:rPr>
      </w:pPr>
      <w:r w:rsidRPr="006B6F89">
        <w:rPr>
          <w:rFonts w:ascii="Times New Roman" w:eastAsia="Sakkal Majalla" w:hAnsi="Times New Roman" w:cs="Sakkal Majalla"/>
          <w:b/>
          <w:bCs/>
          <w:noProof/>
          <w:color w:val="1F4E78"/>
          <w:sz w:val="24"/>
          <w:szCs w:val="24"/>
          <w:rtl/>
        </w:rPr>
        <w:t>جدول (</w:t>
      </w:r>
      <w:r w:rsidR="009623D0">
        <w:rPr>
          <w:rFonts w:ascii="Times New Roman" w:eastAsia="Sakkal Majalla" w:hAnsi="Times New Roman" w:cs="Sakkal Majalla" w:hint="cs"/>
          <w:b/>
          <w:bCs/>
          <w:noProof/>
          <w:color w:val="1F4E78"/>
          <w:sz w:val="24"/>
          <w:szCs w:val="24"/>
          <w:rtl/>
        </w:rPr>
        <w:t>2-2</w:t>
      </w:r>
      <w:r w:rsidRPr="006B6F89">
        <w:rPr>
          <w:rFonts w:ascii="Times New Roman" w:eastAsia="Sakkal Majalla" w:hAnsi="Times New Roman" w:cs="Sakkal Majalla"/>
          <w:b/>
          <w:bCs/>
          <w:noProof/>
          <w:color w:val="1F4E78"/>
          <w:sz w:val="24"/>
          <w:szCs w:val="24"/>
          <w:rtl/>
        </w:rPr>
        <w:t>): أدوات القياس والأبعاد ومصادرها</w:t>
      </w:r>
    </w:p>
    <w:tbl>
      <w:tblPr>
        <w:tblStyle w:val="10"/>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1234"/>
        <w:gridCol w:w="1410"/>
        <w:gridCol w:w="1495"/>
        <w:gridCol w:w="1668"/>
        <w:gridCol w:w="1344"/>
        <w:gridCol w:w="1357"/>
        <w:gridCol w:w="1356"/>
      </w:tblGrid>
      <w:tr w:rsidR="00C53D9D" w:rsidRPr="00C53D9D" w14:paraId="6C7B7241" w14:textId="77777777" w:rsidTr="00137F65">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126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DC07586" w14:textId="77777777" w:rsidR="00C53D9D" w:rsidRPr="00C53D9D" w:rsidRDefault="00C53D9D" w:rsidP="00C53D9D">
            <w:pPr>
              <w:keepLines/>
              <w:bidi/>
              <w:spacing w:after="0" w:line="240" w:lineRule="auto"/>
              <w:jc w:val="center"/>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المتغير</w:t>
            </w:r>
          </w:p>
        </w:tc>
        <w:tc>
          <w:tcPr>
            <w:tcW w:w="144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7B695F7B"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اسم الأداة</w:t>
            </w:r>
          </w:p>
        </w:tc>
        <w:tc>
          <w:tcPr>
            <w:tcW w:w="153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480EEAB"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المرجع/الأساس</w:t>
            </w:r>
          </w:p>
        </w:tc>
        <w:tc>
          <w:tcPr>
            <w:tcW w:w="173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150C8B3"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الأبعاد المستخدمة</w:t>
            </w:r>
          </w:p>
        </w:tc>
        <w:tc>
          <w:tcPr>
            <w:tcW w:w="139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33045CF"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عدد الفقرات النهائي</w:t>
            </w:r>
          </w:p>
        </w:tc>
        <w:tc>
          <w:tcPr>
            <w:tcW w:w="139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6DF2D450"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مقياس الاستجابة</w:t>
            </w:r>
          </w:p>
        </w:tc>
        <w:tc>
          <w:tcPr>
            <w:tcW w:w="139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7C7F129" w14:textId="77777777" w:rsidR="00C53D9D" w:rsidRPr="00C53D9D" w:rsidRDefault="00C53D9D" w:rsidP="00C53D9D">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Pr>
                <w:rFonts w:ascii="Traditional Arabic" w:eastAsia="Traditional Arabic" w:hAnsi="Traditional Arabic" w:cs="Traditional Arabic"/>
                <w:color w:val="FFFFFF"/>
                <w:sz w:val="16"/>
                <w:rtl/>
              </w:rPr>
              <w:t>ملاحظة تطبيقية</w:t>
            </w:r>
          </w:p>
        </w:tc>
      </w:tr>
      <w:tr w:rsidR="00C53D9D" w:rsidRPr="00C53D9D" w14:paraId="58C892B4" w14:textId="77777777" w:rsidTr="00137F65">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260" w:type="dxa"/>
            <w:shd w:val="clear" w:color="auto" w:fill="EAF1F8"/>
            <w:tcMar>
              <w:top w:w="70" w:type="dxa"/>
              <w:left w:w="70" w:type="dxa"/>
              <w:bottom w:w="70" w:type="dxa"/>
              <w:right w:w="70" w:type="dxa"/>
            </w:tcMar>
            <w:vAlign w:val="center"/>
          </w:tcPr>
          <w:p w14:paraId="56DB28F0" w14:textId="77777777" w:rsidR="00C53D9D" w:rsidRPr="00C53D9D" w:rsidRDefault="00C53D9D" w:rsidP="00E52628">
            <w:pPr>
              <w:keepLines/>
              <w:bidi/>
              <w:spacing w:after="0" w:line="240" w:lineRule="auto"/>
              <w:jc w:val="center"/>
              <w:rPr>
                <w:rFonts w:ascii="Simplified Arabic" w:hAnsi="Simplified Arabic" w:cs="Simplified Arabic"/>
                <w:b w:val="0"/>
                <w:bCs w:val="0"/>
                <w:noProof/>
                <w:sz w:val="20"/>
                <w:szCs w:val="20"/>
                <w:rtl/>
              </w:rPr>
            </w:pPr>
            <w:r>
              <w:rPr>
                <w:rFonts w:ascii="Traditional Arabic" w:eastAsia="Traditional Arabic" w:hAnsi="Traditional Arabic" w:cs="Traditional Arabic"/>
                <w:b w:val="0"/>
                <w:color w:val="1F4E78"/>
                <w:sz w:val="16"/>
                <w:rtl/>
              </w:rPr>
              <w:t>القيادة التحويلية (TL)</w:t>
            </w:r>
          </w:p>
        </w:tc>
        <w:tc>
          <w:tcPr>
            <w:tcW w:w="1440" w:type="dxa"/>
            <w:shd w:val="clear" w:color="auto" w:fill="EAF1F8"/>
            <w:tcMar>
              <w:top w:w="70" w:type="dxa"/>
              <w:left w:w="70" w:type="dxa"/>
              <w:bottom w:w="70" w:type="dxa"/>
              <w:right w:w="70" w:type="dxa"/>
            </w:tcMar>
            <w:vAlign w:val="center"/>
          </w:tcPr>
          <w:p w14:paraId="30BE6CCF" w14:textId="77777777" w:rsidR="00C53D9D" w:rsidRPr="00C53D9D" w:rsidRDefault="00F84164"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مخزون القيادة التحويلية (TLI)</w:t>
            </w:r>
          </w:p>
        </w:tc>
        <w:tc>
          <w:tcPr>
            <w:tcW w:w="1530" w:type="dxa"/>
            <w:shd w:val="clear" w:color="auto" w:fill="EAF1F8"/>
            <w:tcMar>
              <w:top w:w="70" w:type="dxa"/>
              <w:left w:w="70" w:type="dxa"/>
              <w:bottom w:w="70" w:type="dxa"/>
              <w:right w:w="70" w:type="dxa"/>
            </w:tcMar>
            <w:vAlign w:val="center"/>
          </w:tcPr>
          <w:p w14:paraId="14611113" w14:textId="77777777" w:rsidR="00C53D9D" w:rsidRPr="00C53D9D" w:rsidRDefault="00963390"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imes New Roman" w:eastAsia="Times New Roman" w:hAnsi="Times New Roman" w:cs="Times New Roman"/>
                <w:color w:val="1F1F1F"/>
                <w:sz w:val="16"/>
              </w:rPr>
              <w:t>Podsakoff et al. (1990)</w:t>
            </w:r>
          </w:p>
        </w:tc>
        <w:tc>
          <w:tcPr>
            <w:tcW w:w="1734" w:type="dxa"/>
            <w:shd w:val="clear" w:color="auto" w:fill="EAF1F8"/>
            <w:tcMar>
              <w:top w:w="70" w:type="dxa"/>
              <w:left w:w="70" w:type="dxa"/>
              <w:bottom w:w="70" w:type="dxa"/>
              <w:right w:w="70" w:type="dxa"/>
            </w:tcMar>
            <w:vAlign w:val="center"/>
          </w:tcPr>
          <w:p w14:paraId="6AD8D181" w14:textId="77777777" w:rsidR="00C53D9D" w:rsidRPr="005966F3" w:rsidRDefault="005966F3"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ستة أبعاد: الرؤية، النموذج المناسب، الأهداف الجماعية، توقعات الأداء، الدعم الفردي، الاستثارة الفكرية</w:t>
            </w:r>
          </w:p>
        </w:tc>
        <w:tc>
          <w:tcPr>
            <w:tcW w:w="1398" w:type="dxa"/>
            <w:shd w:val="clear" w:color="auto" w:fill="EAF1F8"/>
            <w:tcMar>
              <w:top w:w="70" w:type="dxa"/>
              <w:left w:w="70" w:type="dxa"/>
              <w:bottom w:w="70" w:type="dxa"/>
              <w:right w:w="70" w:type="dxa"/>
            </w:tcMar>
            <w:vAlign w:val="center"/>
          </w:tcPr>
          <w:p w14:paraId="1AEA2645" w14:textId="77777777" w:rsidR="00C53D9D" w:rsidRPr="005966F3" w:rsidRDefault="005966F3"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23 فقرة</w:t>
            </w:r>
          </w:p>
        </w:tc>
        <w:tc>
          <w:tcPr>
            <w:tcW w:w="1398" w:type="dxa"/>
            <w:shd w:val="clear" w:color="auto" w:fill="EAF1F8"/>
            <w:tcMar>
              <w:top w:w="70" w:type="dxa"/>
              <w:left w:w="70" w:type="dxa"/>
              <w:bottom w:w="70" w:type="dxa"/>
              <w:right w:w="70" w:type="dxa"/>
            </w:tcMar>
            <w:vAlign w:val="center"/>
          </w:tcPr>
          <w:p w14:paraId="23CAE7D4" w14:textId="77777777" w:rsidR="00C53D9D" w:rsidRPr="00C53D9D" w:rsidRDefault="005966F3"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اتفاق خماسي</w:t>
            </w:r>
          </w:p>
        </w:tc>
        <w:tc>
          <w:tcPr>
            <w:tcW w:w="1398" w:type="dxa"/>
            <w:shd w:val="clear" w:color="auto" w:fill="EAF1F8"/>
            <w:tcMar>
              <w:top w:w="70" w:type="dxa"/>
              <w:left w:w="70" w:type="dxa"/>
              <w:bottom w:w="70" w:type="dxa"/>
              <w:right w:w="70" w:type="dxa"/>
            </w:tcMar>
            <w:vAlign w:val="center"/>
          </w:tcPr>
          <w:p w14:paraId="3A2C83C9" w14:textId="77777777" w:rsidR="00C53D9D" w:rsidRPr="00C53D9D" w:rsidRDefault="005966F3"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تُستخدم الصياغة المرخَّصة بعد الحصول على إذن الاستخدام.</w:t>
            </w:r>
          </w:p>
        </w:tc>
      </w:tr>
      <w:tr w:rsidR="00C53D9D" w:rsidRPr="00C53D9D" w14:paraId="42D4FA1A" w14:textId="77777777" w:rsidTr="00137F65">
        <w:trPr>
          <w:cantSplit/>
          <w:jc w:val="center"/>
        </w:trPr>
        <w:tc>
          <w:tcPr>
            <w:cnfStyle w:val="001000000000" w:firstRow="0" w:lastRow="0" w:firstColumn="1" w:lastColumn="0" w:oddVBand="0" w:evenVBand="0" w:oddHBand="0" w:evenHBand="0" w:firstRowFirstColumn="0" w:firstRowLastColumn="0" w:lastRowFirstColumn="0" w:lastRowLastColumn="0"/>
            <w:tcW w:w="1260" w:type="dxa"/>
            <w:shd w:val="clear" w:color="auto" w:fill="DCE6F1"/>
            <w:tcMar>
              <w:top w:w="70" w:type="dxa"/>
              <w:left w:w="70" w:type="dxa"/>
              <w:bottom w:w="70" w:type="dxa"/>
              <w:right w:w="70" w:type="dxa"/>
            </w:tcMar>
            <w:vAlign w:val="center"/>
          </w:tcPr>
          <w:p w14:paraId="21B0F7AE" w14:textId="77777777" w:rsidR="00C53D9D" w:rsidRPr="00C53D9D" w:rsidRDefault="00C53D9D" w:rsidP="00E52628">
            <w:pPr>
              <w:keepLines/>
              <w:bidi/>
              <w:spacing w:after="0" w:line="240" w:lineRule="auto"/>
              <w:jc w:val="center"/>
              <w:rPr>
                <w:rFonts w:ascii="Simplified Arabic" w:hAnsi="Simplified Arabic" w:cs="Simplified Arabic"/>
                <w:noProof/>
                <w:sz w:val="20"/>
                <w:szCs w:val="20"/>
                <w:rtl/>
              </w:rPr>
            </w:pPr>
            <w:r>
              <w:rPr>
                <w:rFonts w:ascii="Traditional Arabic" w:eastAsia="Traditional Arabic" w:hAnsi="Traditional Arabic" w:cs="Traditional Arabic"/>
                <w:b w:val="0"/>
                <w:color w:val="1F4E78"/>
                <w:sz w:val="16"/>
                <w:rtl/>
              </w:rPr>
              <w:lastRenderedPageBreak/>
              <w:t>ثقافة سلامة المرضى (SC)</w:t>
            </w:r>
          </w:p>
        </w:tc>
        <w:tc>
          <w:tcPr>
            <w:tcW w:w="1440" w:type="dxa"/>
            <w:shd w:val="clear" w:color="auto" w:fill="F7FAFC"/>
            <w:tcMar>
              <w:top w:w="70" w:type="dxa"/>
              <w:left w:w="70" w:type="dxa"/>
              <w:bottom w:w="70" w:type="dxa"/>
              <w:right w:w="70" w:type="dxa"/>
            </w:tcMar>
            <w:vAlign w:val="center"/>
          </w:tcPr>
          <w:p w14:paraId="1D1AA475"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Pr>
            </w:pPr>
            <w:r>
              <w:rPr>
                <w:rFonts w:ascii="Traditional Arabic" w:eastAsia="Traditional Arabic" w:hAnsi="Traditional Arabic" w:cs="Traditional Arabic"/>
                <w:color w:val="1F1F1F"/>
                <w:sz w:val="16"/>
                <w:rtl/>
              </w:rPr>
              <w:t>أبعاد مختارة من HSOPSC v1.0</w:t>
            </w:r>
          </w:p>
        </w:tc>
        <w:tc>
          <w:tcPr>
            <w:tcW w:w="1530" w:type="dxa"/>
            <w:shd w:val="clear" w:color="auto" w:fill="F7FAFC"/>
            <w:tcMar>
              <w:top w:w="70" w:type="dxa"/>
              <w:left w:w="70" w:type="dxa"/>
              <w:bottom w:w="70" w:type="dxa"/>
              <w:right w:w="70" w:type="dxa"/>
            </w:tcMar>
            <w:vAlign w:val="center"/>
          </w:tcPr>
          <w:p w14:paraId="2223D29B"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imes New Roman" w:eastAsia="Times New Roman" w:hAnsi="Times New Roman" w:cs="Times New Roman"/>
                <w:color w:val="1F1F1F"/>
                <w:sz w:val="16"/>
              </w:rPr>
              <w:t>AHRQ; Sorra &amp; Dyer (2010)</w:t>
            </w:r>
          </w:p>
        </w:tc>
        <w:tc>
          <w:tcPr>
            <w:tcW w:w="1734" w:type="dxa"/>
            <w:shd w:val="clear" w:color="auto" w:fill="F7FAFC"/>
            <w:tcMar>
              <w:top w:w="70" w:type="dxa"/>
              <w:left w:w="70" w:type="dxa"/>
              <w:bottom w:w="70" w:type="dxa"/>
              <w:right w:w="70" w:type="dxa"/>
            </w:tcMar>
            <w:vAlign w:val="center"/>
          </w:tcPr>
          <w:p w14:paraId="53533D54" w14:textId="77777777" w:rsidR="00C53D9D" w:rsidRPr="00C53D9D" w:rsidRDefault="00B36E0E"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دعم الإدارة (3)، التواصل المفتوح (3)، التعلم التنظيمي (3)، العمل الجماعي داخل الوحدة (4)</w:t>
            </w:r>
          </w:p>
        </w:tc>
        <w:tc>
          <w:tcPr>
            <w:tcW w:w="1398" w:type="dxa"/>
            <w:shd w:val="clear" w:color="auto" w:fill="F7FAFC"/>
            <w:tcMar>
              <w:top w:w="70" w:type="dxa"/>
              <w:left w:w="70" w:type="dxa"/>
              <w:bottom w:w="70" w:type="dxa"/>
              <w:right w:w="70" w:type="dxa"/>
            </w:tcMar>
            <w:vAlign w:val="center"/>
          </w:tcPr>
          <w:p w14:paraId="3B64A21F"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13 فقرة</w:t>
            </w:r>
          </w:p>
        </w:tc>
        <w:tc>
          <w:tcPr>
            <w:tcW w:w="1398" w:type="dxa"/>
            <w:shd w:val="clear" w:color="auto" w:fill="F7FAFC"/>
            <w:tcMar>
              <w:top w:w="70" w:type="dxa"/>
              <w:left w:w="70" w:type="dxa"/>
              <w:bottom w:w="70" w:type="dxa"/>
              <w:right w:w="70" w:type="dxa"/>
            </w:tcMar>
            <w:vAlign w:val="center"/>
          </w:tcPr>
          <w:p w14:paraId="1EAC5A9A"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اتفاق/تكرار خماسي</w:t>
            </w:r>
          </w:p>
        </w:tc>
        <w:tc>
          <w:tcPr>
            <w:tcW w:w="1398" w:type="dxa"/>
            <w:shd w:val="clear" w:color="auto" w:fill="F7FAFC"/>
            <w:tcMar>
              <w:top w:w="70" w:type="dxa"/>
              <w:left w:w="70" w:type="dxa"/>
              <w:bottom w:w="70" w:type="dxa"/>
              <w:right w:w="70" w:type="dxa"/>
            </w:tcMar>
            <w:vAlign w:val="center"/>
          </w:tcPr>
          <w:p w14:paraId="551C8988" w14:textId="77777777" w:rsidR="00C53D9D" w:rsidRPr="00C53D9D" w:rsidRDefault="00137F65" w:rsidP="00E52628">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الفقرتان SC3 (F9) وSC6 (C6) عكسيتان؛ لا تُجرى مقارنة معيارية مع التطبيق الكامل.</w:t>
            </w:r>
          </w:p>
        </w:tc>
      </w:tr>
      <w:tr w:rsidR="00C53D9D" w:rsidRPr="00C53D9D" w14:paraId="5FC0BB87" w14:textId="77777777" w:rsidTr="00137F65">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260" w:type="dxa"/>
            <w:shd w:val="clear" w:color="auto" w:fill="EAF1F8"/>
            <w:tcMar>
              <w:top w:w="70" w:type="dxa"/>
              <w:left w:w="70" w:type="dxa"/>
              <w:bottom w:w="70" w:type="dxa"/>
              <w:right w:w="70" w:type="dxa"/>
            </w:tcMar>
            <w:vAlign w:val="center"/>
          </w:tcPr>
          <w:p w14:paraId="7F8B8D29" w14:textId="77777777" w:rsidR="00C53D9D" w:rsidRPr="00C53D9D" w:rsidRDefault="00C53D9D" w:rsidP="00E52628">
            <w:pPr>
              <w:keepLines/>
              <w:bidi/>
              <w:spacing w:after="0" w:line="240" w:lineRule="auto"/>
              <w:jc w:val="center"/>
              <w:rPr>
                <w:rFonts w:ascii="Simplified Arabic" w:hAnsi="Simplified Arabic" w:cs="Simplified Arabic"/>
                <w:noProof/>
                <w:sz w:val="20"/>
                <w:szCs w:val="20"/>
                <w:rtl/>
              </w:rPr>
            </w:pPr>
            <w:r>
              <w:rPr>
                <w:rFonts w:ascii="Traditional Arabic" w:eastAsia="Traditional Arabic" w:hAnsi="Traditional Arabic" w:cs="Traditional Arabic"/>
                <w:b w:val="0"/>
                <w:color w:val="1F4E78"/>
                <w:sz w:val="16"/>
                <w:rtl/>
              </w:rPr>
              <w:t>سلوكيات السلامة (SB)</w:t>
            </w:r>
          </w:p>
        </w:tc>
        <w:tc>
          <w:tcPr>
            <w:tcW w:w="1440" w:type="dxa"/>
            <w:shd w:val="clear" w:color="auto" w:fill="EAF1F8"/>
            <w:tcMar>
              <w:top w:w="70" w:type="dxa"/>
              <w:left w:w="70" w:type="dxa"/>
              <w:bottom w:w="70" w:type="dxa"/>
              <w:right w:w="70" w:type="dxa"/>
            </w:tcMar>
            <w:vAlign w:val="center"/>
          </w:tcPr>
          <w:p w14:paraId="27B3564E" w14:textId="77777777" w:rsidR="00C53D9D" w:rsidRPr="00C53D9D" w:rsidRDefault="00137F65"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مقياس مطور للدراسة</w:t>
            </w:r>
          </w:p>
        </w:tc>
        <w:tc>
          <w:tcPr>
            <w:tcW w:w="1530" w:type="dxa"/>
            <w:shd w:val="clear" w:color="auto" w:fill="EAF1F8"/>
            <w:tcMar>
              <w:top w:w="70" w:type="dxa"/>
              <w:left w:w="70" w:type="dxa"/>
              <w:bottom w:w="70" w:type="dxa"/>
              <w:right w:w="70" w:type="dxa"/>
            </w:tcMar>
            <w:vAlign w:val="center"/>
          </w:tcPr>
          <w:p w14:paraId="2602C448" w14:textId="77777777" w:rsidR="00C53D9D" w:rsidRPr="00C53D9D" w:rsidRDefault="00C53D9D"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imes New Roman" w:eastAsia="Times New Roman" w:hAnsi="Times New Roman" w:cs="Times New Roman"/>
                <w:color w:val="1F1F1F"/>
                <w:sz w:val="16"/>
              </w:rPr>
              <w:t>Neal &amp; Griffin (2006); Vogus &amp; Sutcliffe (2007)</w:t>
            </w:r>
          </w:p>
        </w:tc>
        <w:tc>
          <w:tcPr>
            <w:tcW w:w="1734" w:type="dxa"/>
            <w:shd w:val="clear" w:color="auto" w:fill="EAF1F8"/>
            <w:tcMar>
              <w:top w:w="70" w:type="dxa"/>
              <w:left w:w="70" w:type="dxa"/>
              <w:bottom w:w="70" w:type="dxa"/>
              <w:right w:w="70" w:type="dxa"/>
            </w:tcMar>
            <w:vAlign w:val="center"/>
          </w:tcPr>
          <w:p w14:paraId="5330BEBE" w14:textId="77777777" w:rsidR="00C53D9D" w:rsidRPr="00C53D9D" w:rsidRDefault="00137F65"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الامتثال لإجراءات السلامة (6)، المشاركة في أنشطة السلامة (6)</w:t>
            </w:r>
          </w:p>
        </w:tc>
        <w:tc>
          <w:tcPr>
            <w:tcW w:w="1398" w:type="dxa"/>
            <w:shd w:val="clear" w:color="auto" w:fill="EAF1F8"/>
            <w:tcMar>
              <w:top w:w="70" w:type="dxa"/>
              <w:left w:w="70" w:type="dxa"/>
              <w:bottom w:w="70" w:type="dxa"/>
              <w:right w:w="70" w:type="dxa"/>
            </w:tcMar>
            <w:vAlign w:val="center"/>
          </w:tcPr>
          <w:p w14:paraId="10126EE5" w14:textId="77777777" w:rsidR="00C53D9D" w:rsidRPr="00C53D9D" w:rsidRDefault="00C53D9D"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12 فقرة</w:t>
            </w:r>
          </w:p>
        </w:tc>
        <w:tc>
          <w:tcPr>
            <w:tcW w:w="1398" w:type="dxa"/>
            <w:shd w:val="clear" w:color="auto" w:fill="EAF1F8"/>
            <w:tcMar>
              <w:top w:w="70" w:type="dxa"/>
              <w:left w:w="70" w:type="dxa"/>
              <w:bottom w:w="70" w:type="dxa"/>
              <w:right w:w="70" w:type="dxa"/>
            </w:tcMar>
            <w:vAlign w:val="center"/>
          </w:tcPr>
          <w:p w14:paraId="2E3501F0" w14:textId="77777777" w:rsidR="00C53D9D" w:rsidRPr="00C53D9D" w:rsidRDefault="00137F65"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تكرار خماسي</w:t>
            </w:r>
          </w:p>
        </w:tc>
        <w:tc>
          <w:tcPr>
            <w:tcW w:w="1398" w:type="dxa"/>
            <w:shd w:val="clear" w:color="auto" w:fill="EAF1F8"/>
            <w:tcMar>
              <w:top w:w="70" w:type="dxa"/>
              <w:left w:w="70" w:type="dxa"/>
              <w:bottom w:w="70" w:type="dxa"/>
              <w:right w:w="70" w:type="dxa"/>
            </w:tcMar>
            <w:vAlign w:val="center"/>
          </w:tcPr>
          <w:p w14:paraId="42981740" w14:textId="77777777" w:rsidR="00C53D9D" w:rsidRPr="00C53D9D" w:rsidRDefault="00137F65" w:rsidP="00E52628">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يخضع لصدق المحتوى وEFA وCFA.</w:t>
            </w:r>
          </w:p>
        </w:tc>
      </w:tr>
      <w:tr w:rsidR="00C53D9D" w:rsidRPr="00C53D9D" w14:paraId="074B2593" w14:textId="77777777" w:rsidTr="00137F65">
        <w:trPr>
          <w:cantSplit/>
          <w:jc w:val="center"/>
        </w:trPr>
        <w:tc>
          <w:tcPr>
            <w:cnfStyle w:val="001000000000" w:firstRow="0" w:lastRow="0" w:firstColumn="1" w:lastColumn="0" w:oddVBand="0" w:evenVBand="0" w:oddHBand="0" w:evenHBand="0" w:firstRowFirstColumn="0" w:firstRowLastColumn="0" w:lastRowFirstColumn="0" w:lastRowLastColumn="0"/>
            <w:tcW w:w="1260" w:type="dxa"/>
            <w:shd w:val="clear" w:color="auto" w:fill="DCE6F1"/>
            <w:tcMar>
              <w:top w:w="70" w:type="dxa"/>
              <w:left w:w="70" w:type="dxa"/>
              <w:bottom w:w="70" w:type="dxa"/>
              <w:right w:w="70" w:type="dxa"/>
            </w:tcMar>
            <w:vAlign w:val="center"/>
          </w:tcPr>
          <w:p w14:paraId="7FE71C9B" w14:textId="77777777" w:rsidR="00C53D9D" w:rsidRPr="00C53D9D" w:rsidRDefault="00C53D9D" w:rsidP="00F811EB">
            <w:pPr>
              <w:keepLines/>
              <w:bidi/>
              <w:spacing w:after="0" w:line="240" w:lineRule="auto"/>
              <w:jc w:val="right"/>
              <w:rPr>
                <w:rFonts w:ascii="Simplified Arabic" w:hAnsi="Simplified Arabic" w:cs="Simplified Arabic"/>
                <w:noProof/>
                <w:sz w:val="20"/>
                <w:szCs w:val="20"/>
                <w:rtl/>
              </w:rPr>
            </w:pPr>
            <w:r>
              <w:rPr>
                <w:rFonts w:ascii="Traditional Arabic" w:eastAsia="Traditional Arabic" w:hAnsi="Traditional Arabic" w:cs="Traditional Arabic"/>
                <w:b w:val="0"/>
                <w:color w:val="1F4E78"/>
                <w:sz w:val="16"/>
                <w:rtl/>
              </w:rPr>
              <w:t>التقليل المُدرَك للأحداث الضارة (PRAE)</w:t>
            </w:r>
          </w:p>
        </w:tc>
        <w:tc>
          <w:tcPr>
            <w:tcW w:w="1440" w:type="dxa"/>
            <w:shd w:val="clear" w:color="auto" w:fill="F7FAFC"/>
            <w:tcMar>
              <w:top w:w="70" w:type="dxa"/>
              <w:left w:w="70" w:type="dxa"/>
              <w:bottom w:w="70" w:type="dxa"/>
              <w:right w:w="70" w:type="dxa"/>
            </w:tcMar>
            <w:vAlign w:val="center"/>
          </w:tcPr>
          <w:p w14:paraId="60415C18"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مقياس مطور للدراسة</w:t>
            </w:r>
          </w:p>
        </w:tc>
        <w:tc>
          <w:tcPr>
            <w:tcW w:w="1530" w:type="dxa"/>
            <w:shd w:val="clear" w:color="auto" w:fill="F7FAFC"/>
            <w:tcMar>
              <w:top w:w="70" w:type="dxa"/>
              <w:left w:w="70" w:type="dxa"/>
              <w:bottom w:w="70" w:type="dxa"/>
              <w:right w:w="70" w:type="dxa"/>
            </w:tcMar>
            <w:vAlign w:val="center"/>
          </w:tcPr>
          <w:p w14:paraId="4676F33D"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أدبيات الوقاية من الأخطاء والحوادث</w:t>
            </w:r>
          </w:p>
        </w:tc>
        <w:tc>
          <w:tcPr>
            <w:tcW w:w="1734" w:type="dxa"/>
            <w:shd w:val="clear" w:color="auto" w:fill="F7FAFC"/>
            <w:tcMar>
              <w:top w:w="70" w:type="dxa"/>
              <w:left w:w="70" w:type="dxa"/>
              <w:bottom w:w="70" w:type="dxa"/>
              <w:right w:w="70" w:type="dxa"/>
            </w:tcMar>
            <w:vAlign w:val="center"/>
          </w:tcPr>
          <w:p w14:paraId="5C5E41ED"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أحادي البعد</w:t>
            </w:r>
          </w:p>
        </w:tc>
        <w:tc>
          <w:tcPr>
            <w:tcW w:w="1398" w:type="dxa"/>
            <w:shd w:val="clear" w:color="auto" w:fill="F7FAFC"/>
            <w:tcMar>
              <w:top w:w="70" w:type="dxa"/>
              <w:left w:w="70" w:type="dxa"/>
              <w:bottom w:w="70" w:type="dxa"/>
              <w:right w:w="70" w:type="dxa"/>
            </w:tcMar>
            <w:vAlign w:val="center"/>
          </w:tcPr>
          <w:p w14:paraId="271407FA" w14:textId="77777777" w:rsidR="00C53D9D" w:rsidRPr="00C53D9D" w:rsidRDefault="00C53D9D"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8 فقرات</w:t>
            </w:r>
          </w:p>
        </w:tc>
        <w:tc>
          <w:tcPr>
            <w:tcW w:w="1398" w:type="dxa"/>
            <w:shd w:val="clear" w:color="auto" w:fill="F7FAFC"/>
            <w:tcMar>
              <w:top w:w="70" w:type="dxa"/>
              <w:left w:w="70" w:type="dxa"/>
              <w:bottom w:w="70" w:type="dxa"/>
              <w:right w:w="70" w:type="dxa"/>
            </w:tcMar>
            <w:vAlign w:val="center"/>
          </w:tcPr>
          <w:p w14:paraId="4682C45B"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اتفاق خماسي</w:t>
            </w:r>
          </w:p>
        </w:tc>
        <w:tc>
          <w:tcPr>
            <w:tcW w:w="1398" w:type="dxa"/>
            <w:shd w:val="clear" w:color="auto" w:fill="F7FAFC"/>
            <w:tcMar>
              <w:top w:w="70" w:type="dxa"/>
              <w:left w:w="70" w:type="dxa"/>
              <w:bottom w:w="70" w:type="dxa"/>
              <w:right w:w="70" w:type="dxa"/>
            </w:tcMar>
            <w:vAlign w:val="center"/>
          </w:tcPr>
          <w:p w14:paraId="21B3BC4A" w14:textId="77777777" w:rsidR="00C53D9D" w:rsidRPr="00C53D9D" w:rsidRDefault="00137F65" w:rsidP="00F811EB">
            <w:pPr>
              <w:keepLines/>
              <w:bidi/>
              <w:spacing w:after="0" w:line="240" w:lineRule="auto"/>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Traditional Arabic" w:eastAsia="Traditional Arabic" w:hAnsi="Traditional Arabic" w:cs="Traditional Arabic"/>
                <w:color w:val="1F1F1F"/>
                <w:sz w:val="16"/>
                <w:rtl/>
              </w:rPr>
              <w:t>يقيس فاعلية التقليل كما يدركها العاملون، وليس تكرار الحوادث الفعلي.</w:t>
            </w:r>
          </w:p>
        </w:tc>
      </w:tr>
    </w:tbl>
    <w:p w14:paraId="68ED1ED7" w14:textId="1C614E83" w:rsidR="00390B53" w:rsidRPr="00EA597B" w:rsidRDefault="00C53D9D"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b/>
          <w:bCs/>
          <w:noProof/>
          <w:sz w:val="24"/>
          <w:szCs w:val="24"/>
        </w:rPr>
        <w:t>2.</w:t>
      </w:r>
      <w:r w:rsidR="0084065A">
        <w:rPr>
          <w:rFonts w:ascii="Simplified Arabic" w:hAnsi="Simplified Arabic" w:cs="Simplified Arabic"/>
          <w:b/>
          <w:bCs/>
          <w:noProof/>
          <w:sz w:val="24"/>
          <w:szCs w:val="24"/>
        </w:rPr>
        <w:t>4</w:t>
      </w:r>
      <w:r>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القيادة التحويلية في القطاع الصحي</w:t>
      </w:r>
    </w:p>
    <w:p w14:paraId="6BC4FEE9" w14:textId="0B58DF73" w:rsidR="00390B53" w:rsidRPr="00EA597B" w:rsidRDefault="00390B53" w:rsidP="00390B53">
      <w:pPr>
        <w:bidi/>
        <w:spacing w:before="240" w:line="360" w:lineRule="auto"/>
        <w:jc w:val="both"/>
        <w:rPr>
          <w:rFonts w:ascii="Simplified Arabic" w:hAnsi="Simplified Arabic" w:cs="Simplified Arabic"/>
          <w:noProof/>
          <w:sz w:val="24"/>
          <w:szCs w:val="24"/>
        </w:rPr>
      </w:pPr>
      <w:r w:rsidRPr="00EA597B">
        <w:rPr>
          <w:rFonts w:ascii="Simplified Arabic" w:hAnsi="Simplified Arabic" w:cs="Simplified Arabic"/>
          <w:noProof/>
          <w:sz w:val="24"/>
          <w:szCs w:val="24"/>
          <w:rtl/>
        </w:rPr>
        <w:t>تعتبر القيادة التحو</w:t>
      </w:r>
      <w:r w:rsidR="00C24135">
        <w:rPr>
          <w:rFonts w:ascii="Simplified Arabic" w:hAnsi="Simplified Arabic" w:cs="Simplified Arabic" w:hint="cs"/>
          <w:noProof/>
          <w:sz w:val="24"/>
          <w:szCs w:val="24"/>
          <w:rtl/>
        </w:rPr>
        <w:t>ي</w:t>
      </w:r>
      <w:r w:rsidRPr="00EA597B">
        <w:rPr>
          <w:rFonts w:ascii="Simplified Arabic" w:hAnsi="Simplified Arabic" w:cs="Simplified Arabic"/>
          <w:noProof/>
          <w:sz w:val="24"/>
          <w:szCs w:val="24"/>
          <w:rtl/>
        </w:rPr>
        <w:t>لية أحد أهم أنماط القيادة الحديثة في المؤسسات الصحية، لأنها تحدث تغييرات جذرية في قيم العاملين، دوافعهم وسلوكياتهم، متجاوزة العلاقات التقليدية المباشرة.  وتعرف بأنها أسلوب قيادي يهدف إلى إلهام العاملين، وإشراكهم في رؤية مشتركة، وتمكينهم من تحقيق أداء يفوق التوقعات من خلال التأثير النموذجي، والتحفيز الملهم، والتفكير الإبداعي، والاهتمام بالفرد</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  وتشير الدراسات في بيئة المستشفيات إلى أن القيادة التحو</w:t>
      </w:r>
      <w:r w:rsidR="00C24135">
        <w:rPr>
          <w:rFonts w:ascii="Simplified Arabic" w:hAnsi="Simplified Arabic" w:cs="Simplified Arabic" w:hint="cs"/>
          <w:noProof/>
          <w:sz w:val="24"/>
          <w:szCs w:val="24"/>
          <w:rtl/>
        </w:rPr>
        <w:t>ي</w:t>
      </w:r>
      <w:r w:rsidRPr="00EA597B">
        <w:rPr>
          <w:rFonts w:ascii="Simplified Arabic" w:hAnsi="Simplified Arabic" w:cs="Simplified Arabic"/>
          <w:noProof/>
          <w:sz w:val="24"/>
          <w:szCs w:val="24"/>
          <w:rtl/>
        </w:rPr>
        <w:t>لية ترتبط بشكل إيجابي بعدة مؤشرات، مثل الرضا الوظيفي، والالتزام بالمؤسسة، والتعاون بين الفرق، وجودة الرعاية، وسلامة المرضى</w:t>
      </w:r>
      <w:r w:rsidRPr="00EA597B">
        <w:rPr>
          <w:rFonts w:ascii="Simplified Arabic" w:hAnsi="Simplified Arabic" w:cs="Simplified Arabic"/>
          <w:noProof/>
          <w:sz w:val="24"/>
          <w:szCs w:val="24"/>
          <w:rtl/>
        </w:rPr>
        <w:fldChar w:fldCharType="begin"/>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 &lt;EndNote&gt;&lt;Cite&gt;&lt;Author</w:instrText>
      </w:r>
      <w:r w:rsidRPr="00EA597B">
        <w:rPr>
          <w:rFonts w:ascii="Simplified Arabic" w:hAnsi="Simplified Arabic" w:cs="Simplified Arabic"/>
          <w:noProof/>
          <w:sz w:val="24"/>
          <w:szCs w:val="24"/>
          <w:rtl/>
        </w:rPr>
        <w:instrText>&gt;اسماعيل محمد الشيخ&lt;/</w:instrText>
      </w:r>
      <w:r w:rsidRPr="00EA597B">
        <w:rPr>
          <w:rFonts w:ascii="Simplified Arabic" w:hAnsi="Simplified Arabic" w:cs="Simplified Arabic"/>
          <w:noProof/>
          <w:sz w:val="24"/>
          <w:szCs w:val="24"/>
        </w:rPr>
        <w:instrText>Author&gt;&lt;Year&gt;2024&lt;/Year&gt;&lt;RecNum&gt;177&lt;/RecNum&gt;&lt;DisplayText</w:instrText>
      </w:r>
      <w:r w:rsidRPr="00EA597B">
        <w:rPr>
          <w:rFonts w:ascii="Simplified Arabic" w:hAnsi="Simplified Arabic" w:cs="Simplified Arabic"/>
          <w:noProof/>
          <w:sz w:val="24"/>
          <w:szCs w:val="24"/>
          <w:rtl/>
        </w:rPr>
        <w:instrText xml:space="preserve">&gt;(اسماعيل محمد الشيخ </w:instrText>
      </w:r>
      <w:r w:rsidRPr="00EA597B">
        <w:rPr>
          <w:rFonts w:ascii="Simplified Arabic" w:hAnsi="Simplified Arabic" w:cs="Simplified Arabic"/>
          <w:noProof/>
          <w:sz w:val="24"/>
          <w:szCs w:val="24"/>
        </w:rPr>
        <w:instrText>et al., 2024</w:instrText>
      </w:r>
      <w:r w:rsidRPr="00EA597B">
        <w:rPr>
          <w:rFonts w:ascii="Simplified Arabic" w:hAnsi="Simplified Arabic" w:cs="Simplified Arabic"/>
          <w:noProof/>
          <w:sz w:val="24"/>
          <w:szCs w:val="24"/>
          <w:rtl/>
        </w:rPr>
        <w:instrText>)&lt;/</w:instrText>
      </w:r>
      <w:r w:rsidRPr="00EA597B">
        <w:rPr>
          <w:rFonts w:ascii="Simplified Arabic" w:hAnsi="Simplified Arabic" w:cs="Simplified Arabic"/>
          <w:noProof/>
          <w:sz w:val="24"/>
          <w:szCs w:val="24"/>
        </w:rPr>
        <w:instrText>DisplayText&gt;&lt;record&gt;&lt;rec-number&gt;177&lt;/rec-number&gt;&lt;foreign-keys&gt;&lt;key app="EN" db-id="02retxxrerxdxhe9aphvs0z2t9z25p0ew99s" timestamp="1754214796"&gt;177&lt;/key&gt;&lt;/foreign-keys&gt;&lt;ref-type name="Journal Article"&gt;17&lt;/ref-type&gt;&lt;contributors&gt;&lt;authors&gt;&lt;author</w:instrText>
      </w:r>
      <w:r w:rsidRPr="00EA597B">
        <w:rPr>
          <w:rFonts w:ascii="Simplified Arabic" w:hAnsi="Simplified Arabic" w:cs="Simplified Arabic"/>
          <w:noProof/>
          <w:sz w:val="24"/>
          <w:szCs w:val="24"/>
          <w:rtl/>
        </w:rPr>
        <w:instrText>&gt;اسماعيل محمد الشيخ, مني&lt;/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&gt;بكرى عبد العليم إسماعيل, محمد&lt;/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&gt;محمد عامر, أمانى&lt;/</w:instrText>
      </w:r>
      <w:r w:rsidRPr="00EA597B">
        <w:rPr>
          <w:rFonts w:ascii="Simplified Arabic" w:hAnsi="Simplified Arabic" w:cs="Simplified Arabic"/>
          <w:noProof/>
          <w:sz w:val="24"/>
          <w:szCs w:val="24"/>
        </w:rPr>
        <w:instrText>author&gt;&lt;/authors&gt;&lt;/contributors&gt;&lt;titles&gt;&lt;title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title&gt;&lt;secondary-title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secondary-title&gt;&lt;short-title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short-title&gt;&lt;/titles&gt;&lt;periodical&gt;&lt;full-title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full-title&gt;&lt;/periodical&gt;&lt;pages&gt;137-168&lt;/pages&gt;&lt;volume&gt;3&lt;/volume&gt;&lt;number&gt;2&lt;/number&gt;&lt;keywords&gt;&lt;keyword</w:instrText>
      </w:r>
      <w:r w:rsidRPr="00EA597B">
        <w:rPr>
          <w:rFonts w:ascii="Simplified Arabic" w:hAnsi="Simplified Arabic" w:cs="Simplified Arabic"/>
          <w:noProof/>
          <w:sz w:val="24"/>
          <w:szCs w:val="24"/>
          <w:rtl/>
        </w:rPr>
        <w:instrText>&gt;الانتهاك الايجابى لقواعد المنظمة&lt;/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&gt;القيادة التحويلية&lt;/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&gt;الابداع التنظيمى&lt;/</w:instrText>
      </w:r>
      <w:r w:rsidRPr="00EA597B">
        <w:rPr>
          <w:rFonts w:ascii="Simplified Arabic" w:hAnsi="Simplified Arabic" w:cs="Simplified Arabic"/>
          <w:noProof/>
          <w:sz w:val="24"/>
          <w:szCs w:val="24"/>
        </w:rPr>
        <w:instrText>keyword&gt;&lt;/keywords&gt;&lt;dates&gt;&lt;year&gt;2024&lt;/year&gt;&lt;/dates&gt;&lt;urls&gt;&lt;related-urls&gt;&lt;url&gt;https://bjhs.journals.ekb.eg/article_393608_f2e6e44444bcd08db7fc21f752d11ced.pdf&lt;/url&gt;&lt;/related-urls&gt;&lt;/urls&gt;&lt;electronic-resource-num&gt;10.21608/bjhs.2024.315754.1262&lt;/electronic-resource-num&gt;&lt;/record&gt;&lt;/Cite&gt;&lt;/EndNote</w:instrText>
      </w:r>
      <w:r w:rsidRPr="00EA597B">
        <w:rPr>
          <w:rFonts w:ascii="Simplified Arabic" w:hAnsi="Simplified Arabic" w:cs="Simplified Arabic"/>
          <w:noProof/>
          <w:sz w:val="24"/>
          <w:szCs w:val="24"/>
          <w:rtl/>
        </w:rPr>
        <w:instrText>&gt;</w:instrText>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 xml:space="preserve">(اسماعيل محمد الشيخ </w:t>
      </w:r>
      <w:r w:rsidRPr="00EA597B">
        <w:rPr>
          <w:rFonts w:ascii="Simplified Arabic" w:hAnsi="Simplified Arabic" w:cs="Simplified Arabic"/>
          <w:noProof/>
          <w:sz w:val="24"/>
          <w:szCs w:val="24"/>
        </w:rPr>
        <w:t>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w:t>
      </w:r>
    </w:p>
    <w:p w14:paraId="7F74248E"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EA597B">
        <w:rPr>
          <w:rFonts w:ascii="Simplified Arabic" w:hAnsi="Simplified Arabic" w:cs="Simplified Arabic"/>
          <w:noProof/>
          <w:sz w:val="24"/>
          <w:szCs w:val="24"/>
          <w:rtl/>
        </w:rPr>
        <w:t>أظهرت دراسة حديثة أن القادة الذين يمارسون سلوكيات تحويلية يسهمون في خلق بيئة عمل تدعم السلامة من خلال تعزيز الثقة المتبادلة، وتشجيع الإبلاغ عن الأخطاء، ودعم التعلم التنظيمي، وتوفير الموارد اللازمة لبرامج السلامة. كما أظهرت دراسات ميدانية في السعودية أن ارتفاع مستوى القيادة التحويلية في المستشفيات يرتبط بزيادة الوعي بثقافة سلامة المرضى، خاصة في دعم الإدارة للسلامة والعمل الجماعي</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 Alotaibi et al., 2015; Hamdan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154D4E">
        <w:rPr>
          <w:rFonts w:ascii="Sakkal Majalla" w:hAnsi="Sakkal Majalla" w:cs="Sakkal Majalla"/>
          <w:noProof/>
          <w:sz w:val="28"/>
          <w:szCs w:val="28"/>
          <w:rtl/>
        </w:rPr>
        <w:t>.</w:t>
      </w:r>
    </w:p>
    <w:p w14:paraId="25AB5BCA" w14:textId="3410B414" w:rsidR="00390B53" w:rsidRPr="00EA597B" w:rsidRDefault="00B601BC" w:rsidP="0000135A">
      <w:pPr>
        <w:bidi/>
        <w:spacing w:before="210" w:after="0" w:line="360" w:lineRule="auto"/>
        <w:jc w:val="both"/>
        <w:rPr>
          <w:rFonts w:ascii="Simplified Arabic" w:hAnsi="Simplified Arabic" w:cs="Simplified Arabic"/>
          <w:b/>
          <w:bCs/>
          <w:noProof/>
          <w:sz w:val="24"/>
          <w:szCs w:val="24"/>
          <w:rtl/>
        </w:rPr>
      </w:pPr>
      <w:r w:rsidRPr="00EA597B">
        <w:rPr>
          <w:rFonts w:ascii="Simplified Arabic" w:hAnsi="Simplified Arabic" w:cs="Simplified Arabic"/>
          <w:b/>
          <w:bCs/>
          <w:noProof/>
          <w:sz w:val="24"/>
          <w:szCs w:val="24"/>
        </w:rPr>
        <w:t xml:space="preserve"> </w:t>
      </w:r>
      <w:r w:rsidR="00EA597B">
        <w:rPr>
          <w:rFonts w:ascii="Simplified Arabic" w:hAnsi="Simplified Arabic" w:cs="Simplified Arabic"/>
          <w:b/>
          <w:bCs/>
          <w:noProof/>
          <w:sz w:val="24"/>
          <w:szCs w:val="24"/>
        </w:rPr>
        <w:t>2.</w:t>
      </w:r>
      <w:r w:rsidR="0084065A">
        <w:rPr>
          <w:rFonts w:ascii="Simplified Arabic" w:hAnsi="Simplified Arabic" w:cs="Simplified Arabic"/>
          <w:b/>
          <w:bCs/>
          <w:noProof/>
          <w:sz w:val="24"/>
          <w:szCs w:val="24"/>
        </w:rPr>
        <w:t>5</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أبعاد القيادة التحويلية</w:t>
      </w:r>
      <w:r w:rsidR="0000135A">
        <w:rPr>
          <w:rFonts w:ascii="Simplified Arabic" w:hAnsi="Simplified Arabic" w:cs="Simplified Arabic" w:hint="cs"/>
          <w:b/>
          <w:bCs/>
          <w:noProof/>
          <w:sz w:val="24"/>
          <w:szCs w:val="24"/>
          <w:rtl/>
        </w:rPr>
        <w:t xml:space="preserve"> </w:t>
      </w:r>
      <w:r w:rsidR="0000135A" w:rsidRPr="0000135A">
        <w:rPr>
          <w:rFonts w:ascii="Simplified Arabic" w:hAnsi="Simplified Arabic" w:cs="Simplified Arabic"/>
          <w:b/>
          <w:bCs/>
          <w:noProof/>
          <w:sz w:val="24"/>
          <w:szCs w:val="24"/>
          <w:rtl/>
        </w:rPr>
        <w:t>وفق مقياس</w:t>
      </w:r>
      <w:r w:rsidR="0000135A" w:rsidRPr="0000135A">
        <w:rPr>
          <w:rFonts w:ascii="Simplified Arabic" w:hAnsi="Simplified Arabic" w:cs="Simplified Arabic"/>
          <w:b/>
          <w:bCs/>
          <w:noProof/>
          <w:sz w:val="24"/>
          <w:szCs w:val="24"/>
        </w:rPr>
        <w:t xml:space="preserve"> TLI (Podsakoff et al., 1990)</w:t>
      </w:r>
    </w:p>
    <w:p w14:paraId="39ED2621" w14:textId="77777777" w:rsidR="00B601BC" w:rsidRDefault="00D376D3" w:rsidP="00D376D3">
      <w:pPr>
        <w:bidi/>
        <w:spacing w:before="210" w:after="0" w:line="360" w:lineRule="auto"/>
        <w:jc w:val="both"/>
        <w:rPr>
          <w:rFonts w:ascii="Sakkal Majalla" w:hAnsi="Sakkal Majalla" w:cs="Sakkal Majalla"/>
          <w:noProof/>
          <w:sz w:val="28"/>
          <w:szCs w:val="28"/>
          <w:rtl/>
        </w:rPr>
      </w:pPr>
      <w:r w:rsidRPr="00D376D3">
        <w:rPr>
          <w:rFonts w:ascii="Sakkal Majalla" w:hAnsi="Sakkal Majalla" w:cs="Sakkal Majalla"/>
          <w:noProof/>
          <w:sz w:val="28"/>
          <w:szCs w:val="28"/>
          <w:rtl/>
        </w:rPr>
        <w:t>يتبنى هذا البحث إطار</w:t>
      </w:r>
      <w:r w:rsidRPr="00D376D3">
        <w:rPr>
          <w:rFonts w:ascii="Sakkal Majalla" w:hAnsi="Sakkal Majalla" w:cs="Sakkal Majalla"/>
          <w:noProof/>
          <w:sz w:val="28"/>
          <w:szCs w:val="28"/>
        </w:rPr>
        <w:t xml:space="preserve"> </w:t>
      </w:r>
      <w:r>
        <w:rPr>
          <w:rFonts w:ascii="Sakkal Majalla" w:hAnsi="Sakkal Majalla" w:cs="Sakkal Majalla"/>
          <w:noProof/>
          <w:sz w:val="28"/>
          <w:szCs w:val="28"/>
        </w:rPr>
        <w:t xml:space="preserve">TLI </w:t>
      </w:r>
      <w:r w:rsidRPr="00D376D3">
        <w:rPr>
          <w:rFonts w:ascii="Sakkal Majalla" w:hAnsi="Sakkal Majalla" w:cs="Sakkal Majalla"/>
          <w:noProof/>
          <w:sz w:val="28"/>
          <w:szCs w:val="28"/>
          <w:rtl/>
        </w:rPr>
        <w:t>لقياس القيادة التحويلية من خلال ستة أبعاد سلوكية مترابطة، تمثل معاً المقياس الإجرائي المعتمد في الأداة الميدانية</w:t>
      </w:r>
      <w:r w:rsidRPr="00D376D3">
        <w:rPr>
          <w:rFonts w:ascii="Sakkal Majalla" w:hAnsi="Sakkal Majalla" w:cs="Sakkal Majalla"/>
          <w:noProof/>
          <w:sz w:val="28"/>
          <w:szCs w:val="28"/>
        </w:rPr>
        <w:t>:</w:t>
      </w:r>
      <w:r w:rsidR="0000135A">
        <w:rPr>
          <w:rFonts w:ascii="Sakkal Majalla" w:hAnsi="Sakkal Majalla" w:cs="Sakkal Majalla"/>
          <w:noProof/>
          <w:sz w:val="28"/>
          <w:szCs w:val="28"/>
          <w:rtl/>
        </w:rPr>
        <w:fldChar w:fldCharType="begin"/>
      </w:r>
      <w:r w:rsidR="0000135A">
        <w:rPr>
          <w:rFonts w:ascii="Sakkal Majalla" w:hAnsi="Sakkal Majalla" w:cs="Sakkal Majalla"/>
          <w:noProof/>
          <w:sz w:val="28"/>
          <w:szCs w:val="28"/>
          <w:rtl/>
        </w:rPr>
        <w:instrText xml:space="preserve"> </w:instrText>
      </w:r>
      <w:r w:rsidR="0000135A">
        <w:rPr>
          <w:rFonts w:ascii="Sakkal Majalla" w:hAnsi="Sakkal Majalla" w:cs="Sakkal Majalla"/>
          <w:noProof/>
          <w:sz w:val="28"/>
          <w:szCs w:val="28"/>
        </w:rPr>
        <w:instrText>ADDIN EN.CITE &lt;EndNote&gt;&lt;Cite&gt;&lt;Author&gt;Podsakoff&lt;/Author&gt;&lt;Year&gt;1990&lt;/Year&gt;&lt;RecNum&gt;281&lt;/RecNum&gt;&lt;DisplayText&gt;(Podsakoff et al., 1990)&lt;/DisplayText&gt;&lt;record&gt;&lt;rec-number&gt;281&lt;/rec-number&gt;&lt;foreign-keys&gt;&lt;key app="EN" db-id="02retxxrerxdxhe9aphvs0z2t9z25p0ew99s" timestamp="1782131053"&gt;281&lt;/key&gt;&lt;/foreign-keys&gt;&lt;ref-type name="Journal Article"&gt;17&lt;/ref-type&gt;&lt;contributors&gt;&lt;authors&gt;&lt;author&gt;Podsakoff, Philip M.&lt;/author&gt;&lt;author&gt;MacKenzie, Scott B.&lt;/author&gt;&lt;author&gt;Moorman, Robert H.&lt;/author&gt;&lt;author&gt;Fetter, Richard&lt;/author</w:instrText>
      </w:r>
      <w:r w:rsidR="0000135A">
        <w:rPr>
          <w:rFonts w:ascii="Sakkal Majalla" w:hAnsi="Sakkal Majalla" w:cs="Sakkal Majalla"/>
          <w:noProof/>
          <w:sz w:val="28"/>
          <w:szCs w:val="28"/>
          <w:rtl/>
        </w:rPr>
        <w:instrText>&gt;&lt;/</w:instrText>
      </w:r>
      <w:r w:rsidR="0000135A">
        <w:rPr>
          <w:rFonts w:ascii="Sakkal Majalla" w:hAnsi="Sakkal Majalla" w:cs="Sakkal Majalla"/>
          <w:noProof/>
          <w:sz w:val="28"/>
          <w:szCs w:val="28"/>
        </w:rPr>
        <w:instrText>authors&gt;&lt;/contributors&gt;&lt;titles&gt;&lt;title&gt;Transformational leader behaviors and their effects on followers&amp;apos; trust in leader, satisfaction, and organizational citizenship behaviors&lt;/title&gt;&lt;secondary-title&gt;The Leadership Quarterly&lt;/secondary-title&gt;&lt;/titles&gt;&lt;periodical&gt;&lt;full-title&gt;The Leadership Quarterly&lt;/full-title&gt;&lt;/periodical&gt;&lt;pages&gt;107-142&lt;/pages&gt;&lt;volume&gt;1&lt;/volume&gt;&lt;number&gt;2&lt;/number&gt;&lt;section&gt;107&lt;/section&gt;&lt;dates&gt;&lt;year&gt;1990&lt;/year&gt;&lt;pub-dates&gt;&lt;date&gt;06/01&lt;/date&gt;&lt;/pub-dates&gt;&lt;/dates&gt;&lt;isbn&gt;10489843&lt;/isbn&gt;&lt;urls</w:instrText>
      </w:r>
      <w:r w:rsidR="0000135A">
        <w:rPr>
          <w:rFonts w:ascii="Sakkal Majalla" w:hAnsi="Sakkal Majalla" w:cs="Sakkal Majalla"/>
          <w:noProof/>
          <w:sz w:val="28"/>
          <w:szCs w:val="28"/>
          <w:rtl/>
        </w:rPr>
        <w:instrText>&gt;&lt;/</w:instrText>
      </w:r>
      <w:r w:rsidR="0000135A">
        <w:rPr>
          <w:rFonts w:ascii="Sakkal Majalla" w:hAnsi="Sakkal Majalla" w:cs="Sakkal Majalla"/>
          <w:noProof/>
          <w:sz w:val="28"/>
          <w:szCs w:val="28"/>
        </w:rPr>
        <w:instrText>urls&gt;&lt;electronic-resource-num&gt;10.1016/1048-9843(90)90009-7&lt;/electronic-resource-num&gt;&lt;/record&gt;&lt;/Cite&gt;&lt;/EndNote</w:instrText>
      </w:r>
      <w:r w:rsidR="0000135A">
        <w:rPr>
          <w:rFonts w:ascii="Sakkal Majalla" w:hAnsi="Sakkal Majalla" w:cs="Sakkal Majalla"/>
          <w:noProof/>
          <w:sz w:val="28"/>
          <w:szCs w:val="28"/>
          <w:rtl/>
        </w:rPr>
        <w:instrText>&gt;</w:instrText>
      </w:r>
      <w:r w:rsidR="0000135A">
        <w:rPr>
          <w:rFonts w:ascii="Sakkal Majalla" w:hAnsi="Sakkal Majalla" w:cs="Sakkal Majalla"/>
          <w:noProof/>
          <w:sz w:val="28"/>
          <w:szCs w:val="28"/>
          <w:rtl/>
        </w:rPr>
        <w:fldChar w:fldCharType="separate"/>
      </w:r>
      <w:r w:rsidR="0000135A">
        <w:rPr>
          <w:rFonts w:ascii="Sakkal Majalla" w:hAnsi="Sakkal Majalla" w:cs="Sakkal Majalla"/>
          <w:noProof/>
          <w:sz w:val="28"/>
          <w:szCs w:val="28"/>
          <w:rtl/>
        </w:rPr>
        <w:t>(</w:t>
      </w:r>
      <w:r w:rsidR="0000135A">
        <w:rPr>
          <w:rFonts w:ascii="Sakkal Majalla" w:hAnsi="Sakkal Majalla" w:cs="Sakkal Majalla"/>
          <w:noProof/>
          <w:sz w:val="28"/>
          <w:szCs w:val="28"/>
        </w:rPr>
        <w:t>Podsakoff et al., 1990</w:t>
      </w:r>
      <w:r w:rsidR="0000135A">
        <w:rPr>
          <w:rFonts w:ascii="Sakkal Majalla" w:hAnsi="Sakkal Majalla" w:cs="Sakkal Majalla"/>
          <w:noProof/>
          <w:sz w:val="28"/>
          <w:szCs w:val="28"/>
          <w:rtl/>
        </w:rPr>
        <w:t>)</w:t>
      </w:r>
      <w:r w:rsidR="0000135A">
        <w:rPr>
          <w:rFonts w:ascii="Sakkal Majalla" w:hAnsi="Sakkal Majalla" w:cs="Sakkal Majalla"/>
          <w:noProof/>
          <w:sz w:val="28"/>
          <w:szCs w:val="28"/>
          <w:rtl/>
        </w:rPr>
        <w:fldChar w:fldCharType="end"/>
      </w:r>
      <w:r w:rsidR="00390B53" w:rsidRPr="00154D4E">
        <w:rPr>
          <w:rFonts w:ascii="Sakkal Majalla" w:hAnsi="Sakkal Majalla" w:cs="Sakkal Majalla"/>
          <w:noProof/>
          <w:sz w:val="28"/>
          <w:szCs w:val="28"/>
          <w:rtl/>
        </w:rPr>
        <w:t>.</w:t>
      </w:r>
    </w:p>
    <w:p w14:paraId="30F12715" w14:textId="064C4FA1" w:rsidR="009623D0" w:rsidRPr="00474119" w:rsidRDefault="009623D0" w:rsidP="009623D0">
      <w:pPr>
        <w:bidi/>
        <w:spacing w:before="210" w:after="0" w:line="360" w:lineRule="auto"/>
        <w:jc w:val="both"/>
        <w:rPr>
          <w:rFonts w:ascii="Sakkal Majalla" w:hAnsi="Sakkal Majalla" w:cs="Sakkal Majalla"/>
          <w:b/>
          <w:bCs/>
          <w:noProof/>
          <w:color w:val="1F497D" w:themeColor="text2"/>
          <w:sz w:val="24"/>
          <w:szCs w:val="24"/>
          <w:rtl/>
        </w:rPr>
      </w:pPr>
      <w:r w:rsidRPr="00474119">
        <w:rPr>
          <w:rFonts w:ascii="Sakkal Majalla" w:hAnsi="Sakkal Majalla" w:cs="Sakkal Majalla"/>
          <w:b/>
          <w:bCs/>
          <w:noProof/>
          <w:color w:val="1F497D" w:themeColor="text2"/>
          <w:sz w:val="24"/>
          <w:szCs w:val="24"/>
          <w:rtl/>
        </w:rPr>
        <w:t>جدول (2-3)</w:t>
      </w:r>
      <w:r w:rsidR="00474119" w:rsidRPr="00474119">
        <w:rPr>
          <w:rFonts w:ascii="Sakkal Majalla" w:hAnsi="Sakkal Majalla" w:cs="Sakkal Majalla"/>
          <w:b/>
          <w:bCs/>
          <w:noProof/>
          <w:color w:val="1F497D" w:themeColor="text2"/>
          <w:sz w:val="24"/>
          <w:szCs w:val="24"/>
          <w:rtl/>
        </w:rPr>
        <w:t xml:space="preserve"> ابعاد القيادة التحويلية</w:t>
      </w:r>
    </w:p>
    <w:tbl>
      <w:tblPr>
        <w:tblStyle w:val="10"/>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3405"/>
        <w:gridCol w:w="2766"/>
        <w:gridCol w:w="3693"/>
      </w:tblGrid>
      <w:tr w:rsidR="001D4470" w:rsidRPr="001D4470" w14:paraId="48551E62" w14:textId="77777777" w:rsidTr="001D4470">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1726" w:type="pct"/>
            <w:tcBorders>
              <w:top w:val="single" w:sz="12" w:space="0" w:color="00A6C8"/>
              <w:bottom w:val="single" w:sz="8" w:space="0" w:color="2F75B5"/>
            </w:tcBorders>
            <w:shd w:val="clear" w:color="auto" w:fill="203864"/>
            <w:tcMar>
              <w:top w:w="110" w:type="dxa"/>
              <w:left w:w="105" w:type="dxa"/>
              <w:bottom w:w="110" w:type="dxa"/>
              <w:right w:w="105" w:type="dxa"/>
            </w:tcMar>
            <w:vAlign w:val="center"/>
            <w:hideMark/>
          </w:tcPr>
          <w:p w14:paraId="59DCA058" w14:textId="77777777" w:rsidR="001D4470" w:rsidRPr="00D376D3" w:rsidRDefault="001D4470" w:rsidP="001D4470">
            <w:pPr>
              <w:keepLines/>
              <w:bidi/>
              <w:spacing w:after="0" w:line="240" w:lineRule="auto"/>
              <w:jc w:val="center"/>
              <w:rPr>
                <w:rFonts w:ascii="Simplified Arabic" w:hAnsi="Simplified Arabic" w:cs="Simplified Arabic"/>
                <w:noProof/>
                <w:sz w:val="24"/>
                <w:szCs w:val="24"/>
              </w:rPr>
            </w:pPr>
            <w:r w:rsidRPr="00D376D3">
              <w:rPr>
                <w:rFonts w:ascii="Times New Roman" w:eastAsia="Sakkal Majalla" w:hAnsi="Times New Roman" w:cs="Sakkal Majalla"/>
                <w:noProof/>
                <w:color w:val="FFFFFF"/>
                <w:szCs w:val="24"/>
                <w:rtl/>
              </w:rPr>
              <w:lastRenderedPageBreak/>
              <w:t>الصلة ببيئة المستشفيات</w:t>
            </w:r>
          </w:p>
        </w:tc>
        <w:tc>
          <w:tcPr>
            <w:tcW w:w="1402" w:type="pct"/>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00004071" w14:textId="77777777" w:rsidR="001D4470" w:rsidRPr="00D376D3" w:rsidRDefault="001D4470" w:rsidP="001D4470">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D376D3">
              <w:rPr>
                <w:rFonts w:ascii="Times New Roman" w:eastAsia="Sakkal Majalla" w:hAnsi="Times New Roman" w:cs="Sakkal Majalla"/>
                <w:noProof/>
                <w:color w:val="FFFFFF"/>
                <w:szCs w:val="24"/>
                <w:rtl/>
              </w:rPr>
              <w:t>التعريف</w:t>
            </w:r>
          </w:p>
        </w:tc>
        <w:tc>
          <w:tcPr>
            <w:tcW w:w="1872" w:type="pct"/>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24B4D4D1" w14:textId="77777777" w:rsidR="001D4470" w:rsidRPr="00D376D3" w:rsidRDefault="001D4470" w:rsidP="001D4470">
            <w:pPr>
              <w:keepLines/>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D376D3">
              <w:rPr>
                <w:rFonts w:ascii="Times New Roman" w:eastAsia="Sakkal Majalla" w:hAnsi="Times New Roman" w:cs="Sakkal Majalla"/>
                <w:noProof/>
                <w:color w:val="FFFFFF"/>
                <w:szCs w:val="24"/>
                <w:rtl/>
              </w:rPr>
              <w:t>البُعد</w:t>
            </w:r>
          </w:p>
        </w:tc>
      </w:tr>
      <w:tr w:rsidR="001D4470" w:rsidRPr="001D4470" w14:paraId="0BAEA16B" w14:textId="77777777" w:rsidTr="001D4470">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047B6FAB"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يُوجِّه العاملين نحو السلامة كأولوية مؤسسية</w:t>
            </w:r>
          </w:p>
        </w:tc>
        <w:tc>
          <w:tcPr>
            <w:tcW w:w="1402" w:type="pct"/>
            <w:shd w:val="clear" w:color="auto" w:fill="EAF2F8"/>
            <w:tcMar>
              <w:top w:w="90" w:type="dxa"/>
              <w:left w:w="105" w:type="dxa"/>
              <w:bottom w:w="90" w:type="dxa"/>
              <w:right w:w="105" w:type="dxa"/>
            </w:tcMar>
            <w:vAlign w:val="center"/>
          </w:tcPr>
          <w:p w14:paraId="0E77B357"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توضيح هدف مستقبلي ملهم ومشترك</w:t>
            </w:r>
          </w:p>
        </w:tc>
        <w:tc>
          <w:tcPr>
            <w:tcW w:w="1872" w:type="pct"/>
            <w:shd w:val="clear" w:color="auto" w:fill="EAF2F8"/>
            <w:tcMar>
              <w:top w:w="90" w:type="dxa"/>
              <w:left w:w="105" w:type="dxa"/>
              <w:bottom w:w="90" w:type="dxa"/>
              <w:right w:w="105" w:type="dxa"/>
            </w:tcMar>
            <w:vAlign w:val="center"/>
          </w:tcPr>
          <w:p w14:paraId="2127B745"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صياغة الرؤية</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(Articulating a Vision)</w:t>
            </w:r>
          </w:p>
        </w:tc>
      </w:tr>
      <w:tr w:rsidR="001D4470" w:rsidRPr="001D4470" w14:paraId="02233773" w14:textId="77777777" w:rsidTr="001D4470">
        <w:trPr>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4573470F"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يعزز ثقة العاملين ويُرسّخ قيم السلامة</w:t>
            </w:r>
          </w:p>
        </w:tc>
        <w:tc>
          <w:tcPr>
            <w:tcW w:w="1402" w:type="pct"/>
            <w:shd w:val="clear" w:color="auto" w:fill="F7FAFC"/>
            <w:tcMar>
              <w:top w:w="90" w:type="dxa"/>
              <w:left w:w="105" w:type="dxa"/>
              <w:bottom w:w="90" w:type="dxa"/>
              <w:right w:w="105" w:type="dxa"/>
            </w:tcMar>
            <w:vAlign w:val="center"/>
          </w:tcPr>
          <w:p w14:paraId="7279E556"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التوافق بين قول القائد وفعله</w:t>
            </w:r>
          </w:p>
        </w:tc>
        <w:tc>
          <w:tcPr>
            <w:tcW w:w="1872" w:type="pct"/>
            <w:shd w:val="clear" w:color="auto" w:fill="F7FAFC"/>
            <w:tcMar>
              <w:top w:w="90" w:type="dxa"/>
              <w:left w:w="105" w:type="dxa"/>
              <w:bottom w:w="90" w:type="dxa"/>
              <w:right w:w="105" w:type="dxa"/>
            </w:tcMar>
            <w:vAlign w:val="center"/>
          </w:tcPr>
          <w:p w14:paraId="495FFABE"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تقديم النموذج</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(Providing an Appropriate Model)</w:t>
            </w:r>
          </w:p>
        </w:tc>
      </w:tr>
      <w:tr w:rsidR="001D4470" w:rsidRPr="001D4470" w14:paraId="343D6DEF" w14:textId="77777777" w:rsidTr="001D4470">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1C12E3E3"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يدعم ثقافة التعاون والإبلاغ المفتوح</w:t>
            </w:r>
          </w:p>
        </w:tc>
        <w:tc>
          <w:tcPr>
            <w:tcW w:w="1402" w:type="pct"/>
            <w:shd w:val="clear" w:color="auto" w:fill="EAF2F8"/>
            <w:tcMar>
              <w:top w:w="90" w:type="dxa"/>
              <w:left w:w="105" w:type="dxa"/>
              <w:bottom w:w="90" w:type="dxa"/>
              <w:right w:w="105" w:type="dxa"/>
            </w:tcMar>
            <w:vAlign w:val="center"/>
          </w:tcPr>
          <w:p w14:paraId="1BBD3C48"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توحيد جهود الفريق نحو هدف مشترك</w:t>
            </w:r>
          </w:p>
        </w:tc>
        <w:tc>
          <w:tcPr>
            <w:tcW w:w="1872" w:type="pct"/>
            <w:shd w:val="clear" w:color="auto" w:fill="EAF2F8"/>
            <w:tcMar>
              <w:top w:w="90" w:type="dxa"/>
              <w:left w:w="105" w:type="dxa"/>
              <w:bottom w:w="90" w:type="dxa"/>
              <w:right w:w="105" w:type="dxa"/>
            </w:tcMar>
            <w:vAlign w:val="center"/>
          </w:tcPr>
          <w:p w14:paraId="45BE6535"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تعزيز قبول الأهداف الجماعية</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(Fostering Group Goals)</w:t>
            </w:r>
          </w:p>
        </w:tc>
      </w:tr>
      <w:tr w:rsidR="001D4470" w:rsidRPr="001D4470" w14:paraId="6DB5458D" w14:textId="77777777" w:rsidTr="001D4470">
        <w:trPr>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33AF2ED6"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يدفع نحو الالتزام ببروتوكولات السلامة</w:t>
            </w:r>
          </w:p>
        </w:tc>
        <w:tc>
          <w:tcPr>
            <w:tcW w:w="1402" w:type="pct"/>
            <w:shd w:val="clear" w:color="auto" w:fill="F7FAFC"/>
            <w:tcMar>
              <w:top w:w="90" w:type="dxa"/>
              <w:left w:w="105" w:type="dxa"/>
              <w:bottom w:w="90" w:type="dxa"/>
              <w:right w:w="105" w:type="dxa"/>
            </w:tcMar>
            <w:vAlign w:val="center"/>
          </w:tcPr>
          <w:p w14:paraId="62A48661"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وضع معايير أداء مرتفعة وواضحة</w:t>
            </w:r>
          </w:p>
        </w:tc>
        <w:tc>
          <w:tcPr>
            <w:tcW w:w="1872" w:type="pct"/>
            <w:shd w:val="clear" w:color="auto" w:fill="F7FAFC"/>
            <w:tcMar>
              <w:top w:w="90" w:type="dxa"/>
              <w:left w:w="105" w:type="dxa"/>
              <w:bottom w:w="90" w:type="dxa"/>
              <w:right w:w="105" w:type="dxa"/>
            </w:tcMar>
            <w:vAlign w:val="center"/>
          </w:tcPr>
          <w:p w14:paraId="5CC431BF"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توقعات الأداء العالي</w:t>
            </w:r>
            <w:r w:rsidR="00F811EB">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(High Performance Expectations)</w:t>
            </w:r>
          </w:p>
        </w:tc>
      </w:tr>
      <w:tr w:rsidR="001D4470" w:rsidRPr="001D4470" w14:paraId="2772D19F" w14:textId="77777777" w:rsidTr="001D4470">
        <w:trPr>
          <w:cnfStyle w:val="000000100000" w:firstRow="0" w:lastRow="0" w:firstColumn="0" w:lastColumn="0" w:oddVBand="0" w:evenVBand="0" w:oddHBand="1" w:evenHBand="0" w:firstRowFirstColumn="0" w:firstRowLastColumn="0" w:lastRowFirstColumn="0" w:lastRowLastColumn="0"/>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5E3A11E8"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يُقلل الإرهاق ويزيد الالتزام بالإجراءات</w:t>
            </w:r>
          </w:p>
        </w:tc>
        <w:tc>
          <w:tcPr>
            <w:tcW w:w="1402" w:type="pct"/>
            <w:shd w:val="clear" w:color="auto" w:fill="EAF2F8"/>
            <w:tcMar>
              <w:top w:w="90" w:type="dxa"/>
              <w:left w:w="105" w:type="dxa"/>
              <w:bottom w:w="90" w:type="dxa"/>
              <w:right w:w="105" w:type="dxa"/>
            </w:tcMar>
            <w:vAlign w:val="center"/>
          </w:tcPr>
          <w:p w14:paraId="74CDC978"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الاهتمام بالاحتياجات الشخصية لكل موظف</w:t>
            </w:r>
          </w:p>
        </w:tc>
        <w:tc>
          <w:tcPr>
            <w:tcW w:w="1872" w:type="pct"/>
            <w:shd w:val="clear" w:color="auto" w:fill="EAF2F8"/>
            <w:tcMar>
              <w:top w:w="90" w:type="dxa"/>
              <w:left w:w="105" w:type="dxa"/>
              <w:bottom w:w="90" w:type="dxa"/>
              <w:right w:w="105" w:type="dxa"/>
            </w:tcMar>
            <w:vAlign w:val="center"/>
          </w:tcPr>
          <w:p w14:paraId="15B6F8C8" w14:textId="77777777" w:rsidR="001D4470" w:rsidRPr="001D4470" w:rsidRDefault="001D4470" w:rsidP="00F811EB">
            <w:pPr>
              <w:keepLines/>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الدعم الفردي</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(Individualized Support)</w:t>
            </w:r>
          </w:p>
        </w:tc>
      </w:tr>
      <w:tr w:rsidR="001D4470" w:rsidRPr="001D4470" w14:paraId="704A6ABE" w14:textId="77777777" w:rsidTr="001D4470">
        <w:trPr>
          <w:cantSplit/>
          <w:jc w:val="center"/>
        </w:trPr>
        <w:tc>
          <w:tcPr>
            <w:cnfStyle w:val="001000000000" w:firstRow="0" w:lastRow="0" w:firstColumn="1" w:lastColumn="0" w:oddVBand="0" w:evenVBand="0" w:oddHBand="0" w:evenHBand="0" w:firstRowFirstColumn="0" w:firstRowLastColumn="0" w:lastRowFirstColumn="0" w:lastRowLastColumn="0"/>
            <w:tcW w:w="1726" w:type="pct"/>
            <w:shd w:val="clear" w:color="auto" w:fill="DCE6F1"/>
            <w:tcMar>
              <w:top w:w="90" w:type="dxa"/>
              <w:left w:w="105" w:type="dxa"/>
              <w:bottom w:w="90" w:type="dxa"/>
              <w:right w:w="105" w:type="dxa"/>
            </w:tcMar>
            <w:vAlign w:val="center"/>
            <w:hideMark/>
          </w:tcPr>
          <w:p w14:paraId="7AE086BE" w14:textId="77777777" w:rsidR="001D4470" w:rsidRPr="001D4470" w:rsidRDefault="001D4470" w:rsidP="00F811EB">
            <w:pPr>
              <w:keepLines/>
              <w:bidi/>
              <w:spacing w:after="0" w:line="240" w:lineRule="auto"/>
              <w:jc w:val="center"/>
              <w:rPr>
                <w:rFonts w:ascii="Simplified Arabic" w:hAnsi="Simplified Arabic" w:cs="Simplified Arabic"/>
                <w:b w:val="0"/>
                <w:bCs w:val="0"/>
                <w:noProof/>
                <w:sz w:val="24"/>
                <w:szCs w:val="24"/>
              </w:rPr>
            </w:pPr>
            <w:r w:rsidRPr="001D4470">
              <w:rPr>
                <w:rFonts w:ascii="Times New Roman" w:eastAsia="Sakkal Majalla" w:hAnsi="Times New Roman" w:cs="Sakkal Majalla"/>
                <w:bCs w:val="0"/>
                <w:noProof/>
                <w:color w:val="1F4E78"/>
                <w:sz w:val="20"/>
                <w:szCs w:val="24"/>
                <w:rtl/>
              </w:rPr>
              <w:t>يُعزز التعلم من الأخطاء والتحسين المستمر</w:t>
            </w:r>
          </w:p>
        </w:tc>
        <w:tc>
          <w:tcPr>
            <w:tcW w:w="1402" w:type="pct"/>
            <w:shd w:val="clear" w:color="auto" w:fill="F7FAFC"/>
            <w:tcMar>
              <w:top w:w="90" w:type="dxa"/>
              <w:left w:w="105" w:type="dxa"/>
              <w:bottom w:w="90" w:type="dxa"/>
              <w:right w:w="105" w:type="dxa"/>
            </w:tcMar>
            <w:vAlign w:val="center"/>
          </w:tcPr>
          <w:p w14:paraId="129E19E4"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تحفيز التفكير النقدي وإعادة تقييم الأساليب</w:t>
            </w:r>
          </w:p>
        </w:tc>
        <w:tc>
          <w:tcPr>
            <w:tcW w:w="1872" w:type="pct"/>
            <w:shd w:val="clear" w:color="auto" w:fill="F7FAFC"/>
            <w:tcMar>
              <w:top w:w="90" w:type="dxa"/>
              <w:left w:w="105" w:type="dxa"/>
              <w:bottom w:w="90" w:type="dxa"/>
              <w:right w:w="105" w:type="dxa"/>
            </w:tcMar>
            <w:vAlign w:val="center"/>
          </w:tcPr>
          <w:p w14:paraId="565404D6" w14:textId="77777777" w:rsidR="001D4470" w:rsidRPr="001D4470" w:rsidRDefault="001D4470" w:rsidP="00F811EB">
            <w:pPr>
              <w:keepLines/>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24"/>
                <w:szCs w:val="24"/>
                <w:rtl/>
              </w:rPr>
            </w:pPr>
            <w:r w:rsidRPr="001D4470">
              <w:rPr>
                <w:rFonts w:ascii="Times New Roman" w:eastAsia="Sakkal Majalla" w:hAnsi="Times New Roman" w:cs="Sakkal Majalla"/>
                <w:noProof/>
                <w:color w:val="1F1F1F"/>
                <w:sz w:val="20"/>
                <w:szCs w:val="24"/>
                <w:rtl/>
              </w:rPr>
              <w:t>الاستثارة الفكرية</w:t>
            </w:r>
            <w:r>
              <w:rPr>
                <w:rFonts w:ascii="Times New Roman" w:eastAsia="Sakkal Majalla" w:hAnsi="Times New Roman" w:cs="Sakkal Majalla"/>
                <w:noProof/>
                <w:color w:val="1F1F1F"/>
                <w:sz w:val="20"/>
                <w:szCs w:val="24"/>
                <w:rtl/>
              </w:rPr>
              <w:br/>
            </w:r>
            <w:r w:rsidRPr="001D4470">
              <w:rPr>
                <w:rFonts w:ascii="Times New Roman" w:eastAsia="Sakkal Majalla" w:hAnsi="Times New Roman" w:cs="Sakkal Majalla"/>
                <w:noProof/>
                <w:color w:val="1F1F1F"/>
                <w:sz w:val="20"/>
                <w:szCs w:val="24"/>
                <w:rtl/>
              </w:rPr>
              <w:t xml:space="preserve"> </w:t>
            </w:r>
            <w:r w:rsidRPr="001D4470">
              <w:rPr>
                <w:rFonts w:ascii="Times New Roman" w:eastAsia="Sakkal Majalla" w:hAnsi="Times New Roman" w:cs="Sakkal Majalla"/>
                <w:noProof/>
                <w:color w:val="1F1F1F"/>
                <w:sz w:val="20"/>
                <w:szCs w:val="24"/>
              </w:rPr>
              <w:t>(Intellectual Stimulation)</w:t>
            </w:r>
          </w:p>
        </w:tc>
      </w:tr>
    </w:tbl>
    <w:p w14:paraId="71EDF587" w14:textId="47BA3824" w:rsidR="00DE1F7A" w:rsidRPr="00DE1F7A" w:rsidRDefault="00DE1F7A"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b/>
          <w:bCs/>
          <w:noProof/>
          <w:sz w:val="24"/>
          <w:szCs w:val="24"/>
          <w:rtl/>
        </w:rPr>
        <w:t>2.</w:t>
      </w:r>
      <w:r w:rsidR="0084065A">
        <w:rPr>
          <w:rFonts w:ascii="Simplified Arabic" w:hAnsi="Simplified Arabic" w:cs="Simplified Arabic" w:hint="cs"/>
          <w:b/>
          <w:bCs/>
          <w:noProof/>
          <w:sz w:val="24"/>
          <w:szCs w:val="24"/>
          <w:rtl/>
        </w:rPr>
        <w:t>6</w:t>
      </w:r>
      <w:r w:rsidR="00390B53" w:rsidRPr="00DE1F7A">
        <w:rPr>
          <w:rFonts w:ascii="Simplified Arabic" w:hAnsi="Simplified Arabic" w:cs="Simplified Arabic"/>
          <w:b/>
          <w:bCs/>
          <w:noProof/>
          <w:sz w:val="24"/>
          <w:szCs w:val="24"/>
          <w:rtl/>
        </w:rPr>
        <w:t xml:space="preserve">ثقافة سلامة المرضى: المفهوم والأهمية </w:t>
      </w:r>
    </w:p>
    <w:p w14:paraId="50F13BA5" w14:textId="5AE3254C" w:rsidR="00390B53" w:rsidRPr="00DE1F7A" w:rsidRDefault="00390B53" w:rsidP="00DE1F7A">
      <w:pPr>
        <w:bidi/>
        <w:spacing w:before="210" w:after="0" w:line="360" w:lineRule="auto"/>
        <w:jc w:val="both"/>
        <w:rPr>
          <w:rFonts w:ascii="Simplified Arabic" w:hAnsi="Simplified Arabic" w:cs="Simplified Arabic"/>
          <w:b/>
          <w:bCs/>
          <w:noProof/>
          <w:sz w:val="24"/>
          <w:szCs w:val="24"/>
        </w:rPr>
      </w:pPr>
      <w:r w:rsidRPr="00DE1F7A">
        <w:rPr>
          <w:rFonts w:ascii="Simplified Arabic" w:hAnsi="Simplified Arabic" w:cs="Simplified Arabic"/>
          <w:noProof/>
          <w:sz w:val="24"/>
          <w:szCs w:val="24"/>
          <w:rtl/>
        </w:rPr>
        <w:t>تعرف ثقافة سلامة المرضى بأنها مجموعة من القيم والاتجاهات والإدراكات والسلوكيات المشتركة التي تنتشر داخل المؤسسة الصحية، وتعكس مدى التزامها بجعل سلامة المرضى الأولوية في</w:t>
      </w:r>
      <w:r w:rsidR="000A0E51">
        <w:rPr>
          <w:rFonts w:ascii="Simplified Arabic" w:hAnsi="Simplified Arabic" w:cs="Simplified Arabic" w:hint="cs"/>
          <w:noProof/>
          <w:sz w:val="24"/>
          <w:szCs w:val="24"/>
          <w:rtl/>
        </w:rPr>
        <w:t xml:space="preserve"> </w:t>
      </w:r>
      <w:r w:rsidRPr="00DE1F7A">
        <w:rPr>
          <w:rFonts w:ascii="Simplified Arabic" w:hAnsi="Simplified Arabic" w:cs="Simplified Arabic"/>
          <w:noProof/>
          <w:sz w:val="24"/>
          <w:szCs w:val="24"/>
          <w:rtl/>
        </w:rPr>
        <w:t>سياساتها و في جميع أنشطتها وقراراتها</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w:instrText>
      </w:r>
      <w:r w:rsidRPr="00DE1F7A">
        <w:rPr>
          <w:rFonts w:ascii="Simplified Arabic" w:hAnsi="Simplified Arabic" w:cs="Simplified Arabic"/>
          <w:noProof/>
          <w:sz w:val="24"/>
          <w:szCs w:val="24"/>
          <w:rtl/>
        </w:rPr>
        <w:instrText>&gt;الحمري&lt;/</w:instrText>
      </w:r>
      <w:r w:rsidRPr="00DE1F7A">
        <w:rPr>
          <w:rFonts w:ascii="Simplified Arabic" w:hAnsi="Simplified Arabic" w:cs="Simplified Arabic"/>
          <w:noProof/>
          <w:sz w:val="24"/>
          <w:szCs w:val="24"/>
        </w:rPr>
        <w:instrText>Author&gt;&lt;Year&gt;2025&lt;/Year&gt;&lt;RecNum&gt;183&lt;/RecNum&gt;&lt;DisplayText</w:instrText>
      </w:r>
      <w:r w:rsidRPr="00DE1F7A">
        <w:rPr>
          <w:rFonts w:ascii="Simplified Arabic" w:hAnsi="Simplified Arabic" w:cs="Simplified Arabic"/>
          <w:noProof/>
          <w:sz w:val="24"/>
          <w:szCs w:val="24"/>
          <w:rtl/>
        </w:rPr>
        <w:instrText>&gt;(الحمري, 2025)&lt;/</w:instrText>
      </w:r>
      <w:r w:rsidRPr="00DE1F7A">
        <w:rPr>
          <w:rFonts w:ascii="Simplified Arabic" w:hAnsi="Simplified Arabic" w:cs="Simplified Arabic"/>
          <w:noProof/>
          <w:sz w:val="24"/>
          <w:szCs w:val="24"/>
        </w:rPr>
        <w:instrText>DisplayText&gt;&lt;record&gt;&lt;rec-number&gt;183&lt;/rec-number&gt;&lt;foreign-keys&gt;&lt;key app="EN" db-id="02retxxrerxdxhe9aphvs0z2t9z25p0ew99s" timestamp="1754</w:instrText>
      </w:r>
      <w:r w:rsidRPr="00DE1F7A">
        <w:rPr>
          <w:rFonts w:ascii="Simplified Arabic" w:hAnsi="Simplified Arabic" w:cs="Simplified Arabic"/>
          <w:noProof/>
          <w:sz w:val="24"/>
          <w:szCs w:val="24"/>
          <w:rtl/>
        </w:rPr>
        <w:instrText>598889"&gt;183&lt;/</w:instrText>
      </w:r>
      <w:r w:rsidRPr="00DE1F7A">
        <w:rPr>
          <w:rFonts w:ascii="Simplified Arabic" w:hAnsi="Simplified Arabic" w:cs="Simplified Arabic"/>
          <w:noProof/>
          <w:sz w:val="24"/>
          <w:szCs w:val="24"/>
        </w:rPr>
        <w:instrText>key&gt;&lt;/foreign-keys&gt;&lt;ref-type name="Journal Article"&gt;17&lt;/ref-type&gt;&lt;contributors&gt;&lt;authors&gt;&lt;author&gt;&lt;style face="normal" font="default" charset="178" size="100%</w:instrText>
      </w:r>
      <w:r w:rsidRPr="00DE1F7A">
        <w:rPr>
          <w:rFonts w:ascii="Simplified Arabic" w:hAnsi="Simplified Arabic" w:cs="Simplified Arabic"/>
          <w:noProof/>
          <w:sz w:val="24"/>
          <w:szCs w:val="24"/>
          <w:rtl/>
        </w:rPr>
        <w:instrText>"&gt;منصور المطيري،عبد الله الحمري&lt;/</w:instrText>
      </w:r>
      <w:r w:rsidRPr="00DE1F7A">
        <w:rPr>
          <w:rFonts w:ascii="Simplified Arabic" w:hAnsi="Simplified Arabic" w:cs="Simplified Arabic"/>
          <w:noProof/>
          <w:sz w:val="24"/>
          <w:szCs w:val="24"/>
        </w:rPr>
        <w:instrText>style&gt;&lt;/author&gt;&lt;/authors&gt;&lt;/contributors&gt;&lt;titles&gt;&lt;title&gt;&lt;style face="normal" font="default" charset="178" size="100%</w:instrText>
      </w:r>
      <w:r w:rsidRPr="00DE1F7A">
        <w:rPr>
          <w:rFonts w:ascii="Simplified Arabic" w:hAnsi="Simplified Arabic" w:cs="Simplified Arabic"/>
          <w:noProof/>
          <w:sz w:val="24"/>
          <w:szCs w:val="24"/>
          <w:rtl/>
        </w:rPr>
        <w:instrText>"&gt;أثر السلامة المهنية على أداء العاملين بالمنظمات الصحية (دراسة تطبيقية على مستشفى الملك فهد العام بمحافظة جدة)&lt;/</w:instrText>
      </w:r>
      <w:r w:rsidRPr="00DE1F7A">
        <w:rPr>
          <w:rFonts w:ascii="Simplified Arabic" w:hAnsi="Simplified Arabic" w:cs="Simplified Arabic"/>
          <w:noProof/>
          <w:sz w:val="24"/>
          <w:szCs w:val="24"/>
        </w:rPr>
        <w:instrText>style&gt;&lt;/title&gt;&lt;secondary-title&gt;&lt;style face="normal" font="default" charset="178</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size="100%</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style&gt;&lt;/secondary-title&gt;&lt;/titles&gt;&lt;periodical&gt;&lt;full-title</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full-title&gt;&lt;/periodical&gt;&lt;dates&gt;&lt;year&gt;&lt;style face="normal" font="default" charset="178" size="100%"&gt;2025&lt;/style&gt;&lt;/year&gt;&lt;/dates&gt;&lt;isbn&gt;2709-7064&lt;/isbn&gt;&lt;urls&gt;&lt;/urls&gt;&lt;electronic-resource-num&gt;doi.org/10.52133/ijrsp.v3.36.5&lt;/electronic-resource-num&gt;&lt;/record&gt;&lt;/Cite&gt;&lt;/EndNote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(الحمري, 2025)</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علاوة على ذلك تشمل هذه الثقافة طريقة تعامل الأفراد مع الأخطاء والحوادث، ومدى الانفتاح في التواصل حول المخاطر، وردود فعل الإدارة عند وقوع الأخطاء، بالإضافة إلى تشجيع التعلم المستمر والعمل على تحسين الأداء.</w:t>
      </w:r>
    </w:p>
    <w:p w14:paraId="518A0FAB" w14:textId="77777777"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تشير المراجعات المنهجية إلى أن وجود ثقافة سلامة إيجابية مرتبط بانخفاض معدلات الأخطاء الدوائية، والعدوى المكتسبة في المستشفيات، والحوادث الضارة الأخرى، بالإضافة إلى تعزيز ثقة المرضى وتحسين جودة الرعاية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وفي المملكة العربية السعودية، كشفت الدراسات عن تفاوت في مدى قوة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بين المستشفيات، مع وجود عناصر مثل دعم الإدارة، والعمل الجماعي في الاقسام، والرد غير العقابي على الأخطاء كعوامل رئيسية في تعزيز سلامة المرضى</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 Alsahli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3887EE16" w14:textId="57C3A047" w:rsidR="00390B53" w:rsidRPr="00DE1F7A" w:rsidRDefault="00390B53"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وتظهر نتائج عدد من الدراسات التطبيقية أن ثقافة سلامة إيجابية تمثل حلقة وصل أساسية بين الأساليب القيادية وسلوكيات العاملين ونتائج المرضى، إذ تؤدي القيادة الداعمة للسلامة إلى ترسيخ قيم الانفتاح على الإبلاغ والتعلم من الأخطاء، وهو ما ينعكس بدوره في ارتفاع مستويات سلوكيات السلامة وانخفاض </w:t>
      </w:r>
      <w:r w:rsidRPr="007877B6">
        <w:rPr>
          <w:rFonts w:ascii="Simplified Arabic" w:hAnsi="Simplified Arabic" w:cs="Simplified Arabic"/>
          <w:noProof/>
          <w:sz w:val="24"/>
          <w:szCs w:val="24"/>
          <w:rtl/>
        </w:rPr>
        <w:t xml:space="preserve">معدلات </w:t>
      </w:r>
      <w:r w:rsidR="007877B6" w:rsidRPr="007877B6">
        <w:rPr>
          <w:rFonts w:ascii="Simplified Arabic" w:eastAsia="Arial" w:hAnsi="Simplified Arabic" w:cs="Simplified Arabic" w:hint="cs"/>
          <w:color w:val="000000"/>
          <w:sz w:val="24"/>
          <w:szCs w:val="24"/>
          <w:rtl/>
        </w:rPr>
        <w:t>التقليل</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المُدرَك</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للأحداث</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الضارة</w:t>
      </w:r>
      <w:r w:rsidRPr="007877B6">
        <w:rPr>
          <w:rFonts w:ascii="Simplified Arabic" w:hAnsi="Simplified Arabic" w:cs="Simplified Arabic"/>
          <w:noProof/>
          <w:sz w:val="24"/>
          <w:szCs w:val="24"/>
          <w:rtl/>
        </w:rPr>
        <w:t xml:space="preserve"> داخل</w:t>
      </w:r>
      <w:r w:rsidRPr="00DE1F7A">
        <w:rPr>
          <w:rFonts w:ascii="Simplified Arabic" w:hAnsi="Simplified Arabic" w:cs="Simplified Arabic"/>
          <w:noProof/>
          <w:sz w:val="24"/>
          <w:szCs w:val="24"/>
          <w:rtl/>
        </w:rPr>
        <w:t xml:space="preserve"> المستشفيات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Pr>
        <w:instrText>ADDIN EN.CITE</w:instrText>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Pr>
        <w:instrText>ADDIN EN.CITE.DATA</w:instrText>
      </w:r>
      <w:r w:rsidR="00BE1BA2">
        <w:rPr>
          <w:rFonts w:ascii="Simplified Arabic" w:hAnsi="Simplified Arabic" w:cs="Simplified Arabic"/>
          <w:noProof/>
          <w:sz w:val="24"/>
          <w:szCs w:val="24"/>
          <w:rtl/>
        </w:rPr>
        <w:instrText xml:space="preserve"> </w:instrText>
      </w:r>
      <w:r w:rsidR="00BE1BA2">
        <w:rPr>
          <w:rFonts w:ascii="Simplified Arabic" w:hAnsi="Simplified Arabic" w:cs="Simplified Arabic"/>
          <w:noProof/>
          <w:sz w:val="24"/>
          <w:szCs w:val="24"/>
          <w:rtl/>
        </w:rPr>
      </w:r>
      <w:r w:rsidR="00BE1BA2">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00BE1BA2">
        <w:rPr>
          <w:rFonts w:ascii="Simplified Arabic" w:hAnsi="Simplified Arabic" w:cs="Simplified Arabic"/>
          <w:noProof/>
          <w:sz w:val="24"/>
          <w:szCs w:val="24"/>
          <w:rtl/>
        </w:rPr>
        <w:t>(</w:t>
      </w:r>
      <w:r w:rsidR="00BE1BA2">
        <w:rPr>
          <w:rFonts w:ascii="Simplified Arabic" w:hAnsi="Simplified Arabic" w:cs="Simplified Arabic"/>
          <w:noProof/>
          <w:sz w:val="24"/>
          <w:szCs w:val="24"/>
        </w:rPr>
        <w:t>Alrasheeday et al., 2024; Mistri et al., 2023</w:t>
      </w:r>
      <w:r w:rsidR="00BE1BA2">
        <w:rPr>
          <w:rFonts w:ascii="Simplified Arabic" w:hAnsi="Simplified Arabic" w:cs="Simplified Arabic"/>
          <w:noProof/>
          <w:sz w:val="24"/>
          <w:szCs w:val="24"/>
          <w:rtl/>
        </w:rPr>
        <w:t>; مخدوم, 2019)</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1C58919" w14:textId="3BF6F702" w:rsidR="00390B53" w:rsidRPr="00DE1F7A" w:rsidRDefault="00DE1F7A" w:rsidP="000A33FE">
      <w:pPr>
        <w:bidi/>
        <w:spacing w:before="210" w:after="0" w:line="360" w:lineRule="auto"/>
        <w:rPr>
          <w:rFonts w:ascii="Simplified Arabic" w:hAnsi="Simplified Arabic" w:cs="Simplified Arabic"/>
          <w:b/>
          <w:bCs/>
          <w:noProof/>
          <w:sz w:val="24"/>
          <w:szCs w:val="24"/>
        </w:rPr>
      </w:pPr>
      <w:r w:rsidRPr="00DE1F7A">
        <w:rPr>
          <w:rFonts w:ascii="Simplified Arabic" w:hAnsi="Simplified Arabic" w:cs="Simplified Arabic"/>
          <w:b/>
          <w:bCs/>
          <w:noProof/>
          <w:sz w:val="24"/>
          <w:szCs w:val="24"/>
          <w:rtl/>
        </w:rPr>
        <w:lastRenderedPageBreak/>
        <w:t>2.</w:t>
      </w:r>
      <w:r w:rsidR="0084065A">
        <w:rPr>
          <w:rFonts w:ascii="Simplified Arabic" w:hAnsi="Simplified Arabic" w:cs="Simplified Arabic" w:hint="cs"/>
          <w:b/>
          <w:bCs/>
          <w:noProof/>
          <w:sz w:val="24"/>
          <w:szCs w:val="24"/>
          <w:rtl/>
        </w:rPr>
        <w:t>6</w:t>
      </w:r>
      <w:r w:rsidR="00A57EF5">
        <w:rPr>
          <w:rFonts w:ascii="Simplified Arabic" w:hAnsi="Simplified Arabic" w:cs="Simplified Arabic" w:hint="cs"/>
          <w:b/>
          <w:bCs/>
          <w:noProof/>
          <w:sz w:val="24"/>
          <w:szCs w:val="24"/>
          <w:rtl/>
        </w:rPr>
        <w:t>.1</w:t>
      </w:r>
      <w:r w:rsidR="00390B53" w:rsidRPr="00DE1F7A">
        <w:rPr>
          <w:rFonts w:ascii="Simplified Arabic" w:hAnsi="Simplified Arabic" w:cs="Simplified Arabic"/>
          <w:b/>
          <w:bCs/>
          <w:noProof/>
          <w:sz w:val="24"/>
          <w:szCs w:val="24"/>
          <w:rtl/>
        </w:rPr>
        <w:t xml:space="preserve">أبعاد </w:t>
      </w:r>
      <w:r w:rsidR="000A33FE" w:rsidRPr="000A33FE">
        <w:rPr>
          <w:rFonts w:ascii="Simplified Arabic" w:hAnsi="Simplified Arabic" w:cs="Simplified Arabic"/>
          <w:b/>
          <w:bCs/>
          <w:noProof/>
          <w:sz w:val="24"/>
          <w:szCs w:val="24"/>
          <w:rtl/>
        </w:rPr>
        <w:t>ثقافة سلامة المرضى</w:t>
      </w:r>
      <w:r w:rsidR="00390B53" w:rsidRPr="00DE1F7A">
        <w:rPr>
          <w:rFonts w:ascii="Simplified Arabic" w:hAnsi="Simplified Arabic" w:cs="Simplified Arabic"/>
          <w:b/>
          <w:bCs/>
          <w:noProof/>
          <w:sz w:val="24"/>
          <w:szCs w:val="24"/>
          <w:rtl/>
        </w:rPr>
        <w:t xml:space="preserve"> في الدراسة الحالية</w:t>
      </w:r>
    </w:p>
    <w:p w14:paraId="22296C62" w14:textId="04B8D91A" w:rsidR="00390B53" w:rsidRPr="00DE1F7A" w:rsidRDefault="00390B53" w:rsidP="000A33FE">
      <w:pPr>
        <w:bidi/>
        <w:spacing w:before="210" w:after="0" w:line="360" w:lineRule="auto"/>
        <w:rPr>
          <w:rFonts w:ascii="Simplified Arabic" w:hAnsi="Simplified Arabic" w:cs="Simplified Arabic"/>
          <w:noProof/>
          <w:sz w:val="24"/>
          <w:szCs w:val="24"/>
          <w:rtl/>
        </w:rPr>
      </w:pPr>
      <w:r w:rsidRPr="00DE1F7A">
        <w:rPr>
          <w:rFonts w:ascii="Simplified Arabic" w:hAnsi="Simplified Arabic" w:cs="Simplified Arabic"/>
          <w:noProof/>
          <w:sz w:val="24"/>
          <w:szCs w:val="24"/>
          <w:rtl/>
        </w:rPr>
        <w:t>تستخدم الدراسة الحالية استبيا</w:t>
      </w:r>
      <w:r w:rsidR="00F066E2">
        <w:rPr>
          <w:rFonts w:ascii="Simplified Arabic" w:hAnsi="Simplified Arabic" w:cs="Simplified Arabic" w:hint="cs"/>
          <w:noProof/>
          <w:sz w:val="24"/>
          <w:szCs w:val="24"/>
          <w:rtl/>
        </w:rPr>
        <w:t>ن</w:t>
      </w:r>
      <w:r w:rsidRPr="00DE1F7A">
        <w:rPr>
          <w:rFonts w:ascii="Simplified Arabic" w:hAnsi="Simplified Arabic" w:cs="Simplified Arabic"/>
          <w:noProof/>
          <w:sz w:val="24"/>
          <w:szCs w:val="24"/>
          <w:rtl/>
        </w:rPr>
        <w:t xml:space="preserve"> «ثقافة سلامة المرضى في المستشفيات» (</w:t>
      </w:r>
      <w:r w:rsidRPr="00DE1F7A">
        <w:rPr>
          <w:rFonts w:ascii="Simplified Arabic" w:hAnsi="Simplified Arabic" w:cs="Simplified Arabic"/>
          <w:noProof/>
          <w:sz w:val="24"/>
          <w:szCs w:val="24"/>
        </w:rPr>
        <w:t>HSOPSC</w:t>
      </w:r>
      <w:r w:rsidRPr="00DE1F7A">
        <w:rPr>
          <w:rFonts w:ascii="Simplified Arabic" w:hAnsi="Simplified Arabic" w:cs="Simplified Arabic"/>
          <w:noProof/>
          <w:sz w:val="24"/>
          <w:szCs w:val="24"/>
          <w:rtl/>
        </w:rPr>
        <w:t xml:space="preserve">) لقياس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مع التركيز على أربعة أبعاد رئيسة تتعلق مباشرة بالقيادة وسلوكيات السلامة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2A2FBF73" w14:textId="77777777" w:rsidR="00390B53" w:rsidRPr="00DE1F7A" w:rsidRDefault="00390B53">
      <w:pPr>
        <w:numPr>
          <w:ilvl w:val="0"/>
          <w:numId w:val="8"/>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دعم الإدارة للسلامة</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يعكس مدى التزام الإدارة العليا والمتوسطة بإعطاء الأولوية لسلامة المرضى من خلال عمليات التخطيط، إدارة الموارد، وضع السياسات، واستجابتها للمخاطر والحوادث.كما أظهرت دراسات في السعودية أن تصور العاملين لدعم الإدارة يعد من العوامل الأساسية التي تتنبأ بسلوكياتهم في الإبلاغ عن الحوادث.</w:t>
      </w:r>
    </w:p>
    <w:p w14:paraId="04D05C13" w14:textId="7F281FAC" w:rsidR="00390B53" w:rsidRPr="00DE1F7A" w:rsidRDefault="00390B53">
      <w:pPr>
        <w:numPr>
          <w:ilvl w:val="0"/>
          <w:numId w:val="8"/>
        </w:numPr>
        <w:bidi/>
        <w:spacing w:after="12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التواصل المفتوح بشأن الأخطاء</w:t>
      </w:r>
      <w:r w:rsidRPr="00DE1F7A">
        <w:rPr>
          <w:rFonts w:ascii="Simplified Arabic" w:hAnsi="Simplified Arabic" w:cs="Simplified Arabic"/>
          <w:b/>
          <w:bCs/>
          <w:noProof/>
          <w:sz w:val="24"/>
          <w:szCs w:val="24"/>
          <w:rtl/>
        </w:rPr>
        <w:br/>
      </w:r>
      <w:r w:rsidRPr="00DE1F7A">
        <w:rPr>
          <w:rFonts w:ascii="Simplified Arabic" w:hAnsi="Simplified Arabic" w:cs="Simplified Arabic"/>
          <w:noProof/>
          <w:sz w:val="24"/>
          <w:szCs w:val="24"/>
          <w:rtl/>
        </w:rPr>
        <w:t>يعكس وجود قنوات واضحة وآمنة للإبلاغ عن الأخطاء وقرب حدوثها، مع إمكانية مناقشتها دون خوف من اللوم أو العقاب غير العادل حيث يعد التواصل المفتوح مرتبطًا بزيادة تقارير الأخطاء ال</w:t>
      </w:r>
      <w:r w:rsidR="00637A10">
        <w:rPr>
          <w:rFonts w:ascii="Simplified Arabic" w:hAnsi="Simplified Arabic" w:cs="Simplified Arabic" w:hint="cs"/>
          <w:noProof/>
          <w:sz w:val="24"/>
          <w:szCs w:val="24"/>
          <w:rtl/>
        </w:rPr>
        <w:t>أ</w:t>
      </w:r>
      <w:r w:rsidRPr="00DE1F7A">
        <w:rPr>
          <w:rFonts w:ascii="Simplified Arabic" w:hAnsi="Simplified Arabic" w:cs="Simplified Arabic"/>
          <w:noProof/>
          <w:sz w:val="24"/>
          <w:szCs w:val="24"/>
          <w:rtl/>
        </w:rPr>
        <w:t xml:space="preserve">حداث الجسيمة ، ويعتبر مؤشرًا على بيئة تعليمية حيوية وديناميكية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وهذا</w:t>
      </w:r>
      <w:r w:rsidR="007753C8">
        <w:rPr>
          <w:rFonts w:ascii="Simplified Arabic" w:hAnsi="Simplified Arabic" w:cs="Simplified Arabic" w:hint="cs"/>
          <w:noProof/>
          <w:sz w:val="24"/>
          <w:szCs w:val="24"/>
          <w:rtl/>
        </w:rPr>
        <w:t xml:space="preserve"> </w:t>
      </w:r>
      <w:r w:rsidRPr="00DE1F7A">
        <w:rPr>
          <w:rFonts w:ascii="Simplified Arabic" w:hAnsi="Simplified Arabic" w:cs="Simplified Arabic"/>
          <w:noProof/>
          <w:sz w:val="24"/>
          <w:szCs w:val="24"/>
          <w:rtl/>
        </w:rPr>
        <w:t xml:space="preserve">يُساهم في تعزيز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وتوجيه الممارسين الصحيين نحو تحسين جودة الرعاية الصحية</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4868E858" w14:textId="77777777" w:rsidR="00390B53" w:rsidRPr="00DE1F7A" w:rsidRDefault="00390B53">
      <w:pPr>
        <w:numPr>
          <w:ilvl w:val="0"/>
          <w:numId w:val="8"/>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التعلم المستمر من الحوادث</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يشير إلى مدى اعتماد المستشفيات في القطاع الصحي على الحوادث والأخطاء كمصادر للتعلم والتحسين، من خلال تحليل الأسباب الجذرية، وتنفيذ إجراءات تصحيحية، ومتابعة نتائجها ويعد هذا الجانب محورًا رئيسيًا في نماذج إدارة الجودة التي تهدف إلى تحسين سلامة المرضى .</w:t>
      </w:r>
    </w:p>
    <w:p w14:paraId="7BA64E95" w14:textId="77777777" w:rsidR="00390B53" w:rsidRPr="00DE1F7A" w:rsidRDefault="00390B53">
      <w:pPr>
        <w:numPr>
          <w:ilvl w:val="0"/>
          <w:numId w:val="8"/>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العمل الجماعي والتعاون</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يقيس مستوى الثقة والتعاون بين أعضاء الفريق في الوحدة ومع الوحدات الأخرى، بالإضافة إلى كيفية تنسيق الجهود لضمان رعاية صحية آمنة ومتسقة للمرضى كما أظهرت الدراسات أن الفرق ذات العلاقات القوية والتواصل الجيد أقل عرضة لارتكاب أخطاء خطيرة</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3621A96F" w14:textId="12E79F56" w:rsidR="00390B53" w:rsidRPr="00DE1F7A" w:rsidRDefault="00DE1F7A" w:rsidP="00390B53">
      <w:pPr>
        <w:bidi/>
        <w:spacing w:before="210" w:after="0" w:line="360" w:lineRule="auto"/>
        <w:rPr>
          <w:rFonts w:ascii="Simplified Arabic" w:hAnsi="Simplified Arabic" w:cs="Simplified Arabic"/>
          <w:b/>
          <w:bCs/>
          <w:noProof/>
          <w:sz w:val="24"/>
          <w:szCs w:val="24"/>
          <w:rtl/>
        </w:rPr>
      </w:pPr>
      <w:r w:rsidRPr="00DE1F7A">
        <w:rPr>
          <w:rFonts w:ascii="Simplified Arabic" w:hAnsi="Simplified Arabic" w:cs="Simplified Arabic"/>
          <w:b/>
          <w:bCs/>
          <w:noProof/>
          <w:sz w:val="24"/>
          <w:szCs w:val="24"/>
          <w:rtl/>
        </w:rPr>
        <w:t>2.</w:t>
      </w:r>
      <w:r w:rsidR="0084065A">
        <w:rPr>
          <w:rFonts w:ascii="Simplified Arabic" w:hAnsi="Simplified Arabic" w:cs="Simplified Arabic" w:hint="cs"/>
          <w:b/>
          <w:bCs/>
          <w:noProof/>
          <w:sz w:val="24"/>
          <w:szCs w:val="24"/>
          <w:rtl/>
        </w:rPr>
        <w:t>6</w:t>
      </w:r>
      <w:r w:rsidR="00A57EF5">
        <w:rPr>
          <w:rFonts w:ascii="Simplified Arabic" w:hAnsi="Simplified Arabic" w:cs="Simplified Arabic" w:hint="cs"/>
          <w:b/>
          <w:bCs/>
          <w:noProof/>
          <w:sz w:val="24"/>
          <w:szCs w:val="24"/>
          <w:rtl/>
        </w:rPr>
        <w:t>.2</w:t>
      </w:r>
      <w:r w:rsidR="00390B53" w:rsidRPr="00DE1F7A">
        <w:rPr>
          <w:rFonts w:ascii="Simplified Arabic" w:hAnsi="Simplified Arabic" w:cs="Simplified Arabic"/>
          <w:b/>
          <w:bCs/>
          <w:noProof/>
          <w:sz w:val="24"/>
          <w:szCs w:val="24"/>
          <w:rtl/>
        </w:rPr>
        <w:t>سلوكيات السلامة لدى الممارسين الصحيين</w:t>
      </w:r>
    </w:p>
    <w:p w14:paraId="446DD22D" w14:textId="77777777"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تشير سلوكيات السلامة إلى مجموعة الأفعال والإجراءات اليومية التي يمارسها الممارسون الصحيون بهدف حماية المرضى من الأذى وتقليل احتمالية وقوع الأخطاء والحوادث داخل المستشفى، وتشمل الالتزام بالبروتوكولات الإكلينيكية المعتمدة، واتباع سياسات مكافحة </w:t>
      </w:r>
      <w:r w:rsidRPr="00DE1F7A">
        <w:rPr>
          <w:rFonts w:ascii="Simplified Arabic" w:hAnsi="Simplified Arabic" w:cs="Simplified Arabic"/>
          <w:noProof/>
          <w:sz w:val="24"/>
          <w:szCs w:val="24"/>
          <w:rtl/>
        </w:rPr>
        <w:lastRenderedPageBreak/>
        <w:t xml:space="preserve">العدوى، وإجراءات التحقق من هوية المرضى، وتطبيق قوائم التحقق في الإجراءات الحرجة، والإبلاغ عن الحوادث وقرب وقوعها، والمشاركة في برامج التدريب والتحسين المتعلقة بالسلامة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وتعد هذه السلوكيات تجسيدًا عمليًا لقيم و</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السائدة في المستشفى، إذ تعكس مدى استعداد العاملين لترجمة التوجهات التنظيمية إلى ممارسات ملموسة في بيئة العمل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Konlan &amp; Shin,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4424F3CB" w14:textId="7414DADB" w:rsidR="00390B53" w:rsidRPr="00DE1F7A" w:rsidRDefault="00390B53" w:rsidP="00390B53">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يمكن التمييز بين نوعين رئيسيين من سلوكيات السلامة: الأول يتضمن السلوكيات الالتزامية التي تركز على الالتزام الصارم بالإرشادات والسياسات، مثل غسل اليدين في حسب</w:t>
      </w:r>
      <w:r w:rsidR="00C04DA8">
        <w:rPr>
          <w:rFonts w:ascii="Simplified Arabic" w:hAnsi="Simplified Arabic" w:cs="Simplified Arabic" w:hint="cs"/>
          <w:noProof/>
          <w:sz w:val="24"/>
          <w:szCs w:val="24"/>
          <w:rtl/>
        </w:rPr>
        <w:t xml:space="preserve"> </w:t>
      </w:r>
      <w:r w:rsidR="00C04DA8" w:rsidRPr="00C04DA8">
        <w:rPr>
          <w:rFonts w:ascii="Simplified Arabic" w:eastAsia="Arial" w:hAnsi="Simplified Arabic" w:cs="Simplified Arabic"/>
          <w:color w:val="000000"/>
          <w:sz w:val="24"/>
          <w:szCs w:val="24"/>
          <w:rtl/>
        </w:rPr>
        <w:t>البروتوكولات</w:t>
      </w:r>
      <w:r w:rsidRPr="00DE1F7A">
        <w:rPr>
          <w:rFonts w:ascii="Simplified Arabic" w:hAnsi="Simplified Arabic" w:cs="Simplified Arabic"/>
          <w:noProof/>
          <w:sz w:val="24"/>
          <w:szCs w:val="24"/>
          <w:rtl/>
        </w:rPr>
        <w:t xml:space="preserve"> المنظمة لذلك، والتحقق المزدوج من الأدوية وجرعاتها، واتباع تعليمات الوقاية من العدوى</w: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Khan et al., 2018; Shenoy, 2021</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 أما النوع الثاني فيشمل السلوكيات الاستباقية أو الإبلاغية التي تهدف إلى الكشف عن الأخطاء والمخاطر قبل أن تتسبب في حوادث ضارة، مثل الإبلاغ عن الأخطاء وقرب وقوعها، وتقديم المقترحات لتحسين الإجراءات، والمشاركة في فرق الجودة وسلامة المرضى</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&lt;EndNote&gt;&lt;Cite&gt;&lt;Author&gt;Alghamdi&lt;/Author&gt;&lt;Year&gt;2026&lt;/Year&gt;&lt;RecNum&gt;262&lt;/RecNum&gt;&lt;DisplayText&gt;(Alghamdi, 2026)&lt;/DisplayText&gt;&lt;record&gt;&lt;rec-number&gt;262&lt;/rec-number&gt;&lt;foreign-keys&gt;&lt;key app="EN" db-id="02retxxrerxdxhe9aphvs0z2t9z25p0ew99s" timestamp</w:instrText>
      </w:r>
      <w:r w:rsidRPr="00DE1F7A">
        <w:rPr>
          <w:rFonts w:ascii="Simplified Arabic" w:hAnsi="Simplified Arabic" w:cs="Simplified Arabic"/>
          <w:noProof/>
          <w:sz w:val="24"/>
          <w:szCs w:val="24"/>
          <w:rtl/>
        </w:rPr>
        <w:instrText>="1772385543"&gt;262&lt;/</w:instrText>
      </w:r>
      <w:r w:rsidRPr="00DE1F7A">
        <w:rPr>
          <w:rFonts w:ascii="Simplified Arabic" w:hAnsi="Simplified Arabic" w:cs="Simplified Arabic"/>
          <w:noProof/>
          <w:sz w:val="24"/>
          <w:szCs w:val="24"/>
        </w:rPr>
        <w:instrText>key&gt;&lt;/foreign-keys&gt;&lt;ref-type name="Journal Article"&gt;17&lt;/ref-type&gt;&lt;contributors&gt;&lt;authors&gt;&lt;author&gt;Alghamdi, S. A.&lt;/author&gt;&lt;/authors&gt;&lt;/contributors&gt;&lt;auth-address&gt;Department of Clinical Pharmacy, Faculty of Pharmacy, Al-Baha University, Al-Baha, Kingdom of Saudi Arabia.&lt;/auth-address&gt;&lt;titles&gt;&lt;title&gt;Medication Errors Reporting and Analysis: A Comparative Study for Advancing Medication Safety Practices in Ministry of Health Hospitals in Saudi Arabia&lt;/title&gt;&lt;secondary-title&gt;Saudi Med J&lt;/secondary-title&gt;&lt;/titles&gt;&lt;periodical&gt;&lt;full-title&gt;Saudi Med J&lt;/full-title&gt;&lt;/periodical&gt;&lt;pages&gt;102-113&lt;/pages&gt;&lt;volume&gt;47&lt;/volume&gt;&lt;number&gt;1&lt;/number&gt;&lt;edition&gt;2026/02/03&lt;/edition&gt;&lt;keywords&gt;&lt;keyword&gt;Saudi Arabia&lt;/keyword&gt;&lt;keyword&gt;*Medication Errors/statistics &amp;amp; numerical data/prevention &amp;amp; control&lt;/keyword&gt;&lt;keyword&gt;Humans&lt;/keyword&gt;&lt;keyword&gt;Cross-Sectional Studies&lt;/keyword&gt;&lt;keyword&gt;Retrospective Studies&lt;/keyword&gt;&lt;keyword&gt;Female&lt;/keyword&gt;&lt;keyword&gt;Male&lt;/keyword&gt;&lt;keyword&gt;Patient Safety&lt;/keyword&gt;&lt;keyword&gt;Hospitals&lt;/keyword&gt;&lt;keyword&gt;Health care policy implementation&lt;/keyword&gt;&lt;keyword&gt;Medication safety&lt;/keyword&gt;&lt;keyword&gt;Medications errors&lt;/keyword&gt;&lt;keyword&gt;Pharmacovigilance&lt;/keyword&gt;&lt;/keywords&gt;&lt;dates&gt;&lt;year&gt;2026&lt;/year&gt;&lt;pub-dates&gt;&lt;date&gt;Jan&lt;/date&gt;&lt;/pub-dates&gt;&lt;/dates&gt;&lt;isbn</w:instrText>
      </w:r>
      <w:r w:rsidRPr="00DE1F7A">
        <w:rPr>
          <w:rFonts w:ascii="Simplified Arabic" w:hAnsi="Simplified Arabic" w:cs="Simplified Arabic"/>
          <w:noProof/>
          <w:sz w:val="24"/>
          <w:szCs w:val="24"/>
          <w:rtl/>
        </w:rPr>
        <w:instrText xml:space="preserve">&gt;1658-3175 </w:instrText>
      </w:r>
      <w:r w:rsidRPr="00DE1F7A">
        <w:rPr>
          <w:rFonts w:ascii="Simplified Arabic" w:hAnsi="Simplified Arabic" w:cs="Simplified Arabic"/>
          <w:noProof/>
          <w:sz w:val="24"/>
          <w:szCs w:val="24"/>
        </w:rPr>
        <w:instrText>(Electronic)&amp;#xD;0379-5284 (Print)&amp;#xD;0379-5284 (Linking)&lt;/isbn&gt;&lt;accession-num&gt;41628962&lt;/accession-num&gt;&lt;urls&gt;&lt;related-urls&gt;&lt;url&gt;https://www.ncbi.nlm.nih.gov/pubmed/41628962&lt;/url&gt;&lt;/related-urls&gt;&lt;/urls&gt;&lt;custom2&gt;PMC12862582&lt;/custom2&gt;&lt;electronic-resource-num&gt;10.15537/smj.2026.47.1.20250755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Alghamdi, 2026</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كما بينت الدراسات أن وجود ثقافة سلامة إيجابية وداعمة يرتبط بزيادة تبني هذه السلوكيات، بينما تساهم ثقافة اللوم والخوف في تقليل مدى استعداد العاملين للإبلاغ والمبادرة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8A99EB7" w14:textId="681BF2B2"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كما تشير نتائج العديد من الدراسات إلى أن سلوكيات السلامة تشكل حلقة وسيطة مهمة بين العوامل التنظيمية والنتائج السريرية. فالقائد الذي يستخدم أسلوب القيادة التحويلية يعزز لدى العاملين شعورهم بالمسؤولية الأخلاقية ويشجعهم على التفكير النقدي والإبلاغ عن المشكلات</w:t>
      </w:r>
      <w:r w:rsidR="007877B6">
        <w:rPr>
          <w:rFonts w:ascii="Simplified Arabic" w:hAnsi="Simplified Arabic" w:cs="Simplified Arabic"/>
          <w:noProof/>
          <w:sz w:val="24"/>
          <w:szCs w:val="24"/>
          <w:rtl/>
        </w:rPr>
        <w:t>مما يؤدي إلى ارتفاع الالتزام بسلوكيات السلامة وتقليل حدوث الأحداث الضارة بشكل واضح</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 Alotaibi et al., 2015; Althaibah et al.,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وبناءً على ذلك، تتناول الدراسة الحالية سلوكيات السلامة كمتغير وسيط رئيسي يربط بين القيادة التحويلية و</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من جهة، </w:t>
      </w:r>
      <w:r w:rsidR="00845D76" w:rsidRPr="00845D76">
        <w:rPr>
          <w:rFonts w:ascii="Simplified Arabic" w:eastAsia="Arial" w:hAnsi="Simplified Arabic" w:cs="Simplified Arabic"/>
          <w:color w:val="000000"/>
          <w:sz w:val="24"/>
          <w:szCs w:val="24"/>
          <w:rtl/>
        </w:rPr>
        <w:t>وبين التقليل المُدرَك للأحداث الضارة من جهة أخرى</w:t>
      </w:r>
      <w:r w:rsidRPr="00DE1F7A">
        <w:rPr>
          <w:rFonts w:ascii="Simplified Arabic" w:hAnsi="Simplified Arabic" w:cs="Simplified Arabic"/>
          <w:noProof/>
          <w:sz w:val="24"/>
          <w:szCs w:val="24"/>
          <w:rtl/>
        </w:rPr>
        <w:t>، وذلك عن طريق قياس مدى التزام العاملين بالممارسات الأساسية المتعلقة بسلامة المرضى</w: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7E3AC8DD" w14:textId="77777777"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 وانطلاقًا من ما تقدم، تعتمد الدراسة الحالية على تصور سلوكيات السلامة كمظهر عملي لتأثير القيادة التحويلية وثقافة سلامة المرضى، حيث يتوقع أن تزرع القيادة التحويلية الدافعية والمسؤولية الأخلاقية نحو السلامة، في حين توفر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البيئة التنظيمية الداعمة لتبني هذه السلوكيات، مما يعكس تأثيرهما معًا في مستوى أعلى من الالتزام بالسلوكيات الوقائية والاستباقية في المستشفيات الحكومية بمنطقة الدراسة </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3038C630" w14:textId="0FB69687" w:rsidR="00390B53" w:rsidRPr="007877B6" w:rsidRDefault="00330031" w:rsidP="00390B53">
      <w:pPr>
        <w:bidi/>
        <w:spacing w:before="210" w:after="0" w:line="360" w:lineRule="auto"/>
        <w:rPr>
          <w:rFonts w:ascii="Simplified Arabic" w:hAnsi="Simplified Arabic" w:cs="Simplified Arabic"/>
          <w:b/>
          <w:bCs/>
          <w:noProof/>
          <w:sz w:val="24"/>
          <w:szCs w:val="24"/>
          <w:rtl/>
        </w:rPr>
      </w:pPr>
      <w:r w:rsidRPr="007877B6">
        <w:rPr>
          <w:rFonts w:ascii="Simplified Arabic" w:hAnsi="Simplified Arabic" w:cs="Simplified Arabic"/>
          <w:b/>
          <w:bCs/>
          <w:noProof/>
          <w:sz w:val="24"/>
          <w:szCs w:val="24"/>
        </w:rPr>
        <w:t>2.</w:t>
      </w:r>
      <w:r w:rsidR="0084065A" w:rsidRPr="007877B6">
        <w:rPr>
          <w:rFonts w:ascii="Simplified Arabic" w:hAnsi="Simplified Arabic" w:cs="Simplified Arabic"/>
          <w:b/>
          <w:bCs/>
          <w:noProof/>
          <w:sz w:val="24"/>
          <w:szCs w:val="24"/>
        </w:rPr>
        <w:t>6</w:t>
      </w:r>
      <w:r w:rsidR="00A57EF5" w:rsidRPr="007877B6">
        <w:rPr>
          <w:rFonts w:ascii="Simplified Arabic" w:hAnsi="Simplified Arabic" w:cs="Simplified Arabic"/>
          <w:b/>
          <w:bCs/>
          <w:noProof/>
          <w:sz w:val="24"/>
          <w:szCs w:val="24"/>
        </w:rPr>
        <w:t>.3</w:t>
      </w:r>
      <w:r w:rsidR="00390B53" w:rsidRPr="007877B6">
        <w:rPr>
          <w:rFonts w:ascii="Simplified Arabic" w:hAnsi="Simplified Arabic" w:cs="Simplified Arabic"/>
          <w:b/>
          <w:bCs/>
          <w:noProof/>
          <w:sz w:val="24"/>
          <w:szCs w:val="24"/>
        </w:rPr>
        <w:t xml:space="preserve"> </w:t>
      </w:r>
      <w:r w:rsidR="007877B6" w:rsidRPr="007877B6">
        <w:rPr>
          <w:rFonts w:ascii="Simplified Arabic" w:eastAsia="Arial" w:hAnsi="Simplified Arabic" w:cs="Simplified Arabic"/>
          <w:b/>
          <w:bCs/>
          <w:color w:val="000000"/>
          <w:sz w:val="24"/>
          <w:szCs w:val="24"/>
          <w:rtl/>
        </w:rPr>
        <w:t xml:space="preserve"> </w:t>
      </w:r>
      <w:r w:rsidR="00082AAA">
        <w:rPr>
          <w:rFonts w:ascii="Simplified Arabic" w:eastAsia="Arial" w:hAnsi="Simplified Arabic" w:cs="Simplified Arabic" w:hint="cs"/>
          <w:b/>
          <w:bCs/>
          <w:color w:val="000000"/>
          <w:sz w:val="24"/>
          <w:szCs w:val="24"/>
          <w:rtl/>
        </w:rPr>
        <w:t>ا</w:t>
      </w:r>
      <w:r w:rsidR="007877B6" w:rsidRPr="007877B6">
        <w:rPr>
          <w:rFonts w:ascii="Simplified Arabic" w:eastAsia="Arial" w:hAnsi="Simplified Arabic" w:cs="Simplified Arabic" w:hint="cs"/>
          <w:b/>
          <w:bCs/>
          <w:color w:val="000000"/>
          <w:sz w:val="24"/>
          <w:szCs w:val="24"/>
          <w:rtl/>
        </w:rPr>
        <w:t>لأحداث</w:t>
      </w:r>
      <w:r w:rsidR="007877B6" w:rsidRPr="007877B6">
        <w:rPr>
          <w:rFonts w:ascii="Simplified Arabic" w:eastAsia="Arial" w:hAnsi="Simplified Arabic" w:cs="Simplified Arabic"/>
          <w:b/>
          <w:bCs/>
          <w:color w:val="000000"/>
          <w:sz w:val="24"/>
          <w:szCs w:val="24"/>
          <w:rtl/>
        </w:rPr>
        <w:t xml:space="preserve"> </w:t>
      </w:r>
      <w:r w:rsidR="007877B6" w:rsidRPr="007877B6">
        <w:rPr>
          <w:rFonts w:ascii="Simplified Arabic" w:eastAsia="Arial" w:hAnsi="Simplified Arabic" w:cs="Simplified Arabic" w:hint="cs"/>
          <w:b/>
          <w:bCs/>
          <w:color w:val="000000"/>
          <w:sz w:val="24"/>
          <w:szCs w:val="24"/>
          <w:rtl/>
        </w:rPr>
        <w:t>الضارة</w:t>
      </w:r>
      <w:r w:rsidR="00390B53" w:rsidRPr="007877B6">
        <w:rPr>
          <w:rFonts w:ascii="Simplified Arabic" w:hAnsi="Simplified Arabic" w:cs="Simplified Arabic"/>
          <w:b/>
          <w:bCs/>
          <w:noProof/>
          <w:sz w:val="24"/>
          <w:szCs w:val="24"/>
          <w:rtl/>
        </w:rPr>
        <w:t xml:space="preserve"> في المستشفيات</w:t>
      </w:r>
    </w:p>
    <w:p w14:paraId="0D17FBAD" w14:textId="74DF9658" w:rsidR="00390B53" w:rsidRPr="007877B6" w:rsidRDefault="00856E0A" w:rsidP="00856E0A">
      <w:pPr>
        <w:bidi/>
        <w:spacing w:before="210" w:after="0" w:line="360" w:lineRule="auto"/>
        <w:jc w:val="both"/>
        <w:rPr>
          <w:rFonts w:ascii="Simplified Arabic" w:hAnsi="Simplified Arabic" w:cs="Simplified Arabic"/>
          <w:noProof/>
          <w:sz w:val="24"/>
          <w:szCs w:val="24"/>
          <w:rtl/>
        </w:rPr>
      </w:pPr>
      <w:r w:rsidRPr="00856E0A">
        <w:rPr>
          <w:rFonts w:ascii="Simplified Arabic" w:hAnsi="Simplified Arabic" w:cs="Simplified Arabic"/>
          <w:noProof/>
          <w:sz w:val="24"/>
          <w:szCs w:val="24"/>
          <w:rtl/>
        </w:rPr>
        <w:lastRenderedPageBreak/>
        <w:t>تعرف الأحداث الضارة في المستشفيات بأنها نتائج سلبية غير متعمدة</w:t>
      </w:r>
      <w:r w:rsidR="00390B53" w:rsidRPr="007877B6">
        <w:rPr>
          <w:rFonts w:ascii="Simplified Arabic" w:hAnsi="Simplified Arabic" w:cs="Simplified Arabic"/>
          <w:noProof/>
          <w:sz w:val="24"/>
          <w:szCs w:val="24"/>
          <w:rtl/>
        </w:rPr>
        <w:t xml:space="preserve"> يتعرض لها المريض أثناء تلقيه الرعاية الصحية، ولا تعود عادةً للمرض أو الحالة الأساسية، وإنما ترتبط بعوامل يمكن تجنبها داخل النظام الصحي</w:t>
      </w:r>
      <w:r w:rsidR="00390B53" w:rsidRPr="007877B6">
        <w:rPr>
          <w:rFonts w:ascii="Simplified Arabic" w:hAnsi="Simplified Arabic" w:cs="Simplified Arabic"/>
          <w:noProof/>
          <w:sz w:val="24"/>
          <w:szCs w:val="24"/>
          <w:rtl/>
        </w:rPr>
        <w:fldChar w:fldCharType="begin"/>
      </w:r>
      <w:r w:rsidR="00390B53" w:rsidRPr="007877B6">
        <w:rPr>
          <w:rFonts w:ascii="Simplified Arabic" w:hAnsi="Simplified Arabic" w:cs="Simplified Arabic"/>
          <w:noProof/>
          <w:sz w:val="24"/>
          <w:szCs w:val="24"/>
          <w:rtl/>
        </w:rPr>
        <w:instrText xml:space="preserve"> </w:instrText>
      </w:r>
      <w:r w:rsidR="00390B53" w:rsidRPr="007877B6">
        <w:rPr>
          <w:rFonts w:ascii="Simplified Arabic" w:hAnsi="Simplified Arabic" w:cs="Simplified Arabic"/>
          <w:noProof/>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00390B53" w:rsidRPr="007877B6">
        <w:rPr>
          <w:rFonts w:ascii="Simplified Arabic" w:hAnsi="Simplified Arabic" w:cs="Simplified Arabic"/>
          <w:noProof/>
          <w:sz w:val="24"/>
          <w:szCs w:val="24"/>
          <w:rtl/>
        </w:rPr>
        <w:instrText xml:space="preserve">" </w:instrText>
      </w:r>
      <w:r w:rsidR="00390B53" w:rsidRPr="007877B6">
        <w:rPr>
          <w:rFonts w:ascii="Simplified Arabic" w:hAnsi="Simplified Arabic" w:cs="Simplified Arabic"/>
          <w:noProof/>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00390B53" w:rsidRPr="007877B6">
        <w:rPr>
          <w:rFonts w:ascii="Simplified Arabic" w:hAnsi="Simplified Arabic" w:cs="Simplified Arabic"/>
          <w:noProof/>
          <w:sz w:val="24"/>
          <w:szCs w:val="24"/>
          <w:rtl/>
        </w:rPr>
        <w:instrText>&gt;</w:instrText>
      </w:r>
      <w:r w:rsidR="00390B53" w:rsidRPr="007877B6">
        <w:rPr>
          <w:rFonts w:ascii="Simplified Arabic" w:hAnsi="Simplified Arabic" w:cs="Simplified Arabic"/>
          <w:noProof/>
          <w:sz w:val="24"/>
          <w:szCs w:val="24"/>
          <w:rtl/>
        </w:rPr>
        <w:fldChar w:fldCharType="separate"/>
      </w:r>
      <w:r w:rsidR="00390B53" w:rsidRPr="007877B6">
        <w:rPr>
          <w:rFonts w:ascii="Simplified Arabic" w:hAnsi="Simplified Arabic" w:cs="Simplified Arabic"/>
          <w:noProof/>
          <w:sz w:val="24"/>
          <w:szCs w:val="24"/>
          <w:rtl/>
        </w:rPr>
        <w:t>(</w:t>
      </w:r>
      <w:r w:rsidR="00390B53" w:rsidRPr="007877B6">
        <w:rPr>
          <w:rFonts w:ascii="Simplified Arabic" w:hAnsi="Simplified Arabic" w:cs="Simplified Arabic"/>
          <w:noProof/>
          <w:sz w:val="24"/>
          <w:szCs w:val="24"/>
        </w:rPr>
        <w:t>Hussain &amp; Khayat, 2021</w:t>
      </w:r>
      <w:r w:rsidR="00390B53" w:rsidRPr="007877B6">
        <w:rPr>
          <w:rFonts w:ascii="Simplified Arabic" w:hAnsi="Simplified Arabic" w:cs="Simplified Arabic"/>
          <w:noProof/>
          <w:sz w:val="24"/>
          <w:szCs w:val="24"/>
          <w:rtl/>
        </w:rPr>
        <w:t>)</w:t>
      </w:r>
      <w:r w:rsidR="00390B53" w:rsidRPr="007877B6">
        <w:rPr>
          <w:rFonts w:ascii="Simplified Arabic" w:hAnsi="Simplified Arabic" w:cs="Simplified Arabic"/>
          <w:noProof/>
          <w:sz w:val="24"/>
          <w:szCs w:val="24"/>
          <w:rtl/>
        </w:rPr>
        <w:fldChar w:fldCharType="end"/>
      </w:r>
      <w:r w:rsidR="00390B53" w:rsidRPr="007877B6">
        <w:rPr>
          <w:rFonts w:ascii="Simplified Arabic" w:hAnsi="Simplified Arabic" w:cs="Simplified Arabic"/>
          <w:noProof/>
          <w:sz w:val="24"/>
          <w:szCs w:val="24"/>
          <w:rtl/>
        </w:rPr>
        <w:t>.تشمل هذه الأحداث مجموعة واسعة من الأضرار، مثل الأخطاء الدوائية التي تؤدي إلى مضاعفات سريرية، والعدوى التي يتم اكتسابها داخل المستشفى، وحالات السقوط، والمضاعفات الناتجة عن الإجراءات التشخيصية أو الجراحية، بالإضافة إلى زيادة مدة الإقامة أو الحاجة لإعادة التنويم، وربما الوفاة في الحالات الحرجة</w:t>
      </w:r>
      <w:r w:rsidR="00390B53" w:rsidRPr="007877B6">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00390B53" w:rsidRPr="007877B6">
        <w:rPr>
          <w:rFonts w:ascii="Simplified Arabic" w:hAnsi="Simplified Arabic" w:cs="Simplified Arabic"/>
          <w:noProof/>
          <w:sz w:val="24"/>
          <w:szCs w:val="24"/>
          <w:rtl/>
        </w:rPr>
        <w:instrText xml:space="preserve"> </w:instrText>
      </w:r>
      <w:r w:rsidR="00390B53" w:rsidRPr="007877B6">
        <w:rPr>
          <w:rFonts w:ascii="Simplified Arabic" w:hAnsi="Simplified Arabic" w:cs="Simplified Arabic"/>
          <w:noProof/>
          <w:sz w:val="24"/>
          <w:szCs w:val="24"/>
        </w:rPr>
        <w:instrText>ADDIN EN.CITE</w:instrText>
      </w:r>
      <w:r w:rsidR="00390B53" w:rsidRPr="007877B6">
        <w:rPr>
          <w:rFonts w:ascii="Simplified Arabic" w:hAnsi="Simplified Arabic" w:cs="Simplified Arabic"/>
          <w:noProof/>
          <w:sz w:val="24"/>
          <w:szCs w:val="24"/>
          <w:rtl/>
        </w:rPr>
        <w:instrText xml:space="preserve"> </w:instrText>
      </w:r>
      <w:r w:rsidR="00390B53" w:rsidRPr="007877B6">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00390B53" w:rsidRPr="007877B6">
        <w:rPr>
          <w:rFonts w:ascii="Simplified Arabic" w:hAnsi="Simplified Arabic" w:cs="Simplified Arabic"/>
          <w:noProof/>
          <w:sz w:val="24"/>
          <w:szCs w:val="24"/>
          <w:rtl/>
        </w:rPr>
        <w:instrText xml:space="preserve"> </w:instrText>
      </w:r>
      <w:r w:rsidR="00390B53" w:rsidRPr="007877B6">
        <w:rPr>
          <w:rFonts w:ascii="Simplified Arabic" w:hAnsi="Simplified Arabic" w:cs="Simplified Arabic"/>
          <w:noProof/>
          <w:sz w:val="24"/>
          <w:szCs w:val="24"/>
        </w:rPr>
        <w:instrText>ADDIN EN.CITE.DATA</w:instrText>
      </w:r>
      <w:r w:rsidR="00390B53" w:rsidRPr="007877B6">
        <w:rPr>
          <w:rFonts w:ascii="Simplified Arabic" w:hAnsi="Simplified Arabic" w:cs="Simplified Arabic"/>
          <w:noProof/>
          <w:sz w:val="24"/>
          <w:szCs w:val="24"/>
          <w:rtl/>
        </w:rPr>
        <w:instrText xml:space="preserve"> </w:instrText>
      </w:r>
      <w:r w:rsidR="00390B53" w:rsidRPr="007877B6">
        <w:rPr>
          <w:rFonts w:ascii="Simplified Arabic" w:hAnsi="Simplified Arabic" w:cs="Simplified Arabic"/>
          <w:noProof/>
          <w:sz w:val="24"/>
          <w:szCs w:val="24"/>
          <w:rtl/>
        </w:rPr>
      </w:r>
      <w:r w:rsidR="00390B53" w:rsidRPr="007877B6">
        <w:rPr>
          <w:rFonts w:ascii="Simplified Arabic" w:hAnsi="Simplified Arabic" w:cs="Simplified Arabic"/>
          <w:noProof/>
          <w:sz w:val="24"/>
          <w:szCs w:val="24"/>
          <w:rtl/>
        </w:rPr>
        <w:fldChar w:fldCharType="end"/>
      </w:r>
      <w:r w:rsidR="00390B53" w:rsidRPr="007877B6">
        <w:rPr>
          <w:rFonts w:ascii="Simplified Arabic" w:hAnsi="Simplified Arabic" w:cs="Simplified Arabic"/>
          <w:noProof/>
          <w:sz w:val="24"/>
          <w:szCs w:val="24"/>
          <w:rtl/>
        </w:rPr>
      </w:r>
      <w:r w:rsidR="00390B53" w:rsidRPr="007877B6">
        <w:rPr>
          <w:rFonts w:ascii="Simplified Arabic" w:hAnsi="Simplified Arabic" w:cs="Simplified Arabic"/>
          <w:noProof/>
          <w:sz w:val="24"/>
          <w:szCs w:val="24"/>
          <w:rtl/>
        </w:rPr>
        <w:fldChar w:fldCharType="separate"/>
      </w:r>
      <w:r w:rsidR="00390B53" w:rsidRPr="007877B6">
        <w:rPr>
          <w:rFonts w:ascii="Simplified Arabic" w:hAnsi="Simplified Arabic" w:cs="Simplified Arabic"/>
          <w:noProof/>
          <w:sz w:val="24"/>
          <w:szCs w:val="24"/>
          <w:rtl/>
        </w:rPr>
        <w:t>(</w:t>
      </w:r>
      <w:r w:rsidR="00390B53" w:rsidRPr="007877B6">
        <w:rPr>
          <w:rFonts w:ascii="Simplified Arabic" w:hAnsi="Simplified Arabic" w:cs="Simplified Arabic"/>
          <w:noProof/>
          <w:sz w:val="24"/>
          <w:szCs w:val="24"/>
        </w:rPr>
        <w:t>Almalki et al., 2021</w:t>
      </w:r>
      <w:r w:rsidR="00390B53" w:rsidRPr="007877B6">
        <w:rPr>
          <w:rFonts w:ascii="Simplified Arabic" w:hAnsi="Simplified Arabic" w:cs="Simplified Arabic"/>
          <w:noProof/>
          <w:sz w:val="24"/>
          <w:szCs w:val="24"/>
          <w:rtl/>
        </w:rPr>
        <w:t>)</w:t>
      </w:r>
      <w:r w:rsidR="00390B53" w:rsidRPr="007877B6">
        <w:rPr>
          <w:rFonts w:ascii="Simplified Arabic" w:hAnsi="Simplified Arabic" w:cs="Simplified Arabic"/>
          <w:noProof/>
          <w:sz w:val="24"/>
          <w:szCs w:val="24"/>
          <w:rtl/>
        </w:rPr>
        <w:fldChar w:fldCharType="end"/>
      </w:r>
      <w:r w:rsidR="00390B53" w:rsidRPr="007877B6">
        <w:rPr>
          <w:rFonts w:ascii="Simplified Arabic" w:hAnsi="Simplified Arabic" w:cs="Simplified Arabic"/>
          <w:noProof/>
          <w:sz w:val="24"/>
          <w:szCs w:val="24"/>
          <w:rtl/>
        </w:rPr>
        <w:t xml:space="preserve">. لذلك، تعتبر معدلات </w:t>
      </w:r>
      <w:r w:rsidR="007877B6" w:rsidRPr="007877B6">
        <w:rPr>
          <w:rFonts w:ascii="Simplified Arabic" w:eastAsia="Arial" w:hAnsi="Simplified Arabic" w:cs="Simplified Arabic" w:hint="cs"/>
          <w:color w:val="000000"/>
          <w:sz w:val="24"/>
          <w:szCs w:val="24"/>
          <w:rtl/>
        </w:rPr>
        <w:t>التقليل</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المُدرَك</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للأحداث</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الضارة</w:t>
      </w:r>
      <w:r w:rsidR="00390B53" w:rsidRPr="007877B6">
        <w:rPr>
          <w:rFonts w:ascii="Simplified Arabic" w:hAnsi="Simplified Arabic" w:cs="Simplified Arabic"/>
          <w:noProof/>
          <w:sz w:val="24"/>
          <w:szCs w:val="24"/>
          <w:rtl/>
        </w:rPr>
        <w:t xml:space="preserve"> من المؤشرات الأساسية التي تعكس مستوى سلامة المرضى وجودة الرعاية الصحية المقدمة .</w:t>
      </w:r>
    </w:p>
    <w:p w14:paraId="6C1EE653"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ورغم أهمية السجلات الرسمية للحوادث كوسيلة لرصد وتحليل هذه الأحداث، تشير تقارير وطنية ودولية إلى أن ما يوثق من أحداث ضارة لا يعكس دائماً الحجم الحقيقي للمشكلة. قد تؤدي عوامل مثل الخوف من اللوم أو المساءلة، وضعف ثقافة الإبلاغ، وتباين نظم التوثيق بين المؤسسات، إلى تقليل معدلات الإبلاغ عن الحوادث أو تأخير الإبلاغ عنها</w: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Alahmadi et al., 2022; Alghamdi, 2026</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 لذلك، أظهرت بعض الدراسات توجهًا للاعتماد على مؤشرات ذاتية أو إدراكية، مثل تصورات العاملين حول تكرار الحوادث، وفاعلية الإجراءات المتخذة للحد من المخاطر، ومستوى التحسن في سلامة المرضى على مر الزمن</w: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Alrasheeday et al., 2024</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7876ED1E" w14:textId="77777777" w:rsidR="00390B53" w:rsidRPr="0045254E" w:rsidRDefault="00390B53" w:rsidP="000A33FE">
      <w:pPr>
        <w:bidi/>
        <w:spacing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توضح الأدبيات أن ارتباط العوامل التنظيمية بنتائج السلامة غالبًا ما يمر عبر سلوكيات العاملين. وبناءً على ذلك، تتبنى الدراسة التقليل المُدرَك للأحداث الضارة بوصفه مخرجًا نهائيًا يعكس تقييم العاملين لفاعلية الممارسات والإجراءات الوقائية. ولا يقيس هذا البناء تكرار الحوادث أو شدتها فعليًا، وهو ما يحد من المقارنة المباشرة مع السجلات الموضوعية (Mistri et al., 2023; Mohammed, 2025).</w:t>
      </w:r>
    </w:p>
    <w:p w14:paraId="0573988E"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وبالنظر إلى التحديات المرتبطة بالاعتماد الحصري على السجلات الرسمية، تقيس الدراسة المخرج النهائي من منظور إدراكي لدى العاملين. ويعكس هذا القياس ثقتهم في فاعلية إجراءات الوقاية والتقليل، ولا يمثل معدل الأحداث الفعلي. لذلك ستناقش النتائج ضمن حدود القياس الذاتي، مع التوصية مستقبلًا بربطها ببيانات موضوعية من سجلات الحوادث.</w:t>
      </w:r>
    </w:p>
    <w:p w14:paraId="3EB02E6B" w14:textId="3FBB9860" w:rsidR="00390B53" w:rsidRPr="0084065A" w:rsidRDefault="0045254E" w:rsidP="00390B53">
      <w:pPr>
        <w:bidi/>
        <w:spacing w:before="210" w:after="0" w:line="360" w:lineRule="auto"/>
        <w:jc w:val="both"/>
        <w:rPr>
          <w:rFonts w:ascii="Simplified Arabic" w:hAnsi="Simplified Arabic" w:cs="Simplified Arabic"/>
          <w:bCs/>
          <w:noProof/>
          <w:sz w:val="28"/>
          <w:szCs w:val="28"/>
        </w:rPr>
      </w:pPr>
      <w:r w:rsidRPr="0084065A">
        <w:rPr>
          <w:rFonts w:ascii="Simplified Arabic" w:eastAsia="Simplified Arabic" w:hAnsi="Simplified Arabic" w:cs="Simplified Arabic"/>
          <w:bCs/>
          <w:sz w:val="28"/>
          <w:szCs w:val="28"/>
          <w:rtl/>
        </w:rPr>
        <w:t>2.</w:t>
      </w:r>
      <w:r w:rsidR="0084065A" w:rsidRPr="0084065A">
        <w:rPr>
          <w:rFonts w:ascii="Simplified Arabic" w:eastAsia="Simplified Arabic" w:hAnsi="Simplified Arabic" w:cs="Simplified Arabic" w:hint="cs"/>
          <w:bCs/>
          <w:sz w:val="28"/>
          <w:szCs w:val="28"/>
          <w:rtl/>
        </w:rPr>
        <w:t>7</w:t>
      </w:r>
      <w:r w:rsidRPr="0084065A">
        <w:rPr>
          <w:rFonts w:ascii="Simplified Arabic" w:eastAsia="Simplified Arabic" w:hAnsi="Simplified Arabic" w:cs="Simplified Arabic"/>
          <w:bCs/>
          <w:sz w:val="28"/>
          <w:szCs w:val="28"/>
          <w:rtl/>
        </w:rPr>
        <w:t xml:space="preserve"> النموذج النظري للدراسة (TL → SC → SB → PRAE)</w:t>
      </w:r>
    </w:p>
    <w:p w14:paraId="07F18682" w14:textId="77777777" w:rsidR="001E525F" w:rsidRPr="0045254E" w:rsidRDefault="00390B53" w:rsidP="00154D4E">
      <w:pPr>
        <w:bidi/>
        <w:spacing w:before="210"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يعتمد الأساس النظري للدراسة على إطار Podsakoff et al. (1990) للقيادة التحويلية، الذي يحدد ستة أبعاد سلوكية هي: صياغة الرؤية، وتقديم النموذج المناسب، وتعزيز قبول الأهداف الجماعية، وتوقعات الأداء العالي، والدعم الفردي، والاستثارة الفكرية. ويُستخدم مقياس TLI بأبعاده الستة بوصفه المرجعية النظرية والإجرائية الوحيدة لقياس القيادة التحويلية في الدراسة؛ وبذلك لا يُخلط بينه وبين أدوات أخرى تعتمد بنية رباعية مختلفة.</w:t>
      </w:r>
    </w:p>
    <w:p w14:paraId="57C1CF37" w14:textId="77777777" w:rsidR="00390B53" w:rsidRPr="0045254E" w:rsidRDefault="00390B53" w:rsidP="000A33FE">
      <w:pPr>
        <w:bidi/>
        <w:spacing w:after="0" w:line="360" w:lineRule="auto"/>
        <w:jc w:val="both"/>
        <w:rPr>
          <w:rFonts w:ascii="Simplified Arabic" w:hAnsi="Simplified Arabic" w:cs="Simplified Arabic"/>
          <w:noProof/>
          <w:sz w:val="24"/>
          <w:szCs w:val="24"/>
          <w:rtl/>
        </w:rPr>
      </w:pPr>
      <w:r>
        <w:rPr>
          <w:rFonts w:ascii="Simplified Arabic" w:eastAsia="Simplified Arabic" w:hAnsi="Simplified Arabic" w:cs="Simplified Arabic"/>
          <w:sz w:val="24"/>
          <w:rtl/>
        </w:rPr>
        <w:t>وفي مجال سلامة المرضى، تستخدم الدراسة أربعة أبعاد مختارة من HSOPSC v1.0 لتمثيل ثقافة السلامة، ثم مقياسًا مطورًا لسلوكيات السلامة، ومقياسًا مطورًا للتقليل المُدرَك للأحداث الضارة. ويُختبر المسار TL → SC → SB → PRAE باستخدام نمذجة المعادلات الهيكلية، مع تفسيره في ضوء الأدلة النظرية وحدود التصميم المقطعي.</w:t>
      </w:r>
    </w:p>
    <w:p w14:paraId="41374E57" w14:textId="77777777" w:rsidR="00390B53" w:rsidRPr="0045254E" w:rsidRDefault="00390B53" w:rsidP="00390B53">
      <w:pPr>
        <w:bidi/>
        <w:spacing w:before="210" w:after="0" w:line="360" w:lineRule="auto"/>
        <w:rPr>
          <w:rFonts w:ascii="Simplified Arabic" w:hAnsi="Simplified Arabic" w:cs="Simplified Arabic"/>
          <w:noProof/>
          <w:sz w:val="24"/>
          <w:szCs w:val="24"/>
          <w:rtl/>
        </w:rPr>
      </w:pPr>
      <w:r>
        <w:rPr>
          <w:rFonts w:ascii="Simplified Arabic" w:eastAsia="Simplified Arabic" w:hAnsi="Simplified Arabic" w:cs="Simplified Arabic"/>
          <w:sz w:val="24"/>
          <w:rtl/>
        </w:rPr>
        <w:lastRenderedPageBreak/>
        <w:t>يمكن تمثيل هذا التسلسل في المسار النظري الآتي:</w:t>
      </w:r>
    </w:p>
    <w:p w14:paraId="2634D671" w14:textId="77777777" w:rsidR="00E4256A" w:rsidRDefault="00E4256A" w:rsidP="00E4256A">
      <w:pPr>
        <w:bidi/>
        <w:spacing w:before="210" w:after="0" w:line="360" w:lineRule="auto"/>
        <w:rPr>
          <w:rFonts w:ascii="Simplified Arabic" w:hAnsi="Simplified Arabic" w:cs="Simplified Arabic"/>
          <w:noProof/>
          <w:sz w:val="24"/>
          <w:szCs w:val="24"/>
          <w:rtl/>
        </w:rPr>
      </w:pPr>
      <w:r w:rsidRPr="00E4256A">
        <w:rPr>
          <w:rFonts w:ascii="Cambria Math" w:hAnsi="Cambria Math" w:cs="Simplified Arabic"/>
          <w:i/>
          <w:noProof/>
          <w:sz w:val="24"/>
          <w:szCs w:val="24"/>
        </w:rPr>
        <w:t>TL → SC → SB → PRAE</w:t>
      </w:r>
    </w:p>
    <w:p w14:paraId="0816C69F" w14:textId="46F0FD5E" w:rsidR="00390B53" w:rsidRPr="0045254E" w:rsidRDefault="00390B53" w:rsidP="00E4256A">
      <w:pPr>
        <w:bidi/>
        <w:spacing w:before="210" w:after="0" w:line="360" w:lineRule="auto"/>
        <w:rPr>
          <w:rFonts w:ascii="Simplified Arabic" w:hAnsi="Simplified Arabic" w:cs="Simplified Arabic"/>
          <w:noProof/>
          <w:sz w:val="24"/>
          <w:szCs w:val="24"/>
          <w:rtl/>
        </w:rPr>
      </w:pPr>
      <w:r w:rsidRPr="0045254E">
        <w:rPr>
          <w:rFonts w:ascii="Simplified Arabic" w:hAnsi="Simplified Arabic" w:cs="Simplified Arabic"/>
          <w:noProof/>
          <w:sz w:val="24"/>
          <w:szCs w:val="24"/>
          <w:rtl/>
        </w:rPr>
        <w:t>تدعم الأدبيات هذا المسار من خلال عدة أدلة:</w:t>
      </w:r>
    </w:p>
    <w:p w14:paraId="6CCE7B3B" w14:textId="77777777" w:rsidR="00390B53" w:rsidRPr="0045254E" w:rsidRDefault="00390B53" w:rsidP="000A33FE">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1. إثبات وجود علاقة إيجابية بين القيادة التحويلية و</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في سياقات صحية مختلفة، بما في ذلك المستشفيات السعودية</w: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Ahmed et al., 2024; Alotaibi et al., 2015; Althaibah et al., 2022</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485A837B" w14:textId="77777777" w:rsidR="00390B53" w:rsidRPr="0045254E" w:rsidRDefault="00390B53" w:rsidP="000A33FE">
      <w:pPr>
        <w:bidi/>
        <w:spacing w:before="210" w:after="0" w:line="360" w:lineRule="auto"/>
        <w:rPr>
          <w:rFonts w:ascii="Simplified Arabic" w:hAnsi="Simplified Arabic" w:cs="Simplified Arabic"/>
          <w:noProof/>
          <w:sz w:val="24"/>
          <w:szCs w:val="24"/>
        </w:rPr>
      </w:pPr>
      <w:r>
        <w:rPr>
          <w:rFonts w:ascii="Simplified Arabic" w:eastAsia="Simplified Arabic" w:hAnsi="Simplified Arabic" w:cs="Simplified Arabic"/>
          <w:sz w:val="24"/>
          <w:rtl/>
        </w:rPr>
        <w:t>2. توثيق ارتباط ثقافة سلامة المرضى بسلوكيات السلامة، خاصة في مجالات الإبلاغ والالتزام بالبروتوكولات الوقائية (Alsahli et al., 2024; Mohammed, 2025).</w:t>
      </w:r>
    </w:p>
    <w:p w14:paraId="5372D661"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Pr>
          <w:rFonts w:ascii="Simplified Arabic" w:eastAsia="Simplified Arabic" w:hAnsi="Simplified Arabic" w:cs="Simplified Arabic"/>
          <w:sz w:val="24"/>
          <w:rtl/>
        </w:rPr>
        <w:t>3. إبراز دور سلوكيات السلامة في تفسير الاختلافات في نتائج السلامة المدركة، مع ضرورة التمييز بين المخرجات الإدراكية ومعدلات الحوادث الفعلية (Mistri et al., 2023; Konlan &amp; Shin, 2022).</w:t>
      </w:r>
    </w:p>
    <w:p w14:paraId="77973920" w14:textId="77777777" w:rsidR="00390B53" w:rsidRPr="0045254E" w:rsidRDefault="00390B53" w:rsidP="000A33FE">
      <w:pPr>
        <w:bidi/>
        <w:spacing w:before="210" w:after="0" w:line="360" w:lineRule="auto"/>
        <w:jc w:val="both"/>
        <w:rPr>
          <w:rFonts w:ascii="Simplified Arabic" w:hAnsi="Simplified Arabic" w:cs="Simplified Arabic"/>
          <w:noProof/>
          <w:sz w:val="24"/>
          <w:szCs w:val="24"/>
        </w:rPr>
      </w:pPr>
      <w:r>
        <w:rPr>
          <w:rFonts w:ascii="Simplified Arabic" w:eastAsia="Simplified Arabic" w:hAnsi="Simplified Arabic" w:cs="Simplified Arabic"/>
          <w:sz w:val="24"/>
          <w:rtl/>
        </w:rPr>
        <w:t>تسعى الدراسة الحالية، من خلال تطبيق نمذجة المعادلات الهيكلية على هذا المسار المتتابع، إلى معالجة الفجوة المنهجية المتعلقة بندرة النماذج التي تدمج القيادة التحويلية وثقافة سلامة المرضى وسلوكيات السلامة والتقليل المُدرَك للأحداث الضارة في سياق مستشفيات منطقة الجوف.</w:t>
      </w:r>
    </w:p>
    <w:p w14:paraId="7F77846C" w14:textId="7979CB40"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bookmarkStart w:id="0" w:name="bm_4_2_الفجوة_المنهجية_والسياقية"/>
      <w:r w:rsidRPr="0045254E">
        <w:rPr>
          <w:rFonts w:ascii="Simplified Arabic" w:eastAsia="Georgia" w:hAnsi="Simplified Arabic" w:cs="Simplified Arabic"/>
          <w:b/>
          <w:bCs/>
          <w:color w:val="000000"/>
          <w:sz w:val="24"/>
          <w:szCs w:val="24"/>
          <w:rtl/>
        </w:rPr>
        <w:t>2.</w:t>
      </w:r>
      <w:r w:rsidR="0084065A">
        <w:rPr>
          <w:rFonts w:ascii="Simplified Arabic" w:eastAsia="Georgia" w:hAnsi="Simplified Arabic" w:cs="Simplified Arabic" w:hint="cs"/>
          <w:b/>
          <w:bCs/>
          <w:color w:val="000000"/>
          <w:sz w:val="24"/>
          <w:szCs w:val="24"/>
          <w:rtl/>
        </w:rPr>
        <w:t>8</w:t>
      </w:r>
      <w:r w:rsidR="00390B53" w:rsidRPr="0045254E">
        <w:rPr>
          <w:rFonts w:ascii="Simplified Arabic" w:eastAsia="Georgia" w:hAnsi="Simplified Arabic" w:cs="Simplified Arabic"/>
          <w:b/>
          <w:bCs/>
          <w:color w:val="000000"/>
          <w:sz w:val="24"/>
          <w:szCs w:val="24"/>
          <w:rtl/>
        </w:rPr>
        <w:t xml:space="preserve"> الدراسات السابقة</w:t>
      </w:r>
    </w:p>
    <w:p w14:paraId="2720108E" w14:textId="0C39BD88"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r w:rsidRPr="0045254E">
        <w:rPr>
          <w:rFonts w:ascii="Simplified Arabic" w:eastAsia="Georgia" w:hAnsi="Simplified Arabic" w:cs="Simplified Arabic"/>
          <w:b/>
          <w:bCs/>
          <w:color w:val="000000"/>
          <w:sz w:val="24"/>
          <w:szCs w:val="24"/>
          <w:rtl/>
        </w:rPr>
        <w:t>2.</w:t>
      </w:r>
      <w:r w:rsidR="0084065A">
        <w:rPr>
          <w:rFonts w:ascii="Simplified Arabic" w:eastAsia="Georgia" w:hAnsi="Simplified Arabic" w:cs="Simplified Arabic" w:hint="cs"/>
          <w:b/>
          <w:bCs/>
          <w:color w:val="000000"/>
          <w:sz w:val="24"/>
          <w:szCs w:val="24"/>
          <w:rtl/>
        </w:rPr>
        <w:t>8</w:t>
      </w:r>
      <w:r w:rsidRPr="0045254E">
        <w:rPr>
          <w:rFonts w:ascii="Simplified Arabic" w:eastAsia="Georgia" w:hAnsi="Simplified Arabic" w:cs="Simplified Arabic"/>
          <w:b/>
          <w:bCs/>
          <w:color w:val="000000"/>
          <w:sz w:val="24"/>
          <w:szCs w:val="24"/>
          <w:rtl/>
        </w:rPr>
        <w:t>.1</w:t>
      </w:r>
      <w:r w:rsidR="00390B53" w:rsidRPr="0045254E">
        <w:rPr>
          <w:rFonts w:ascii="Simplified Arabic" w:eastAsia="Georgia" w:hAnsi="Simplified Arabic" w:cs="Simplified Arabic"/>
          <w:b/>
          <w:bCs/>
          <w:color w:val="000000"/>
          <w:sz w:val="24"/>
          <w:szCs w:val="24"/>
        </w:rPr>
        <w:t xml:space="preserve"> </w:t>
      </w:r>
      <w:r w:rsidR="00390B53" w:rsidRPr="0045254E">
        <w:rPr>
          <w:rFonts w:ascii="Simplified Arabic" w:eastAsia="Georgia" w:hAnsi="Simplified Arabic" w:cs="Simplified Arabic"/>
          <w:b/>
          <w:bCs/>
          <w:color w:val="000000"/>
          <w:sz w:val="24"/>
          <w:szCs w:val="24"/>
          <w:rtl/>
        </w:rPr>
        <w:t>مدخل عام إلى الدراسات السابقة</w:t>
      </w:r>
    </w:p>
    <w:p w14:paraId="1427F207" w14:textId="77777777" w:rsidR="00E440AB" w:rsidRPr="00E440AB" w:rsidRDefault="00E440AB" w:rsidP="00E440AB">
      <w:pPr>
        <w:bidi/>
        <w:spacing w:before="315" w:after="105" w:line="360" w:lineRule="auto"/>
        <w:ind w:left="-30"/>
        <w:jc w:val="both"/>
        <w:rPr>
          <w:rFonts w:ascii="Simplified Arabic" w:eastAsia="Georgia" w:hAnsi="Simplified Arabic" w:cs="Simplified Arabic"/>
          <w:b/>
          <w:color w:val="000000"/>
          <w:sz w:val="24"/>
          <w:szCs w:val="24"/>
          <w:rtl/>
        </w:rPr>
      </w:pPr>
      <w:r w:rsidRPr="00E440AB">
        <w:rPr>
          <w:rFonts w:ascii="Simplified Arabic" w:eastAsia="Georgia" w:hAnsi="Simplified Arabic" w:cs="Simplified Arabic"/>
          <w:b/>
          <w:color w:val="000000"/>
          <w:sz w:val="24"/>
          <w:szCs w:val="24"/>
          <w:rtl/>
        </w:rPr>
        <w:t xml:space="preserve">اعتمدت مراجعة الدراسات السابقة في هذا الفصل على المنهجية الموصوفة في القسم (2.2) من حيث قواعد </w:t>
      </w:r>
      <w:r w:rsidRPr="00E440AB">
        <w:rPr>
          <w:rFonts w:ascii="Simplified Arabic" w:eastAsia="Georgia" w:hAnsi="Simplified Arabic" w:cs="Simplified Arabic" w:hint="cs"/>
          <w:b/>
          <w:color w:val="000000"/>
          <w:sz w:val="24"/>
          <w:szCs w:val="24"/>
          <w:rtl/>
        </w:rPr>
        <w:t>البيانات،</w:t>
      </w:r>
      <w:r w:rsidRPr="00E440AB">
        <w:rPr>
          <w:rFonts w:ascii="Simplified Arabic" w:eastAsia="Georgia" w:hAnsi="Simplified Arabic" w:cs="Simplified Arabic"/>
          <w:b/>
          <w:color w:val="000000"/>
          <w:sz w:val="24"/>
          <w:szCs w:val="24"/>
          <w:rtl/>
        </w:rPr>
        <w:t xml:space="preserve"> </w:t>
      </w:r>
      <w:r w:rsidRPr="00E440AB">
        <w:rPr>
          <w:rFonts w:ascii="Simplified Arabic" w:eastAsia="Georgia" w:hAnsi="Simplified Arabic" w:cs="Simplified Arabic" w:hint="cs"/>
          <w:b/>
          <w:color w:val="000000"/>
          <w:sz w:val="24"/>
          <w:szCs w:val="24"/>
          <w:rtl/>
        </w:rPr>
        <w:t xml:space="preserve">والفترة </w:t>
      </w:r>
      <w:r w:rsidR="00A77E5E" w:rsidRPr="00E440AB">
        <w:rPr>
          <w:rFonts w:ascii="Simplified Arabic" w:eastAsia="Georgia" w:hAnsi="Simplified Arabic" w:cs="Simplified Arabic" w:hint="cs"/>
          <w:b/>
          <w:color w:val="000000"/>
          <w:sz w:val="24"/>
          <w:szCs w:val="24"/>
          <w:rtl/>
        </w:rPr>
        <w:t>الزمنية، ومعايير</w:t>
      </w:r>
      <w:r w:rsidRPr="00E440AB">
        <w:rPr>
          <w:rFonts w:ascii="Simplified Arabic" w:eastAsia="Georgia" w:hAnsi="Simplified Arabic" w:cs="Simplified Arabic"/>
          <w:b/>
          <w:color w:val="000000"/>
          <w:sz w:val="24"/>
          <w:szCs w:val="24"/>
          <w:rtl/>
        </w:rPr>
        <w:t xml:space="preserve"> الإدراج والاستبعاد. وفيما يلي عرض تفصيلي للنتائج وفق محاور النموذج</w:t>
      </w:r>
      <w:r>
        <w:rPr>
          <w:rFonts w:ascii="Simplified Arabic" w:eastAsia="Georgia" w:hAnsi="Simplified Arabic" w:cs="Simplified Arabic" w:hint="cs"/>
          <w:b/>
          <w:color w:val="000000"/>
          <w:sz w:val="24"/>
          <w:szCs w:val="24"/>
          <w:rtl/>
        </w:rPr>
        <w:t>:</w:t>
      </w:r>
    </w:p>
    <w:p w14:paraId="5B7CB33C" w14:textId="4A813C8F" w:rsidR="00717BD6" w:rsidRPr="00C35121" w:rsidRDefault="0045254E" w:rsidP="00717BD6">
      <w:pPr>
        <w:bidi/>
        <w:spacing w:before="315" w:after="105" w:line="360" w:lineRule="auto"/>
        <w:ind w:left="-30"/>
        <w:rPr>
          <w:rFonts w:ascii="Simplified Arabic" w:eastAsia="Georgia" w:hAnsi="Simplified Arabic" w:cs="Simplified Arabic"/>
          <w:b/>
          <w:bCs/>
          <w:color w:val="000000"/>
          <w:sz w:val="24"/>
          <w:szCs w:val="24"/>
        </w:rPr>
      </w:pPr>
      <w:r w:rsidRPr="00C35121">
        <w:rPr>
          <w:rFonts w:ascii="Simplified Arabic" w:eastAsia="Georgia" w:hAnsi="Simplified Arabic" w:cs="Simplified Arabic"/>
          <w:b/>
          <w:bCs/>
          <w:color w:val="000000"/>
          <w:sz w:val="24"/>
          <w:szCs w:val="24"/>
          <w:rtl/>
        </w:rPr>
        <w:t>2.</w:t>
      </w:r>
      <w:r w:rsidR="0084065A">
        <w:rPr>
          <w:rFonts w:ascii="Simplified Arabic" w:eastAsia="Georgia" w:hAnsi="Simplified Arabic" w:cs="Simplified Arabic" w:hint="cs"/>
          <w:b/>
          <w:bCs/>
          <w:color w:val="000000"/>
          <w:sz w:val="24"/>
          <w:szCs w:val="24"/>
          <w:rtl/>
        </w:rPr>
        <w:t>8</w:t>
      </w:r>
      <w:r w:rsidRPr="00C35121">
        <w:rPr>
          <w:rFonts w:ascii="Simplified Arabic" w:eastAsia="Georgia" w:hAnsi="Simplified Arabic" w:cs="Simplified Arabic"/>
          <w:b/>
          <w:bCs/>
          <w:color w:val="000000"/>
          <w:sz w:val="24"/>
          <w:szCs w:val="24"/>
          <w:rtl/>
        </w:rPr>
        <w:t>.2</w:t>
      </w:r>
      <w:r w:rsidR="00717BD6" w:rsidRPr="00C35121">
        <w:rPr>
          <w:rFonts w:ascii="Simplified Arabic" w:eastAsia="Georgia" w:hAnsi="Simplified Arabic" w:cs="Simplified Arabic"/>
          <w:b/>
          <w:bCs/>
          <w:color w:val="000000"/>
          <w:sz w:val="24"/>
          <w:szCs w:val="24"/>
          <w:rtl/>
        </w:rPr>
        <w:t xml:space="preserve">المحور الأول: العلاقة بين القيادة التحويلية وثقافة سلامة </w:t>
      </w:r>
      <w:r w:rsidR="00CE3262">
        <w:rPr>
          <w:rFonts w:ascii="Simplified Arabic" w:eastAsia="Georgia" w:hAnsi="Simplified Arabic" w:cs="Simplified Arabic" w:hint="cs"/>
          <w:b/>
          <w:bCs/>
          <w:color w:val="000000"/>
          <w:sz w:val="24"/>
          <w:szCs w:val="24"/>
          <w:rtl/>
        </w:rPr>
        <w:t xml:space="preserve">المرضى </w:t>
      </w:r>
      <w:r w:rsidR="00CE3262" w:rsidRPr="00C35121">
        <w:rPr>
          <w:rFonts w:ascii="Simplified Arabic" w:eastAsia="Georgia" w:hAnsi="Simplified Arabic" w:cs="Simplified Arabic"/>
          <w:b/>
          <w:bCs/>
          <w:color w:val="000000"/>
          <w:sz w:val="24"/>
          <w:szCs w:val="24"/>
        </w:rPr>
        <w:t>(</w:t>
      </w:r>
      <w:r w:rsidR="00717BD6" w:rsidRPr="00C35121">
        <w:rPr>
          <w:rFonts w:ascii="Simplified Arabic" w:eastAsia="Georgia" w:hAnsi="Simplified Arabic" w:cs="Simplified Arabic"/>
          <w:b/>
          <w:bCs/>
          <w:color w:val="000000"/>
          <w:sz w:val="24"/>
          <w:szCs w:val="24"/>
        </w:rPr>
        <w:t xml:space="preserve">TL </w:t>
      </w:r>
      <w:r w:rsidR="00717BD6" w:rsidRPr="00C35121">
        <w:rPr>
          <w:rFonts w:ascii="Times New Roman" w:eastAsia="Georgia" w:hAnsi="Times New Roman" w:cs="Times New Roman"/>
          <w:b/>
          <w:bCs/>
          <w:color w:val="000000"/>
          <w:sz w:val="24"/>
          <w:szCs w:val="24"/>
        </w:rPr>
        <w:t>→</w:t>
      </w:r>
      <w:r w:rsidR="00717BD6" w:rsidRPr="00C35121">
        <w:rPr>
          <w:rFonts w:ascii="Simplified Arabic" w:eastAsia="Georgia" w:hAnsi="Simplified Arabic" w:cs="Simplified Arabic"/>
          <w:b/>
          <w:bCs/>
          <w:color w:val="000000"/>
          <w:sz w:val="24"/>
          <w:szCs w:val="24"/>
        </w:rPr>
        <w:t xml:space="preserve"> SC)</w:t>
      </w:r>
    </w:p>
    <w:p w14:paraId="5C0B3400" w14:textId="7722D5FC" w:rsidR="001475C8" w:rsidRPr="008B2784" w:rsidRDefault="005B71D4" w:rsidP="001475C8">
      <w:pPr>
        <w:bidi/>
        <w:spacing w:line="360" w:lineRule="auto"/>
        <w:jc w:val="both"/>
        <w:rPr>
          <w:rFonts w:ascii="Simplified Arabic" w:hAnsi="Simplified Arabic" w:cs="Simplified Arabic"/>
          <w:color w:val="000000"/>
          <w:sz w:val="24"/>
          <w:szCs w:val="24"/>
          <w:rtl/>
        </w:rPr>
      </w:pPr>
      <w:r>
        <w:rPr>
          <w:rFonts w:ascii="Simplified Arabic" w:eastAsia="Georgia" w:hAnsi="Simplified Arabic" w:cs="Simplified Arabic"/>
          <w:b/>
          <w:bCs/>
          <w:color w:val="000000"/>
          <w:sz w:val="24"/>
          <w:szCs w:val="24"/>
        </w:rPr>
        <w:t xml:space="preserve"> </w:t>
      </w:r>
      <w:r>
        <w:rPr>
          <w:rFonts w:ascii="Simplified Arabic" w:eastAsia="Georgia" w:hAnsi="Simplified Arabic" w:cs="Simplified Arabic"/>
          <w:color w:val="000000"/>
          <w:sz w:val="24"/>
          <w:szCs w:val="24"/>
          <w:rtl/>
        </w:rPr>
        <w:t xml:space="preserve">تشير الدراسات النظرية والتطبيقية إلى أن القيادة التحويلية تعتبر من أنماط القيادة الأكثر فعالية في بناء ثقافة تنظيمية تركز على تعزيز سلامة المرضى، من خلال تأثيرها على قيم واتجاهات الموظفين في بيئة المستشفى. وقد تم توثيق هذا التأثير باستخدام عدة إطارات قياس، من أبرزها </w:t>
      </w:r>
      <w:r>
        <w:rPr>
          <w:rFonts w:ascii="Simplified Arabic" w:eastAsia="Georgia" w:hAnsi="Simplified Arabic" w:cs="Simplified Arabic"/>
          <w:color w:val="000000"/>
          <w:sz w:val="24"/>
          <w:szCs w:val="24"/>
        </w:rPr>
        <w:t>MLQ (Bass &amp; Avolio)</w:t>
      </w:r>
      <w:r>
        <w:rPr>
          <w:rFonts w:ascii="Simplified Arabic" w:eastAsia="Georgia" w:hAnsi="Simplified Arabic" w:cs="Simplified Arabic"/>
          <w:color w:val="000000"/>
          <w:sz w:val="24"/>
          <w:szCs w:val="24"/>
          <w:rtl/>
        </w:rPr>
        <w:t>، 1996 و</w:t>
      </w:r>
      <w:r>
        <w:rPr>
          <w:rFonts w:ascii="Simplified Arabic" w:eastAsia="Georgia" w:hAnsi="Simplified Arabic" w:cs="Simplified Arabic"/>
          <w:color w:val="000000"/>
          <w:sz w:val="24"/>
          <w:szCs w:val="24"/>
        </w:rPr>
        <w:t>TLI (Podsakoff et al., 1990)</w:t>
      </w:r>
      <w:r>
        <w:rPr>
          <w:rFonts w:ascii="Simplified Arabic" w:eastAsia="Georgia" w:hAnsi="Simplified Arabic" w:cs="Simplified Arabic"/>
          <w:color w:val="000000"/>
          <w:sz w:val="24"/>
          <w:szCs w:val="24"/>
          <w:rtl/>
        </w:rPr>
        <w:t xml:space="preserve">. </w:t>
      </w:r>
      <w:r w:rsidR="001475C8" w:rsidRPr="008B2784">
        <w:rPr>
          <w:rFonts w:ascii="Simplified Arabic" w:hAnsi="Simplified Arabic" w:cs="Simplified Arabic"/>
          <w:color w:val="000000"/>
          <w:sz w:val="24"/>
          <w:szCs w:val="24"/>
          <w:rtl/>
        </w:rPr>
        <w:t xml:space="preserve">تعتمد الدراسة الحالية على الإطار الثاني، حيث تمس الأبعاد السلوكية الستة وتوافقها مع طبيعة العمل الصحي ومتطلبات التحليل التفصيلي للأبعاد. وفي السياق السعودي، أظهر </w:t>
      </w:r>
      <w:r w:rsidR="001475C8" w:rsidRPr="008B2784">
        <w:rPr>
          <w:rFonts w:ascii="Simplified Arabic" w:hAnsi="Simplified Arabic" w:cs="Simplified Arabic"/>
          <w:color w:val="000000"/>
          <w:sz w:val="24"/>
          <w:szCs w:val="24"/>
        </w:rPr>
        <w:t>Althaibah</w:t>
      </w:r>
      <w:r w:rsidR="001475C8" w:rsidRPr="008B2784">
        <w:rPr>
          <w:rFonts w:ascii="Simplified Arabic" w:hAnsi="Simplified Arabic" w:cs="Simplified Arabic"/>
          <w:color w:val="000000"/>
          <w:sz w:val="24"/>
          <w:szCs w:val="24"/>
          <w:rtl/>
        </w:rPr>
        <w:t xml:space="preserve"> وزملاؤه (2022) في عينة تتضمن 251 من الكوادر الصحية وجود علاقة مباشرة ذات دلالة إحصائية </w:t>
      </w:r>
      <w:r w:rsidR="001475C8" w:rsidRPr="008B2784">
        <w:rPr>
          <w:rFonts w:ascii="Simplified Arabic" w:hAnsi="Simplified Arabic" w:cs="Simplified Arabic"/>
          <w:color w:val="000000"/>
          <w:sz w:val="24"/>
          <w:szCs w:val="24"/>
          <w:rtl/>
        </w:rPr>
        <w:lastRenderedPageBreak/>
        <w:t xml:space="preserve">بين القيادة التحويلية ومستوى السلامة المُدرك، فيما توصل </w:t>
      </w:r>
      <w:r w:rsidR="001475C8" w:rsidRPr="008B2784">
        <w:rPr>
          <w:rFonts w:ascii="Simplified Arabic" w:hAnsi="Simplified Arabic" w:cs="Simplified Arabic"/>
          <w:color w:val="000000"/>
          <w:sz w:val="24"/>
          <w:szCs w:val="24"/>
        </w:rPr>
        <w:t>Almuntasheri</w:t>
      </w:r>
      <w:r w:rsidR="001475C8" w:rsidRPr="008B2784">
        <w:rPr>
          <w:rFonts w:ascii="Simplified Arabic" w:hAnsi="Simplified Arabic" w:cs="Simplified Arabic"/>
          <w:color w:val="000000"/>
          <w:sz w:val="24"/>
          <w:szCs w:val="24"/>
          <w:rtl/>
        </w:rPr>
        <w:t xml:space="preserve"> (2022) من خلال دراسة في أحد مستشفيات جدة إلى وجود ارتباط بين سلوكيات القيادة الإيجابية وثقافة سلامة المرضى، كما يقيسها مقياس </w:t>
      </w:r>
      <w:r w:rsidR="001475C8" w:rsidRPr="008B2784">
        <w:rPr>
          <w:rFonts w:ascii="Simplified Arabic" w:hAnsi="Simplified Arabic" w:cs="Simplified Arabic"/>
          <w:color w:val="000000"/>
          <w:sz w:val="24"/>
          <w:szCs w:val="24"/>
        </w:rPr>
        <w:t>HSOPSC</w:t>
      </w:r>
      <w:r w:rsidR="001475C8" w:rsidRPr="008B2784">
        <w:rPr>
          <w:rFonts w:ascii="Simplified Arabic" w:hAnsi="Simplified Arabic" w:cs="Simplified Arabic"/>
          <w:color w:val="000000"/>
          <w:sz w:val="24"/>
          <w:szCs w:val="24"/>
          <w:rtl/>
        </w:rPr>
        <w:t>.</w:t>
      </w:r>
    </w:p>
    <w:p w14:paraId="34D6C841" w14:textId="77777777" w:rsidR="001475C8" w:rsidRPr="008B2784" w:rsidRDefault="001475C8" w:rsidP="001475C8">
      <w:pPr>
        <w:bidi/>
        <w:spacing w:line="360" w:lineRule="auto"/>
        <w:jc w:val="both"/>
        <w:rPr>
          <w:rFonts w:ascii="Simplified Arabic" w:hAnsi="Simplified Arabic" w:cs="Simplified Arabic"/>
          <w:sz w:val="24"/>
          <w:szCs w:val="24"/>
          <w:rtl/>
        </w:rPr>
      </w:pPr>
      <w:r w:rsidRPr="008B2784">
        <w:rPr>
          <w:rFonts w:ascii="Simplified Arabic" w:hAnsi="Simplified Arabic" w:cs="Simplified Arabic"/>
          <w:color w:val="000000"/>
          <w:sz w:val="24"/>
          <w:szCs w:val="24"/>
          <w:rtl/>
        </w:rPr>
        <w:t xml:space="preserve"> على مستوى الأداة نفسها، أظهرت دراسة </w:t>
      </w:r>
      <w:r w:rsidRPr="008B2784">
        <w:rPr>
          <w:rFonts w:ascii="Simplified Arabic" w:hAnsi="Simplified Arabic" w:cs="Simplified Arabic"/>
          <w:color w:val="000000"/>
          <w:sz w:val="24"/>
          <w:szCs w:val="24"/>
        </w:rPr>
        <w:t>Vadi</w:t>
      </w:r>
      <w:r w:rsidRPr="008B2784">
        <w:rPr>
          <w:rFonts w:ascii="Simplified Arabic" w:hAnsi="Simplified Arabic" w:cs="Simplified Arabic"/>
          <w:color w:val="000000"/>
          <w:sz w:val="24"/>
          <w:szCs w:val="24"/>
          <w:rtl/>
        </w:rPr>
        <w:t xml:space="preserve"> و </w:t>
      </w:r>
      <w:r w:rsidRPr="008B2784">
        <w:rPr>
          <w:rFonts w:ascii="Simplified Arabic" w:hAnsi="Simplified Arabic" w:cs="Simplified Arabic"/>
          <w:color w:val="000000"/>
          <w:sz w:val="24"/>
          <w:szCs w:val="24"/>
        </w:rPr>
        <w:t>Kasemaa</w:t>
      </w:r>
      <w:r w:rsidRPr="008B2784">
        <w:rPr>
          <w:rFonts w:ascii="Simplified Arabic" w:hAnsi="Simplified Arabic" w:cs="Simplified Arabic"/>
          <w:color w:val="000000"/>
          <w:sz w:val="24"/>
          <w:szCs w:val="24"/>
          <w:rtl/>
        </w:rPr>
        <w:t xml:space="preserve"> (2023) في بيئة صحية إستونية أن أبعاد </w:t>
      </w:r>
      <w:r w:rsidRPr="008B2784">
        <w:rPr>
          <w:rFonts w:ascii="Simplified Arabic" w:hAnsi="Simplified Arabic" w:cs="Simplified Arabic"/>
          <w:color w:val="000000"/>
          <w:sz w:val="24"/>
          <w:szCs w:val="24"/>
        </w:rPr>
        <w:t>TLI</w:t>
      </w:r>
      <w:r w:rsidRPr="008B2784">
        <w:rPr>
          <w:rFonts w:ascii="Simplified Arabic" w:hAnsi="Simplified Arabic" w:cs="Simplified Arabic"/>
          <w:color w:val="000000"/>
          <w:sz w:val="24"/>
          <w:szCs w:val="24"/>
          <w:rtl/>
        </w:rPr>
        <w:t xml:space="preserve"> الستة لها خصائص سيكومترية جيدة، وارتبطت بشكل خاص بصياغة الرؤية والدعم الفردي برضا العاملين وجودة الرعاية. وكشف </w:t>
      </w:r>
      <w:r w:rsidRPr="008B2784">
        <w:rPr>
          <w:rFonts w:ascii="Simplified Arabic" w:hAnsi="Simplified Arabic" w:cs="Simplified Arabic"/>
          <w:color w:val="000000"/>
          <w:sz w:val="24"/>
          <w:szCs w:val="24"/>
        </w:rPr>
        <w:t>Krüger</w:t>
      </w:r>
      <w:r w:rsidRPr="008B2784">
        <w:rPr>
          <w:rFonts w:ascii="Simplified Arabic" w:hAnsi="Simplified Arabic" w:cs="Simplified Arabic"/>
          <w:color w:val="000000"/>
          <w:sz w:val="24"/>
          <w:szCs w:val="24"/>
          <w:rtl/>
        </w:rPr>
        <w:t xml:space="preserve"> وزملاؤه (2011) عن معاملات ثبات للأبعاد الستة تتراوح بين 0.80 و0.90، مع صدق تمييزي مقبول. ومع ذلك، تشترك هذه الأدلة، على الرغم من قربها، في قيد واحد: فهي تقتصر على علاقة ثنائية بين القيادة وثقافة السلامة، أو بينهما وبين مخرَج سلامة عام، دون تتبع المسار الذي تمر عبره هذه الآثار إلى السلوك اليومي ثم إلى المخرَج. إضافة إلى ذلك، أغلب الدراسات أُجريت خارج منطقة الجوف أو في منشآت غير حكومية، مما يحد من إمكانية تطبيق نتائجها على سياق الدراسة الحالية. لذا، فإن الفرضية الأولى (</w:t>
      </w:r>
      <w:r w:rsidRPr="008B2784">
        <w:rPr>
          <w:rFonts w:ascii="Simplified Arabic" w:hAnsi="Simplified Arabic" w:cs="Simplified Arabic"/>
          <w:color w:val="000000"/>
          <w:sz w:val="24"/>
          <w:szCs w:val="24"/>
        </w:rPr>
        <w:t>H1</w:t>
      </w:r>
      <w:r w:rsidRPr="008B2784">
        <w:rPr>
          <w:rFonts w:ascii="Simplified Arabic" w:hAnsi="Simplified Arabic" w:cs="Simplified Arabic"/>
          <w:color w:val="000000"/>
          <w:sz w:val="24"/>
          <w:szCs w:val="24"/>
          <w:rtl/>
        </w:rPr>
        <w:t>) تفترض أن القيادة التحويلية بداية المسار وتؤثر على ثقافة سلامة المرضى، وهي الحلقة الأولى في النموذج المقترح.</w:t>
      </w:r>
    </w:p>
    <w:p w14:paraId="10369424" w14:textId="2ECD40CD" w:rsidR="00390B53" w:rsidRPr="003258B2" w:rsidRDefault="0045254E" w:rsidP="001475C8">
      <w:pPr>
        <w:bidi/>
        <w:spacing w:before="315" w:after="105" w:line="360" w:lineRule="auto"/>
        <w:ind w:left="-30"/>
        <w:jc w:val="both"/>
        <w:rPr>
          <w:rFonts w:asciiTheme="majorBidi" w:eastAsia="Georgia" w:hAnsiTheme="majorBidi" w:cstheme="majorBidi"/>
          <w:b/>
          <w:bCs/>
          <w:color w:val="000000"/>
          <w:sz w:val="28"/>
          <w:szCs w:val="28"/>
        </w:rPr>
      </w:pPr>
      <w:r w:rsidRPr="003258B2">
        <w:rPr>
          <w:rFonts w:asciiTheme="majorBidi" w:eastAsia="Georgia" w:hAnsiTheme="majorBidi" w:cstheme="majorBidi"/>
          <w:b/>
          <w:bCs/>
          <w:color w:val="000000"/>
          <w:sz w:val="28"/>
          <w:szCs w:val="28"/>
          <w:rtl/>
        </w:rPr>
        <w:t>2.</w:t>
      </w:r>
      <w:r w:rsidR="0084065A" w:rsidRPr="003258B2">
        <w:rPr>
          <w:rFonts w:asciiTheme="majorBidi" w:eastAsia="Georgia" w:hAnsiTheme="majorBidi" w:cstheme="majorBidi" w:hint="cs"/>
          <w:b/>
          <w:bCs/>
          <w:color w:val="000000"/>
          <w:sz w:val="28"/>
          <w:szCs w:val="28"/>
          <w:rtl/>
        </w:rPr>
        <w:t>8</w:t>
      </w:r>
      <w:r w:rsidRPr="003258B2">
        <w:rPr>
          <w:rFonts w:asciiTheme="majorBidi" w:eastAsia="Georgia" w:hAnsiTheme="majorBidi" w:cstheme="majorBidi"/>
          <w:b/>
          <w:bCs/>
          <w:color w:val="000000"/>
          <w:sz w:val="28"/>
          <w:szCs w:val="28"/>
          <w:rtl/>
        </w:rPr>
        <w:t>.2.1</w:t>
      </w:r>
      <w:r w:rsidR="0084065A" w:rsidRPr="003258B2">
        <w:rPr>
          <w:rFonts w:asciiTheme="majorBidi" w:eastAsia="Georgia" w:hAnsiTheme="majorBidi" w:cstheme="majorBidi" w:hint="cs"/>
          <w:b/>
          <w:bCs/>
          <w:color w:val="000000"/>
          <w:sz w:val="28"/>
          <w:szCs w:val="28"/>
          <w:rtl/>
        </w:rPr>
        <w:t xml:space="preserve"> </w:t>
      </w:r>
      <w:r w:rsidR="00390B53" w:rsidRPr="003258B2">
        <w:rPr>
          <w:rFonts w:asciiTheme="majorBidi" w:eastAsia="Georgia" w:hAnsiTheme="majorBidi" w:cstheme="majorBidi"/>
          <w:b/>
          <w:bCs/>
          <w:color w:val="000000"/>
          <w:sz w:val="28"/>
          <w:szCs w:val="28"/>
          <w:rtl/>
        </w:rPr>
        <w:t>تعقيب على المحور الأول</w:t>
      </w:r>
    </w:p>
    <w:p w14:paraId="18DDF31C" w14:textId="768D01DB" w:rsidR="005923F0" w:rsidRPr="00A43798" w:rsidRDefault="00390B53" w:rsidP="00A43798">
      <w:pPr>
        <w:bidi/>
        <w:spacing w:before="315" w:after="105" w:line="360" w:lineRule="auto"/>
        <w:ind w:left="-30"/>
        <w:jc w:val="both"/>
        <w:rPr>
          <w:rFonts w:ascii="Simplified Arabic" w:eastAsia="Georgia" w:hAnsi="Simplified Arabic" w:cs="Simplified Arabic"/>
          <w:b/>
          <w:color w:val="000000"/>
          <w:sz w:val="24"/>
          <w:szCs w:val="24"/>
          <w:rtl/>
        </w:rPr>
      </w:pPr>
      <w:r w:rsidRPr="00A43798">
        <w:rPr>
          <w:rFonts w:ascii="Simplified Arabic" w:eastAsia="Georgia" w:hAnsi="Simplified Arabic" w:cs="Simplified Arabic"/>
          <w:b/>
          <w:color w:val="000000"/>
          <w:sz w:val="24"/>
          <w:szCs w:val="24"/>
          <w:rtl/>
        </w:rPr>
        <w:t xml:space="preserve">تبرز الدراسات في هذا المحور أن القيادة التحويلية تعد من العوامل المهمة التي تساهم في تعزيز </w:t>
      </w:r>
      <w:r w:rsidR="000A33FE" w:rsidRPr="00A43798">
        <w:rPr>
          <w:rFonts w:ascii="Simplified Arabic" w:eastAsia="Georgia" w:hAnsi="Simplified Arabic" w:cs="Simplified Arabic"/>
          <w:b/>
          <w:color w:val="000000"/>
          <w:sz w:val="24"/>
          <w:szCs w:val="24"/>
          <w:rtl/>
        </w:rPr>
        <w:t>ثقافة سلامة المرضى</w:t>
      </w:r>
      <w:r w:rsidRPr="00A43798">
        <w:rPr>
          <w:rFonts w:ascii="Simplified Arabic" w:eastAsia="Georgia" w:hAnsi="Simplified Arabic" w:cs="Simplified Arabic"/>
          <w:b/>
          <w:color w:val="000000"/>
          <w:sz w:val="24"/>
          <w:szCs w:val="24"/>
          <w:rtl/>
        </w:rPr>
        <w:t xml:space="preserve"> الإيجابية في المستشفيات، حيث ت</w:t>
      </w:r>
      <w:r w:rsidR="00C24135">
        <w:rPr>
          <w:rFonts w:ascii="Simplified Arabic" w:eastAsia="Georgia" w:hAnsi="Simplified Arabic" w:cs="Simplified Arabic" w:hint="cs"/>
          <w:b/>
          <w:color w:val="000000"/>
          <w:sz w:val="24"/>
          <w:szCs w:val="24"/>
          <w:rtl/>
        </w:rPr>
        <w:t>ت</w:t>
      </w:r>
      <w:r w:rsidRPr="00A43798">
        <w:rPr>
          <w:rFonts w:ascii="Simplified Arabic" w:eastAsia="Georgia" w:hAnsi="Simplified Arabic" w:cs="Simplified Arabic"/>
          <w:b/>
          <w:color w:val="000000"/>
          <w:sz w:val="24"/>
          <w:szCs w:val="24"/>
          <w:rtl/>
        </w:rPr>
        <w:t xml:space="preserve">فق معظم الأبحاث على وجود علاقة إيجابية ذات دلالة إحصائية بين سلوكيات القادة التحويلية وأبعاد </w:t>
      </w:r>
      <w:r w:rsidR="000A33FE" w:rsidRPr="00A43798">
        <w:rPr>
          <w:rFonts w:ascii="Simplified Arabic" w:eastAsia="Georgia" w:hAnsi="Simplified Arabic" w:cs="Simplified Arabic"/>
          <w:b/>
          <w:color w:val="000000"/>
          <w:sz w:val="24"/>
          <w:szCs w:val="24"/>
          <w:rtl/>
        </w:rPr>
        <w:t>ثقافة سلامة المرضى</w:t>
      </w:r>
      <w:r w:rsidRPr="00A43798">
        <w:rPr>
          <w:rFonts w:ascii="Simplified Arabic" w:eastAsia="Georgia" w:hAnsi="Simplified Arabic" w:cs="Simplified Arabic"/>
          <w:b/>
          <w:color w:val="000000"/>
          <w:sz w:val="24"/>
          <w:szCs w:val="24"/>
          <w:rtl/>
        </w:rPr>
        <w:t>، مثل دعم الإدارة، والعمل الجماعي، والتعلم التنظيمي، والاستجابة غير العقابية للأخطاء. كما أن القيادة التحويلية تساهم في خلق بيئة تنظيمية تشجع على الإبلاغ عن الأخطاء وتقبلها كفرص للتعلم، مما يؤثر على تصور العاملين لبيئة العمل من ناحية السلامة.</w:t>
      </w:r>
    </w:p>
    <w:p w14:paraId="15C43E55" w14:textId="7642377C" w:rsidR="00390B53" w:rsidRPr="007877B6" w:rsidRDefault="00390B53" w:rsidP="0070660E">
      <w:pPr>
        <w:bidi/>
        <w:spacing w:after="0" w:line="360" w:lineRule="auto"/>
        <w:ind w:left="-29"/>
        <w:jc w:val="both"/>
        <w:rPr>
          <w:rFonts w:ascii="Simplified Arabic" w:eastAsia="Georgia" w:hAnsi="Simplified Arabic" w:cs="Simplified Arabic"/>
          <w:b/>
          <w:color w:val="000000"/>
          <w:sz w:val="24"/>
          <w:szCs w:val="24"/>
        </w:rPr>
      </w:pPr>
      <w:r w:rsidRPr="007877B6">
        <w:rPr>
          <w:rFonts w:ascii="Simplified Arabic" w:eastAsia="Simplified Arabic" w:hAnsi="Simplified Arabic" w:cs="Simplified Arabic"/>
          <w:b/>
          <w:color w:val="000000"/>
          <w:sz w:val="24"/>
          <w:szCs w:val="24"/>
          <w:rtl/>
        </w:rPr>
        <w:t xml:space="preserve">ومع ذلك، يظهر التحليل النقدي أن غالبية الدراسات تركز على العلاقات المباشرة بين القيادة وثقافة سلامة المرضى أو بين القيادة وبعض مؤشرات سلامة المرضى الجزئية، دون دراسة المسارات التي تنتقل عبرها تأثيرات القيادة إلى النتائج السريرية النهائية، كما أن نماذجها </w:t>
      </w:r>
      <w:r w:rsidR="0070660E" w:rsidRPr="0070660E">
        <w:rPr>
          <w:rFonts w:ascii="Simplified Arabic" w:eastAsia="Simplified Arabic" w:hAnsi="Simplified Arabic" w:cs="Simplified Arabic"/>
          <w:b/>
          <w:color w:val="000000"/>
          <w:sz w:val="24"/>
          <w:szCs w:val="24"/>
          <w:rtl/>
        </w:rPr>
        <w:t>لم تدمج سلوكيات السلامة أو الأحداث الضارة في إطار متكامل</w:t>
      </w:r>
      <w:r w:rsidRPr="007877B6">
        <w:rPr>
          <w:rFonts w:ascii="Simplified Arabic" w:eastAsia="Simplified Arabic" w:hAnsi="Simplified Arabic" w:cs="Simplified Arabic"/>
          <w:b/>
          <w:color w:val="000000"/>
          <w:sz w:val="24"/>
          <w:szCs w:val="24"/>
          <w:rtl/>
        </w:rPr>
        <w:t>. بالإضافة إلى ذلك، فإن الكثير من هذه الدراسات جاءت من مستشفيات تقع في مناطق حضرية كبرى، مما يقيد من تعميم النتائج على مناطق أخرى. لذلك، تبرز الحاجة إلى دراسة تربط بين القيادة التحويلية، وثقافة سلامة المرضى، و</w:t>
      </w:r>
      <w:r w:rsidR="0007487D" w:rsidRPr="007877B6">
        <w:rPr>
          <w:rFonts w:ascii="Simplified Arabic" w:eastAsia="Arial" w:hAnsi="Simplified Arabic" w:cs="Simplified Arabic"/>
          <w:color w:val="000000"/>
          <w:sz w:val="24"/>
          <w:szCs w:val="24"/>
          <w:rtl/>
        </w:rPr>
        <w:t>سلوكيات السلامة، والتقليل المُدرَك للأحداث الضارة</w:t>
      </w:r>
      <w:r w:rsidRPr="007877B6">
        <w:rPr>
          <w:rFonts w:ascii="Simplified Arabic" w:eastAsia="Simplified Arabic" w:hAnsi="Simplified Arabic" w:cs="Simplified Arabic"/>
          <w:b/>
          <w:color w:val="000000"/>
          <w:sz w:val="24"/>
          <w:szCs w:val="24"/>
          <w:rtl/>
        </w:rPr>
        <w:t>، ضمن نموذج تفسيري متكامل وفي سياقات جغرافية متنوعة، وهو ما تسعى الدراسة الحالية لتحقيقه.</w:t>
      </w:r>
    </w:p>
    <w:p w14:paraId="4F21C62E" w14:textId="77777777" w:rsidR="000C2954" w:rsidRPr="003258B2" w:rsidRDefault="000C2954" w:rsidP="000C2954">
      <w:pPr>
        <w:bidi/>
        <w:spacing w:before="315" w:after="105" w:line="360" w:lineRule="auto"/>
        <w:ind w:left="-30"/>
        <w:rPr>
          <w:rFonts w:ascii="Simplified Arabic" w:eastAsia="Simplified Arabic" w:hAnsi="Simplified Arabic" w:cs="Simplified Arabic"/>
          <w:bCs/>
          <w:color w:val="000000"/>
          <w:sz w:val="28"/>
          <w:szCs w:val="28"/>
        </w:rPr>
      </w:pPr>
      <w:r w:rsidRPr="003258B2">
        <w:rPr>
          <w:rFonts w:ascii="Simplified Arabic" w:eastAsia="Simplified Arabic" w:hAnsi="Simplified Arabic" w:cs="Simplified Arabic"/>
          <w:bCs/>
          <w:color w:val="000000"/>
          <w:sz w:val="28"/>
          <w:szCs w:val="28"/>
          <w:rtl/>
        </w:rPr>
        <w:t>2.8.3 المحور الثاني: العلاقة بين ثقافة سلامة المرضى وسلوكيات السلامة والتقليل المُدرَك للأحداث الضارة (</w:t>
      </w:r>
      <w:r w:rsidRPr="003258B2">
        <w:rPr>
          <w:rFonts w:ascii="Simplified Arabic" w:eastAsia="Simplified Arabic" w:hAnsi="Simplified Arabic" w:cs="Simplified Arabic"/>
          <w:bCs/>
          <w:color w:val="000000"/>
          <w:sz w:val="28"/>
          <w:szCs w:val="28"/>
        </w:rPr>
        <w:t xml:space="preserve">SC </w:t>
      </w:r>
      <w:r w:rsidRPr="003258B2">
        <w:rPr>
          <w:rFonts w:ascii="Times New Roman" w:eastAsia="Simplified Arabic" w:hAnsi="Times New Roman" w:cs="Times New Roman"/>
          <w:bCs/>
          <w:color w:val="000000"/>
          <w:sz w:val="28"/>
          <w:szCs w:val="28"/>
        </w:rPr>
        <w:t>→</w:t>
      </w:r>
      <w:r w:rsidRPr="003258B2">
        <w:rPr>
          <w:rFonts w:ascii="Simplified Arabic" w:eastAsia="Simplified Arabic" w:hAnsi="Simplified Arabic" w:cs="Simplified Arabic"/>
          <w:bCs/>
          <w:color w:val="000000"/>
          <w:sz w:val="28"/>
          <w:szCs w:val="28"/>
        </w:rPr>
        <w:t xml:space="preserve"> SB </w:t>
      </w:r>
      <w:r w:rsidRPr="003258B2">
        <w:rPr>
          <w:rFonts w:ascii="Times New Roman" w:eastAsia="Simplified Arabic" w:hAnsi="Times New Roman" w:cs="Times New Roman"/>
          <w:bCs/>
          <w:color w:val="000000"/>
          <w:sz w:val="28"/>
          <w:szCs w:val="28"/>
        </w:rPr>
        <w:t>→</w:t>
      </w:r>
      <w:r w:rsidRPr="003258B2">
        <w:rPr>
          <w:rFonts w:ascii="Simplified Arabic" w:eastAsia="Simplified Arabic" w:hAnsi="Simplified Arabic" w:cs="Simplified Arabic"/>
          <w:bCs/>
          <w:color w:val="000000"/>
          <w:sz w:val="28"/>
          <w:szCs w:val="28"/>
        </w:rPr>
        <w:t xml:space="preserve"> PRAE</w:t>
      </w:r>
      <w:r w:rsidRPr="003258B2">
        <w:rPr>
          <w:rFonts w:ascii="Simplified Arabic" w:eastAsia="Simplified Arabic" w:hAnsi="Simplified Arabic" w:cs="Simplified Arabic"/>
          <w:bCs/>
          <w:color w:val="000000"/>
          <w:sz w:val="28"/>
          <w:szCs w:val="28"/>
          <w:rtl/>
        </w:rPr>
        <w:t>)</w:t>
      </w:r>
    </w:p>
    <w:p w14:paraId="5DBCA25C" w14:textId="77777777" w:rsidR="000C2954" w:rsidRPr="000C2954" w:rsidRDefault="000C2954" w:rsidP="000C2954">
      <w:pPr>
        <w:bidi/>
        <w:spacing w:before="315" w:after="105" w:line="360" w:lineRule="auto"/>
        <w:ind w:left="-30"/>
        <w:jc w:val="both"/>
        <w:rPr>
          <w:rFonts w:ascii="Simplified Arabic" w:eastAsia="Simplified Arabic" w:hAnsi="Simplified Arabic" w:cs="Simplified Arabic"/>
          <w:b/>
          <w:color w:val="000000"/>
          <w:sz w:val="24"/>
          <w:szCs w:val="24"/>
        </w:rPr>
      </w:pPr>
      <w:r w:rsidRPr="000C2954">
        <w:rPr>
          <w:rFonts w:ascii="Simplified Arabic" w:eastAsia="Simplified Arabic" w:hAnsi="Simplified Arabic" w:cs="Simplified Arabic"/>
          <w:b/>
          <w:color w:val="000000"/>
          <w:sz w:val="24"/>
          <w:szCs w:val="24"/>
          <w:rtl/>
        </w:rPr>
        <w:lastRenderedPageBreak/>
        <w:t>تتقارب الأدبيات الحديثة على أن ثقافة سلامة المرضى شرط تنظيمي سابق على السلوك الآمن لا نتيجة موازية له؛ فالعاملون يقرؤون في استجابة الإدارة للخطأ إشارةً عمّا يُنتظر منهم فعله عند وقوعه، ثم يتصرفون على مقتضى تلك القراءة.</w:t>
      </w:r>
    </w:p>
    <w:p w14:paraId="28AD807C" w14:textId="77777777" w:rsidR="000C2954" w:rsidRPr="000C2954" w:rsidRDefault="000C2954" w:rsidP="000C2954">
      <w:pPr>
        <w:bidi/>
        <w:spacing w:before="315" w:after="105" w:line="360" w:lineRule="auto"/>
        <w:ind w:left="-30"/>
        <w:jc w:val="both"/>
        <w:rPr>
          <w:rFonts w:ascii="Simplified Arabic" w:eastAsia="Simplified Arabic" w:hAnsi="Simplified Arabic" w:cs="Simplified Arabic"/>
          <w:b/>
          <w:color w:val="000000"/>
          <w:sz w:val="24"/>
          <w:szCs w:val="24"/>
        </w:rPr>
      </w:pPr>
      <w:r w:rsidRPr="000C2954">
        <w:rPr>
          <w:rFonts w:ascii="Simplified Arabic" w:eastAsia="Simplified Arabic" w:hAnsi="Simplified Arabic" w:cs="Simplified Arabic"/>
          <w:b/>
          <w:color w:val="000000"/>
          <w:sz w:val="24"/>
          <w:szCs w:val="24"/>
          <w:rtl/>
        </w:rPr>
        <w:t xml:space="preserve">وقد ظهر ذلك في بيئة المستشفيات السعودية، إذ وجد </w:t>
      </w:r>
      <w:r w:rsidRPr="003258B2">
        <w:rPr>
          <w:rFonts w:ascii="Simplified Arabic" w:eastAsia="Simplified Arabic" w:hAnsi="Simplified Arabic" w:cs="Simplified Arabic"/>
          <w:bCs/>
          <w:color w:val="000000"/>
          <w:sz w:val="24"/>
          <w:szCs w:val="24"/>
        </w:rPr>
        <w:t>Alsahl</w:t>
      </w:r>
      <w:r w:rsidRPr="000C2954">
        <w:rPr>
          <w:rFonts w:ascii="Simplified Arabic" w:eastAsia="Simplified Arabic" w:hAnsi="Simplified Arabic" w:cs="Simplified Arabic"/>
          <w:b/>
          <w:color w:val="000000"/>
          <w:sz w:val="24"/>
          <w:szCs w:val="24"/>
        </w:rPr>
        <w:t>i</w:t>
      </w:r>
      <w:r w:rsidRPr="000C2954">
        <w:rPr>
          <w:rFonts w:ascii="Simplified Arabic" w:eastAsia="Simplified Arabic" w:hAnsi="Simplified Arabic" w:cs="Simplified Arabic"/>
          <w:b/>
          <w:color w:val="000000"/>
          <w:sz w:val="24"/>
          <w:szCs w:val="24"/>
          <w:rtl/>
        </w:rPr>
        <w:t xml:space="preserve"> وزملاؤه (2024) أن الإدراك الإيجابي لثقافة السلامة يقترن بزيادة الإبلاغ عن الحوادث وتحسن الالتزام بالبروتوكولات، بينما تدفع الثقافة القائمة على اللوم إلى التردد في الإبلاغ خشية العقاب. وانتهت أطروحة </w:t>
      </w:r>
      <w:r w:rsidRPr="003258B2">
        <w:rPr>
          <w:rFonts w:ascii="Simplified Arabic" w:eastAsia="Simplified Arabic" w:hAnsi="Simplified Arabic" w:cs="Simplified Arabic"/>
          <w:bCs/>
          <w:color w:val="000000"/>
          <w:sz w:val="24"/>
          <w:szCs w:val="24"/>
        </w:rPr>
        <w:t>Mohammed</w:t>
      </w:r>
      <w:r w:rsidRPr="000C2954">
        <w:rPr>
          <w:rFonts w:ascii="Simplified Arabic" w:eastAsia="Simplified Arabic" w:hAnsi="Simplified Arabic" w:cs="Simplified Arabic"/>
          <w:b/>
          <w:color w:val="000000"/>
          <w:sz w:val="24"/>
          <w:szCs w:val="24"/>
          <w:rtl/>
        </w:rPr>
        <w:t xml:space="preserve"> (2025) في مستشفيات مكة والمدينة إلى نتيجة موازية: أن ارتفاع مستوى فهم ثقافة السلامة يرتبط بسلوكيات أفضل وبانحسار الممارسات الخطرة.</w:t>
      </w:r>
    </w:p>
    <w:p w14:paraId="2326DF74" w14:textId="77777777" w:rsidR="000C2954" w:rsidRPr="000C2954" w:rsidRDefault="000C2954" w:rsidP="000C2954">
      <w:pPr>
        <w:bidi/>
        <w:spacing w:before="315" w:after="105" w:line="360" w:lineRule="auto"/>
        <w:ind w:left="-30"/>
        <w:jc w:val="both"/>
        <w:rPr>
          <w:rFonts w:ascii="Simplified Arabic" w:eastAsia="Simplified Arabic" w:hAnsi="Simplified Arabic" w:cs="Simplified Arabic"/>
          <w:b/>
          <w:color w:val="000000"/>
          <w:sz w:val="24"/>
          <w:szCs w:val="24"/>
        </w:rPr>
      </w:pPr>
      <w:r w:rsidRPr="000C2954">
        <w:rPr>
          <w:rFonts w:ascii="Simplified Arabic" w:eastAsia="Simplified Arabic" w:hAnsi="Simplified Arabic" w:cs="Simplified Arabic"/>
          <w:b/>
          <w:color w:val="000000"/>
          <w:sz w:val="24"/>
          <w:szCs w:val="24"/>
          <w:rtl/>
        </w:rPr>
        <w:t xml:space="preserve">أما على مستوى المخرَج، فقد بيّنت المراجعة المنهجية </w:t>
      </w:r>
      <w:r w:rsidRPr="003258B2">
        <w:rPr>
          <w:rFonts w:ascii="Simplified Arabic" w:eastAsia="Simplified Arabic" w:hAnsi="Simplified Arabic" w:cs="Simplified Arabic"/>
          <w:b/>
          <w:color w:val="000000"/>
          <w:sz w:val="24"/>
          <w:szCs w:val="24"/>
          <w:rtl/>
        </w:rPr>
        <w:t>لـ</w:t>
      </w:r>
      <w:r w:rsidRPr="003258B2">
        <w:rPr>
          <w:rFonts w:ascii="Simplified Arabic" w:eastAsia="Simplified Arabic" w:hAnsi="Simplified Arabic" w:cs="Simplified Arabic"/>
          <w:bCs/>
          <w:color w:val="000000"/>
          <w:sz w:val="24"/>
          <w:szCs w:val="24"/>
        </w:rPr>
        <w:t>Mistri</w:t>
      </w:r>
      <w:r w:rsidRPr="000C2954">
        <w:rPr>
          <w:rFonts w:ascii="Simplified Arabic" w:eastAsia="Simplified Arabic" w:hAnsi="Simplified Arabic" w:cs="Simplified Arabic"/>
          <w:b/>
          <w:color w:val="000000"/>
          <w:sz w:val="24"/>
          <w:szCs w:val="24"/>
          <w:rtl/>
        </w:rPr>
        <w:t xml:space="preserve"> وزملائه (2023) أن المستشفيات ذات ثقافة السلامة القوية تسجل معدلات أدنى من المضاعفات السريرية والأحداث الضارة القابلة للوقاية. وخلص </w:t>
      </w:r>
      <w:r w:rsidRPr="000C2954">
        <w:rPr>
          <w:rFonts w:ascii="Simplified Arabic" w:eastAsia="Simplified Arabic" w:hAnsi="Simplified Arabic" w:cs="Simplified Arabic"/>
          <w:b/>
          <w:color w:val="000000"/>
          <w:sz w:val="24"/>
          <w:szCs w:val="24"/>
        </w:rPr>
        <w:t>Shenoy</w:t>
      </w:r>
      <w:r w:rsidRPr="000C2954">
        <w:rPr>
          <w:rFonts w:ascii="Simplified Arabic" w:eastAsia="Simplified Arabic" w:hAnsi="Simplified Arabic" w:cs="Simplified Arabic"/>
          <w:b/>
          <w:color w:val="000000"/>
          <w:sz w:val="24"/>
          <w:szCs w:val="24"/>
          <w:rtl/>
        </w:rPr>
        <w:t xml:space="preserve"> (2021) إلى أن نجاح أطر إدارة الجودة الموجَّهة لسلامة المرضى يتوقف في جانب كبير منه على وجود ثقافة تنظيمية تدعم التعلم من الخطأ وتبنّي الممارسات الوقائية.</w:t>
      </w:r>
    </w:p>
    <w:p w14:paraId="255726C8" w14:textId="77777777" w:rsidR="000C2954" w:rsidRPr="000C2954" w:rsidRDefault="000C2954" w:rsidP="000C2954">
      <w:pPr>
        <w:bidi/>
        <w:spacing w:before="315" w:after="105" w:line="360" w:lineRule="auto"/>
        <w:ind w:left="-30"/>
        <w:jc w:val="both"/>
        <w:rPr>
          <w:rFonts w:ascii="Simplified Arabic" w:eastAsia="Simplified Arabic" w:hAnsi="Simplified Arabic" w:cs="Simplified Arabic"/>
          <w:b/>
          <w:color w:val="000000"/>
          <w:sz w:val="24"/>
          <w:szCs w:val="24"/>
        </w:rPr>
      </w:pPr>
      <w:r w:rsidRPr="000C2954">
        <w:rPr>
          <w:rFonts w:ascii="Simplified Arabic" w:eastAsia="Simplified Arabic" w:hAnsi="Simplified Arabic" w:cs="Simplified Arabic"/>
          <w:b/>
          <w:color w:val="000000"/>
          <w:sz w:val="24"/>
          <w:szCs w:val="24"/>
          <w:rtl/>
        </w:rPr>
        <w:t>ويتبيّن من مجموع هذه الشواهد نمط متكرر: أن الثقافة تعمل عمل البيئة التي تُيسّر السلوك الآمن أو تعوقه، وأن أثرها في المخرَج يمرّ في الغالب عبر ذلك السلوك لا في معزل عنه. غير أن الأدبيات المتاحة تقف عند جزء من هذا النمط: فبعضها يفحص الصلة بين الثقافة والسلوك، وبعضها الآخر يفحص الصلة بين الثقافة والمخرَج، من غير أن يختبر المسار الكامل الذي تكون فيه سلوكيات السلامة وسيطًا قريبًا بين الطرفين. ويُضاف إلى ذلك أن أثر القيادة نادرًا ما أُدخل على هذا المسار في نموذج واحد، فبقيت الحلقة التي تُنتج الثقافة نفسها خارج التحليل.</w:t>
      </w:r>
    </w:p>
    <w:p w14:paraId="4CD31FAD" w14:textId="08867577" w:rsidR="000C2954" w:rsidRPr="000C2954" w:rsidRDefault="000C2954" w:rsidP="000C2954">
      <w:pPr>
        <w:bidi/>
        <w:spacing w:before="315" w:after="105" w:line="360" w:lineRule="auto"/>
        <w:ind w:left="-30"/>
        <w:jc w:val="both"/>
        <w:rPr>
          <w:rFonts w:ascii="Simplified Arabic" w:eastAsia="Georgia" w:hAnsi="Simplified Arabic" w:cs="Simplified Arabic"/>
          <w:b/>
          <w:color w:val="000000"/>
          <w:sz w:val="24"/>
          <w:szCs w:val="24"/>
          <w:rtl/>
        </w:rPr>
      </w:pPr>
      <w:r w:rsidRPr="000C2954">
        <w:rPr>
          <w:rFonts w:ascii="Simplified Arabic" w:eastAsia="Simplified Arabic" w:hAnsi="Simplified Arabic" w:cs="Simplified Arabic"/>
          <w:b/>
          <w:color w:val="000000"/>
          <w:sz w:val="24"/>
          <w:szCs w:val="24"/>
          <w:rtl/>
        </w:rPr>
        <w:t>وعلى هذا تفترض الدراسة أن لثقافة سلامة المرضى أثرًا مزدوجًا: مباشرًا في سلوكيات السلامة، وغير مباشر في التقليل المُدرَك للأحداث الضارة عبر تلك السلوكيات. ويُترجَم ذلك إلى الفرضيتين الثانية والثالثة (</w:t>
      </w:r>
      <w:r w:rsidRPr="003258B2">
        <w:rPr>
          <w:rFonts w:ascii="Simplified Arabic" w:eastAsia="Simplified Arabic" w:hAnsi="Simplified Arabic" w:cs="Simplified Arabic"/>
          <w:bCs/>
          <w:color w:val="000000"/>
          <w:sz w:val="24"/>
          <w:szCs w:val="24"/>
        </w:rPr>
        <w:t>H2</w:t>
      </w:r>
      <w:r w:rsidRPr="000C2954">
        <w:rPr>
          <w:rFonts w:ascii="Simplified Arabic" w:eastAsia="Simplified Arabic" w:hAnsi="Simplified Arabic" w:cs="Simplified Arabic"/>
          <w:b/>
          <w:color w:val="000000"/>
          <w:sz w:val="24"/>
          <w:szCs w:val="24"/>
          <w:rtl/>
        </w:rPr>
        <w:t xml:space="preserve"> و</w:t>
      </w:r>
      <w:r w:rsidRPr="003258B2">
        <w:rPr>
          <w:rFonts w:ascii="Simplified Arabic" w:eastAsia="Simplified Arabic" w:hAnsi="Simplified Arabic" w:cs="Simplified Arabic"/>
          <w:bCs/>
          <w:color w:val="000000"/>
          <w:sz w:val="24"/>
          <w:szCs w:val="24"/>
        </w:rPr>
        <w:t>H3</w:t>
      </w:r>
      <w:r w:rsidRPr="000C2954">
        <w:rPr>
          <w:rFonts w:ascii="Simplified Arabic" w:eastAsia="Simplified Arabic" w:hAnsi="Simplified Arabic" w:cs="Simplified Arabic"/>
          <w:b/>
          <w:color w:val="000000"/>
          <w:sz w:val="24"/>
          <w:szCs w:val="24"/>
          <w:rtl/>
        </w:rPr>
        <w:t>)، ثم إلى الفرضيتين الرابعة والخامسة (</w:t>
      </w:r>
      <w:r w:rsidRPr="003258B2">
        <w:rPr>
          <w:rFonts w:ascii="Simplified Arabic" w:eastAsia="Simplified Arabic" w:hAnsi="Simplified Arabic" w:cs="Simplified Arabic"/>
          <w:bCs/>
          <w:color w:val="000000"/>
          <w:sz w:val="24"/>
          <w:szCs w:val="24"/>
        </w:rPr>
        <w:t>H4</w:t>
      </w:r>
      <w:r w:rsidRPr="000C2954">
        <w:rPr>
          <w:rFonts w:ascii="Simplified Arabic" w:eastAsia="Simplified Arabic" w:hAnsi="Simplified Arabic" w:cs="Simplified Arabic"/>
          <w:b/>
          <w:color w:val="000000"/>
          <w:sz w:val="24"/>
          <w:szCs w:val="24"/>
          <w:rtl/>
        </w:rPr>
        <w:t xml:space="preserve"> و</w:t>
      </w:r>
      <w:r w:rsidRPr="003258B2">
        <w:rPr>
          <w:rFonts w:ascii="Simplified Arabic" w:eastAsia="Simplified Arabic" w:hAnsi="Simplified Arabic" w:cs="Simplified Arabic"/>
          <w:bCs/>
          <w:color w:val="000000"/>
          <w:sz w:val="24"/>
          <w:szCs w:val="24"/>
        </w:rPr>
        <w:t>H5</w:t>
      </w:r>
      <w:r w:rsidRPr="000C2954">
        <w:rPr>
          <w:rFonts w:ascii="Simplified Arabic" w:eastAsia="Simplified Arabic" w:hAnsi="Simplified Arabic" w:cs="Simplified Arabic"/>
          <w:b/>
          <w:color w:val="000000"/>
          <w:sz w:val="24"/>
          <w:szCs w:val="24"/>
          <w:rtl/>
        </w:rPr>
        <w:t xml:space="preserve">) اللتين تختبران دور الثقافة والسلوك وسيطين متتابعين لنقل أثر القيادة التحويلية إلى المخرَج المُدرَك في مستشفيات القطاع الحكومي بمنطقة </w:t>
      </w:r>
      <w:r w:rsidRPr="000C2954">
        <w:rPr>
          <w:rFonts w:ascii="Simplified Arabic" w:eastAsia="Georgia" w:hAnsi="Simplified Arabic" w:cs="Simplified Arabic" w:hint="cs"/>
          <w:b/>
          <w:color w:val="000000"/>
          <w:sz w:val="24"/>
          <w:szCs w:val="24"/>
          <w:rtl/>
        </w:rPr>
        <w:t>الجوف.</w:t>
      </w:r>
    </w:p>
    <w:p w14:paraId="50613A5F" w14:textId="141A3796" w:rsidR="00390B53" w:rsidRPr="003258B2" w:rsidRDefault="00AC4332" w:rsidP="000C2954">
      <w:pPr>
        <w:bidi/>
        <w:spacing w:before="315" w:after="105" w:line="360" w:lineRule="auto"/>
        <w:ind w:left="-30"/>
        <w:rPr>
          <w:rFonts w:ascii="Simplified Arabic" w:eastAsia="Georgia" w:hAnsi="Simplified Arabic" w:cs="Simplified Arabic"/>
          <w:b/>
          <w:bCs/>
          <w:color w:val="000000"/>
          <w:sz w:val="28"/>
          <w:szCs w:val="28"/>
          <w:rtl/>
        </w:rPr>
      </w:pPr>
      <w:r w:rsidRPr="003258B2">
        <w:rPr>
          <w:rFonts w:ascii="Simplified Arabic" w:eastAsia="Georgia" w:hAnsi="Simplified Arabic" w:cs="Simplified Arabic"/>
          <w:b/>
          <w:bCs/>
          <w:color w:val="000000"/>
          <w:sz w:val="28"/>
          <w:szCs w:val="28"/>
          <w:rtl/>
        </w:rPr>
        <w:t>2.</w:t>
      </w:r>
      <w:r w:rsidR="00A43798" w:rsidRPr="003258B2">
        <w:rPr>
          <w:rFonts w:ascii="Simplified Arabic" w:eastAsia="Georgia" w:hAnsi="Simplified Arabic" w:cs="Simplified Arabic" w:hint="cs"/>
          <w:b/>
          <w:bCs/>
          <w:color w:val="000000"/>
          <w:sz w:val="28"/>
          <w:szCs w:val="28"/>
          <w:rtl/>
        </w:rPr>
        <w:t>8</w:t>
      </w:r>
      <w:r w:rsidRPr="003258B2">
        <w:rPr>
          <w:rFonts w:ascii="Simplified Arabic" w:eastAsia="Georgia" w:hAnsi="Simplified Arabic" w:cs="Simplified Arabic"/>
          <w:b/>
          <w:bCs/>
          <w:color w:val="000000"/>
          <w:sz w:val="28"/>
          <w:szCs w:val="28"/>
          <w:rtl/>
        </w:rPr>
        <w:t>.4</w:t>
      </w:r>
      <w:r w:rsidR="00390B53" w:rsidRPr="003258B2">
        <w:rPr>
          <w:rFonts w:ascii="Simplified Arabic" w:eastAsia="Georgia" w:hAnsi="Simplified Arabic" w:cs="Simplified Arabic"/>
          <w:b/>
          <w:bCs/>
          <w:color w:val="000000"/>
          <w:sz w:val="28"/>
          <w:szCs w:val="28"/>
          <w:rtl/>
        </w:rPr>
        <w:t>المحور الثالث: دراسات نماذج العلاقات المتسلسلة والوساطة</w:t>
      </w:r>
    </w:p>
    <w:p w14:paraId="3D093038" w14:textId="6CC0ADBF" w:rsidR="00390B53" w:rsidRPr="001361F4" w:rsidRDefault="00390B53" w:rsidP="00390B53">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color w:val="000000"/>
          <w:sz w:val="24"/>
          <w:szCs w:val="24"/>
          <w:rtl/>
        </w:rPr>
        <w:t xml:space="preserve">يركز هذا </w:t>
      </w:r>
      <w:r w:rsidRPr="00CE74B1">
        <w:rPr>
          <w:rFonts w:ascii="Simplified Arabic" w:eastAsia="Georgia" w:hAnsi="Simplified Arabic" w:cs="Simplified Arabic"/>
          <w:b/>
          <w:color w:val="000000"/>
          <w:sz w:val="24"/>
          <w:szCs w:val="24"/>
          <w:rtl/>
        </w:rPr>
        <w:t xml:space="preserve">المحور على </w:t>
      </w:r>
      <w:r w:rsidR="00CE74B1" w:rsidRPr="00CE74B1">
        <w:rPr>
          <w:rFonts w:ascii="Simplified Arabic" w:eastAsia="Arial" w:hAnsi="Simplified Arabic" w:cs="Simplified Arabic"/>
          <w:color w:val="000000"/>
          <w:sz w:val="24"/>
          <w:szCs w:val="24"/>
          <w:rtl/>
        </w:rPr>
        <w:t>الدراسات التي استخدمت نماذج وساطة متقدمة</w:t>
      </w:r>
      <w:r w:rsidRPr="00CE74B1">
        <w:rPr>
          <w:rFonts w:ascii="Simplified Arabic" w:eastAsia="Georgia" w:hAnsi="Simplified Arabic" w:cs="Simplified Arabic"/>
          <w:b/>
          <w:color w:val="000000"/>
          <w:sz w:val="24"/>
          <w:szCs w:val="24"/>
          <w:rtl/>
        </w:rPr>
        <w:t xml:space="preserve"> لتحليل العلاقة</w:t>
      </w:r>
      <w:r w:rsidRPr="001361F4">
        <w:rPr>
          <w:rFonts w:ascii="Simplified Arabic" w:eastAsia="Georgia" w:hAnsi="Simplified Arabic" w:cs="Simplified Arabic"/>
          <w:b/>
          <w:color w:val="000000"/>
          <w:sz w:val="24"/>
          <w:szCs w:val="24"/>
          <w:rtl/>
        </w:rPr>
        <w:t xml:space="preserve"> بين العوامل القيادية والتنظيمية من جهة، ونتائج سلامة المرضى من جهة أخرى، مع التركيز على الدراسات التي تعتمد نمذجة المعادلات الهيكلية أو الاختبارات الإحصائية للتأثيرات غير المباشرة.</w:t>
      </w:r>
    </w:p>
    <w:p w14:paraId="248BA8CA" w14:textId="1797F112" w:rsidR="00390B53" w:rsidRPr="003258B2" w:rsidRDefault="00AC4332" w:rsidP="00390B53">
      <w:pPr>
        <w:bidi/>
        <w:spacing w:after="105" w:line="360" w:lineRule="auto"/>
        <w:ind w:left="-29"/>
        <w:rPr>
          <w:rFonts w:ascii="Simplified Arabic" w:eastAsia="Georgia" w:hAnsi="Simplified Arabic" w:cs="Simplified Arabic"/>
          <w:b/>
          <w:color w:val="000000"/>
          <w:sz w:val="28"/>
          <w:szCs w:val="28"/>
          <w:rtl/>
        </w:rPr>
      </w:pPr>
      <w:r w:rsidRPr="003258B2">
        <w:rPr>
          <w:rFonts w:ascii="Simplified Arabic" w:eastAsia="Georgia" w:hAnsi="Simplified Arabic" w:cs="Simplified Arabic"/>
          <w:b/>
          <w:bCs/>
          <w:color w:val="000000"/>
          <w:sz w:val="28"/>
          <w:szCs w:val="28"/>
          <w:rtl/>
        </w:rPr>
        <w:lastRenderedPageBreak/>
        <w:t>2.</w:t>
      </w:r>
      <w:r w:rsidR="00A43798" w:rsidRPr="003258B2">
        <w:rPr>
          <w:rFonts w:ascii="Simplified Arabic" w:eastAsia="Georgia" w:hAnsi="Simplified Arabic" w:cs="Simplified Arabic" w:hint="cs"/>
          <w:b/>
          <w:bCs/>
          <w:color w:val="000000"/>
          <w:sz w:val="28"/>
          <w:szCs w:val="28"/>
          <w:rtl/>
        </w:rPr>
        <w:t>8</w:t>
      </w:r>
      <w:r w:rsidRPr="003258B2">
        <w:rPr>
          <w:rFonts w:ascii="Simplified Arabic" w:eastAsia="Georgia" w:hAnsi="Simplified Arabic" w:cs="Simplified Arabic"/>
          <w:b/>
          <w:bCs/>
          <w:color w:val="000000"/>
          <w:sz w:val="28"/>
          <w:szCs w:val="28"/>
          <w:rtl/>
        </w:rPr>
        <w:t xml:space="preserve">.4.1 </w:t>
      </w:r>
      <w:r w:rsidR="00390B53" w:rsidRPr="003258B2">
        <w:rPr>
          <w:rFonts w:ascii="Simplified Arabic" w:eastAsia="Georgia" w:hAnsi="Simplified Arabic" w:cs="Simplified Arabic"/>
          <w:b/>
          <w:bCs/>
          <w:color w:val="000000"/>
          <w:sz w:val="28"/>
          <w:szCs w:val="28"/>
          <w:rtl/>
        </w:rPr>
        <w:t>دراسات دولية حول الوساطة والوساطة المتسلسلة</w:t>
      </w:r>
      <w:r w:rsidR="00390B53" w:rsidRPr="003258B2">
        <w:rPr>
          <w:rFonts w:ascii="Simplified Arabic" w:eastAsia="Georgia" w:hAnsi="Simplified Arabic" w:cs="Simplified Arabic"/>
          <w:b/>
          <w:bCs/>
          <w:color w:val="000000"/>
          <w:sz w:val="28"/>
          <w:szCs w:val="28"/>
        </w:rPr>
        <w:t>:</w:t>
      </w:r>
    </w:p>
    <w:p w14:paraId="1CD71C0F" w14:textId="77777777" w:rsidR="00390B53" w:rsidRPr="001361F4" w:rsidRDefault="00390B53" w:rsidP="00390B53">
      <w:pPr>
        <w:bidi/>
        <w:spacing w:after="0" w:line="360" w:lineRule="auto"/>
        <w:ind w:left="-29"/>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خلصت مراجعة ميستري وزملائه  إلى أن العديد من الدراسات الدولية تعتمد على نمذجة المعادلات الهيكلية لتقييم دور ثقافة سلامة المرضى كمتغير وسيط بين العوامل التنظيمية والنتائج السريرية وقد أظهرت هذه الدراسات أن الثقافة تؤثر ليس فقط بشكل مباشر على النتائج، بل أيضًا من خلال تشكيل سلوك العاملين والتزامهم بالممارسات الآمنة، كما أن النماذج الأكثر تفسيرًا لنتائج سلامة المرضى تتضمن مسارات غير مباشرة ومتسلسلة تربط بين الثقافة والسلوكيات، مما يعكس أهمية تبني نماذج سببية أكثر تعقيدًا في الأبحاث المستقبلية</w:t>
      </w:r>
      <w:r w:rsidRPr="001361F4">
        <w:rPr>
          <w:rFonts w:ascii="Simplified Arabic" w:eastAsia="Georgia" w:hAnsi="Simplified Arabic" w:cs="Simplified Arabic"/>
          <w:bCs/>
          <w:color w:val="000000"/>
          <w:sz w:val="24"/>
          <w:szCs w:val="24"/>
          <w:rtl/>
        </w:rPr>
        <w:fldChar w:fldCharType="begin"/>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1361F4">
        <w:rPr>
          <w:rFonts w:ascii="Simplified Arabic" w:eastAsia="Georgia" w:hAnsi="Simplified Arabic" w:cs="Simplified Arabic"/>
          <w:bCs/>
          <w:color w:val="000000"/>
          <w:sz w:val="24"/>
          <w:szCs w:val="24"/>
          <w:rtl/>
        </w:rPr>
        <w:instrText>&lt;/</w:instrText>
      </w:r>
      <w:r w:rsidRPr="001361F4">
        <w:rPr>
          <w:rFonts w:ascii="Simplified Arabic" w:eastAsia="Georgia" w:hAnsi="Simplified Arabic" w:cs="Simplified Arabic"/>
          <w:bCs/>
          <w:color w:val="000000"/>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1361F4">
        <w:rPr>
          <w:rFonts w:ascii="Simplified Arabic" w:eastAsia="Georgia" w:hAnsi="Simplified Arabic" w:cs="Simplified Arabic"/>
          <w:bCs/>
          <w:color w:val="000000"/>
          <w:sz w:val="24"/>
          <w:szCs w:val="24"/>
          <w:rtl/>
        </w:rPr>
        <w:instrText>&gt;&lt;/</w:instrText>
      </w:r>
      <w:r w:rsidRPr="001361F4">
        <w:rPr>
          <w:rFonts w:ascii="Simplified Arabic" w:eastAsia="Georgia" w:hAnsi="Simplified Arabic" w:cs="Simplified Arabic"/>
          <w:bCs/>
          <w:color w:val="000000"/>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1361F4">
        <w:rPr>
          <w:rFonts w:ascii="Simplified Arabic" w:eastAsia="Georgia" w:hAnsi="Simplified Arabic" w:cs="Simplified Arabic"/>
          <w:bCs/>
          <w:color w:val="000000"/>
          <w:sz w:val="24"/>
          <w:szCs w:val="24"/>
          <w:rtl/>
        </w:rPr>
        <w:instrText>/</w:instrText>
      </w:r>
      <w:r w:rsidRPr="001361F4">
        <w:rPr>
          <w:rFonts w:ascii="Simplified Arabic" w:eastAsia="Georgia" w:hAnsi="Simplified Arabic" w:cs="Simplified Arabic"/>
          <w:bCs/>
          <w:color w:val="000000"/>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1361F4">
        <w:rPr>
          <w:rFonts w:ascii="Simplified Arabic" w:eastAsia="Georgia" w:hAnsi="Simplified Arabic" w:cs="Simplified Arabic"/>
          <w:bCs/>
          <w:color w:val="000000"/>
          <w:sz w:val="24"/>
          <w:szCs w:val="24"/>
          <w:rtl/>
        </w:rPr>
        <w:instrText>&gt;</w:instrText>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Mistri et al., 2023</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
          <w:color w:val="000000"/>
          <w:sz w:val="24"/>
          <w:szCs w:val="24"/>
          <w:rtl/>
        </w:rPr>
        <w:t>.</w:t>
      </w:r>
    </w:p>
    <w:p w14:paraId="035C3AA7" w14:textId="77777777" w:rsidR="00390B53" w:rsidRPr="001361F4" w:rsidRDefault="00390B53" w:rsidP="00390B53">
      <w:pPr>
        <w:bidi/>
        <w:spacing w:before="315" w:after="105"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وفي سياق مماثل، أظهرت دراسة كونلان وشين أن ثقافة سلامة المرضى غالبًا ما تعتبر في العديد من النماذج الإحصائية متغيرًا وسيطًا يربط بين ممارسات الإدارة أو خصائص بيئة العمل وبين معدلات الحوادث الضارة بأسلوب يدركه الممرضون، كما أشارت الدراسة إلى أن تطبيق نمذجة المعادلات الهيكلية يتيح تقييم التأثيرات المباشرة وغير المباشرة بشكل متزامن، ويسهل فهم المسارات التي تنتقل من خلالها تأثيرات القيادة والتنظيم إلى النتائج السريرية</w:t>
      </w:r>
      <w:r w:rsidRPr="001361F4">
        <w:rPr>
          <w:rFonts w:ascii="Simplified Arabic" w:eastAsia="Georgia" w:hAnsi="Simplified Arabic" w:cs="Simplified Arabic"/>
          <w:bCs/>
          <w:color w:val="000000"/>
          <w:sz w:val="24"/>
          <w:szCs w:val="24"/>
          <w:rtl/>
        </w:rPr>
        <w:fldChar w:fldCharType="begin"/>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361F4">
        <w:rPr>
          <w:rFonts w:ascii="Simplified Arabic" w:eastAsia="Georgia" w:hAnsi="Simplified Arabic" w:cs="Simplified Arabic"/>
          <w:bCs/>
          <w:color w:val="000000"/>
          <w:sz w:val="24"/>
          <w:szCs w:val="24"/>
          <w:rtl/>
        </w:rPr>
        <w:instrText>.&lt;/</w:instrText>
      </w:r>
      <w:r w:rsidRPr="001361F4">
        <w:rPr>
          <w:rFonts w:ascii="Simplified Arabic" w:eastAsia="Georgia" w:hAnsi="Simplified Arabic" w:cs="Simplified Arabic"/>
          <w:bCs/>
          <w:color w:val="000000"/>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361F4">
        <w:rPr>
          <w:rFonts w:ascii="Simplified Arabic" w:eastAsia="Georgia" w:hAnsi="Simplified Arabic" w:cs="Simplified Arabic"/>
          <w:bCs/>
          <w:color w:val="000000"/>
          <w:sz w:val="24"/>
          <w:szCs w:val="24"/>
          <w:rtl/>
        </w:rPr>
        <w:instrText>&gt;&lt;/</w:instrText>
      </w:r>
      <w:r w:rsidRPr="001361F4">
        <w:rPr>
          <w:rFonts w:ascii="Simplified Arabic" w:eastAsia="Georgia" w:hAnsi="Simplified Arabic" w:cs="Simplified Arabic"/>
          <w:bCs/>
          <w:color w:val="000000"/>
          <w:sz w:val="24"/>
          <w:szCs w:val="24"/>
        </w:rPr>
        <w:instrText>record&gt;&lt;/Cite&gt;&lt;/EndNote</w:instrText>
      </w:r>
      <w:r w:rsidRPr="001361F4">
        <w:rPr>
          <w:rFonts w:ascii="Simplified Arabic" w:eastAsia="Georgia" w:hAnsi="Simplified Arabic" w:cs="Simplified Arabic"/>
          <w:bCs/>
          <w:color w:val="000000"/>
          <w:sz w:val="24"/>
          <w:szCs w:val="24"/>
          <w:rtl/>
        </w:rPr>
        <w:instrText>&gt;</w:instrText>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Konlan &amp; Shin, 2022</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t>.</w:t>
      </w:r>
      <w:r w:rsidRPr="001361F4">
        <w:rPr>
          <w:rFonts w:ascii="Simplified Arabic" w:eastAsia="Georgia" w:hAnsi="Simplified Arabic" w:cs="Simplified Arabic"/>
          <w:b/>
          <w:color w:val="000000"/>
          <w:sz w:val="24"/>
          <w:szCs w:val="24"/>
          <w:rtl/>
        </w:rPr>
        <w:t xml:space="preserve"> </w:t>
      </w:r>
    </w:p>
    <w:p w14:paraId="0442CBEC" w14:textId="357B1AB2" w:rsidR="00390B53" w:rsidRPr="001475C8" w:rsidRDefault="00390B53" w:rsidP="000A33FE">
      <w:pPr>
        <w:bidi/>
        <w:spacing w:before="315" w:after="105" w:line="360" w:lineRule="auto"/>
        <w:ind w:left="-30"/>
        <w:jc w:val="both"/>
        <w:rPr>
          <w:rFonts w:ascii="Simplified Arabic" w:eastAsia="Georgia" w:hAnsi="Simplified Arabic" w:cs="Simplified Arabic"/>
          <w:b/>
          <w:color w:val="000000"/>
          <w:sz w:val="24"/>
          <w:szCs w:val="24"/>
        </w:rPr>
      </w:pPr>
      <w:r w:rsidRPr="001475C8">
        <w:rPr>
          <w:rFonts w:ascii="Simplified Arabic" w:eastAsia="Georgia" w:hAnsi="Simplified Arabic" w:cs="Simplified Arabic"/>
          <w:b/>
          <w:color w:val="000000"/>
          <w:sz w:val="24"/>
          <w:szCs w:val="24"/>
          <w:rtl/>
        </w:rPr>
        <w:t xml:space="preserve">بينت الدراسات أن سلوكيات السلامة عادةً ما </w:t>
      </w:r>
      <w:r w:rsidR="001475C8" w:rsidRPr="001475C8">
        <w:rPr>
          <w:rFonts w:ascii="Simplified Arabic" w:eastAsia="Arial" w:hAnsi="Simplified Arabic" w:cs="Simplified Arabic"/>
          <w:color w:val="000000"/>
          <w:sz w:val="24"/>
          <w:szCs w:val="24"/>
          <w:rtl/>
        </w:rPr>
        <w:t>تُدرج بوصفها متغيرًا وسيطًا في نماذج المسار</w:t>
      </w:r>
      <w:r w:rsidRPr="001475C8">
        <w:rPr>
          <w:rFonts w:ascii="Simplified Arabic" w:eastAsia="Georgia" w:hAnsi="Simplified Arabic" w:cs="Simplified Arabic"/>
          <w:b/>
          <w:color w:val="000000"/>
          <w:sz w:val="24"/>
          <w:szCs w:val="24"/>
          <w:rtl/>
        </w:rPr>
        <w:t>، حيث تتأثر ب</w:t>
      </w:r>
      <w:r w:rsidR="000A33FE" w:rsidRPr="001475C8">
        <w:rPr>
          <w:rFonts w:ascii="Simplified Arabic" w:eastAsia="Georgia" w:hAnsi="Simplified Arabic" w:cs="Simplified Arabic"/>
          <w:b/>
          <w:color w:val="000000"/>
          <w:sz w:val="24"/>
          <w:szCs w:val="24"/>
          <w:rtl/>
        </w:rPr>
        <w:t>ثقافة سلامة المرضى</w:t>
      </w:r>
      <w:r w:rsidRPr="001475C8">
        <w:rPr>
          <w:rFonts w:ascii="Simplified Arabic" w:eastAsia="Georgia" w:hAnsi="Simplified Arabic" w:cs="Simplified Arabic"/>
          <w:b/>
          <w:color w:val="000000"/>
          <w:sz w:val="24"/>
          <w:szCs w:val="24"/>
          <w:rtl/>
        </w:rPr>
        <w:t xml:space="preserve"> ودعم القيادة، ثم تؤثر على </w:t>
      </w:r>
      <w:r w:rsidR="007877B6" w:rsidRPr="001475C8">
        <w:rPr>
          <w:rFonts w:ascii="Simplified Arabic" w:eastAsia="Arial" w:hAnsi="Simplified Arabic" w:cs="Simplified Arabic" w:hint="cs"/>
          <w:color w:val="000000"/>
          <w:sz w:val="24"/>
          <w:szCs w:val="24"/>
          <w:rtl/>
        </w:rPr>
        <w:t>التقليل</w:t>
      </w:r>
      <w:r w:rsidR="007877B6" w:rsidRPr="001475C8">
        <w:rPr>
          <w:rFonts w:ascii="Simplified Arabic" w:eastAsia="Arial" w:hAnsi="Simplified Arabic" w:cs="Simplified Arabic"/>
          <w:color w:val="000000"/>
          <w:sz w:val="24"/>
          <w:szCs w:val="24"/>
          <w:rtl/>
        </w:rPr>
        <w:t xml:space="preserve"> </w:t>
      </w:r>
      <w:r w:rsidR="007877B6" w:rsidRPr="001475C8">
        <w:rPr>
          <w:rFonts w:ascii="Simplified Arabic" w:eastAsia="Arial" w:hAnsi="Simplified Arabic" w:cs="Simplified Arabic" w:hint="cs"/>
          <w:color w:val="000000"/>
          <w:sz w:val="24"/>
          <w:szCs w:val="24"/>
          <w:rtl/>
        </w:rPr>
        <w:t>المُدرَك</w:t>
      </w:r>
      <w:r w:rsidR="007877B6" w:rsidRPr="001475C8">
        <w:rPr>
          <w:rFonts w:ascii="Simplified Arabic" w:eastAsia="Arial" w:hAnsi="Simplified Arabic" w:cs="Simplified Arabic"/>
          <w:color w:val="000000"/>
          <w:sz w:val="24"/>
          <w:szCs w:val="24"/>
          <w:rtl/>
        </w:rPr>
        <w:t xml:space="preserve"> </w:t>
      </w:r>
      <w:r w:rsidR="007877B6" w:rsidRPr="001475C8">
        <w:rPr>
          <w:rFonts w:ascii="Simplified Arabic" w:eastAsia="Arial" w:hAnsi="Simplified Arabic" w:cs="Simplified Arabic" w:hint="cs"/>
          <w:color w:val="000000"/>
          <w:sz w:val="24"/>
          <w:szCs w:val="24"/>
          <w:rtl/>
        </w:rPr>
        <w:t>للأحداث</w:t>
      </w:r>
      <w:r w:rsidR="007877B6" w:rsidRPr="001475C8">
        <w:rPr>
          <w:rFonts w:ascii="Simplified Arabic" w:eastAsia="Arial" w:hAnsi="Simplified Arabic" w:cs="Simplified Arabic"/>
          <w:color w:val="000000"/>
          <w:sz w:val="24"/>
          <w:szCs w:val="24"/>
          <w:rtl/>
        </w:rPr>
        <w:t xml:space="preserve"> </w:t>
      </w:r>
      <w:r w:rsidR="007877B6" w:rsidRPr="001475C8">
        <w:rPr>
          <w:rFonts w:ascii="Simplified Arabic" w:eastAsia="Arial" w:hAnsi="Simplified Arabic" w:cs="Simplified Arabic" w:hint="cs"/>
          <w:color w:val="000000"/>
          <w:sz w:val="24"/>
          <w:szCs w:val="24"/>
          <w:rtl/>
        </w:rPr>
        <w:t>الضارة</w:t>
      </w:r>
      <w:r w:rsidRPr="001475C8">
        <w:rPr>
          <w:rFonts w:ascii="Simplified Arabic" w:eastAsia="Georgia" w:hAnsi="Simplified Arabic" w:cs="Simplified Arabic"/>
          <w:b/>
          <w:color w:val="000000"/>
          <w:sz w:val="24"/>
          <w:szCs w:val="24"/>
          <w:rtl/>
        </w:rPr>
        <w:t xml:space="preserve"> ومؤشرات الجودة. وكتبت مراجعات منهجية متعددة دعماً لهذا المفهوم، مؤكدة أن النماذج التي تتجاهل الدور الوسيط للسلوكيات قد تؤدي إلى فهم خاطئ للعلاقة بين القيادة أو الثقافة ونتائج سلامة المرضى.</w:t>
      </w:r>
    </w:p>
    <w:p w14:paraId="1195D981" w14:textId="3E2D4DA8" w:rsidR="00390B53" w:rsidRPr="003258B2" w:rsidRDefault="00AC4332" w:rsidP="00390B53">
      <w:pPr>
        <w:bidi/>
        <w:spacing w:before="240" w:after="0" w:line="360" w:lineRule="auto"/>
        <w:ind w:left="-30"/>
        <w:rPr>
          <w:rFonts w:ascii="Simplified Arabic" w:eastAsia="Georgia" w:hAnsi="Simplified Arabic" w:cs="Simplified Arabic"/>
          <w:b/>
          <w:color w:val="000000"/>
          <w:sz w:val="28"/>
          <w:szCs w:val="28"/>
          <w:rtl/>
        </w:rPr>
      </w:pPr>
      <w:r w:rsidRPr="003258B2">
        <w:rPr>
          <w:rFonts w:ascii="Simplified Arabic" w:eastAsia="Georgia" w:hAnsi="Simplified Arabic" w:cs="Simplified Arabic"/>
          <w:b/>
          <w:bCs/>
          <w:color w:val="000000"/>
          <w:sz w:val="28"/>
          <w:szCs w:val="28"/>
          <w:rtl/>
        </w:rPr>
        <w:t>2.</w:t>
      </w:r>
      <w:r w:rsidR="00A43798" w:rsidRPr="003258B2">
        <w:rPr>
          <w:rFonts w:ascii="Simplified Arabic" w:eastAsia="Georgia" w:hAnsi="Simplified Arabic" w:cs="Simplified Arabic" w:hint="cs"/>
          <w:b/>
          <w:bCs/>
          <w:color w:val="000000"/>
          <w:sz w:val="28"/>
          <w:szCs w:val="28"/>
          <w:rtl/>
        </w:rPr>
        <w:t>8</w:t>
      </w:r>
      <w:r w:rsidRPr="003258B2">
        <w:rPr>
          <w:rFonts w:ascii="Simplified Arabic" w:eastAsia="Georgia" w:hAnsi="Simplified Arabic" w:cs="Simplified Arabic"/>
          <w:b/>
          <w:bCs/>
          <w:color w:val="000000"/>
          <w:sz w:val="28"/>
          <w:szCs w:val="28"/>
          <w:rtl/>
        </w:rPr>
        <w:t>.4.2 الدراسات</w:t>
      </w:r>
      <w:r w:rsidR="00390B53" w:rsidRPr="003258B2">
        <w:rPr>
          <w:rFonts w:ascii="Simplified Arabic" w:eastAsia="Georgia" w:hAnsi="Simplified Arabic" w:cs="Simplified Arabic"/>
          <w:b/>
          <w:bCs/>
          <w:color w:val="000000"/>
          <w:sz w:val="28"/>
          <w:szCs w:val="28"/>
          <w:rtl/>
        </w:rPr>
        <w:t xml:space="preserve"> السعودية وأساليب التحليل</w:t>
      </w:r>
      <w:r w:rsidR="00390B53" w:rsidRPr="003258B2">
        <w:rPr>
          <w:rFonts w:ascii="Simplified Arabic" w:eastAsia="Georgia" w:hAnsi="Simplified Arabic" w:cs="Simplified Arabic"/>
          <w:b/>
          <w:bCs/>
          <w:color w:val="000000"/>
          <w:sz w:val="28"/>
          <w:szCs w:val="28"/>
        </w:rPr>
        <w:t>:</w:t>
      </w:r>
    </w:p>
    <w:p w14:paraId="3CC5E941" w14:textId="17B916F2" w:rsidR="00390B53" w:rsidRPr="001361F4" w:rsidRDefault="00390B53" w:rsidP="00390B53">
      <w:pPr>
        <w:bidi/>
        <w:spacing w:after="100" w:afterAutospacing="1"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تظهر مراجعة الدراسات ذات الصلة بالسعودية أن معظمها يعتمد على أدوات تحليل تقليدية مثل الارتباط والانحدار المتعدد، مع التركيز على العلاقات المباشرة بين المتغيرات. على سبيل المثال، دراسة العتيبي وآخرين ودراسة المنتشري</w:t>
      </w:r>
      <w:r w:rsidRPr="001361F4">
        <w:rPr>
          <w:rFonts w:ascii="Simplified Arabic" w:eastAsia="Georgia" w:hAnsi="Simplified Arabic" w:cs="Simplified Arabic"/>
          <w:bCs/>
          <w:color w:val="000000"/>
          <w:sz w:val="24"/>
          <w:szCs w:val="24"/>
          <w:rtl/>
        </w:rPr>
        <w:t xml:space="preserve"> </w:t>
      </w:r>
      <w:r w:rsidRPr="001361F4">
        <w:rPr>
          <w:rFonts w:ascii="Simplified Arabic" w:eastAsia="Georgia" w:hAnsi="Simplified Arabic" w:cs="Simplified Arabic"/>
          <w:b/>
          <w:color w:val="000000"/>
          <w:sz w:val="24"/>
          <w:szCs w:val="24"/>
          <w:rtl/>
        </w:rPr>
        <w:t xml:space="preserve">التي ركزت على فحص العلاقة بين </w:t>
      </w:r>
      <w:r w:rsidRPr="007877B6">
        <w:rPr>
          <w:rFonts w:ascii="Simplified Arabic" w:eastAsia="Georgia" w:hAnsi="Simplified Arabic" w:cs="Simplified Arabic"/>
          <w:b/>
          <w:color w:val="000000"/>
          <w:sz w:val="24"/>
          <w:szCs w:val="24"/>
          <w:rtl/>
        </w:rPr>
        <w:t xml:space="preserve">القيادة التحويلية أو سلوكيات القيادة من جهة، وثقافة سلامة المرضى من جهة أخرى، دون دمج سلوكيات السلامة أو </w:t>
      </w:r>
      <w:r w:rsidR="007877B6" w:rsidRPr="007877B6">
        <w:rPr>
          <w:rFonts w:ascii="Simplified Arabic" w:eastAsia="Arial" w:hAnsi="Simplified Arabic" w:cs="Simplified Arabic" w:hint="cs"/>
          <w:color w:val="000000"/>
          <w:sz w:val="24"/>
          <w:szCs w:val="24"/>
          <w:rtl/>
        </w:rPr>
        <w:t>التقليل</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المُدرَك</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للأحداث</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الضارة</w:t>
      </w:r>
      <w:r w:rsidRPr="007877B6">
        <w:rPr>
          <w:rFonts w:ascii="Simplified Arabic" w:eastAsia="Georgia" w:hAnsi="Simplified Arabic" w:cs="Simplified Arabic"/>
          <w:b/>
          <w:color w:val="000000"/>
          <w:sz w:val="24"/>
          <w:szCs w:val="24"/>
          <w:rtl/>
        </w:rPr>
        <w:t xml:space="preserve"> في</w:t>
      </w:r>
      <w:r w:rsidRPr="001361F4">
        <w:rPr>
          <w:rFonts w:ascii="Simplified Arabic" w:eastAsia="Georgia" w:hAnsi="Simplified Arabic" w:cs="Simplified Arabic"/>
          <w:b/>
          <w:color w:val="000000"/>
          <w:sz w:val="24"/>
          <w:szCs w:val="24"/>
          <w:rtl/>
        </w:rPr>
        <w:t xml:space="preserve"> نموذج وساطة متسلسلة</w:t>
      </w:r>
      <w:r w:rsidRPr="001361F4">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EN.CITE.DATA</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Alotaibi et al., 2015; Amal Ali Almuntasheri, 2022</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
          <w:color w:val="000000"/>
          <w:sz w:val="24"/>
          <w:szCs w:val="24"/>
          <w:rtl/>
        </w:rPr>
        <w:t xml:space="preserve">. من ناحية أخرى، تشير بعض الدراسات والتقارير إلى الحاجة إلى اعتماد نماذج تحليلية أكثر تقدمًا في المجال الصحي السعودي، كنمذجة المعادلات الهيكلية، لاختبار العلاقات المعقدة بين القيادة، والثقافة، والسلوكيات، والنتائج السريرية </w:t>
      </w:r>
      <w:r w:rsidRPr="001361F4">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EN.CITE.DATA</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Kline, 2023; Mistri et al., 2023</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t>.</w:t>
      </w:r>
    </w:p>
    <w:bookmarkEnd w:id="0"/>
    <w:p w14:paraId="0F922FB8" w14:textId="518C73DC" w:rsidR="00487338" w:rsidRPr="001361F4" w:rsidRDefault="00AC4332" w:rsidP="0068584E">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w:t>
      </w:r>
      <w:r w:rsidR="00A43798">
        <w:rPr>
          <w:rFonts w:ascii="Simplified Arabic" w:eastAsia="Georgia" w:hAnsi="Simplified Arabic" w:cs="Simplified Arabic" w:hint="cs"/>
          <w:b/>
          <w:bCs/>
          <w:color w:val="000000"/>
          <w:sz w:val="24"/>
          <w:szCs w:val="24"/>
          <w:rtl/>
        </w:rPr>
        <w:t>8</w:t>
      </w:r>
      <w:r w:rsidRPr="001361F4">
        <w:rPr>
          <w:rFonts w:ascii="Simplified Arabic" w:eastAsia="Georgia" w:hAnsi="Simplified Arabic" w:cs="Simplified Arabic"/>
          <w:b/>
          <w:bCs/>
          <w:color w:val="000000"/>
          <w:sz w:val="24"/>
          <w:szCs w:val="24"/>
          <w:rtl/>
        </w:rPr>
        <w:t xml:space="preserve">.5 </w:t>
      </w:r>
      <w:r w:rsidR="0068584E" w:rsidRPr="0068584E">
        <w:rPr>
          <w:rFonts w:ascii="Simplified Arabic" w:eastAsia="Georgia" w:hAnsi="Simplified Arabic" w:cs="Simplified Arabic"/>
          <w:b/>
          <w:bCs/>
          <w:color w:val="000000"/>
          <w:sz w:val="24"/>
          <w:szCs w:val="24"/>
          <w:rtl/>
        </w:rPr>
        <w:t>التعليق النقدي والفجوة البحثية</w:t>
      </w:r>
    </w:p>
    <w:p w14:paraId="3266CF48" w14:textId="77777777" w:rsidR="00C75DDA" w:rsidRPr="0089552C" w:rsidRDefault="00C75DDA" w:rsidP="00C75DDA">
      <w:pPr>
        <w:bidi/>
        <w:spacing w:after="0" w:line="360" w:lineRule="auto"/>
        <w:jc w:val="both"/>
        <w:rPr>
          <w:rFonts w:ascii="Simplified Arabic" w:hAnsi="Simplified Arabic" w:cs="Simplified Arabic"/>
          <w:b/>
          <w:bCs/>
          <w:sz w:val="24"/>
          <w:szCs w:val="24"/>
        </w:rPr>
      </w:pPr>
      <w:r w:rsidRPr="0089552C">
        <w:rPr>
          <w:rFonts w:ascii="Simplified Arabic" w:hAnsi="Simplified Arabic" w:cs="Simplified Arabic"/>
          <w:b/>
          <w:bCs/>
          <w:sz w:val="24"/>
          <w:szCs w:val="24"/>
          <w:rtl/>
        </w:rPr>
        <w:t>أولًا: التعليق النقدي وأوجه الاتفاق والاختلاف</w:t>
      </w:r>
    </w:p>
    <w:p w14:paraId="2D2ADE1D" w14:textId="77777777" w:rsidR="00C75DDA" w:rsidRPr="0089552C" w:rsidRDefault="00C75DDA" w:rsidP="00C75DD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lastRenderedPageBreak/>
        <w:t>تكشف مراجعة الأدبيات عن توافق واسع على ثلاث قضايا. الأولى أن القيادة التحويلية ترتبط ارتباطًا موجبًا ببيئة تنظيمية داعمة للسلامة، وأن هذا الارتباط ثبت في سياقات صحية متعددة من بينها السياق السعودي. والثانية أن ثقافة سلامة المرضى تعمل كإطار قيمي يُوجّه الممارسة اليومية، وليس كنتيجة نهائية تُقاس لذاتها. والثالثة أن سلوكيات العاملين هي الحلقة الأقرب إلى مخرجات السلامة، وأن ضعفها يفسر استمرار الأخطاء رغم وجود سياسات وإجراءات مكتوبة.</w:t>
      </w:r>
    </w:p>
    <w:p w14:paraId="6097DA05" w14:textId="7D2E3FE6" w:rsidR="00C75DDA" w:rsidRPr="0089552C" w:rsidRDefault="00C75DDA" w:rsidP="00C75DD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على أن هذا التوافق يخفي وراءه ثلاثة قيود متكررة. أولها أن الغالبية العظمى من الدراسات وقفت عند علاقة ثنائية </w:t>
      </w:r>
      <w:r>
        <w:rPr>
          <w:rFonts w:ascii="Simplified Arabic" w:hAnsi="Simplified Arabic" w:cs="Simplified Arabic" w:hint="cs"/>
          <w:sz w:val="24"/>
          <w:szCs w:val="24"/>
          <w:rtl/>
        </w:rPr>
        <w:t>واحدة القيادة</w:t>
      </w:r>
      <w:r>
        <w:rPr>
          <w:rFonts w:ascii="Simplified Arabic" w:hAnsi="Simplified Arabic" w:cs="Simplified Arabic"/>
          <w:sz w:val="24"/>
          <w:szCs w:val="24"/>
          <w:rtl/>
        </w:rPr>
        <w:t xml:space="preserve"> بالثقافة، أو الثقافة بالسلوك، أو الثقافة بنتائج </w:t>
      </w:r>
      <w:r>
        <w:rPr>
          <w:rFonts w:ascii="Simplified Arabic" w:hAnsi="Simplified Arabic" w:cs="Simplified Arabic" w:hint="cs"/>
          <w:sz w:val="24"/>
          <w:szCs w:val="24"/>
          <w:rtl/>
        </w:rPr>
        <w:t>السلامة ولم</w:t>
      </w:r>
      <w:r>
        <w:rPr>
          <w:rFonts w:ascii="Simplified Arabic" w:hAnsi="Simplified Arabic" w:cs="Simplified Arabic"/>
          <w:sz w:val="24"/>
          <w:szCs w:val="24"/>
          <w:rtl/>
        </w:rPr>
        <w:t xml:space="preserve"> تتتبع المسار كاملًا. وهذا القيد ليس تفصيلًا إجرائيًا: فالدراسة التي تقيس ارتباط القيادة بنتائج السلامة من غير أن تدخل الوسيطين تنسب إلى القيادة أثرًا قد يكون في معظمه أثر الثقافة والسلوك مجتمعين، فتبالغ في تقديره وتخطئ في تفسيره.</w:t>
      </w:r>
    </w:p>
    <w:p w14:paraId="3C93E9B4" w14:textId="77777777" w:rsidR="00C75DDA" w:rsidRDefault="00C75DDA" w:rsidP="00C75DDA">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وثانيها اختلاف الأدوات والبيئات على نحو يُصعّب المقارنة. فمعظم الدراسات العربية والسعودية اعتمدت مقياس </w:t>
      </w:r>
      <w:r>
        <w:rPr>
          <w:rFonts w:ascii="Simplified Arabic" w:hAnsi="Simplified Arabic" w:cs="Simplified Arabic"/>
          <w:sz w:val="24"/>
          <w:szCs w:val="24"/>
        </w:rPr>
        <w:t>MLQ</w:t>
      </w:r>
      <w:r>
        <w:rPr>
          <w:rFonts w:ascii="Simplified Arabic" w:hAnsi="Simplified Arabic" w:cs="Simplified Arabic"/>
          <w:sz w:val="24"/>
          <w:szCs w:val="24"/>
          <w:rtl/>
        </w:rPr>
        <w:t xml:space="preserve"> أو أدوات مشتقة منه ببنيته الرباعية، بينما اعتمد عدد محدود من الدراسات مقياس </w:t>
      </w:r>
      <w:r>
        <w:rPr>
          <w:rFonts w:ascii="Simplified Arabic" w:hAnsi="Simplified Arabic" w:cs="Simplified Arabic"/>
          <w:sz w:val="24"/>
          <w:szCs w:val="24"/>
        </w:rPr>
        <w:t>TLI</w:t>
      </w:r>
      <w:r>
        <w:rPr>
          <w:rFonts w:ascii="Simplified Arabic" w:hAnsi="Simplified Arabic" w:cs="Simplified Arabic"/>
          <w:sz w:val="24"/>
          <w:szCs w:val="24"/>
          <w:rtl/>
        </w:rPr>
        <w:t xml:space="preserve"> ببنيته السداسية. واختلاف البنية يعني أن نتائج الطرفين لا تُجمع جمعًا مباشرًا حتى حين تتفق في اتجاه العلاقة.</w:t>
      </w:r>
    </w:p>
    <w:p w14:paraId="117969D9" w14:textId="77777777" w:rsidR="00C75DDA" w:rsidRPr="0089552C" w:rsidRDefault="00C75DDA" w:rsidP="00C75DD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وثالثها أن الأدلة الوطنية تتركز في المراكز الحضرية الكبرى، الرياض وجدة ومكة والمدينة، وهي بيئات تختلف عن مستشفيات المناطق في حجم الكوادر ومعدل دورانها ومركزية القرار الإداري فيها. ويُلاحظ في هذا السياق أن ما توافر من أدلة عن منطقة الجوف نفسه بقي وصفيًا في مجمله؛ فدراسة </w:t>
      </w:r>
      <w:r>
        <w:rPr>
          <w:rFonts w:ascii="Simplified Arabic" w:hAnsi="Simplified Arabic" w:cs="Simplified Arabic"/>
          <w:sz w:val="24"/>
          <w:szCs w:val="24"/>
        </w:rPr>
        <w:t>Alshammari</w:t>
      </w:r>
      <w:r>
        <w:rPr>
          <w:rFonts w:ascii="Simplified Arabic" w:hAnsi="Simplified Arabic" w:cs="Simplified Arabic"/>
          <w:sz w:val="24"/>
          <w:szCs w:val="24"/>
          <w:rtl/>
        </w:rPr>
        <w:t xml:space="preserve"> وزملاؤه (2024) رصدت مستوى ثقافة سلامة المرضى لدى الممرضين في مستشفيات المنطقة، من غير أن تختبر آلية تنظيمية تربط ذلك المستوى بالقيادة من جهة وبالسلوك والمخرَج من جهة أخرى.</w:t>
      </w:r>
    </w:p>
    <w:p w14:paraId="79DE59EF" w14:textId="77777777" w:rsidR="00C75DDA" w:rsidRPr="0089552C" w:rsidRDefault="00C75DDA" w:rsidP="00C75DDA">
      <w:pPr>
        <w:bidi/>
        <w:spacing w:after="0" w:line="360" w:lineRule="auto"/>
        <w:jc w:val="both"/>
        <w:rPr>
          <w:rFonts w:ascii="Simplified Arabic" w:hAnsi="Simplified Arabic" w:cs="Simplified Arabic"/>
          <w:b/>
          <w:bCs/>
          <w:sz w:val="24"/>
          <w:szCs w:val="24"/>
          <w:rtl/>
        </w:rPr>
      </w:pPr>
      <w:r w:rsidRPr="0089552C">
        <w:rPr>
          <w:rFonts w:ascii="Simplified Arabic" w:hAnsi="Simplified Arabic" w:cs="Simplified Arabic"/>
          <w:b/>
          <w:bCs/>
          <w:sz w:val="24"/>
          <w:szCs w:val="24"/>
          <w:rtl/>
        </w:rPr>
        <w:t>ثانيًا: الفجوة البحثية</w:t>
      </w:r>
    </w:p>
    <w:p w14:paraId="622D1730" w14:textId="77777777" w:rsidR="00C75DDA" w:rsidRPr="0089552C" w:rsidRDefault="00C75DDA" w:rsidP="00C75DD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تتحدد الفجوة التي تنطلق منها الدراسة في بعدين متكاملين لا ينفصل أحدهما عن الآخر. البعد المنهجي: غياب نموذج وسيط متتابع يجمع القيادة التحويلية، ثقافة السلامة، سلوكيات السلامة، والمخرج المُدرَك في بنية واحدة تُختبر باستخدام نمذجة المعادلات الهيكلية، مما يتيح تقدير تأثيرات المباشرة وغير المباشرة بشكل متزامن، وفحص نموذج القياس قبل تقدير المسارات. ويقابل ذلك اعتماد العديد من الدراسات السعودية على الارتباط والانحدار المتعدد، وهي أساليب لا تفصل خطأ القياس عن العلاقة البنيوية، ولا تقدر أثرًا متتابعًا عبر وسيطين.</w:t>
      </w:r>
    </w:p>
    <w:p w14:paraId="76DF85E5" w14:textId="77777777" w:rsidR="00C75DDA" w:rsidRPr="0089552C" w:rsidRDefault="00C75DDA" w:rsidP="00C75DD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البعد السياقي: ندرة الأدلة المستمدة من مستشفيات القطاع الحكومي في منطقة الجوف، على ما تنفرد به من خصائص تنظيمية وديموغرافية، قد تُغيّر من قوة المسارات المقترحة أو من ترتيب أهميتها.</w:t>
      </w:r>
    </w:p>
    <w:p w14:paraId="78208CE3" w14:textId="77777777" w:rsidR="00C75DDA" w:rsidRPr="0089552C" w:rsidRDefault="00C75DDA" w:rsidP="00C75DDA">
      <w:pPr>
        <w:bidi/>
        <w:spacing w:after="0" w:line="360" w:lineRule="auto"/>
        <w:jc w:val="both"/>
        <w:rPr>
          <w:rFonts w:ascii="Simplified Arabic" w:hAnsi="Simplified Arabic" w:cs="Simplified Arabic"/>
          <w:b/>
          <w:bCs/>
          <w:sz w:val="24"/>
          <w:szCs w:val="24"/>
          <w:rtl/>
        </w:rPr>
      </w:pPr>
      <w:r w:rsidRPr="0089552C">
        <w:rPr>
          <w:rFonts w:ascii="Simplified Arabic" w:hAnsi="Simplified Arabic" w:cs="Simplified Arabic"/>
          <w:b/>
          <w:bCs/>
          <w:sz w:val="24"/>
          <w:szCs w:val="24"/>
          <w:rtl/>
        </w:rPr>
        <w:t>ثالثًا: القيمة المضافة المتوقعة للدراسة الحالية</w:t>
      </w:r>
    </w:p>
    <w:p w14:paraId="13C9D37C" w14:textId="77777777" w:rsidR="00C75DDA" w:rsidRPr="0089552C" w:rsidRDefault="00C75DDA" w:rsidP="00C75DD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lastRenderedPageBreak/>
        <w:t>تستجيب الدراسة للبعد المنهجي ببناء المسار الكامل واختباره في نموذج واحد، بحيث يُقدَّر الأثر غير المباشر المتتابع تقديرًا صريحًا بدل استنتاجه من علاقات ثنائية متفرقة. ويعني ذلك عمليًا أن ما يُنسب إلى القيادة من أثر في المخرَج المُدرَك سيكون مقدَّرًا بعد ضبط الوسيطين، وهو ما يُميز نتائجها عن نتائج الدراسات التي أهملت هذه الحلقات الوسيطة.</w:t>
      </w:r>
    </w:p>
    <w:p w14:paraId="40C2E8A1" w14:textId="77777777" w:rsidR="00C75DDA" w:rsidRPr="0089552C" w:rsidRDefault="00C75DDA" w:rsidP="00C75DDA">
      <w:pPr>
        <w:bidi/>
        <w:spacing w:after="0"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وتستجيب للبعد السياقي من خلال توفير بيانات ميدانية من مستشفيات منطقة الجوف تمكن قيادات التجمع الصحي من توجيه تدخلاتها إلى الحلقة الأضعف في المسار تحديدًا، بدلاً من توزيع الجهد على المسار كله بالتساوي. وتُضاف إلى ذلك مساهمة قياسية، وهي تكييف مقياس </w:t>
      </w:r>
      <w:r>
        <w:rPr>
          <w:rFonts w:ascii="Simplified Arabic" w:hAnsi="Simplified Arabic" w:cs="Simplified Arabic"/>
          <w:sz w:val="24"/>
          <w:szCs w:val="24"/>
        </w:rPr>
        <w:t>TLI</w:t>
      </w:r>
      <w:r>
        <w:rPr>
          <w:rFonts w:ascii="Simplified Arabic" w:hAnsi="Simplified Arabic" w:cs="Simplified Arabic"/>
          <w:sz w:val="24"/>
          <w:szCs w:val="24"/>
          <w:rtl/>
        </w:rPr>
        <w:t xml:space="preserve"> للبيئة الصحية السعودية والتحقق من بنيته السداسية بشكل تأكيدي، مع تطوير مقياسين للسلوكيات وللمخرَج المُدرَك وإخضاعهما للتحكيم والتحقق السيكومتري، بما يوفر أدوات قابلة لإعادة الاستخدام في دراسات لاحقة.</w:t>
      </w:r>
    </w:p>
    <w:p w14:paraId="10634541" w14:textId="77777777" w:rsidR="00C75DDA" w:rsidRPr="0089552C" w:rsidRDefault="00C75DDA" w:rsidP="00C75DDA">
      <w:pPr>
        <w:bidi/>
        <w:spacing w:after="0" w:line="360" w:lineRule="auto"/>
        <w:jc w:val="both"/>
        <w:rPr>
          <w:rFonts w:ascii="Simplified Arabic" w:hAnsi="Simplified Arabic" w:cs="Simplified Arabic"/>
          <w:sz w:val="24"/>
          <w:szCs w:val="24"/>
          <w:rtl/>
        </w:rPr>
      </w:pPr>
      <w:r w:rsidRPr="0089552C">
        <w:rPr>
          <w:rFonts w:ascii="Simplified Arabic" w:hAnsi="Simplified Arabic" w:cs="Simplified Arabic"/>
          <w:sz w:val="24"/>
          <w:szCs w:val="24"/>
          <w:rtl/>
        </w:rPr>
        <w:t>وتُترجَم هذه الفجوة بشقّيها المنهجي والسياقي إلى الفرضيات الخمس (</w:t>
      </w:r>
      <w:r w:rsidRPr="0089552C">
        <w:rPr>
          <w:rFonts w:ascii="Simplified Arabic" w:hAnsi="Simplified Arabic" w:cs="Simplified Arabic"/>
          <w:sz w:val="24"/>
          <w:szCs w:val="24"/>
        </w:rPr>
        <w:t>H1–H5</w:t>
      </w:r>
      <w:r w:rsidRPr="0089552C">
        <w:rPr>
          <w:rFonts w:ascii="Simplified Arabic" w:hAnsi="Simplified Arabic" w:cs="Simplified Arabic"/>
          <w:sz w:val="24"/>
          <w:szCs w:val="24"/>
          <w:rtl/>
        </w:rPr>
        <w:t>) المعروضة في الفصل الأول، وإلى النموذج المفاهيمي الذي يُختبر إحصائيًا في الفصل الرابع.</w:t>
      </w:r>
    </w:p>
    <w:p w14:paraId="0A792769" w14:textId="4B925311" w:rsidR="00390B53" w:rsidRPr="001361F4" w:rsidRDefault="00AC4332"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w:t>
      </w:r>
      <w:r w:rsidR="00A43798">
        <w:rPr>
          <w:rFonts w:ascii="Simplified Arabic" w:eastAsia="Georgia" w:hAnsi="Simplified Arabic" w:cs="Simplified Arabic" w:hint="cs"/>
          <w:b/>
          <w:bCs/>
          <w:color w:val="000000"/>
          <w:sz w:val="24"/>
          <w:szCs w:val="24"/>
          <w:rtl/>
        </w:rPr>
        <w:t>8</w:t>
      </w:r>
      <w:r w:rsidRPr="001361F4">
        <w:rPr>
          <w:rFonts w:ascii="Simplified Arabic" w:eastAsia="Georgia" w:hAnsi="Simplified Arabic" w:cs="Simplified Arabic"/>
          <w:b/>
          <w:bCs/>
          <w:color w:val="000000"/>
          <w:sz w:val="24"/>
          <w:szCs w:val="24"/>
          <w:rtl/>
        </w:rPr>
        <w:t>.6</w:t>
      </w:r>
      <w:r w:rsidR="00390B53" w:rsidRPr="001361F4">
        <w:rPr>
          <w:rFonts w:ascii="Simplified Arabic" w:eastAsia="Georgia" w:hAnsi="Simplified Arabic" w:cs="Simplified Arabic"/>
          <w:b/>
          <w:bCs/>
          <w:color w:val="000000"/>
          <w:sz w:val="24"/>
          <w:szCs w:val="24"/>
          <w:rtl/>
        </w:rPr>
        <w:t xml:space="preserve"> الإسهام النظري</w:t>
      </w:r>
    </w:p>
    <w:p w14:paraId="75719B65" w14:textId="778D03D9" w:rsidR="00C75DDA" w:rsidRDefault="00C75DDA" w:rsidP="00C75DDA">
      <w:pPr>
        <w:bidi/>
        <w:spacing w:after="210" w:line="360" w:lineRule="auto"/>
        <w:jc w:val="both"/>
        <w:rPr>
          <w:rFonts w:ascii="Simplified Arabic" w:eastAsia="Simplified Arabic" w:hAnsi="Simplified Arabic" w:cs="Simplified Arabic"/>
          <w:color w:val="000000"/>
          <w:sz w:val="24"/>
          <w:szCs w:val="24"/>
          <w:rtl/>
        </w:rPr>
      </w:pPr>
      <w:r w:rsidRPr="00C75DDA">
        <w:rPr>
          <w:rFonts w:ascii="Simplified Arabic" w:eastAsia="Simplified Arabic" w:hAnsi="Simplified Arabic" w:cs="Simplified Arabic"/>
          <w:color w:val="000000"/>
          <w:sz w:val="24"/>
          <w:szCs w:val="24"/>
          <w:rtl/>
        </w:rPr>
        <w:t>يتمثل الإسهام النظري للدراسة في معاملة ثقافة سلامة المرضى وسلوكيات السلامة بوصفهما حلقتين متعاقبتين في آلية واحدة، لا متغيرين وسيطين متوازيين يتنافسان على تفسير الأثر نفسه. ويترتب على هذا التصور نتيجة نظرية قابلة للاختبار: أن أثر القيادة في المخرَج المُدرَك ينبغي أن يضعف ضعفًا ملحوظًا عند إدخال الوسيطين معًا، وأن يظل الأثر غير المباشر المتتابع دالًا. وبذلك ينتقل النموذج من وصف ارتباطات متفرقة بين متغيرات السلامة إلى اقتراح ترتيب محدد بينها يمكن دعمه أو دحضه بالبيانات</w:t>
      </w:r>
      <w:r>
        <w:rPr>
          <w:rFonts w:ascii="Simplified Arabic" w:eastAsia="Simplified Arabic" w:hAnsi="Simplified Arabic" w:cs="Simplified Arabic" w:hint="cs"/>
          <w:color w:val="000000"/>
          <w:sz w:val="24"/>
          <w:szCs w:val="24"/>
          <w:rtl/>
        </w:rPr>
        <w:t>.</w:t>
      </w:r>
    </w:p>
    <w:p w14:paraId="6F176BDD" w14:textId="01727575" w:rsidR="00390B53" w:rsidRPr="001361F4" w:rsidRDefault="00AC4332"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w:t>
      </w:r>
      <w:r w:rsidR="00A43798">
        <w:rPr>
          <w:rFonts w:ascii="Simplified Arabic" w:eastAsia="Georgia" w:hAnsi="Simplified Arabic" w:cs="Simplified Arabic" w:hint="cs"/>
          <w:b/>
          <w:bCs/>
          <w:color w:val="000000"/>
          <w:sz w:val="24"/>
          <w:szCs w:val="24"/>
          <w:rtl/>
        </w:rPr>
        <w:t>8</w:t>
      </w:r>
      <w:r w:rsidRPr="001361F4">
        <w:rPr>
          <w:rFonts w:ascii="Simplified Arabic" w:eastAsia="Georgia" w:hAnsi="Simplified Arabic" w:cs="Simplified Arabic"/>
          <w:b/>
          <w:bCs/>
          <w:color w:val="000000"/>
          <w:sz w:val="24"/>
          <w:szCs w:val="24"/>
          <w:rtl/>
        </w:rPr>
        <w:t>.7</w:t>
      </w:r>
      <w:r w:rsidR="00390B53" w:rsidRPr="001361F4">
        <w:rPr>
          <w:rFonts w:ascii="Simplified Arabic" w:eastAsia="Georgia" w:hAnsi="Simplified Arabic" w:cs="Simplified Arabic"/>
          <w:b/>
          <w:bCs/>
          <w:color w:val="000000"/>
          <w:sz w:val="24"/>
          <w:szCs w:val="24"/>
          <w:rtl/>
        </w:rPr>
        <w:t xml:space="preserve"> الإسهام المنهجي</w:t>
      </w:r>
    </w:p>
    <w:p w14:paraId="6F6F71F9" w14:textId="6EE199D1" w:rsidR="00C75DDA" w:rsidRPr="00C75DDA" w:rsidRDefault="005421DE" w:rsidP="00C75DDA">
      <w:pPr>
        <w:bidi/>
        <w:spacing w:after="210" w:line="360" w:lineRule="auto"/>
        <w:jc w:val="both"/>
        <w:rPr>
          <w:rFonts w:ascii="Simplified Arabic" w:eastAsia="Georgia" w:hAnsi="Simplified Arabic" w:cs="Simplified Arabic"/>
          <w:color w:val="000000"/>
          <w:sz w:val="24"/>
          <w:szCs w:val="24"/>
          <w:rtl/>
        </w:rPr>
      </w:pPr>
      <w:r>
        <w:rPr>
          <w:rFonts w:ascii="Simplified Arabic" w:eastAsia="Georgia" w:hAnsi="Simplified Arabic" w:cs="Simplified Arabic"/>
          <w:color w:val="000000"/>
          <w:sz w:val="24"/>
          <w:szCs w:val="24"/>
          <w:rtl/>
        </w:rPr>
        <w:t xml:space="preserve">تعتمد الدراسة نمذجة المعادلات الهيكلية القائمة على التباين المشترك أداة لاختبار الفروض المباشرة وغير المباشرة والمتتابعة في نموذج واحد. ويتيح ذلك ثلاثة أمور لا تتيحها أساليب الارتباط والانحدار المتعدد: فصل خطأ القياس عن العلاقة البنيوية بين البُنى الكامنة، والتحقق من نموذج القياس وصدقه التقاربي والتمييزي قبل تقدير المسارات، وتقدير الأثر غير المباشر المتتابع عبر وسيطين بتقدير صريح لفترة ثقة مبنية على إعادة المعاينة لا على افتراض اعتدال لا يتحقق في حاصل ضرب المعاملات. ويمتد الإسهام المنهجي إلى الأدوات نفسها. فمقياسا القيادة التحويلية وثقافة سلامة المرضى مقياسان راسخان يُترجمان ويُكيَّفان ثقافيًا للبيئة الصحية السعودية بإجراءات الترجمة العكسية ومراجعة الخبراء، ثم يُختبران توكيديًا في هذا السياق، وهو اختبار له قيمته المستقلة، إذ لم تُفحص البنية السداسية لمقياس </w:t>
      </w:r>
      <w:r>
        <w:rPr>
          <w:rFonts w:ascii="Simplified Arabic" w:eastAsia="Georgia" w:hAnsi="Simplified Arabic" w:cs="Simplified Arabic"/>
          <w:color w:val="000000"/>
          <w:sz w:val="24"/>
          <w:szCs w:val="24"/>
        </w:rPr>
        <w:t>TLI</w:t>
      </w:r>
      <w:r>
        <w:rPr>
          <w:rFonts w:ascii="Simplified Arabic" w:eastAsia="Georgia" w:hAnsi="Simplified Arabic" w:cs="Simplified Arabic"/>
          <w:color w:val="000000"/>
          <w:sz w:val="24"/>
          <w:szCs w:val="24"/>
          <w:rtl/>
        </w:rPr>
        <w:t xml:space="preserve"> في المستشفيات الحكومية السعودية على نطاق واسع. أما مقياسا سلوكيات السلامة والتقليل المُدرَك للأحداث الضارة فمقياسان مطوَّران لأغراض هذه الدراسة استنادًا إلى أطر منشورة، ويخضعان لدورة تحقق كاملة تشمل صدق المحتوى بالتحكيم، </w:t>
      </w:r>
      <w:r>
        <w:rPr>
          <w:rFonts w:ascii="Simplified Arabic" w:eastAsia="Georgia" w:hAnsi="Simplified Arabic" w:cs="Simplified Arabic"/>
          <w:color w:val="000000"/>
          <w:sz w:val="24"/>
          <w:szCs w:val="24"/>
          <w:rtl/>
        </w:rPr>
        <w:lastRenderedPageBreak/>
        <w:t>ثم التحليل العاملي الاستكشافي، ثم التوكيدي على العينة الأساسية. وتوثيق هذه الدورة يجعل المقياسين متاحين لإعادة الاستخدام والاختبار في دراسات لاحقة، وهو ما يُعد إضافة قياسية مستقلة عن نتائج النموذج.</w:t>
      </w:r>
    </w:p>
    <w:p w14:paraId="2B7CF8BF" w14:textId="62622182" w:rsidR="00390B53" w:rsidRPr="001361F4" w:rsidRDefault="0083411F"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w:t>
      </w:r>
      <w:r w:rsidR="00A43798">
        <w:rPr>
          <w:rFonts w:ascii="Simplified Arabic" w:eastAsia="Georgia" w:hAnsi="Simplified Arabic" w:cs="Simplified Arabic" w:hint="cs"/>
          <w:b/>
          <w:bCs/>
          <w:color w:val="000000"/>
          <w:sz w:val="24"/>
          <w:szCs w:val="24"/>
          <w:rtl/>
        </w:rPr>
        <w:t>8</w:t>
      </w:r>
      <w:r w:rsidRPr="001361F4">
        <w:rPr>
          <w:rFonts w:ascii="Simplified Arabic" w:eastAsia="Georgia" w:hAnsi="Simplified Arabic" w:cs="Simplified Arabic"/>
          <w:b/>
          <w:bCs/>
          <w:color w:val="000000"/>
          <w:sz w:val="24"/>
          <w:szCs w:val="24"/>
          <w:rtl/>
        </w:rPr>
        <w:t>.8 الإسهام</w:t>
      </w:r>
      <w:r w:rsidR="00390B53" w:rsidRPr="001361F4">
        <w:rPr>
          <w:rFonts w:ascii="Simplified Arabic" w:eastAsia="Georgia" w:hAnsi="Simplified Arabic" w:cs="Simplified Arabic"/>
          <w:b/>
          <w:bCs/>
          <w:color w:val="000000"/>
          <w:sz w:val="24"/>
          <w:szCs w:val="24"/>
          <w:rtl/>
        </w:rPr>
        <w:t xml:space="preserve"> التطبيقي والسياقي</w:t>
      </w:r>
    </w:p>
    <w:p w14:paraId="50B1434B" w14:textId="0D678363" w:rsidR="00E83A67" w:rsidRPr="00E83A67" w:rsidRDefault="00E83A67" w:rsidP="00E83A67">
      <w:pPr>
        <w:bidi/>
        <w:spacing w:after="210" w:line="360" w:lineRule="auto"/>
        <w:jc w:val="both"/>
        <w:rPr>
          <w:rFonts w:ascii="Simplified Arabic" w:eastAsia="Georgia" w:hAnsi="Simplified Arabic" w:cs="Simplified Arabic"/>
          <w:color w:val="000000"/>
          <w:sz w:val="24"/>
          <w:szCs w:val="24"/>
          <w:rtl/>
        </w:rPr>
      </w:pPr>
      <w:r>
        <w:rPr>
          <w:rFonts w:ascii="Simplified Arabic" w:eastAsia="Georgia" w:hAnsi="Simplified Arabic" w:cs="Simplified Arabic"/>
          <w:color w:val="000000"/>
          <w:sz w:val="24"/>
          <w:szCs w:val="24"/>
          <w:rtl/>
        </w:rPr>
        <w:t>على الصعيد التطبيقي، توفر الدراسة قراءة ميدانية محدَّثة لمستوى القيادة التحويلية وثقافة سلامة المرضى وسلوكيات السلامة والتقليل المُدرَك للأحداث الضارة في مستشفيات القطاع الحكومي بمنطقة الجوف، وهي بيانات لا تتوافر حاليًا للقيادات التنفيذية في التجمع الصحي بهذا المستوى من التفصيل. غير أن القيمة العملية لا تكمن في المستويات المرصودة بقدر ما تكمن في ترتيب الحلقات. فالنموذج المتتابع يسمح بتحديد الحلقة الأضعف في المسار تحديدًا تجريبيًا: هل تقف المشكلة عند الممارسات القيادية نفسها، أم عند انتقالها إلى مناخ تنظيمي داعم، أم عند ترجمة ذلك المناخ إلى سلوك يومي؟ ولكل احتمال من هذه الاحتمالات تدخّل مختلف: فالضعف في الحلقة الأولى يستدعي برامج تطوير قيادي، والضعف في الثانية يستدعي مراجعة سياسات الإبلاغ والتعامل مع الخطأ، والضعف في الثالثة يستدعي التركيز على الإجراءات التشغيلية والموارد المتاحة للفرق. وهذا التمييز هو ما يفرّق بين التدخل الموجَّه وبين توزيع الجهد على المسار كله بالتساوي. كما تتيح الأبعاد الستة لمقياس القيادة التحويلية مستوى إضافيًا من التوجيه، إذ تسمح بمعرفة أي الممارسات القيادية أوثق ارتباطًا ببيئة السلامة في هذا السياق تحديدًا، فتُبنى برامج التدريب على تلك الأبعاد بدل أن تُبنى على تصور عام للقيادة التحويلية. ويتصل ذلك كله بمستهدفات برنامج تحول القطاع الصحي ضمن رؤية المملكة 2030 في ما يخص جودة الرعاية وسلامة المرضى. على أن نطاق هذه الاستفادة محكوم بحدود القياس: فالمخرَج المرصود هو إدراك العاملين لفاعلية إجراءات الوقاية، لا معدل الأحداث المسجَّلة في نظم البلاغات. ولذلك تُقرأ التوصيات المستمدة من النتائج بوصفها موجِّهَات للتدخل التنظيمي، لا تقديرًا لحجم الضرر الفعلي في المنشآت المشمولة.</w:t>
      </w:r>
    </w:p>
    <w:p w14:paraId="0D6ADCC0" w14:textId="142CA86F" w:rsidR="00390B53" w:rsidRPr="001361F4" w:rsidRDefault="00B25657" w:rsidP="00390B53">
      <w:pPr>
        <w:bidi/>
        <w:spacing w:after="210" w:line="360" w:lineRule="auto"/>
        <w:rPr>
          <w:rFonts w:ascii="Simplified Arabic" w:hAnsi="Simplified Arabic" w:cs="Simplified Arabic"/>
          <w:b/>
          <w:bCs/>
          <w:sz w:val="24"/>
          <w:szCs w:val="24"/>
          <w:rtl/>
        </w:rPr>
      </w:pPr>
      <w:r w:rsidRPr="001361F4">
        <w:rPr>
          <w:rFonts w:ascii="Simplified Arabic" w:hAnsi="Simplified Arabic" w:cs="Simplified Arabic"/>
          <w:b/>
          <w:bCs/>
          <w:sz w:val="24"/>
          <w:szCs w:val="24"/>
          <w:rtl/>
        </w:rPr>
        <w:t>2.</w:t>
      </w:r>
      <w:r w:rsidR="00A43798">
        <w:rPr>
          <w:rFonts w:ascii="Simplified Arabic" w:hAnsi="Simplified Arabic" w:cs="Simplified Arabic" w:hint="cs"/>
          <w:b/>
          <w:bCs/>
          <w:sz w:val="24"/>
          <w:szCs w:val="24"/>
          <w:rtl/>
        </w:rPr>
        <w:t>9</w:t>
      </w:r>
      <w:r w:rsidR="00390B53" w:rsidRPr="001361F4">
        <w:rPr>
          <w:rFonts w:ascii="Simplified Arabic" w:hAnsi="Simplified Arabic" w:cs="Simplified Arabic"/>
          <w:b/>
          <w:bCs/>
          <w:sz w:val="24"/>
          <w:szCs w:val="24"/>
          <w:rtl/>
        </w:rPr>
        <w:t>خاتمة الفصل الثاني</w:t>
      </w:r>
    </w:p>
    <w:p w14:paraId="57A3739C" w14:textId="77777777" w:rsidR="00390B53" w:rsidRPr="005C2DEB" w:rsidRDefault="00390B53" w:rsidP="00390B53">
      <w:pPr>
        <w:bidi/>
        <w:spacing w:after="210" w:line="360" w:lineRule="auto"/>
        <w:jc w:val="both"/>
        <w:rPr>
          <w:rFonts w:ascii="Simplified Arabic" w:hAnsi="Simplified Arabic" w:cs="Simplified Arabic"/>
          <w:sz w:val="24"/>
          <w:szCs w:val="24"/>
          <w:rtl/>
        </w:rPr>
      </w:pPr>
      <w:r w:rsidRPr="005C2DEB">
        <w:rPr>
          <w:rFonts w:ascii="Simplified Arabic" w:hAnsi="Simplified Arabic" w:cs="Simplified Arabic"/>
          <w:sz w:val="24"/>
          <w:szCs w:val="24"/>
          <w:rtl/>
        </w:rPr>
        <w:t>تناول هذا الفصل الإطار النظري والدراسات السابقة المتعلقة بمتغيرات الدراسة، حيث تم شرح مفهوم القيادة التحويلية وأبعادها في القطاع الصحي، مع تسليط الضوء على أهميتها في تشكيل القيم والسلوكيات داخل المستشفيات، خاصة في دعم سلامة المرضى. كما تم توضيح مفهوم ثقافة سلامة المرضى وأبعادها الأساسية، مع شرح كيف تساهم هذه الثقافة في إعداد بيئة تنظيمية مشجعة على التعلم من الأخطاء، والعمل الجماعي، والتواصل المفتوح حول الحوادث.</w:t>
      </w:r>
    </w:p>
    <w:p w14:paraId="34971AEA" w14:textId="156C6F10" w:rsidR="00390B53" w:rsidRPr="007877B6" w:rsidRDefault="00390B53" w:rsidP="00390B53">
      <w:pPr>
        <w:bidi/>
        <w:spacing w:after="210" w:line="360" w:lineRule="auto"/>
        <w:jc w:val="both"/>
        <w:rPr>
          <w:rFonts w:ascii="Simplified Arabic" w:hAnsi="Simplified Arabic" w:cs="Simplified Arabic"/>
          <w:sz w:val="24"/>
          <w:szCs w:val="24"/>
          <w:rtl/>
        </w:rPr>
      </w:pPr>
      <w:r w:rsidRPr="007877B6">
        <w:rPr>
          <w:rFonts w:ascii="Simplified Arabic" w:hAnsi="Simplified Arabic" w:cs="Simplified Arabic"/>
          <w:sz w:val="24"/>
          <w:szCs w:val="24"/>
          <w:rtl/>
        </w:rPr>
        <w:t xml:space="preserve">تناول الفصل سلوكيات السلامة لدى الممارسين الصحيين، معتبرًا إياها جزءًا من عملية تعكس مدى ترجمة القيم والثقافة الخاصة بسلامة المرضى إلى ممارسات يومية. كما استعرض مفهوم </w:t>
      </w:r>
      <w:r w:rsidR="007877B6" w:rsidRPr="007877B6">
        <w:rPr>
          <w:rFonts w:ascii="Simplified Arabic" w:eastAsia="Arial" w:hAnsi="Simplified Arabic" w:cs="Simplified Arabic" w:hint="cs"/>
          <w:color w:val="000000"/>
          <w:sz w:val="24"/>
          <w:szCs w:val="24"/>
          <w:rtl/>
        </w:rPr>
        <w:t>التقليل</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المُدرَك</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للأحداث</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الضارة</w:t>
      </w:r>
      <w:r w:rsidRPr="007877B6">
        <w:rPr>
          <w:rFonts w:ascii="Simplified Arabic" w:hAnsi="Simplified Arabic" w:cs="Simplified Arabic"/>
          <w:sz w:val="24"/>
          <w:szCs w:val="24"/>
          <w:rtl/>
        </w:rPr>
        <w:t xml:space="preserve"> في المستشفيات، مع عرض أنواعه وتأثيراته، </w:t>
      </w:r>
      <w:r w:rsidRPr="007877B6">
        <w:rPr>
          <w:rFonts w:ascii="Simplified Arabic" w:hAnsi="Simplified Arabic" w:cs="Simplified Arabic"/>
          <w:sz w:val="24"/>
          <w:szCs w:val="24"/>
          <w:rtl/>
        </w:rPr>
        <w:lastRenderedPageBreak/>
        <w:t>موضحًا الصلة غير المباشرة بين القيادة، والثقافة، والسلوكيات من جهة، ومستوى هذه الأحداث من جهة أخرى. لذا استخدم ذلك لبناء نموذج نظري يربط بين القيادة التحويلية، ثقافة سلامة المرضى، سلوكيات السلامة، و</w:t>
      </w:r>
      <w:r w:rsidR="007877B6" w:rsidRPr="007877B6">
        <w:rPr>
          <w:rFonts w:ascii="Simplified Arabic" w:eastAsia="Arial" w:hAnsi="Simplified Arabic" w:cs="Simplified Arabic" w:hint="cs"/>
          <w:color w:val="000000"/>
          <w:sz w:val="24"/>
          <w:szCs w:val="24"/>
          <w:rtl/>
        </w:rPr>
        <w:t>التقليل</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المُدرَك</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للأحداث</w:t>
      </w:r>
      <w:r w:rsidR="007877B6" w:rsidRPr="007877B6">
        <w:rPr>
          <w:rFonts w:ascii="Simplified Arabic" w:eastAsia="Arial" w:hAnsi="Simplified Arabic" w:cs="Simplified Arabic"/>
          <w:color w:val="000000"/>
          <w:sz w:val="24"/>
          <w:szCs w:val="24"/>
          <w:rtl/>
        </w:rPr>
        <w:t xml:space="preserve"> </w:t>
      </w:r>
      <w:r w:rsidR="007877B6" w:rsidRPr="007877B6">
        <w:rPr>
          <w:rFonts w:ascii="Simplified Arabic" w:eastAsia="Arial" w:hAnsi="Simplified Arabic" w:cs="Simplified Arabic" w:hint="cs"/>
          <w:color w:val="000000"/>
          <w:sz w:val="24"/>
          <w:szCs w:val="24"/>
          <w:rtl/>
        </w:rPr>
        <w:t>الضارة</w:t>
      </w:r>
      <w:r w:rsidRPr="007877B6">
        <w:rPr>
          <w:rFonts w:ascii="Simplified Arabic" w:hAnsi="Simplified Arabic" w:cs="Simplified Arabic"/>
          <w:sz w:val="24"/>
          <w:szCs w:val="24"/>
          <w:rtl/>
        </w:rPr>
        <w:t xml:space="preserve"> عبر مسار وساطة متسلسل، مستندًا إلى الأدبيات والنماذج الدولية المعاصرة.</w:t>
      </w:r>
    </w:p>
    <w:p w14:paraId="537DACAA" w14:textId="3DB6B81B" w:rsidR="00390B53" w:rsidRPr="005C2DEB" w:rsidRDefault="00390B53" w:rsidP="00A43798">
      <w:pPr>
        <w:bidi/>
        <w:spacing w:after="210" w:line="360" w:lineRule="auto"/>
        <w:jc w:val="both"/>
        <w:rPr>
          <w:rFonts w:ascii="Simplified Arabic" w:hAnsi="Simplified Arabic" w:cs="Simplified Arabic"/>
          <w:sz w:val="24"/>
          <w:szCs w:val="24"/>
          <w:rtl/>
        </w:rPr>
      </w:pPr>
      <w:r w:rsidRPr="005C2DEB">
        <w:rPr>
          <w:rFonts w:ascii="Simplified Arabic" w:eastAsia="Simplified Arabic" w:hAnsi="Simplified Arabic" w:cs="Simplified Arabic"/>
          <w:sz w:val="24"/>
          <w:szCs w:val="24"/>
          <w:rtl/>
        </w:rPr>
        <w:t xml:space="preserve">في الجزء الثاني من الفصل، تم عرض الدراسات السابقة مع التركيز على علاقات متغيرات النموذج، مع إبراز نقاط الاتفاق والاختلاف، وتحديد القصور المنهجي والسياقي، مثل قلة الدراسات التي اختبرت نماذج وساطة متسلسلة في البيئة السعودية، وتركز معظم الأبحاث </w:t>
      </w:r>
      <w:r w:rsidRPr="00AA3DF3">
        <w:rPr>
          <w:rFonts w:ascii="Simplified Arabic" w:eastAsia="Simplified Arabic" w:hAnsi="Simplified Arabic" w:cs="Simplified Arabic"/>
          <w:sz w:val="24"/>
          <w:szCs w:val="24"/>
          <w:rtl/>
        </w:rPr>
        <w:t xml:space="preserve">على المناطق الحضرية الكبرى، واعتمادها على طرق تحليل تقليدية لفهم العلاقات النظرية والمسارات الإحصائية. </w:t>
      </w:r>
      <w:r w:rsidR="00AA3DF3" w:rsidRPr="00AA3DF3">
        <w:rPr>
          <w:rFonts w:ascii="Simplified Arabic" w:eastAsia="Arial" w:hAnsi="Simplified Arabic" w:cs="Simplified Arabic"/>
          <w:color w:val="000000"/>
          <w:sz w:val="24"/>
          <w:szCs w:val="24"/>
          <w:rtl/>
        </w:rPr>
        <w:t>وقد أفضى هذا التحليل إلى تحديد الفجوة</w:t>
      </w:r>
      <w:r w:rsidRPr="005C2DEB">
        <w:rPr>
          <w:rFonts w:ascii="Simplified Arabic" w:eastAsia="Simplified Arabic" w:hAnsi="Simplified Arabic" w:cs="Simplified Arabic"/>
          <w:sz w:val="24"/>
          <w:szCs w:val="24"/>
          <w:rtl/>
        </w:rPr>
        <w:t xml:space="preserve"> البحثية التي تهدف الدراسة الحالية إلى ملئها، مع بيان القيمة المضافة في المستويات النظرية والمنهجية والتطبيقية.</w:t>
      </w:r>
    </w:p>
    <w:p w14:paraId="1755CFE6" w14:textId="77777777" w:rsidR="00161B2D" w:rsidRPr="00E1305F" w:rsidRDefault="00161B2D" w:rsidP="00161B2D">
      <w:pPr>
        <w:pageBreakBefore/>
        <w:bidi/>
        <w:spacing w:before="720" w:after="80"/>
        <w:rPr>
          <w:rFonts w:ascii="Simplified Arabic" w:hAnsi="Simplified Arabic" w:cs="Simplified Arabic"/>
          <w:b/>
          <w:bCs/>
          <w:sz w:val="28"/>
          <w:szCs w:val="28"/>
        </w:rPr>
      </w:pPr>
      <w:r w:rsidRPr="00E1305F">
        <w:rPr>
          <w:rFonts w:ascii="Simplified Arabic" w:hAnsi="Simplified Arabic" w:cs="Simplified Arabic" w:hint="cs"/>
          <w:b/>
          <w:bCs/>
          <w:sz w:val="28"/>
          <w:szCs w:val="28"/>
          <w:rtl/>
        </w:rPr>
        <w:lastRenderedPageBreak/>
        <w:t>الفصل الثالث</w:t>
      </w:r>
    </w:p>
    <w:p w14:paraId="521571BC" w14:textId="77777777" w:rsidR="00161B2D" w:rsidRPr="009F275C" w:rsidRDefault="00161B2D" w:rsidP="00D63CA8">
      <w:pPr>
        <w:bidi/>
        <w:spacing w:after="360"/>
        <w:jc w:val="both"/>
        <w:rPr>
          <w:rFonts w:ascii="Simplified Arabic" w:hAnsi="Simplified Arabic" w:cs="Simplified Arabic"/>
          <w:bCs/>
          <w:sz w:val="28"/>
          <w:szCs w:val="28"/>
        </w:rPr>
      </w:pPr>
      <w:r w:rsidRPr="009F275C">
        <w:rPr>
          <w:rFonts w:ascii="Simplified Arabic" w:hAnsi="Simplified Arabic" w:cs="Simplified Arabic"/>
          <w:bCs/>
          <w:sz w:val="28"/>
          <w:szCs w:val="28"/>
          <w:rtl/>
        </w:rPr>
        <w:t>الطريقة والإجراءات (منهجية الدراسة)</w:t>
      </w:r>
    </w:p>
    <w:p w14:paraId="1BB92891" w14:textId="77777777" w:rsidR="00161B2D" w:rsidRPr="009F275C" w:rsidRDefault="00161B2D" w:rsidP="00D63CA8">
      <w:pPr>
        <w:pStyle w:val="1"/>
        <w:bidi/>
        <w:spacing w:before="20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3.1 تمهيد</w:t>
      </w:r>
    </w:p>
    <w:p w14:paraId="29561267" w14:textId="678320C4" w:rsidR="00161B2D" w:rsidRPr="000C73D6" w:rsidRDefault="00E61B1E" w:rsidP="00D63CA8">
      <w:pPr>
        <w:bidi/>
        <w:spacing w:after="100" w:line="324" w:lineRule="auto"/>
        <w:jc w:val="both"/>
        <w:rPr>
          <w:rFonts w:ascii="Simplified Arabic" w:hAnsi="Simplified Arabic" w:cs="Simplified Arabic"/>
          <w:sz w:val="24"/>
          <w:szCs w:val="24"/>
        </w:rPr>
      </w:pPr>
      <w:r w:rsidRPr="00E61B1E">
        <w:rPr>
          <w:rFonts w:ascii="Simplified Arabic" w:eastAsia="Arial" w:hAnsi="Simplified Arabic" w:cs="Simplified Arabic"/>
          <w:color w:val="000000"/>
          <w:sz w:val="24"/>
          <w:szCs w:val="24"/>
          <w:rtl/>
        </w:rPr>
        <w:t>يُحوِّل هذا الفصل</w:t>
      </w:r>
      <w:r w:rsidR="009F275C" w:rsidRPr="00E61B1E">
        <w:rPr>
          <w:rFonts w:ascii="Simplified Arabic" w:hAnsi="Simplified Arabic" w:cs="Simplified Arabic"/>
          <w:sz w:val="24"/>
          <w:szCs w:val="24"/>
          <w:rtl/>
        </w:rPr>
        <w:t xml:space="preserve"> النموذج</w:t>
      </w:r>
      <w:r w:rsidR="009F275C" w:rsidRPr="000C73D6">
        <w:rPr>
          <w:rFonts w:ascii="Simplified Arabic" w:hAnsi="Simplified Arabic" w:cs="Simplified Arabic"/>
          <w:sz w:val="24"/>
          <w:szCs w:val="24"/>
          <w:rtl/>
        </w:rPr>
        <w:t xml:space="preserve"> النظري للدراسة إلى خطة عملية قابلة للتنفيذ والمراجعة. يُقدم منهج الدراسة وتصميمها، والمجتمع المستهدف، وإطار المراجعة، وحجم العينة وطريقة اختيارها، بالإضافة إلى بناء أداة جمع البيانات، وإجراءات الترجمة، والتحكيم، والدراسة الاستطلاعية، وخطة التحقق من الصدق والثبات، وآلية جمع البيانات وتنظيفها وتحليلها، مع توضيح الضوابط الأخلاقية المعتمدة. كما </w:t>
      </w:r>
      <w:r w:rsidR="000C73D6" w:rsidRPr="000C73D6">
        <w:rPr>
          <w:rFonts w:ascii="Simplified Arabic" w:eastAsia="Arial" w:hAnsi="Simplified Arabic" w:cs="Simplified Arabic"/>
          <w:color w:val="000000"/>
          <w:sz w:val="24"/>
          <w:szCs w:val="24"/>
          <w:rtl/>
        </w:rPr>
        <w:t>صيغت الإجراءات</w:t>
      </w:r>
      <w:r w:rsidR="009F275C" w:rsidRPr="000C73D6">
        <w:rPr>
          <w:rFonts w:ascii="Simplified Arabic" w:hAnsi="Simplified Arabic" w:cs="Simplified Arabic"/>
          <w:sz w:val="24"/>
          <w:szCs w:val="24"/>
          <w:rtl/>
        </w:rPr>
        <w:t xml:space="preserve"> غير المنفذة بعد بصيغة المستقبل، على أن يتم عرض النتائج الفعلية للدراسة الاستطلاعية والتحليلات السيكومترية والنهائية في الفصل الرابع أو في الملحق المنهجي المخصص لذلك.</w:t>
      </w:r>
    </w:p>
    <w:p w14:paraId="660CB715" w14:textId="5B20FAC9"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eastAsia="Simplified Arabic" w:hAnsi="Simplified Arabic" w:cs="Simplified Arabic"/>
          <w:sz w:val="24"/>
          <w:szCs w:val="24"/>
          <w:rtl/>
        </w:rPr>
        <w:t xml:space="preserve">يعتمد النموذج على مسار وساطة متتابعة يبدأ بالقيادة التحويلية، يتبعها ثقافة سلامة المرضى، ثم سلوكيات السلامة، </w:t>
      </w:r>
      <w:r w:rsidR="00BD5A2C" w:rsidRPr="000652BE">
        <w:rPr>
          <w:rFonts w:ascii="Simplified Arabic" w:eastAsia="Arial" w:hAnsi="Simplified Arabic" w:cs="Simplified Arabic"/>
          <w:color w:val="000000"/>
          <w:sz w:val="21"/>
          <w:szCs w:val="21"/>
          <w:rtl/>
        </w:rPr>
        <w:t>وينتهي بالتقليل المُدرَك للأحداث الضارة</w:t>
      </w:r>
      <w:r>
        <w:rPr>
          <w:rFonts w:ascii="Simplified Arabic" w:eastAsia="Simplified Arabic" w:hAnsi="Simplified Arabic" w:cs="Simplified Arabic"/>
          <w:sz w:val="24"/>
          <w:szCs w:val="24"/>
          <w:rtl/>
        </w:rPr>
        <w:t>. وبما أن البيانات ستُجمع في وقت واحد، فإن المسارات تمثل علاقات نظرية واتجاهات إحصائية محتملة قابلة للاختبار، لكنها لا تؤكد السببية أو التتابع الزمني.</w:t>
      </w:r>
    </w:p>
    <w:p w14:paraId="10D88D47" w14:textId="77777777" w:rsidR="00161B2D" w:rsidRPr="009F275C" w:rsidRDefault="00161B2D" w:rsidP="00D63CA8">
      <w:pPr>
        <w:pStyle w:val="1"/>
        <w:bidi/>
        <w:spacing w:before="20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3.2 منهج الدراسة وتصميمها</w:t>
      </w:r>
    </w:p>
    <w:p w14:paraId="5EB09ECE" w14:textId="77777777" w:rsidR="00161B2D" w:rsidRPr="009F275C" w:rsidRDefault="00161B2D" w:rsidP="00D63CA8">
      <w:pPr>
        <w:pStyle w:val="2"/>
        <w:bidi/>
        <w:spacing w:before="120" w:after="80"/>
        <w:jc w:val="both"/>
        <w:rPr>
          <w:rFonts w:ascii="Simplified Arabic" w:hAnsi="Simplified Arabic" w:cs="Simplified Arabic"/>
          <w:bCs/>
          <w:color w:val="auto"/>
          <w:sz w:val="24"/>
          <w:szCs w:val="24"/>
        </w:rPr>
      </w:pPr>
      <w:r w:rsidRPr="009F275C">
        <w:rPr>
          <w:rFonts w:ascii="Simplified Arabic" w:hAnsi="Simplified Arabic" w:cs="Simplified Arabic"/>
          <w:bCs/>
          <w:color w:val="auto"/>
          <w:sz w:val="24"/>
          <w:szCs w:val="24"/>
          <w:rtl/>
        </w:rPr>
        <w:t>3.2.1 المنهج الكمي الوصفي المسحي الارتباطي</w:t>
      </w:r>
    </w:p>
    <w:p w14:paraId="16D002D7" w14:textId="7C67A385"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تتبنى الدراسة منهجًا كميًا وصفيًا مسحيًا ذا طابع ارتباطي، ضمن تصميم مقطعي (</w:t>
      </w:r>
      <w:r>
        <w:rPr>
          <w:rFonts w:ascii="Simplified Arabic" w:hAnsi="Simplified Arabic" w:cs="Simplified Arabic"/>
          <w:sz w:val="24"/>
          <w:szCs w:val="24"/>
        </w:rPr>
        <w:t>Cross-sectional Correlational Survey</w:t>
      </w:r>
      <w:r>
        <w:rPr>
          <w:rFonts w:ascii="Simplified Arabic" w:hAnsi="Simplified Arabic" w:cs="Simplified Arabic"/>
          <w:sz w:val="24"/>
          <w:szCs w:val="24"/>
          <w:rtl/>
        </w:rPr>
        <w:t xml:space="preserve">). ويتيح هذا التصميم وصف مستويات متغيرات الدراسة لدى العاملين، وفحص العلاقات المباشرة وغير المباشرة بينها في بيئة العمل الفعلية، دون تدخل تجريبي أو تغيير في الإجراءات التنظيمية أو السريرية </w:t>
      </w:r>
      <w:r w:rsidR="005558C1">
        <w:rPr>
          <w:rFonts w:ascii="Simplified Arabic" w:hAnsi="Simplified Arabic" w:cs="Simplified Arabic"/>
          <w:sz w:val="24"/>
          <w:szCs w:val="24"/>
          <w:rtl/>
        </w:rPr>
        <w:t>(</w:t>
      </w:r>
      <w:r w:rsidR="005558C1">
        <w:rPr>
          <w:rFonts w:ascii="Simplified Arabic" w:hAnsi="Simplified Arabic" w:cs="Simplified Arabic"/>
          <w:sz w:val="24"/>
          <w:szCs w:val="24"/>
        </w:rPr>
        <w:t>Creswell &amp; Creswell, 2018</w:t>
      </w:r>
      <w:r w:rsidR="005558C1">
        <w:rPr>
          <w:rFonts w:ascii="Simplified Arabic" w:hAnsi="Simplified Arabic" w:cs="Simplified Arabic"/>
          <w:sz w:val="24"/>
          <w:szCs w:val="24"/>
          <w:rtl/>
        </w:rPr>
        <w:t xml:space="preserve">). </w:t>
      </w:r>
      <w:r>
        <w:rPr>
          <w:rFonts w:ascii="Simplified Arabic" w:hAnsi="Simplified Arabic" w:cs="Simplified Arabic"/>
          <w:sz w:val="24"/>
          <w:szCs w:val="24"/>
          <w:rtl/>
        </w:rPr>
        <w:t>يتوافق هذا المنهج مع طبيعة الأسئلة والفرضيات؛ إذ تتطلب الدراسة قياس أربعة بنيات كمية هي القيادة التحويلية، ثقافة سلامة المرضى، سلوكيات السلامة، والتقليل المُدرَك للأحداث الضارة، ثم اختبار مساراتها باستخدام نمذجة المعادلات الهيكلية. كما يتيح جمع البيانات من عدد كبير من العاملين عبر مستشفيات متعددة، مع المحافظة على توحيد إجراءات القياس والمقارنة.</w:t>
      </w:r>
    </w:p>
    <w:p w14:paraId="4509BC49" w14:textId="77777777" w:rsidR="00161B2D" w:rsidRPr="009F275C" w:rsidRDefault="00161B2D" w:rsidP="00D63CA8">
      <w:pPr>
        <w:pStyle w:val="2"/>
        <w:bidi/>
        <w:spacing w:before="120" w:after="80"/>
        <w:jc w:val="both"/>
        <w:rPr>
          <w:rFonts w:ascii="Simplified Arabic" w:hAnsi="Simplified Arabic" w:cs="Simplified Arabic"/>
          <w:bCs/>
          <w:color w:val="auto"/>
          <w:sz w:val="24"/>
          <w:szCs w:val="24"/>
        </w:rPr>
      </w:pPr>
      <w:r w:rsidRPr="009F275C">
        <w:rPr>
          <w:rFonts w:ascii="Simplified Arabic" w:hAnsi="Simplified Arabic" w:cs="Simplified Arabic"/>
          <w:bCs/>
          <w:color w:val="auto"/>
          <w:sz w:val="24"/>
          <w:szCs w:val="24"/>
          <w:rtl/>
        </w:rPr>
        <w:t>3.2.2 حدود الاستدلال في التصميم المقطعي</w:t>
      </w:r>
    </w:p>
    <w:p w14:paraId="21890F9E" w14:textId="5ED633A8"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لا يسمح التصميم المقطعي بإثبات أن المتغير السابق زمنيًا أدى إلى المتغير اللاحق. لذلك، يُفسر لفظ «الأثر» في هذه الدراسة بوصفه أثرًا إحصائيًا مفترضًا داخل نموذج نظري مدعوم بالأدبيات، وليس علاقة سببية محسومة. وسيُراعَى هذا القيد عند مناقشة النتائج، مع التوصية بدراسات طولية أو شبه تجريبية لاحقة للتحقق من اتجاه العلاقات وتتابعها الزمني.</w:t>
      </w:r>
    </w:p>
    <w:p w14:paraId="2228E4BC" w14:textId="77777777" w:rsidR="00161B2D" w:rsidRPr="009F275C" w:rsidRDefault="00161B2D" w:rsidP="00D63CA8">
      <w:pPr>
        <w:pStyle w:val="1"/>
        <w:bidi/>
        <w:spacing w:before="20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lastRenderedPageBreak/>
        <w:t>3.3 مجتمع الدراسة وإطار المعاينة</w:t>
      </w:r>
    </w:p>
    <w:p w14:paraId="15DBCCF4" w14:textId="77777777" w:rsidR="00161B2D" w:rsidRPr="009F275C" w:rsidRDefault="00161B2D" w:rsidP="00D63CA8">
      <w:pPr>
        <w:pStyle w:val="2"/>
        <w:bidi/>
        <w:spacing w:before="12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3.3.1 المجتمع المستهدف</w:t>
      </w:r>
    </w:p>
    <w:p w14:paraId="2C525926"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hAnsi="Simplified Arabic" w:cs="Simplified Arabic"/>
          <w:sz w:val="24"/>
          <w:szCs w:val="24"/>
          <w:rtl/>
        </w:rPr>
        <w:t>يتكون المجتمع المستهدف من العاملين في المستشفيات الحكومية التابعة لتجمع الجوف الصحي، ممن ترتبط وظائفهم بصورة مباشرة أو غير مباشرة بالرعاية الصحية وسلامة المرضى. ويشمل ذلك الأطباء، والممرضين والممرضات، والفنيين الصحيين، والصيادلة، والإداريين الصحيين العاملين في الأقسام السريرية والمساندة ذات الصلة.</w:t>
      </w:r>
    </w:p>
    <w:p w14:paraId="6E32DC98" w14:textId="77777777" w:rsidR="00161B2D" w:rsidRPr="009F275C" w:rsidRDefault="00161B2D" w:rsidP="00D63CA8">
      <w:pPr>
        <w:pStyle w:val="2"/>
        <w:bidi/>
        <w:spacing w:before="12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3.3.2 إطار المعاينة</w:t>
      </w:r>
    </w:p>
    <w:p w14:paraId="3045B299" w14:textId="06C36EC7" w:rsidR="00161B2D" w:rsidRPr="00D63CA8" w:rsidRDefault="009F275C" w:rsidP="00D63CA8">
      <w:pPr>
        <w:bidi/>
        <w:spacing w:after="100" w:line="324" w:lineRule="auto"/>
        <w:jc w:val="both"/>
        <w:rPr>
          <w:rFonts w:ascii="Simplified Arabic" w:hAnsi="Simplified Arabic" w:cs="Simplified Arabic"/>
          <w:sz w:val="24"/>
          <w:szCs w:val="24"/>
        </w:rPr>
      </w:pPr>
      <w:r>
        <w:rPr>
          <w:rFonts w:ascii="Simplified Arabic" w:eastAsia="Simplified Arabic" w:hAnsi="Simplified Arabic" w:cs="Simplified Arabic"/>
          <w:sz w:val="24"/>
          <w:szCs w:val="24"/>
          <w:rtl/>
        </w:rPr>
        <w:t>تغطي الدراسة تسعة مستشفيات حكومية مختارة من منشآت تجمع الجوف الصحي، وهي: مستشفى الملك عبدالعزيز التخصصي بسكاكا، ومستشفى الأمير متعب بن عبدالعزيز، وم</w:t>
      </w:r>
      <w:r w:rsidR="008C0D08">
        <w:rPr>
          <w:rFonts w:ascii="Simplified Arabic" w:eastAsia="Simplified Arabic" w:hAnsi="Simplified Arabic" w:cs="Simplified Arabic" w:hint="cs"/>
          <w:sz w:val="24"/>
          <w:szCs w:val="24"/>
          <w:rtl/>
        </w:rPr>
        <w:t>ست</w:t>
      </w:r>
      <w:r>
        <w:rPr>
          <w:rFonts w:ascii="Simplified Arabic" w:eastAsia="Simplified Arabic" w:hAnsi="Simplified Arabic" w:cs="Simplified Arabic"/>
          <w:sz w:val="24"/>
          <w:szCs w:val="24"/>
          <w:rtl/>
        </w:rPr>
        <w:t>شفى النساء والولادة والأطفال بسكاكا، ومستشفى طبرجل العام، ومستشفى دومة الجندل العام، ومستشفى صوير العام، ومستشفى القريات العام، ومستشفى الحديثة العام، ومستشفى العيساوية العام. ويختلف هذا الإطار البحثي عن العدد الكلي لمنشآت التجمع؛ إذ يضم التجمع 14 مستشفى عامًا ومتخصصًا، بينما تقتصر الدراسة على المستشفيات التسعة التي تدخل في نطاقها ومعاييرها. وسيُبنى إطار المعاينة الفعلي على القوائم الاسمية المحدثة التي تصدرها إدارة الموارد البشرية في تاريخ موحد قبل السحب العشوائي (</w:t>
      </w:r>
      <w:r>
        <w:rPr>
          <w:rFonts w:ascii="Simplified Arabic" w:eastAsia="Simplified Arabic" w:hAnsi="Simplified Arabic" w:cs="Simplified Arabic"/>
          <w:sz w:val="24"/>
          <w:szCs w:val="24"/>
        </w:rPr>
        <w:t>Health Holding Company, n.d</w:t>
      </w:r>
      <w:r>
        <w:rPr>
          <w:rFonts w:ascii="Simplified Arabic" w:eastAsia="Simplified Arabic" w:hAnsi="Simplified Arabic" w:cs="Simplified Arabic"/>
          <w:sz w:val="24"/>
          <w:szCs w:val="24"/>
          <w:rtl/>
        </w:rPr>
        <w:t>.).</w:t>
      </w:r>
    </w:p>
    <w:p w14:paraId="6E929BDF" w14:textId="77777777" w:rsidR="00161B2D" w:rsidRPr="009F275C" w:rsidRDefault="00161B2D" w:rsidP="00D63CA8">
      <w:pPr>
        <w:pStyle w:val="2"/>
        <w:bidi/>
        <w:spacing w:before="12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3.3.3 معايير الشمول والاستبعاد</w:t>
      </w:r>
    </w:p>
    <w:p w14:paraId="0972AAA2"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hAnsi="Simplified Arabic" w:cs="Simplified Arabic"/>
          <w:sz w:val="24"/>
          <w:szCs w:val="24"/>
          <w:rtl/>
        </w:rPr>
        <w:t>تشمل الدراسة العامل الذي يستوفي الشروط الآتية:</w:t>
      </w:r>
    </w:p>
    <w:p w14:paraId="0F08BCA1" w14:textId="77777777" w:rsidR="00161B2D" w:rsidRPr="00D63CA8" w:rsidRDefault="00161B2D" w:rsidP="00D63CA8">
      <w:pPr>
        <w:bidi/>
        <w:spacing w:after="60" w:line="300" w:lineRule="auto"/>
        <w:ind w:right="360" w:hanging="259"/>
        <w:jc w:val="both"/>
        <w:rPr>
          <w:rFonts w:ascii="Simplified Arabic" w:hAnsi="Simplified Arabic" w:cs="Simplified Arabic"/>
          <w:sz w:val="24"/>
          <w:szCs w:val="24"/>
        </w:rPr>
      </w:pPr>
      <w:r w:rsidRPr="00D63CA8">
        <w:rPr>
          <w:rFonts w:ascii="Simplified Arabic" w:hAnsi="Simplified Arabic" w:cs="Simplified Arabic"/>
          <w:sz w:val="24"/>
          <w:szCs w:val="24"/>
          <w:rtl/>
        </w:rPr>
        <w:t>• أن يكون على رأس العمل في أحد المستشفيات التسعة عند بدء جمع البيانات.</w:t>
      </w:r>
    </w:p>
    <w:p w14:paraId="5D3933AB" w14:textId="77777777" w:rsidR="00161B2D" w:rsidRPr="00D63CA8" w:rsidRDefault="00161B2D" w:rsidP="00D63CA8">
      <w:pPr>
        <w:bidi/>
        <w:spacing w:after="60" w:line="300" w:lineRule="auto"/>
        <w:ind w:right="360" w:hanging="259"/>
        <w:jc w:val="both"/>
        <w:rPr>
          <w:rFonts w:ascii="Simplified Arabic" w:hAnsi="Simplified Arabic" w:cs="Simplified Arabic"/>
          <w:sz w:val="24"/>
          <w:szCs w:val="24"/>
        </w:rPr>
      </w:pPr>
      <w:r w:rsidRPr="00D63CA8">
        <w:rPr>
          <w:rFonts w:ascii="Simplified Arabic" w:hAnsi="Simplified Arabic" w:cs="Simplified Arabic"/>
          <w:sz w:val="24"/>
          <w:szCs w:val="24"/>
          <w:rtl/>
        </w:rPr>
        <w:t>• أن يكون قد أمضى ستة أشهر على الأقل في المستشفى الحالي؛ بما يتيح له تكوين إدراك واقعي عن نمط القيادة وبيئة السلامة.</w:t>
      </w:r>
    </w:p>
    <w:p w14:paraId="76801663" w14:textId="77777777" w:rsidR="00161B2D" w:rsidRPr="00D63CA8" w:rsidRDefault="00161B2D" w:rsidP="00D63CA8">
      <w:pPr>
        <w:bidi/>
        <w:spacing w:after="60" w:line="300" w:lineRule="auto"/>
        <w:ind w:right="360" w:hanging="259"/>
        <w:jc w:val="both"/>
        <w:rPr>
          <w:rFonts w:ascii="Simplified Arabic" w:hAnsi="Simplified Arabic" w:cs="Simplified Arabic"/>
          <w:sz w:val="24"/>
          <w:szCs w:val="24"/>
        </w:rPr>
      </w:pPr>
      <w:r w:rsidRPr="00D63CA8">
        <w:rPr>
          <w:rFonts w:ascii="Simplified Arabic" w:hAnsi="Simplified Arabic" w:cs="Simplified Arabic"/>
          <w:sz w:val="24"/>
          <w:szCs w:val="24"/>
          <w:rtl/>
        </w:rPr>
        <w:t>• أن ينتمي إلى إحدى الفئات المهنية المشمولة، وأن يوافق طوعًا على المشاركة.</w:t>
      </w:r>
    </w:p>
    <w:p w14:paraId="2AE7CA0E"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hAnsi="Simplified Arabic" w:cs="Simplified Arabic"/>
          <w:sz w:val="24"/>
          <w:szCs w:val="24"/>
          <w:rtl/>
        </w:rPr>
        <w:t>ويُستبعد العاملون الجدد ممن تقل مدة عملهم عن ستة أشهر، والمتدربون والمتطوعون، والمتعاقدون المؤقتون لمدة قصيرة، والعاملون في إجازة طويلة خلال فترة الجمع، وأي استجابة لا تستوفي معايير جودة البيانات الموضحة في القسم (3.12).</w:t>
      </w:r>
    </w:p>
    <w:p w14:paraId="193F38C1" w14:textId="77777777" w:rsidR="00161B2D" w:rsidRPr="009F275C" w:rsidRDefault="00161B2D" w:rsidP="00D63CA8">
      <w:pPr>
        <w:pStyle w:val="1"/>
        <w:bidi/>
        <w:spacing w:before="20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3.4 عينة الدراسة وأسلوب المعاينة</w:t>
      </w:r>
    </w:p>
    <w:p w14:paraId="29710A66" w14:textId="77777777" w:rsidR="00161B2D" w:rsidRPr="009F275C" w:rsidRDefault="00161B2D" w:rsidP="00D63CA8">
      <w:pPr>
        <w:pStyle w:val="2"/>
        <w:bidi/>
        <w:spacing w:before="120" w:after="80"/>
        <w:jc w:val="both"/>
        <w:rPr>
          <w:rFonts w:ascii="Simplified Arabic" w:hAnsi="Simplified Arabic" w:cs="Simplified Arabic"/>
          <w:bCs/>
          <w:color w:val="auto"/>
          <w:sz w:val="28"/>
          <w:szCs w:val="28"/>
        </w:rPr>
      </w:pPr>
      <w:r w:rsidRPr="009F275C">
        <w:rPr>
          <w:rFonts w:ascii="Simplified Arabic" w:hAnsi="Simplified Arabic" w:cs="Simplified Arabic"/>
          <w:bCs/>
          <w:color w:val="auto"/>
          <w:sz w:val="28"/>
          <w:szCs w:val="28"/>
          <w:rtl/>
        </w:rPr>
        <w:t>3.4.1 تحديد حجم العينة</w:t>
      </w:r>
    </w:p>
    <w:p w14:paraId="07ACB9C0" w14:textId="38002701" w:rsidR="00B33872" w:rsidRPr="00B33872" w:rsidRDefault="009F275C" w:rsidP="00B33872">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حُدد حجم العينة بالاستناد إلى تعقيد نموذج المعادلات الهيكلية، وعدد البنيات الكامنة وأبعادها، والحاجة إلى تقدير التأثيرات غير المباشرة بدقة. وتشير الأدبيات المنهجية إلى أن النماذج المعقدة تتطلب عينات كبيرة لتحقيق استقرار التقديرات وقوة الاختبار، وأن متطلبات الحجم تتأثر بقوة </w:t>
      </w:r>
      <w:r w:rsidRPr="001D029F">
        <w:rPr>
          <w:rFonts w:ascii="Simplified Arabic" w:hAnsi="Simplified Arabic" w:cs="Simplified Arabic"/>
          <w:sz w:val="24"/>
          <w:szCs w:val="24"/>
          <w:rtl/>
        </w:rPr>
        <w:t>التشبُّعات العاملية وحجم التأثير وعدد المعلمات الحرة (</w:t>
      </w:r>
      <w:r w:rsidRPr="001D029F">
        <w:rPr>
          <w:rFonts w:ascii="Simplified Arabic" w:hAnsi="Simplified Arabic" w:cs="Simplified Arabic"/>
          <w:sz w:val="24"/>
          <w:szCs w:val="24"/>
        </w:rPr>
        <w:t>Wolf et al., 2013; Kline, 2023</w:t>
      </w:r>
      <w:r w:rsidRPr="001D029F">
        <w:rPr>
          <w:rFonts w:ascii="Simplified Arabic" w:hAnsi="Simplified Arabic" w:cs="Simplified Arabic"/>
          <w:sz w:val="24"/>
          <w:szCs w:val="24"/>
          <w:rtl/>
        </w:rPr>
        <w:t xml:space="preserve">). </w:t>
      </w:r>
      <w:r w:rsidR="001D029F" w:rsidRPr="001D029F">
        <w:rPr>
          <w:rFonts w:ascii="Simplified Arabic" w:eastAsia="Arial" w:hAnsi="Simplified Arabic" w:cs="Simplified Arabic"/>
          <w:color w:val="000000"/>
          <w:sz w:val="24"/>
          <w:szCs w:val="24"/>
          <w:rtl/>
        </w:rPr>
        <w:t>ويُعتمد حد أدنى قدره 500 استجابة صالحة</w:t>
      </w:r>
      <w:r>
        <w:rPr>
          <w:rFonts w:ascii="Simplified Arabic" w:hAnsi="Simplified Arabic" w:cs="Simplified Arabic"/>
          <w:sz w:val="24"/>
          <w:szCs w:val="24"/>
          <w:rtl/>
        </w:rPr>
        <w:t xml:space="preserve"> للتحليل، بينما تستهدف الدراسة 600 استجابة صالحة. أُجري فحص أولي محافظ للقوة الإحصائية باستخدام محاكاة مونت كارلو على مستوى الدرجات المركبة، بافتراض معاملات معيارية صغيرة مقدارها 0.15 للمسارات الرئيسية، ومستوى دلالة </w:t>
      </w:r>
      <w:r>
        <w:rPr>
          <w:rFonts w:ascii="Simplified Arabic" w:hAnsi="Simplified Arabic" w:cs="Simplified Arabic"/>
          <w:sz w:val="24"/>
          <w:szCs w:val="24"/>
          <w:rtl/>
        </w:rPr>
        <w:lastRenderedPageBreak/>
        <w:t xml:space="preserve">0.05، و2,000 تكرار للمحاكاة و5,000 سحب لتقدير فترات الثقة. بلغت القوة المقدرة للأثر غير المباشر المتتابع نحو 0.75 عند </w:t>
      </w:r>
      <w:r>
        <w:rPr>
          <w:rFonts w:ascii="Simplified Arabic" w:hAnsi="Simplified Arabic" w:cs="Simplified Arabic"/>
          <w:sz w:val="24"/>
          <w:szCs w:val="24"/>
        </w:rPr>
        <w:t>N=500</w:t>
      </w:r>
      <w:r>
        <w:rPr>
          <w:rFonts w:ascii="Simplified Arabic" w:hAnsi="Simplified Arabic" w:cs="Simplified Arabic"/>
          <w:sz w:val="24"/>
          <w:szCs w:val="24"/>
          <w:rtl/>
        </w:rPr>
        <w:t xml:space="preserve">، و0.81 عند </w:t>
      </w:r>
      <w:r>
        <w:rPr>
          <w:rFonts w:ascii="Simplified Arabic" w:hAnsi="Simplified Arabic" w:cs="Simplified Arabic"/>
          <w:sz w:val="24"/>
          <w:szCs w:val="24"/>
        </w:rPr>
        <w:t>N=550</w:t>
      </w:r>
      <w:r>
        <w:rPr>
          <w:rFonts w:ascii="Simplified Arabic" w:hAnsi="Simplified Arabic" w:cs="Simplified Arabic"/>
          <w:sz w:val="24"/>
          <w:szCs w:val="24"/>
          <w:rtl/>
        </w:rPr>
        <w:t xml:space="preserve">، و0.85 عند </w:t>
      </w:r>
      <w:r>
        <w:rPr>
          <w:rFonts w:ascii="Simplified Arabic" w:hAnsi="Simplified Arabic" w:cs="Simplified Arabic"/>
          <w:sz w:val="24"/>
          <w:szCs w:val="24"/>
        </w:rPr>
        <w:t>N=600</w:t>
      </w:r>
      <w:r>
        <w:rPr>
          <w:rFonts w:ascii="Simplified Arabic" w:hAnsi="Simplified Arabic" w:cs="Simplified Arabic"/>
          <w:sz w:val="24"/>
          <w:szCs w:val="24"/>
          <w:rtl/>
        </w:rPr>
        <w:t xml:space="preserve">، بينما تجاوزت قوة المسارات المباشرة 0.94 عند </w:t>
      </w:r>
      <w:r>
        <w:rPr>
          <w:rFonts w:ascii="Simplified Arabic" w:hAnsi="Simplified Arabic" w:cs="Simplified Arabic"/>
          <w:sz w:val="24"/>
          <w:szCs w:val="24"/>
        </w:rPr>
        <w:t>N=600</w:t>
      </w:r>
      <w:r>
        <w:rPr>
          <w:rFonts w:ascii="Simplified Arabic" w:hAnsi="Simplified Arabic" w:cs="Simplified Arabic"/>
          <w:sz w:val="24"/>
          <w:szCs w:val="24"/>
          <w:rtl/>
        </w:rPr>
        <w:t xml:space="preserve">. </w:t>
      </w:r>
      <w:r w:rsidR="00B33872" w:rsidRPr="00B33872">
        <w:rPr>
          <w:rFonts w:ascii="Simplified Arabic" w:hAnsi="Simplified Arabic" w:cs="Simplified Arabic"/>
          <w:color w:val="000000"/>
          <w:sz w:val="24"/>
          <w:szCs w:val="24"/>
          <w:rtl/>
        </w:rPr>
        <w:t>وعلى هذا الأساس، تستهدف الدراسة 600 استجابة صالحة بحد أدنى 500. ولمّا كانت معدلات الاستجابة في البحوث التنظيمية متفاوتة وغالبًا دون ثلثي المدعوين (</w:t>
      </w:r>
      <w:r w:rsidR="00B33872" w:rsidRPr="00B33872">
        <w:rPr>
          <w:rFonts w:ascii="Simplified Arabic" w:hAnsi="Simplified Arabic" w:cs="Simplified Arabic"/>
          <w:color w:val="000000"/>
          <w:sz w:val="24"/>
          <w:szCs w:val="24"/>
        </w:rPr>
        <w:t>Baruch &amp; Holtom, 2008</w:t>
      </w:r>
      <w:r w:rsidR="00B33872" w:rsidRPr="00B33872">
        <w:rPr>
          <w:rFonts w:ascii="Simplified Arabic" w:hAnsi="Simplified Arabic" w:cs="Simplified Arabic"/>
          <w:color w:val="000000"/>
          <w:sz w:val="24"/>
          <w:szCs w:val="24"/>
          <w:rtl/>
        </w:rPr>
        <w:t>)، تُوجَّه الدعوة إلى ما لا يقل عن ألف مشارك يُوزَّعون على الطبقات بالنسب نفسها. ويُراقب معدل التحصيل أسبوعيًا لكل طبقة، وتُفعّل القائمة البديلة المرتبة داخل الطبقة ذاتها إذا انخفض تحصيلها عن المستهدف عند منتصف مدة الجمع، دون تعويض النقص من طبقة أخرى للحفاظ على نسب التمثيل.</w:t>
      </w:r>
    </w:p>
    <w:p w14:paraId="4817AC72" w14:textId="085EB114" w:rsidR="00161B2D" w:rsidRPr="009F275C" w:rsidRDefault="00161B2D" w:rsidP="00B33872">
      <w:pPr>
        <w:bidi/>
        <w:spacing w:after="100" w:line="324" w:lineRule="auto"/>
        <w:jc w:val="both"/>
        <w:rPr>
          <w:rFonts w:ascii="Simplified Arabic" w:hAnsi="Simplified Arabic" w:cs="Simplified Arabic"/>
          <w:bCs/>
          <w:sz w:val="28"/>
          <w:szCs w:val="28"/>
        </w:rPr>
      </w:pPr>
      <w:r w:rsidRPr="009F275C">
        <w:rPr>
          <w:rFonts w:ascii="Simplified Arabic" w:hAnsi="Simplified Arabic" w:cs="Simplified Arabic"/>
          <w:bCs/>
          <w:sz w:val="28"/>
          <w:szCs w:val="28"/>
          <w:rtl/>
        </w:rPr>
        <w:t>3.4.2 المعاينة الطبقية العشوائية النسبية</w:t>
      </w:r>
    </w:p>
    <w:p w14:paraId="4F3F5B98" w14:textId="699AB9B8" w:rsidR="00161B2D" w:rsidRDefault="009F275C" w:rsidP="00D63CA8">
      <w:pPr>
        <w:bidi/>
        <w:spacing w:after="100" w:line="324" w:lineRule="auto"/>
        <w:jc w:val="both"/>
        <w:rPr>
          <w:rFonts w:ascii="Simplified Arabic" w:hAnsi="Simplified Arabic" w:cs="Simplified Arabic"/>
          <w:sz w:val="24"/>
          <w:szCs w:val="24"/>
          <w:rtl/>
        </w:rPr>
      </w:pPr>
      <w:r>
        <w:rPr>
          <w:rFonts w:ascii="Simplified Arabic" w:hAnsi="Simplified Arabic" w:cs="Simplified Arabic"/>
          <w:sz w:val="24"/>
          <w:szCs w:val="24"/>
          <w:rtl/>
        </w:rPr>
        <w:t xml:space="preserve">ستُستخدم المعاينة الطبقية العشوائية النسبية، حيث تمثل المستشفيات الطبقة الأولى، وتُعد الفئات المهنية داخل كل مستشفى طبقات فرعية. يُحسب نصيب كل طبقة من العينة باستخدام المعادلة: </w:t>
      </w:r>
      <w:r>
        <w:rPr>
          <w:rFonts w:ascii="Simplified Arabic" w:hAnsi="Simplified Arabic" w:cs="Simplified Arabic"/>
          <w:sz w:val="24"/>
          <w:szCs w:val="24"/>
        </w:rPr>
        <w:t>nh = (Nh / N) × n</w:t>
      </w:r>
      <w:r>
        <w:rPr>
          <w:rFonts w:ascii="Simplified Arabic" w:hAnsi="Simplified Arabic" w:cs="Simplified Arabic"/>
          <w:sz w:val="24"/>
          <w:szCs w:val="24"/>
          <w:rtl/>
        </w:rPr>
        <w:t xml:space="preserve">، مع العلم أن </w:t>
      </w:r>
      <w:r>
        <w:rPr>
          <w:rFonts w:ascii="Simplified Arabic" w:hAnsi="Simplified Arabic" w:cs="Simplified Arabic"/>
          <w:sz w:val="24"/>
          <w:szCs w:val="24"/>
        </w:rPr>
        <w:t>Nh</w:t>
      </w:r>
      <w:r>
        <w:rPr>
          <w:rFonts w:ascii="Simplified Arabic" w:hAnsi="Simplified Arabic" w:cs="Simplified Arabic"/>
          <w:sz w:val="24"/>
          <w:szCs w:val="24"/>
          <w:rtl/>
        </w:rPr>
        <w:t xml:space="preserve"> هو عدد العاملين المؤهلين في الطبقة، و</w:t>
      </w:r>
      <w:r>
        <w:rPr>
          <w:rFonts w:ascii="Simplified Arabic" w:hAnsi="Simplified Arabic" w:cs="Simplified Arabic"/>
          <w:sz w:val="24"/>
          <w:szCs w:val="24"/>
        </w:rPr>
        <w:t>N</w:t>
      </w:r>
      <w:r>
        <w:rPr>
          <w:rFonts w:ascii="Simplified Arabic" w:hAnsi="Simplified Arabic" w:cs="Simplified Arabic"/>
          <w:sz w:val="24"/>
          <w:szCs w:val="24"/>
          <w:rtl/>
        </w:rPr>
        <w:t xml:space="preserve"> هو إجمالي إطار المعاينة، و</w:t>
      </w:r>
      <w:r>
        <w:rPr>
          <w:rFonts w:ascii="Simplified Arabic" w:hAnsi="Simplified Arabic" w:cs="Simplified Arabic"/>
          <w:sz w:val="24"/>
          <w:szCs w:val="24"/>
        </w:rPr>
        <w:t>n</w:t>
      </w:r>
      <w:r>
        <w:rPr>
          <w:rFonts w:ascii="Simplified Arabic" w:hAnsi="Simplified Arabic" w:cs="Simplified Arabic"/>
          <w:sz w:val="24"/>
          <w:szCs w:val="24"/>
          <w:rtl/>
        </w:rPr>
        <w:t xml:space="preserve"> هو حجم العينة المستهدف، و</w:t>
      </w:r>
      <w:r>
        <w:rPr>
          <w:rFonts w:ascii="Simplified Arabic" w:hAnsi="Simplified Arabic" w:cs="Simplified Arabic"/>
          <w:sz w:val="24"/>
          <w:szCs w:val="24"/>
        </w:rPr>
        <w:t>nh</w:t>
      </w:r>
      <w:r>
        <w:rPr>
          <w:rFonts w:ascii="Simplified Arabic" w:hAnsi="Simplified Arabic" w:cs="Simplified Arabic"/>
          <w:sz w:val="24"/>
          <w:szCs w:val="24"/>
          <w:rtl/>
        </w:rPr>
        <w:t xml:space="preserve"> هو عدد المشاركين المطلوب سحبهم من الطبقة. بعد تحديد الحصص، تُختار الأسماء عشوائيًا بواسطة مولد أرقام عشوائية، مع إعداد قائمة بديلة مرتبة لمنع التأثير على النسب الأصلية حال عدم الاستجابة.</w:t>
      </w:r>
    </w:p>
    <w:p w14:paraId="550D9BC1" w14:textId="29D7EE6D" w:rsidR="00D24D97" w:rsidRPr="00D24D97" w:rsidRDefault="00D24D97" w:rsidP="00D24D97">
      <w:pPr>
        <w:bidi/>
        <w:spacing w:line="360" w:lineRule="auto"/>
        <w:jc w:val="both"/>
        <w:rPr>
          <w:rFonts w:ascii="Simplified Arabic" w:hAnsi="Simplified Arabic" w:cs="Simplified Arabic"/>
          <w:sz w:val="24"/>
          <w:szCs w:val="24"/>
        </w:rPr>
      </w:pPr>
      <w:r w:rsidRPr="00D24D97">
        <w:rPr>
          <w:rFonts w:ascii="Simplified Arabic" w:hAnsi="Simplified Arabic" w:cs="Simplified Arabic"/>
          <w:color w:val="000000"/>
          <w:sz w:val="24"/>
          <w:szCs w:val="24"/>
          <w:rtl/>
        </w:rPr>
        <w:t>ولأن أعداد الإطار تُستمد من قوائم اسمية رسمية تصدرها إدارة الموارد البشرية في المستشفيات التسعة في تاريخ موحّد، فقد تُركت خانات الجدول فارغة في هذه النسخة، ولا تُملأ بأرقام تقديرية. يُكتمل الجدول بأعداد الإطار ونسبها وحصص الطبقات قبل بدء جمع البيانات. لا تُبدأ إجراءات السحب العشوائي إلا بعد تثبيت إجمالي إطار المعاينة (</w:t>
      </w:r>
      <w:r w:rsidRPr="00D24D97">
        <w:rPr>
          <w:rFonts w:ascii="Simplified Arabic" w:hAnsi="Simplified Arabic" w:cs="Simplified Arabic"/>
          <w:color w:val="000000"/>
          <w:sz w:val="24"/>
          <w:szCs w:val="24"/>
        </w:rPr>
        <w:t>N</w:t>
      </w:r>
      <w:r w:rsidRPr="00D24D97">
        <w:rPr>
          <w:rFonts w:ascii="Simplified Arabic" w:hAnsi="Simplified Arabic" w:cs="Simplified Arabic"/>
          <w:color w:val="000000"/>
          <w:sz w:val="24"/>
          <w:szCs w:val="24"/>
          <w:rtl/>
        </w:rPr>
        <w:t>).</w:t>
      </w:r>
    </w:p>
    <w:p w14:paraId="4CA9A950"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(3-1): قالب التوزيع النسبي للعينة حسب المستشفى</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857"/>
        <w:gridCol w:w="1573"/>
        <w:gridCol w:w="1430"/>
        <w:gridCol w:w="2001"/>
        <w:gridCol w:w="2003"/>
      </w:tblGrid>
      <w:tr w:rsidR="00161B2D" w:rsidRPr="00161B2D" w14:paraId="2DF0DBD0" w14:textId="77777777" w:rsidTr="00084470">
        <w:trPr>
          <w:cantSplit/>
          <w:tblHeader/>
          <w:jc w:val="center"/>
        </w:trPr>
        <w:tc>
          <w:tcPr>
            <w:tcW w:w="288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3D14CC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المستشفى</w:t>
            </w:r>
          </w:p>
        </w:tc>
        <w:tc>
          <w:tcPr>
            <w:tcW w:w="158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F7AA17E" w14:textId="667DFEFF"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 xml:space="preserve">حجم الإطار </w:t>
            </w:r>
            <w:r w:rsidR="00CC3DA8">
              <w:rPr>
                <w:rFonts w:ascii="Traditional Arabic" w:eastAsia="Traditional Arabic" w:hAnsi="Traditional Arabic" w:cs="Traditional Arabic"/>
                <w:b/>
                <w:color w:val="FFFFFF"/>
                <w:sz w:val="16"/>
              </w:rPr>
              <w:t>(</w:t>
            </w:r>
            <w:r w:rsidRPr="00161B2D">
              <w:rPr>
                <w:rFonts w:ascii="Times New Roman" w:eastAsia="Times New Roman" w:hAnsi="Times New Roman" w:cs="Times New Roman"/>
                <w:b/>
                <w:color w:val="FFFFFF"/>
                <w:sz w:val="16"/>
              </w:rPr>
              <w:t>Nh)</w:t>
            </w:r>
          </w:p>
        </w:tc>
        <w:tc>
          <w:tcPr>
            <w:tcW w:w="144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E9231A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النسبة من N</w:t>
            </w:r>
          </w:p>
        </w:tc>
        <w:tc>
          <w:tcPr>
            <w:tcW w:w="2016"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9875CBD" w14:textId="66B220B9" w:rsidR="00161B2D" w:rsidRPr="00161B2D" w:rsidRDefault="00161B2D" w:rsidP="00161B2D">
            <w:pPr>
              <w:keepLines/>
              <w:bidi/>
              <w:spacing w:after="0" w:line="240" w:lineRule="auto"/>
              <w:rPr>
                <w:rFonts w:ascii="Simplified Arabic" w:hAnsi="Simplified Arabic" w:cs="Simplified Arabic"/>
                <w:rtl/>
              </w:rPr>
            </w:pPr>
            <w:r w:rsidRPr="00161B2D">
              <w:rPr>
                <w:rFonts w:ascii="Traditional Arabic" w:eastAsia="Traditional Arabic" w:hAnsi="Traditional Arabic" w:cs="Traditional Arabic"/>
                <w:b/>
                <w:color w:val="FFFFFF"/>
                <w:sz w:val="16"/>
                <w:rtl/>
              </w:rPr>
              <w:t>العينة المستهدفة</w:t>
            </w:r>
            <w:r w:rsidR="00CC3DA8">
              <w:rPr>
                <w:rFonts w:ascii="Traditional Arabic" w:eastAsia="Traditional Arabic" w:hAnsi="Traditional Arabic" w:cs="Traditional Arabic" w:hint="cs"/>
                <w:b/>
                <w:color w:val="FFFFFF"/>
                <w:sz w:val="16"/>
                <w:rtl/>
              </w:rPr>
              <w:t xml:space="preserve"> (</w:t>
            </w:r>
            <w:r w:rsidR="00CC3DA8">
              <w:rPr>
                <w:rFonts w:ascii="Traditional Arabic" w:eastAsia="Traditional Arabic" w:hAnsi="Traditional Arabic" w:cs="Traditional Arabic"/>
                <w:b/>
                <w:color w:val="FFFFFF"/>
                <w:sz w:val="16"/>
              </w:rPr>
              <w:t>Nh</w:t>
            </w:r>
            <w:r w:rsidR="00CC3DA8">
              <w:rPr>
                <w:rFonts w:ascii="Traditional Arabic" w:eastAsia="Traditional Arabic" w:hAnsi="Traditional Arabic" w:cs="Traditional Arabic" w:hint="cs"/>
                <w:b/>
                <w:color w:val="FFFFFF"/>
                <w:sz w:val="16"/>
                <w:rtl/>
              </w:rPr>
              <w:t>)</w:t>
            </w:r>
          </w:p>
        </w:tc>
        <w:tc>
          <w:tcPr>
            <w:tcW w:w="2016"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78FD714F"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الاستجابات الصالحة</w:t>
            </w:r>
          </w:p>
        </w:tc>
      </w:tr>
      <w:tr w:rsidR="00161B2D" w:rsidRPr="00161B2D" w14:paraId="382D2C08" w14:textId="77777777" w:rsidTr="00084470">
        <w:trPr>
          <w:cantSplit/>
          <w:jc w:val="center"/>
        </w:trPr>
        <w:tc>
          <w:tcPr>
            <w:tcW w:w="2880" w:type="dxa"/>
            <w:shd w:val="clear" w:color="auto" w:fill="EAF1F8"/>
            <w:tcMar>
              <w:top w:w="70" w:type="dxa"/>
              <w:left w:w="70" w:type="dxa"/>
              <w:bottom w:w="70" w:type="dxa"/>
              <w:right w:w="70" w:type="dxa"/>
            </w:tcMar>
            <w:vAlign w:val="center"/>
          </w:tcPr>
          <w:p w14:paraId="0C2D74A3" w14:textId="7355CD00"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 xml:space="preserve">مستشفى الملك </w:t>
            </w:r>
            <w:r w:rsidR="00D325F5" w:rsidRPr="00161B2D">
              <w:rPr>
                <w:rFonts w:ascii="Traditional Arabic" w:eastAsia="Traditional Arabic" w:hAnsi="Traditional Arabic" w:cs="Traditional Arabic" w:hint="cs"/>
                <w:b/>
                <w:color w:val="1F4E78"/>
                <w:sz w:val="16"/>
                <w:rtl/>
              </w:rPr>
              <w:t>عبد العزي</w:t>
            </w:r>
            <w:r w:rsidR="00D325F5" w:rsidRPr="00161B2D">
              <w:rPr>
                <w:rFonts w:ascii="Traditional Arabic" w:eastAsia="Traditional Arabic" w:hAnsi="Traditional Arabic" w:cs="Traditional Arabic" w:hint="eastAsia"/>
                <w:b/>
                <w:color w:val="1F4E78"/>
                <w:sz w:val="16"/>
                <w:rtl/>
              </w:rPr>
              <w:t>ز</w:t>
            </w:r>
            <w:r w:rsidRPr="00161B2D">
              <w:rPr>
                <w:rFonts w:ascii="Traditional Arabic" w:eastAsia="Traditional Arabic" w:hAnsi="Traditional Arabic" w:cs="Traditional Arabic"/>
                <w:b/>
                <w:color w:val="1F4E78"/>
                <w:sz w:val="16"/>
                <w:rtl/>
              </w:rPr>
              <w:t xml:space="preserve"> التخصصي</w:t>
            </w:r>
          </w:p>
        </w:tc>
        <w:tc>
          <w:tcPr>
            <w:tcW w:w="1584" w:type="dxa"/>
            <w:shd w:val="clear" w:color="auto" w:fill="EAF1F8"/>
            <w:tcMar>
              <w:top w:w="70" w:type="dxa"/>
              <w:left w:w="70" w:type="dxa"/>
              <w:bottom w:w="70" w:type="dxa"/>
              <w:right w:w="70" w:type="dxa"/>
            </w:tcMar>
            <w:vAlign w:val="center"/>
          </w:tcPr>
          <w:p w14:paraId="46E03BED"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2367BB1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5D81C3A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563B3355"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3573CCB7" w14:textId="77777777" w:rsidTr="00084470">
        <w:trPr>
          <w:cantSplit/>
          <w:jc w:val="center"/>
        </w:trPr>
        <w:tc>
          <w:tcPr>
            <w:tcW w:w="2880" w:type="dxa"/>
            <w:shd w:val="clear" w:color="auto" w:fill="DCE6F1"/>
            <w:tcMar>
              <w:top w:w="70" w:type="dxa"/>
              <w:left w:w="70" w:type="dxa"/>
              <w:bottom w:w="70" w:type="dxa"/>
              <w:right w:w="70" w:type="dxa"/>
            </w:tcMar>
            <w:vAlign w:val="center"/>
          </w:tcPr>
          <w:p w14:paraId="37FEF4D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الأمير متعب بن عبدالعزيز</w:t>
            </w:r>
          </w:p>
        </w:tc>
        <w:tc>
          <w:tcPr>
            <w:tcW w:w="1584" w:type="dxa"/>
            <w:shd w:val="clear" w:color="auto" w:fill="F7FAFC"/>
            <w:tcMar>
              <w:top w:w="70" w:type="dxa"/>
              <w:left w:w="70" w:type="dxa"/>
              <w:bottom w:w="70" w:type="dxa"/>
              <w:right w:w="70" w:type="dxa"/>
            </w:tcMar>
            <w:vAlign w:val="center"/>
          </w:tcPr>
          <w:p w14:paraId="4B02BB75"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F7FAFC"/>
            <w:tcMar>
              <w:top w:w="70" w:type="dxa"/>
              <w:left w:w="70" w:type="dxa"/>
              <w:bottom w:w="70" w:type="dxa"/>
              <w:right w:w="70" w:type="dxa"/>
            </w:tcMar>
            <w:vAlign w:val="center"/>
          </w:tcPr>
          <w:p w14:paraId="42DE66EC"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F7FAFC"/>
            <w:tcMar>
              <w:top w:w="70" w:type="dxa"/>
              <w:left w:w="70" w:type="dxa"/>
              <w:bottom w:w="70" w:type="dxa"/>
              <w:right w:w="70" w:type="dxa"/>
            </w:tcMar>
            <w:vAlign w:val="center"/>
          </w:tcPr>
          <w:p w14:paraId="691F4964"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F7FAFC"/>
            <w:tcMar>
              <w:top w:w="70" w:type="dxa"/>
              <w:left w:w="70" w:type="dxa"/>
              <w:bottom w:w="70" w:type="dxa"/>
              <w:right w:w="70" w:type="dxa"/>
            </w:tcMar>
            <w:vAlign w:val="center"/>
          </w:tcPr>
          <w:p w14:paraId="704F837A"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45065590" w14:textId="77777777" w:rsidTr="00084470">
        <w:trPr>
          <w:cantSplit/>
          <w:jc w:val="center"/>
        </w:trPr>
        <w:tc>
          <w:tcPr>
            <w:tcW w:w="2880" w:type="dxa"/>
            <w:shd w:val="clear" w:color="auto" w:fill="EAF1F8"/>
            <w:tcMar>
              <w:top w:w="70" w:type="dxa"/>
              <w:left w:w="70" w:type="dxa"/>
              <w:bottom w:w="70" w:type="dxa"/>
              <w:right w:w="70" w:type="dxa"/>
            </w:tcMar>
            <w:vAlign w:val="center"/>
          </w:tcPr>
          <w:p w14:paraId="368169D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النساء والولادة والأطفال</w:t>
            </w:r>
          </w:p>
        </w:tc>
        <w:tc>
          <w:tcPr>
            <w:tcW w:w="1584" w:type="dxa"/>
            <w:shd w:val="clear" w:color="auto" w:fill="EAF1F8"/>
            <w:tcMar>
              <w:top w:w="70" w:type="dxa"/>
              <w:left w:w="70" w:type="dxa"/>
              <w:bottom w:w="70" w:type="dxa"/>
              <w:right w:w="70" w:type="dxa"/>
            </w:tcMar>
            <w:vAlign w:val="center"/>
          </w:tcPr>
          <w:p w14:paraId="1DC52888"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2FB0A65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26E98B7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6898B28A"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33E5CE65" w14:textId="77777777" w:rsidTr="00084470">
        <w:trPr>
          <w:cantSplit/>
          <w:jc w:val="center"/>
        </w:trPr>
        <w:tc>
          <w:tcPr>
            <w:tcW w:w="2880" w:type="dxa"/>
            <w:shd w:val="clear" w:color="auto" w:fill="DCE6F1"/>
            <w:tcMar>
              <w:top w:w="70" w:type="dxa"/>
              <w:left w:w="70" w:type="dxa"/>
              <w:bottom w:w="70" w:type="dxa"/>
              <w:right w:w="70" w:type="dxa"/>
            </w:tcMar>
            <w:vAlign w:val="center"/>
          </w:tcPr>
          <w:p w14:paraId="1F0D51B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طبرجل العام</w:t>
            </w:r>
          </w:p>
        </w:tc>
        <w:tc>
          <w:tcPr>
            <w:tcW w:w="1584" w:type="dxa"/>
            <w:shd w:val="clear" w:color="auto" w:fill="F7FAFC"/>
            <w:tcMar>
              <w:top w:w="70" w:type="dxa"/>
              <w:left w:w="70" w:type="dxa"/>
              <w:bottom w:w="70" w:type="dxa"/>
              <w:right w:w="70" w:type="dxa"/>
            </w:tcMar>
            <w:vAlign w:val="center"/>
          </w:tcPr>
          <w:p w14:paraId="5D041871"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F7FAFC"/>
            <w:tcMar>
              <w:top w:w="70" w:type="dxa"/>
              <w:left w:w="70" w:type="dxa"/>
              <w:bottom w:w="70" w:type="dxa"/>
              <w:right w:w="70" w:type="dxa"/>
            </w:tcMar>
            <w:vAlign w:val="center"/>
          </w:tcPr>
          <w:p w14:paraId="012A8DC8"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F7FAFC"/>
            <w:tcMar>
              <w:top w:w="70" w:type="dxa"/>
              <w:left w:w="70" w:type="dxa"/>
              <w:bottom w:w="70" w:type="dxa"/>
              <w:right w:w="70" w:type="dxa"/>
            </w:tcMar>
            <w:vAlign w:val="center"/>
          </w:tcPr>
          <w:p w14:paraId="588DE641"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F7FAFC"/>
            <w:tcMar>
              <w:top w:w="70" w:type="dxa"/>
              <w:left w:w="70" w:type="dxa"/>
              <w:bottom w:w="70" w:type="dxa"/>
              <w:right w:w="70" w:type="dxa"/>
            </w:tcMar>
            <w:vAlign w:val="center"/>
          </w:tcPr>
          <w:p w14:paraId="56C73915"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1C46DD69" w14:textId="77777777" w:rsidTr="00084470">
        <w:trPr>
          <w:cantSplit/>
          <w:jc w:val="center"/>
        </w:trPr>
        <w:tc>
          <w:tcPr>
            <w:tcW w:w="2880" w:type="dxa"/>
            <w:shd w:val="clear" w:color="auto" w:fill="EAF1F8"/>
            <w:tcMar>
              <w:top w:w="70" w:type="dxa"/>
              <w:left w:w="70" w:type="dxa"/>
              <w:bottom w:w="70" w:type="dxa"/>
              <w:right w:w="70" w:type="dxa"/>
            </w:tcMar>
            <w:vAlign w:val="center"/>
          </w:tcPr>
          <w:p w14:paraId="122BC48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دومة الجندل العام</w:t>
            </w:r>
          </w:p>
        </w:tc>
        <w:tc>
          <w:tcPr>
            <w:tcW w:w="1584" w:type="dxa"/>
            <w:shd w:val="clear" w:color="auto" w:fill="EAF1F8"/>
            <w:tcMar>
              <w:top w:w="70" w:type="dxa"/>
              <w:left w:w="70" w:type="dxa"/>
              <w:bottom w:w="70" w:type="dxa"/>
              <w:right w:w="70" w:type="dxa"/>
            </w:tcMar>
            <w:vAlign w:val="center"/>
          </w:tcPr>
          <w:p w14:paraId="341EF54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22B3E81A"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6ADC0256"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155295B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5FFEB2AD" w14:textId="77777777" w:rsidTr="00084470">
        <w:trPr>
          <w:cantSplit/>
          <w:jc w:val="center"/>
        </w:trPr>
        <w:tc>
          <w:tcPr>
            <w:tcW w:w="2880" w:type="dxa"/>
            <w:shd w:val="clear" w:color="auto" w:fill="DCE6F1"/>
            <w:tcMar>
              <w:top w:w="70" w:type="dxa"/>
              <w:left w:w="70" w:type="dxa"/>
              <w:bottom w:w="70" w:type="dxa"/>
              <w:right w:w="70" w:type="dxa"/>
            </w:tcMar>
            <w:vAlign w:val="center"/>
          </w:tcPr>
          <w:p w14:paraId="65A8BAA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lastRenderedPageBreak/>
              <w:t>مستشفى صوير العام</w:t>
            </w:r>
          </w:p>
        </w:tc>
        <w:tc>
          <w:tcPr>
            <w:tcW w:w="1584" w:type="dxa"/>
            <w:shd w:val="clear" w:color="auto" w:fill="F7FAFC"/>
            <w:tcMar>
              <w:top w:w="70" w:type="dxa"/>
              <w:left w:w="70" w:type="dxa"/>
              <w:bottom w:w="70" w:type="dxa"/>
              <w:right w:w="70" w:type="dxa"/>
            </w:tcMar>
            <w:vAlign w:val="center"/>
          </w:tcPr>
          <w:p w14:paraId="150D19F2"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F7FAFC"/>
            <w:tcMar>
              <w:top w:w="70" w:type="dxa"/>
              <w:left w:w="70" w:type="dxa"/>
              <w:bottom w:w="70" w:type="dxa"/>
              <w:right w:w="70" w:type="dxa"/>
            </w:tcMar>
            <w:vAlign w:val="center"/>
          </w:tcPr>
          <w:p w14:paraId="32A90FC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F7FAFC"/>
            <w:tcMar>
              <w:top w:w="70" w:type="dxa"/>
              <w:left w:w="70" w:type="dxa"/>
              <w:bottom w:w="70" w:type="dxa"/>
              <w:right w:w="70" w:type="dxa"/>
            </w:tcMar>
            <w:vAlign w:val="center"/>
          </w:tcPr>
          <w:p w14:paraId="1ACE842F"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F7FAFC"/>
            <w:tcMar>
              <w:top w:w="70" w:type="dxa"/>
              <w:left w:w="70" w:type="dxa"/>
              <w:bottom w:w="70" w:type="dxa"/>
              <w:right w:w="70" w:type="dxa"/>
            </w:tcMar>
            <w:vAlign w:val="center"/>
          </w:tcPr>
          <w:p w14:paraId="7FB1B877"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65A05FB1" w14:textId="77777777" w:rsidTr="00084470">
        <w:trPr>
          <w:cantSplit/>
          <w:jc w:val="center"/>
        </w:trPr>
        <w:tc>
          <w:tcPr>
            <w:tcW w:w="2880" w:type="dxa"/>
            <w:shd w:val="clear" w:color="auto" w:fill="EAF1F8"/>
            <w:tcMar>
              <w:top w:w="70" w:type="dxa"/>
              <w:left w:w="70" w:type="dxa"/>
              <w:bottom w:w="70" w:type="dxa"/>
              <w:right w:w="70" w:type="dxa"/>
            </w:tcMar>
            <w:vAlign w:val="center"/>
          </w:tcPr>
          <w:p w14:paraId="4919840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القريات العام</w:t>
            </w:r>
          </w:p>
        </w:tc>
        <w:tc>
          <w:tcPr>
            <w:tcW w:w="1584" w:type="dxa"/>
            <w:shd w:val="clear" w:color="auto" w:fill="EAF1F8"/>
            <w:tcMar>
              <w:top w:w="70" w:type="dxa"/>
              <w:left w:w="70" w:type="dxa"/>
              <w:bottom w:w="70" w:type="dxa"/>
              <w:right w:w="70" w:type="dxa"/>
            </w:tcMar>
            <w:vAlign w:val="center"/>
          </w:tcPr>
          <w:p w14:paraId="72EA803E"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2946AED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17AEC36E"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268C0B75"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06838672" w14:textId="77777777" w:rsidTr="00084470">
        <w:trPr>
          <w:cantSplit/>
          <w:jc w:val="center"/>
        </w:trPr>
        <w:tc>
          <w:tcPr>
            <w:tcW w:w="2880" w:type="dxa"/>
            <w:shd w:val="clear" w:color="auto" w:fill="DCE6F1"/>
            <w:tcMar>
              <w:top w:w="70" w:type="dxa"/>
              <w:left w:w="70" w:type="dxa"/>
              <w:bottom w:w="70" w:type="dxa"/>
              <w:right w:w="70" w:type="dxa"/>
            </w:tcMar>
            <w:vAlign w:val="center"/>
          </w:tcPr>
          <w:p w14:paraId="5484017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الحديثة العام</w:t>
            </w:r>
          </w:p>
        </w:tc>
        <w:tc>
          <w:tcPr>
            <w:tcW w:w="1584" w:type="dxa"/>
            <w:shd w:val="clear" w:color="auto" w:fill="F7FAFC"/>
            <w:tcMar>
              <w:top w:w="70" w:type="dxa"/>
              <w:left w:w="70" w:type="dxa"/>
              <w:bottom w:w="70" w:type="dxa"/>
              <w:right w:w="70" w:type="dxa"/>
            </w:tcMar>
            <w:vAlign w:val="center"/>
          </w:tcPr>
          <w:p w14:paraId="6739D95F"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F7FAFC"/>
            <w:tcMar>
              <w:top w:w="70" w:type="dxa"/>
              <w:left w:w="70" w:type="dxa"/>
              <w:bottom w:w="70" w:type="dxa"/>
              <w:right w:w="70" w:type="dxa"/>
            </w:tcMar>
            <w:vAlign w:val="center"/>
          </w:tcPr>
          <w:p w14:paraId="3154FDDC"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F7FAFC"/>
            <w:tcMar>
              <w:top w:w="70" w:type="dxa"/>
              <w:left w:w="70" w:type="dxa"/>
              <w:bottom w:w="70" w:type="dxa"/>
              <w:right w:w="70" w:type="dxa"/>
            </w:tcMar>
            <w:vAlign w:val="center"/>
          </w:tcPr>
          <w:p w14:paraId="249BAD6D"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F7FAFC"/>
            <w:tcMar>
              <w:top w:w="70" w:type="dxa"/>
              <w:left w:w="70" w:type="dxa"/>
              <w:bottom w:w="70" w:type="dxa"/>
              <w:right w:w="70" w:type="dxa"/>
            </w:tcMar>
            <w:vAlign w:val="center"/>
          </w:tcPr>
          <w:p w14:paraId="0358F389"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770F493F" w14:textId="77777777" w:rsidTr="00084470">
        <w:trPr>
          <w:cantSplit/>
          <w:jc w:val="center"/>
        </w:trPr>
        <w:tc>
          <w:tcPr>
            <w:tcW w:w="2880" w:type="dxa"/>
            <w:shd w:val="clear" w:color="auto" w:fill="EAF1F8"/>
            <w:tcMar>
              <w:top w:w="70" w:type="dxa"/>
              <w:left w:w="70" w:type="dxa"/>
              <w:bottom w:w="70" w:type="dxa"/>
              <w:right w:w="70" w:type="dxa"/>
            </w:tcMar>
            <w:vAlign w:val="center"/>
          </w:tcPr>
          <w:p w14:paraId="7EC9755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6"/>
                <w:rtl/>
              </w:rPr>
              <w:t>مستشفى العيساوية العام</w:t>
            </w:r>
          </w:p>
        </w:tc>
        <w:tc>
          <w:tcPr>
            <w:tcW w:w="1584" w:type="dxa"/>
            <w:shd w:val="clear" w:color="auto" w:fill="EAF1F8"/>
            <w:tcMar>
              <w:top w:w="70" w:type="dxa"/>
              <w:left w:w="70" w:type="dxa"/>
              <w:bottom w:w="70" w:type="dxa"/>
              <w:right w:w="70" w:type="dxa"/>
            </w:tcMar>
            <w:vAlign w:val="center"/>
          </w:tcPr>
          <w:p w14:paraId="11A67D38"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يُدرج بعد استلام القائمة الرسمية</w:t>
            </w:r>
          </w:p>
        </w:tc>
        <w:tc>
          <w:tcPr>
            <w:tcW w:w="1440" w:type="dxa"/>
            <w:shd w:val="clear" w:color="auto" w:fill="EAF1F8"/>
            <w:tcMar>
              <w:top w:w="70" w:type="dxa"/>
              <w:left w:w="70" w:type="dxa"/>
              <w:bottom w:w="70" w:type="dxa"/>
              <w:right w:w="70" w:type="dxa"/>
            </w:tcMar>
            <w:vAlign w:val="center"/>
          </w:tcPr>
          <w:p w14:paraId="3B1E8A43"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بعد تثبيت N</w:t>
            </w:r>
          </w:p>
        </w:tc>
        <w:tc>
          <w:tcPr>
            <w:tcW w:w="2016" w:type="dxa"/>
            <w:shd w:val="clear" w:color="auto" w:fill="EAF1F8"/>
            <w:tcMar>
              <w:top w:w="70" w:type="dxa"/>
              <w:left w:w="70" w:type="dxa"/>
              <w:bottom w:w="70" w:type="dxa"/>
              <w:right w:w="70" w:type="dxa"/>
            </w:tcMar>
            <w:vAlign w:val="center"/>
          </w:tcPr>
          <w:p w14:paraId="1DAAF9A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يُحسب نسبيًا من أصل 600</w:t>
            </w:r>
          </w:p>
        </w:tc>
        <w:tc>
          <w:tcPr>
            <w:tcW w:w="2016" w:type="dxa"/>
            <w:shd w:val="clear" w:color="auto" w:fill="EAF1F8"/>
            <w:tcMar>
              <w:top w:w="70" w:type="dxa"/>
              <w:left w:w="70" w:type="dxa"/>
              <w:bottom w:w="70" w:type="dxa"/>
              <w:right w:w="70" w:type="dxa"/>
            </w:tcMar>
            <w:vAlign w:val="center"/>
          </w:tcPr>
          <w:p w14:paraId="4338D9F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6"/>
                <w:rtl/>
              </w:rPr>
              <w:t>يُعرض بعد جمع البيانات</w:t>
            </w:r>
          </w:p>
        </w:tc>
      </w:tr>
      <w:tr w:rsidR="00161B2D" w:rsidRPr="00161B2D" w14:paraId="4147DEC8" w14:textId="77777777" w:rsidTr="00084470">
        <w:trPr>
          <w:cantSplit/>
          <w:jc w:val="center"/>
        </w:trPr>
        <w:tc>
          <w:tcPr>
            <w:tcW w:w="2880" w:type="dxa"/>
            <w:shd w:val="clear" w:color="auto" w:fill="1F4E78"/>
            <w:tcMar>
              <w:top w:w="70" w:type="dxa"/>
              <w:left w:w="70" w:type="dxa"/>
              <w:bottom w:w="70" w:type="dxa"/>
              <w:right w:w="70" w:type="dxa"/>
            </w:tcMar>
            <w:vAlign w:val="center"/>
          </w:tcPr>
          <w:p w14:paraId="2079F8A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6"/>
                <w:rtl/>
              </w:rPr>
              <w:t>الإجمالي</w:t>
            </w:r>
          </w:p>
        </w:tc>
        <w:tc>
          <w:tcPr>
            <w:tcW w:w="1584" w:type="dxa"/>
            <w:shd w:val="clear" w:color="auto" w:fill="1F4E78"/>
            <w:tcMar>
              <w:top w:w="70" w:type="dxa"/>
              <w:left w:w="70" w:type="dxa"/>
              <w:bottom w:w="70" w:type="dxa"/>
              <w:right w:w="70" w:type="dxa"/>
            </w:tcMar>
            <w:vAlign w:val="center"/>
          </w:tcPr>
          <w:p w14:paraId="02445DB6"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b/>
                <w:color w:val="FFFFFF"/>
                <w:sz w:val="16"/>
                <w:rtl/>
              </w:rPr>
              <w:t>N يُثبت بالقوائم الرسمية</w:t>
            </w:r>
          </w:p>
        </w:tc>
        <w:tc>
          <w:tcPr>
            <w:tcW w:w="1440" w:type="dxa"/>
            <w:shd w:val="clear" w:color="auto" w:fill="1F4E78"/>
            <w:tcMar>
              <w:top w:w="70" w:type="dxa"/>
              <w:left w:w="70" w:type="dxa"/>
              <w:bottom w:w="70" w:type="dxa"/>
              <w:right w:w="70" w:type="dxa"/>
            </w:tcMar>
            <w:vAlign w:val="center"/>
          </w:tcPr>
          <w:p w14:paraId="13CBB01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6"/>
              </w:rPr>
              <w:t>100%</w:t>
            </w:r>
          </w:p>
        </w:tc>
        <w:tc>
          <w:tcPr>
            <w:tcW w:w="2016" w:type="dxa"/>
            <w:shd w:val="clear" w:color="auto" w:fill="1F4E78"/>
            <w:tcMar>
              <w:top w:w="70" w:type="dxa"/>
              <w:left w:w="70" w:type="dxa"/>
              <w:bottom w:w="70" w:type="dxa"/>
              <w:right w:w="70" w:type="dxa"/>
            </w:tcMar>
            <w:vAlign w:val="center"/>
          </w:tcPr>
          <w:p w14:paraId="082F12D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6"/>
              </w:rPr>
              <w:t>600</w:t>
            </w:r>
          </w:p>
        </w:tc>
        <w:tc>
          <w:tcPr>
            <w:tcW w:w="2016" w:type="dxa"/>
            <w:shd w:val="clear" w:color="auto" w:fill="1F4E78"/>
            <w:tcMar>
              <w:top w:w="70" w:type="dxa"/>
              <w:left w:w="70" w:type="dxa"/>
              <w:bottom w:w="70" w:type="dxa"/>
              <w:right w:w="70" w:type="dxa"/>
            </w:tcMar>
            <w:vAlign w:val="center"/>
          </w:tcPr>
          <w:p w14:paraId="10F27A3B" w14:textId="77777777" w:rsidR="00161B2D" w:rsidRPr="00161B2D" w:rsidRDefault="00161B2D" w:rsidP="00161B2D">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b/>
                <w:color w:val="FFFFFF"/>
                <w:sz w:val="16"/>
                <w:rtl/>
              </w:rPr>
              <w:t>يُعرض بعد جمع البيانات</w:t>
            </w:r>
          </w:p>
        </w:tc>
      </w:tr>
    </w:tbl>
    <w:p w14:paraId="7D3A8514" w14:textId="77777777" w:rsidR="00161B2D" w:rsidRPr="00161B2D" w:rsidRDefault="00161B2D" w:rsidP="00161B2D">
      <w:pPr>
        <w:bidi/>
        <w:spacing w:after="20"/>
        <w:rPr>
          <w:rFonts w:ascii="Simplified Arabic" w:hAnsi="Simplified Arabic" w:cs="Simplified Arabic"/>
        </w:rPr>
      </w:pPr>
    </w:p>
    <w:p w14:paraId="13A9695F" w14:textId="77777777" w:rsidR="00161B2D" w:rsidRPr="00982C12" w:rsidRDefault="00161B2D" w:rsidP="00D63CA8">
      <w:pPr>
        <w:pStyle w:val="2"/>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3.4.3 حدود تعميم النتائج</w:t>
      </w:r>
    </w:p>
    <w:p w14:paraId="653C2FE3"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hAnsi="Simplified Arabic" w:cs="Simplified Arabic"/>
          <w:sz w:val="24"/>
          <w:szCs w:val="24"/>
          <w:rtl/>
        </w:rPr>
        <w:t>تنطبق قابلية التعميم أساسًا على العاملين في المستشفيات الحكومية المستهدفة بمنطقة الجوف وفي الفترة الزمنية التي تُجمع فيها البيانات. ولا تمتد النتائج تلقائيًا إلى المستشفيات الخاصة أو العسكرية أو مراكز الرعاية الأولية أو مناطق المملكة الأخرى؛ لاختلاف الهياكل التنظيمية والموارد وأنماط القيادة. كما أن عدم الاستجابة أو ضعف تمثيل بعض الطبقات سيُناقش بوصفه قيدًا على التعميم، مع مقارنة خصائص المستجيبين بإطار المعاينة قدر الإمكان.</w:t>
      </w:r>
    </w:p>
    <w:p w14:paraId="5105F127" w14:textId="77777777" w:rsidR="00161B2D" w:rsidRPr="00982C12" w:rsidRDefault="00161B2D" w:rsidP="00D63CA8">
      <w:pPr>
        <w:pStyle w:val="1"/>
        <w:bidi/>
        <w:spacing w:before="200" w:after="80"/>
        <w:jc w:val="both"/>
        <w:rPr>
          <w:rFonts w:ascii="Simplified Arabic" w:hAnsi="Simplified Arabic" w:cs="Simplified Arabic"/>
          <w:bCs/>
          <w:color w:val="auto"/>
          <w:sz w:val="24"/>
          <w:szCs w:val="24"/>
        </w:rPr>
      </w:pPr>
      <w:r w:rsidRPr="00982C12">
        <w:rPr>
          <w:rFonts w:ascii="Simplified Arabic" w:hAnsi="Simplified Arabic" w:cs="Simplified Arabic"/>
          <w:bCs/>
          <w:color w:val="auto"/>
          <w:sz w:val="24"/>
          <w:szCs w:val="24"/>
          <w:rtl/>
        </w:rPr>
        <w:t>3.5 أداة الدراسة</w:t>
      </w:r>
    </w:p>
    <w:p w14:paraId="6C014F44" w14:textId="77777777" w:rsidR="00161B2D" w:rsidRPr="00982C12" w:rsidRDefault="00161B2D" w:rsidP="00D63CA8">
      <w:pPr>
        <w:pStyle w:val="2"/>
        <w:bidi/>
        <w:spacing w:before="120" w:after="80"/>
        <w:jc w:val="both"/>
        <w:rPr>
          <w:rFonts w:ascii="Simplified Arabic" w:hAnsi="Simplified Arabic" w:cs="Simplified Arabic"/>
          <w:bCs/>
          <w:color w:val="auto"/>
        </w:rPr>
      </w:pPr>
      <w:r w:rsidRPr="00982C12">
        <w:rPr>
          <w:rFonts w:ascii="Simplified Arabic" w:hAnsi="Simplified Arabic" w:cs="Simplified Arabic"/>
          <w:bCs/>
          <w:color w:val="auto"/>
          <w:sz w:val="30"/>
          <w:rtl/>
        </w:rPr>
        <w:t>3.5.1 بناء الاستبانة وهيكلها النهائي</w:t>
      </w:r>
    </w:p>
    <w:p w14:paraId="094AC557" w14:textId="77777777" w:rsidR="00161B2D" w:rsidRPr="00D63CA8" w:rsidRDefault="00161B2D" w:rsidP="00D63CA8">
      <w:pPr>
        <w:bidi/>
        <w:spacing w:after="100" w:line="324" w:lineRule="auto"/>
        <w:jc w:val="both"/>
        <w:rPr>
          <w:rFonts w:ascii="Simplified Arabic" w:hAnsi="Simplified Arabic" w:cs="Simplified Arabic"/>
          <w:sz w:val="24"/>
          <w:szCs w:val="24"/>
        </w:rPr>
      </w:pPr>
      <w:r w:rsidRPr="00D63CA8">
        <w:rPr>
          <w:rFonts w:ascii="Simplified Arabic" w:eastAsia="Simplified Arabic" w:hAnsi="Simplified Arabic" w:cs="Simplified Arabic"/>
          <w:sz w:val="24"/>
          <w:szCs w:val="24"/>
          <w:rtl/>
        </w:rPr>
        <w:t>ستُستخدم استبانة منظمة تتكون من خمسة أقسام، بإجمالي 65 بندًا: تسعة أسئلة ديموغرافية ووظيفية، و56 فقرة قياس موزعة على أربعة مقاييس. ويُعد هذا العدد هو العدد المرجعي النهائي الذي يجب أن يتطابق في متن الرسالة والجداول والملحقات.</w:t>
      </w:r>
    </w:p>
    <w:p w14:paraId="148141CC" w14:textId="77777777" w:rsidR="00161B2D" w:rsidRPr="00982C12" w:rsidRDefault="00161B2D" w:rsidP="00D63CA8">
      <w:pPr>
        <w:pStyle w:val="3"/>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3.5.2 البيانات الديموغرافية والوظيفية</w:t>
      </w:r>
    </w:p>
    <w:p w14:paraId="3DC5E283" w14:textId="77777777" w:rsidR="00161B2D" w:rsidRPr="00982C12" w:rsidRDefault="00161B2D" w:rsidP="00D63CA8">
      <w:pPr>
        <w:bidi/>
        <w:spacing w:after="100" w:line="324" w:lineRule="auto"/>
        <w:jc w:val="both"/>
        <w:rPr>
          <w:rFonts w:ascii="Simplified Arabic" w:hAnsi="Simplified Arabic" w:cs="Simplified Arabic"/>
          <w:sz w:val="24"/>
          <w:szCs w:val="24"/>
        </w:rPr>
      </w:pPr>
      <w:r w:rsidRPr="00982C12">
        <w:rPr>
          <w:rFonts w:ascii="Simplified Arabic" w:hAnsi="Simplified Arabic" w:cs="Simplified Arabic"/>
          <w:sz w:val="24"/>
          <w:szCs w:val="24"/>
          <w:rtl/>
        </w:rPr>
        <w:t>يتضمن القسم الأول تسعة أسئلة تغطي الجنس، والعمر، والمؤهل العلمي، والفئة المهنية، والمرتبة أو الفئة الوظيفية، وسنوات الخبرة، والقسم أو التخصص، ونوع المناوبة، والمستشفى. وتُستخدم هذه البيانات لوصف العينة ولإدخال المتغيرات الضابطة المحددة مسبقًا في النموذج.</w:t>
      </w:r>
    </w:p>
    <w:p w14:paraId="6B8F864B" w14:textId="77777777" w:rsidR="00161B2D" w:rsidRPr="00982C12" w:rsidRDefault="00161B2D" w:rsidP="00D63CA8">
      <w:pPr>
        <w:pStyle w:val="3"/>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3.5.3 مقياس القيادة التحويلية (TLI)</w:t>
      </w:r>
    </w:p>
    <w:p w14:paraId="7C1FC8C1" w14:textId="7FD1C968" w:rsidR="00161B2D" w:rsidRPr="000E0457" w:rsidRDefault="00982C12" w:rsidP="000E0457">
      <w:pPr>
        <w:bidi/>
        <w:spacing w:line="360" w:lineRule="auto"/>
        <w:jc w:val="both"/>
        <w:rPr>
          <w:rFonts w:ascii="Simplified Arabic" w:hAnsi="Simplified Arabic" w:cs="Simplified Arabic"/>
          <w:sz w:val="24"/>
          <w:szCs w:val="24"/>
        </w:rPr>
      </w:pPr>
      <w:r w:rsidRPr="000E0457">
        <w:rPr>
          <w:rFonts w:ascii="Simplified Arabic" w:hAnsi="Simplified Arabic" w:cs="Simplified Arabic"/>
          <w:sz w:val="24"/>
          <w:szCs w:val="24"/>
          <w:rtl/>
        </w:rPr>
        <w:t>يُقيم المتغير المستقل باستخدام النسخة العربية المكيّفة من استبيان القيادة التحويلية (</w:t>
      </w:r>
      <w:r w:rsidRPr="000E0457">
        <w:rPr>
          <w:rFonts w:ascii="Simplified Arabic" w:hAnsi="Simplified Arabic" w:cs="Simplified Arabic"/>
          <w:sz w:val="24"/>
          <w:szCs w:val="24"/>
        </w:rPr>
        <w:t>Transformational Leadership Inventory – TLI</w:t>
      </w:r>
      <w:r w:rsidRPr="000E0457">
        <w:rPr>
          <w:rFonts w:ascii="Simplified Arabic" w:hAnsi="Simplified Arabic" w:cs="Simplified Arabic"/>
          <w:sz w:val="24"/>
          <w:szCs w:val="24"/>
          <w:rtl/>
        </w:rPr>
        <w:t xml:space="preserve">)، المبنية على إطار </w:t>
      </w:r>
      <w:r w:rsidRPr="000E0457">
        <w:rPr>
          <w:rFonts w:ascii="Simplified Arabic" w:hAnsi="Simplified Arabic" w:cs="Simplified Arabic"/>
          <w:sz w:val="24"/>
          <w:szCs w:val="24"/>
        </w:rPr>
        <w:t>Podsakoff et al</w:t>
      </w:r>
      <w:r w:rsidRPr="000E0457">
        <w:rPr>
          <w:rFonts w:ascii="Simplified Arabic" w:hAnsi="Simplified Arabic" w:cs="Simplified Arabic"/>
          <w:sz w:val="24"/>
          <w:szCs w:val="24"/>
          <w:rtl/>
        </w:rPr>
        <w:t xml:space="preserve">. (1990). وتتضمن الصورة المعتمدة في الدراسة 23 عبارة تغطي ستة أبعاد: صياغة الرؤية (4)، تقديم النموذج المناسب (4)، تعزيز قبول الأهداف الجماعية (4)، توقعات الأداء العالي (4)، الدعم الفردي (4)، والاستثارة </w:t>
      </w:r>
      <w:r w:rsidRPr="000E0457">
        <w:rPr>
          <w:rFonts w:ascii="Simplified Arabic" w:hAnsi="Simplified Arabic" w:cs="Simplified Arabic"/>
          <w:sz w:val="24"/>
          <w:szCs w:val="24"/>
          <w:rtl/>
        </w:rPr>
        <w:lastRenderedPageBreak/>
        <w:t xml:space="preserve">الفكرية (3). تُقيّم الفقرات على مقياس خماسي من «لا أوافق بشدة» إلى «أوافق بشدة». </w:t>
      </w:r>
      <w:r w:rsidR="000E0457" w:rsidRPr="000E0457">
        <w:rPr>
          <w:rFonts w:ascii="Simplified Arabic" w:hAnsi="Simplified Arabic" w:cs="Simplified Arabic"/>
          <w:color w:val="000000"/>
          <w:sz w:val="24"/>
          <w:szCs w:val="24"/>
          <w:rtl/>
        </w:rPr>
        <w:t xml:space="preserve">وسيُختبر النموذج السداسي في البيئة السعودية بواسطة التحليل العاملي التوكيدي. وقد نُشرت فقرات مقياس </w:t>
      </w:r>
      <w:r w:rsidR="000E0457" w:rsidRPr="000E0457">
        <w:rPr>
          <w:rFonts w:ascii="Simplified Arabic" w:hAnsi="Simplified Arabic" w:cs="Simplified Arabic"/>
          <w:color w:val="000000"/>
          <w:sz w:val="24"/>
          <w:szCs w:val="24"/>
        </w:rPr>
        <w:t>TLI</w:t>
      </w:r>
      <w:r w:rsidR="000E0457" w:rsidRPr="000E0457">
        <w:rPr>
          <w:rFonts w:ascii="Simplified Arabic" w:hAnsi="Simplified Arabic" w:cs="Simplified Arabic"/>
          <w:color w:val="000000"/>
          <w:sz w:val="24"/>
          <w:szCs w:val="24"/>
          <w:rtl/>
        </w:rPr>
        <w:t xml:space="preserve"> ضمن الدراسة الأصلية (</w:t>
      </w:r>
      <w:r w:rsidR="000E0457" w:rsidRPr="000E0457">
        <w:rPr>
          <w:rFonts w:ascii="Simplified Arabic" w:hAnsi="Simplified Arabic" w:cs="Simplified Arabic"/>
          <w:color w:val="000000"/>
          <w:sz w:val="24"/>
          <w:szCs w:val="24"/>
        </w:rPr>
        <w:t>Podsakoff et al., 1990</w:t>
      </w:r>
      <w:r w:rsidR="000E0457" w:rsidRPr="000E0457">
        <w:rPr>
          <w:rFonts w:ascii="Simplified Arabic" w:hAnsi="Simplified Arabic" w:cs="Simplified Arabic"/>
          <w:color w:val="000000"/>
          <w:sz w:val="24"/>
          <w:szCs w:val="24"/>
          <w:rtl/>
        </w:rPr>
        <w:t>) وتُستخدم لأغراض البحث العلمي مع الإشارة الكاملة إلى مصدرها؛ أما مسح ثقافة سلامة المرضى (</w:t>
      </w:r>
      <w:r w:rsidR="000E0457" w:rsidRPr="000E0457">
        <w:rPr>
          <w:rFonts w:ascii="Simplified Arabic" w:hAnsi="Simplified Arabic" w:cs="Simplified Arabic"/>
          <w:color w:val="000000"/>
          <w:sz w:val="24"/>
          <w:szCs w:val="24"/>
        </w:rPr>
        <w:t>HSOPSC v1.0</w:t>
      </w:r>
      <w:r w:rsidR="000E0457" w:rsidRPr="000E0457">
        <w:rPr>
          <w:rFonts w:ascii="Simplified Arabic" w:hAnsi="Simplified Arabic" w:cs="Simplified Arabic"/>
          <w:color w:val="000000"/>
          <w:sz w:val="24"/>
          <w:szCs w:val="24"/>
          <w:rtl/>
        </w:rPr>
        <w:t xml:space="preserve">) فمتاح للاستخدام العام من قبل وكالة أبحاث الرعاية الصحية والجودة بدون رسوم، بشرط الإشارة وعدم الادعاء بالتبنّي الكامل للأداة عند الاقتصار على أبعاد مختارة </w:t>
      </w:r>
      <w:r w:rsidR="00494B72">
        <w:rPr>
          <w:rFonts w:ascii="Simplified Arabic" w:hAnsi="Simplified Arabic" w:cs="Simplified Arabic"/>
          <w:color w:val="000000"/>
          <w:sz w:val="24"/>
          <w:szCs w:val="24"/>
          <w:rtl/>
        </w:rPr>
        <w:t>(</w:t>
      </w:r>
      <w:r w:rsidR="00494B72">
        <w:rPr>
          <w:rFonts w:ascii="Simplified Arabic" w:hAnsi="Simplified Arabic" w:cs="Simplified Arabic"/>
          <w:color w:val="000000"/>
          <w:sz w:val="24"/>
          <w:szCs w:val="24"/>
        </w:rPr>
        <w:t>AHRQ, 2018</w:t>
      </w:r>
      <w:r w:rsidR="00494B72">
        <w:rPr>
          <w:rFonts w:ascii="Simplified Arabic" w:hAnsi="Simplified Arabic" w:cs="Simplified Arabic"/>
          <w:color w:val="000000"/>
          <w:sz w:val="24"/>
          <w:szCs w:val="24"/>
          <w:rtl/>
        </w:rPr>
        <w:t>)</w:t>
      </w:r>
      <w:r w:rsidR="000E0457" w:rsidRPr="000E0457">
        <w:rPr>
          <w:rFonts w:ascii="Simplified Arabic" w:hAnsi="Simplified Arabic" w:cs="Simplified Arabic"/>
          <w:color w:val="000000"/>
          <w:sz w:val="24"/>
          <w:szCs w:val="24"/>
          <w:rtl/>
        </w:rPr>
        <w:t>.</w:t>
      </w:r>
    </w:p>
    <w:p w14:paraId="6A658853" w14:textId="77777777" w:rsidR="00161B2D" w:rsidRPr="00982C12" w:rsidRDefault="00161B2D" w:rsidP="00D63CA8">
      <w:pPr>
        <w:pStyle w:val="3"/>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3.5.4 مقياس ثقافة سلامة المرضى (HSOPSC)</w:t>
      </w:r>
    </w:p>
    <w:p w14:paraId="2F857ED6" w14:textId="22F29C57" w:rsidR="00161B2D" w:rsidRPr="00D63CA8" w:rsidRDefault="00982C12"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يُقاس الوسيط الأول باستخدام 13 فقرة مختارة من النسخة الأولى لمسح المستشفى لثقافة سلامة المرضى (</w:t>
      </w:r>
      <w:r>
        <w:rPr>
          <w:rFonts w:ascii="Simplified Arabic" w:hAnsi="Simplified Arabic" w:cs="Simplified Arabic"/>
          <w:sz w:val="24"/>
          <w:szCs w:val="24"/>
        </w:rPr>
        <w:t>HSOPSC v1.0</w:t>
      </w:r>
      <w:r>
        <w:rPr>
          <w:rFonts w:ascii="Simplified Arabic" w:hAnsi="Simplified Arabic" w:cs="Simplified Arabic"/>
          <w:sz w:val="24"/>
          <w:szCs w:val="24"/>
          <w:rtl/>
        </w:rPr>
        <w:t xml:space="preserve">) الصادر عن وكالة أبحاث الرعاية الصحية والجودة. وتشمل الأبعاد المختارة: دعم إدارة المستشفى لسلامة المرضى (3 فقرات)، والتواصل المفتوح (3 فقرات)، والتعلم التنظيمي والتحسين المستمر (3 فقرات)، والعمل الجماعي داخل الوحدة (4 فقرات) </w:t>
      </w:r>
      <w:r w:rsidR="00494B72">
        <w:rPr>
          <w:rFonts w:ascii="Simplified Arabic" w:hAnsi="Simplified Arabic" w:cs="Simplified Arabic"/>
          <w:sz w:val="24"/>
          <w:szCs w:val="24"/>
          <w:rtl/>
        </w:rPr>
        <w:t>(</w:t>
      </w:r>
      <w:r w:rsidR="00494B72">
        <w:rPr>
          <w:rFonts w:ascii="Simplified Arabic" w:hAnsi="Simplified Arabic" w:cs="Simplified Arabic"/>
          <w:sz w:val="24"/>
          <w:szCs w:val="24"/>
        </w:rPr>
        <w:t>Sorra &amp; Dyer, 2010; Jones et al., 2008</w:t>
      </w:r>
      <w:r w:rsidR="00494B72">
        <w:rPr>
          <w:rFonts w:ascii="Simplified Arabic" w:hAnsi="Simplified Arabic" w:cs="Simplified Arabic"/>
          <w:sz w:val="24"/>
          <w:szCs w:val="24"/>
          <w:rtl/>
        </w:rPr>
        <w:t xml:space="preserve">). </w:t>
      </w:r>
      <w:r>
        <w:rPr>
          <w:rFonts w:ascii="Simplified Arabic" w:hAnsi="Simplified Arabic" w:cs="Simplified Arabic"/>
          <w:sz w:val="24"/>
          <w:szCs w:val="24"/>
          <w:rtl/>
        </w:rPr>
        <w:t>ولأن الدراسة تستخدم أبعادًا محددة وليست الأداة الكاملة، فلن تُعرض النتائج بوصفها تطبيقًا كاملًا لـ</w:t>
      </w:r>
      <w:r>
        <w:rPr>
          <w:rFonts w:ascii="Simplified Arabic" w:hAnsi="Simplified Arabic" w:cs="Simplified Arabic"/>
          <w:sz w:val="24"/>
          <w:szCs w:val="24"/>
        </w:rPr>
        <w:t>HSOPSC</w:t>
      </w:r>
      <w:r>
        <w:rPr>
          <w:rFonts w:ascii="Simplified Arabic" w:hAnsi="Simplified Arabic" w:cs="Simplified Arabic"/>
          <w:sz w:val="24"/>
          <w:szCs w:val="24"/>
          <w:rtl/>
        </w:rPr>
        <w:t xml:space="preserve">، ولن تُقارن مباشرة بقواعد </w:t>
      </w:r>
      <w:r>
        <w:rPr>
          <w:rFonts w:ascii="Simplified Arabic" w:hAnsi="Simplified Arabic" w:cs="Simplified Arabic"/>
          <w:sz w:val="24"/>
          <w:szCs w:val="24"/>
        </w:rPr>
        <w:t>AHRQ</w:t>
      </w:r>
      <w:r>
        <w:rPr>
          <w:rFonts w:ascii="Simplified Arabic" w:hAnsi="Simplified Arabic" w:cs="Simplified Arabic"/>
          <w:sz w:val="24"/>
          <w:szCs w:val="24"/>
          <w:rtl/>
        </w:rPr>
        <w:t xml:space="preserve"> المعيارية الخاصة بالتطبيق الكامل. ستُحافظ الاستجابات على طبيعة المراسي الأصلية قدر الإمكان؛ ففقرتا الاتفاق تُقاس من «لا أوافق بشدة» إلى «أوافق بشدة»، بينما تُقاس فقرات تكرار التواصل من «أبدًا» إلى «دائمًا». وتُعكس الفقرتان السلبيتان </w:t>
      </w:r>
      <w:r>
        <w:rPr>
          <w:rFonts w:ascii="Simplified Arabic" w:hAnsi="Simplified Arabic" w:cs="Simplified Arabic"/>
          <w:sz w:val="24"/>
          <w:szCs w:val="24"/>
        </w:rPr>
        <w:t>SC3</w:t>
      </w:r>
      <w:r>
        <w:rPr>
          <w:rFonts w:ascii="Simplified Arabic" w:hAnsi="Simplified Arabic" w:cs="Simplified Arabic"/>
          <w:sz w:val="24"/>
          <w:szCs w:val="24"/>
          <w:rtl/>
        </w:rPr>
        <w:t xml:space="preserve"> (الأصل </w:t>
      </w:r>
      <w:r>
        <w:rPr>
          <w:rFonts w:ascii="Simplified Arabic" w:hAnsi="Simplified Arabic" w:cs="Simplified Arabic"/>
          <w:sz w:val="24"/>
          <w:szCs w:val="24"/>
        </w:rPr>
        <w:t>F9</w:t>
      </w:r>
      <w:r>
        <w:rPr>
          <w:rFonts w:ascii="Simplified Arabic" w:hAnsi="Simplified Arabic" w:cs="Simplified Arabic"/>
          <w:sz w:val="24"/>
          <w:szCs w:val="24"/>
          <w:rtl/>
        </w:rPr>
        <w:t>) و</w:t>
      </w:r>
      <w:r>
        <w:rPr>
          <w:rFonts w:ascii="Simplified Arabic" w:hAnsi="Simplified Arabic" w:cs="Simplified Arabic"/>
          <w:sz w:val="24"/>
          <w:szCs w:val="24"/>
        </w:rPr>
        <w:t>SC6</w:t>
      </w:r>
      <w:r>
        <w:rPr>
          <w:rFonts w:ascii="Simplified Arabic" w:hAnsi="Simplified Arabic" w:cs="Simplified Arabic"/>
          <w:sz w:val="24"/>
          <w:szCs w:val="24"/>
          <w:rtl/>
        </w:rPr>
        <w:t xml:space="preserve"> (الأصل </w:t>
      </w:r>
      <w:r>
        <w:rPr>
          <w:rFonts w:ascii="Simplified Arabic" w:hAnsi="Simplified Arabic" w:cs="Simplified Arabic"/>
          <w:sz w:val="24"/>
          <w:szCs w:val="24"/>
        </w:rPr>
        <w:t>C6</w:t>
      </w:r>
      <w:r>
        <w:rPr>
          <w:rFonts w:ascii="Simplified Arabic" w:hAnsi="Simplified Arabic" w:cs="Simplified Arabic"/>
          <w:sz w:val="24"/>
          <w:szCs w:val="24"/>
          <w:rtl/>
        </w:rPr>
        <w:t>) قبل حساب الدرجات، وفق المعادلة: الدرجة المصححة = 6 – الدرجة الأصلية.</w:t>
      </w:r>
    </w:p>
    <w:p w14:paraId="2F5FB2A2" w14:textId="77777777" w:rsidR="00161B2D" w:rsidRPr="00982C12" w:rsidRDefault="00161B2D" w:rsidP="00D63CA8">
      <w:pPr>
        <w:pStyle w:val="3"/>
        <w:bidi/>
        <w:spacing w:before="120" w:after="80"/>
        <w:jc w:val="both"/>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3.5.5 مقياس سلوكيات السلامة</w:t>
      </w:r>
    </w:p>
    <w:p w14:paraId="0554B0FE" w14:textId="3D7466E8" w:rsidR="00161B2D" w:rsidRPr="00D63CA8" w:rsidRDefault="00982C12"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يُقيم الوسيط الثاني باستخدام مقياس مطور للدراسة، يتكون من 12 فقرة، مستندًا إلى إطار </w:t>
      </w:r>
      <w:r>
        <w:rPr>
          <w:rFonts w:ascii="Simplified Arabic" w:hAnsi="Simplified Arabic" w:cs="Simplified Arabic"/>
          <w:sz w:val="24"/>
          <w:szCs w:val="24"/>
        </w:rPr>
        <w:t>Neal</w:t>
      </w:r>
      <w:r>
        <w:rPr>
          <w:rFonts w:ascii="Simplified Arabic" w:hAnsi="Simplified Arabic" w:cs="Simplified Arabic"/>
          <w:sz w:val="24"/>
          <w:szCs w:val="24"/>
          <w:rtl/>
        </w:rPr>
        <w:t xml:space="preserve"> و</w:t>
      </w:r>
      <w:r>
        <w:rPr>
          <w:rFonts w:ascii="Simplified Arabic" w:hAnsi="Simplified Arabic" w:cs="Simplified Arabic"/>
          <w:sz w:val="24"/>
          <w:szCs w:val="24"/>
        </w:rPr>
        <w:t>Griffin</w:t>
      </w:r>
      <w:r>
        <w:rPr>
          <w:rFonts w:ascii="Simplified Arabic" w:hAnsi="Simplified Arabic" w:cs="Simplified Arabic"/>
          <w:sz w:val="24"/>
          <w:szCs w:val="24"/>
          <w:rtl/>
        </w:rPr>
        <w:t xml:space="preserve"> (2006) وأدبيات التنظيم الآمن في الرعاية الصحية </w:t>
      </w:r>
      <w:r w:rsidR="00494B72">
        <w:rPr>
          <w:rFonts w:ascii="Simplified Arabic" w:hAnsi="Simplified Arabic" w:cs="Simplified Arabic"/>
          <w:sz w:val="24"/>
          <w:szCs w:val="24"/>
          <w:rtl/>
        </w:rPr>
        <w:t>(</w:t>
      </w:r>
      <w:r w:rsidR="00494B72">
        <w:rPr>
          <w:rFonts w:ascii="Simplified Arabic" w:hAnsi="Simplified Arabic" w:cs="Simplified Arabic"/>
          <w:sz w:val="24"/>
          <w:szCs w:val="24"/>
        </w:rPr>
        <w:t>Vogus &amp; Sutcliffe, 2007</w:t>
      </w:r>
      <w:r w:rsidR="00494B72">
        <w:rPr>
          <w:rFonts w:ascii="Simplified Arabic" w:hAnsi="Simplified Arabic" w:cs="Simplified Arabic"/>
          <w:sz w:val="24"/>
          <w:szCs w:val="24"/>
          <w:rtl/>
        </w:rPr>
        <w:t xml:space="preserve">). </w:t>
      </w:r>
      <w:r>
        <w:rPr>
          <w:rFonts w:ascii="Simplified Arabic" w:hAnsi="Simplified Arabic" w:cs="Simplified Arabic"/>
          <w:sz w:val="24"/>
          <w:szCs w:val="24"/>
          <w:rtl/>
        </w:rPr>
        <w:t xml:space="preserve">يغطي المقياس بعدين: الامتثال لإجراءات السلامة (6 فقرات) والمشاركة في أنشطة السلامة (6 فقرات). وليس نسخة أصلية من مقياس </w:t>
      </w:r>
      <w:r>
        <w:rPr>
          <w:rFonts w:ascii="Simplified Arabic" w:hAnsi="Simplified Arabic" w:cs="Simplified Arabic"/>
          <w:sz w:val="24"/>
          <w:szCs w:val="24"/>
        </w:rPr>
        <w:t>Neal and Griffin</w:t>
      </w:r>
      <w:r>
        <w:rPr>
          <w:rFonts w:ascii="Simplified Arabic" w:hAnsi="Simplified Arabic" w:cs="Simplified Arabic"/>
          <w:sz w:val="24"/>
          <w:szCs w:val="24"/>
          <w:rtl/>
        </w:rPr>
        <w:t>، إنما أداة معدلة ومتكيفة للبيئة الصحية؛ لذا سيتم إخضاعها للتحكيم على المحتوى، والتحليل العاملي الاستكشافي والتوكيدي. وتقاس الفقرات باستخدام مقياس تكراري خماسي من «أبدًا» إلى «دائمًا».</w:t>
      </w:r>
    </w:p>
    <w:p w14:paraId="1D16C655" w14:textId="77777777" w:rsidR="00161B2D" w:rsidRPr="00982C12" w:rsidRDefault="00161B2D" w:rsidP="00161B2D">
      <w:pPr>
        <w:pStyle w:val="3"/>
        <w:bidi/>
        <w:spacing w:before="120" w:after="80"/>
        <w:rPr>
          <w:rFonts w:ascii="Simplified Arabic" w:hAnsi="Simplified Arabic" w:cs="Simplified Arabic"/>
          <w:bCs/>
          <w:color w:val="auto"/>
          <w:sz w:val="28"/>
          <w:szCs w:val="28"/>
        </w:rPr>
      </w:pPr>
      <w:r w:rsidRPr="00982C12">
        <w:rPr>
          <w:rFonts w:ascii="Simplified Arabic" w:eastAsia="Simplified Arabic" w:hAnsi="Simplified Arabic" w:cs="Simplified Arabic"/>
          <w:bCs/>
          <w:color w:val="auto"/>
          <w:sz w:val="28"/>
          <w:szCs w:val="28"/>
          <w:rtl/>
        </w:rPr>
        <w:t>3.5.6 مقياس التقليل المُدرَك للأحداث الضارة (PRAE)</w:t>
      </w:r>
    </w:p>
    <w:p w14:paraId="0DC37E5A" w14:textId="0CFCC1F8" w:rsidR="00161B2D" w:rsidRPr="00161B2D" w:rsidRDefault="00982C12" w:rsidP="00161B2D">
      <w:pPr>
        <w:bidi/>
        <w:spacing w:after="100" w:line="324" w:lineRule="auto"/>
        <w:rPr>
          <w:rFonts w:ascii="Simplified Arabic" w:hAnsi="Simplified Arabic" w:cs="Simplified Arabic"/>
        </w:rPr>
      </w:pPr>
      <w:r>
        <w:rPr>
          <w:rFonts w:ascii="Simplified Arabic" w:eastAsia="Simplified Arabic" w:hAnsi="Simplified Arabic" w:cs="Simplified Arabic"/>
          <w:sz w:val="28"/>
          <w:rtl/>
        </w:rPr>
        <w:t>يُقاس المتغير التابع من خلال ثماني فقرات مطورة تعكس إدراك العاملين لفاعلية التدابير المتخذة في الوقاية من الأخطاء والحوادث القابلة للوقاية وتقليلها، مثل أخطاء الدواء، والسقوط، والعدوى المرتبطة بالرعاية، وأخطاء الهوية، والمضاعفات المرتبطة بالإجراءات، إضافة إلى فاعلية نظم الإبلاغ والاستجابة والتعلم. ويُسمى هذا البناء «التقليل المُدرَك للأحداث الضارة (</w:t>
      </w:r>
      <w:r>
        <w:rPr>
          <w:rFonts w:ascii="Simplified Arabic" w:eastAsia="Simplified Arabic" w:hAnsi="Simplified Arabic" w:cs="Simplified Arabic"/>
          <w:sz w:val="28"/>
        </w:rPr>
        <w:t>PRAE</w:t>
      </w:r>
      <w:r>
        <w:rPr>
          <w:rFonts w:ascii="Simplified Arabic" w:eastAsia="Simplified Arabic" w:hAnsi="Simplified Arabic" w:cs="Simplified Arabic"/>
          <w:sz w:val="28"/>
          <w:rtl/>
        </w:rPr>
        <w:t>)». ولا يمثل معدل الأحداث الفعلي المستخرج من السجلات، ولا يجوز تفسير درجته بوصفها عددًا أو نسبة أو معدلًا حقيقيًا للحوادث. وتشير الدرجة الأعلى إلى إدراك أكبر لفاعلية إجراءات الوقاية والتقليل.</w:t>
      </w:r>
    </w:p>
    <w:p w14:paraId="1FD30383"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lastRenderedPageBreak/>
        <w:t>جدول (3-2): الهيكل النهائي للاستبانة وأعداد فقراتها</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975"/>
        <w:gridCol w:w="1731"/>
        <w:gridCol w:w="2009"/>
        <w:gridCol w:w="2110"/>
        <w:gridCol w:w="1460"/>
        <w:gridCol w:w="1579"/>
      </w:tblGrid>
      <w:tr w:rsidR="00161B2D" w:rsidRPr="00161B2D" w14:paraId="69BD06B2" w14:textId="77777777" w:rsidTr="00084470">
        <w:trPr>
          <w:cantSplit/>
          <w:tblHeader/>
          <w:jc w:val="center"/>
        </w:trPr>
        <w:tc>
          <w:tcPr>
            <w:tcW w:w="100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7D3A70A2"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القسم</w:t>
            </w:r>
          </w:p>
        </w:tc>
        <w:tc>
          <w:tcPr>
            <w:tcW w:w="180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45FFF1F5"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المتغير</w:t>
            </w:r>
          </w:p>
        </w:tc>
        <w:tc>
          <w:tcPr>
            <w:tcW w:w="208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6F22EA1"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الأداة</w:t>
            </w:r>
          </w:p>
        </w:tc>
        <w:tc>
          <w:tcPr>
            <w:tcW w:w="2232"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13F39C2D"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العدد والأبعاد</w:t>
            </w:r>
          </w:p>
        </w:tc>
        <w:tc>
          <w:tcPr>
            <w:tcW w:w="1512"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3BB1AFB"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مقياس الاستجابة</w:t>
            </w:r>
          </w:p>
        </w:tc>
        <w:tc>
          <w:tcPr>
            <w:tcW w:w="1656"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C06BE3D" w14:textId="77777777" w:rsidR="00161B2D" w:rsidRPr="00161B2D" w:rsidRDefault="00161B2D" w:rsidP="00D325F5">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الفقرات العكسية</w:t>
            </w:r>
          </w:p>
        </w:tc>
      </w:tr>
      <w:tr w:rsidR="00161B2D" w:rsidRPr="00161B2D" w14:paraId="68E79274" w14:textId="77777777" w:rsidTr="00084470">
        <w:trPr>
          <w:cantSplit/>
          <w:jc w:val="center"/>
        </w:trPr>
        <w:tc>
          <w:tcPr>
            <w:tcW w:w="1008" w:type="dxa"/>
            <w:shd w:val="clear" w:color="auto" w:fill="EAF1F8"/>
            <w:tcMar>
              <w:top w:w="70" w:type="dxa"/>
              <w:left w:w="70" w:type="dxa"/>
              <w:bottom w:w="70" w:type="dxa"/>
              <w:right w:w="70" w:type="dxa"/>
            </w:tcMar>
            <w:vAlign w:val="center"/>
          </w:tcPr>
          <w:p w14:paraId="13B6C10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الأول</w:t>
            </w:r>
          </w:p>
        </w:tc>
        <w:tc>
          <w:tcPr>
            <w:tcW w:w="1800" w:type="dxa"/>
            <w:shd w:val="clear" w:color="auto" w:fill="EAF1F8"/>
            <w:tcMar>
              <w:top w:w="70" w:type="dxa"/>
              <w:left w:w="70" w:type="dxa"/>
              <w:bottom w:w="70" w:type="dxa"/>
              <w:right w:w="70" w:type="dxa"/>
            </w:tcMar>
            <w:vAlign w:val="center"/>
          </w:tcPr>
          <w:p w14:paraId="651794F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البيانات الديموغرافية والوظيفية</w:t>
            </w:r>
          </w:p>
        </w:tc>
        <w:tc>
          <w:tcPr>
            <w:tcW w:w="2088" w:type="dxa"/>
            <w:shd w:val="clear" w:color="auto" w:fill="EAF1F8"/>
            <w:tcMar>
              <w:top w:w="70" w:type="dxa"/>
              <w:left w:w="70" w:type="dxa"/>
              <w:bottom w:w="70" w:type="dxa"/>
              <w:right w:w="70" w:type="dxa"/>
            </w:tcMar>
            <w:vAlign w:val="center"/>
          </w:tcPr>
          <w:p w14:paraId="54B996E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أسئلة تعريفية غير اسمية</w:t>
            </w:r>
          </w:p>
        </w:tc>
        <w:tc>
          <w:tcPr>
            <w:tcW w:w="2232" w:type="dxa"/>
            <w:shd w:val="clear" w:color="auto" w:fill="EAF1F8"/>
            <w:tcMar>
              <w:top w:w="70" w:type="dxa"/>
              <w:left w:w="70" w:type="dxa"/>
              <w:bottom w:w="70" w:type="dxa"/>
              <w:right w:w="70" w:type="dxa"/>
            </w:tcMar>
            <w:vAlign w:val="center"/>
          </w:tcPr>
          <w:p w14:paraId="6EDEDBFB"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9 أسئلة</w:t>
            </w:r>
          </w:p>
        </w:tc>
        <w:tc>
          <w:tcPr>
            <w:tcW w:w="1512" w:type="dxa"/>
            <w:shd w:val="clear" w:color="auto" w:fill="EAF1F8"/>
            <w:tcMar>
              <w:top w:w="70" w:type="dxa"/>
              <w:left w:w="70" w:type="dxa"/>
              <w:bottom w:w="70" w:type="dxa"/>
              <w:right w:w="70" w:type="dxa"/>
            </w:tcMar>
            <w:vAlign w:val="center"/>
          </w:tcPr>
          <w:p w14:paraId="76AA11A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فئات/قيم رقمية</w:t>
            </w:r>
          </w:p>
        </w:tc>
        <w:tc>
          <w:tcPr>
            <w:tcW w:w="1656" w:type="dxa"/>
            <w:shd w:val="clear" w:color="auto" w:fill="EAF1F8"/>
            <w:tcMar>
              <w:top w:w="70" w:type="dxa"/>
              <w:left w:w="70" w:type="dxa"/>
              <w:bottom w:w="70" w:type="dxa"/>
              <w:right w:w="70" w:type="dxa"/>
            </w:tcMar>
            <w:vAlign w:val="center"/>
          </w:tcPr>
          <w:p w14:paraId="757371F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لا يوجد</w:t>
            </w:r>
          </w:p>
        </w:tc>
      </w:tr>
      <w:tr w:rsidR="00161B2D" w:rsidRPr="00161B2D" w14:paraId="5C6EBBD6" w14:textId="77777777" w:rsidTr="00084470">
        <w:trPr>
          <w:cantSplit/>
          <w:jc w:val="center"/>
        </w:trPr>
        <w:tc>
          <w:tcPr>
            <w:tcW w:w="1008" w:type="dxa"/>
            <w:shd w:val="clear" w:color="auto" w:fill="DCE6F1"/>
            <w:tcMar>
              <w:top w:w="70" w:type="dxa"/>
              <w:left w:w="70" w:type="dxa"/>
              <w:bottom w:w="70" w:type="dxa"/>
              <w:right w:w="70" w:type="dxa"/>
            </w:tcMar>
            <w:vAlign w:val="center"/>
          </w:tcPr>
          <w:p w14:paraId="16EA4CE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الثاني</w:t>
            </w:r>
          </w:p>
        </w:tc>
        <w:tc>
          <w:tcPr>
            <w:tcW w:w="1800" w:type="dxa"/>
            <w:shd w:val="clear" w:color="auto" w:fill="F7FAFC"/>
            <w:tcMar>
              <w:top w:w="70" w:type="dxa"/>
              <w:left w:w="70" w:type="dxa"/>
              <w:bottom w:w="70" w:type="dxa"/>
              <w:right w:w="70" w:type="dxa"/>
            </w:tcMar>
            <w:vAlign w:val="center"/>
          </w:tcPr>
          <w:p w14:paraId="3593F3F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القيادة التحويلية (TL)</w:t>
            </w:r>
          </w:p>
        </w:tc>
        <w:tc>
          <w:tcPr>
            <w:tcW w:w="2088" w:type="dxa"/>
            <w:shd w:val="clear" w:color="auto" w:fill="F7FAFC"/>
            <w:tcMar>
              <w:top w:w="70" w:type="dxa"/>
              <w:left w:w="70" w:type="dxa"/>
              <w:bottom w:w="70" w:type="dxa"/>
              <w:right w:w="70" w:type="dxa"/>
            </w:tcMar>
            <w:vAlign w:val="center"/>
          </w:tcPr>
          <w:p w14:paraId="0802DBE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TLI المكيّف</w:t>
            </w:r>
          </w:p>
        </w:tc>
        <w:tc>
          <w:tcPr>
            <w:tcW w:w="2232" w:type="dxa"/>
            <w:shd w:val="clear" w:color="auto" w:fill="F7FAFC"/>
            <w:tcMar>
              <w:top w:w="70" w:type="dxa"/>
              <w:left w:w="70" w:type="dxa"/>
              <w:bottom w:w="70" w:type="dxa"/>
              <w:right w:w="70" w:type="dxa"/>
            </w:tcMar>
            <w:vAlign w:val="center"/>
          </w:tcPr>
          <w:p w14:paraId="70BA842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23 فقرة؛ 6 أبعاد (4، 4، 4، 4، 4، 3)</w:t>
            </w:r>
          </w:p>
        </w:tc>
        <w:tc>
          <w:tcPr>
            <w:tcW w:w="1512" w:type="dxa"/>
            <w:shd w:val="clear" w:color="auto" w:fill="F7FAFC"/>
            <w:tcMar>
              <w:top w:w="70" w:type="dxa"/>
              <w:left w:w="70" w:type="dxa"/>
              <w:bottom w:w="70" w:type="dxa"/>
              <w:right w:w="70" w:type="dxa"/>
            </w:tcMar>
            <w:vAlign w:val="center"/>
          </w:tcPr>
          <w:p w14:paraId="3E6CD39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اتفاق خماسي</w:t>
            </w:r>
          </w:p>
        </w:tc>
        <w:tc>
          <w:tcPr>
            <w:tcW w:w="1656" w:type="dxa"/>
            <w:shd w:val="clear" w:color="auto" w:fill="F7FAFC"/>
            <w:tcMar>
              <w:top w:w="70" w:type="dxa"/>
              <w:left w:w="70" w:type="dxa"/>
              <w:bottom w:w="70" w:type="dxa"/>
              <w:right w:w="70" w:type="dxa"/>
            </w:tcMar>
            <w:vAlign w:val="center"/>
          </w:tcPr>
          <w:p w14:paraId="6FFD1DD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لا يوجد</w:t>
            </w:r>
          </w:p>
        </w:tc>
      </w:tr>
      <w:tr w:rsidR="00161B2D" w:rsidRPr="00161B2D" w14:paraId="2EAE1CD2" w14:textId="77777777" w:rsidTr="00084470">
        <w:trPr>
          <w:cantSplit/>
          <w:jc w:val="center"/>
        </w:trPr>
        <w:tc>
          <w:tcPr>
            <w:tcW w:w="1008" w:type="dxa"/>
            <w:shd w:val="clear" w:color="auto" w:fill="EAF1F8"/>
            <w:tcMar>
              <w:top w:w="70" w:type="dxa"/>
              <w:left w:w="70" w:type="dxa"/>
              <w:bottom w:w="70" w:type="dxa"/>
              <w:right w:w="70" w:type="dxa"/>
            </w:tcMar>
            <w:vAlign w:val="center"/>
          </w:tcPr>
          <w:p w14:paraId="1F28EEF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الثالث</w:t>
            </w:r>
          </w:p>
        </w:tc>
        <w:tc>
          <w:tcPr>
            <w:tcW w:w="1800" w:type="dxa"/>
            <w:shd w:val="clear" w:color="auto" w:fill="EAF1F8"/>
            <w:tcMar>
              <w:top w:w="70" w:type="dxa"/>
              <w:left w:w="70" w:type="dxa"/>
              <w:bottom w:w="70" w:type="dxa"/>
              <w:right w:w="70" w:type="dxa"/>
            </w:tcMar>
            <w:vAlign w:val="center"/>
          </w:tcPr>
          <w:p w14:paraId="006434A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ثقافة سلامة المرضى (SC)</w:t>
            </w:r>
          </w:p>
        </w:tc>
        <w:tc>
          <w:tcPr>
            <w:tcW w:w="2088" w:type="dxa"/>
            <w:shd w:val="clear" w:color="auto" w:fill="EAF1F8"/>
            <w:tcMar>
              <w:top w:w="70" w:type="dxa"/>
              <w:left w:w="70" w:type="dxa"/>
              <w:bottom w:w="70" w:type="dxa"/>
              <w:right w:w="70" w:type="dxa"/>
            </w:tcMar>
            <w:vAlign w:val="center"/>
          </w:tcPr>
          <w:p w14:paraId="1F43AF2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أبعاد مختارة من HSOPSC v1.0</w:t>
            </w:r>
          </w:p>
        </w:tc>
        <w:tc>
          <w:tcPr>
            <w:tcW w:w="2232" w:type="dxa"/>
            <w:shd w:val="clear" w:color="auto" w:fill="EAF1F8"/>
            <w:tcMar>
              <w:top w:w="70" w:type="dxa"/>
              <w:left w:w="70" w:type="dxa"/>
              <w:bottom w:w="70" w:type="dxa"/>
              <w:right w:w="70" w:type="dxa"/>
            </w:tcMar>
            <w:vAlign w:val="center"/>
          </w:tcPr>
          <w:p w14:paraId="02A21FAB"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13 فقرة؛ 4 أبعاد (3، 3، 3، 4)</w:t>
            </w:r>
          </w:p>
        </w:tc>
        <w:tc>
          <w:tcPr>
            <w:tcW w:w="1512" w:type="dxa"/>
            <w:shd w:val="clear" w:color="auto" w:fill="EAF1F8"/>
            <w:tcMar>
              <w:top w:w="70" w:type="dxa"/>
              <w:left w:w="70" w:type="dxa"/>
              <w:bottom w:w="70" w:type="dxa"/>
              <w:right w:w="70" w:type="dxa"/>
            </w:tcMar>
            <w:vAlign w:val="center"/>
          </w:tcPr>
          <w:p w14:paraId="20A59819"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اتفاق/تكرار خماسي</w:t>
            </w:r>
          </w:p>
        </w:tc>
        <w:tc>
          <w:tcPr>
            <w:tcW w:w="1656" w:type="dxa"/>
            <w:shd w:val="clear" w:color="auto" w:fill="EAF1F8"/>
            <w:tcMar>
              <w:top w:w="70" w:type="dxa"/>
              <w:left w:w="70" w:type="dxa"/>
              <w:bottom w:w="70" w:type="dxa"/>
              <w:right w:w="70" w:type="dxa"/>
            </w:tcMar>
            <w:vAlign w:val="center"/>
          </w:tcPr>
          <w:p w14:paraId="0BC8BAA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SC3 (F9)، SC6 (C6)</w:t>
            </w:r>
          </w:p>
        </w:tc>
      </w:tr>
      <w:tr w:rsidR="00161B2D" w:rsidRPr="00161B2D" w14:paraId="41218695" w14:textId="77777777" w:rsidTr="00084470">
        <w:trPr>
          <w:cantSplit/>
          <w:jc w:val="center"/>
        </w:trPr>
        <w:tc>
          <w:tcPr>
            <w:tcW w:w="1008" w:type="dxa"/>
            <w:shd w:val="clear" w:color="auto" w:fill="DCE6F1"/>
            <w:tcMar>
              <w:top w:w="70" w:type="dxa"/>
              <w:left w:w="70" w:type="dxa"/>
              <w:bottom w:w="70" w:type="dxa"/>
              <w:right w:w="70" w:type="dxa"/>
            </w:tcMar>
            <w:vAlign w:val="center"/>
          </w:tcPr>
          <w:p w14:paraId="689470F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الرابع</w:t>
            </w:r>
          </w:p>
        </w:tc>
        <w:tc>
          <w:tcPr>
            <w:tcW w:w="1800" w:type="dxa"/>
            <w:shd w:val="clear" w:color="auto" w:fill="F7FAFC"/>
            <w:tcMar>
              <w:top w:w="70" w:type="dxa"/>
              <w:left w:w="70" w:type="dxa"/>
              <w:bottom w:w="70" w:type="dxa"/>
              <w:right w:w="70" w:type="dxa"/>
            </w:tcMar>
            <w:vAlign w:val="center"/>
          </w:tcPr>
          <w:p w14:paraId="21BDA06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سلوكيات السلامة (SB)</w:t>
            </w:r>
          </w:p>
        </w:tc>
        <w:tc>
          <w:tcPr>
            <w:tcW w:w="2088" w:type="dxa"/>
            <w:shd w:val="clear" w:color="auto" w:fill="F7FAFC"/>
            <w:tcMar>
              <w:top w:w="70" w:type="dxa"/>
              <w:left w:w="70" w:type="dxa"/>
              <w:bottom w:w="70" w:type="dxa"/>
              <w:right w:w="70" w:type="dxa"/>
            </w:tcMar>
            <w:vAlign w:val="center"/>
          </w:tcPr>
          <w:p w14:paraId="02C0250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مقياس مطور للدراسة</w:t>
            </w:r>
          </w:p>
        </w:tc>
        <w:tc>
          <w:tcPr>
            <w:tcW w:w="2232" w:type="dxa"/>
            <w:shd w:val="clear" w:color="auto" w:fill="F7FAFC"/>
            <w:tcMar>
              <w:top w:w="70" w:type="dxa"/>
              <w:left w:w="70" w:type="dxa"/>
              <w:bottom w:w="70" w:type="dxa"/>
              <w:right w:w="70" w:type="dxa"/>
            </w:tcMar>
            <w:vAlign w:val="center"/>
          </w:tcPr>
          <w:p w14:paraId="2059568F"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12 فقرة؛ بعدان (6، 6)</w:t>
            </w:r>
          </w:p>
        </w:tc>
        <w:tc>
          <w:tcPr>
            <w:tcW w:w="1512" w:type="dxa"/>
            <w:shd w:val="clear" w:color="auto" w:fill="F7FAFC"/>
            <w:tcMar>
              <w:top w:w="70" w:type="dxa"/>
              <w:left w:w="70" w:type="dxa"/>
              <w:bottom w:w="70" w:type="dxa"/>
              <w:right w:w="70" w:type="dxa"/>
            </w:tcMar>
            <w:vAlign w:val="center"/>
          </w:tcPr>
          <w:p w14:paraId="1E5A7DB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تكرار خماسي</w:t>
            </w:r>
          </w:p>
        </w:tc>
        <w:tc>
          <w:tcPr>
            <w:tcW w:w="1656" w:type="dxa"/>
            <w:shd w:val="clear" w:color="auto" w:fill="F7FAFC"/>
            <w:tcMar>
              <w:top w:w="70" w:type="dxa"/>
              <w:left w:w="70" w:type="dxa"/>
              <w:bottom w:w="70" w:type="dxa"/>
              <w:right w:w="70" w:type="dxa"/>
            </w:tcMar>
            <w:vAlign w:val="center"/>
          </w:tcPr>
          <w:p w14:paraId="10950D0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لا يوجد</w:t>
            </w:r>
          </w:p>
        </w:tc>
      </w:tr>
      <w:tr w:rsidR="00161B2D" w:rsidRPr="00161B2D" w14:paraId="679CE90C" w14:textId="77777777" w:rsidTr="00084470">
        <w:trPr>
          <w:cantSplit/>
          <w:jc w:val="center"/>
        </w:trPr>
        <w:tc>
          <w:tcPr>
            <w:tcW w:w="1008" w:type="dxa"/>
            <w:shd w:val="clear" w:color="auto" w:fill="EAF1F8"/>
            <w:tcMar>
              <w:top w:w="70" w:type="dxa"/>
              <w:left w:w="70" w:type="dxa"/>
              <w:bottom w:w="70" w:type="dxa"/>
              <w:right w:w="70" w:type="dxa"/>
            </w:tcMar>
            <w:vAlign w:val="center"/>
          </w:tcPr>
          <w:p w14:paraId="3E34CF1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الخامس</w:t>
            </w:r>
          </w:p>
        </w:tc>
        <w:tc>
          <w:tcPr>
            <w:tcW w:w="1800" w:type="dxa"/>
            <w:shd w:val="clear" w:color="auto" w:fill="EAF1F8"/>
            <w:tcMar>
              <w:top w:w="70" w:type="dxa"/>
              <w:left w:w="70" w:type="dxa"/>
              <w:bottom w:w="70" w:type="dxa"/>
              <w:right w:w="70" w:type="dxa"/>
            </w:tcMar>
            <w:vAlign w:val="center"/>
          </w:tcPr>
          <w:p w14:paraId="0AF92103" w14:textId="77777777" w:rsidR="00161B2D" w:rsidRPr="00161B2D" w:rsidRDefault="00161B2D" w:rsidP="00161B2D">
            <w:pPr>
              <w:keepLines/>
              <w:bidi/>
              <w:spacing w:after="0" w:line="240" w:lineRule="auto"/>
              <w:jc w:val="right"/>
              <w:rPr>
                <w:rFonts w:ascii="Simplified Arabic" w:hAnsi="Simplified Arabic" w:cs="Simplified Arabic"/>
              </w:rPr>
            </w:pPr>
            <w:r>
              <w:rPr>
                <w:rFonts w:ascii="Traditional Arabic" w:eastAsia="Traditional Arabic" w:hAnsi="Traditional Arabic" w:cs="Traditional Arabic"/>
                <w:color w:val="1F1F1F"/>
                <w:sz w:val="17"/>
                <w:rtl/>
              </w:rPr>
              <w:t>التقليل المُدرَك للأحداث الضارة (PRAE)</w:t>
            </w:r>
          </w:p>
        </w:tc>
        <w:tc>
          <w:tcPr>
            <w:tcW w:w="2088" w:type="dxa"/>
            <w:shd w:val="clear" w:color="auto" w:fill="EAF1F8"/>
            <w:tcMar>
              <w:top w:w="70" w:type="dxa"/>
              <w:left w:w="70" w:type="dxa"/>
              <w:bottom w:w="70" w:type="dxa"/>
              <w:right w:w="70" w:type="dxa"/>
            </w:tcMar>
            <w:vAlign w:val="center"/>
          </w:tcPr>
          <w:p w14:paraId="1274356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مقياس مطور للدراسة</w:t>
            </w:r>
          </w:p>
        </w:tc>
        <w:tc>
          <w:tcPr>
            <w:tcW w:w="2232" w:type="dxa"/>
            <w:shd w:val="clear" w:color="auto" w:fill="EAF1F8"/>
            <w:tcMar>
              <w:top w:w="70" w:type="dxa"/>
              <w:left w:w="70" w:type="dxa"/>
              <w:bottom w:w="70" w:type="dxa"/>
              <w:right w:w="70" w:type="dxa"/>
            </w:tcMar>
            <w:vAlign w:val="center"/>
          </w:tcPr>
          <w:p w14:paraId="0F31649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8 فقرات؛ أحادي البعد</w:t>
            </w:r>
          </w:p>
        </w:tc>
        <w:tc>
          <w:tcPr>
            <w:tcW w:w="1512" w:type="dxa"/>
            <w:shd w:val="clear" w:color="auto" w:fill="EAF1F8"/>
            <w:tcMar>
              <w:top w:w="70" w:type="dxa"/>
              <w:left w:w="70" w:type="dxa"/>
              <w:bottom w:w="70" w:type="dxa"/>
              <w:right w:w="70" w:type="dxa"/>
            </w:tcMar>
            <w:vAlign w:val="center"/>
          </w:tcPr>
          <w:p w14:paraId="74EBF8B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اتفاق خماسي</w:t>
            </w:r>
          </w:p>
        </w:tc>
        <w:tc>
          <w:tcPr>
            <w:tcW w:w="1656" w:type="dxa"/>
            <w:shd w:val="clear" w:color="auto" w:fill="EAF1F8"/>
            <w:tcMar>
              <w:top w:w="70" w:type="dxa"/>
              <w:left w:w="70" w:type="dxa"/>
              <w:bottom w:w="70" w:type="dxa"/>
              <w:right w:w="70" w:type="dxa"/>
            </w:tcMar>
            <w:vAlign w:val="center"/>
          </w:tcPr>
          <w:p w14:paraId="1BB0C5B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color w:val="1F1F1F"/>
                <w:sz w:val="17"/>
                <w:rtl/>
              </w:rPr>
              <w:t>لا يوجد</w:t>
            </w:r>
          </w:p>
        </w:tc>
      </w:tr>
      <w:tr w:rsidR="00161B2D" w:rsidRPr="00161B2D" w14:paraId="739D1DA9" w14:textId="77777777" w:rsidTr="00084470">
        <w:trPr>
          <w:cantSplit/>
          <w:jc w:val="center"/>
        </w:trPr>
        <w:tc>
          <w:tcPr>
            <w:tcW w:w="1008" w:type="dxa"/>
            <w:shd w:val="clear" w:color="auto" w:fill="1F4E78"/>
            <w:tcMar>
              <w:top w:w="70" w:type="dxa"/>
              <w:left w:w="70" w:type="dxa"/>
              <w:bottom w:w="70" w:type="dxa"/>
              <w:right w:w="70" w:type="dxa"/>
            </w:tcMar>
            <w:vAlign w:val="center"/>
          </w:tcPr>
          <w:p w14:paraId="09A551B9"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7"/>
                <w:rtl/>
              </w:rPr>
              <w:t>الإجمالي</w:t>
            </w:r>
          </w:p>
        </w:tc>
        <w:tc>
          <w:tcPr>
            <w:tcW w:w="1800" w:type="dxa"/>
            <w:shd w:val="clear" w:color="auto" w:fill="1F4E78"/>
            <w:tcMar>
              <w:top w:w="70" w:type="dxa"/>
              <w:left w:w="70" w:type="dxa"/>
              <w:bottom w:w="70" w:type="dxa"/>
              <w:right w:w="70" w:type="dxa"/>
            </w:tcMar>
            <w:vAlign w:val="center"/>
          </w:tcPr>
          <w:p w14:paraId="263CC9F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7"/>
              </w:rPr>
              <w:t>—</w:t>
            </w:r>
          </w:p>
        </w:tc>
        <w:tc>
          <w:tcPr>
            <w:tcW w:w="2088" w:type="dxa"/>
            <w:shd w:val="clear" w:color="auto" w:fill="1F4E78"/>
            <w:tcMar>
              <w:top w:w="70" w:type="dxa"/>
              <w:left w:w="70" w:type="dxa"/>
              <w:bottom w:w="70" w:type="dxa"/>
              <w:right w:w="70" w:type="dxa"/>
            </w:tcMar>
            <w:vAlign w:val="center"/>
          </w:tcPr>
          <w:p w14:paraId="051C3B69"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7"/>
              </w:rPr>
              <w:t>—</w:t>
            </w:r>
          </w:p>
        </w:tc>
        <w:tc>
          <w:tcPr>
            <w:tcW w:w="2232" w:type="dxa"/>
            <w:shd w:val="clear" w:color="auto" w:fill="1F4E78"/>
            <w:tcMar>
              <w:top w:w="70" w:type="dxa"/>
              <w:left w:w="70" w:type="dxa"/>
              <w:bottom w:w="70" w:type="dxa"/>
              <w:right w:w="70" w:type="dxa"/>
            </w:tcMar>
            <w:vAlign w:val="center"/>
          </w:tcPr>
          <w:p w14:paraId="271FCD3D"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FFFFFF"/>
                <w:sz w:val="17"/>
                <w:rtl/>
              </w:rPr>
              <w:t>65 بندًا: 9 أسئلة + 56 فقرة قياس</w:t>
            </w:r>
          </w:p>
        </w:tc>
        <w:tc>
          <w:tcPr>
            <w:tcW w:w="1512" w:type="dxa"/>
            <w:shd w:val="clear" w:color="auto" w:fill="1F4E78"/>
            <w:tcMar>
              <w:top w:w="70" w:type="dxa"/>
              <w:left w:w="70" w:type="dxa"/>
              <w:bottom w:w="70" w:type="dxa"/>
              <w:right w:w="70" w:type="dxa"/>
            </w:tcMar>
            <w:vAlign w:val="center"/>
          </w:tcPr>
          <w:p w14:paraId="0A11697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7"/>
              </w:rPr>
              <w:t>—</w:t>
            </w:r>
          </w:p>
        </w:tc>
        <w:tc>
          <w:tcPr>
            <w:tcW w:w="1656" w:type="dxa"/>
            <w:shd w:val="clear" w:color="auto" w:fill="1F4E78"/>
            <w:tcMar>
              <w:top w:w="70" w:type="dxa"/>
              <w:left w:w="70" w:type="dxa"/>
              <w:bottom w:w="70" w:type="dxa"/>
              <w:right w:w="70" w:type="dxa"/>
            </w:tcMar>
            <w:vAlign w:val="center"/>
          </w:tcPr>
          <w:p w14:paraId="5906C41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imes New Roman" w:eastAsia="Times New Roman" w:hAnsi="Times New Roman" w:cs="Times New Roman"/>
                <w:b/>
                <w:color w:val="FFFFFF"/>
                <w:sz w:val="17"/>
              </w:rPr>
              <w:t>—</w:t>
            </w:r>
          </w:p>
        </w:tc>
      </w:tr>
    </w:tbl>
    <w:p w14:paraId="6D87D9E6" w14:textId="77777777" w:rsidR="00161B2D" w:rsidRPr="00161B2D" w:rsidRDefault="00161B2D" w:rsidP="00161B2D">
      <w:pPr>
        <w:bidi/>
        <w:spacing w:after="20"/>
        <w:rPr>
          <w:rFonts w:ascii="Simplified Arabic" w:hAnsi="Simplified Arabic" w:cs="Simplified Arabic"/>
        </w:rPr>
      </w:pPr>
    </w:p>
    <w:p w14:paraId="0FBF2FFD" w14:textId="77777777" w:rsidR="00161B2D" w:rsidRPr="00982C12" w:rsidRDefault="00161B2D" w:rsidP="00161B2D">
      <w:pPr>
        <w:pStyle w:val="1"/>
        <w:bidi/>
        <w:spacing w:before="200" w:after="80"/>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3.6 الترجمة والتكييف الثقافي</w:t>
      </w:r>
    </w:p>
    <w:p w14:paraId="34A0B1E3" w14:textId="700E8503" w:rsidR="00161B2D" w:rsidRPr="00D63CA8" w:rsidRDefault="00982C12" w:rsidP="00D63CA8">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ستُطبق الترجمة الأمامية والعكسية على المقاييس ذات الأصل الإنجليزي. يترجم مترجمان مستقلان الأداة إلى العربية، ثم تراجع لجنة متخصصة النسختين وتنتج صياغة موحدة تراعي المعنى والسياق الصحي السعودي. بعد ذلك يعيد مترجم ثالث، لا يطلع على النص الأصلي، ترجمة النسخة العربية إلى الإنجليزية. وتُقارن الترجمة العكسية بالأصل، وتُناقش الفروق حتى يتحقق التكافؤ الدلالي والمفاهيمي، لا التطابق الحرفي. وسيُحفظ تقرير مختصر للعملية، يتضمن تخصصات المشاركين والتعديلات الجوهرية، ضمن ملحق المنهجية.</w:t>
      </w:r>
    </w:p>
    <w:p w14:paraId="13D5150E" w14:textId="77777777" w:rsidR="00161B2D" w:rsidRPr="00982C12" w:rsidRDefault="00161B2D" w:rsidP="00161B2D">
      <w:pPr>
        <w:pStyle w:val="1"/>
        <w:bidi/>
        <w:spacing w:before="200" w:after="80"/>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3.7 التحكيم والدراسة الاستطلاعية</w:t>
      </w:r>
    </w:p>
    <w:p w14:paraId="7095676A" w14:textId="77777777" w:rsidR="00161B2D" w:rsidRPr="00982C12" w:rsidRDefault="00161B2D" w:rsidP="00161B2D">
      <w:pPr>
        <w:pStyle w:val="2"/>
        <w:bidi/>
        <w:spacing w:before="120" w:after="80"/>
        <w:rPr>
          <w:rFonts w:ascii="Simplified Arabic" w:hAnsi="Simplified Arabic" w:cs="Simplified Arabic"/>
          <w:bCs/>
          <w:color w:val="auto"/>
        </w:rPr>
      </w:pPr>
      <w:r w:rsidRPr="00982C12">
        <w:rPr>
          <w:rFonts w:ascii="Simplified Arabic" w:hAnsi="Simplified Arabic" w:cs="Simplified Arabic"/>
          <w:bCs/>
          <w:color w:val="auto"/>
          <w:sz w:val="30"/>
          <w:rtl/>
        </w:rPr>
        <w:t>3.7.1 صدق المحتوى</w:t>
      </w:r>
    </w:p>
    <w:p w14:paraId="48ECF7E7" w14:textId="4274A387" w:rsidR="00161B2D" w:rsidRPr="00982C12" w:rsidRDefault="00982C12" w:rsidP="00D63CA8">
      <w:pPr>
        <w:bidi/>
        <w:spacing w:after="100" w:line="324" w:lineRule="auto"/>
        <w:jc w:val="both"/>
        <w:rPr>
          <w:rFonts w:ascii="Simplified Arabic" w:hAnsi="Simplified Arabic" w:cs="Simplified Arabic"/>
          <w:sz w:val="24"/>
          <w:szCs w:val="24"/>
        </w:rPr>
      </w:pPr>
      <w:r w:rsidRPr="00982C12">
        <w:rPr>
          <w:rFonts w:ascii="Simplified Arabic" w:hAnsi="Simplified Arabic" w:cs="Simplified Arabic"/>
          <w:sz w:val="24"/>
          <w:szCs w:val="24"/>
          <w:rtl/>
        </w:rPr>
        <w:t>ستُعرض الصورة الأولية على عشرة محكمين من تخصصات الإدارة الصحية، والقيادة وإدارة الأعمال، وسلامة المرضى والجودة، والقياس والتقويم، والإحصاء التطبيقي. ويقيّم المحكمون وضوح كل فقرة، وملاءمتها للسياق، وانتماؤها إلى البعد، وأهميتها للقياس. وسيُحسب مؤشر صدق المحتوى على مستوى الفقرة (</w:t>
      </w:r>
      <w:r w:rsidRPr="00982C12">
        <w:rPr>
          <w:rFonts w:ascii="Simplified Arabic" w:hAnsi="Simplified Arabic" w:cs="Simplified Arabic"/>
          <w:sz w:val="24"/>
          <w:szCs w:val="24"/>
        </w:rPr>
        <w:t>I-CVI</w:t>
      </w:r>
      <w:r w:rsidRPr="00982C12">
        <w:rPr>
          <w:rFonts w:ascii="Simplified Arabic" w:hAnsi="Simplified Arabic" w:cs="Simplified Arabic"/>
          <w:sz w:val="24"/>
          <w:szCs w:val="24"/>
          <w:rtl/>
        </w:rPr>
        <w:t>) وعلى مستوى المقياس (</w:t>
      </w:r>
      <w:r w:rsidRPr="00982C12">
        <w:rPr>
          <w:rFonts w:ascii="Simplified Arabic" w:hAnsi="Simplified Arabic" w:cs="Simplified Arabic"/>
          <w:sz w:val="24"/>
          <w:szCs w:val="24"/>
        </w:rPr>
        <w:t>S-CVI/Ave</w:t>
      </w:r>
      <w:r w:rsidRPr="00982C12">
        <w:rPr>
          <w:rFonts w:ascii="Simplified Arabic" w:hAnsi="Simplified Arabic" w:cs="Simplified Arabic"/>
          <w:sz w:val="24"/>
          <w:szCs w:val="24"/>
          <w:rtl/>
        </w:rPr>
        <w:t>) متى توافرت تقديرات الملاءمة الرباعية، مع توثيق أسباب أي حذف أو إضافة أو تعديل. ويُرفق في الملحق جدول بتخصصات المحكمين وأعدادهم الفعلية دون ذكر الأسماء إذا اقتضت السرية ذلك. لن تُذكر نتائج التحكيم بصيغة الماضي إلا بعد اكتمال العملية وتوثيقها. كما ستتطابق الصورة النهائية للأداة في الملحق مع الأعداد المعتمدة في جدول (3-2).</w:t>
      </w:r>
    </w:p>
    <w:p w14:paraId="45EF2EC9" w14:textId="77777777" w:rsidR="00161B2D" w:rsidRPr="00982C12" w:rsidRDefault="00161B2D" w:rsidP="00161B2D">
      <w:pPr>
        <w:pStyle w:val="2"/>
        <w:bidi/>
        <w:spacing w:before="120" w:after="80"/>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lastRenderedPageBreak/>
        <w:t>3.7.2 الدراسة الاستطلاعية</w:t>
      </w:r>
    </w:p>
    <w:p w14:paraId="03E2B502" w14:textId="76C245EC" w:rsidR="00161B2D" w:rsidRPr="00982C12" w:rsidRDefault="00982C12" w:rsidP="00982C12">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ستُجرى دراسة استطلاعية على 60 مشاركًا من مستشفيين غير مدرجين في العينة النهائية. وتركز على وضوح التعليمات والفقرات، وزمن الإكمال، ومعدل الفقد، والملاحظات المتكررة، والاتساق الداخلي الأولي، وصلاحية إجراءات التوزيع الورقي والإلكتروني. أما التحليل العاملي الاستكشافي للمقياسين المطورين فسيُعامل في العينة الاستطلاعية بوصفه مؤشرًا أوليًا فقط بسبب محدودية الحجم، ولن تُبنى عليه استنتاجات نهائية دون التحقق على العينة الأساسية.</w:t>
      </w:r>
    </w:p>
    <w:p w14:paraId="2B46B4FE"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(3-3): مخرجات الدراسة الاستطلاعية وكيفية الاستفادة منها</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902"/>
        <w:gridCol w:w="3481"/>
        <w:gridCol w:w="3481"/>
      </w:tblGrid>
      <w:tr w:rsidR="00161B2D" w:rsidRPr="00161B2D" w14:paraId="54EAD514" w14:textId="77777777" w:rsidTr="00084470">
        <w:trPr>
          <w:cantSplit/>
          <w:tblHeader/>
          <w:jc w:val="center"/>
        </w:trPr>
        <w:tc>
          <w:tcPr>
            <w:tcW w:w="2880"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529A2EA4"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مخرج الدراسة الاستطلاعية</w:t>
            </w:r>
          </w:p>
        </w:tc>
        <w:tc>
          <w:tcPr>
            <w:tcW w:w="3456"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7FFC3685"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معيار المراجعة</w:t>
            </w:r>
          </w:p>
        </w:tc>
        <w:tc>
          <w:tcPr>
            <w:tcW w:w="3456"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09C49092"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القرار المتوقع</w:t>
            </w:r>
          </w:p>
        </w:tc>
      </w:tr>
      <w:tr w:rsidR="00161B2D" w:rsidRPr="00161B2D" w14:paraId="531CAC73" w14:textId="77777777" w:rsidTr="00084470">
        <w:trPr>
          <w:cantSplit/>
          <w:jc w:val="center"/>
        </w:trPr>
        <w:tc>
          <w:tcPr>
            <w:tcW w:w="2880" w:type="dxa"/>
            <w:shd w:val="clear" w:color="auto" w:fill="DCE6F1"/>
            <w:tcMar>
              <w:top w:w="90" w:type="dxa"/>
              <w:left w:w="105" w:type="dxa"/>
              <w:bottom w:w="90" w:type="dxa"/>
              <w:right w:w="105" w:type="dxa"/>
            </w:tcMar>
            <w:vAlign w:val="center"/>
          </w:tcPr>
          <w:p w14:paraId="4FFD484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وضوح الفقرات والتعليمات</w:t>
            </w:r>
          </w:p>
        </w:tc>
        <w:tc>
          <w:tcPr>
            <w:tcW w:w="3456" w:type="dxa"/>
            <w:shd w:val="clear" w:color="auto" w:fill="EAF2F8"/>
            <w:tcMar>
              <w:top w:w="90" w:type="dxa"/>
              <w:left w:w="105" w:type="dxa"/>
              <w:bottom w:w="90" w:type="dxa"/>
              <w:right w:w="105" w:type="dxa"/>
            </w:tcMar>
            <w:vAlign w:val="center"/>
          </w:tcPr>
          <w:p w14:paraId="42CA370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ملاحظات المشاركين والمحكمين؛ عدم تكرار الغموض</w:t>
            </w:r>
          </w:p>
        </w:tc>
        <w:tc>
          <w:tcPr>
            <w:tcW w:w="3456" w:type="dxa"/>
            <w:shd w:val="clear" w:color="auto" w:fill="EAF2F8"/>
            <w:tcMar>
              <w:top w:w="90" w:type="dxa"/>
              <w:left w:w="105" w:type="dxa"/>
              <w:bottom w:w="90" w:type="dxa"/>
              <w:right w:w="105" w:type="dxa"/>
            </w:tcMar>
            <w:vAlign w:val="center"/>
          </w:tcPr>
          <w:p w14:paraId="62AE486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إعادة الصياغة أو الحذف قبل التطبيق النهائي</w:t>
            </w:r>
          </w:p>
        </w:tc>
      </w:tr>
      <w:tr w:rsidR="00161B2D" w:rsidRPr="00161B2D" w14:paraId="59B6F116" w14:textId="77777777" w:rsidTr="00084470">
        <w:trPr>
          <w:cantSplit/>
          <w:jc w:val="center"/>
        </w:trPr>
        <w:tc>
          <w:tcPr>
            <w:tcW w:w="2880" w:type="dxa"/>
            <w:shd w:val="clear" w:color="auto" w:fill="DCE6F1"/>
            <w:tcMar>
              <w:top w:w="90" w:type="dxa"/>
              <w:left w:w="105" w:type="dxa"/>
              <w:bottom w:w="90" w:type="dxa"/>
              <w:right w:w="105" w:type="dxa"/>
            </w:tcMar>
            <w:vAlign w:val="center"/>
          </w:tcPr>
          <w:p w14:paraId="0E109C7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زمن الإكمال</w:t>
            </w:r>
          </w:p>
        </w:tc>
        <w:tc>
          <w:tcPr>
            <w:tcW w:w="3456" w:type="dxa"/>
            <w:shd w:val="clear" w:color="auto" w:fill="F7FAFC"/>
            <w:tcMar>
              <w:top w:w="90" w:type="dxa"/>
              <w:left w:w="105" w:type="dxa"/>
              <w:bottom w:w="90" w:type="dxa"/>
              <w:right w:w="105" w:type="dxa"/>
            </w:tcMar>
            <w:vAlign w:val="center"/>
          </w:tcPr>
          <w:p w14:paraId="2E4FF95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تسجيل الوسيط والمدى</w:t>
            </w:r>
          </w:p>
        </w:tc>
        <w:tc>
          <w:tcPr>
            <w:tcW w:w="3456" w:type="dxa"/>
            <w:shd w:val="clear" w:color="auto" w:fill="F7FAFC"/>
            <w:tcMar>
              <w:top w:w="90" w:type="dxa"/>
              <w:left w:w="105" w:type="dxa"/>
              <w:bottom w:w="90" w:type="dxa"/>
              <w:right w:w="105" w:type="dxa"/>
            </w:tcMar>
            <w:vAlign w:val="center"/>
          </w:tcPr>
          <w:p w14:paraId="4D1C821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تبسيط الأداة إذا تجاوز الزمن المقبول ميدانيًا</w:t>
            </w:r>
          </w:p>
        </w:tc>
      </w:tr>
      <w:tr w:rsidR="00161B2D" w:rsidRPr="00161B2D" w14:paraId="3F1CD338" w14:textId="77777777" w:rsidTr="00084470">
        <w:trPr>
          <w:cantSplit/>
          <w:jc w:val="center"/>
        </w:trPr>
        <w:tc>
          <w:tcPr>
            <w:tcW w:w="2880" w:type="dxa"/>
            <w:shd w:val="clear" w:color="auto" w:fill="DCE6F1"/>
            <w:tcMar>
              <w:top w:w="90" w:type="dxa"/>
              <w:left w:w="105" w:type="dxa"/>
              <w:bottom w:w="90" w:type="dxa"/>
              <w:right w:w="105" w:type="dxa"/>
            </w:tcMar>
            <w:vAlign w:val="center"/>
          </w:tcPr>
          <w:p w14:paraId="5A4BBF3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الفقد والاستجابات غير الصالحة</w:t>
            </w:r>
          </w:p>
        </w:tc>
        <w:tc>
          <w:tcPr>
            <w:tcW w:w="3456" w:type="dxa"/>
            <w:shd w:val="clear" w:color="auto" w:fill="EAF2F8"/>
            <w:tcMar>
              <w:top w:w="90" w:type="dxa"/>
              <w:left w:w="105" w:type="dxa"/>
              <w:bottom w:w="90" w:type="dxa"/>
              <w:right w:w="105" w:type="dxa"/>
            </w:tcMar>
            <w:vAlign w:val="center"/>
          </w:tcPr>
          <w:p w14:paraId="26F2B1B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نسبة البنود غير المجابة وأنماط الإجابة</w:t>
            </w:r>
          </w:p>
        </w:tc>
        <w:tc>
          <w:tcPr>
            <w:tcW w:w="3456" w:type="dxa"/>
            <w:shd w:val="clear" w:color="auto" w:fill="EAF2F8"/>
            <w:tcMar>
              <w:top w:w="90" w:type="dxa"/>
              <w:left w:w="105" w:type="dxa"/>
              <w:bottom w:w="90" w:type="dxa"/>
              <w:right w:w="105" w:type="dxa"/>
            </w:tcMar>
            <w:vAlign w:val="center"/>
          </w:tcPr>
          <w:p w14:paraId="4798771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تعديل التصميم أو التعليمات</w:t>
            </w:r>
          </w:p>
        </w:tc>
      </w:tr>
      <w:tr w:rsidR="00161B2D" w:rsidRPr="00161B2D" w14:paraId="06F00832" w14:textId="77777777" w:rsidTr="00084470">
        <w:trPr>
          <w:cantSplit/>
          <w:jc w:val="center"/>
        </w:trPr>
        <w:tc>
          <w:tcPr>
            <w:tcW w:w="2880" w:type="dxa"/>
            <w:shd w:val="clear" w:color="auto" w:fill="DCE6F1"/>
            <w:tcMar>
              <w:top w:w="90" w:type="dxa"/>
              <w:left w:w="105" w:type="dxa"/>
              <w:bottom w:w="90" w:type="dxa"/>
              <w:right w:w="105" w:type="dxa"/>
            </w:tcMar>
            <w:vAlign w:val="center"/>
          </w:tcPr>
          <w:p w14:paraId="4FDFD17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الاتساق الداخلي الأولي</w:t>
            </w:r>
          </w:p>
        </w:tc>
        <w:tc>
          <w:tcPr>
            <w:tcW w:w="3456" w:type="dxa"/>
            <w:shd w:val="clear" w:color="auto" w:fill="F7FAFC"/>
            <w:tcMar>
              <w:top w:w="90" w:type="dxa"/>
              <w:left w:w="105" w:type="dxa"/>
              <w:bottom w:w="90" w:type="dxa"/>
              <w:right w:w="105" w:type="dxa"/>
            </w:tcMar>
            <w:vAlign w:val="center"/>
          </w:tcPr>
          <w:p w14:paraId="58740FC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 xml:space="preserve">ألفا كرونباخ ومعامل ارتباط الفقرة بالدرجة </w:t>
            </w:r>
            <w:r w:rsidRPr="00161B2D">
              <w:rPr>
                <w:rFonts w:ascii="Cambria Math" w:eastAsia="Sakkal Majalla" w:hAnsi="Cambria Math" w:cs="Cambria Math" w:hint="cs"/>
                <w:color w:val="1F1F1F"/>
                <w:sz w:val="20"/>
                <w:rtl/>
              </w:rPr>
              <w:t>≥</w:t>
            </w:r>
            <w:r w:rsidRPr="00161B2D">
              <w:rPr>
                <w:rFonts w:ascii="Simplified Arabic" w:eastAsia="Sakkal Majalla" w:hAnsi="Simplified Arabic" w:cs="Simplified Arabic"/>
                <w:color w:val="1F1F1F"/>
                <w:sz w:val="20"/>
                <w:rtl/>
              </w:rPr>
              <w:t xml:space="preserve"> 0.30</w:t>
            </w:r>
          </w:p>
        </w:tc>
        <w:tc>
          <w:tcPr>
            <w:tcW w:w="3456" w:type="dxa"/>
            <w:shd w:val="clear" w:color="auto" w:fill="F7FAFC"/>
            <w:tcMar>
              <w:top w:w="90" w:type="dxa"/>
              <w:left w:w="105" w:type="dxa"/>
              <w:bottom w:w="90" w:type="dxa"/>
              <w:right w:w="105" w:type="dxa"/>
            </w:tcMar>
            <w:vAlign w:val="center"/>
          </w:tcPr>
          <w:p w14:paraId="778D688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مراجعة الفقرات الضعيفة دون قرار آلي بالحذف</w:t>
            </w:r>
          </w:p>
        </w:tc>
      </w:tr>
      <w:tr w:rsidR="00161B2D" w:rsidRPr="00161B2D" w14:paraId="03B924B1" w14:textId="77777777" w:rsidTr="00084470">
        <w:trPr>
          <w:cantSplit/>
          <w:jc w:val="center"/>
        </w:trPr>
        <w:tc>
          <w:tcPr>
            <w:tcW w:w="2880" w:type="dxa"/>
            <w:shd w:val="clear" w:color="auto" w:fill="DCE6F1"/>
            <w:tcMar>
              <w:top w:w="90" w:type="dxa"/>
              <w:left w:w="105" w:type="dxa"/>
              <w:bottom w:w="90" w:type="dxa"/>
              <w:right w:w="105" w:type="dxa"/>
            </w:tcMar>
            <w:vAlign w:val="center"/>
          </w:tcPr>
          <w:p w14:paraId="41771119"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البنية الأولية للمقياسين المطورين</w:t>
            </w:r>
          </w:p>
        </w:tc>
        <w:tc>
          <w:tcPr>
            <w:tcW w:w="3456" w:type="dxa"/>
            <w:shd w:val="clear" w:color="auto" w:fill="EAF2F8"/>
            <w:tcMar>
              <w:top w:w="90" w:type="dxa"/>
              <w:left w:w="105" w:type="dxa"/>
              <w:bottom w:w="90" w:type="dxa"/>
              <w:right w:w="105" w:type="dxa"/>
            </w:tcMar>
            <w:vAlign w:val="center"/>
          </w:tcPr>
          <w:p w14:paraId="0FD7C8FF"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 xml:space="preserve">KMO </w:t>
            </w:r>
            <w:r w:rsidRPr="00161B2D">
              <w:rPr>
                <w:rFonts w:ascii="Cambria Math" w:eastAsia="Sakkal Majalla" w:hAnsi="Cambria Math" w:cs="Cambria Math" w:hint="cs"/>
                <w:color w:val="1F1F1F"/>
                <w:sz w:val="20"/>
                <w:rtl/>
              </w:rPr>
              <w:t>≥</w:t>
            </w:r>
            <w:r w:rsidRPr="00161B2D">
              <w:rPr>
                <w:rFonts w:ascii="Simplified Arabic" w:eastAsia="Sakkal Majalla" w:hAnsi="Simplified Arabic" w:cs="Simplified Arabic"/>
                <w:color w:val="1F1F1F"/>
                <w:sz w:val="20"/>
                <w:rtl/>
              </w:rPr>
              <w:t xml:space="preserve"> 0.60</w:t>
            </w:r>
            <w:r w:rsidRPr="00161B2D">
              <w:rPr>
                <w:rFonts w:ascii="Simplified Arabic" w:eastAsia="Sakkal Majalla" w:hAnsi="Simplified Arabic" w:cs="Simplified Arabic" w:hint="cs"/>
                <w:color w:val="1F1F1F"/>
                <w:sz w:val="20"/>
                <w:rtl/>
              </w:rPr>
              <w:t>؛</w:t>
            </w:r>
            <w:r w:rsidRPr="00161B2D">
              <w:rPr>
                <w:rFonts w:ascii="Simplified Arabic" w:eastAsia="Sakkal Majalla" w:hAnsi="Simplified Arabic" w:cs="Simplified Arabic"/>
                <w:color w:val="1F1F1F"/>
                <w:sz w:val="20"/>
                <w:rtl/>
              </w:rPr>
              <w:t xml:space="preserve"> Bartlett </w:t>
            </w:r>
            <w:r w:rsidRPr="00161B2D">
              <w:rPr>
                <w:rFonts w:ascii="Simplified Arabic" w:eastAsia="Sakkal Majalla" w:hAnsi="Simplified Arabic" w:cs="Simplified Arabic" w:hint="cs"/>
                <w:color w:val="1F1F1F"/>
                <w:sz w:val="20"/>
                <w:rtl/>
              </w:rPr>
              <w:t>دال؛</w:t>
            </w:r>
            <w:r w:rsidRPr="00161B2D">
              <w:rPr>
                <w:rFonts w:ascii="Simplified Arabic" w:eastAsia="Sakkal Majalla" w:hAnsi="Simplified Arabic" w:cs="Simplified Arabic"/>
                <w:color w:val="1F1F1F"/>
                <w:sz w:val="20"/>
                <w:rtl/>
              </w:rPr>
              <w:t xml:space="preserve"> </w:t>
            </w:r>
            <w:r w:rsidRPr="00161B2D">
              <w:rPr>
                <w:rFonts w:ascii="Simplified Arabic" w:eastAsia="Sakkal Majalla" w:hAnsi="Simplified Arabic" w:cs="Simplified Arabic" w:hint="cs"/>
                <w:color w:val="1F1F1F"/>
                <w:sz w:val="20"/>
                <w:rtl/>
              </w:rPr>
              <w:t>تحميلات</w:t>
            </w:r>
            <w:r w:rsidRPr="00161B2D">
              <w:rPr>
                <w:rFonts w:ascii="Simplified Arabic" w:eastAsia="Sakkal Majalla" w:hAnsi="Simplified Arabic" w:cs="Simplified Arabic"/>
                <w:color w:val="1F1F1F"/>
                <w:sz w:val="20"/>
                <w:rtl/>
              </w:rPr>
              <w:t xml:space="preserve"> </w:t>
            </w:r>
            <w:r w:rsidRPr="00161B2D">
              <w:rPr>
                <w:rFonts w:ascii="Simplified Arabic" w:eastAsia="Sakkal Majalla" w:hAnsi="Simplified Arabic" w:cs="Simplified Arabic" w:hint="cs"/>
                <w:color w:val="1F1F1F"/>
                <w:sz w:val="20"/>
                <w:rtl/>
              </w:rPr>
              <w:t>أولية</w:t>
            </w:r>
            <w:r w:rsidRPr="00161B2D">
              <w:rPr>
                <w:rFonts w:ascii="Simplified Arabic" w:eastAsia="Sakkal Majalla" w:hAnsi="Simplified Arabic" w:cs="Simplified Arabic"/>
                <w:color w:val="1F1F1F"/>
                <w:sz w:val="20"/>
                <w:rtl/>
              </w:rPr>
              <w:t xml:space="preserve"> </w:t>
            </w:r>
            <w:r w:rsidRPr="00161B2D">
              <w:rPr>
                <w:rFonts w:ascii="Simplified Arabic" w:eastAsia="Sakkal Majalla" w:hAnsi="Simplified Arabic" w:cs="Simplified Arabic" w:hint="cs"/>
                <w:color w:val="1F1F1F"/>
                <w:sz w:val="20"/>
                <w:rtl/>
              </w:rPr>
              <w:t>مقبولة</w:t>
            </w:r>
          </w:p>
        </w:tc>
        <w:tc>
          <w:tcPr>
            <w:tcW w:w="3456" w:type="dxa"/>
            <w:shd w:val="clear" w:color="auto" w:fill="EAF2F8"/>
            <w:tcMar>
              <w:top w:w="90" w:type="dxa"/>
              <w:left w:w="105" w:type="dxa"/>
              <w:bottom w:w="90" w:type="dxa"/>
              <w:right w:w="105" w:type="dxa"/>
            </w:tcMar>
            <w:vAlign w:val="center"/>
          </w:tcPr>
          <w:p w14:paraId="64469B1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تُعد مؤشرات مبدئية ويعاد التحقق على العينة الأساسية</w:t>
            </w:r>
          </w:p>
        </w:tc>
      </w:tr>
      <w:tr w:rsidR="00161B2D" w:rsidRPr="00161B2D" w14:paraId="22A3E2A1" w14:textId="77777777" w:rsidTr="00084470">
        <w:trPr>
          <w:cantSplit/>
          <w:jc w:val="center"/>
        </w:trPr>
        <w:tc>
          <w:tcPr>
            <w:tcW w:w="2880" w:type="dxa"/>
            <w:shd w:val="clear" w:color="auto" w:fill="DCE6F1"/>
            <w:tcMar>
              <w:top w:w="90" w:type="dxa"/>
              <w:left w:w="105" w:type="dxa"/>
              <w:bottom w:w="90" w:type="dxa"/>
              <w:right w:w="105" w:type="dxa"/>
            </w:tcMar>
            <w:vAlign w:val="center"/>
          </w:tcPr>
          <w:p w14:paraId="70C1518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اللوجستيات ومنع التكرار</w:t>
            </w:r>
          </w:p>
        </w:tc>
        <w:tc>
          <w:tcPr>
            <w:tcW w:w="3456" w:type="dxa"/>
            <w:shd w:val="clear" w:color="auto" w:fill="F7FAFC"/>
            <w:tcMar>
              <w:top w:w="90" w:type="dxa"/>
              <w:left w:w="105" w:type="dxa"/>
              <w:bottom w:w="90" w:type="dxa"/>
              <w:right w:w="105" w:type="dxa"/>
            </w:tcMar>
            <w:vAlign w:val="center"/>
          </w:tcPr>
          <w:p w14:paraId="4361568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نجاح الرمز الأحادي الاستخدام ومسار الاسترجاع</w:t>
            </w:r>
          </w:p>
        </w:tc>
        <w:tc>
          <w:tcPr>
            <w:tcW w:w="3456" w:type="dxa"/>
            <w:shd w:val="clear" w:color="auto" w:fill="F7FAFC"/>
            <w:tcMar>
              <w:top w:w="90" w:type="dxa"/>
              <w:left w:w="105" w:type="dxa"/>
              <w:bottom w:w="90" w:type="dxa"/>
              <w:right w:w="105" w:type="dxa"/>
            </w:tcMar>
            <w:vAlign w:val="center"/>
          </w:tcPr>
          <w:p w14:paraId="084037A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20"/>
                <w:rtl/>
              </w:rPr>
              <w:t>تصحيح الإجراءات قبل الإطلاق النهائي</w:t>
            </w:r>
          </w:p>
        </w:tc>
      </w:tr>
    </w:tbl>
    <w:p w14:paraId="0439EF9E" w14:textId="77777777" w:rsidR="00161B2D" w:rsidRPr="00161B2D" w:rsidRDefault="00161B2D" w:rsidP="00161B2D">
      <w:pPr>
        <w:bidi/>
        <w:spacing w:after="20"/>
        <w:rPr>
          <w:rFonts w:ascii="Simplified Arabic" w:hAnsi="Simplified Arabic" w:cs="Simplified Arabic"/>
        </w:rPr>
      </w:pPr>
    </w:p>
    <w:p w14:paraId="3DAA2B8F" w14:textId="77777777" w:rsidR="00161B2D" w:rsidRPr="00982C12" w:rsidRDefault="00161B2D" w:rsidP="00161B2D">
      <w:pPr>
        <w:pStyle w:val="1"/>
        <w:bidi/>
        <w:spacing w:before="200" w:after="80"/>
        <w:rPr>
          <w:rFonts w:ascii="Simplified Arabic" w:hAnsi="Simplified Arabic" w:cs="Simplified Arabic"/>
          <w:bCs/>
          <w:color w:val="auto"/>
          <w:sz w:val="28"/>
          <w:szCs w:val="28"/>
        </w:rPr>
      </w:pPr>
      <w:r w:rsidRPr="00982C12">
        <w:rPr>
          <w:rFonts w:ascii="Simplified Arabic" w:hAnsi="Simplified Arabic" w:cs="Simplified Arabic"/>
          <w:bCs/>
          <w:color w:val="auto"/>
          <w:sz w:val="28"/>
          <w:szCs w:val="28"/>
          <w:rtl/>
        </w:rPr>
        <w:t>3.8 التحقق من الصدق والثبات</w:t>
      </w:r>
    </w:p>
    <w:p w14:paraId="4455D867" w14:textId="77777777" w:rsidR="00161B2D" w:rsidRPr="00982C12" w:rsidRDefault="00161B2D" w:rsidP="00161B2D">
      <w:pPr>
        <w:pStyle w:val="2"/>
        <w:bidi/>
        <w:spacing w:before="120" w:after="80"/>
        <w:rPr>
          <w:rFonts w:ascii="Simplified Arabic" w:hAnsi="Simplified Arabic" w:cs="Simplified Arabic"/>
          <w:bCs/>
          <w:color w:val="auto"/>
        </w:rPr>
      </w:pPr>
      <w:r w:rsidRPr="00982C12">
        <w:rPr>
          <w:rFonts w:ascii="Simplified Arabic" w:hAnsi="Simplified Arabic" w:cs="Simplified Arabic"/>
          <w:bCs/>
          <w:color w:val="auto"/>
          <w:sz w:val="30"/>
          <w:rtl/>
        </w:rPr>
        <w:t>3.8.1 التحليل العاملي الاستكشافي</w:t>
      </w:r>
    </w:p>
    <w:p w14:paraId="2C5BBDE3" w14:textId="5857C88D" w:rsidR="00161B2D" w:rsidRPr="00801F11" w:rsidRDefault="00982C12" w:rsidP="00801F11">
      <w:pPr>
        <w:bidi/>
        <w:spacing w:after="100" w:line="324" w:lineRule="auto"/>
        <w:jc w:val="both"/>
        <w:rPr>
          <w:rFonts w:ascii="Simplified Arabic" w:hAnsi="Simplified Arabic" w:cs="Simplified Arabic"/>
          <w:sz w:val="24"/>
          <w:szCs w:val="24"/>
        </w:rPr>
      </w:pPr>
      <w:r>
        <w:rPr>
          <w:rFonts w:ascii="Simplified Arabic" w:hAnsi="Simplified Arabic" w:cs="Simplified Arabic"/>
          <w:sz w:val="24"/>
          <w:szCs w:val="24"/>
          <w:rtl/>
        </w:rPr>
        <w:t xml:space="preserve">سيُستخدم التحليل العاملي الاستكشافي للمقياسين المطورين، مع تفضيل طريقة المحاور الرئيسية والتدوير المائل؛ لأن أبعاد السلوكيات التنظيمية يُتوقع أن تكون مترابطة. ويُفحص </w:t>
      </w:r>
      <w:r>
        <w:rPr>
          <w:rFonts w:ascii="Simplified Arabic" w:hAnsi="Simplified Arabic" w:cs="Simplified Arabic"/>
          <w:sz w:val="24"/>
          <w:szCs w:val="24"/>
        </w:rPr>
        <w:t>KMO</w:t>
      </w:r>
      <w:r>
        <w:rPr>
          <w:rFonts w:ascii="Simplified Arabic" w:hAnsi="Simplified Arabic" w:cs="Simplified Arabic"/>
          <w:sz w:val="24"/>
          <w:szCs w:val="24"/>
          <w:rtl/>
        </w:rPr>
        <w:t xml:space="preserve"> واختبار </w:t>
      </w:r>
      <w:r>
        <w:rPr>
          <w:rFonts w:ascii="Simplified Arabic" w:hAnsi="Simplified Arabic" w:cs="Simplified Arabic"/>
          <w:sz w:val="24"/>
          <w:szCs w:val="24"/>
        </w:rPr>
        <w:t>Bartlett</w:t>
      </w:r>
      <w:r>
        <w:rPr>
          <w:rFonts w:ascii="Simplified Arabic" w:hAnsi="Simplified Arabic" w:cs="Simplified Arabic"/>
          <w:sz w:val="24"/>
          <w:szCs w:val="24"/>
          <w:rtl/>
        </w:rPr>
        <w:t>، والتشبعات العاملية، والشيوعيات، والتشبعات المتقاطعة.</w:t>
      </w:r>
      <w:r w:rsidRPr="007B3AAC">
        <w:rPr>
          <w:rFonts w:ascii="Simplified Arabic" w:hAnsi="Simplified Arabic" w:cs="Simplified Arabic"/>
          <w:sz w:val="24"/>
          <w:szCs w:val="24"/>
          <w:rtl/>
        </w:rPr>
        <w:t xml:space="preserve"> </w:t>
      </w:r>
      <w:r w:rsidR="007B3AAC" w:rsidRPr="007B3AAC">
        <w:rPr>
          <w:rFonts w:ascii="Simplified Arabic" w:eastAsia="Arial" w:hAnsi="Simplified Arabic" w:cs="Simplified Arabic"/>
          <w:color w:val="000000"/>
          <w:sz w:val="24"/>
          <w:szCs w:val="24"/>
          <w:rtl/>
        </w:rPr>
        <w:t xml:space="preserve">ولن تُحذف أي فقرة اعتمادًا على مؤشر واحد. وتُراجَع الفقرة إذا قل تشبعها المعياري عن 0.40، أو قلت شيوعيتها عن 0.30، أو تجاوز تشبعها المتقاطع 0.32 على عامل آخر. ولا تُحذف إلا باجتماع مؤشرين على الأقل مع مسوغ من صدق المحتوى، ويُوثَّق سبب الحذف وأثره في معاملات الثبات وفي تغطية البعد </w:t>
      </w:r>
      <w:r w:rsidR="007B3AAC" w:rsidRPr="007B3AAC">
        <w:rPr>
          <w:rFonts w:ascii="Simplified Arabic" w:hAnsi="Simplified Arabic" w:cs="Simplified Arabic"/>
          <w:sz w:val="24"/>
          <w:szCs w:val="24"/>
          <w:rtl/>
        </w:rPr>
        <w:t>لمحتواه</w:t>
      </w:r>
      <w:r w:rsidRPr="007B3AAC">
        <w:rPr>
          <w:rFonts w:ascii="Simplified Arabic" w:hAnsi="Simplified Arabic" w:cs="Simplified Arabic"/>
          <w:sz w:val="24"/>
          <w:szCs w:val="24"/>
          <w:rtl/>
        </w:rPr>
        <w:t>.</w:t>
      </w:r>
    </w:p>
    <w:p w14:paraId="56907878" w14:textId="77777777" w:rsidR="00161B2D" w:rsidRPr="00982C12" w:rsidRDefault="00161B2D" w:rsidP="00161B2D">
      <w:pPr>
        <w:pStyle w:val="2"/>
        <w:bidi/>
        <w:spacing w:before="120" w:after="80"/>
        <w:rPr>
          <w:rFonts w:ascii="Simplified Arabic" w:hAnsi="Simplified Arabic" w:cs="Simplified Arabic"/>
          <w:bCs/>
          <w:color w:val="auto"/>
        </w:rPr>
      </w:pPr>
      <w:r w:rsidRPr="00982C12">
        <w:rPr>
          <w:rFonts w:ascii="Simplified Arabic" w:hAnsi="Simplified Arabic" w:cs="Simplified Arabic"/>
          <w:bCs/>
          <w:color w:val="auto"/>
          <w:sz w:val="30"/>
          <w:rtl/>
        </w:rPr>
        <w:t>3.8.2 التحليل العاملي التوكيدي ونموذج القياس</w:t>
      </w:r>
    </w:p>
    <w:p w14:paraId="7F6A669C" w14:textId="3F6CB6CB" w:rsidR="00161B2D" w:rsidRPr="00161B2D" w:rsidRDefault="00982C12" w:rsidP="00801F11">
      <w:pPr>
        <w:bidi/>
        <w:spacing w:after="100" w:line="324" w:lineRule="auto"/>
        <w:jc w:val="both"/>
        <w:rPr>
          <w:rFonts w:ascii="Simplified Arabic" w:hAnsi="Simplified Arabic" w:cs="Simplified Arabic"/>
        </w:rPr>
      </w:pPr>
      <w:r>
        <w:rPr>
          <w:rFonts w:ascii="Simplified Arabic" w:eastAsia="Simplified Arabic" w:hAnsi="Simplified Arabic" w:cs="Simplified Arabic"/>
          <w:sz w:val="28"/>
          <w:rtl/>
        </w:rPr>
        <w:t xml:space="preserve">سيُجرى التحليل العاملي التوكيدي لجميع المقاييس باستخدام </w:t>
      </w:r>
      <w:r>
        <w:rPr>
          <w:rFonts w:ascii="Simplified Arabic" w:eastAsia="Simplified Arabic" w:hAnsi="Simplified Arabic" w:cs="Simplified Arabic"/>
          <w:sz w:val="28"/>
        </w:rPr>
        <w:t>AMOS</w:t>
      </w:r>
      <w:r>
        <w:rPr>
          <w:rFonts w:ascii="Simplified Arabic" w:eastAsia="Simplified Arabic" w:hAnsi="Simplified Arabic" w:cs="Simplified Arabic"/>
          <w:sz w:val="28"/>
          <w:rtl/>
        </w:rPr>
        <w:t xml:space="preserve">. وستُمثَّل القيادة التحويلية باعتبارها بناءً انعكاسيًا من الرتبة الثانية يتكون من ستة عوامل من الرتبة الأولى، وتمثل ثقافة سلامة المرضى بناءً انعكاسيًا من الرتبة الثانية يتكون من أربعة عوامل، وتمثل سلوكيات السلامة </w:t>
      </w:r>
      <w:r>
        <w:rPr>
          <w:rFonts w:ascii="Simplified Arabic" w:eastAsia="Simplified Arabic" w:hAnsi="Simplified Arabic" w:cs="Simplified Arabic"/>
          <w:sz w:val="28"/>
          <w:rtl/>
        </w:rPr>
        <w:lastRenderedPageBreak/>
        <w:t>بناءً انعكاسيًا من الرتبة الثانية يتكون من بعدي الامتثال والمشاركة، بينما يمثل التقليل المُدرَك للأحداث الضارة بناءً أحادي البعد من الرتبة الأولى. وسيُقارن نموذج العوامل المترابطة من الرتبة الأولى بالنموذج الأعلى رتبة، ويُعتمد النموذج الأكثر اتساقًا نظريًا وقبولًا إحصائيًا. ثم يُختبر نموذج القياس الكلي قبل الانتقال إلى النموذج الهيكلي، مع فحص الصدق التقاربي والتمييزي والموثوقية المركبة.</w:t>
      </w:r>
    </w:p>
    <w:p w14:paraId="2FEF78C4" w14:textId="77777777" w:rsidR="00161B2D" w:rsidRPr="00982C12" w:rsidRDefault="00161B2D" w:rsidP="00161B2D">
      <w:pPr>
        <w:pStyle w:val="2"/>
        <w:bidi/>
        <w:spacing w:before="120" w:after="80"/>
        <w:rPr>
          <w:rFonts w:ascii="Simplified Arabic" w:hAnsi="Simplified Arabic" w:cs="Simplified Arabic"/>
          <w:bCs/>
          <w:color w:val="auto"/>
        </w:rPr>
      </w:pPr>
      <w:r w:rsidRPr="00982C12">
        <w:rPr>
          <w:rFonts w:ascii="Simplified Arabic" w:hAnsi="Simplified Arabic" w:cs="Simplified Arabic"/>
          <w:bCs/>
          <w:color w:val="auto"/>
          <w:sz w:val="30"/>
          <w:rtl/>
        </w:rPr>
        <w:t>3.8.3 الثبات</w:t>
      </w:r>
    </w:p>
    <w:p w14:paraId="10F8C80E" w14:textId="5105FCB5" w:rsidR="00161B2D" w:rsidRPr="005C54EA" w:rsidRDefault="00161B2D" w:rsidP="00E84568">
      <w:pPr>
        <w:bidi/>
        <w:jc w:val="both"/>
        <w:rPr>
          <w:rFonts w:ascii="Simplified Arabic" w:hAnsi="Simplified Arabic" w:cs="Simplified Arabic"/>
          <w:sz w:val="24"/>
          <w:szCs w:val="24"/>
        </w:rPr>
      </w:pPr>
      <w:r w:rsidRPr="005C54EA">
        <w:rPr>
          <w:rFonts w:ascii="Simplified Arabic" w:hAnsi="Simplified Arabic" w:cs="Simplified Arabic"/>
          <w:sz w:val="24"/>
          <w:szCs w:val="24"/>
          <w:rtl/>
        </w:rPr>
        <w:t xml:space="preserve">سيُحسب معامل ألفا كرونباخ والموثوقية المركبة لكل بعد ولكل مقياس. وتُعد قيمة 0.70 فأعلى مقبولة بصورة عامة، مع الانتباه إلى أن القيم المرتفعة جدًا قد تشير إلى تكرار مضمون الفقرات. </w:t>
      </w:r>
      <w:r w:rsidR="00E84568" w:rsidRPr="004A01B0">
        <w:rPr>
          <w:rFonts w:ascii="Simplified Arabic" w:eastAsia="Arial" w:hAnsi="Simplified Arabic" w:cs="Simplified Arabic"/>
          <w:color w:val="000000"/>
          <w:sz w:val="24"/>
          <w:szCs w:val="24"/>
          <w:rtl/>
        </w:rPr>
        <w:t>في البند 3.8.3: وستُعرض القيم الفعلية وحدود الثقة ومبررات أي تعديل في الفصل الرابع لا في فصل المنهجية</w:t>
      </w:r>
      <w:r w:rsidR="00E84568" w:rsidRPr="004A01B0">
        <w:rPr>
          <w:rFonts w:ascii="Simplified Arabic" w:hAnsi="Simplified Arabic" w:cs="Simplified Arabic"/>
          <w:color w:val="000000"/>
          <w:sz w:val="24"/>
          <w:szCs w:val="24"/>
          <w:rtl/>
        </w:rPr>
        <w:t xml:space="preserve"> </w:t>
      </w:r>
      <w:r w:rsidR="00E84568" w:rsidRPr="004A01B0">
        <w:rPr>
          <w:rFonts w:ascii="Simplified Arabic" w:eastAsia="Arial" w:hAnsi="Simplified Arabic" w:cs="Simplified Arabic"/>
          <w:color w:val="000000"/>
          <w:sz w:val="24"/>
          <w:szCs w:val="24"/>
          <w:rtl/>
        </w:rPr>
        <w:t>وفي جدول (3-4)، خانة الغرض بصف HTMT: الصدق التمييزي بين البُنى الكامنة</w:t>
      </w:r>
      <w:r w:rsidR="00E84568">
        <w:rPr>
          <w:rFonts w:ascii="Simplified Arabic" w:eastAsia="Arial" w:hAnsi="Simplified Arabic" w:cs="Simplified Arabic" w:hint="cs"/>
          <w:color w:val="000000"/>
          <w:sz w:val="24"/>
          <w:szCs w:val="24"/>
          <w:rtl/>
        </w:rPr>
        <w:t xml:space="preserve"> </w:t>
      </w:r>
      <w:r w:rsidR="005C54EA" w:rsidRPr="005C54EA">
        <w:rPr>
          <w:rFonts w:ascii="Simplified Arabic" w:hAnsi="Simplified Arabic" w:cs="Simplified Arabic"/>
          <w:sz w:val="24"/>
          <w:szCs w:val="24"/>
          <w:rtl/>
        </w:rPr>
        <w:fldChar w:fldCharType="begin"/>
      </w:r>
      <w:r w:rsidR="005C54EA" w:rsidRPr="005C54EA">
        <w:rPr>
          <w:rFonts w:ascii="Simplified Arabic" w:hAnsi="Simplified Arabic" w:cs="Simplified Arabic"/>
          <w:sz w:val="24"/>
          <w:szCs w:val="24"/>
          <w:rtl/>
        </w:rPr>
        <w:instrText xml:space="preserve"> </w:instrText>
      </w:r>
      <w:r w:rsidR="005C54EA" w:rsidRPr="005C54EA">
        <w:rPr>
          <w:rFonts w:ascii="Simplified Arabic" w:hAnsi="Simplified Arabic" w:cs="Simplified Arabic"/>
          <w:sz w:val="24"/>
          <w:szCs w:val="24"/>
        </w:rPr>
        <w:instrText>ADDIN EN.CITE &lt;EndNote&gt;&lt;Cite&gt;&lt;Author&gt;Henseler&lt;/Author&gt;&lt;Year&gt;2014&lt;/Year&gt;&lt;RecNum&gt;284&lt;/RecNum&gt;&lt;DisplayText&gt;(Henseler et al., 2014)&lt;/DisplayText&gt;&lt;record&gt;&lt;rec-number&gt;284&lt;/rec-number&gt;&lt;foreign-keys&gt;&lt;key app="EN" db-id="02retxxrerxdxhe9aphvs0z2t9z25p0ew99s" timestamp="1786121379"&gt;284&lt;/key&gt;&lt;/foreign-keys&gt;&lt;ref-type name="Journal Article"&gt;17&lt;/ref-type&gt;&lt;contributors&gt;&lt;authors&gt;&lt;author&gt;Henseler, Jörg&lt;/author&gt;&lt;author&gt;Ringle, Christian M.&lt;/author&gt;&lt;author&gt;Sarstedt, Marko&lt;/author&gt;&lt;/authors&gt;&lt;/contributors&gt;&lt;titles&gt;&lt;title&gt;A new criterion for assessing discriminant validity in variance-based structural equation modeling&lt;/title&gt;&lt;secondary-title&gt;Journal of the Academy of Marketing Science&lt;/secondary-title&gt;&lt;/titles&gt;&lt;periodical&gt;&lt;full-title&gt;Journal of the Academy of Marketing Science&lt;/full-title&gt;&lt;/periodical&gt;&lt;pages&gt;115-135&lt;/pages&gt;&lt;volume&gt;43&lt;/volume&gt;&lt;number&gt;1&lt;/number&gt;&lt;section&gt;115&lt;/section&gt;&lt;dates&gt;&lt;year&gt;2014&lt;/year&gt;&lt;pub-dates&gt;&lt;date&gt;08/22&lt;/date&gt;&lt;/pub-dates&gt;&lt;/dates&gt;&lt;isbn&gt;0092-0703&amp;#xD;1552-7824&lt;/isbn&gt;&lt;urls&gt;&lt;/urls&gt;&lt;electronic-resource-num</w:instrText>
      </w:r>
      <w:r w:rsidR="005C54EA" w:rsidRPr="005C54EA">
        <w:rPr>
          <w:rFonts w:ascii="Simplified Arabic" w:hAnsi="Simplified Arabic" w:cs="Simplified Arabic"/>
          <w:sz w:val="24"/>
          <w:szCs w:val="24"/>
          <w:rtl/>
        </w:rPr>
        <w:instrText>&gt;10.1007/</w:instrText>
      </w:r>
      <w:r w:rsidR="005C54EA" w:rsidRPr="005C54EA">
        <w:rPr>
          <w:rFonts w:ascii="Simplified Arabic" w:hAnsi="Simplified Arabic" w:cs="Simplified Arabic"/>
          <w:sz w:val="24"/>
          <w:szCs w:val="24"/>
        </w:rPr>
        <w:instrText>s11747-014-0403-8&lt;/electronic-resource-num&gt;&lt;/record&gt;&lt;/Cite&gt;&lt;/EndNote</w:instrText>
      </w:r>
      <w:r w:rsidR="005C54EA" w:rsidRPr="005C54EA">
        <w:rPr>
          <w:rFonts w:ascii="Simplified Arabic" w:hAnsi="Simplified Arabic" w:cs="Simplified Arabic"/>
          <w:sz w:val="24"/>
          <w:szCs w:val="24"/>
          <w:rtl/>
        </w:rPr>
        <w:instrText>&gt;</w:instrText>
      </w:r>
      <w:r w:rsidR="005C54EA" w:rsidRPr="005C54EA">
        <w:rPr>
          <w:rFonts w:ascii="Simplified Arabic" w:hAnsi="Simplified Arabic" w:cs="Simplified Arabic"/>
          <w:sz w:val="24"/>
          <w:szCs w:val="24"/>
          <w:rtl/>
        </w:rPr>
        <w:fldChar w:fldCharType="separate"/>
      </w:r>
      <w:r w:rsidR="005C54EA" w:rsidRPr="005C54EA">
        <w:rPr>
          <w:rFonts w:ascii="Simplified Arabic" w:hAnsi="Simplified Arabic" w:cs="Simplified Arabic"/>
          <w:noProof/>
          <w:sz w:val="24"/>
          <w:szCs w:val="24"/>
          <w:rtl/>
        </w:rPr>
        <w:t>(</w:t>
      </w:r>
      <w:r w:rsidR="005C54EA" w:rsidRPr="005C54EA">
        <w:rPr>
          <w:rFonts w:ascii="Simplified Arabic" w:hAnsi="Simplified Arabic" w:cs="Simplified Arabic"/>
          <w:noProof/>
          <w:sz w:val="24"/>
          <w:szCs w:val="24"/>
        </w:rPr>
        <w:t>Henseler et al., 2014</w:t>
      </w:r>
      <w:r w:rsidR="005C54EA" w:rsidRPr="005C54EA">
        <w:rPr>
          <w:rFonts w:ascii="Simplified Arabic" w:hAnsi="Simplified Arabic" w:cs="Simplified Arabic"/>
          <w:noProof/>
          <w:sz w:val="24"/>
          <w:szCs w:val="24"/>
          <w:rtl/>
        </w:rPr>
        <w:t>)</w:t>
      </w:r>
      <w:r w:rsidR="005C54EA" w:rsidRPr="005C54EA">
        <w:rPr>
          <w:rFonts w:ascii="Simplified Arabic" w:hAnsi="Simplified Arabic" w:cs="Simplified Arabic"/>
          <w:sz w:val="24"/>
          <w:szCs w:val="24"/>
          <w:rtl/>
        </w:rPr>
        <w:fldChar w:fldCharType="end"/>
      </w:r>
      <w:r w:rsidRPr="005C54EA">
        <w:rPr>
          <w:rFonts w:ascii="Simplified Arabic" w:hAnsi="Simplified Arabic" w:cs="Simplified Arabic"/>
          <w:sz w:val="24"/>
          <w:szCs w:val="24"/>
          <w:rtl/>
        </w:rPr>
        <w:t>.</w:t>
      </w:r>
    </w:p>
    <w:p w14:paraId="331F7430"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(3-4): معايير التحقق من جودة أدوات القياس</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901"/>
        <w:gridCol w:w="3772"/>
        <w:gridCol w:w="3191"/>
      </w:tblGrid>
      <w:tr w:rsidR="00161B2D" w:rsidRPr="00161B2D" w14:paraId="3DC4336A" w14:textId="77777777" w:rsidTr="00084470">
        <w:trPr>
          <w:cantSplit/>
          <w:tblHeader/>
          <w:jc w:val="center"/>
        </w:trPr>
        <w:tc>
          <w:tcPr>
            <w:tcW w:w="2880"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58B92AA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المؤشر</w:t>
            </w:r>
          </w:p>
        </w:tc>
        <w:tc>
          <w:tcPr>
            <w:tcW w:w="3744"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52A5507B"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معيار القبول الإرشادي</w:t>
            </w:r>
          </w:p>
        </w:tc>
        <w:tc>
          <w:tcPr>
            <w:tcW w:w="3168"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2B0D7167"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الغرض</w:t>
            </w:r>
          </w:p>
        </w:tc>
      </w:tr>
      <w:tr w:rsidR="00161B2D" w:rsidRPr="00161B2D" w14:paraId="1B6C1600" w14:textId="77777777" w:rsidTr="00084470">
        <w:trPr>
          <w:cantSplit/>
          <w:jc w:val="center"/>
        </w:trPr>
        <w:tc>
          <w:tcPr>
            <w:tcW w:w="2880" w:type="dxa"/>
            <w:shd w:val="clear" w:color="auto" w:fill="DCE6F1"/>
            <w:tcMar>
              <w:top w:w="90" w:type="dxa"/>
              <w:left w:w="105" w:type="dxa"/>
              <w:bottom w:w="90" w:type="dxa"/>
              <w:right w:w="105" w:type="dxa"/>
            </w:tcMar>
            <w:vAlign w:val="center"/>
          </w:tcPr>
          <w:p w14:paraId="2AF54FC9"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التشبعات العاملية المعيارية</w:t>
            </w:r>
          </w:p>
        </w:tc>
        <w:tc>
          <w:tcPr>
            <w:tcW w:w="3744" w:type="dxa"/>
            <w:shd w:val="clear" w:color="auto" w:fill="EAF2F8"/>
            <w:tcMar>
              <w:top w:w="90" w:type="dxa"/>
              <w:left w:w="105" w:type="dxa"/>
              <w:bottom w:w="90" w:type="dxa"/>
              <w:right w:w="105" w:type="dxa"/>
            </w:tcMar>
            <w:vAlign w:val="center"/>
          </w:tcPr>
          <w:p w14:paraId="2002A98A"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0.50 فأعلى</w:t>
            </w:r>
          </w:p>
        </w:tc>
        <w:tc>
          <w:tcPr>
            <w:tcW w:w="3168" w:type="dxa"/>
            <w:shd w:val="clear" w:color="auto" w:fill="EAF2F8"/>
            <w:tcMar>
              <w:top w:w="90" w:type="dxa"/>
              <w:left w:w="105" w:type="dxa"/>
              <w:bottom w:w="90" w:type="dxa"/>
              <w:right w:w="105" w:type="dxa"/>
            </w:tcMar>
            <w:vAlign w:val="center"/>
          </w:tcPr>
          <w:p w14:paraId="212ECC9B"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الصدق التقاربي وجودة تمثيل الفقرة</w:t>
            </w:r>
          </w:p>
        </w:tc>
      </w:tr>
      <w:tr w:rsidR="00161B2D" w:rsidRPr="00161B2D" w14:paraId="29814BF2" w14:textId="77777777" w:rsidTr="00084470">
        <w:trPr>
          <w:cantSplit/>
          <w:jc w:val="center"/>
        </w:trPr>
        <w:tc>
          <w:tcPr>
            <w:tcW w:w="2880" w:type="dxa"/>
            <w:shd w:val="clear" w:color="auto" w:fill="DCE6F1"/>
            <w:tcMar>
              <w:top w:w="90" w:type="dxa"/>
              <w:left w:w="105" w:type="dxa"/>
              <w:bottom w:w="90" w:type="dxa"/>
              <w:right w:w="105" w:type="dxa"/>
            </w:tcMar>
            <w:vAlign w:val="center"/>
          </w:tcPr>
          <w:p w14:paraId="1C94C09D"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الموثوقية المركبة (CR)</w:t>
            </w:r>
          </w:p>
        </w:tc>
        <w:tc>
          <w:tcPr>
            <w:tcW w:w="3744" w:type="dxa"/>
            <w:shd w:val="clear" w:color="auto" w:fill="F7FAFC"/>
            <w:tcMar>
              <w:top w:w="90" w:type="dxa"/>
              <w:left w:w="105" w:type="dxa"/>
              <w:bottom w:w="90" w:type="dxa"/>
              <w:right w:w="105" w:type="dxa"/>
            </w:tcMar>
            <w:vAlign w:val="center"/>
          </w:tcPr>
          <w:p w14:paraId="11AE0CDF"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0.70 فأعلى</w:t>
            </w:r>
          </w:p>
        </w:tc>
        <w:tc>
          <w:tcPr>
            <w:tcW w:w="3168" w:type="dxa"/>
            <w:shd w:val="clear" w:color="auto" w:fill="F7FAFC"/>
            <w:tcMar>
              <w:top w:w="90" w:type="dxa"/>
              <w:left w:w="105" w:type="dxa"/>
              <w:bottom w:w="90" w:type="dxa"/>
              <w:right w:w="105" w:type="dxa"/>
            </w:tcMar>
            <w:vAlign w:val="center"/>
          </w:tcPr>
          <w:p w14:paraId="5D308593"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ثبات البناء الكامن</w:t>
            </w:r>
          </w:p>
        </w:tc>
      </w:tr>
      <w:tr w:rsidR="00161B2D" w:rsidRPr="00161B2D" w14:paraId="1645D4E2" w14:textId="77777777" w:rsidTr="00084470">
        <w:trPr>
          <w:cantSplit/>
          <w:jc w:val="center"/>
        </w:trPr>
        <w:tc>
          <w:tcPr>
            <w:tcW w:w="2880" w:type="dxa"/>
            <w:shd w:val="clear" w:color="auto" w:fill="DCE6F1"/>
            <w:tcMar>
              <w:top w:w="90" w:type="dxa"/>
              <w:left w:w="105" w:type="dxa"/>
              <w:bottom w:w="90" w:type="dxa"/>
              <w:right w:w="105" w:type="dxa"/>
            </w:tcMar>
            <w:vAlign w:val="center"/>
          </w:tcPr>
          <w:p w14:paraId="604B39D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متوسط التباين المستخلص (AVE)</w:t>
            </w:r>
          </w:p>
        </w:tc>
        <w:tc>
          <w:tcPr>
            <w:tcW w:w="3744" w:type="dxa"/>
            <w:shd w:val="clear" w:color="auto" w:fill="EAF2F8"/>
            <w:tcMar>
              <w:top w:w="90" w:type="dxa"/>
              <w:left w:w="105" w:type="dxa"/>
              <w:bottom w:w="90" w:type="dxa"/>
              <w:right w:w="105" w:type="dxa"/>
            </w:tcMar>
            <w:vAlign w:val="center"/>
          </w:tcPr>
          <w:p w14:paraId="40F6A60D"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0.50 فأعلى</w:t>
            </w:r>
          </w:p>
        </w:tc>
        <w:tc>
          <w:tcPr>
            <w:tcW w:w="3168" w:type="dxa"/>
            <w:shd w:val="clear" w:color="auto" w:fill="EAF2F8"/>
            <w:tcMar>
              <w:top w:w="90" w:type="dxa"/>
              <w:left w:w="105" w:type="dxa"/>
              <w:bottom w:w="90" w:type="dxa"/>
              <w:right w:w="105" w:type="dxa"/>
            </w:tcMar>
            <w:vAlign w:val="center"/>
          </w:tcPr>
          <w:p w14:paraId="514D1C5C"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الصدق التقاربي</w:t>
            </w:r>
          </w:p>
        </w:tc>
      </w:tr>
      <w:tr w:rsidR="00161B2D" w:rsidRPr="00161B2D" w14:paraId="28B59213" w14:textId="77777777" w:rsidTr="00084470">
        <w:trPr>
          <w:cantSplit/>
          <w:jc w:val="center"/>
        </w:trPr>
        <w:tc>
          <w:tcPr>
            <w:tcW w:w="2880" w:type="dxa"/>
            <w:shd w:val="clear" w:color="auto" w:fill="DCE6F1"/>
            <w:tcMar>
              <w:top w:w="90" w:type="dxa"/>
              <w:left w:w="105" w:type="dxa"/>
              <w:bottom w:w="90" w:type="dxa"/>
              <w:right w:w="105" w:type="dxa"/>
            </w:tcMar>
            <w:vAlign w:val="center"/>
          </w:tcPr>
          <w:p w14:paraId="1004A55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ألفا كرونباخ</w:t>
            </w:r>
          </w:p>
        </w:tc>
        <w:tc>
          <w:tcPr>
            <w:tcW w:w="3744" w:type="dxa"/>
            <w:shd w:val="clear" w:color="auto" w:fill="F7FAFC"/>
            <w:tcMar>
              <w:top w:w="90" w:type="dxa"/>
              <w:left w:w="105" w:type="dxa"/>
              <w:bottom w:w="90" w:type="dxa"/>
              <w:right w:w="105" w:type="dxa"/>
            </w:tcMar>
            <w:vAlign w:val="center"/>
          </w:tcPr>
          <w:p w14:paraId="1D46C548"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0.70 فأعلى</w:t>
            </w:r>
          </w:p>
        </w:tc>
        <w:tc>
          <w:tcPr>
            <w:tcW w:w="3168" w:type="dxa"/>
            <w:shd w:val="clear" w:color="auto" w:fill="F7FAFC"/>
            <w:tcMar>
              <w:top w:w="90" w:type="dxa"/>
              <w:left w:w="105" w:type="dxa"/>
              <w:bottom w:w="90" w:type="dxa"/>
              <w:right w:w="105" w:type="dxa"/>
            </w:tcMar>
            <w:vAlign w:val="center"/>
          </w:tcPr>
          <w:p w14:paraId="3F0B1F1E"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الاتساق الداخلي</w:t>
            </w:r>
          </w:p>
        </w:tc>
      </w:tr>
      <w:tr w:rsidR="00161B2D" w:rsidRPr="00161B2D" w14:paraId="2554F866" w14:textId="77777777" w:rsidTr="00084470">
        <w:trPr>
          <w:cantSplit/>
          <w:jc w:val="center"/>
        </w:trPr>
        <w:tc>
          <w:tcPr>
            <w:tcW w:w="2880" w:type="dxa"/>
            <w:shd w:val="clear" w:color="auto" w:fill="DCE6F1"/>
            <w:tcMar>
              <w:top w:w="90" w:type="dxa"/>
              <w:left w:w="105" w:type="dxa"/>
              <w:bottom w:w="90" w:type="dxa"/>
              <w:right w:w="105" w:type="dxa"/>
            </w:tcMar>
            <w:vAlign w:val="center"/>
          </w:tcPr>
          <w:p w14:paraId="58B1A40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Fornell–Larcker</w:t>
            </w:r>
          </w:p>
        </w:tc>
        <w:tc>
          <w:tcPr>
            <w:tcW w:w="3744" w:type="dxa"/>
            <w:shd w:val="clear" w:color="auto" w:fill="EAF2F8"/>
            <w:tcMar>
              <w:top w:w="90" w:type="dxa"/>
              <w:left w:w="105" w:type="dxa"/>
              <w:bottom w:w="90" w:type="dxa"/>
              <w:right w:w="105" w:type="dxa"/>
            </w:tcMar>
            <w:vAlign w:val="center"/>
          </w:tcPr>
          <w:p w14:paraId="31EE0160"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الجذر التربيعي لـAVE أكبر من الارتباطات البينية</w:t>
            </w:r>
          </w:p>
        </w:tc>
        <w:tc>
          <w:tcPr>
            <w:tcW w:w="3168" w:type="dxa"/>
            <w:shd w:val="clear" w:color="auto" w:fill="EAF2F8"/>
            <w:tcMar>
              <w:top w:w="90" w:type="dxa"/>
              <w:left w:w="105" w:type="dxa"/>
              <w:bottom w:w="90" w:type="dxa"/>
              <w:right w:w="105" w:type="dxa"/>
            </w:tcMar>
            <w:vAlign w:val="center"/>
          </w:tcPr>
          <w:p w14:paraId="0BF77A07" w14:textId="77777777" w:rsidR="003D0EAB" w:rsidRDefault="00161B2D" w:rsidP="00801F11">
            <w:pPr>
              <w:keepLines/>
              <w:bidi/>
              <w:spacing w:after="0" w:line="240" w:lineRule="auto"/>
              <w:jc w:val="center"/>
              <w:rPr>
                <w:rFonts w:ascii="Simplified Arabic" w:eastAsia="Sakkal Majalla" w:hAnsi="Simplified Arabic" w:cs="Simplified Arabic"/>
                <w:color w:val="1F1F1F"/>
                <w:sz w:val="20"/>
                <w:rtl/>
              </w:rPr>
            </w:pPr>
            <w:r w:rsidRPr="00161B2D">
              <w:rPr>
                <w:rFonts w:ascii="Simplified Arabic" w:eastAsia="Sakkal Majalla" w:hAnsi="Simplified Arabic" w:cs="Simplified Arabic"/>
                <w:color w:val="1F1F1F"/>
                <w:sz w:val="20"/>
                <w:rtl/>
              </w:rPr>
              <w:t>الصدق التمييزي</w:t>
            </w:r>
          </w:p>
          <w:p w14:paraId="12B78423" w14:textId="41C70AD6" w:rsidR="00161B2D" w:rsidRPr="003D0EAB" w:rsidRDefault="003D0EAB" w:rsidP="003D0EAB">
            <w:pPr>
              <w:keepLines/>
              <w:bidi/>
              <w:spacing w:after="0" w:line="240" w:lineRule="auto"/>
              <w:jc w:val="center"/>
              <w:rPr>
                <w:rFonts w:ascii="Simplified Arabic" w:hAnsi="Simplified Arabic" w:cs="Simplified Arabic"/>
                <w:sz w:val="20"/>
                <w:szCs w:val="20"/>
              </w:rPr>
            </w:pPr>
            <w:r w:rsidRPr="003D0EAB">
              <w:rPr>
                <w:rFonts w:ascii="Simplified Arabic" w:hAnsi="Simplified Arabic" w:cs="Simplified Arabic" w:hint="cs"/>
                <w:sz w:val="20"/>
                <w:szCs w:val="20"/>
                <w:rtl/>
              </w:rPr>
              <w:t xml:space="preserve"> </w:t>
            </w:r>
            <w:r w:rsidRPr="003D0EAB">
              <w:rPr>
                <w:rFonts w:ascii="Simplified Arabic" w:eastAsia="Arial" w:hAnsi="Simplified Arabic" w:cs="Simplified Arabic"/>
                <w:color w:val="000000"/>
                <w:sz w:val="20"/>
                <w:szCs w:val="20"/>
                <w:rtl/>
              </w:rPr>
              <w:t xml:space="preserve">Fornell &amp; Larcker (1981) </w:t>
            </w:r>
          </w:p>
        </w:tc>
      </w:tr>
      <w:tr w:rsidR="00161B2D" w:rsidRPr="00161B2D" w14:paraId="048E625F" w14:textId="77777777" w:rsidTr="00084470">
        <w:trPr>
          <w:cantSplit/>
          <w:jc w:val="center"/>
        </w:trPr>
        <w:tc>
          <w:tcPr>
            <w:tcW w:w="2880" w:type="dxa"/>
            <w:shd w:val="clear" w:color="auto" w:fill="DCE6F1"/>
            <w:tcMar>
              <w:top w:w="90" w:type="dxa"/>
              <w:left w:w="105" w:type="dxa"/>
              <w:bottom w:w="90" w:type="dxa"/>
              <w:right w:w="105" w:type="dxa"/>
            </w:tcMar>
            <w:vAlign w:val="center"/>
          </w:tcPr>
          <w:p w14:paraId="47CA380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20"/>
                <w:rtl/>
              </w:rPr>
              <w:t>ارتباط الفقرة بالدرجة المصحح</w:t>
            </w:r>
          </w:p>
        </w:tc>
        <w:tc>
          <w:tcPr>
            <w:tcW w:w="3744" w:type="dxa"/>
            <w:shd w:val="clear" w:color="auto" w:fill="F7FAFC"/>
            <w:tcMar>
              <w:top w:w="90" w:type="dxa"/>
              <w:left w:w="105" w:type="dxa"/>
              <w:bottom w:w="90" w:type="dxa"/>
              <w:right w:w="105" w:type="dxa"/>
            </w:tcMar>
            <w:vAlign w:val="center"/>
          </w:tcPr>
          <w:p w14:paraId="33D4F9C7"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0.30 فأعلى</w:t>
            </w:r>
          </w:p>
        </w:tc>
        <w:tc>
          <w:tcPr>
            <w:tcW w:w="3168" w:type="dxa"/>
            <w:shd w:val="clear" w:color="auto" w:fill="F7FAFC"/>
            <w:tcMar>
              <w:top w:w="90" w:type="dxa"/>
              <w:left w:w="105" w:type="dxa"/>
              <w:bottom w:w="90" w:type="dxa"/>
              <w:right w:w="105" w:type="dxa"/>
            </w:tcMar>
            <w:vAlign w:val="center"/>
          </w:tcPr>
          <w:p w14:paraId="0C7F23D5"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فحص أولي لجودة الفقرة</w:t>
            </w:r>
          </w:p>
        </w:tc>
      </w:tr>
      <w:tr w:rsidR="00B706F5" w:rsidRPr="00161B2D" w14:paraId="6F216599" w14:textId="77777777" w:rsidTr="00084470">
        <w:trPr>
          <w:cantSplit/>
          <w:jc w:val="center"/>
        </w:trPr>
        <w:tc>
          <w:tcPr>
            <w:tcW w:w="2880" w:type="dxa"/>
            <w:shd w:val="clear" w:color="auto" w:fill="DCE6F1"/>
            <w:tcMar>
              <w:top w:w="90" w:type="dxa"/>
              <w:left w:w="105" w:type="dxa"/>
              <w:bottom w:w="90" w:type="dxa"/>
              <w:right w:w="105" w:type="dxa"/>
            </w:tcMar>
            <w:vAlign w:val="center"/>
          </w:tcPr>
          <w:p w14:paraId="2F99DAFF" w14:textId="0F07657A" w:rsidR="00B706F5" w:rsidRPr="00B706F5" w:rsidRDefault="00B706F5" w:rsidP="00161B2D">
            <w:pPr>
              <w:keepLines/>
              <w:bidi/>
              <w:spacing w:after="0" w:line="240" w:lineRule="auto"/>
              <w:rPr>
                <w:rFonts w:ascii="Simplified Arabic" w:eastAsia="Sakkal Majalla" w:hAnsi="Simplified Arabic" w:cs="Simplified Arabic"/>
                <w:b/>
                <w:bCs/>
                <w:color w:val="1F4E78"/>
                <w:sz w:val="20"/>
                <w:rtl/>
              </w:rPr>
            </w:pPr>
            <w:r w:rsidRPr="00B706F5">
              <w:rPr>
                <w:rFonts w:ascii="Simplified Arabic" w:eastAsia="Arial" w:hAnsi="Simplified Arabic" w:cs="Simplified Arabic"/>
                <w:b/>
                <w:bCs/>
                <w:color w:val="595959"/>
                <w:sz w:val="20"/>
                <w:szCs w:val="20"/>
                <w:rtl/>
              </w:rPr>
              <w:t>HTMT</w:t>
            </w:r>
          </w:p>
        </w:tc>
        <w:tc>
          <w:tcPr>
            <w:tcW w:w="3744" w:type="dxa"/>
            <w:shd w:val="clear" w:color="auto" w:fill="F7FAFC"/>
            <w:tcMar>
              <w:top w:w="90" w:type="dxa"/>
              <w:left w:w="105" w:type="dxa"/>
              <w:bottom w:w="90" w:type="dxa"/>
              <w:right w:w="105" w:type="dxa"/>
            </w:tcMar>
            <w:vAlign w:val="center"/>
          </w:tcPr>
          <w:p w14:paraId="3C734493" w14:textId="32A9692E" w:rsidR="00B706F5" w:rsidRPr="00B706F5" w:rsidRDefault="00B706F5" w:rsidP="00801F11">
            <w:pPr>
              <w:keepLines/>
              <w:bidi/>
              <w:spacing w:after="0" w:line="240" w:lineRule="auto"/>
              <w:jc w:val="center"/>
              <w:rPr>
                <w:rFonts w:ascii="Simplified Arabic" w:eastAsia="Sakkal Majalla" w:hAnsi="Simplified Arabic" w:cs="Simplified Arabic"/>
                <w:b/>
                <w:bCs/>
                <w:color w:val="1F1F1F"/>
                <w:sz w:val="20"/>
                <w:rtl/>
              </w:rPr>
            </w:pPr>
            <w:r w:rsidRPr="00B706F5">
              <w:rPr>
                <w:rFonts w:ascii="Simplified Arabic" w:eastAsia="Arial" w:hAnsi="Simplified Arabic" w:cs="Simplified Arabic"/>
                <w:b/>
                <w:bCs/>
                <w:color w:val="595959"/>
                <w:sz w:val="20"/>
                <w:szCs w:val="20"/>
                <w:rtl/>
              </w:rPr>
              <w:t xml:space="preserve">أقل من 0.85 </w:t>
            </w:r>
          </w:p>
        </w:tc>
        <w:tc>
          <w:tcPr>
            <w:tcW w:w="3168" w:type="dxa"/>
            <w:shd w:val="clear" w:color="auto" w:fill="F7FAFC"/>
            <w:tcMar>
              <w:top w:w="90" w:type="dxa"/>
              <w:left w:w="105" w:type="dxa"/>
              <w:bottom w:w="90" w:type="dxa"/>
              <w:right w:w="105" w:type="dxa"/>
            </w:tcMar>
            <w:vAlign w:val="center"/>
          </w:tcPr>
          <w:p w14:paraId="2D1A905F" w14:textId="674ABA60" w:rsidR="00B706F5" w:rsidRPr="00B706F5" w:rsidRDefault="00B706F5" w:rsidP="00801F11">
            <w:pPr>
              <w:keepLines/>
              <w:bidi/>
              <w:spacing w:after="0" w:line="240" w:lineRule="auto"/>
              <w:jc w:val="center"/>
              <w:rPr>
                <w:rFonts w:ascii="Simplified Arabic" w:eastAsia="Sakkal Majalla" w:hAnsi="Simplified Arabic" w:cs="Simplified Arabic"/>
                <w:b/>
                <w:bCs/>
                <w:color w:val="1F1F1F"/>
                <w:sz w:val="20"/>
                <w:rtl/>
              </w:rPr>
            </w:pPr>
            <w:r w:rsidRPr="00B706F5">
              <w:rPr>
                <w:rFonts w:ascii="Simplified Arabic" w:eastAsia="Arial" w:hAnsi="Simplified Arabic" w:cs="Simplified Arabic"/>
                <w:b/>
                <w:bCs/>
                <w:color w:val="595959"/>
                <w:sz w:val="20"/>
                <w:szCs w:val="20"/>
                <w:rtl/>
              </w:rPr>
              <w:t>الصدق التمييزي بين البُنى الكامنة</w:t>
            </w:r>
          </w:p>
        </w:tc>
      </w:tr>
    </w:tbl>
    <w:p w14:paraId="65608EA2" w14:textId="77777777" w:rsidR="00161B2D" w:rsidRPr="00161B2D" w:rsidRDefault="00161B2D" w:rsidP="00161B2D">
      <w:pPr>
        <w:bidi/>
        <w:spacing w:after="20"/>
        <w:rPr>
          <w:rFonts w:ascii="Simplified Arabic" w:hAnsi="Simplified Arabic" w:cs="Simplified Arabic"/>
        </w:rPr>
      </w:pPr>
    </w:p>
    <w:p w14:paraId="444CB890" w14:textId="77777777" w:rsidR="00161B2D" w:rsidRPr="00801F11" w:rsidRDefault="00161B2D" w:rsidP="00161B2D">
      <w:pPr>
        <w:pStyle w:val="1"/>
        <w:bidi/>
        <w:spacing w:before="200" w:after="80"/>
        <w:rPr>
          <w:rFonts w:ascii="Simplified Arabic" w:hAnsi="Simplified Arabic" w:cs="Simplified Arabic"/>
          <w:color w:val="auto"/>
          <w:sz w:val="28"/>
          <w:szCs w:val="28"/>
        </w:rPr>
      </w:pPr>
      <w:r w:rsidRPr="00801F11">
        <w:rPr>
          <w:rFonts w:ascii="Simplified Arabic" w:hAnsi="Simplified Arabic" w:cs="Simplified Arabic"/>
          <w:b/>
          <w:color w:val="auto"/>
          <w:sz w:val="28"/>
          <w:szCs w:val="28"/>
          <w:rtl/>
        </w:rPr>
        <w:t>3.9 ضبط تحيز المنهج المشترك</w:t>
      </w:r>
    </w:p>
    <w:p w14:paraId="20E0021E" w14:textId="59ACDBF7" w:rsidR="00161B2D" w:rsidRPr="00161B2D" w:rsidRDefault="00982C12" w:rsidP="00801F11">
      <w:pPr>
        <w:bidi/>
        <w:spacing w:after="100" w:line="324" w:lineRule="auto"/>
        <w:jc w:val="both"/>
        <w:rPr>
          <w:rFonts w:ascii="Simplified Arabic" w:hAnsi="Simplified Arabic" w:cs="Simplified Arabic"/>
        </w:rPr>
      </w:pPr>
      <w:r>
        <w:rPr>
          <w:rFonts w:ascii="Simplified Arabic" w:hAnsi="Simplified Arabic" w:cs="Simplified Arabic"/>
          <w:sz w:val="28"/>
          <w:rtl/>
        </w:rPr>
        <w:t>تُقاس المتغيرات من مصدر ذاتي واحد وفي فترة واحدة، وهو ما قد يرفع احتمال تحيز المنهج المشترك. لذلك، ستُستخدم إجراءات وقائية، تشمل ضمان السرية وعدم وجود إجابات صحيحة أو خاطئة، والفصل الواضح بين أقسام المتغيرات، واستخدام مراسٍ مختلفة عندما تقتضي طبيعة المقياس ذلك، وصياغة فقرات قصيرة وغير موجهة، والتأكيد على أن المشاركة لا تؤثر في التقييم الوظيفي. إحصائيًا، سيُستخدم اختبار هارمن الأحادي العامل بوصفه تشخيصًا أوليًا لا دليلًا وحيدًا. كما سيُقارن نموذج عامل واحد بنموذج القياس المفترض، ويُجرى تحليل حساسية بإضافة عامل منهج كامن مشترك حينما تسمح البيانات. ويُعد التحيز محتملًا إذا تحسنت مطابقة نموذج العامل المشترك بصورة جوهرية أو تغيرت معاملات المسارات بدرجة ملحوظة بعد إدخاله (</w:t>
      </w:r>
      <w:r>
        <w:rPr>
          <w:rFonts w:ascii="Simplified Arabic" w:hAnsi="Simplified Arabic" w:cs="Simplified Arabic"/>
          <w:sz w:val="28"/>
        </w:rPr>
        <w:t>Podsakoff et al., 2003</w:t>
      </w:r>
      <w:r>
        <w:rPr>
          <w:rFonts w:ascii="Simplified Arabic" w:hAnsi="Simplified Arabic" w:cs="Simplified Arabic"/>
          <w:sz w:val="28"/>
          <w:rtl/>
        </w:rPr>
        <w:t>).</w:t>
      </w:r>
    </w:p>
    <w:p w14:paraId="4CBDEA20" w14:textId="77777777" w:rsidR="00161B2D" w:rsidRPr="00E1305F" w:rsidRDefault="00161B2D" w:rsidP="00161B2D">
      <w:pPr>
        <w:pStyle w:val="1"/>
        <w:bidi/>
        <w:spacing w:before="200" w:after="80"/>
        <w:rPr>
          <w:rFonts w:ascii="Simplified Arabic" w:hAnsi="Simplified Arabic" w:cs="Simplified Arabic"/>
          <w:color w:val="auto"/>
        </w:rPr>
      </w:pPr>
      <w:r w:rsidRPr="00E1305F">
        <w:rPr>
          <w:rFonts w:ascii="Simplified Arabic" w:hAnsi="Simplified Arabic" w:cs="Simplified Arabic"/>
          <w:b/>
          <w:color w:val="auto"/>
          <w:rtl/>
        </w:rPr>
        <w:lastRenderedPageBreak/>
        <w:t>3.10 متغيرات الدراسة ونموذجها المفاهيمي</w:t>
      </w:r>
    </w:p>
    <w:p w14:paraId="2CCBB46E" w14:textId="77777777" w:rsidR="00161B2D" w:rsidRPr="00E1305F" w:rsidRDefault="00161B2D" w:rsidP="00161B2D">
      <w:pPr>
        <w:pStyle w:val="2"/>
        <w:bidi/>
        <w:spacing w:before="120" w:after="80"/>
        <w:rPr>
          <w:rFonts w:ascii="Simplified Arabic" w:hAnsi="Simplified Arabic" w:cs="Simplified Arabic"/>
          <w:color w:val="auto"/>
        </w:rPr>
      </w:pPr>
      <w:r w:rsidRPr="00E1305F">
        <w:rPr>
          <w:rFonts w:ascii="Simplified Arabic" w:hAnsi="Simplified Arabic" w:cs="Simplified Arabic"/>
          <w:b/>
          <w:color w:val="auto"/>
          <w:sz w:val="30"/>
          <w:rtl/>
        </w:rPr>
        <w:t>3.10.1 التعريف الإجرائي للمتغيرات</w:t>
      </w:r>
    </w:p>
    <w:p w14:paraId="1DD59B88"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(3-5): المتغيرات وتعريفاتها الإجرائية</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466"/>
        <w:gridCol w:w="1451"/>
        <w:gridCol w:w="5947"/>
      </w:tblGrid>
      <w:tr w:rsidR="00161B2D" w:rsidRPr="00161B2D" w14:paraId="5BDE98FC" w14:textId="77777777" w:rsidTr="00084470">
        <w:trPr>
          <w:cantSplit/>
          <w:tblHeader/>
          <w:jc w:val="center"/>
        </w:trPr>
        <w:tc>
          <w:tcPr>
            <w:tcW w:w="244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6BC7365"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المتغير</w:t>
            </w:r>
          </w:p>
        </w:tc>
        <w:tc>
          <w:tcPr>
            <w:tcW w:w="144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6A3AC0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دوره</w:t>
            </w:r>
          </w:p>
        </w:tc>
        <w:tc>
          <w:tcPr>
            <w:tcW w:w="590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700A72AF"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تعريفه الإجرائي</w:t>
            </w:r>
          </w:p>
        </w:tc>
      </w:tr>
      <w:tr w:rsidR="00161B2D" w:rsidRPr="00161B2D" w14:paraId="0230403C" w14:textId="77777777" w:rsidTr="00084470">
        <w:trPr>
          <w:cantSplit/>
          <w:jc w:val="center"/>
        </w:trPr>
        <w:tc>
          <w:tcPr>
            <w:tcW w:w="2448" w:type="dxa"/>
            <w:shd w:val="clear" w:color="auto" w:fill="EAF1F8"/>
            <w:tcMar>
              <w:top w:w="70" w:type="dxa"/>
              <w:left w:w="70" w:type="dxa"/>
              <w:bottom w:w="70" w:type="dxa"/>
              <w:right w:w="70" w:type="dxa"/>
            </w:tcMar>
            <w:vAlign w:val="center"/>
          </w:tcPr>
          <w:p w14:paraId="059FEDAB"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القيادة التحويلية (TL)</w:t>
            </w:r>
          </w:p>
        </w:tc>
        <w:tc>
          <w:tcPr>
            <w:tcW w:w="1440" w:type="dxa"/>
            <w:shd w:val="clear" w:color="auto" w:fill="EAF1F8"/>
            <w:tcMar>
              <w:top w:w="70" w:type="dxa"/>
              <w:left w:w="70" w:type="dxa"/>
              <w:bottom w:w="70" w:type="dxa"/>
              <w:right w:w="70" w:type="dxa"/>
            </w:tcMar>
            <w:vAlign w:val="center"/>
          </w:tcPr>
          <w:p w14:paraId="636D5EBC"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مستقل</w:t>
            </w:r>
          </w:p>
        </w:tc>
        <w:tc>
          <w:tcPr>
            <w:tcW w:w="5904" w:type="dxa"/>
            <w:shd w:val="clear" w:color="auto" w:fill="EAF1F8"/>
            <w:tcMar>
              <w:top w:w="70" w:type="dxa"/>
              <w:left w:w="70" w:type="dxa"/>
              <w:bottom w:w="70" w:type="dxa"/>
              <w:right w:w="70" w:type="dxa"/>
            </w:tcMar>
            <w:vAlign w:val="center"/>
          </w:tcPr>
          <w:p w14:paraId="75D8332D"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الدرجة على 23 فقرة موزعة على ستة أبعاد في TLI المكيّف</w:t>
            </w:r>
          </w:p>
        </w:tc>
      </w:tr>
      <w:tr w:rsidR="00161B2D" w:rsidRPr="00161B2D" w14:paraId="32AF8EE9" w14:textId="77777777" w:rsidTr="00084470">
        <w:trPr>
          <w:cantSplit/>
          <w:jc w:val="center"/>
        </w:trPr>
        <w:tc>
          <w:tcPr>
            <w:tcW w:w="2448" w:type="dxa"/>
            <w:shd w:val="clear" w:color="auto" w:fill="DCE6F1"/>
            <w:tcMar>
              <w:top w:w="70" w:type="dxa"/>
              <w:left w:w="70" w:type="dxa"/>
              <w:bottom w:w="70" w:type="dxa"/>
              <w:right w:w="70" w:type="dxa"/>
            </w:tcMar>
            <w:vAlign w:val="center"/>
          </w:tcPr>
          <w:p w14:paraId="101CED1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ثقافة سلامة المرضى (SC)</w:t>
            </w:r>
          </w:p>
        </w:tc>
        <w:tc>
          <w:tcPr>
            <w:tcW w:w="1440" w:type="dxa"/>
            <w:shd w:val="clear" w:color="auto" w:fill="F7FAFC"/>
            <w:tcMar>
              <w:top w:w="70" w:type="dxa"/>
              <w:left w:w="70" w:type="dxa"/>
              <w:bottom w:w="70" w:type="dxa"/>
              <w:right w:w="70" w:type="dxa"/>
            </w:tcMar>
            <w:vAlign w:val="center"/>
          </w:tcPr>
          <w:p w14:paraId="40BFE359"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وسيط أول</w:t>
            </w:r>
          </w:p>
        </w:tc>
        <w:tc>
          <w:tcPr>
            <w:tcW w:w="5904" w:type="dxa"/>
            <w:shd w:val="clear" w:color="auto" w:fill="F7FAFC"/>
            <w:tcMar>
              <w:top w:w="70" w:type="dxa"/>
              <w:left w:w="70" w:type="dxa"/>
              <w:bottom w:w="70" w:type="dxa"/>
              <w:right w:w="70" w:type="dxa"/>
            </w:tcMar>
            <w:vAlign w:val="center"/>
          </w:tcPr>
          <w:p w14:paraId="1C8197F7"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الدرجة على 13 فقرة موزعة على أربعة أبعاد مختارة من HSOPSC</w:t>
            </w:r>
          </w:p>
        </w:tc>
      </w:tr>
      <w:tr w:rsidR="00161B2D" w:rsidRPr="00161B2D" w14:paraId="5AF8FABB" w14:textId="77777777" w:rsidTr="00084470">
        <w:trPr>
          <w:cantSplit/>
          <w:jc w:val="center"/>
        </w:trPr>
        <w:tc>
          <w:tcPr>
            <w:tcW w:w="2448" w:type="dxa"/>
            <w:shd w:val="clear" w:color="auto" w:fill="EAF1F8"/>
            <w:tcMar>
              <w:top w:w="70" w:type="dxa"/>
              <w:left w:w="70" w:type="dxa"/>
              <w:bottom w:w="70" w:type="dxa"/>
              <w:right w:w="70" w:type="dxa"/>
            </w:tcMar>
            <w:vAlign w:val="center"/>
          </w:tcPr>
          <w:p w14:paraId="140A529E"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سلوكيات السلامة (SB)</w:t>
            </w:r>
          </w:p>
        </w:tc>
        <w:tc>
          <w:tcPr>
            <w:tcW w:w="1440" w:type="dxa"/>
            <w:shd w:val="clear" w:color="auto" w:fill="EAF1F8"/>
            <w:tcMar>
              <w:top w:w="70" w:type="dxa"/>
              <w:left w:w="70" w:type="dxa"/>
              <w:bottom w:w="70" w:type="dxa"/>
              <w:right w:w="70" w:type="dxa"/>
            </w:tcMar>
            <w:vAlign w:val="center"/>
          </w:tcPr>
          <w:p w14:paraId="6B10464C"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وسيط ثانٍ</w:t>
            </w:r>
          </w:p>
        </w:tc>
        <w:tc>
          <w:tcPr>
            <w:tcW w:w="5904" w:type="dxa"/>
            <w:shd w:val="clear" w:color="auto" w:fill="EAF1F8"/>
            <w:tcMar>
              <w:top w:w="70" w:type="dxa"/>
              <w:left w:w="70" w:type="dxa"/>
              <w:bottom w:w="70" w:type="dxa"/>
              <w:right w:w="70" w:type="dxa"/>
            </w:tcMar>
            <w:vAlign w:val="center"/>
          </w:tcPr>
          <w:p w14:paraId="6A65B5B6"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الدرجة على 12 فقرة في بعدي الامتثال والمشاركة</w:t>
            </w:r>
          </w:p>
        </w:tc>
      </w:tr>
      <w:tr w:rsidR="00161B2D" w:rsidRPr="00161B2D" w14:paraId="0147F0A8" w14:textId="77777777" w:rsidTr="00084470">
        <w:trPr>
          <w:cantSplit/>
          <w:jc w:val="center"/>
        </w:trPr>
        <w:tc>
          <w:tcPr>
            <w:tcW w:w="2448" w:type="dxa"/>
            <w:shd w:val="clear" w:color="auto" w:fill="DCE6F1"/>
            <w:tcMar>
              <w:top w:w="70" w:type="dxa"/>
              <w:left w:w="70" w:type="dxa"/>
              <w:bottom w:w="70" w:type="dxa"/>
              <w:right w:w="70" w:type="dxa"/>
            </w:tcMar>
            <w:vAlign w:val="center"/>
          </w:tcPr>
          <w:p w14:paraId="1CB7BC31" w14:textId="77777777" w:rsidR="00161B2D" w:rsidRPr="00161B2D" w:rsidRDefault="00161B2D" w:rsidP="00776229">
            <w:pPr>
              <w:keepLines/>
              <w:bidi/>
              <w:spacing w:after="0" w:line="240" w:lineRule="auto"/>
              <w:rPr>
                <w:rFonts w:ascii="Simplified Arabic" w:hAnsi="Simplified Arabic" w:cs="Simplified Arabic"/>
              </w:rPr>
            </w:pPr>
            <w:r>
              <w:rPr>
                <w:rFonts w:ascii="Traditional Arabic" w:eastAsia="Traditional Arabic" w:hAnsi="Traditional Arabic" w:cs="Traditional Arabic"/>
                <w:b/>
                <w:color w:val="1F4E78"/>
                <w:sz w:val="17"/>
                <w:rtl/>
              </w:rPr>
              <w:t>التقليل المُدرَك للأحداث الضارة (PRAE)</w:t>
            </w:r>
          </w:p>
        </w:tc>
        <w:tc>
          <w:tcPr>
            <w:tcW w:w="1440" w:type="dxa"/>
            <w:shd w:val="clear" w:color="auto" w:fill="F7FAFC"/>
            <w:tcMar>
              <w:top w:w="70" w:type="dxa"/>
              <w:left w:w="70" w:type="dxa"/>
              <w:bottom w:w="70" w:type="dxa"/>
              <w:right w:w="70" w:type="dxa"/>
            </w:tcMar>
            <w:vAlign w:val="center"/>
          </w:tcPr>
          <w:p w14:paraId="4FBB58A0"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تابع</w:t>
            </w:r>
          </w:p>
        </w:tc>
        <w:tc>
          <w:tcPr>
            <w:tcW w:w="5904" w:type="dxa"/>
            <w:shd w:val="clear" w:color="auto" w:fill="F7FAFC"/>
            <w:tcMar>
              <w:top w:w="70" w:type="dxa"/>
              <w:left w:w="70" w:type="dxa"/>
              <w:bottom w:w="70" w:type="dxa"/>
              <w:right w:w="70" w:type="dxa"/>
            </w:tcMar>
            <w:vAlign w:val="center"/>
          </w:tcPr>
          <w:p w14:paraId="6143CE23" w14:textId="77777777" w:rsidR="00161B2D" w:rsidRPr="00161B2D" w:rsidRDefault="00161B2D" w:rsidP="00801F11">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7"/>
                <w:rtl/>
              </w:rPr>
              <w:t>الدرجة على 8 فقرات تقيس إدراك فاعلية إجراءات الوقاية والتقليل؛ لا المعدل الفعلي المسجل</w:t>
            </w:r>
          </w:p>
        </w:tc>
      </w:tr>
      <w:tr w:rsidR="00161B2D" w:rsidRPr="00161B2D" w14:paraId="41188D2C" w14:textId="77777777" w:rsidTr="00084470">
        <w:trPr>
          <w:cantSplit/>
          <w:jc w:val="center"/>
        </w:trPr>
        <w:tc>
          <w:tcPr>
            <w:tcW w:w="2448" w:type="dxa"/>
            <w:shd w:val="clear" w:color="auto" w:fill="EAF1F8"/>
            <w:tcMar>
              <w:top w:w="70" w:type="dxa"/>
              <w:left w:w="70" w:type="dxa"/>
              <w:bottom w:w="70" w:type="dxa"/>
              <w:right w:w="70" w:type="dxa"/>
            </w:tcMar>
            <w:vAlign w:val="center"/>
          </w:tcPr>
          <w:p w14:paraId="3FE80BA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Traditional Arabic" w:eastAsia="Traditional Arabic" w:hAnsi="Traditional Arabic" w:cs="Traditional Arabic"/>
                <w:b/>
                <w:color w:val="1F4E78"/>
                <w:sz w:val="17"/>
                <w:rtl/>
              </w:rPr>
              <w:t>الخبرة، القسم/التخصص، المناوبة، المرتبة</w:t>
            </w:r>
          </w:p>
        </w:tc>
        <w:tc>
          <w:tcPr>
            <w:tcW w:w="1440" w:type="dxa"/>
            <w:shd w:val="clear" w:color="auto" w:fill="EAF1F8"/>
            <w:tcMar>
              <w:top w:w="70" w:type="dxa"/>
              <w:left w:w="70" w:type="dxa"/>
              <w:bottom w:w="70" w:type="dxa"/>
              <w:right w:w="70" w:type="dxa"/>
            </w:tcMar>
            <w:vAlign w:val="center"/>
          </w:tcPr>
          <w:p w14:paraId="4413454E" w14:textId="77777777" w:rsidR="00161B2D" w:rsidRPr="00161B2D" w:rsidRDefault="00161B2D" w:rsidP="00801F11">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ضابطة</w:t>
            </w:r>
          </w:p>
        </w:tc>
        <w:tc>
          <w:tcPr>
            <w:tcW w:w="5904" w:type="dxa"/>
            <w:shd w:val="clear" w:color="auto" w:fill="EAF1F8"/>
            <w:tcMar>
              <w:top w:w="70" w:type="dxa"/>
              <w:left w:w="70" w:type="dxa"/>
              <w:bottom w:w="70" w:type="dxa"/>
              <w:right w:w="70" w:type="dxa"/>
            </w:tcMar>
            <w:vAlign w:val="center"/>
          </w:tcPr>
          <w:p w14:paraId="3256A584" w14:textId="2729AF1F" w:rsidR="00161B2D" w:rsidRPr="00776229" w:rsidRDefault="00776229" w:rsidP="00776229">
            <w:pPr>
              <w:bidi/>
              <w:jc w:val="both"/>
              <w:rPr>
                <w:rFonts w:ascii="Traditional Arabic" w:hAnsi="Traditional Arabic" w:cs="Traditional Arabic"/>
                <w:sz w:val="20"/>
                <w:szCs w:val="20"/>
              </w:rPr>
            </w:pPr>
            <w:r w:rsidRPr="00776229">
              <w:rPr>
                <w:rFonts w:ascii="Traditional Arabic" w:hAnsi="Traditional Arabic" w:cs="Traditional Arabic"/>
                <w:color w:val="000000"/>
                <w:sz w:val="20"/>
                <w:szCs w:val="20"/>
                <w:rtl/>
              </w:rPr>
              <w:t>تُرمَّز وفق طبيعتها وتُدخَل جميعها في النموذج وفق قرار مثبت مسبقًا، ويُعرض النموذج بها وبدونها في الفصل الرابع بوصفه تحليل حساسية لا اختيارًا للصيغة الأفضل نتيجة.</w:t>
            </w:r>
          </w:p>
        </w:tc>
      </w:tr>
    </w:tbl>
    <w:p w14:paraId="65ECB11E" w14:textId="77777777" w:rsidR="00161B2D" w:rsidRPr="00161B2D" w:rsidRDefault="00161B2D" w:rsidP="00161B2D">
      <w:pPr>
        <w:bidi/>
        <w:spacing w:after="20"/>
        <w:rPr>
          <w:rFonts w:ascii="Simplified Arabic" w:hAnsi="Simplified Arabic" w:cs="Simplified Arabic"/>
        </w:rPr>
      </w:pPr>
    </w:p>
    <w:p w14:paraId="4453A776" w14:textId="77777777" w:rsidR="00161B2D" w:rsidRPr="00E1305F" w:rsidRDefault="00161B2D" w:rsidP="00161B2D">
      <w:pPr>
        <w:pStyle w:val="2"/>
        <w:bidi/>
        <w:spacing w:before="120" w:after="80"/>
        <w:rPr>
          <w:rFonts w:ascii="Simplified Arabic" w:hAnsi="Simplified Arabic" w:cs="Simplified Arabic"/>
          <w:color w:val="auto"/>
        </w:rPr>
      </w:pPr>
      <w:r w:rsidRPr="00E1305F">
        <w:rPr>
          <w:rFonts w:ascii="Simplified Arabic" w:hAnsi="Simplified Arabic" w:cs="Simplified Arabic"/>
          <w:b/>
          <w:color w:val="auto"/>
          <w:sz w:val="30"/>
          <w:rtl/>
        </w:rPr>
        <w:t>3.10.2 النموذج المفاهيمي</w:t>
      </w:r>
    </w:p>
    <w:p w14:paraId="584C325B" w14:textId="77777777" w:rsidR="00161B2D" w:rsidRPr="00161B2D" w:rsidRDefault="00161B2D" w:rsidP="00161B2D">
      <w:pPr>
        <w:keepNext/>
        <w:keepLines/>
        <w:pBdr>
          <w:bottom w:val="single" w:sz="7" w:space="3" w:color="2F75B5"/>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شكل (3-1): المسار النظري الأساسي للوساطة المتتابعة</w:t>
      </w:r>
    </w:p>
    <w:p w14:paraId="7E34BAC0" w14:textId="77777777" w:rsidR="00161B2D" w:rsidRPr="00161B2D" w:rsidRDefault="00161B2D" w:rsidP="00161B2D">
      <w:pPr>
        <w:keepLines/>
        <w:bidi/>
        <w:spacing w:before="120" w:after="120"/>
        <w:rPr>
          <w:rFonts w:ascii="Simplified Arabic" w:hAnsi="Simplified Arabic" w:cs="Simplified Arabic"/>
        </w:rPr>
      </w:pPr>
      <w:r w:rsidRPr="00161B2D">
        <w:rPr>
          <w:rFonts w:ascii="Simplified Arabic" w:hAnsi="Simplified Arabic" w:cs="Simplified Arabic"/>
          <w:noProof/>
        </w:rPr>
        <w:drawing>
          <wp:inline distT="0" distB="0" distL="0" distR="0" wp14:anchorId="4C125187" wp14:editId="75CE7FEE">
            <wp:extent cx="5989320" cy="3743325"/>
            <wp:effectExtent l="0" t="0" r="0" b="0"/>
            <wp:docPr id="5" name="النموذج المفاهيمي للدراسة" descr="نموذج وساطة متتابعة يوضح المسار من القيادة التحويلية إلى ثقافة سلامة المرضى ثم سلوكيات السلامة وصولًا إلى تقليل الأحداث الضارة المدرك، مع الفرضيات H1 إلى H5." title="النموذج المفاهيمي للدراس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لنموذج المفاهيمي للدراسة" descr="نموذج وساطة متتابعة يوضح المسار من القيادة التحويلية إلى ثقافة سلامة المرضى ثم سلوكيات السلامة وصولًا إلى تقليل الأحداث الضارة المدرك، مع الفرضيات H1 إلى H5."/>
                    <pic:cNvPicPr/>
                  </pic:nvPicPr>
                  <pic:blipFill>
                    <a:blip r:embed="rId9"/>
                    <a:stretch>
                      <a:fillRect/>
                    </a:stretch>
                  </pic:blipFill>
                  <pic:spPr>
                    <a:xfrm>
                      <a:off x="0" y="0"/>
                      <a:ext cx="5989320" cy="3743325"/>
                    </a:xfrm>
                    <a:prstGeom prst="rect">
                      <a:avLst/>
                    </a:prstGeom>
                  </pic:spPr>
                </pic:pic>
              </a:graphicData>
            </a:graphic>
          </wp:inline>
        </w:drawing>
      </w:r>
    </w:p>
    <w:p w14:paraId="47ED54F4" w14:textId="77777777" w:rsidR="00161B2D" w:rsidRPr="00161B2D" w:rsidRDefault="00161B2D" w:rsidP="00801F11">
      <w:pPr>
        <w:bidi/>
        <w:spacing w:after="40"/>
        <w:jc w:val="both"/>
        <w:rPr>
          <w:rFonts w:ascii="Simplified Arabic" w:hAnsi="Simplified Arabic" w:cs="Simplified Arabic"/>
        </w:rPr>
      </w:pPr>
    </w:p>
    <w:p w14:paraId="76E1028F" w14:textId="77777777" w:rsidR="00161B2D" w:rsidRPr="000B39C7" w:rsidRDefault="00161B2D" w:rsidP="000B39C7">
      <w:pPr>
        <w:bidi/>
        <w:spacing w:after="100" w:line="360" w:lineRule="auto"/>
        <w:jc w:val="both"/>
        <w:rPr>
          <w:rFonts w:ascii="Simplified Arabic" w:hAnsi="Simplified Arabic" w:cs="Simplified Arabic"/>
          <w:sz w:val="24"/>
          <w:szCs w:val="24"/>
        </w:rPr>
      </w:pPr>
      <w:r w:rsidRPr="000B39C7">
        <w:rPr>
          <w:rFonts w:ascii="Simplified Arabic" w:eastAsia="Simplified Arabic" w:hAnsi="Simplified Arabic" w:cs="Simplified Arabic"/>
          <w:i/>
          <w:sz w:val="24"/>
          <w:szCs w:val="24"/>
          <w:rtl/>
        </w:rPr>
        <w:lastRenderedPageBreak/>
        <w:t>ستُقدَّر كذلك المسارات المباشرة المكملة TL → SB وSC → PRAE وTL → PRAE للتحقق من متانة النموذج وتحديد ما إذا كانت الوساطة جزئية أو كاملة، لكنها لا تمثل فرضيات مستقلة. ويستند الحكم على نوع الوساطة إلى دلالة التأثير غير المباشر وحجم المسار المباشر، لا إلى افتراض مسبق بغياب المسار المباشر.</w:t>
      </w:r>
    </w:p>
    <w:p w14:paraId="312C13B3" w14:textId="77777777" w:rsidR="00161B2D" w:rsidRPr="000B39C7" w:rsidRDefault="00161B2D" w:rsidP="000B39C7">
      <w:pPr>
        <w:pStyle w:val="2"/>
        <w:bidi/>
        <w:spacing w:before="120" w:after="80" w:line="360" w:lineRule="auto"/>
        <w:rPr>
          <w:rFonts w:ascii="Simplified Arabic" w:hAnsi="Simplified Arabic" w:cs="Simplified Arabic"/>
          <w:color w:val="auto"/>
          <w:sz w:val="24"/>
          <w:szCs w:val="24"/>
        </w:rPr>
      </w:pPr>
      <w:r w:rsidRPr="000B39C7">
        <w:rPr>
          <w:rFonts w:ascii="Simplified Arabic" w:hAnsi="Simplified Arabic" w:cs="Simplified Arabic"/>
          <w:b/>
          <w:color w:val="auto"/>
          <w:sz w:val="24"/>
          <w:szCs w:val="24"/>
          <w:rtl/>
        </w:rPr>
        <w:t>3.10.3 فرضيات الدراسة</w:t>
      </w:r>
    </w:p>
    <w:p w14:paraId="02FC754D" w14:textId="77777777" w:rsidR="00161B2D" w:rsidRPr="000B39C7" w:rsidRDefault="00161B2D" w:rsidP="000B39C7">
      <w:pPr>
        <w:bidi/>
        <w:spacing w:after="60" w:line="360" w:lineRule="auto"/>
        <w:ind w:right="360" w:hanging="259"/>
        <w:rPr>
          <w:rFonts w:ascii="Simplified Arabic" w:hAnsi="Simplified Arabic" w:cs="Simplified Arabic"/>
          <w:sz w:val="24"/>
          <w:szCs w:val="24"/>
        </w:rPr>
      </w:pPr>
      <w:r w:rsidRPr="000B39C7">
        <w:rPr>
          <w:rFonts w:ascii="Simplified Arabic" w:hAnsi="Simplified Arabic" w:cs="Simplified Arabic"/>
          <w:sz w:val="24"/>
          <w:szCs w:val="24"/>
          <w:rtl/>
        </w:rPr>
        <w:t>• H1: يُتوقع وجود مسار موجب ذي دلالة إحصائية من القيادة التحويلية إلى ثقافة سلامة المرضى.</w:t>
      </w:r>
    </w:p>
    <w:p w14:paraId="2A2CB216" w14:textId="77777777" w:rsidR="00161B2D" w:rsidRPr="000B39C7" w:rsidRDefault="00161B2D" w:rsidP="000B39C7">
      <w:pPr>
        <w:bidi/>
        <w:spacing w:after="60" w:line="360" w:lineRule="auto"/>
        <w:ind w:right="360" w:hanging="259"/>
        <w:rPr>
          <w:rFonts w:ascii="Simplified Arabic" w:hAnsi="Simplified Arabic" w:cs="Simplified Arabic"/>
          <w:sz w:val="24"/>
          <w:szCs w:val="24"/>
        </w:rPr>
      </w:pPr>
      <w:r w:rsidRPr="000B39C7">
        <w:rPr>
          <w:rFonts w:ascii="Simplified Arabic" w:hAnsi="Simplified Arabic" w:cs="Simplified Arabic"/>
          <w:sz w:val="24"/>
          <w:szCs w:val="24"/>
          <w:rtl/>
        </w:rPr>
        <w:t>• H2: يُتوقع وجود مسار موجب ذي دلالة إحصائية من ثقافة سلامة المرضى إلى سلوكيات السلامة.</w:t>
      </w:r>
    </w:p>
    <w:p w14:paraId="0FB8C8CB" w14:textId="77777777" w:rsidR="00161B2D" w:rsidRPr="000B39C7" w:rsidRDefault="00161B2D" w:rsidP="000B39C7">
      <w:pPr>
        <w:bidi/>
        <w:spacing w:after="60" w:line="360" w:lineRule="auto"/>
        <w:ind w:right="360" w:hanging="259"/>
        <w:rPr>
          <w:rFonts w:ascii="Simplified Arabic" w:hAnsi="Simplified Arabic" w:cs="Simplified Arabic"/>
          <w:sz w:val="24"/>
          <w:szCs w:val="24"/>
        </w:rPr>
      </w:pPr>
      <w:r w:rsidRPr="000B39C7">
        <w:rPr>
          <w:rFonts w:ascii="Simplified Arabic" w:eastAsia="Simplified Arabic" w:hAnsi="Simplified Arabic" w:cs="Simplified Arabic"/>
          <w:sz w:val="24"/>
          <w:szCs w:val="24"/>
          <w:rtl/>
        </w:rPr>
        <w:t>• H3: يُتوقع أن يرتبط ارتفاع سلوكيات السلامة بارتفاع التقليل المُدرَك للأحداث الضارة ارتباطًا موجبًا ذا دلالة إحصائية.</w:t>
      </w:r>
    </w:p>
    <w:p w14:paraId="3EFBD336" w14:textId="77777777" w:rsidR="00161B2D" w:rsidRPr="000B39C7" w:rsidRDefault="00161B2D" w:rsidP="000B39C7">
      <w:pPr>
        <w:bidi/>
        <w:spacing w:after="60" w:line="360" w:lineRule="auto"/>
        <w:ind w:right="360" w:hanging="259"/>
        <w:rPr>
          <w:rFonts w:ascii="Simplified Arabic" w:hAnsi="Simplified Arabic" w:cs="Simplified Arabic"/>
          <w:sz w:val="24"/>
          <w:szCs w:val="24"/>
        </w:rPr>
      </w:pPr>
      <w:r w:rsidRPr="000B39C7">
        <w:rPr>
          <w:rFonts w:ascii="Simplified Arabic" w:hAnsi="Simplified Arabic" w:cs="Simplified Arabic"/>
          <w:sz w:val="24"/>
          <w:szCs w:val="24"/>
          <w:rtl/>
        </w:rPr>
        <w:t xml:space="preserve">• H4: يُتوقع وجود تأثير غير مباشر ذي دلالة إحصائية للقيادة التحويلية في سلوكيات السلامة من خلال ثقافة سلامة المرضى (TL </w:t>
      </w:r>
      <w:r w:rsidRPr="000B39C7">
        <w:rPr>
          <w:rFonts w:ascii="Times New Roman" w:hAnsi="Times New Roman" w:cs="Times New Roman" w:hint="cs"/>
          <w:sz w:val="24"/>
          <w:szCs w:val="24"/>
          <w:rtl/>
        </w:rPr>
        <w:t>→</w:t>
      </w:r>
      <w:r w:rsidRPr="000B39C7">
        <w:rPr>
          <w:rFonts w:ascii="Simplified Arabic" w:hAnsi="Simplified Arabic" w:cs="Simplified Arabic"/>
          <w:sz w:val="24"/>
          <w:szCs w:val="24"/>
          <w:rtl/>
        </w:rPr>
        <w:t xml:space="preserve"> SC </w:t>
      </w:r>
      <w:r w:rsidRPr="000B39C7">
        <w:rPr>
          <w:rFonts w:ascii="Times New Roman" w:hAnsi="Times New Roman" w:cs="Times New Roman" w:hint="cs"/>
          <w:sz w:val="24"/>
          <w:szCs w:val="24"/>
          <w:rtl/>
        </w:rPr>
        <w:t>→</w:t>
      </w:r>
      <w:r w:rsidRPr="000B39C7">
        <w:rPr>
          <w:rFonts w:ascii="Simplified Arabic" w:hAnsi="Simplified Arabic" w:cs="Simplified Arabic"/>
          <w:sz w:val="24"/>
          <w:szCs w:val="24"/>
          <w:rtl/>
        </w:rPr>
        <w:t xml:space="preserve"> SB).</w:t>
      </w:r>
    </w:p>
    <w:p w14:paraId="5DE292AF" w14:textId="77777777" w:rsidR="00161B2D" w:rsidRPr="000B39C7" w:rsidRDefault="00161B2D" w:rsidP="000B39C7">
      <w:pPr>
        <w:bidi/>
        <w:spacing w:after="60" w:line="360" w:lineRule="auto"/>
        <w:ind w:right="360" w:hanging="259"/>
        <w:rPr>
          <w:rFonts w:ascii="Simplified Arabic" w:hAnsi="Simplified Arabic" w:cs="Simplified Arabic"/>
          <w:sz w:val="24"/>
          <w:szCs w:val="24"/>
        </w:rPr>
      </w:pPr>
      <w:r w:rsidRPr="000B39C7">
        <w:rPr>
          <w:rFonts w:ascii="Simplified Arabic" w:eastAsia="Simplified Arabic" w:hAnsi="Simplified Arabic" w:cs="Simplified Arabic"/>
          <w:sz w:val="24"/>
          <w:szCs w:val="24"/>
          <w:rtl/>
        </w:rPr>
        <w:t>• H5: يُتوقع وجود تأثير غير مباشر متتابع ذي دلالة إحصائية للقيادة التحويلية في التقليل المُدرَك للأحداث الضارة من خلال ثقافة سلامة المرضى ثم سلوكيات السلامة (TL → SC → SB → PRAE).</w:t>
      </w:r>
    </w:p>
    <w:p w14:paraId="3469C828" w14:textId="77777777" w:rsidR="00161B2D" w:rsidRPr="000B39C7" w:rsidRDefault="00161B2D" w:rsidP="000B39C7">
      <w:pPr>
        <w:pStyle w:val="1"/>
        <w:bidi/>
        <w:spacing w:before="200" w:after="80" w:line="360" w:lineRule="auto"/>
        <w:rPr>
          <w:rFonts w:ascii="Simplified Arabic" w:hAnsi="Simplified Arabic" w:cs="Simplified Arabic"/>
          <w:color w:val="auto"/>
          <w:sz w:val="24"/>
          <w:szCs w:val="24"/>
        </w:rPr>
      </w:pPr>
      <w:r w:rsidRPr="000B39C7">
        <w:rPr>
          <w:rFonts w:ascii="Simplified Arabic" w:hAnsi="Simplified Arabic" w:cs="Simplified Arabic"/>
          <w:b/>
          <w:color w:val="auto"/>
          <w:sz w:val="24"/>
          <w:szCs w:val="24"/>
          <w:rtl/>
        </w:rPr>
        <w:t>3.11 إجراءات جمع البيانات</w:t>
      </w:r>
    </w:p>
    <w:p w14:paraId="3DDCE587" w14:textId="077BDF4C" w:rsidR="00161B2D" w:rsidRPr="000B39C7" w:rsidRDefault="00982C12" w:rsidP="000B39C7">
      <w:pPr>
        <w:bidi/>
        <w:spacing w:after="100" w:line="360" w:lineRule="auto"/>
        <w:jc w:val="both"/>
        <w:rPr>
          <w:rFonts w:ascii="Simplified Arabic" w:hAnsi="Simplified Arabic" w:cs="Simplified Arabic"/>
          <w:sz w:val="24"/>
          <w:szCs w:val="24"/>
        </w:rPr>
      </w:pPr>
      <w:r w:rsidRPr="000B39C7">
        <w:rPr>
          <w:rFonts w:ascii="Simplified Arabic" w:hAnsi="Simplified Arabic" w:cs="Simplified Arabic"/>
          <w:sz w:val="24"/>
          <w:szCs w:val="24"/>
          <w:rtl/>
        </w:rPr>
        <w:t>لن يبدأ جمع البيانات قبل صدور الموافقات الأخلاقية والمؤسسية، وبعد اعتماد إطار المعاينة، تُرسل الدعوات إلى الأفراد المختارين عبر القنوات المؤسسية، مع إتاحة نسخة إلكترونية ونسخة ورقية عند الحاجة. وتسبق الاستبانة صفحة معلومات توضح الهدف، والطوعية في المشاركة، والمدة المتوقعة، وحق الانسحاب قبل الإرسال، وحدود السرية، وبيانات التواصل مع الباحث والجهة الأخلاقية. لمنع تكرار الاستجابة بين النسختين، يُخصص لكل فرد مختار رمز عشوائي أحادي الاستخدام لا يتضمن الرقم الوظيفي أو أي معلومة تعريفية، ويُستخدم الرمز مرة واحدة في الاستبانة الورقية أو الإلكترونية، وتُحفظ قائمة الربط ـ إن لزم توزيع الدعوات ـ في ملف منفصل مشفر، ثم تُتلف فور إغلاق الجمع والتحقق من عدم التكرار. وإذا ظهر تكرار تقني، تُحتفظ أول استجابة مكتملة وتُحذف النسخة اللاحقة. تستمر عملية الجمع نحو ثمانية أسابيع خلال عام 2026، مع تذكيرين بحد أقصى يفصل بينهما زمن مناسب، ويُراقب تمثيل الطبقات أسبوعيًا حتى لا يطغى مستشفى أو فئة مهنية على العينة، وتُسجل أعداد الدعوات والاستجابات والاستبع</w:t>
      </w:r>
      <w:r w:rsidR="008C0D08">
        <w:rPr>
          <w:rFonts w:ascii="Simplified Arabic" w:hAnsi="Simplified Arabic" w:cs="Simplified Arabic" w:hint="cs"/>
          <w:sz w:val="24"/>
          <w:szCs w:val="24"/>
          <w:rtl/>
        </w:rPr>
        <w:t>ا</w:t>
      </w:r>
      <w:r w:rsidRPr="000B39C7">
        <w:rPr>
          <w:rFonts w:ascii="Simplified Arabic" w:hAnsi="Simplified Arabic" w:cs="Simplified Arabic"/>
          <w:sz w:val="24"/>
          <w:szCs w:val="24"/>
          <w:rtl/>
        </w:rPr>
        <w:t>دات لكل طبقة في مخطط تدفق يُعرض في الفصل الرابع.</w:t>
      </w:r>
    </w:p>
    <w:p w14:paraId="5E5E2FC7" w14:textId="77777777" w:rsidR="00161B2D" w:rsidRPr="00E1305F" w:rsidRDefault="00161B2D" w:rsidP="00161B2D">
      <w:pPr>
        <w:pStyle w:val="1"/>
        <w:bidi/>
        <w:spacing w:before="200" w:after="80"/>
        <w:rPr>
          <w:rFonts w:ascii="Simplified Arabic" w:hAnsi="Simplified Arabic" w:cs="Simplified Arabic"/>
          <w:color w:val="auto"/>
        </w:rPr>
      </w:pPr>
      <w:r w:rsidRPr="00E1305F">
        <w:rPr>
          <w:rFonts w:ascii="Simplified Arabic" w:hAnsi="Simplified Arabic" w:cs="Simplified Arabic"/>
          <w:b/>
          <w:color w:val="auto"/>
          <w:rtl/>
        </w:rPr>
        <w:t>3.12 إعداد البيانات وضبط جودتها</w:t>
      </w:r>
    </w:p>
    <w:p w14:paraId="5E5BC6EC" w14:textId="77777777" w:rsidR="00161B2D" w:rsidRPr="00161B2D" w:rsidRDefault="00161B2D" w:rsidP="00161B2D">
      <w:pPr>
        <w:bidi/>
        <w:spacing w:after="100" w:line="324" w:lineRule="auto"/>
        <w:rPr>
          <w:rFonts w:ascii="Simplified Arabic" w:hAnsi="Simplified Arabic" w:cs="Simplified Arabic"/>
        </w:rPr>
      </w:pPr>
      <w:r w:rsidRPr="00161B2D">
        <w:rPr>
          <w:rFonts w:ascii="Simplified Arabic" w:hAnsi="Simplified Arabic" w:cs="Simplified Arabic"/>
          <w:sz w:val="28"/>
          <w:rtl/>
        </w:rPr>
        <w:t>ستُراجع البيانات قبل التحليل وفق قواعد محددة مسبقًا، حتى تكون قرارات الاستبعاد أو المعالجة قابلة للتكرار ولا تعتمد على النتائج. ويبين الجدول الآتي أهم القواعد الإجرائية.</w:t>
      </w:r>
    </w:p>
    <w:p w14:paraId="01EB3F94"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lastRenderedPageBreak/>
        <w:t>جدول (3-6): قواعد تنظيف البيانات وفحص الافتراضات</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2248"/>
        <w:gridCol w:w="4062"/>
        <w:gridCol w:w="3554"/>
      </w:tblGrid>
      <w:tr w:rsidR="00161B2D" w:rsidRPr="00161B2D" w14:paraId="10C2860D" w14:textId="77777777" w:rsidTr="00084470">
        <w:trPr>
          <w:cantSplit/>
          <w:tblHeader/>
          <w:jc w:val="center"/>
        </w:trPr>
        <w:tc>
          <w:tcPr>
            <w:tcW w:w="2232"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38F2BD33"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0"/>
                <w:rtl/>
              </w:rPr>
              <w:t>المسألة</w:t>
            </w:r>
          </w:p>
        </w:tc>
        <w:tc>
          <w:tcPr>
            <w:tcW w:w="4032"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53511C5A"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0"/>
                <w:rtl/>
              </w:rPr>
              <w:t>معيار القرار</w:t>
            </w:r>
          </w:p>
        </w:tc>
        <w:tc>
          <w:tcPr>
            <w:tcW w:w="3528"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69B99CD5"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0"/>
                <w:rtl/>
              </w:rPr>
              <w:t>الإجراء</w:t>
            </w:r>
          </w:p>
        </w:tc>
      </w:tr>
      <w:tr w:rsidR="00161B2D" w:rsidRPr="00161B2D" w14:paraId="404A25FF" w14:textId="77777777" w:rsidTr="00084470">
        <w:trPr>
          <w:cantSplit/>
          <w:jc w:val="center"/>
        </w:trPr>
        <w:tc>
          <w:tcPr>
            <w:tcW w:w="2232" w:type="dxa"/>
            <w:shd w:val="clear" w:color="auto" w:fill="DCE6F1"/>
            <w:tcMar>
              <w:top w:w="90" w:type="dxa"/>
              <w:left w:w="105" w:type="dxa"/>
              <w:bottom w:w="90" w:type="dxa"/>
              <w:right w:w="105" w:type="dxa"/>
            </w:tcMar>
            <w:vAlign w:val="center"/>
          </w:tcPr>
          <w:p w14:paraId="119D5F1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الاستجابة المكررة</w:t>
            </w:r>
          </w:p>
        </w:tc>
        <w:tc>
          <w:tcPr>
            <w:tcW w:w="4032" w:type="dxa"/>
            <w:shd w:val="clear" w:color="auto" w:fill="EAF2F8"/>
            <w:tcMar>
              <w:top w:w="90" w:type="dxa"/>
              <w:left w:w="105" w:type="dxa"/>
              <w:bottom w:w="90" w:type="dxa"/>
              <w:right w:w="105" w:type="dxa"/>
            </w:tcMar>
            <w:vAlign w:val="center"/>
          </w:tcPr>
          <w:p w14:paraId="5D54C77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الرمز العشوائي الأحادي الاستخدام</w:t>
            </w:r>
          </w:p>
        </w:tc>
        <w:tc>
          <w:tcPr>
            <w:tcW w:w="3528" w:type="dxa"/>
            <w:shd w:val="clear" w:color="auto" w:fill="EAF2F8"/>
            <w:tcMar>
              <w:top w:w="90" w:type="dxa"/>
              <w:left w:w="105" w:type="dxa"/>
              <w:bottom w:w="90" w:type="dxa"/>
              <w:right w:w="105" w:type="dxa"/>
            </w:tcMar>
            <w:vAlign w:val="center"/>
          </w:tcPr>
          <w:p w14:paraId="18744A1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الاحتفاظ بأول استجابة مكتملة وحذف اللاحقة</w:t>
            </w:r>
          </w:p>
        </w:tc>
      </w:tr>
      <w:tr w:rsidR="00161B2D" w:rsidRPr="00161B2D" w14:paraId="2137A450" w14:textId="77777777" w:rsidTr="00084470">
        <w:trPr>
          <w:cantSplit/>
          <w:jc w:val="center"/>
        </w:trPr>
        <w:tc>
          <w:tcPr>
            <w:tcW w:w="2232" w:type="dxa"/>
            <w:shd w:val="clear" w:color="auto" w:fill="DCE6F1"/>
            <w:tcMar>
              <w:top w:w="90" w:type="dxa"/>
              <w:left w:w="105" w:type="dxa"/>
              <w:bottom w:w="90" w:type="dxa"/>
              <w:right w:w="105" w:type="dxa"/>
            </w:tcMar>
            <w:vAlign w:val="center"/>
          </w:tcPr>
          <w:p w14:paraId="77A08DD6"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الفقد الكبير</w:t>
            </w:r>
          </w:p>
        </w:tc>
        <w:tc>
          <w:tcPr>
            <w:tcW w:w="4032" w:type="dxa"/>
            <w:shd w:val="clear" w:color="auto" w:fill="F7FAFC"/>
            <w:tcMar>
              <w:top w:w="90" w:type="dxa"/>
              <w:left w:w="105" w:type="dxa"/>
              <w:bottom w:w="90" w:type="dxa"/>
              <w:right w:w="105" w:type="dxa"/>
            </w:tcMar>
            <w:vAlign w:val="center"/>
          </w:tcPr>
          <w:p w14:paraId="656E41A7"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أكثر من 20% من إجمالي فقرات القياس، أو غياب مقياس كامل</w:t>
            </w:r>
          </w:p>
        </w:tc>
        <w:tc>
          <w:tcPr>
            <w:tcW w:w="3528" w:type="dxa"/>
            <w:shd w:val="clear" w:color="auto" w:fill="F7FAFC"/>
            <w:tcMar>
              <w:top w:w="90" w:type="dxa"/>
              <w:left w:w="105" w:type="dxa"/>
              <w:bottom w:w="90" w:type="dxa"/>
              <w:right w:w="105" w:type="dxa"/>
            </w:tcMar>
            <w:vAlign w:val="center"/>
          </w:tcPr>
          <w:p w14:paraId="51D987B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استبعاد الحالة من التحليل الرئيسي</w:t>
            </w:r>
          </w:p>
        </w:tc>
      </w:tr>
      <w:tr w:rsidR="00161B2D" w:rsidRPr="00161B2D" w14:paraId="229029A2" w14:textId="77777777" w:rsidTr="00084470">
        <w:trPr>
          <w:cantSplit/>
          <w:jc w:val="center"/>
        </w:trPr>
        <w:tc>
          <w:tcPr>
            <w:tcW w:w="2232" w:type="dxa"/>
            <w:shd w:val="clear" w:color="auto" w:fill="DCE6F1"/>
            <w:tcMar>
              <w:top w:w="90" w:type="dxa"/>
              <w:left w:w="105" w:type="dxa"/>
              <w:bottom w:w="90" w:type="dxa"/>
              <w:right w:w="105" w:type="dxa"/>
            </w:tcMar>
            <w:vAlign w:val="center"/>
          </w:tcPr>
          <w:p w14:paraId="6EA7531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الفقد المحدود</w:t>
            </w:r>
          </w:p>
        </w:tc>
        <w:tc>
          <w:tcPr>
            <w:tcW w:w="4032" w:type="dxa"/>
            <w:shd w:val="clear" w:color="auto" w:fill="EAF2F8"/>
            <w:tcMar>
              <w:top w:w="90" w:type="dxa"/>
              <w:left w:w="105" w:type="dxa"/>
              <w:bottom w:w="90" w:type="dxa"/>
              <w:right w:w="105" w:type="dxa"/>
            </w:tcMar>
            <w:vAlign w:val="center"/>
          </w:tcPr>
          <w:p w14:paraId="242ADAB8"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إجابة 80% على الأقل من فقرات كل مقياس</w:t>
            </w:r>
          </w:p>
        </w:tc>
        <w:tc>
          <w:tcPr>
            <w:tcW w:w="3528" w:type="dxa"/>
            <w:shd w:val="clear" w:color="auto" w:fill="EAF2F8"/>
            <w:tcMar>
              <w:top w:w="90" w:type="dxa"/>
              <w:left w:w="105" w:type="dxa"/>
              <w:bottom w:w="90" w:type="dxa"/>
              <w:right w:w="105" w:type="dxa"/>
            </w:tcMar>
            <w:vAlign w:val="center"/>
          </w:tcPr>
          <w:p w14:paraId="1B157E0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استخدام FIML في SEM؛ ولا تُحسب درجة المقياس الوصفية إلا عند استيفاء 80%</w:t>
            </w:r>
          </w:p>
        </w:tc>
      </w:tr>
      <w:tr w:rsidR="00161B2D" w:rsidRPr="00161B2D" w14:paraId="4CB06DCF" w14:textId="77777777" w:rsidTr="00084470">
        <w:trPr>
          <w:cantSplit/>
          <w:jc w:val="center"/>
        </w:trPr>
        <w:tc>
          <w:tcPr>
            <w:tcW w:w="2232" w:type="dxa"/>
            <w:shd w:val="clear" w:color="auto" w:fill="DCE6F1"/>
            <w:tcMar>
              <w:top w:w="90" w:type="dxa"/>
              <w:left w:w="105" w:type="dxa"/>
              <w:bottom w:w="90" w:type="dxa"/>
              <w:right w:w="105" w:type="dxa"/>
            </w:tcMar>
            <w:vAlign w:val="center"/>
          </w:tcPr>
          <w:p w14:paraId="0F99FEF3"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الإجابات النمطية</w:t>
            </w:r>
          </w:p>
        </w:tc>
        <w:tc>
          <w:tcPr>
            <w:tcW w:w="4032" w:type="dxa"/>
            <w:shd w:val="clear" w:color="auto" w:fill="F7FAFC"/>
            <w:tcMar>
              <w:top w:w="90" w:type="dxa"/>
              <w:left w:w="105" w:type="dxa"/>
              <w:bottom w:w="90" w:type="dxa"/>
              <w:right w:w="105" w:type="dxa"/>
            </w:tcMar>
            <w:vAlign w:val="center"/>
          </w:tcPr>
          <w:p w14:paraId="21D6749D"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استجابة واحدة في 90% فأكثر من الفقرات، مع زمن إكمال أقل من ثلث الوسيط أو تباين فردي شديد الانخفاض</w:t>
            </w:r>
          </w:p>
        </w:tc>
        <w:tc>
          <w:tcPr>
            <w:tcW w:w="3528" w:type="dxa"/>
            <w:shd w:val="clear" w:color="auto" w:fill="F7FAFC"/>
            <w:tcMar>
              <w:top w:w="90" w:type="dxa"/>
              <w:left w:w="105" w:type="dxa"/>
              <w:bottom w:w="90" w:type="dxa"/>
              <w:right w:w="105" w:type="dxa"/>
            </w:tcMar>
            <w:vAlign w:val="center"/>
          </w:tcPr>
          <w:p w14:paraId="3B4477B0"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مراجعة الحالة واستبعادها عند اجتماع مؤشرين على الأقل</w:t>
            </w:r>
          </w:p>
        </w:tc>
      </w:tr>
      <w:tr w:rsidR="00161B2D" w:rsidRPr="00161B2D" w14:paraId="775178D8" w14:textId="77777777" w:rsidTr="00084470">
        <w:trPr>
          <w:cantSplit/>
          <w:jc w:val="center"/>
        </w:trPr>
        <w:tc>
          <w:tcPr>
            <w:tcW w:w="2232" w:type="dxa"/>
            <w:shd w:val="clear" w:color="auto" w:fill="DCE6F1"/>
            <w:tcMar>
              <w:top w:w="90" w:type="dxa"/>
              <w:left w:w="105" w:type="dxa"/>
              <w:bottom w:w="90" w:type="dxa"/>
              <w:right w:w="105" w:type="dxa"/>
            </w:tcMar>
            <w:vAlign w:val="center"/>
          </w:tcPr>
          <w:p w14:paraId="277173FE"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القيم المتطرفة الأحادية</w:t>
            </w:r>
          </w:p>
        </w:tc>
        <w:tc>
          <w:tcPr>
            <w:tcW w:w="4032" w:type="dxa"/>
            <w:shd w:val="clear" w:color="auto" w:fill="EAF2F8"/>
            <w:tcMar>
              <w:top w:w="90" w:type="dxa"/>
              <w:left w:w="105" w:type="dxa"/>
              <w:bottom w:w="90" w:type="dxa"/>
              <w:right w:w="105" w:type="dxa"/>
            </w:tcMar>
            <w:vAlign w:val="center"/>
          </w:tcPr>
          <w:p w14:paraId="467BB04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القيمة المطلقة لـ z أكبر من 3.29</w:t>
            </w:r>
          </w:p>
        </w:tc>
        <w:tc>
          <w:tcPr>
            <w:tcW w:w="3528" w:type="dxa"/>
            <w:shd w:val="clear" w:color="auto" w:fill="EAF2F8"/>
            <w:tcMar>
              <w:top w:w="90" w:type="dxa"/>
              <w:left w:w="105" w:type="dxa"/>
              <w:bottom w:w="90" w:type="dxa"/>
              <w:right w:w="105" w:type="dxa"/>
            </w:tcMar>
            <w:vAlign w:val="center"/>
          </w:tcPr>
          <w:p w14:paraId="1226D8A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الفحص والتحقق من خطأ الإدخال؛ لا حذف آلي</w:t>
            </w:r>
          </w:p>
        </w:tc>
      </w:tr>
      <w:tr w:rsidR="00161B2D" w:rsidRPr="00161B2D" w14:paraId="52420C45" w14:textId="77777777" w:rsidTr="00084470">
        <w:trPr>
          <w:cantSplit/>
          <w:jc w:val="center"/>
        </w:trPr>
        <w:tc>
          <w:tcPr>
            <w:tcW w:w="2232" w:type="dxa"/>
            <w:shd w:val="clear" w:color="auto" w:fill="DCE6F1"/>
            <w:tcMar>
              <w:top w:w="90" w:type="dxa"/>
              <w:left w:w="105" w:type="dxa"/>
              <w:bottom w:w="90" w:type="dxa"/>
              <w:right w:w="105" w:type="dxa"/>
            </w:tcMar>
            <w:vAlign w:val="center"/>
          </w:tcPr>
          <w:p w14:paraId="0B95E6F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القيم المتطرفة المتعددة</w:t>
            </w:r>
          </w:p>
        </w:tc>
        <w:tc>
          <w:tcPr>
            <w:tcW w:w="4032" w:type="dxa"/>
            <w:shd w:val="clear" w:color="auto" w:fill="F7FAFC"/>
            <w:tcMar>
              <w:top w:w="90" w:type="dxa"/>
              <w:left w:w="105" w:type="dxa"/>
              <w:bottom w:w="90" w:type="dxa"/>
              <w:right w:w="105" w:type="dxa"/>
            </w:tcMar>
            <w:vAlign w:val="center"/>
          </w:tcPr>
          <w:p w14:paraId="10C9516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مسافة ماهالانوبيس بدلالة أقل من 0.001</w:t>
            </w:r>
          </w:p>
        </w:tc>
        <w:tc>
          <w:tcPr>
            <w:tcW w:w="3528" w:type="dxa"/>
            <w:shd w:val="clear" w:color="auto" w:fill="F7FAFC"/>
            <w:tcMar>
              <w:top w:w="90" w:type="dxa"/>
              <w:left w:w="105" w:type="dxa"/>
              <w:bottom w:w="90" w:type="dxa"/>
              <w:right w:w="105" w:type="dxa"/>
            </w:tcMar>
            <w:vAlign w:val="center"/>
          </w:tcPr>
          <w:p w14:paraId="164438C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تحليل حساسية قبل وبعد الحالة</w:t>
            </w:r>
          </w:p>
        </w:tc>
      </w:tr>
      <w:tr w:rsidR="00161B2D" w:rsidRPr="00161B2D" w14:paraId="5E9563D1" w14:textId="77777777" w:rsidTr="00084470">
        <w:trPr>
          <w:cantSplit/>
          <w:jc w:val="center"/>
        </w:trPr>
        <w:tc>
          <w:tcPr>
            <w:tcW w:w="2232" w:type="dxa"/>
            <w:shd w:val="clear" w:color="auto" w:fill="DCE6F1"/>
            <w:tcMar>
              <w:top w:w="90" w:type="dxa"/>
              <w:left w:w="105" w:type="dxa"/>
              <w:bottom w:w="90" w:type="dxa"/>
              <w:right w:w="105" w:type="dxa"/>
            </w:tcMar>
            <w:vAlign w:val="center"/>
          </w:tcPr>
          <w:p w14:paraId="4ADD89D5"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الاعتدال الأحادي</w:t>
            </w:r>
          </w:p>
        </w:tc>
        <w:tc>
          <w:tcPr>
            <w:tcW w:w="4032" w:type="dxa"/>
            <w:shd w:val="clear" w:color="auto" w:fill="EAF2F8"/>
            <w:tcMar>
              <w:top w:w="90" w:type="dxa"/>
              <w:left w:w="105" w:type="dxa"/>
              <w:bottom w:w="90" w:type="dxa"/>
              <w:right w:w="105" w:type="dxa"/>
            </w:tcMar>
            <w:vAlign w:val="center"/>
          </w:tcPr>
          <w:p w14:paraId="2FFD9742"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الالتواء ضمن ±2 والتفلطح ضمن ±7</w:t>
            </w:r>
          </w:p>
        </w:tc>
        <w:tc>
          <w:tcPr>
            <w:tcW w:w="3528" w:type="dxa"/>
            <w:shd w:val="clear" w:color="auto" w:fill="EAF2F8"/>
            <w:tcMar>
              <w:top w:w="90" w:type="dxa"/>
              <w:left w:w="105" w:type="dxa"/>
              <w:bottom w:w="90" w:type="dxa"/>
              <w:right w:w="105" w:type="dxa"/>
            </w:tcMar>
            <w:vAlign w:val="center"/>
          </w:tcPr>
          <w:p w14:paraId="2EA08184"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استخدام Bootstrap/Bollen–Stine إذا ظهر انحراف جوهري</w:t>
            </w:r>
          </w:p>
        </w:tc>
      </w:tr>
      <w:tr w:rsidR="00161B2D" w:rsidRPr="00161B2D" w14:paraId="7315A296" w14:textId="77777777" w:rsidTr="00084470">
        <w:trPr>
          <w:cantSplit/>
          <w:jc w:val="center"/>
        </w:trPr>
        <w:tc>
          <w:tcPr>
            <w:tcW w:w="2232" w:type="dxa"/>
            <w:shd w:val="clear" w:color="auto" w:fill="DCE6F1"/>
            <w:tcMar>
              <w:top w:w="90" w:type="dxa"/>
              <w:left w:w="105" w:type="dxa"/>
              <w:bottom w:w="90" w:type="dxa"/>
              <w:right w:w="105" w:type="dxa"/>
            </w:tcMar>
            <w:vAlign w:val="center"/>
          </w:tcPr>
          <w:p w14:paraId="242331FA"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التعددية الخطية</w:t>
            </w:r>
          </w:p>
        </w:tc>
        <w:tc>
          <w:tcPr>
            <w:tcW w:w="4032" w:type="dxa"/>
            <w:shd w:val="clear" w:color="auto" w:fill="F7FAFC"/>
            <w:tcMar>
              <w:top w:w="90" w:type="dxa"/>
              <w:left w:w="105" w:type="dxa"/>
              <w:bottom w:w="90" w:type="dxa"/>
              <w:right w:w="105" w:type="dxa"/>
            </w:tcMar>
            <w:vAlign w:val="center"/>
          </w:tcPr>
          <w:p w14:paraId="7541109E"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VIF أقل من 5 وTolerance أكبر من 0.20</w:t>
            </w:r>
          </w:p>
        </w:tc>
        <w:tc>
          <w:tcPr>
            <w:tcW w:w="3528" w:type="dxa"/>
            <w:shd w:val="clear" w:color="auto" w:fill="F7FAFC"/>
            <w:tcMar>
              <w:top w:w="90" w:type="dxa"/>
              <w:left w:w="105" w:type="dxa"/>
              <w:bottom w:w="90" w:type="dxa"/>
              <w:right w:w="105" w:type="dxa"/>
            </w:tcMar>
            <w:vAlign w:val="center"/>
          </w:tcPr>
          <w:p w14:paraId="5C278491"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مراجعة المتغيرات المتداخلة قبل SEM</w:t>
            </w:r>
          </w:p>
        </w:tc>
      </w:tr>
      <w:tr w:rsidR="00161B2D" w:rsidRPr="00161B2D" w14:paraId="508776CE" w14:textId="77777777" w:rsidTr="00084470">
        <w:trPr>
          <w:cantSplit/>
          <w:jc w:val="center"/>
        </w:trPr>
        <w:tc>
          <w:tcPr>
            <w:tcW w:w="2232" w:type="dxa"/>
            <w:shd w:val="clear" w:color="auto" w:fill="DCE6F1"/>
            <w:tcMar>
              <w:top w:w="90" w:type="dxa"/>
              <w:left w:w="105" w:type="dxa"/>
              <w:bottom w:w="90" w:type="dxa"/>
              <w:right w:w="105" w:type="dxa"/>
            </w:tcMar>
            <w:vAlign w:val="center"/>
          </w:tcPr>
          <w:p w14:paraId="200B549F"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b/>
                <w:color w:val="1F4E78"/>
                <w:sz w:val="18"/>
                <w:rtl/>
              </w:rPr>
              <w:t>تحيز عدم الاستجابة</w:t>
            </w:r>
          </w:p>
        </w:tc>
        <w:tc>
          <w:tcPr>
            <w:tcW w:w="4032" w:type="dxa"/>
            <w:shd w:val="clear" w:color="auto" w:fill="EAF2F8"/>
            <w:tcMar>
              <w:top w:w="90" w:type="dxa"/>
              <w:left w:w="105" w:type="dxa"/>
              <w:bottom w:w="90" w:type="dxa"/>
              <w:right w:w="105" w:type="dxa"/>
            </w:tcMar>
            <w:vAlign w:val="center"/>
          </w:tcPr>
          <w:p w14:paraId="6DBA229D"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مقارنة المستجيبين المبكرين والمتأخرين وتمثيل الطبقات</w:t>
            </w:r>
          </w:p>
        </w:tc>
        <w:tc>
          <w:tcPr>
            <w:tcW w:w="3528" w:type="dxa"/>
            <w:shd w:val="clear" w:color="auto" w:fill="EAF2F8"/>
            <w:tcMar>
              <w:top w:w="90" w:type="dxa"/>
              <w:left w:w="105" w:type="dxa"/>
              <w:bottom w:w="90" w:type="dxa"/>
              <w:right w:w="105" w:type="dxa"/>
            </w:tcMar>
            <w:vAlign w:val="center"/>
          </w:tcPr>
          <w:p w14:paraId="18CECC7C" w14:textId="77777777" w:rsidR="00161B2D" w:rsidRPr="00161B2D" w:rsidRDefault="00161B2D" w:rsidP="00161B2D">
            <w:pPr>
              <w:keepLines/>
              <w:bidi/>
              <w:spacing w:after="0" w:line="240" w:lineRule="auto"/>
              <w:rPr>
                <w:rFonts w:ascii="Simplified Arabic" w:hAnsi="Simplified Arabic" w:cs="Simplified Arabic"/>
              </w:rPr>
            </w:pPr>
            <w:r w:rsidRPr="00161B2D">
              <w:rPr>
                <w:rFonts w:ascii="Simplified Arabic" w:eastAsia="Sakkal Majalla" w:hAnsi="Simplified Arabic" w:cs="Simplified Arabic"/>
                <w:color w:val="1F1F1F"/>
                <w:sz w:val="18"/>
                <w:rtl/>
              </w:rPr>
              <w:t>الإفصاح عن أي فروق جوهرية وتقييد التعميم</w:t>
            </w:r>
          </w:p>
        </w:tc>
      </w:tr>
    </w:tbl>
    <w:p w14:paraId="3E705568" w14:textId="4519D51C" w:rsidR="00161B2D" w:rsidRPr="005E1B7E" w:rsidRDefault="00356244" w:rsidP="00161B2D">
      <w:pPr>
        <w:pStyle w:val="1"/>
        <w:bidi/>
        <w:spacing w:before="200" w:after="80"/>
        <w:rPr>
          <w:rFonts w:ascii="Simplified Arabic" w:hAnsi="Simplified Arabic" w:cs="Simplified Arabic"/>
          <w:bCs/>
          <w:color w:val="auto"/>
        </w:rPr>
      </w:pPr>
      <w:r w:rsidRPr="005E1B7E">
        <w:rPr>
          <w:rFonts w:ascii="Simplified Arabic" w:hAnsi="Simplified Arabic" w:cs="Simplified Arabic" w:hint="cs"/>
          <w:bCs/>
          <w:color w:val="auto"/>
          <w:rtl/>
        </w:rPr>
        <w:t>3.1</w:t>
      </w:r>
      <w:r w:rsidR="007177B9">
        <w:rPr>
          <w:rFonts w:ascii="Simplified Arabic" w:hAnsi="Simplified Arabic" w:cs="Simplified Arabic" w:hint="cs"/>
          <w:bCs/>
          <w:color w:val="auto"/>
          <w:rtl/>
        </w:rPr>
        <w:t>3</w:t>
      </w:r>
      <w:r w:rsidR="00161B2D" w:rsidRPr="005E1B7E">
        <w:rPr>
          <w:rFonts w:ascii="Simplified Arabic" w:hAnsi="Simplified Arabic" w:cs="Simplified Arabic"/>
          <w:bCs/>
          <w:color w:val="auto"/>
          <w:rtl/>
        </w:rPr>
        <w:t xml:space="preserve"> خطة التحليل الإحصائي</w:t>
      </w:r>
    </w:p>
    <w:p w14:paraId="768953C4" w14:textId="38E7F017" w:rsidR="00161B2D" w:rsidRPr="005E1B7E" w:rsidRDefault="00161B2D" w:rsidP="00161B2D">
      <w:pPr>
        <w:pStyle w:val="2"/>
        <w:bidi/>
        <w:spacing w:before="120" w:after="80"/>
        <w:rPr>
          <w:rFonts w:ascii="Simplified Arabic" w:hAnsi="Simplified Arabic" w:cs="Simplified Arabic"/>
          <w:bCs/>
          <w:color w:val="auto"/>
        </w:rPr>
      </w:pPr>
      <w:r w:rsidRPr="005E1B7E">
        <w:rPr>
          <w:rFonts w:ascii="Simplified Arabic" w:hAnsi="Simplified Arabic" w:cs="Simplified Arabic"/>
          <w:bCs/>
          <w:color w:val="auto"/>
          <w:sz w:val="30"/>
          <w:rtl/>
        </w:rPr>
        <w:t>3.</w:t>
      </w:r>
      <w:r w:rsidR="007177B9">
        <w:rPr>
          <w:rFonts w:ascii="Simplified Arabic" w:hAnsi="Simplified Arabic" w:cs="Simplified Arabic" w:hint="cs"/>
          <w:bCs/>
          <w:color w:val="auto"/>
          <w:sz w:val="30"/>
          <w:rtl/>
        </w:rPr>
        <w:t>1</w:t>
      </w:r>
      <w:r w:rsidRPr="005E1B7E">
        <w:rPr>
          <w:rFonts w:ascii="Simplified Arabic" w:hAnsi="Simplified Arabic" w:cs="Simplified Arabic"/>
          <w:bCs/>
          <w:color w:val="auto"/>
          <w:sz w:val="30"/>
          <w:rtl/>
        </w:rPr>
        <w:t>3.1 البرامج والإحصاء الوصفي</w:t>
      </w:r>
    </w:p>
    <w:p w14:paraId="0D5F7001" w14:textId="4A6D0CC7" w:rsidR="00161B2D" w:rsidRPr="00161B2D" w:rsidRDefault="00982C12" w:rsidP="00A6688C">
      <w:pPr>
        <w:bidi/>
        <w:spacing w:after="100" w:line="324" w:lineRule="auto"/>
        <w:jc w:val="both"/>
        <w:rPr>
          <w:rFonts w:ascii="Simplified Arabic" w:hAnsi="Simplified Arabic" w:cs="Simplified Arabic"/>
        </w:rPr>
      </w:pPr>
      <w:r>
        <w:rPr>
          <w:rFonts w:ascii="Simplified Arabic" w:hAnsi="Simplified Arabic" w:cs="Simplified Arabic"/>
          <w:sz w:val="28"/>
          <w:rtl/>
        </w:rPr>
        <w:t xml:space="preserve">ستُحلل البيانات باستخدام </w:t>
      </w:r>
      <w:r>
        <w:rPr>
          <w:rFonts w:ascii="Simplified Arabic" w:hAnsi="Simplified Arabic" w:cs="Simplified Arabic"/>
          <w:sz w:val="28"/>
        </w:rPr>
        <w:t>IBM SPSS Statistics</w:t>
      </w:r>
      <w:r>
        <w:rPr>
          <w:rFonts w:ascii="Simplified Arabic" w:hAnsi="Simplified Arabic" w:cs="Simplified Arabic"/>
          <w:sz w:val="28"/>
          <w:rtl/>
        </w:rPr>
        <w:t xml:space="preserve"> الإصدار 28 و</w:t>
      </w:r>
      <w:r>
        <w:rPr>
          <w:rFonts w:ascii="Simplified Arabic" w:hAnsi="Simplified Arabic" w:cs="Simplified Arabic"/>
          <w:sz w:val="28"/>
        </w:rPr>
        <w:t>IBM SPSS AMOS</w:t>
      </w:r>
      <w:r>
        <w:rPr>
          <w:rFonts w:ascii="Simplified Arabic" w:hAnsi="Simplified Arabic" w:cs="Simplified Arabic"/>
          <w:sz w:val="28"/>
          <w:rtl/>
        </w:rPr>
        <w:t xml:space="preserve"> الإصدار 28. وتُعرض الخصائص الديموغرافية بالتكرارات والنسب، والمتغيرات الكمية بالمتوسط والانحراف المعياري والوسيط والمدى عند الحاجة. وإذا صُنفت مستويات المتوسطات لأغراض الوصف، فسيُستخدم التقسيم المتساوي لمقياس ليكرت الخماسي: 1.00–1.80 منخفض جدًا، 1.81–2.60 منخفض، 2.61–3.40 متوسط، 3.41–4.20 مرتفع، 4.21–5.00 مرتفع جدًا، مع التأكيد على أن هذه الحدود وصفية وليست أحكامًا معيارية.</w:t>
      </w:r>
    </w:p>
    <w:p w14:paraId="21589C20" w14:textId="34F26232" w:rsidR="00161B2D" w:rsidRPr="005E1B7E" w:rsidRDefault="00161B2D" w:rsidP="00161B2D">
      <w:pPr>
        <w:pStyle w:val="2"/>
        <w:bidi/>
        <w:spacing w:before="120" w:after="80"/>
        <w:rPr>
          <w:rFonts w:ascii="Simplified Arabic" w:hAnsi="Simplified Arabic" w:cs="Simplified Arabic"/>
          <w:bCs/>
          <w:color w:val="auto"/>
        </w:rPr>
      </w:pPr>
      <w:r w:rsidRPr="005E1B7E">
        <w:rPr>
          <w:rFonts w:ascii="Simplified Arabic" w:hAnsi="Simplified Arabic" w:cs="Simplified Arabic"/>
          <w:bCs/>
          <w:color w:val="auto"/>
          <w:sz w:val="30"/>
          <w:rtl/>
        </w:rPr>
        <w:t>3.</w:t>
      </w:r>
      <w:r w:rsidR="007177B9">
        <w:rPr>
          <w:rFonts w:ascii="Simplified Arabic" w:hAnsi="Simplified Arabic" w:cs="Simplified Arabic" w:hint="cs"/>
          <w:bCs/>
          <w:color w:val="auto"/>
          <w:sz w:val="30"/>
          <w:rtl/>
        </w:rPr>
        <w:t>1</w:t>
      </w:r>
      <w:r w:rsidRPr="005E1B7E">
        <w:rPr>
          <w:rFonts w:ascii="Simplified Arabic" w:hAnsi="Simplified Arabic" w:cs="Simplified Arabic"/>
          <w:bCs/>
          <w:color w:val="auto"/>
          <w:sz w:val="30"/>
          <w:rtl/>
        </w:rPr>
        <w:t>3.2 نموذج القياس والنموذج الهيكلي</w:t>
      </w:r>
    </w:p>
    <w:p w14:paraId="07A26F02" w14:textId="63199657" w:rsidR="00161B2D" w:rsidRDefault="003B5EB7" w:rsidP="00A6688C">
      <w:pPr>
        <w:bidi/>
        <w:spacing w:after="100" w:line="324" w:lineRule="auto"/>
        <w:jc w:val="both"/>
        <w:rPr>
          <w:rFonts w:ascii="Simplified Arabic" w:hAnsi="Simplified Arabic" w:cs="Simplified Arabic"/>
          <w:sz w:val="24"/>
          <w:szCs w:val="24"/>
          <w:rtl/>
        </w:rPr>
      </w:pPr>
      <w:r w:rsidRPr="003B5EB7">
        <w:rPr>
          <w:rFonts w:ascii="Simplified Arabic" w:eastAsia="Arial" w:hAnsi="Simplified Arabic" w:cs="Simplified Arabic"/>
          <w:color w:val="000000"/>
          <w:sz w:val="24"/>
          <w:szCs w:val="24"/>
          <w:rtl/>
        </w:rPr>
        <w:t xml:space="preserve">يُتبع نهج التحليل على مرحلتين وفق ما أوصى به Anderson و Gerbing (1988): يُختبر نموذج القياس أولًا ويُتحقق من صدقه وثباته، ثم يُقدَّر النموذج الهيكلي بعد قبوله. وتُستخدم طريقة الأرجحية القصوى مع فحص الاعتدال </w:t>
      </w:r>
      <w:r w:rsidRPr="003B5EB7">
        <w:rPr>
          <w:rFonts w:ascii="Simplified Arabic" w:hAnsi="Simplified Arabic" w:cs="Simplified Arabic"/>
          <w:sz w:val="24"/>
          <w:szCs w:val="24"/>
          <w:rtl/>
        </w:rPr>
        <w:t>المتعدد.</w:t>
      </w:r>
      <w:r>
        <w:rPr>
          <w:rFonts w:ascii="Simplified Arabic" w:hAnsi="Simplified Arabic" w:cs="Simplified Arabic" w:hint="cs"/>
          <w:sz w:val="24"/>
          <w:szCs w:val="24"/>
          <w:rtl/>
        </w:rPr>
        <w:t xml:space="preserve"> </w:t>
      </w:r>
      <w:r w:rsidR="00982C12">
        <w:rPr>
          <w:rFonts w:ascii="Simplified Arabic" w:hAnsi="Simplified Arabic" w:cs="Simplified Arabic"/>
          <w:sz w:val="24"/>
          <w:szCs w:val="24"/>
          <w:rtl/>
        </w:rPr>
        <w:t xml:space="preserve">وعند وجود </w:t>
      </w:r>
      <w:r w:rsidR="00982C12">
        <w:rPr>
          <w:rFonts w:ascii="Simplified Arabic" w:hAnsi="Simplified Arabic" w:cs="Simplified Arabic" w:hint="cs"/>
          <w:sz w:val="24"/>
          <w:szCs w:val="24"/>
          <w:rtl/>
        </w:rPr>
        <w:t>لا اعتدا</w:t>
      </w:r>
      <w:r w:rsidR="00982C12">
        <w:rPr>
          <w:rFonts w:ascii="Simplified Arabic" w:hAnsi="Simplified Arabic" w:cs="Simplified Arabic" w:hint="eastAsia"/>
          <w:sz w:val="24"/>
          <w:szCs w:val="24"/>
          <w:rtl/>
        </w:rPr>
        <w:t>ل</w:t>
      </w:r>
      <w:r w:rsidR="00982C12">
        <w:rPr>
          <w:rFonts w:ascii="Simplified Arabic" w:hAnsi="Simplified Arabic" w:cs="Simplified Arabic"/>
          <w:sz w:val="24"/>
          <w:szCs w:val="24"/>
          <w:rtl/>
        </w:rPr>
        <w:t xml:space="preserve"> ملحوظ، تُستخدم إجراءات </w:t>
      </w:r>
      <w:r w:rsidR="00982C12">
        <w:rPr>
          <w:rFonts w:ascii="Simplified Arabic" w:hAnsi="Simplified Arabic" w:cs="Simplified Arabic"/>
          <w:sz w:val="24"/>
          <w:szCs w:val="24"/>
        </w:rPr>
        <w:t>Bootstrap</w:t>
      </w:r>
      <w:r w:rsidR="00982C12">
        <w:rPr>
          <w:rFonts w:ascii="Simplified Arabic" w:hAnsi="Simplified Arabic" w:cs="Simplified Arabic"/>
          <w:sz w:val="24"/>
          <w:szCs w:val="24"/>
          <w:rtl/>
        </w:rPr>
        <w:t xml:space="preserve"> و</w:t>
      </w:r>
      <w:r w:rsidR="00982C12">
        <w:rPr>
          <w:rFonts w:ascii="Simplified Arabic" w:hAnsi="Simplified Arabic" w:cs="Simplified Arabic"/>
          <w:sz w:val="24"/>
          <w:szCs w:val="24"/>
        </w:rPr>
        <w:t>Bollen–Stine</w:t>
      </w:r>
      <w:r w:rsidR="00982C12">
        <w:rPr>
          <w:rFonts w:ascii="Simplified Arabic" w:hAnsi="Simplified Arabic" w:cs="Simplified Arabic"/>
          <w:sz w:val="24"/>
          <w:szCs w:val="24"/>
          <w:rtl/>
        </w:rPr>
        <w:t xml:space="preserve"> في </w:t>
      </w:r>
      <w:r w:rsidR="00982C12">
        <w:rPr>
          <w:rFonts w:ascii="Simplified Arabic" w:hAnsi="Simplified Arabic" w:cs="Simplified Arabic"/>
          <w:sz w:val="24"/>
          <w:szCs w:val="24"/>
        </w:rPr>
        <w:t>AMOS</w:t>
      </w:r>
      <w:r w:rsidR="00982C12">
        <w:rPr>
          <w:rFonts w:ascii="Simplified Arabic" w:hAnsi="Simplified Arabic" w:cs="Simplified Arabic"/>
          <w:sz w:val="24"/>
          <w:szCs w:val="24"/>
          <w:rtl/>
        </w:rPr>
        <w:t xml:space="preserve"> بدلًا من الادعاء باستخدام تقدير متين غير متاح في البرنامج بنفس الصورة. تُفسر معاملات المسار المعيارية وفترات الثقة وقيم </w:t>
      </w:r>
      <w:r w:rsidR="00982C12">
        <w:rPr>
          <w:rFonts w:ascii="Simplified Arabic" w:hAnsi="Simplified Arabic" w:cs="Simplified Arabic"/>
          <w:sz w:val="24"/>
          <w:szCs w:val="24"/>
        </w:rPr>
        <w:t>R²</w:t>
      </w:r>
      <w:r w:rsidR="00982C12">
        <w:rPr>
          <w:rFonts w:ascii="Simplified Arabic" w:hAnsi="Simplified Arabic" w:cs="Simplified Arabic"/>
          <w:sz w:val="24"/>
          <w:szCs w:val="24"/>
          <w:rtl/>
        </w:rPr>
        <w:t xml:space="preserve">، ولا يُكتفى بقيمة </w:t>
      </w:r>
      <w:r w:rsidR="00982C12">
        <w:rPr>
          <w:rFonts w:ascii="Simplified Arabic" w:hAnsi="Simplified Arabic" w:cs="Simplified Arabic"/>
          <w:sz w:val="24"/>
          <w:szCs w:val="24"/>
        </w:rPr>
        <w:t>p</w:t>
      </w:r>
      <w:r w:rsidR="00982C12">
        <w:rPr>
          <w:rFonts w:ascii="Simplified Arabic" w:hAnsi="Simplified Arabic" w:cs="Simplified Arabic"/>
          <w:sz w:val="24"/>
          <w:szCs w:val="24"/>
          <w:rtl/>
        </w:rPr>
        <w:t xml:space="preserve"> وحدها. وتُقدر التأثيرات غير المباشرة باستخدام 5,000 عينة </w:t>
      </w:r>
      <w:r w:rsidR="00982C12">
        <w:rPr>
          <w:rFonts w:ascii="Simplified Arabic" w:hAnsi="Simplified Arabic" w:cs="Simplified Arabic"/>
          <w:sz w:val="24"/>
          <w:szCs w:val="24"/>
        </w:rPr>
        <w:t>Bootstrap</w:t>
      </w:r>
      <w:r w:rsidR="00982C12">
        <w:rPr>
          <w:rFonts w:ascii="Simplified Arabic" w:hAnsi="Simplified Arabic" w:cs="Simplified Arabic"/>
          <w:sz w:val="24"/>
          <w:szCs w:val="24"/>
          <w:rtl/>
        </w:rPr>
        <w:t xml:space="preserve"> وفترات ثقة مصححة للتحيز بنسبة 95%. ويُعد التأثير غير المباشر دالًا إذا لم تتضمن فترة الثقة الصفر </w:t>
      </w:r>
      <w:r w:rsidR="00982C12">
        <w:rPr>
          <w:rFonts w:ascii="Simplified Arabic" w:hAnsi="Simplified Arabic" w:cs="Simplified Arabic"/>
          <w:sz w:val="24"/>
          <w:szCs w:val="24"/>
          <w:rtl/>
        </w:rPr>
        <w:lastRenderedPageBreak/>
        <w:t>(</w:t>
      </w:r>
      <w:r w:rsidR="00982C12">
        <w:rPr>
          <w:rFonts w:ascii="Simplified Arabic" w:hAnsi="Simplified Arabic" w:cs="Simplified Arabic"/>
          <w:sz w:val="24"/>
          <w:szCs w:val="24"/>
        </w:rPr>
        <w:t>Hayes, 2013</w:t>
      </w:r>
      <w:r w:rsidR="00982C12">
        <w:rPr>
          <w:rFonts w:ascii="Simplified Arabic" w:hAnsi="Simplified Arabic" w:cs="Simplified Arabic"/>
          <w:sz w:val="24"/>
          <w:szCs w:val="24"/>
          <w:rtl/>
        </w:rPr>
        <w:t>). وتُدرج المتغيرات الضابطة في النموذج وفق ترميزها المناسب، بشرط وجود مبرر نظري وعدم إحداث تعددية خطية أو استنزاف غير ضروري لدرجات الحرية.</w:t>
      </w:r>
    </w:p>
    <w:p w14:paraId="269CB3D0" w14:textId="69648C0F" w:rsidR="00352BC2" w:rsidRPr="00A6688C" w:rsidRDefault="00352BC2" w:rsidP="00352BC2">
      <w:pPr>
        <w:bidi/>
        <w:spacing w:after="100" w:line="324" w:lineRule="auto"/>
        <w:jc w:val="both"/>
        <w:rPr>
          <w:rFonts w:ascii="Simplified Arabic" w:hAnsi="Simplified Arabic" w:cs="Simplified Arabic"/>
          <w:sz w:val="24"/>
          <w:szCs w:val="24"/>
        </w:rPr>
      </w:pPr>
      <w:r w:rsidRPr="00352BC2">
        <w:rPr>
          <w:rFonts w:ascii="Simplified Arabic" w:hAnsi="Simplified Arabic" w:cs="Simplified Arabic"/>
          <w:sz w:val="24"/>
          <w:szCs w:val="24"/>
          <w:rtl/>
        </w:rPr>
        <w:t>ويُقصد بعدد عينات إعادة المعاينة البالغ 5,000 أن يُعاد السحب بالإرجاع من الاستجابات الصالحة نفسها خمسة آلاف مرة لبناء التوزيع التجريبي للأثر غير المباشر، ولا يعني ذلك جمع بيانات إضافية من المشاركين؛ إذ يبقى حجم العينة الميدانية هو المحدد في البند 3.4.1</w:t>
      </w:r>
      <w:r w:rsidRPr="00352BC2">
        <w:rPr>
          <w:rFonts w:ascii="Simplified Arabic" w:hAnsi="Simplified Arabic" w:cs="Simplified Arabic"/>
          <w:sz w:val="24"/>
          <w:szCs w:val="24"/>
        </w:rPr>
        <w:t>.</w:t>
      </w:r>
    </w:p>
    <w:p w14:paraId="7D895645" w14:textId="77777777" w:rsidR="00586708" w:rsidRPr="005E1B7E" w:rsidRDefault="00000000" w:rsidP="00A6688C">
      <w:pPr>
        <w:keepNext/>
        <w:bidi/>
        <w:rPr>
          <w:rFonts w:ascii="Simplified Arabic" w:hAnsi="Simplified Arabic" w:cs="Simplified Arabic"/>
          <w:bCs/>
          <w:sz w:val="28"/>
          <w:szCs w:val="28"/>
        </w:rPr>
      </w:pPr>
      <w:r w:rsidRPr="005E1B7E">
        <w:rPr>
          <w:rFonts w:ascii="Simplified Arabic" w:eastAsia="Traditional Arabic" w:hAnsi="Simplified Arabic" w:cs="Simplified Arabic"/>
          <w:bCs/>
          <w:sz w:val="28"/>
          <w:szCs w:val="28"/>
          <w:rtl/>
        </w:rPr>
        <w:t>3.13.3 فحص أثر التجمع داخل المستشفيات</w:t>
      </w:r>
    </w:p>
    <w:p w14:paraId="18BF9E43" w14:textId="191D11C3" w:rsidR="00586708" w:rsidRPr="00A6688C" w:rsidRDefault="00257A20" w:rsidP="00257A20">
      <w:pPr>
        <w:bidi/>
        <w:spacing w:line="360" w:lineRule="auto"/>
        <w:jc w:val="both"/>
        <w:rPr>
          <w:rFonts w:ascii="Simplified Arabic" w:hAnsi="Simplified Arabic" w:cs="Simplified Arabic"/>
          <w:sz w:val="24"/>
          <w:szCs w:val="24"/>
        </w:rPr>
      </w:pPr>
      <w:r w:rsidRPr="00257A20">
        <w:rPr>
          <w:rFonts w:ascii="Simplified Arabic" w:hAnsi="Simplified Arabic" w:cs="Simplified Arabic"/>
          <w:color w:val="000000"/>
          <w:sz w:val="24"/>
          <w:szCs w:val="24"/>
          <w:rtl/>
        </w:rPr>
        <w:t xml:space="preserve">ولمّا كان المشاركون متجمّعين داخل تسعة مستشفيات، يُحسب معامل الارتباط داخل المجموعة </w:t>
      </w:r>
      <w:r w:rsidRPr="00257A20">
        <w:rPr>
          <w:rFonts w:ascii="Simplified Arabic" w:hAnsi="Simplified Arabic" w:cs="Simplified Arabic"/>
          <w:color w:val="000000"/>
          <w:sz w:val="24"/>
          <w:szCs w:val="24"/>
        </w:rPr>
        <w:t>ICC</w:t>
      </w:r>
      <w:r w:rsidRPr="00257A20">
        <w:rPr>
          <w:rFonts w:ascii="Simplified Arabic" w:hAnsi="Simplified Arabic" w:cs="Simplified Arabic" w:hint="cs"/>
          <w:color w:val="000000"/>
          <w:sz w:val="24"/>
          <w:szCs w:val="24"/>
          <w:rtl/>
        </w:rPr>
        <w:t xml:space="preserve"> </w:t>
      </w:r>
      <w:r w:rsidRPr="00257A20">
        <w:rPr>
          <w:rFonts w:ascii="Simplified Arabic" w:hAnsi="Simplified Arabic" w:cs="Simplified Arabic"/>
          <w:color w:val="000000"/>
          <w:sz w:val="24"/>
          <w:szCs w:val="24"/>
          <w:rtl/>
        </w:rPr>
        <w:t xml:space="preserve">(1) لكل بناء رئيس، ويُقدّر أثر التصميم وفق المعادلة: </w:t>
      </w:r>
      <w:r w:rsidRPr="00257A20">
        <w:rPr>
          <w:rFonts w:ascii="Simplified Arabic" w:hAnsi="Simplified Arabic" w:cs="Simplified Arabic"/>
          <w:color w:val="000000"/>
          <w:sz w:val="24"/>
          <w:szCs w:val="24"/>
        </w:rPr>
        <w:t>DE = 1</w:t>
      </w:r>
      <w:r w:rsidRPr="00257A20">
        <w:rPr>
          <w:rFonts w:ascii="Simplified Arabic" w:hAnsi="Simplified Arabic" w:cs="Simplified Arabic"/>
          <w:color w:val="000000"/>
          <w:sz w:val="24"/>
          <w:szCs w:val="24"/>
          <w:rtl/>
        </w:rPr>
        <w:t xml:space="preserve"> + (م </w:t>
      </w:r>
      <w:r w:rsidRPr="00257A20">
        <w:rPr>
          <w:rFonts w:ascii="Cambria Math" w:hAnsi="Cambria Math" w:cs="Cambria Math" w:hint="cs"/>
          <w:color w:val="000000"/>
          <w:sz w:val="24"/>
          <w:szCs w:val="24"/>
          <w:rtl/>
        </w:rPr>
        <w:t>−</w:t>
      </w:r>
      <w:r w:rsidRPr="00257A20">
        <w:rPr>
          <w:rFonts w:ascii="Simplified Arabic" w:hAnsi="Simplified Arabic" w:cs="Simplified Arabic"/>
          <w:color w:val="000000"/>
          <w:sz w:val="24"/>
          <w:szCs w:val="24"/>
          <w:rtl/>
        </w:rPr>
        <w:t xml:space="preserve"> 1) × </w:t>
      </w:r>
      <w:r w:rsidRPr="00257A20">
        <w:rPr>
          <w:rFonts w:ascii="Simplified Arabic" w:hAnsi="Simplified Arabic" w:cs="Simplified Arabic"/>
          <w:color w:val="000000"/>
          <w:sz w:val="24"/>
          <w:szCs w:val="24"/>
        </w:rPr>
        <w:t>ICC</w:t>
      </w:r>
      <w:r w:rsidRPr="00257A20">
        <w:rPr>
          <w:rFonts w:ascii="Simplified Arabic" w:hAnsi="Simplified Arabic" w:cs="Simplified Arabic"/>
          <w:color w:val="000000"/>
          <w:sz w:val="24"/>
          <w:szCs w:val="24"/>
          <w:rtl/>
        </w:rPr>
        <w:t>، حيث م متوسط عدد المستجيبين في المستشفى الواحد</w:t>
      </w:r>
      <w:r w:rsidR="00982C12" w:rsidRPr="00257A20">
        <w:rPr>
          <w:rFonts w:ascii="Simplified Arabic" w:eastAsia="Traditional Arabic" w:hAnsi="Simplified Arabic" w:cs="Simplified Arabic"/>
          <w:sz w:val="24"/>
          <w:szCs w:val="24"/>
          <w:rtl/>
        </w:rPr>
        <w:t>.</w:t>
      </w:r>
      <w:r w:rsidR="00982C12">
        <w:rPr>
          <w:rFonts w:ascii="Simplified Arabic" w:eastAsia="Traditional Arabic" w:hAnsi="Simplified Arabic" w:cs="Simplified Arabic"/>
          <w:sz w:val="24"/>
          <w:szCs w:val="24"/>
          <w:rtl/>
        </w:rPr>
        <w:t xml:space="preserve"> وإذا كان </w:t>
      </w:r>
      <w:r w:rsidR="00982C12">
        <w:rPr>
          <w:rFonts w:ascii="Simplified Arabic" w:eastAsia="Traditional Arabic" w:hAnsi="Simplified Arabic" w:cs="Simplified Arabic"/>
          <w:sz w:val="24"/>
          <w:szCs w:val="24"/>
        </w:rPr>
        <w:t>ICC</w:t>
      </w:r>
      <w:r w:rsidR="00982C12">
        <w:rPr>
          <w:rFonts w:ascii="Simplified Arabic" w:eastAsia="Traditional Arabic" w:hAnsi="Simplified Arabic" w:cs="Simplified Arabic"/>
          <w:sz w:val="24"/>
          <w:szCs w:val="24"/>
          <w:rtl/>
        </w:rPr>
        <w:t xml:space="preserve"> أقل من 0.05 وكان أثر التصميم أقل من 2، يُستكمل التحليل على مستوى الفرد مع إدخال المستشفى كمتغير ضابط وإجراء تحليل حساسية. أما إذا بلغ </w:t>
      </w:r>
      <w:r w:rsidR="00982C12">
        <w:rPr>
          <w:rFonts w:ascii="Simplified Arabic" w:eastAsia="Traditional Arabic" w:hAnsi="Simplified Arabic" w:cs="Simplified Arabic"/>
          <w:sz w:val="24"/>
          <w:szCs w:val="24"/>
        </w:rPr>
        <w:t>ICC</w:t>
      </w:r>
      <w:r w:rsidR="00982C12">
        <w:rPr>
          <w:rFonts w:ascii="Simplified Arabic" w:eastAsia="Traditional Arabic" w:hAnsi="Simplified Arabic" w:cs="Simplified Arabic"/>
          <w:sz w:val="24"/>
          <w:szCs w:val="24"/>
          <w:rtl/>
        </w:rPr>
        <w:t xml:space="preserve"> مقدار 0.05 أو أعلى أو بلغ أثر التصميم 2 أو أعلى، فستُستخدم أخطاء معيارية متينة للتجمع أو تحليل متعدد المستويات في برنامج مناسب، مع الإقرار بأن عدد المستشفيات التسعة يحد من تعقيد نماذج المستوى الثاني.</w:t>
      </w:r>
    </w:p>
    <w:p w14:paraId="0A273A4C"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(3-7): معايير الحكم على مطابقة النموذج</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3386"/>
        <w:gridCol w:w="3239"/>
        <w:gridCol w:w="3239"/>
      </w:tblGrid>
      <w:tr w:rsidR="00161B2D" w:rsidRPr="00161B2D" w14:paraId="68CE0606" w14:textId="77777777" w:rsidTr="00084470">
        <w:trPr>
          <w:cantSplit/>
          <w:tblHeader/>
          <w:jc w:val="center"/>
        </w:trPr>
        <w:tc>
          <w:tcPr>
            <w:tcW w:w="3312"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1DF433C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مؤشر المطابقة</w:t>
            </w:r>
          </w:p>
        </w:tc>
        <w:tc>
          <w:tcPr>
            <w:tcW w:w="3168"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3C74102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مقبول</w:t>
            </w:r>
          </w:p>
        </w:tc>
        <w:tc>
          <w:tcPr>
            <w:tcW w:w="3168" w:type="dxa"/>
            <w:tcBorders>
              <w:top w:val="single" w:sz="12" w:space="0" w:color="00A6C8"/>
              <w:bottom w:val="single" w:sz="8" w:space="0" w:color="2F75B5"/>
            </w:tcBorders>
            <w:shd w:val="clear" w:color="auto" w:fill="203864"/>
            <w:tcMar>
              <w:top w:w="110" w:type="dxa"/>
              <w:left w:w="105" w:type="dxa"/>
              <w:bottom w:w="110" w:type="dxa"/>
              <w:right w:w="105" w:type="dxa"/>
            </w:tcMar>
            <w:vAlign w:val="center"/>
          </w:tcPr>
          <w:p w14:paraId="4B9D3383"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FFFFFF"/>
                <w:sz w:val="21"/>
                <w:rtl/>
              </w:rPr>
              <w:t>جيد</w:t>
            </w:r>
          </w:p>
        </w:tc>
      </w:tr>
      <w:tr w:rsidR="00161B2D" w:rsidRPr="00161B2D" w14:paraId="2666EE37" w14:textId="77777777" w:rsidTr="00084470">
        <w:trPr>
          <w:cantSplit/>
          <w:jc w:val="center"/>
        </w:trPr>
        <w:tc>
          <w:tcPr>
            <w:tcW w:w="3312" w:type="dxa"/>
            <w:shd w:val="clear" w:color="auto" w:fill="DCE6F1"/>
            <w:tcMar>
              <w:top w:w="90" w:type="dxa"/>
              <w:left w:w="105" w:type="dxa"/>
              <w:bottom w:w="90" w:type="dxa"/>
              <w:right w:w="105" w:type="dxa"/>
            </w:tcMar>
            <w:vAlign w:val="center"/>
          </w:tcPr>
          <w:p w14:paraId="42CA016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Cambria" w:eastAsia="Sakkal Majalla" w:hAnsi="Cambria" w:cs="Cambria" w:hint="cs"/>
                <w:b/>
                <w:color w:val="1F4E78"/>
                <w:sz w:val="20"/>
                <w:rtl/>
              </w:rPr>
              <w:t>χ</w:t>
            </w:r>
            <w:r w:rsidRPr="00161B2D">
              <w:rPr>
                <w:rFonts w:ascii="Simplified Arabic" w:eastAsia="Sakkal Majalla" w:hAnsi="Simplified Arabic" w:cs="Simplified Arabic" w:hint="cs"/>
                <w:b/>
                <w:color w:val="1F4E78"/>
                <w:sz w:val="20"/>
                <w:rtl/>
              </w:rPr>
              <w:t>²</w:t>
            </w:r>
            <w:r w:rsidRPr="00161B2D">
              <w:rPr>
                <w:rFonts w:ascii="Simplified Arabic" w:eastAsia="Sakkal Majalla" w:hAnsi="Simplified Arabic" w:cs="Simplified Arabic"/>
                <w:b/>
                <w:color w:val="1F4E78"/>
                <w:sz w:val="20"/>
                <w:rtl/>
              </w:rPr>
              <w:t>/df</w:t>
            </w:r>
          </w:p>
        </w:tc>
        <w:tc>
          <w:tcPr>
            <w:tcW w:w="3168" w:type="dxa"/>
            <w:shd w:val="clear" w:color="auto" w:fill="EAF2F8"/>
            <w:tcMar>
              <w:top w:w="90" w:type="dxa"/>
              <w:left w:w="105" w:type="dxa"/>
              <w:bottom w:w="90" w:type="dxa"/>
              <w:right w:w="105" w:type="dxa"/>
            </w:tcMar>
            <w:vAlign w:val="center"/>
          </w:tcPr>
          <w:p w14:paraId="5AA585F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أقل من 5</w:t>
            </w:r>
          </w:p>
        </w:tc>
        <w:tc>
          <w:tcPr>
            <w:tcW w:w="3168" w:type="dxa"/>
            <w:shd w:val="clear" w:color="auto" w:fill="EAF2F8"/>
            <w:tcMar>
              <w:top w:w="90" w:type="dxa"/>
              <w:left w:w="105" w:type="dxa"/>
              <w:bottom w:w="90" w:type="dxa"/>
              <w:right w:w="105" w:type="dxa"/>
            </w:tcMar>
            <w:vAlign w:val="center"/>
          </w:tcPr>
          <w:p w14:paraId="1B12417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أقل من 3</w:t>
            </w:r>
          </w:p>
        </w:tc>
      </w:tr>
      <w:tr w:rsidR="00161B2D" w:rsidRPr="00161B2D" w14:paraId="655031E6" w14:textId="77777777" w:rsidTr="00084470">
        <w:trPr>
          <w:cantSplit/>
          <w:jc w:val="center"/>
        </w:trPr>
        <w:tc>
          <w:tcPr>
            <w:tcW w:w="3312" w:type="dxa"/>
            <w:shd w:val="clear" w:color="auto" w:fill="DCE6F1"/>
            <w:tcMar>
              <w:top w:w="90" w:type="dxa"/>
              <w:left w:w="105" w:type="dxa"/>
              <w:bottom w:w="90" w:type="dxa"/>
              <w:right w:w="105" w:type="dxa"/>
            </w:tcMar>
            <w:vAlign w:val="center"/>
          </w:tcPr>
          <w:p w14:paraId="55CD8859"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1F4E78"/>
                <w:sz w:val="20"/>
                <w:rtl/>
              </w:rPr>
              <w:t>CFI</w:t>
            </w:r>
          </w:p>
        </w:tc>
        <w:tc>
          <w:tcPr>
            <w:tcW w:w="3168" w:type="dxa"/>
            <w:shd w:val="clear" w:color="auto" w:fill="F7FAFC"/>
            <w:tcMar>
              <w:top w:w="90" w:type="dxa"/>
              <w:left w:w="105" w:type="dxa"/>
              <w:bottom w:w="90" w:type="dxa"/>
              <w:right w:w="105" w:type="dxa"/>
            </w:tcMar>
            <w:vAlign w:val="center"/>
          </w:tcPr>
          <w:p w14:paraId="48F4AC67"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0.90 فأعلى</w:t>
            </w:r>
          </w:p>
        </w:tc>
        <w:tc>
          <w:tcPr>
            <w:tcW w:w="3168" w:type="dxa"/>
            <w:shd w:val="clear" w:color="auto" w:fill="F7FAFC"/>
            <w:tcMar>
              <w:top w:w="90" w:type="dxa"/>
              <w:left w:w="105" w:type="dxa"/>
              <w:bottom w:w="90" w:type="dxa"/>
              <w:right w:w="105" w:type="dxa"/>
            </w:tcMar>
            <w:vAlign w:val="center"/>
          </w:tcPr>
          <w:p w14:paraId="6D86BEB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0.95 فأعلى</w:t>
            </w:r>
          </w:p>
        </w:tc>
      </w:tr>
      <w:tr w:rsidR="00161B2D" w:rsidRPr="00161B2D" w14:paraId="79649E72" w14:textId="77777777" w:rsidTr="00084470">
        <w:trPr>
          <w:cantSplit/>
          <w:jc w:val="center"/>
        </w:trPr>
        <w:tc>
          <w:tcPr>
            <w:tcW w:w="3312" w:type="dxa"/>
            <w:shd w:val="clear" w:color="auto" w:fill="DCE6F1"/>
            <w:tcMar>
              <w:top w:w="90" w:type="dxa"/>
              <w:left w:w="105" w:type="dxa"/>
              <w:bottom w:w="90" w:type="dxa"/>
              <w:right w:w="105" w:type="dxa"/>
            </w:tcMar>
            <w:vAlign w:val="center"/>
          </w:tcPr>
          <w:p w14:paraId="50972B4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1F4E78"/>
                <w:sz w:val="20"/>
                <w:rtl/>
              </w:rPr>
              <w:t>TLI</w:t>
            </w:r>
          </w:p>
        </w:tc>
        <w:tc>
          <w:tcPr>
            <w:tcW w:w="3168" w:type="dxa"/>
            <w:shd w:val="clear" w:color="auto" w:fill="EAF2F8"/>
            <w:tcMar>
              <w:top w:w="90" w:type="dxa"/>
              <w:left w:w="105" w:type="dxa"/>
              <w:bottom w:w="90" w:type="dxa"/>
              <w:right w:w="105" w:type="dxa"/>
            </w:tcMar>
            <w:vAlign w:val="center"/>
          </w:tcPr>
          <w:p w14:paraId="5264441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0.90 فأعلى</w:t>
            </w:r>
          </w:p>
        </w:tc>
        <w:tc>
          <w:tcPr>
            <w:tcW w:w="3168" w:type="dxa"/>
            <w:shd w:val="clear" w:color="auto" w:fill="EAF2F8"/>
            <w:tcMar>
              <w:top w:w="90" w:type="dxa"/>
              <w:left w:w="105" w:type="dxa"/>
              <w:bottom w:w="90" w:type="dxa"/>
              <w:right w:w="105" w:type="dxa"/>
            </w:tcMar>
            <w:vAlign w:val="center"/>
          </w:tcPr>
          <w:p w14:paraId="6B96205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0.95 فأعلى</w:t>
            </w:r>
          </w:p>
        </w:tc>
      </w:tr>
      <w:tr w:rsidR="00161B2D" w:rsidRPr="00161B2D" w14:paraId="55056F5B" w14:textId="77777777" w:rsidTr="00084470">
        <w:trPr>
          <w:cantSplit/>
          <w:jc w:val="center"/>
        </w:trPr>
        <w:tc>
          <w:tcPr>
            <w:tcW w:w="3312" w:type="dxa"/>
            <w:shd w:val="clear" w:color="auto" w:fill="DCE6F1"/>
            <w:tcMar>
              <w:top w:w="90" w:type="dxa"/>
              <w:left w:w="105" w:type="dxa"/>
              <w:bottom w:w="90" w:type="dxa"/>
              <w:right w:w="105" w:type="dxa"/>
            </w:tcMar>
            <w:vAlign w:val="center"/>
          </w:tcPr>
          <w:p w14:paraId="241F75A0"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1F4E78"/>
                <w:sz w:val="20"/>
                <w:rtl/>
              </w:rPr>
              <w:t>RMSEA</w:t>
            </w:r>
          </w:p>
        </w:tc>
        <w:tc>
          <w:tcPr>
            <w:tcW w:w="3168" w:type="dxa"/>
            <w:shd w:val="clear" w:color="auto" w:fill="F7FAFC"/>
            <w:tcMar>
              <w:top w:w="90" w:type="dxa"/>
              <w:left w:w="105" w:type="dxa"/>
              <w:bottom w:w="90" w:type="dxa"/>
              <w:right w:w="105" w:type="dxa"/>
            </w:tcMar>
            <w:vAlign w:val="center"/>
          </w:tcPr>
          <w:p w14:paraId="65F0387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0.08 فأقل</w:t>
            </w:r>
          </w:p>
        </w:tc>
        <w:tc>
          <w:tcPr>
            <w:tcW w:w="3168" w:type="dxa"/>
            <w:shd w:val="clear" w:color="auto" w:fill="F7FAFC"/>
            <w:tcMar>
              <w:top w:w="90" w:type="dxa"/>
              <w:left w:w="105" w:type="dxa"/>
              <w:bottom w:w="90" w:type="dxa"/>
              <w:right w:w="105" w:type="dxa"/>
            </w:tcMar>
            <w:vAlign w:val="center"/>
          </w:tcPr>
          <w:p w14:paraId="4BB40A8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0.06 فأقل</w:t>
            </w:r>
          </w:p>
        </w:tc>
      </w:tr>
      <w:tr w:rsidR="00161B2D" w:rsidRPr="00161B2D" w14:paraId="2AD9C9D3" w14:textId="77777777" w:rsidTr="00084470">
        <w:trPr>
          <w:cantSplit/>
          <w:jc w:val="center"/>
        </w:trPr>
        <w:tc>
          <w:tcPr>
            <w:tcW w:w="3312" w:type="dxa"/>
            <w:shd w:val="clear" w:color="auto" w:fill="DCE6F1"/>
            <w:tcMar>
              <w:top w:w="90" w:type="dxa"/>
              <w:left w:w="105" w:type="dxa"/>
              <w:bottom w:w="90" w:type="dxa"/>
              <w:right w:w="105" w:type="dxa"/>
            </w:tcMar>
            <w:vAlign w:val="center"/>
          </w:tcPr>
          <w:p w14:paraId="4C8DCF5F"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b/>
                <w:color w:val="1F4E78"/>
                <w:sz w:val="20"/>
                <w:rtl/>
              </w:rPr>
              <w:t>SRMR</w:t>
            </w:r>
          </w:p>
        </w:tc>
        <w:tc>
          <w:tcPr>
            <w:tcW w:w="3168" w:type="dxa"/>
            <w:shd w:val="clear" w:color="auto" w:fill="EAF2F8"/>
            <w:tcMar>
              <w:top w:w="90" w:type="dxa"/>
              <w:left w:w="105" w:type="dxa"/>
              <w:bottom w:w="90" w:type="dxa"/>
              <w:right w:w="105" w:type="dxa"/>
            </w:tcMar>
            <w:vAlign w:val="center"/>
          </w:tcPr>
          <w:p w14:paraId="77595D2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0.08 فأقل</w:t>
            </w:r>
          </w:p>
        </w:tc>
        <w:tc>
          <w:tcPr>
            <w:tcW w:w="3168" w:type="dxa"/>
            <w:shd w:val="clear" w:color="auto" w:fill="EAF2F8"/>
            <w:tcMar>
              <w:top w:w="90" w:type="dxa"/>
              <w:left w:w="105" w:type="dxa"/>
              <w:bottom w:w="90" w:type="dxa"/>
              <w:right w:w="105" w:type="dxa"/>
            </w:tcMar>
            <w:vAlign w:val="center"/>
          </w:tcPr>
          <w:p w14:paraId="3A56B13A"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Simplified Arabic" w:eastAsia="Sakkal Majalla" w:hAnsi="Simplified Arabic" w:cs="Simplified Arabic"/>
                <w:color w:val="1F1F1F"/>
                <w:sz w:val="20"/>
                <w:rtl/>
              </w:rPr>
              <w:t>0.05 فأقل</w:t>
            </w:r>
          </w:p>
        </w:tc>
      </w:tr>
    </w:tbl>
    <w:p w14:paraId="00206FA2" w14:textId="77777777" w:rsidR="00161B2D" w:rsidRPr="00161B2D" w:rsidRDefault="00161B2D" w:rsidP="00161B2D">
      <w:pPr>
        <w:bidi/>
        <w:spacing w:after="20"/>
        <w:rPr>
          <w:rFonts w:ascii="Simplified Arabic" w:hAnsi="Simplified Arabic" w:cs="Simplified Arabic"/>
        </w:rPr>
      </w:pPr>
    </w:p>
    <w:p w14:paraId="7767545E" w14:textId="77777777" w:rsidR="00161B2D" w:rsidRPr="00161B2D" w:rsidRDefault="00161B2D" w:rsidP="00161B2D">
      <w:pPr>
        <w:keepNext/>
        <w:keepLines/>
        <w:pBdr>
          <w:bottom w:val="single" w:sz="7" w:space="3" w:color="00A6C8"/>
        </w:pBdr>
        <w:bidi/>
        <w:spacing w:before="180" w:after="100"/>
        <w:rPr>
          <w:rFonts w:ascii="Simplified Arabic" w:hAnsi="Simplified Arabic" w:cs="Simplified Arabic"/>
        </w:rPr>
      </w:pPr>
      <w:r w:rsidRPr="00161B2D">
        <w:rPr>
          <w:rFonts w:ascii="Simplified Arabic" w:eastAsia="Sakkal Majalla" w:hAnsi="Simplified Arabic" w:cs="Simplified Arabic"/>
          <w:b/>
          <w:color w:val="1F4E78"/>
          <w:sz w:val="24"/>
          <w:rtl/>
        </w:rPr>
        <w:t>جدول (3-8): مصفوفة الربط بين الأسئلة والفرضيات والقياس والتحليل</w:t>
      </w:r>
    </w:p>
    <w:tbl>
      <w:tblPr>
        <w:tblStyle w:val="a7"/>
        <w:bidiVisual/>
        <w:tblW w:w="5000" w:type="pct"/>
        <w:jc w:val="center"/>
        <w:tblBorders>
          <w:top w:val="single" w:sz="10" w:space="0" w:color="203864"/>
          <w:left w:val="single" w:sz="10" w:space="0" w:color="203864"/>
          <w:bottom w:val="single" w:sz="10" w:space="0" w:color="203864"/>
          <w:right w:val="single" w:sz="10" w:space="0" w:color="203864"/>
          <w:insideH w:val="single" w:sz="4" w:space="0" w:color="A8BDD0"/>
          <w:insideV w:val="single" w:sz="4" w:space="0" w:color="D6E1EA"/>
        </w:tblBorders>
        <w:tblLook w:val="04A0" w:firstRow="1" w:lastRow="0" w:firstColumn="1" w:lastColumn="0" w:noHBand="0" w:noVBand="1"/>
      </w:tblPr>
      <w:tblGrid>
        <w:gridCol w:w="1800"/>
        <w:gridCol w:w="1584"/>
        <w:gridCol w:w="2448"/>
        <w:gridCol w:w="2088"/>
        <w:gridCol w:w="1944"/>
      </w:tblGrid>
      <w:tr w:rsidR="00161B2D" w:rsidRPr="00161B2D" w14:paraId="0AA1EAD2" w14:textId="77777777" w:rsidTr="00084470">
        <w:trPr>
          <w:cantSplit/>
          <w:tblHeader/>
          <w:jc w:val="center"/>
        </w:trPr>
        <w:tc>
          <w:tcPr>
            <w:tcW w:w="1800"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521C950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السؤال/الفرضية</w:t>
            </w:r>
          </w:p>
        </w:tc>
        <w:tc>
          <w:tcPr>
            <w:tcW w:w="158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2D8E37F0"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المسار</w:t>
            </w:r>
          </w:p>
        </w:tc>
        <w:tc>
          <w:tcPr>
            <w:tcW w:w="244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4404B87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أداة القياس</w:t>
            </w:r>
          </w:p>
        </w:tc>
        <w:tc>
          <w:tcPr>
            <w:tcW w:w="2088"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0425BBF9"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التحليل</w:t>
            </w:r>
          </w:p>
        </w:tc>
        <w:tc>
          <w:tcPr>
            <w:tcW w:w="1944" w:type="dxa"/>
            <w:tcBorders>
              <w:top w:val="single" w:sz="12" w:space="0" w:color="00A6C8"/>
              <w:bottom w:val="single" w:sz="8" w:space="0" w:color="2F75B5"/>
            </w:tcBorders>
            <w:shd w:val="clear" w:color="auto" w:fill="1F4E78"/>
            <w:tcMar>
              <w:top w:w="70" w:type="dxa"/>
              <w:left w:w="70" w:type="dxa"/>
              <w:bottom w:w="70" w:type="dxa"/>
              <w:right w:w="70" w:type="dxa"/>
            </w:tcMar>
            <w:vAlign w:val="center"/>
          </w:tcPr>
          <w:p w14:paraId="36A8F3E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FFFFFF"/>
                <w:sz w:val="17"/>
                <w:rtl/>
              </w:rPr>
              <w:t>معيار الحكم</w:t>
            </w:r>
          </w:p>
        </w:tc>
      </w:tr>
      <w:tr w:rsidR="00161B2D" w:rsidRPr="00161B2D" w14:paraId="5D6B572C" w14:textId="77777777" w:rsidTr="00084470">
        <w:trPr>
          <w:cantSplit/>
          <w:jc w:val="center"/>
        </w:trPr>
        <w:tc>
          <w:tcPr>
            <w:tcW w:w="1800" w:type="dxa"/>
            <w:shd w:val="clear" w:color="auto" w:fill="EAF1F8"/>
            <w:tcMar>
              <w:top w:w="70" w:type="dxa"/>
              <w:left w:w="70" w:type="dxa"/>
              <w:bottom w:w="70" w:type="dxa"/>
              <w:right w:w="70" w:type="dxa"/>
            </w:tcMar>
            <w:vAlign w:val="center"/>
          </w:tcPr>
          <w:p w14:paraId="00BA1E1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t>السؤال الفرعي 1 / H1</w:t>
            </w:r>
          </w:p>
        </w:tc>
        <w:tc>
          <w:tcPr>
            <w:tcW w:w="1584" w:type="dxa"/>
            <w:shd w:val="clear" w:color="auto" w:fill="EAF1F8"/>
            <w:tcMar>
              <w:top w:w="70" w:type="dxa"/>
              <w:left w:w="70" w:type="dxa"/>
              <w:bottom w:w="70" w:type="dxa"/>
              <w:right w:w="70" w:type="dxa"/>
            </w:tcMar>
            <w:vAlign w:val="center"/>
          </w:tcPr>
          <w:p w14:paraId="7F21C4E7"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imes New Roman" w:eastAsia="Times New Roman" w:hAnsi="Times New Roman" w:cs="Times New Roman"/>
                <w:color w:val="1F1F1F"/>
                <w:sz w:val="17"/>
              </w:rPr>
              <w:t xml:space="preserve">TL </w:t>
            </w:r>
            <w:r w:rsidRPr="00161B2D">
              <w:rPr>
                <w:rFonts w:ascii="Times New Roman" w:eastAsia="Times New Roman" w:hAnsi="Times New Roman" w:cs="Times New Roman" w:hint="cs"/>
                <w:color w:val="1F1F1F"/>
                <w:sz w:val="17"/>
              </w:rPr>
              <w:t>→</w:t>
            </w:r>
            <w:r w:rsidRPr="00161B2D">
              <w:rPr>
                <w:rFonts w:ascii="Times New Roman" w:eastAsia="Times New Roman" w:hAnsi="Times New Roman" w:cs="Times New Roman"/>
                <w:color w:val="1F1F1F"/>
                <w:sz w:val="17"/>
              </w:rPr>
              <w:t xml:space="preserve"> SC</w:t>
            </w:r>
          </w:p>
        </w:tc>
        <w:tc>
          <w:tcPr>
            <w:tcW w:w="2448" w:type="dxa"/>
            <w:shd w:val="clear" w:color="auto" w:fill="EAF1F8"/>
            <w:tcMar>
              <w:top w:w="70" w:type="dxa"/>
              <w:left w:w="70" w:type="dxa"/>
              <w:bottom w:w="70" w:type="dxa"/>
              <w:right w:w="70" w:type="dxa"/>
            </w:tcMar>
            <w:vAlign w:val="center"/>
          </w:tcPr>
          <w:p w14:paraId="4D8BBC9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TLI: 23 فقرة؛ HSOPSC: 13 فقرة</w:t>
            </w:r>
          </w:p>
        </w:tc>
        <w:tc>
          <w:tcPr>
            <w:tcW w:w="2088" w:type="dxa"/>
            <w:shd w:val="clear" w:color="auto" w:fill="EAF1F8"/>
            <w:tcMar>
              <w:top w:w="70" w:type="dxa"/>
              <w:left w:w="70" w:type="dxa"/>
              <w:bottom w:w="70" w:type="dxa"/>
              <w:right w:w="70" w:type="dxa"/>
            </w:tcMar>
            <w:vAlign w:val="center"/>
          </w:tcPr>
          <w:p w14:paraId="04CFD19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معامل المسار في SEM</w:t>
            </w:r>
          </w:p>
        </w:tc>
        <w:tc>
          <w:tcPr>
            <w:tcW w:w="1944" w:type="dxa"/>
            <w:shd w:val="clear" w:color="auto" w:fill="EAF1F8"/>
            <w:tcMar>
              <w:top w:w="70" w:type="dxa"/>
              <w:left w:w="70" w:type="dxa"/>
              <w:bottom w:w="70" w:type="dxa"/>
              <w:right w:w="70" w:type="dxa"/>
            </w:tcMar>
            <w:vAlign w:val="center"/>
          </w:tcPr>
          <w:p w14:paraId="33A85FA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قيمة دلالة أقل من 0.05، وفترة الثقة لا تشمل الصفر</w:t>
            </w:r>
          </w:p>
        </w:tc>
      </w:tr>
      <w:tr w:rsidR="00161B2D" w:rsidRPr="00161B2D" w14:paraId="0D7FA671" w14:textId="77777777" w:rsidTr="00084470">
        <w:trPr>
          <w:cantSplit/>
          <w:jc w:val="center"/>
        </w:trPr>
        <w:tc>
          <w:tcPr>
            <w:tcW w:w="1800" w:type="dxa"/>
            <w:shd w:val="clear" w:color="auto" w:fill="DCE6F1"/>
            <w:tcMar>
              <w:top w:w="70" w:type="dxa"/>
              <w:left w:w="70" w:type="dxa"/>
              <w:bottom w:w="70" w:type="dxa"/>
              <w:right w:w="70" w:type="dxa"/>
            </w:tcMar>
            <w:vAlign w:val="center"/>
          </w:tcPr>
          <w:p w14:paraId="79FC1F54"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t>السؤال الفرعي 2 / H2</w:t>
            </w:r>
          </w:p>
        </w:tc>
        <w:tc>
          <w:tcPr>
            <w:tcW w:w="1584" w:type="dxa"/>
            <w:shd w:val="clear" w:color="auto" w:fill="F7FAFC"/>
            <w:tcMar>
              <w:top w:w="70" w:type="dxa"/>
              <w:left w:w="70" w:type="dxa"/>
              <w:bottom w:w="70" w:type="dxa"/>
              <w:right w:w="70" w:type="dxa"/>
            </w:tcMar>
            <w:vAlign w:val="center"/>
          </w:tcPr>
          <w:p w14:paraId="584ACC6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imes New Roman" w:eastAsia="Times New Roman" w:hAnsi="Times New Roman" w:cs="Times New Roman"/>
                <w:color w:val="1F1F1F"/>
                <w:sz w:val="17"/>
              </w:rPr>
              <w:t xml:space="preserve">SC </w:t>
            </w:r>
            <w:r w:rsidRPr="00161B2D">
              <w:rPr>
                <w:rFonts w:ascii="Times New Roman" w:eastAsia="Times New Roman" w:hAnsi="Times New Roman" w:cs="Times New Roman" w:hint="cs"/>
                <w:color w:val="1F1F1F"/>
                <w:sz w:val="17"/>
              </w:rPr>
              <w:t>→</w:t>
            </w:r>
            <w:r w:rsidRPr="00161B2D">
              <w:rPr>
                <w:rFonts w:ascii="Times New Roman" w:eastAsia="Times New Roman" w:hAnsi="Times New Roman" w:cs="Times New Roman"/>
                <w:color w:val="1F1F1F"/>
                <w:sz w:val="17"/>
              </w:rPr>
              <w:t xml:space="preserve"> SB</w:t>
            </w:r>
          </w:p>
        </w:tc>
        <w:tc>
          <w:tcPr>
            <w:tcW w:w="2448" w:type="dxa"/>
            <w:shd w:val="clear" w:color="auto" w:fill="F7FAFC"/>
            <w:tcMar>
              <w:top w:w="70" w:type="dxa"/>
              <w:left w:w="70" w:type="dxa"/>
              <w:bottom w:w="70" w:type="dxa"/>
              <w:right w:w="70" w:type="dxa"/>
            </w:tcMar>
            <w:vAlign w:val="center"/>
          </w:tcPr>
          <w:p w14:paraId="488F909C"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HSOPSC: 13؛ سلوكيات السلامة: 12</w:t>
            </w:r>
          </w:p>
        </w:tc>
        <w:tc>
          <w:tcPr>
            <w:tcW w:w="2088" w:type="dxa"/>
            <w:shd w:val="clear" w:color="auto" w:fill="F7FAFC"/>
            <w:tcMar>
              <w:top w:w="70" w:type="dxa"/>
              <w:left w:w="70" w:type="dxa"/>
              <w:bottom w:w="70" w:type="dxa"/>
              <w:right w:w="70" w:type="dxa"/>
            </w:tcMar>
            <w:vAlign w:val="center"/>
          </w:tcPr>
          <w:p w14:paraId="46AB95A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معامل المسار في SEM</w:t>
            </w:r>
          </w:p>
        </w:tc>
        <w:tc>
          <w:tcPr>
            <w:tcW w:w="1944" w:type="dxa"/>
            <w:shd w:val="clear" w:color="auto" w:fill="F7FAFC"/>
            <w:tcMar>
              <w:top w:w="70" w:type="dxa"/>
              <w:left w:w="70" w:type="dxa"/>
              <w:bottom w:w="70" w:type="dxa"/>
              <w:right w:w="70" w:type="dxa"/>
            </w:tcMar>
            <w:vAlign w:val="center"/>
          </w:tcPr>
          <w:p w14:paraId="3F99E1F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قيمة دلالة أقل من 0.05، وفترة الثقة لا تشمل الصفر</w:t>
            </w:r>
          </w:p>
        </w:tc>
      </w:tr>
      <w:tr w:rsidR="00161B2D" w:rsidRPr="00161B2D" w14:paraId="4F6828C3" w14:textId="77777777" w:rsidTr="00084470">
        <w:trPr>
          <w:cantSplit/>
          <w:jc w:val="center"/>
        </w:trPr>
        <w:tc>
          <w:tcPr>
            <w:tcW w:w="1800" w:type="dxa"/>
            <w:shd w:val="clear" w:color="auto" w:fill="EAF1F8"/>
            <w:tcMar>
              <w:top w:w="70" w:type="dxa"/>
              <w:left w:w="70" w:type="dxa"/>
              <w:bottom w:w="70" w:type="dxa"/>
              <w:right w:w="70" w:type="dxa"/>
            </w:tcMar>
            <w:vAlign w:val="center"/>
          </w:tcPr>
          <w:p w14:paraId="7520F65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t>السؤال الفرعي 3 / H3</w:t>
            </w:r>
          </w:p>
        </w:tc>
        <w:tc>
          <w:tcPr>
            <w:tcW w:w="1584" w:type="dxa"/>
            <w:shd w:val="clear" w:color="auto" w:fill="EAF1F8"/>
            <w:tcMar>
              <w:top w:w="70" w:type="dxa"/>
              <w:left w:w="70" w:type="dxa"/>
              <w:bottom w:w="70" w:type="dxa"/>
              <w:right w:w="70" w:type="dxa"/>
            </w:tcMar>
            <w:vAlign w:val="center"/>
          </w:tcPr>
          <w:p w14:paraId="0C9872A1" w14:textId="77777777" w:rsidR="00161B2D" w:rsidRPr="00161B2D" w:rsidRDefault="00161B2D" w:rsidP="00D63CA8">
            <w:pPr>
              <w:keepLines/>
              <w:spacing w:after="0" w:line="240" w:lineRule="auto"/>
              <w:jc w:val="center"/>
              <w:rPr>
                <w:rFonts w:ascii="Simplified Arabic" w:hAnsi="Simplified Arabic" w:cs="Simplified Arabic"/>
              </w:rPr>
            </w:pPr>
            <w:r>
              <w:rPr>
                <w:rFonts w:ascii="Times New Roman" w:eastAsia="Times New Roman" w:hAnsi="Times New Roman" w:cs="Times New Roman"/>
                <w:color w:val="1F1F1F"/>
                <w:sz w:val="17"/>
              </w:rPr>
              <w:t>SB → PRAE</w:t>
            </w:r>
          </w:p>
        </w:tc>
        <w:tc>
          <w:tcPr>
            <w:tcW w:w="2448" w:type="dxa"/>
            <w:shd w:val="clear" w:color="auto" w:fill="EAF1F8"/>
            <w:tcMar>
              <w:top w:w="70" w:type="dxa"/>
              <w:left w:w="70" w:type="dxa"/>
              <w:bottom w:w="70" w:type="dxa"/>
              <w:right w:w="70" w:type="dxa"/>
            </w:tcMar>
            <w:vAlign w:val="center"/>
          </w:tcPr>
          <w:p w14:paraId="4F725557" w14:textId="77777777" w:rsidR="00161B2D" w:rsidRPr="00161B2D" w:rsidRDefault="00161B2D" w:rsidP="00D63CA8">
            <w:pPr>
              <w:keepLines/>
              <w:bidi/>
              <w:spacing w:after="0" w:line="240" w:lineRule="auto"/>
              <w:jc w:val="center"/>
              <w:rPr>
                <w:rFonts w:ascii="Simplified Arabic" w:hAnsi="Simplified Arabic" w:cs="Simplified Arabic"/>
              </w:rPr>
            </w:pPr>
            <w:r>
              <w:rPr>
                <w:rFonts w:ascii="Traditional Arabic" w:eastAsia="Traditional Arabic" w:hAnsi="Traditional Arabic" w:cs="Traditional Arabic"/>
                <w:color w:val="1F1F1F"/>
                <w:sz w:val="17"/>
                <w:rtl/>
              </w:rPr>
              <w:t>سلوكيات السلامة: 12؛ PRAE: 8</w:t>
            </w:r>
          </w:p>
        </w:tc>
        <w:tc>
          <w:tcPr>
            <w:tcW w:w="2088" w:type="dxa"/>
            <w:shd w:val="clear" w:color="auto" w:fill="EAF1F8"/>
            <w:tcMar>
              <w:top w:w="70" w:type="dxa"/>
              <w:left w:w="70" w:type="dxa"/>
              <w:bottom w:w="70" w:type="dxa"/>
              <w:right w:w="70" w:type="dxa"/>
            </w:tcMar>
            <w:vAlign w:val="center"/>
          </w:tcPr>
          <w:p w14:paraId="7040D60D"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معامل المسار في SEM</w:t>
            </w:r>
          </w:p>
        </w:tc>
        <w:tc>
          <w:tcPr>
            <w:tcW w:w="1944" w:type="dxa"/>
            <w:shd w:val="clear" w:color="auto" w:fill="EAF1F8"/>
            <w:tcMar>
              <w:top w:w="70" w:type="dxa"/>
              <w:left w:w="70" w:type="dxa"/>
              <w:bottom w:w="70" w:type="dxa"/>
              <w:right w:w="70" w:type="dxa"/>
            </w:tcMar>
            <w:vAlign w:val="center"/>
          </w:tcPr>
          <w:p w14:paraId="02609CB3"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قيمة دلالة أقل من 0.05، وفترة الثقة لا تشمل الصفر</w:t>
            </w:r>
          </w:p>
        </w:tc>
      </w:tr>
      <w:tr w:rsidR="00161B2D" w:rsidRPr="00161B2D" w14:paraId="1166790C" w14:textId="77777777" w:rsidTr="00084470">
        <w:trPr>
          <w:cantSplit/>
          <w:jc w:val="center"/>
        </w:trPr>
        <w:tc>
          <w:tcPr>
            <w:tcW w:w="1800" w:type="dxa"/>
            <w:shd w:val="clear" w:color="auto" w:fill="DCE6F1"/>
            <w:tcMar>
              <w:top w:w="70" w:type="dxa"/>
              <w:left w:w="70" w:type="dxa"/>
              <w:bottom w:w="70" w:type="dxa"/>
              <w:right w:w="70" w:type="dxa"/>
            </w:tcMar>
            <w:vAlign w:val="center"/>
          </w:tcPr>
          <w:p w14:paraId="69F0A159"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lastRenderedPageBreak/>
              <w:t>السؤال الفرعي 4 / H4</w:t>
            </w:r>
          </w:p>
        </w:tc>
        <w:tc>
          <w:tcPr>
            <w:tcW w:w="1584" w:type="dxa"/>
            <w:shd w:val="clear" w:color="auto" w:fill="F7FAFC"/>
            <w:tcMar>
              <w:top w:w="70" w:type="dxa"/>
              <w:left w:w="70" w:type="dxa"/>
              <w:bottom w:w="70" w:type="dxa"/>
              <w:right w:w="70" w:type="dxa"/>
            </w:tcMar>
            <w:vAlign w:val="center"/>
          </w:tcPr>
          <w:p w14:paraId="4F6AC260"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imes New Roman" w:eastAsia="Times New Roman" w:hAnsi="Times New Roman" w:cs="Times New Roman"/>
                <w:color w:val="1F1F1F"/>
                <w:sz w:val="17"/>
              </w:rPr>
              <w:t xml:space="preserve">TL </w:t>
            </w:r>
            <w:r w:rsidRPr="00161B2D">
              <w:rPr>
                <w:rFonts w:ascii="Times New Roman" w:eastAsia="Times New Roman" w:hAnsi="Times New Roman" w:cs="Times New Roman" w:hint="cs"/>
                <w:color w:val="1F1F1F"/>
                <w:sz w:val="17"/>
              </w:rPr>
              <w:t>→</w:t>
            </w:r>
            <w:r w:rsidRPr="00161B2D">
              <w:rPr>
                <w:rFonts w:ascii="Times New Roman" w:eastAsia="Times New Roman" w:hAnsi="Times New Roman" w:cs="Times New Roman"/>
                <w:color w:val="1F1F1F"/>
                <w:sz w:val="17"/>
              </w:rPr>
              <w:t xml:space="preserve"> SC </w:t>
            </w:r>
            <w:r w:rsidRPr="00161B2D">
              <w:rPr>
                <w:rFonts w:ascii="Times New Roman" w:eastAsia="Times New Roman" w:hAnsi="Times New Roman" w:cs="Times New Roman" w:hint="cs"/>
                <w:color w:val="1F1F1F"/>
                <w:sz w:val="17"/>
              </w:rPr>
              <w:t>→</w:t>
            </w:r>
            <w:r w:rsidRPr="00161B2D">
              <w:rPr>
                <w:rFonts w:ascii="Times New Roman" w:eastAsia="Times New Roman" w:hAnsi="Times New Roman" w:cs="Times New Roman"/>
                <w:color w:val="1F1F1F"/>
                <w:sz w:val="17"/>
              </w:rPr>
              <w:t xml:space="preserve"> SB</w:t>
            </w:r>
          </w:p>
        </w:tc>
        <w:tc>
          <w:tcPr>
            <w:tcW w:w="2448" w:type="dxa"/>
            <w:shd w:val="clear" w:color="auto" w:fill="F7FAFC"/>
            <w:tcMar>
              <w:top w:w="70" w:type="dxa"/>
              <w:left w:w="70" w:type="dxa"/>
              <w:bottom w:w="70" w:type="dxa"/>
              <w:right w:w="70" w:type="dxa"/>
            </w:tcMar>
            <w:vAlign w:val="center"/>
          </w:tcPr>
          <w:p w14:paraId="4DAFBE0E"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المقاييس الثلاثة ذات الصلة</w:t>
            </w:r>
          </w:p>
        </w:tc>
        <w:tc>
          <w:tcPr>
            <w:tcW w:w="2088" w:type="dxa"/>
            <w:shd w:val="clear" w:color="auto" w:fill="F7FAFC"/>
            <w:tcMar>
              <w:top w:w="70" w:type="dxa"/>
              <w:left w:w="70" w:type="dxa"/>
              <w:bottom w:w="70" w:type="dxa"/>
              <w:right w:w="70" w:type="dxa"/>
            </w:tcMar>
            <w:vAlign w:val="center"/>
          </w:tcPr>
          <w:p w14:paraId="6A1B0F7A"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 xml:space="preserve">الأثر غير المباشر؛ </w:t>
            </w:r>
            <w:r w:rsidRPr="00161B2D">
              <w:rPr>
                <w:rFonts w:ascii="Times New Roman" w:eastAsia="Times New Roman" w:hAnsi="Times New Roman" w:cs="Times New Roman"/>
                <w:color w:val="1F1F1F"/>
                <w:sz w:val="17"/>
              </w:rPr>
              <w:t>Bootstrap 5,000</w:t>
            </w:r>
          </w:p>
        </w:tc>
        <w:tc>
          <w:tcPr>
            <w:tcW w:w="1944" w:type="dxa"/>
            <w:shd w:val="clear" w:color="auto" w:fill="F7FAFC"/>
            <w:tcMar>
              <w:top w:w="70" w:type="dxa"/>
              <w:left w:w="70" w:type="dxa"/>
              <w:bottom w:w="70" w:type="dxa"/>
              <w:right w:w="70" w:type="dxa"/>
            </w:tcMar>
            <w:vAlign w:val="center"/>
          </w:tcPr>
          <w:p w14:paraId="2B2DA6D8"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فترة ثقة 95% لا تشمل الصفر</w:t>
            </w:r>
          </w:p>
        </w:tc>
      </w:tr>
      <w:tr w:rsidR="00161B2D" w:rsidRPr="00161B2D" w14:paraId="4DA87A9F" w14:textId="77777777" w:rsidTr="00084470">
        <w:trPr>
          <w:cantSplit/>
          <w:jc w:val="center"/>
        </w:trPr>
        <w:tc>
          <w:tcPr>
            <w:tcW w:w="1800" w:type="dxa"/>
            <w:shd w:val="clear" w:color="auto" w:fill="EAF1F8"/>
            <w:tcMar>
              <w:top w:w="70" w:type="dxa"/>
              <w:left w:w="70" w:type="dxa"/>
              <w:bottom w:w="70" w:type="dxa"/>
              <w:right w:w="70" w:type="dxa"/>
            </w:tcMar>
            <w:vAlign w:val="center"/>
          </w:tcPr>
          <w:p w14:paraId="233E8D44"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b/>
                <w:color w:val="1F4E78"/>
                <w:sz w:val="17"/>
                <w:rtl/>
              </w:rPr>
              <w:t>السؤال الفرعي 5 / H5</w:t>
            </w:r>
          </w:p>
        </w:tc>
        <w:tc>
          <w:tcPr>
            <w:tcW w:w="1584" w:type="dxa"/>
            <w:shd w:val="clear" w:color="auto" w:fill="EAF1F8"/>
            <w:tcMar>
              <w:top w:w="70" w:type="dxa"/>
              <w:left w:w="70" w:type="dxa"/>
              <w:bottom w:w="70" w:type="dxa"/>
              <w:right w:w="70" w:type="dxa"/>
            </w:tcMar>
            <w:vAlign w:val="center"/>
          </w:tcPr>
          <w:p w14:paraId="31BE1D41" w14:textId="77777777" w:rsidR="00161B2D" w:rsidRPr="00161B2D" w:rsidRDefault="00161B2D" w:rsidP="00D63CA8">
            <w:pPr>
              <w:keepLines/>
              <w:spacing w:after="0" w:line="240" w:lineRule="auto"/>
              <w:jc w:val="center"/>
              <w:rPr>
                <w:rFonts w:ascii="Simplified Arabic" w:hAnsi="Simplified Arabic" w:cs="Simplified Arabic"/>
              </w:rPr>
            </w:pPr>
            <w:r>
              <w:rPr>
                <w:rFonts w:ascii="Times New Roman" w:eastAsia="Times New Roman" w:hAnsi="Times New Roman" w:cs="Times New Roman"/>
                <w:color w:val="1F1F1F"/>
                <w:sz w:val="17"/>
              </w:rPr>
              <w:t>TL → SC → SB → PRAE</w:t>
            </w:r>
          </w:p>
        </w:tc>
        <w:tc>
          <w:tcPr>
            <w:tcW w:w="2448" w:type="dxa"/>
            <w:shd w:val="clear" w:color="auto" w:fill="EAF1F8"/>
            <w:tcMar>
              <w:top w:w="70" w:type="dxa"/>
              <w:left w:w="70" w:type="dxa"/>
              <w:bottom w:w="70" w:type="dxa"/>
              <w:right w:w="70" w:type="dxa"/>
            </w:tcMar>
            <w:vAlign w:val="center"/>
          </w:tcPr>
          <w:p w14:paraId="65751F40"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المقاييس الأربعة</w:t>
            </w:r>
          </w:p>
        </w:tc>
        <w:tc>
          <w:tcPr>
            <w:tcW w:w="2088" w:type="dxa"/>
            <w:shd w:val="clear" w:color="auto" w:fill="EAF1F8"/>
            <w:tcMar>
              <w:top w:w="70" w:type="dxa"/>
              <w:left w:w="70" w:type="dxa"/>
              <w:bottom w:w="70" w:type="dxa"/>
              <w:right w:w="70" w:type="dxa"/>
            </w:tcMar>
            <w:vAlign w:val="center"/>
          </w:tcPr>
          <w:p w14:paraId="593CD5E1"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 xml:space="preserve">الأثر غير المباشر المتتابع؛ </w:t>
            </w:r>
            <w:r w:rsidRPr="00161B2D">
              <w:rPr>
                <w:rFonts w:ascii="Times New Roman" w:eastAsia="Times New Roman" w:hAnsi="Times New Roman" w:cs="Times New Roman"/>
                <w:color w:val="1F1F1F"/>
                <w:sz w:val="17"/>
              </w:rPr>
              <w:t>Bootstrap 5,000</w:t>
            </w:r>
          </w:p>
        </w:tc>
        <w:tc>
          <w:tcPr>
            <w:tcW w:w="1944" w:type="dxa"/>
            <w:shd w:val="clear" w:color="auto" w:fill="EAF1F8"/>
            <w:tcMar>
              <w:top w:w="70" w:type="dxa"/>
              <w:left w:w="70" w:type="dxa"/>
              <w:bottom w:w="70" w:type="dxa"/>
              <w:right w:w="70" w:type="dxa"/>
            </w:tcMar>
            <w:vAlign w:val="center"/>
          </w:tcPr>
          <w:p w14:paraId="0DE60DB4" w14:textId="77777777" w:rsidR="00161B2D" w:rsidRPr="00161B2D" w:rsidRDefault="00161B2D" w:rsidP="00D63CA8">
            <w:pPr>
              <w:keepLines/>
              <w:bidi/>
              <w:spacing w:after="0" w:line="240" w:lineRule="auto"/>
              <w:jc w:val="center"/>
              <w:rPr>
                <w:rFonts w:ascii="Simplified Arabic" w:hAnsi="Simplified Arabic" w:cs="Simplified Arabic"/>
              </w:rPr>
            </w:pPr>
            <w:r w:rsidRPr="00161B2D">
              <w:rPr>
                <w:rFonts w:ascii="Traditional Arabic" w:eastAsia="Traditional Arabic" w:hAnsi="Traditional Arabic" w:cs="Traditional Arabic"/>
                <w:color w:val="1F1F1F"/>
                <w:sz w:val="17"/>
                <w:rtl/>
              </w:rPr>
              <w:t>فترة ثقة 95% لا تشمل الصفر</w:t>
            </w:r>
          </w:p>
        </w:tc>
      </w:tr>
    </w:tbl>
    <w:p w14:paraId="5375037F" w14:textId="77777777" w:rsidR="00161B2D" w:rsidRDefault="00161B2D" w:rsidP="00161B2D">
      <w:pPr>
        <w:bidi/>
        <w:spacing w:after="20"/>
        <w:rPr>
          <w:rFonts w:ascii="Simplified Arabic" w:hAnsi="Simplified Arabic" w:cs="Simplified Arabic"/>
          <w:rtl/>
        </w:rPr>
      </w:pPr>
    </w:p>
    <w:p w14:paraId="495C408C" w14:textId="39293EBC" w:rsidR="003869F6" w:rsidRPr="003869F6" w:rsidRDefault="003869F6" w:rsidP="003869F6">
      <w:pPr>
        <w:pStyle w:val="aa"/>
        <w:spacing w:line="360" w:lineRule="auto"/>
        <w:jc w:val="left"/>
        <w:rPr>
          <w:rFonts w:ascii="Simplified Arabic" w:hAnsi="Simplified Arabic" w:cs="Simplified Arabic"/>
          <w:b/>
          <w:bCs/>
          <w:i w:val="0"/>
          <w:iCs w:val="0"/>
          <w:rtl/>
        </w:rPr>
      </w:pPr>
      <w:r w:rsidRPr="003869F6">
        <w:rPr>
          <w:rFonts w:ascii="Simplified Arabic" w:eastAsia="Arial" w:hAnsi="Simplified Arabic" w:cs="Simplified Arabic"/>
          <w:b/>
          <w:bCs/>
          <w:i w:val="0"/>
          <w:iCs w:val="0"/>
          <w:rtl/>
        </w:rPr>
        <w:t>3.13.4 ثبات القياس عبر الفئات المهنية</w:t>
      </w:r>
    </w:p>
    <w:p w14:paraId="71F698EB" w14:textId="03B612A6" w:rsidR="003869F6" w:rsidRPr="003869F6" w:rsidRDefault="003869F6" w:rsidP="003869F6">
      <w:pPr>
        <w:bidi/>
        <w:spacing w:line="360" w:lineRule="auto"/>
        <w:jc w:val="both"/>
        <w:rPr>
          <w:rFonts w:ascii="Simplified Arabic" w:hAnsi="Simplified Arabic" w:cs="Simplified Arabic"/>
          <w:sz w:val="24"/>
          <w:szCs w:val="24"/>
        </w:rPr>
      </w:pPr>
      <w:r w:rsidRPr="003869F6">
        <w:rPr>
          <w:rFonts w:ascii="Simplified Arabic" w:hAnsi="Simplified Arabic" w:cs="Simplified Arabic"/>
          <w:color w:val="000000"/>
          <w:sz w:val="24"/>
          <w:szCs w:val="24"/>
          <w:rtl/>
        </w:rPr>
        <w:t>تضم العينة فئات مهنية متنوعة من حيث نوع العمل ومستوى القرب من القيادة المباشرة، لذلك يُختبر ثبات القياس (</w:t>
      </w:r>
      <w:r w:rsidRPr="003869F6">
        <w:rPr>
          <w:rFonts w:ascii="Simplified Arabic" w:hAnsi="Simplified Arabic" w:cs="Simplified Arabic"/>
          <w:color w:val="000000"/>
          <w:sz w:val="24"/>
          <w:szCs w:val="24"/>
        </w:rPr>
        <w:t>Measurement Invariance</w:t>
      </w:r>
      <w:r w:rsidRPr="003869F6">
        <w:rPr>
          <w:rFonts w:ascii="Simplified Arabic" w:hAnsi="Simplified Arabic" w:cs="Simplified Arabic"/>
          <w:color w:val="000000"/>
          <w:sz w:val="24"/>
          <w:szCs w:val="24"/>
          <w:rtl/>
        </w:rPr>
        <w:t xml:space="preserve">) عبر ثلاث مجموعات هي الفئة الطبية، والفئة التمريضية، </w:t>
      </w:r>
      <w:r w:rsidR="006B4321" w:rsidRPr="003869F6">
        <w:rPr>
          <w:rFonts w:ascii="Simplified Arabic" w:hAnsi="Simplified Arabic" w:cs="Simplified Arabic" w:hint="cs"/>
          <w:color w:val="000000"/>
          <w:sz w:val="24"/>
          <w:szCs w:val="24"/>
          <w:rtl/>
        </w:rPr>
        <w:t xml:space="preserve">والفئات المساندة </w:t>
      </w:r>
      <w:r w:rsidR="006B4321" w:rsidRPr="003869F6">
        <w:rPr>
          <w:rFonts w:ascii="Simplified Arabic" w:hAnsi="Simplified Arabic" w:cs="Simplified Arabic" w:hint="eastAsia"/>
          <w:color w:val="000000"/>
          <w:sz w:val="24"/>
          <w:szCs w:val="24"/>
          <w:rtl/>
        </w:rPr>
        <w:t>،</w:t>
      </w:r>
      <w:r w:rsidRPr="003869F6">
        <w:rPr>
          <w:rFonts w:ascii="Simplified Arabic" w:hAnsi="Simplified Arabic" w:cs="Simplified Arabic"/>
          <w:color w:val="000000"/>
          <w:sz w:val="24"/>
          <w:szCs w:val="24"/>
          <w:rtl/>
        </w:rPr>
        <w:t xml:space="preserve">والإدارية. ويُجري الاختبار على ثلاث مستويات تدريجية: التطابق البنائي، ثم تطابق التشبعات، وأخيرًا تطابق المقاطع. يُعتبر التطابق مقبولًا إذا لم يتجاوز التغير في </w:t>
      </w:r>
      <w:r w:rsidRPr="003869F6">
        <w:rPr>
          <w:rFonts w:ascii="Simplified Arabic" w:hAnsi="Simplified Arabic" w:cs="Simplified Arabic"/>
          <w:color w:val="000000"/>
          <w:sz w:val="24"/>
          <w:szCs w:val="24"/>
        </w:rPr>
        <w:t>CFI 0.01</w:t>
      </w:r>
      <w:r w:rsidRPr="003869F6">
        <w:rPr>
          <w:rFonts w:ascii="Simplified Arabic" w:hAnsi="Simplified Arabic" w:cs="Simplified Arabic"/>
          <w:color w:val="000000"/>
          <w:sz w:val="24"/>
          <w:szCs w:val="24"/>
          <w:rtl/>
        </w:rPr>
        <w:t xml:space="preserve">، أو التغير في </w:t>
      </w:r>
      <w:r w:rsidRPr="003869F6">
        <w:rPr>
          <w:rFonts w:ascii="Simplified Arabic" w:hAnsi="Simplified Arabic" w:cs="Simplified Arabic"/>
          <w:color w:val="000000"/>
          <w:sz w:val="24"/>
          <w:szCs w:val="24"/>
        </w:rPr>
        <w:t>RMSEA 0.015</w:t>
      </w:r>
      <w:r w:rsidRPr="003869F6">
        <w:rPr>
          <w:rFonts w:ascii="Simplified Arabic" w:hAnsi="Simplified Arabic" w:cs="Simplified Arabic"/>
          <w:color w:val="000000"/>
          <w:sz w:val="24"/>
          <w:szCs w:val="24"/>
          <w:rtl/>
        </w:rPr>
        <w:t xml:space="preserve"> بين النموذجين المتتاليين. وإذا لم يتحقق تطابق التشبعات، فلا تُسمح بمقارنة المتوسطات الكامنة بين الفئات، ويقتصر الأمر على تقدير النموذج على العينة الكلية مع الإشارة إلى هذا القيد.</w:t>
      </w:r>
    </w:p>
    <w:p w14:paraId="4B1401E4" w14:textId="77777777" w:rsidR="00161B2D" w:rsidRPr="005E1B7E" w:rsidRDefault="00161B2D" w:rsidP="00161B2D">
      <w:pPr>
        <w:pStyle w:val="1"/>
        <w:bidi/>
        <w:spacing w:before="200" w:after="80"/>
        <w:rPr>
          <w:rFonts w:ascii="Simplified Arabic" w:hAnsi="Simplified Arabic" w:cs="Simplified Arabic"/>
          <w:bCs/>
          <w:color w:val="auto"/>
          <w:sz w:val="28"/>
          <w:szCs w:val="28"/>
        </w:rPr>
      </w:pPr>
      <w:r w:rsidRPr="005E1B7E">
        <w:rPr>
          <w:rFonts w:ascii="Simplified Arabic" w:hAnsi="Simplified Arabic" w:cs="Simplified Arabic"/>
          <w:bCs/>
          <w:color w:val="auto"/>
          <w:sz w:val="28"/>
          <w:szCs w:val="28"/>
          <w:rtl/>
        </w:rPr>
        <w:t>3.14 الاعتبارات الأخلاقية وحماية البيانات</w:t>
      </w:r>
    </w:p>
    <w:p w14:paraId="313937F4" w14:textId="77777777" w:rsidR="00982C12" w:rsidRDefault="00982C12" w:rsidP="005E1B7E">
      <w:pPr>
        <w:bidi/>
        <w:spacing w:after="100" w:line="324" w:lineRule="auto"/>
        <w:jc w:val="both"/>
        <w:rPr>
          <w:rFonts w:ascii="Simplified Arabic" w:eastAsia="Simplified Arabic" w:hAnsi="Simplified Arabic" w:cs="Simplified Arabic"/>
          <w:sz w:val="28"/>
          <w:rtl/>
        </w:rPr>
      </w:pPr>
      <w:r>
        <w:rPr>
          <w:rFonts w:ascii="Simplified Arabic" w:eastAsia="Simplified Arabic" w:hAnsi="Simplified Arabic" w:cs="Simplified Arabic"/>
          <w:sz w:val="28"/>
          <w:rtl/>
        </w:rPr>
        <w:t>لن يبدأ التنفيذ قبل الحصول على موافقة جامعة ميد أوشن وموافقة لجنة أخلاقيات البحث في تجمع الجوف الصحي. وحتى تاريخ إعداد هذه النسخة، لم تصدر أرقام الموافقات النهائية؛ لذلك، ستُدرج الأرقام والتواريخ في سجل الموافقات بالملحق فور صدورها، ولن يبدأ جمع البيانات قبل اكتمالها. ولا يجوز استخدام أرقام تقديرية أو اعتبار الموافقة متحققة قبل استلام الوثائق الرسمية.</w:t>
      </w:r>
    </w:p>
    <w:p w14:paraId="70FB0505" w14:textId="77777777" w:rsidR="00982C12" w:rsidRDefault="00982C12" w:rsidP="005E1B7E">
      <w:pPr>
        <w:bidi/>
        <w:spacing w:after="100" w:line="324" w:lineRule="auto"/>
        <w:jc w:val="both"/>
        <w:rPr>
          <w:rFonts w:ascii="Simplified Arabic" w:eastAsia="Simplified Arabic" w:hAnsi="Simplified Arabic" w:cs="Simplified Arabic"/>
          <w:sz w:val="28"/>
          <w:rtl/>
        </w:rPr>
      </w:pPr>
      <w:r>
        <w:rPr>
          <w:rFonts w:ascii="Simplified Arabic" w:eastAsia="Simplified Arabic" w:hAnsi="Simplified Arabic" w:cs="Simplified Arabic"/>
          <w:sz w:val="28"/>
          <w:rtl/>
        </w:rPr>
        <w:t>المشاركة طوعية ومنخفضة المخاطر، ولا تؤثر في الوضع الوظيفي أو تقييم الأداء أو العلاقة بالإدارة. ولن تُجمع أسماء أو أرقام وظيفية داخل ملف التحليل. وتُعرض النتائج في صورة مجمعة، وتُدمج الفئات أو المستشفيات الصغيرة عند الحاجة، ولا تُعرض أي خلية يقل عددها عن خمسة أفراد؛ منعًا للتعرف غير المباشر على المشاركين.</w:t>
      </w:r>
    </w:p>
    <w:p w14:paraId="5E9BB09C" w14:textId="325FEE56" w:rsidR="00161B2D" w:rsidRPr="00161B2D" w:rsidRDefault="00982C12" w:rsidP="005E1B7E">
      <w:pPr>
        <w:bidi/>
        <w:spacing w:after="100" w:line="324" w:lineRule="auto"/>
        <w:jc w:val="both"/>
        <w:rPr>
          <w:rFonts w:ascii="Simplified Arabic" w:hAnsi="Simplified Arabic" w:cs="Simplified Arabic"/>
        </w:rPr>
      </w:pPr>
      <w:r>
        <w:rPr>
          <w:rFonts w:ascii="Simplified Arabic" w:eastAsia="Simplified Arabic" w:hAnsi="Simplified Arabic" w:cs="Simplified Arabic"/>
          <w:sz w:val="28"/>
          <w:rtl/>
        </w:rPr>
        <w:t>تُخزن البيانات في ملف مشفر ومحمي بكلمة مرور على وسيط معتمد، ويقتصر الوصول إلى الباحث الرئيس. وإذا احتاج التحليل إلى مختص إحصائي، يُمنح ملفًا منزوع الهوية بعد توقيع تعهد بالسرية. وتُحتفظ البيانات لخمس سنوات أو المدة الأطول التي تفرضها سياسة الجامعة أو لجنة الأخلاقيات، ثم تُحذف حذفًا آمنًا، وتُتلف النسخ الورقية بالفرم الآمن. ويُدرج نص الموافقة المستنيرة وسياسة الخصوصية في ملحق الاستبانة.</w:t>
      </w:r>
    </w:p>
    <w:p w14:paraId="15D345CA" w14:textId="77777777" w:rsidR="00161B2D" w:rsidRPr="005E1B7E" w:rsidRDefault="00161B2D" w:rsidP="00161B2D">
      <w:pPr>
        <w:pStyle w:val="1"/>
        <w:bidi/>
        <w:spacing w:before="200" w:after="80"/>
        <w:rPr>
          <w:rFonts w:ascii="Simplified Arabic" w:hAnsi="Simplified Arabic" w:cs="Simplified Arabic"/>
          <w:bCs/>
          <w:color w:val="auto"/>
          <w:sz w:val="28"/>
          <w:szCs w:val="28"/>
        </w:rPr>
      </w:pPr>
      <w:r w:rsidRPr="005E1B7E">
        <w:rPr>
          <w:rFonts w:ascii="Simplified Arabic" w:hAnsi="Simplified Arabic" w:cs="Simplified Arabic"/>
          <w:bCs/>
          <w:color w:val="auto"/>
          <w:sz w:val="28"/>
          <w:szCs w:val="28"/>
          <w:rtl/>
        </w:rPr>
        <w:t>3.15 خلاصة الفصل</w:t>
      </w:r>
    </w:p>
    <w:p w14:paraId="6529062F" w14:textId="73BB40F4" w:rsidR="00161B2D" w:rsidRPr="00161B2D" w:rsidRDefault="00982C12" w:rsidP="00161B2D">
      <w:pPr>
        <w:bidi/>
        <w:spacing w:after="100" w:line="324" w:lineRule="auto"/>
        <w:rPr>
          <w:rFonts w:ascii="Simplified Arabic" w:hAnsi="Simplified Arabic" w:cs="Simplified Arabic"/>
        </w:rPr>
      </w:pPr>
      <w:r>
        <w:rPr>
          <w:rFonts w:ascii="Simplified Arabic" w:eastAsia="Simplified Arabic" w:hAnsi="Simplified Arabic" w:cs="Simplified Arabic"/>
          <w:sz w:val="28"/>
          <w:rtl/>
        </w:rPr>
        <w:t>عرض الفصل تصميم الدراسة المقطعية، ومجتمعها وعيناتها وأدواتها وإجراءات التحقق والتحليل والأخلاقيات. كما حدد بوضوح العناصر التي لا تزال معلقة على وثائق رسمية، وهي إطار المعاينة المؤرَّخ وأرقام الموافقات، على أن تُدرج فور صدورها وقبل بدء جمع البيانات.</w:t>
      </w:r>
    </w:p>
    <w:p w14:paraId="71DF34EE" w14:textId="77777777" w:rsidR="00390B53" w:rsidRPr="00161B2D" w:rsidRDefault="00390B53" w:rsidP="00161B2D">
      <w:pPr>
        <w:bidi/>
        <w:spacing w:after="210" w:line="360" w:lineRule="auto"/>
        <w:rPr>
          <w:rFonts w:ascii="Simplified Arabic" w:hAnsi="Simplified Arabic" w:cs="Simplified Arabic"/>
          <w:sz w:val="28"/>
          <w:szCs w:val="28"/>
          <w:rtl/>
        </w:rPr>
      </w:pPr>
    </w:p>
    <w:p w14:paraId="1AFE71F8" w14:textId="77777777" w:rsidR="00390B53" w:rsidRPr="00161B2D" w:rsidRDefault="00390B53" w:rsidP="00161B2D">
      <w:pPr>
        <w:bidi/>
        <w:spacing w:after="210" w:line="360" w:lineRule="auto"/>
        <w:rPr>
          <w:rFonts w:ascii="Simplified Arabic" w:hAnsi="Simplified Arabic" w:cs="Simplified Arabic"/>
          <w:sz w:val="28"/>
          <w:szCs w:val="28"/>
          <w:rtl/>
        </w:rPr>
      </w:pPr>
    </w:p>
    <w:p w14:paraId="1620836A" w14:textId="77777777" w:rsidR="0049184C" w:rsidRPr="0049184C" w:rsidRDefault="0049184C" w:rsidP="0049184C">
      <w:pPr>
        <w:bidi/>
        <w:spacing w:after="210" w:line="360" w:lineRule="auto"/>
        <w:rPr>
          <w:rFonts w:ascii="Simplified Arabic" w:hAnsi="Simplified Arabic" w:cs="Simplified Arabic"/>
          <w:sz w:val="28"/>
          <w:szCs w:val="28"/>
        </w:rPr>
      </w:pPr>
      <w:r w:rsidRPr="0049184C">
        <w:rPr>
          <w:rFonts w:ascii="Simplified Arabic" w:hAnsi="Simplified Arabic" w:cs="Simplified Arabic"/>
          <w:b/>
          <w:sz w:val="28"/>
          <w:szCs w:val="28"/>
          <w:rtl/>
        </w:rPr>
        <w:lastRenderedPageBreak/>
        <w:t>المراجع</w:t>
      </w:r>
    </w:p>
    <w:p w14:paraId="785E4794" w14:textId="58BA2166" w:rsidR="0049184C" w:rsidRPr="0049184C" w:rsidRDefault="0049184C" w:rsidP="0049184C">
      <w:pPr>
        <w:spacing w:after="210" w:line="360" w:lineRule="auto"/>
        <w:jc w:val="right"/>
        <w:rPr>
          <w:rFonts w:ascii="Simplified Arabic" w:hAnsi="Simplified Arabic" w:cs="Simplified Arabic"/>
          <w:sz w:val="28"/>
          <w:szCs w:val="28"/>
          <w:rtl/>
        </w:rPr>
      </w:pPr>
      <w:r>
        <w:rPr>
          <w:rFonts w:ascii="Simplified Arabic" w:hAnsi="Simplified Arabic" w:cs="Simplified Arabic" w:hint="cs"/>
          <w:b/>
          <w:sz w:val="28"/>
          <w:szCs w:val="28"/>
          <w:rtl/>
        </w:rPr>
        <w:t>1.</w:t>
      </w:r>
      <w:r w:rsidRPr="0049184C">
        <w:rPr>
          <w:rFonts w:ascii="Simplified Arabic" w:hAnsi="Simplified Arabic" w:cs="Simplified Arabic"/>
          <w:b/>
          <w:sz w:val="28"/>
          <w:szCs w:val="28"/>
          <w:rtl/>
        </w:rPr>
        <w:t>المراجع الإنجليزية</w:t>
      </w:r>
    </w:p>
    <w:p w14:paraId="53ED034F"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Ahmed, Z., Ellahham, S., Soomro, M., Shams, S., &amp; Latif, K. (2024). Exploring the impact of compassion and leadership on patient safety and quality in healthcare systems: A narrative review. </w:t>
      </w:r>
      <w:r w:rsidRPr="00E40BBC">
        <w:rPr>
          <w:rFonts w:ascii="Simplified Arabic" w:hAnsi="Simplified Arabic" w:cs="Simplified Arabic"/>
          <w:i/>
          <w:sz w:val="24"/>
          <w:szCs w:val="24"/>
        </w:rPr>
        <w:t>BMJ Open Quality, 13</w:t>
      </w:r>
      <w:r w:rsidRPr="00E40BBC">
        <w:rPr>
          <w:rFonts w:ascii="Simplified Arabic" w:hAnsi="Simplified Arabic" w:cs="Simplified Arabic"/>
          <w:sz w:val="24"/>
          <w:szCs w:val="24"/>
        </w:rPr>
        <w:t>(Suppl. 2), e002651. https://doi.org/10.1136/bmjoq-2023-002651</w:t>
      </w:r>
    </w:p>
    <w:p w14:paraId="46A4C1FE"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Alahmadi, Y. M., Alharbi, M. A., Almusallam, A. J., Alahmadi, R. Y., &amp; Alolayan, S. O. (2022). Incidence of medication errors in King Fahad Hospital Madina Saudi Arabia. </w:t>
      </w:r>
      <w:r w:rsidRPr="00E40BBC">
        <w:rPr>
          <w:rFonts w:ascii="Simplified Arabic" w:hAnsi="Simplified Arabic" w:cs="Simplified Arabic"/>
          <w:i/>
          <w:sz w:val="24"/>
          <w:szCs w:val="24"/>
        </w:rPr>
        <w:t>Brazilian Journal of Pharmaceutical Sciences, 58</w:t>
      </w:r>
      <w:r w:rsidRPr="00E40BBC">
        <w:rPr>
          <w:rFonts w:ascii="Simplified Arabic" w:hAnsi="Simplified Arabic" w:cs="Simplified Arabic"/>
          <w:sz w:val="24"/>
          <w:szCs w:val="24"/>
        </w:rPr>
        <w:t>, e201196. https://doi.org/10.1590/s2175-97902022e201196</w:t>
      </w:r>
    </w:p>
    <w:p w14:paraId="39B31460"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Alghamdi, S. A. (2026). Medication errors reporting and analysis: A comparative study for advancing medication safety practices in Ministry of Health hospitals in Saudi Arabia. </w:t>
      </w:r>
      <w:r w:rsidRPr="00E40BBC">
        <w:rPr>
          <w:rFonts w:ascii="Simplified Arabic" w:hAnsi="Simplified Arabic" w:cs="Simplified Arabic"/>
          <w:i/>
          <w:sz w:val="24"/>
          <w:szCs w:val="24"/>
        </w:rPr>
        <w:t>Saudi Medical Journal, 47</w:t>
      </w:r>
      <w:r w:rsidRPr="00E40BBC">
        <w:rPr>
          <w:rFonts w:ascii="Simplified Arabic" w:hAnsi="Simplified Arabic" w:cs="Simplified Arabic"/>
          <w:sz w:val="24"/>
          <w:szCs w:val="24"/>
        </w:rPr>
        <w:t>(1), 102–113. https://doi.org/10.15537/smj.2026.47.1.20250755</w:t>
      </w:r>
    </w:p>
    <w:p w14:paraId="26217E51"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Almalki, Z. S., Alqahtani, N., Salway, N. T., Alharbi, M. M., Alqahtani, A., Alotaibi, N., Alotaibi, T. M., &amp; Alshammari, T. (2021). Evaluation of medication error rates in Saudi Arabia: A protocol for systematic review and meta-analysis. </w:t>
      </w:r>
      <w:r w:rsidRPr="00E40BBC">
        <w:rPr>
          <w:rFonts w:ascii="Simplified Arabic" w:hAnsi="Simplified Arabic" w:cs="Simplified Arabic"/>
          <w:i/>
          <w:sz w:val="24"/>
          <w:szCs w:val="24"/>
        </w:rPr>
        <w:t>Medicine, 100</w:t>
      </w:r>
      <w:r w:rsidRPr="00E40BBC">
        <w:rPr>
          <w:rFonts w:ascii="Simplified Arabic" w:hAnsi="Simplified Arabic" w:cs="Simplified Arabic"/>
          <w:sz w:val="24"/>
          <w:szCs w:val="24"/>
        </w:rPr>
        <w:t>(9), e24956. https://doi.org/10.1097/MD.0000000000024956</w:t>
      </w:r>
    </w:p>
    <w:p w14:paraId="6DF7C24A"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Almuntasheri, A. A., &amp; Almandeel, S. M. (2022). Leadership behavior impact on safety culture in Jeddah Eye Hospital. </w:t>
      </w:r>
      <w:r w:rsidRPr="00E40BBC">
        <w:rPr>
          <w:rFonts w:ascii="Simplified Arabic" w:hAnsi="Simplified Arabic" w:cs="Simplified Arabic"/>
          <w:i/>
          <w:sz w:val="24"/>
          <w:szCs w:val="24"/>
        </w:rPr>
        <w:t>Journal of Economic, Administrative and Legal Sciences, 6</w:t>
      </w:r>
      <w:r w:rsidRPr="00E40BBC">
        <w:rPr>
          <w:rFonts w:ascii="Simplified Arabic" w:hAnsi="Simplified Arabic" w:cs="Simplified Arabic"/>
          <w:sz w:val="24"/>
          <w:szCs w:val="24"/>
        </w:rPr>
        <w:t>(10), 161–180. https://doi.org/10.26389/AJSRP.M191021</w:t>
      </w:r>
    </w:p>
    <w:p w14:paraId="54E57B0E"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Alotaibi, E. A., ZienYusoff, R., Al-Swidi, A. K., Al-Matari, E. M., &amp; AlSharqi, O. Z. (2015). The mediating effect of organizational climate on the relationship between transformational leadership and patient safety: A study on Saudi hospitals. </w:t>
      </w:r>
      <w:r w:rsidRPr="00E40BBC">
        <w:rPr>
          <w:rFonts w:ascii="Simplified Arabic" w:hAnsi="Simplified Arabic" w:cs="Simplified Arabic"/>
          <w:i/>
          <w:sz w:val="24"/>
          <w:szCs w:val="24"/>
        </w:rPr>
        <w:t>Mediterranean Journal of Social Sciences, 6</w:t>
      </w:r>
      <w:r w:rsidRPr="00E40BBC">
        <w:rPr>
          <w:rFonts w:ascii="Simplified Arabic" w:hAnsi="Simplified Arabic" w:cs="Simplified Arabic"/>
          <w:sz w:val="24"/>
          <w:szCs w:val="24"/>
        </w:rPr>
        <w:t>(2 S1), 117–126. https://doi.org/10.5901/mjss.2015.v6n2s1p117</w:t>
      </w:r>
    </w:p>
    <w:p w14:paraId="02AEB0C4"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lastRenderedPageBreak/>
        <w:t xml:space="preserve">Alrasheeday, A. M., Alkubati, S. A., Alqalah, T. A. H., Alrubaiee, G. G., Pasay-An, E., Alshammari, B., Abdullah, S. O., &amp; Loutfy, A. (2024). Nurses’ perceptions of patient safety culture and adverse events in Hail City, Saudi Arabia: A cross-sectional approach to improving healthcare safety. </w:t>
      </w:r>
      <w:r w:rsidRPr="00E40BBC">
        <w:rPr>
          <w:rFonts w:ascii="Simplified Arabic" w:hAnsi="Simplified Arabic" w:cs="Simplified Arabic"/>
          <w:i/>
          <w:sz w:val="24"/>
          <w:szCs w:val="24"/>
        </w:rPr>
        <w:t>BMJ Open, 14</w:t>
      </w:r>
      <w:r w:rsidRPr="00E40BBC">
        <w:rPr>
          <w:rFonts w:ascii="Simplified Arabic" w:hAnsi="Simplified Arabic" w:cs="Simplified Arabic"/>
          <w:sz w:val="24"/>
          <w:szCs w:val="24"/>
        </w:rPr>
        <w:t>(9), e084741. https://doi.org/10.1136/bmjopen-2024-084741</w:t>
      </w:r>
    </w:p>
    <w:p w14:paraId="02BFF92B"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Alsaedi, F. M. D., Alsaedi, A. H., Albelady, A. A. H., Alharbi, A. F. S., Alharbi, B. N. M., Alolowi, N. M. H., Aljabri, M. O. S., Alharbi, A. H. H., Alrashdi, A. A. S., &amp; Alharbi, N. M. M. (2024). The impact of transformational nursing leadership on organizational change in healthcare management: A conceptual approach. </w:t>
      </w:r>
      <w:r w:rsidRPr="00E40BBC">
        <w:rPr>
          <w:rFonts w:ascii="Simplified Arabic" w:hAnsi="Simplified Arabic" w:cs="Simplified Arabic"/>
          <w:i/>
          <w:sz w:val="24"/>
          <w:szCs w:val="24"/>
        </w:rPr>
        <w:t>Journal of International Crisis and Risk Communication Research, 7</w:t>
      </w:r>
      <w:r w:rsidRPr="00E40BBC">
        <w:rPr>
          <w:rFonts w:ascii="Simplified Arabic" w:hAnsi="Simplified Arabic" w:cs="Simplified Arabic"/>
          <w:sz w:val="24"/>
          <w:szCs w:val="24"/>
        </w:rPr>
        <w:t>(S6), 2003–2015. https://doi.org/10.63278/jicrcr.vi.2394</w:t>
      </w:r>
    </w:p>
    <w:p w14:paraId="19C68F50"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Alsahli, H., Al-Wathinani, A., Althobaiti, T., Abahussain, M., &amp; Goniewicz, K. (2024). Shaping safety: Unveiling the dynamics of incident reporting and safety culture in Saudi Arabian healthcare. </w:t>
      </w:r>
      <w:r w:rsidRPr="00E40BBC">
        <w:rPr>
          <w:rFonts w:ascii="Simplified Arabic" w:hAnsi="Simplified Arabic" w:cs="Simplified Arabic"/>
          <w:i/>
          <w:sz w:val="24"/>
          <w:szCs w:val="24"/>
        </w:rPr>
        <w:t>Journal of Multidisciplinary Healthcare, 17</w:t>
      </w:r>
      <w:r w:rsidRPr="00E40BBC">
        <w:rPr>
          <w:rFonts w:ascii="Simplified Arabic" w:hAnsi="Simplified Arabic" w:cs="Simplified Arabic"/>
          <w:sz w:val="24"/>
          <w:szCs w:val="24"/>
        </w:rPr>
        <w:t>, 3775–3789. https://doi.org/10.2147/JMDH.S458718</w:t>
      </w:r>
    </w:p>
    <w:p w14:paraId="7174AC5F"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Alshammari, A. S., Aldhuwayhi, T. Z., Alibrahim, N. O., Almhna, S. M., Al Shehadeh, Z. A., Altaymani, S. A., Abdel-Salam, D. M., Mohamed, R. A., &amp; Hassan, S. H. (2024). Assessment of patient safety culture among nurses working at tertiary care hospitals in Aljouf Region, Saudi Arabia. </w:t>
      </w:r>
      <w:r w:rsidRPr="00E40BBC">
        <w:rPr>
          <w:rFonts w:ascii="Simplified Arabic" w:hAnsi="Simplified Arabic" w:cs="Simplified Arabic"/>
          <w:i/>
          <w:sz w:val="24"/>
          <w:szCs w:val="24"/>
        </w:rPr>
        <w:t>Cureus, 16</w:t>
      </w:r>
      <w:r w:rsidRPr="00E40BBC">
        <w:rPr>
          <w:rFonts w:ascii="Simplified Arabic" w:hAnsi="Simplified Arabic" w:cs="Simplified Arabic"/>
          <w:sz w:val="24"/>
          <w:szCs w:val="24"/>
        </w:rPr>
        <w:t>(4), e58429. https://doi.org/10.7759/cureus.58429</w:t>
      </w:r>
    </w:p>
    <w:p w14:paraId="2405B98F"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Althaibah, T. S. A., Alalhareth, N. D. N., Alyami, A. S. A., Al Jaraib, S. H. M., Al Bataj, I. A. M., Alsharif, A. K. M., Alsarf, W. S. S., Al-Qannass, A. M., Alyami, A. M. A., Alyami, N. H., &amp; Alshareef, A. A. H. (2022). Transformational leadership and its impact on organizational creativity and patient safety in hospitals in the Kingdom of Saudi Arabia. </w:t>
      </w:r>
      <w:r w:rsidRPr="00E40BBC">
        <w:rPr>
          <w:rFonts w:ascii="Simplified Arabic" w:hAnsi="Simplified Arabic" w:cs="Simplified Arabic"/>
          <w:i/>
          <w:sz w:val="24"/>
          <w:szCs w:val="24"/>
        </w:rPr>
        <w:t>Remah Journal for Research and Studies</w:t>
      </w:r>
      <w:r w:rsidRPr="00E40BBC">
        <w:rPr>
          <w:rFonts w:ascii="Simplified Arabic" w:hAnsi="Simplified Arabic" w:cs="Simplified Arabic"/>
          <w:sz w:val="24"/>
          <w:szCs w:val="24"/>
        </w:rPr>
        <w:t>, (73, Part 2), 381–408. https://doi.org/10.33953/1371-000-073-027</w:t>
      </w:r>
    </w:p>
    <w:p w14:paraId="0AAC6CC2"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lastRenderedPageBreak/>
        <w:t xml:space="preserve">Anderson, J. C., &amp; Gerbing, D. W. (1988). Structural equation modeling in practice: A review and recommended two-step approach. </w:t>
      </w:r>
      <w:r w:rsidRPr="00E40BBC">
        <w:rPr>
          <w:rFonts w:ascii="Simplified Arabic" w:hAnsi="Simplified Arabic" w:cs="Simplified Arabic"/>
          <w:i/>
          <w:sz w:val="24"/>
          <w:szCs w:val="24"/>
        </w:rPr>
        <w:t>Psychological Bulletin, 103</w:t>
      </w:r>
      <w:r w:rsidRPr="00E40BBC">
        <w:rPr>
          <w:rFonts w:ascii="Simplified Arabic" w:hAnsi="Simplified Arabic" w:cs="Simplified Arabic"/>
          <w:sz w:val="24"/>
          <w:szCs w:val="24"/>
        </w:rPr>
        <w:t>(3), 411–423. https://doi.org/10.1037/0033-2909.103.3.411</w:t>
      </w:r>
    </w:p>
    <w:p w14:paraId="13D4FEBC"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Arabi, Y., Alamry, A., Al Owais, S. M., Al-Dorzi, H., Noushad, S., &amp; Taher, S. (2012). Incident reporting at a tertiary care hospital in Saudi Arabia. </w:t>
      </w:r>
      <w:r w:rsidRPr="00E40BBC">
        <w:rPr>
          <w:rFonts w:ascii="Simplified Arabic" w:hAnsi="Simplified Arabic" w:cs="Simplified Arabic"/>
          <w:i/>
          <w:sz w:val="24"/>
          <w:szCs w:val="24"/>
        </w:rPr>
        <w:t>Journal of Patient Safety, 8</w:t>
      </w:r>
      <w:r w:rsidRPr="00E40BBC">
        <w:rPr>
          <w:rFonts w:ascii="Simplified Arabic" w:hAnsi="Simplified Arabic" w:cs="Simplified Arabic"/>
          <w:sz w:val="24"/>
          <w:szCs w:val="24"/>
        </w:rPr>
        <w:t>(2), 81–87. https://doi.org/10.1097/PTS.0b013e31824badb7</w:t>
      </w:r>
    </w:p>
    <w:p w14:paraId="6D3D24DF"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Asante, K., &amp; Novak, P. (2024). Predicting nurses’ safety compliance behaviour in a developing economy, using the theory of planned behaviour: A configurational approach. </w:t>
      </w:r>
      <w:r w:rsidRPr="00E40BBC">
        <w:rPr>
          <w:rFonts w:ascii="Simplified Arabic" w:hAnsi="Simplified Arabic" w:cs="Simplified Arabic"/>
          <w:i/>
          <w:sz w:val="24"/>
          <w:szCs w:val="24"/>
        </w:rPr>
        <w:t>Journal of Advanced Nursing, 80</w:t>
      </w:r>
      <w:r w:rsidRPr="00E40BBC">
        <w:rPr>
          <w:rFonts w:ascii="Simplified Arabic" w:hAnsi="Simplified Arabic" w:cs="Simplified Arabic"/>
          <w:sz w:val="24"/>
          <w:szCs w:val="24"/>
        </w:rPr>
        <w:t>(3), 1097–1110. https://doi.org/10.1111/jan.15846</w:t>
      </w:r>
    </w:p>
    <w:p w14:paraId="5DBC7027"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Baruch, Y., &amp; Holtom, B. C. (2008). Survey response rate levels and trends in organizational research. </w:t>
      </w:r>
      <w:r w:rsidRPr="00E40BBC">
        <w:rPr>
          <w:rFonts w:ascii="Simplified Arabic" w:hAnsi="Simplified Arabic" w:cs="Simplified Arabic"/>
          <w:i/>
          <w:sz w:val="24"/>
          <w:szCs w:val="24"/>
        </w:rPr>
        <w:t>Human Relations, 61</w:t>
      </w:r>
      <w:r w:rsidRPr="00E40BBC">
        <w:rPr>
          <w:rFonts w:ascii="Simplified Arabic" w:hAnsi="Simplified Arabic" w:cs="Simplified Arabic"/>
          <w:sz w:val="24"/>
          <w:szCs w:val="24"/>
        </w:rPr>
        <w:t>(8), 1139–1160. https://doi.org/10.1177/0018726708094863</w:t>
      </w:r>
    </w:p>
    <w:p w14:paraId="21276CCD"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Boomsma, A., &amp; Hoogland, J. J. (2001). The robustness of LISREL modeling revisited. In R. Cudeck, S. du Toit, &amp; D. Sörbom (Eds.), </w:t>
      </w:r>
      <w:r w:rsidRPr="00E40BBC">
        <w:rPr>
          <w:rFonts w:ascii="Simplified Arabic" w:hAnsi="Simplified Arabic" w:cs="Simplified Arabic"/>
          <w:i/>
          <w:sz w:val="24"/>
          <w:szCs w:val="24"/>
        </w:rPr>
        <w:t>Structural equation modeling: Present and future: A Festschrift in honor of Karl Jöreskog</w:t>
      </w:r>
      <w:r w:rsidRPr="00E40BBC">
        <w:rPr>
          <w:rFonts w:ascii="Simplified Arabic" w:hAnsi="Simplified Arabic" w:cs="Simplified Arabic"/>
          <w:sz w:val="24"/>
          <w:szCs w:val="24"/>
        </w:rPr>
        <w:t xml:space="preserve"> (pp. 139–168). Scientific Software International.</w:t>
      </w:r>
    </w:p>
    <w:p w14:paraId="0085A5C8"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Creswell, J. W., &amp; Creswell, J. D. (2018). </w:t>
      </w:r>
      <w:r w:rsidRPr="00E40BBC">
        <w:rPr>
          <w:rFonts w:ascii="Simplified Arabic" w:hAnsi="Simplified Arabic" w:cs="Simplified Arabic"/>
          <w:i/>
          <w:sz w:val="24"/>
          <w:szCs w:val="24"/>
        </w:rPr>
        <w:t>Research design: Qualitative, quantitative, and mixed methods approaches</w:t>
      </w:r>
      <w:r w:rsidRPr="00E40BBC">
        <w:rPr>
          <w:rFonts w:ascii="Simplified Arabic" w:hAnsi="Simplified Arabic" w:cs="Simplified Arabic"/>
          <w:sz w:val="24"/>
          <w:szCs w:val="24"/>
        </w:rPr>
        <w:t xml:space="preserve"> (5th ed.). SAGE Publications.</w:t>
      </w:r>
    </w:p>
    <w:p w14:paraId="22358AB4"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Elhihi, E. A., Aljarary, K. L., Alahmadi, M., Adam, J. B., Almwualllad, O. A., Hawsawei, M. S., Hamza, A. A., &amp; Ibrahim, I. A. (2025). The mediating role of moral courage in the relationship between ethical leadership and error reporting behavior among nurses in Saudi Arabia: A structural equation modeling approach. </w:t>
      </w:r>
      <w:r w:rsidRPr="00E40BBC">
        <w:rPr>
          <w:rFonts w:ascii="Simplified Arabic" w:hAnsi="Simplified Arabic" w:cs="Simplified Arabic"/>
          <w:i/>
          <w:sz w:val="24"/>
          <w:szCs w:val="24"/>
        </w:rPr>
        <w:t>BMC Nursing, 24</w:t>
      </w:r>
      <w:r w:rsidRPr="00E40BBC">
        <w:rPr>
          <w:rFonts w:ascii="Simplified Arabic" w:hAnsi="Simplified Arabic" w:cs="Simplified Arabic"/>
          <w:sz w:val="24"/>
          <w:szCs w:val="24"/>
        </w:rPr>
        <w:t>(1), 392. https://doi.org/10.1186/s12912-025-03043-7</w:t>
      </w:r>
    </w:p>
    <w:p w14:paraId="7B16D2D6"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lastRenderedPageBreak/>
        <w:t xml:space="preserve">Fornell, C., &amp; Larcker, D. F. (1981). Evaluating structural equation models with unobservable variables and measurement error. </w:t>
      </w:r>
      <w:r w:rsidRPr="00E40BBC">
        <w:rPr>
          <w:rFonts w:ascii="Simplified Arabic" w:hAnsi="Simplified Arabic" w:cs="Simplified Arabic"/>
          <w:i/>
          <w:sz w:val="24"/>
          <w:szCs w:val="24"/>
        </w:rPr>
        <w:t>Journal of Marketing Research, 18</w:t>
      </w:r>
      <w:r w:rsidRPr="00E40BBC">
        <w:rPr>
          <w:rFonts w:ascii="Simplified Arabic" w:hAnsi="Simplified Arabic" w:cs="Simplified Arabic"/>
          <w:sz w:val="24"/>
          <w:szCs w:val="24"/>
        </w:rPr>
        <w:t>(1), 39–50. https://doi.org/10.1177/002224378101800104</w:t>
      </w:r>
    </w:p>
    <w:p w14:paraId="35A350F8"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Hair, J. F., Risher, J. J., Sarstedt, M., &amp; Ringle, C. M. (2019). When to use and how to report the results of PLS-SEM. </w:t>
      </w:r>
      <w:r w:rsidRPr="00E40BBC">
        <w:rPr>
          <w:rFonts w:ascii="Simplified Arabic" w:hAnsi="Simplified Arabic" w:cs="Simplified Arabic"/>
          <w:i/>
          <w:sz w:val="24"/>
          <w:szCs w:val="24"/>
        </w:rPr>
        <w:t>European Business Review, 31</w:t>
      </w:r>
      <w:r w:rsidRPr="00E40BBC">
        <w:rPr>
          <w:rFonts w:ascii="Simplified Arabic" w:hAnsi="Simplified Arabic" w:cs="Simplified Arabic"/>
          <w:sz w:val="24"/>
          <w:szCs w:val="24"/>
        </w:rPr>
        <w:t>(1), 2–24. https://doi.org/10.1108/EBR-11-2018-0203</w:t>
      </w:r>
    </w:p>
    <w:p w14:paraId="556607A5"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Hamdan, M., Jaaffar, A. H., Khraisat, O., Issa, M. R., &amp; Jarrar, M. (2024). The association of transformational leadership on safety practices among nurses: The mediating role of patient safety culture. </w:t>
      </w:r>
      <w:r w:rsidRPr="00E40BBC">
        <w:rPr>
          <w:rFonts w:ascii="Simplified Arabic" w:hAnsi="Simplified Arabic" w:cs="Simplified Arabic"/>
          <w:i/>
          <w:sz w:val="24"/>
          <w:szCs w:val="24"/>
        </w:rPr>
        <w:t>Risk Management and Healthcare Policy, 17</w:t>
      </w:r>
      <w:r w:rsidRPr="00E40BBC">
        <w:rPr>
          <w:rFonts w:ascii="Simplified Arabic" w:hAnsi="Simplified Arabic" w:cs="Simplified Arabic"/>
          <w:sz w:val="24"/>
          <w:szCs w:val="24"/>
        </w:rPr>
        <w:t>, 1687–1700. https://doi.org/10.2147/RMHP.S458505</w:t>
      </w:r>
    </w:p>
    <w:p w14:paraId="46401EB5"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Hayes, A. F. (2013). </w:t>
      </w:r>
      <w:r w:rsidRPr="00E40BBC">
        <w:rPr>
          <w:rFonts w:ascii="Simplified Arabic" w:hAnsi="Simplified Arabic" w:cs="Simplified Arabic"/>
          <w:i/>
          <w:sz w:val="24"/>
          <w:szCs w:val="24"/>
        </w:rPr>
        <w:t>Introduction to mediation, moderation, and conditional process analysis: A regression-based approach</w:t>
      </w:r>
      <w:r w:rsidRPr="00E40BBC">
        <w:rPr>
          <w:rFonts w:ascii="Simplified Arabic" w:hAnsi="Simplified Arabic" w:cs="Simplified Arabic"/>
          <w:sz w:val="24"/>
          <w:szCs w:val="24"/>
        </w:rPr>
        <w:t>. Guilford Press.</w:t>
      </w:r>
    </w:p>
    <w:p w14:paraId="24E6D076"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Health Holding Company. (n.d.). </w:t>
      </w:r>
      <w:r w:rsidRPr="00E40BBC">
        <w:rPr>
          <w:rFonts w:ascii="Simplified Arabic" w:hAnsi="Simplified Arabic" w:cs="Simplified Arabic"/>
          <w:i/>
          <w:sz w:val="24"/>
          <w:szCs w:val="24"/>
        </w:rPr>
        <w:t>Al-Jouf Health Cluster</w:t>
      </w:r>
      <w:r w:rsidRPr="00E40BBC">
        <w:rPr>
          <w:rFonts w:ascii="Simplified Arabic" w:hAnsi="Simplified Arabic" w:cs="Simplified Arabic"/>
          <w:sz w:val="24"/>
          <w:szCs w:val="24"/>
        </w:rPr>
        <w:t>. Retrieved July 22, 2026, from https://www.health.sa/en/clusters/al-jouf_health_cluster_v2</w:t>
      </w:r>
    </w:p>
    <w:p w14:paraId="45D7F604"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Henseler, J., Ringle, C. M., &amp; Sarstedt, M. (2015). A new criterion for assessing discriminant validity in variance-based structural equation modeling. </w:t>
      </w:r>
      <w:r w:rsidRPr="00E40BBC">
        <w:rPr>
          <w:rFonts w:ascii="Simplified Arabic" w:hAnsi="Simplified Arabic" w:cs="Simplified Arabic"/>
          <w:i/>
          <w:sz w:val="24"/>
          <w:szCs w:val="24"/>
        </w:rPr>
        <w:t>Journal of the Academy of Marketing Science, 43</w:t>
      </w:r>
      <w:r w:rsidRPr="00E40BBC">
        <w:rPr>
          <w:rFonts w:ascii="Simplified Arabic" w:hAnsi="Simplified Arabic" w:cs="Simplified Arabic"/>
          <w:sz w:val="24"/>
          <w:szCs w:val="24"/>
        </w:rPr>
        <w:t>(1), 115–135. https://doi.org/10.1007/s11747-014-0403-8</w:t>
      </w:r>
    </w:p>
    <w:p w14:paraId="0905C54F"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Hussain, M. K., &amp; Khayat, R. A. M. (2021). The impact of transformational leadership on job satisfaction and organisational commitment among hospital staff: A systematic review. </w:t>
      </w:r>
      <w:r w:rsidRPr="00E40BBC">
        <w:rPr>
          <w:rFonts w:ascii="Simplified Arabic" w:hAnsi="Simplified Arabic" w:cs="Simplified Arabic"/>
          <w:i/>
          <w:sz w:val="24"/>
          <w:szCs w:val="24"/>
        </w:rPr>
        <w:t>Journal of Health Management, 23</w:t>
      </w:r>
      <w:r w:rsidRPr="00E40BBC">
        <w:rPr>
          <w:rFonts w:ascii="Simplified Arabic" w:hAnsi="Simplified Arabic" w:cs="Simplified Arabic"/>
          <w:sz w:val="24"/>
          <w:szCs w:val="24"/>
        </w:rPr>
        <w:t>(4), 614–630. https://doi.org/10.1177/09720634211050463</w:t>
      </w:r>
    </w:p>
    <w:p w14:paraId="3D6F109C"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Jones, K. J., Skinner, A., Xu, L., Sun, J., &amp; Mueller, K. (2008). The AHRQ Hospital Survey on Patient Safety Culture: A tool to plan and evaluate patient safety programs. In K. Henriksen, J. B. Battles, M. A. Keyes, &amp; M. L. Grady (Eds.), </w:t>
      </w:r>
      <w:r w:rsidRPr="00E40BBC">
        <w:rPr>
          <w:rFonts w:ascii="Simplified Arabic" w:hAnsi="Simplified Arabic" w:cs="Simplified Arabic"/>
          <w:i/>
          <w:sz w:val="24"/>
          <w:szCs w:val="24"/>
        </w:rPr>
        <w:t xml:space="preserve">Advances in patient safety: New directions and </w:t>
      </w:r>
      <w:r w:rsidRPr="00E40BBC">
        <w:rPr>
          <w:rFonts w:ascii="Simplified Arabic" w:hAnsi="Simplified Arabic" w:cs="Simplified Arabic"/>
          <w:i/>
          <w:sz w:val="24"/>
          <w:szCs w:val="24"/>
        </w:rPr>
        <w:lastRenderedPageBreak/>
        <w:t>alternative approaches (Vol. 2: Culture and redesign)</w:t>
      </w:r>
      <w:r w:rsidRPr="00E40BBC">
        <w:rPr>
          <w:rFonts w:ascii="Simplified Arabic" w:hAnsi="Simplified Arabic" w:cs="Simplified Arabic"/>
          <w:sz w:val="24"/>
          <w:szCs w:val="24"/>
        </w:rPr>
        <w:t>. Agency for Healthcare Research and Quality. https://www.ncbi.nlm.nih.gov/books/NBK43699/</w:t>
      </w:r>
    </w:p>
    <w:p w14:paraId="68DD1141"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Khan, M. A., Al-Motair, K. A., Alenezi, M. M., Altheban, A. S., Hammam, S. A., &amp; Al-Mogbel, M. S. (2018). Nosocomial pathogens—A single-center study in Saudi Arabia. </w:t>
      </w:r>
      <w:r w:rsidRPr="00E40BBC">
        <w:rPr>
          <w:rFonts w:ascii="Simplified Arabic" w:hAnsi="Simplified Arabic" w:cs="Simplified Arabic"/>
          <w:i/>
          <w:sz w:val="24"/>
          <w:szCs w:val="24"/>
        </w:rPr>
        <w:t>Journal of Pure and Applied Microbiology, 12</w:t>
      </w:r>
      <w:r w:rsidRPr="00E40BBC">
        <w:rPr>
          <w:rFonts w:ascii="Simplified Arabic" w:hAnsi="Simplified Arabic" w:cs="Simplified Arabic"/>
          <w:sz w:val="24"/>
          <w:szCs w:val="24"/>
        </w:rPr>
        <w:t>(3), 1411–1416. https://doi.org/10.22207/JPAM.12.3.44</w:t>
      </w:r>
    </w:p>
    <w:p w14:paraId="03EBC9A0"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Khirfan, R., &amp; Abd Aziz, A. (2022). Insight into the role of transformational leadership in cost containment in healthcare in KSA. </w:t>
      </w:r>
      <w:r w:rsidRPr="00E40BBC">
        <w:rPr>
          <w:rFonts w:ascii="Simplified Arabic" w:hAnsi="Simplified Arabic" w:cs="Simplified Arabic"/>
          <w:i/>
          <w:sz w:val="24"/>
          <w:szCs w:val="24"/>
        </w:rPr>
        <w:t>International Journal of Academic Research in Business and Social Sciences, 12</w:t>
      </w:r>
      <w:r w:rsidRPr="00E40BBC">
        <w:rPr>
          <w:rFonts w:ascii="Simplified Arabic" w:hAnsi="Simplified Arabic" w:cs="Simplified Arabic"/>
          <w:sz w:val="24"/>
          <w:szCs w:val="24"/>
        </w:rPr>
        <w:t>(1), 2657–2672. https://doi.org/10.6007/IJARBSS/v12-i1/12327</w:t>
      </w:r>
    </w:p>
    <w:p w14:paraId="07A2BEE5"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Kline, R. B. (2023). </w:t>
      </w:r>
      <w:r w:rsidRPr="00E40BBC">
        <w:rPr>
          <w:rFonts w:ascii="Simplified Arabic" w:hAnsi="Simplified Arabic" w:cs="Simplified Arabic"/>
          <w:i/>
          <w:sz w:val="24"/>
          <w:szCs w:val="24"/>
        </w:rPr>
        <w:t>Principles and practice of structural equation modeling</w:t>
      </w:r>
      <w:r w:rsidRPr="00E40BBC">
        <w:rPr>
          <w:rFonts w:ascii="Simplified Arabic" w:hAnsi="Simplified Arabic" w:cs="Simplified Arabic"/>
          <w:sz w:val="24"/>
          <w:szCs w:val="24"/>
        </w:rPr>
        <w:t xml:space="preserve"> (5th ed.). Guilford Press.</w:t>
      </w:r>
    </w:p>
    <w:p w14:paraId="0981FA69"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Konlan, K. D., &amp; Shin, J. (2022). The status and the factors that influence patient safety in health care institutions in Africa: A systematic review. </w:t>
      </w:r>
      <w:r w:rsidRPr="00E40BBC">
        <w:rPr>
          <w:rFonts w:ascii="Simplified Arabic" w:hAnsi="Simplified Arabic" w:cs="Simplified Arabic"/>
          <w:i/>
          <w:sz w:val="24"/>
          <w:szCs w:val="24"/>
        </w:rPr>
        <w:t>PLOS Global Public Health, 2</w:t>
      </w:r>
      <w:r w:rsidRPr="00E40BBC">
        <w:rPr>
          <w:rFonts w:ascii="Simplified Arabic" w:hAnsi="Simplified Arabic" w:cs="Simplified Arabic"/>
          <w:sz w:val="24"/>
          <w:szCs w:val="24"/>
        </w:rPr>
        <w:t>(12), e0001085. https://doi.org/10.1371/journal.pgph.0001085</w:t>
      </w:r>
    </w:p>
    <w:p w14:paraId="5A704FDB"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Krüger, C., Rowold, J., Borgmann, L., Staufenbiel, K., &amp; Heinitz, K. (2011). The discriminant validity of transformational and transactional leadership. </w:t>
      </w:r>
      <w:r w:rsidRPr="00E40BBC">
        <w:rPr>
          <w:rFonts w:ascii="Simplified Arabic" w:hAnsi="Simplified Arabic" w:cs="Simplified Arabic"/>
          <w:i/>
          <w:sz w:val="24"/>
          <w:szCs w:val="24"/>
        </w:rPr>
        <w:t>Journal of Personnel Psychology, 10</w:t>
      </w:r>
      <w:r w:rsidRPr="00E40BBC">
        <w:rPr>
          <w:rFonts w:ascii="Simplified Arabic" w:hAnsi="Simplified Arabic" w:cs="Simplified Arabic"/>
          <w:sz w:val="24"/>
          <w:szCs w:val="24"/>
        </w:rPr>
        <w:t>(2), 49–60. https://doi.org/10.1027/1866-5888/a000032</w:t>
      </w:r>
    </w:p>
    <w:p w14:paraId="21B469DD"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Mistri, I. U., Badge, A., &amp; Shahu, S. (2023). Enhancing patient safety culture in hospitals. </w:t>
      </w:r>
      <w:r w:rsidRPr="00E40BBC">
        <w:rPr>
          <w:rFonts w:ascii="Simplified Arabic" w:hAnsi="Simplified Arabic" w:cs="Simplified Arabic"/>
          <w:i/>
          <w:sz w:val="24"/>
          <w:szCs w:val="24"/>
        </w:rPr>
        <w:t>Cureus, 15</w:t>
      </w:r>
      <w:r w:rsidRPr="00E40BBC">
        <w:rPr>
          <w:rFonts w:ascii="Simplified Arabic" w:hAnsi="Simplified Arabic" w:cs="Simplified Arabic"/>
          <w:sz w:val="24"/>
          <w:szCs w:val="24"/>
        </w:rPr>
        <w:t>(12), e51159. https://doi.org/10.7759/cureus.51159</w:t>
      </w:r>
    </w:p>
    <w:p w14:paraId="214E0CF1"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Mohammed, T. (2025). </w:t>
      </w:r>
      <w:r w:rsidRPr="00E40BBC">
        <w:rPr>
          <w:rFonts w:ascii="Simplified Arabic" w:hAnsi="Simplified Arabic" w:cs="Simplified Arabic"/>
          <w:i/>
          <w:sz w:val="24"/>
          <w:szCs w:val="24"/>
        </w:rPr>
        <w:t>Patient safety culture in Saudi hospitals: A mixed methods study of staff perceptions and organisational practices in hospitals in the Holy Cities of Makkah and Madinah</w:t>
      </w:r>
      <w:r w:rsidRPr="00E40BBC">
        <w:rPr>
          <w:rFonts w:ascii="Simplified Arabic" w:hAnsi="Simplified Arabic" w:cs="Simplified Arabic"/>
          <w:sz w:val="24"/>
          <w:szCs w:val="24"/>
        </w:rPr>
        <w:t xml:space="preserve"> [Doctoral dissertation, Queensland University of Technology]. QUT ePrints. https://eprints.qut.edu.au/258274/</w:t>
      </w:r>
    </w:p>
    <w:p w14:paraId="4A53423B"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lastRenderedPageBreak/>
        <w:t xml:space="preserve">Neal, A., &amp; Griffin, M. A. (2006). A study of the lagged relationships among safety climate, safety motivation, safety behavior, and accidents at the individual and group levels. </w:t>
      </w:r>
      <w:r w:rsidRPr="00E40BBC">
        <w:rPr>
          <w:rFonts w:ascii="Simplified Arabic" w:hAnsi="Simplified Arabic" w:cs="Simplified Arabic"/>
          <w:i/>
          <w:sz w:val="24"/>
          <w:szCs w:val="24"/>
        </w:rPr>
        <w:t>Journal of Applied Psychology, 91</w:t>
      </w:r>
      <w:r w:rsidRPr="00E40BBC">
        <w:rPr>
          <w:rFonts w:ascii="Simplified Arabic" w:hAnsi="Simplified Arabic" w:cs="Simplified Arabic"/>
          <w:sz w:val="24"/>
          <w:szCs w:val="24"/>
        </w:rPr>
        <w:t>(4), 946–953. https://doi.org/10.1037/0021-9010.91.4.946</w:t>
      </w:r>
    </w:p>
    <w:p w14:paraId="7720B29D"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Pai, R. M., Wahongan, G. J. P., &amp; Manampiring, A. E. (2024). Analisis peran tenaga kesehatan di RS Budi Setia Langowan tahun 2023 berdasarkan Hospital Survey on Patient Safety Culture (HSOPSC). </w:t>
      </w:r>
      <w:r w:rsidRPr="00E40BBC">
        <w:rPr>
          <w:rFonts w:ascii="Simplified Arabic" w:hAnsi="Simplified Arabic" w:cs="Simplified Arabic"/>
          <w:i/>
          <w:sz w:val="24"/>
          <w:szCs w:val="24"/>
        </w:rPr>
        <w:t>PREPOTIF: Jurnal Kesehatan Masyarakat, 8</w:t>
      </w:r>
      <w:r w:rsidRPr="00E40BBC">
        <w:rPr>
          <w:rFonts w:ascii="Simplified Arabic" w:hAnsi="Simplified Arabic" w:cs="Simplified Arabic"/>
          <w:sz w:val="24"/>
          <w:szCs w:val="24"/>
        </w:rPr>
        <w:t>(2), 2654–2668. https://doi.org/10.31004/prepotif.v8i2.28053</w:t>
      </w:r>
    </w:p>
    <w:p w14:paraId="3C71216E"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Podsakoff, P. M., MacKenzie, S. B., Lee, J. Y., &amp; Podsakoff, N. P. (2003). Common method biases in behavioral research: A critical review of the literature and recommended remedies. </w:t>
      </w:r>
      <w:r w:rsidRPr="00E40BBC">
        <w:rPr>
          <w:rFonts w:ascii="Simplified Arabic" w:hAnsi="Simplified Arabic" w:cs="Simplified Arabic"/>
          <w:i/>
          <w:sz w:val="24"/>
          <w:szCs w:val="24"/>
        </w:rPr>
        <w:t>Journal of Applied Psychology, 88</w:t>
      </w:r>
      <w:r w:rsidRPr="00E40BBC">
        <w:rPr>
          <w:rFonts w:ascii="Simplified Arabic" w:hAnsi="Simplified Arabic" w:cs="Simplified Arabic"/>
          <w:sz w:val="24"/>
          <w:szCs w:val="24"/>
        </w:rPr>
        <w:t>(5), 879–903. https://doi.org/10.1037/0021-9010.88.5.879</w:t>
      </w:r>
    </w:p>
    <w:p w14:paraId="5B1C3E1E"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Podsakoff, P. M., MacKenzie, S. B., Moorman, R. H., &amp; Fetter, R. (1990). Transformational leader behaviors and their effects on followers’ trust in leader, satisfaction, and organizational citizenship behaviors. </w:t>
      </w:r>
      <w:r w:rsidRPr="00E40BBC">
        <w:rPr>
          <w:rFonts w:ascii="Simplified Arabic" w:hAnsi="Simplified Arabic" w:cs="Simplified Arabic"/>
          <w:i/>
          <w:sz w:val="24"/>
          <w:szCs w:val="24"/>
        </w:rPr>
        <w:t>The Leadership Quarterly, 1</w:t>
      </w:r>
      <w:r w:rsidRPr="00E40BBC">
        <w:rPr>
          <w:rFonts w:ascii="Simplified Arabic" w:hAnsi="Simplified Arabic" w:cs="Simplified Arabic"/>
          <w:sz w:val="24"/>
          <w:szCs w:val="24"/>
        </w:rPr>
        <w:t>(2), 107–142. https://doi.org/10.1016/1048-9843(90)90009-7</w:t>
      </w:r>
    </w:p>
    <w:p w14:paraId="6587F7D6"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Shenoy, A. (2021). Patient safety from the perspective of quality management frameworks: A review. </w:t>
      </w:r>
      <w:r w:rsidRPr="00E40BBC">
        <w:rPr>
          <w:rFonts w:ascii="Simplified Arabic" w:hAnsi="Simplified Arabic" w:cs="Simplified Arabic"/>
          <w:i/>
          <w:sz w:val="24"/>
          <w:szCs w:val="24"/>
        </w:rPr>
        <w:t>Patient Safety in Surgery, 15</w:t>
      </w:r>
      <w:r w:rsidRPr="00E40BBC">
        <w:rPr>
          <w:rFonts w:ascii="Simplified Arabic" w:hAnsi="Simplified Arabic" w:cs="Simplified Arabic"/>
          <w:sz w:val="24"/>
          <w:szCs w:val="24"/>
        </w:rPr>
        <w:t>(1), 12. https://doi.org/10.1186/s13037-021-00286-6</w:t>
      </w:r>
    </w:p>
    <w:p w14:paraId="2C3BBF02"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Sorra, J., Gray, L., Streagle, S., Famolaro, T., Yount, N., &amp; Behm, J. (2018). </w:t>
      </w:r>
      <w:r w:rsidRPr="00E40BBC">
        <w:rPr>
          <w:rFonts w:ascii="Simplified Arabic" w:hAnsi="Simplified Arabic" w:cs="Simplified Arabic"/>
          <w:i/>
          <w:sz w:val="24"/>
          <w:szCs w:val="24"/>
        </w:rPr>
        <w:t>AHRQ Hospital Survey on Patient Safety Culture: User’s guide</w:t>
      </w:r>
      <w:r w:rsidRPr="00E40BBC">
        <w:rPr>
          <w:rFonts w:ascii="Simplified Arabic" w:hAnsi="Simplified Arabic" w:cs="Simplified Arabic"/>
          <w:sz w:val="24"/>
          <w:szCs w:val="24"/>
        </w:rPr>
        <w:t xml:space="preserve"> (AHRQ Publication No. 18-0036-EF). Agency for Healthcare Research and Quality. https://www.ahrq.gov/sites/default/files/wysiwyg/sops/surveys/hospital/hospital-user-guide.pdf</w:t>
      </w:r>
    </w:p>
    <w:p w14:paraId="0B1B89A5"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Sorra, J. S., &amp; Dyer, N. (2010). Multilevel psychometric properties of the AHRQ Hospital Survey on Patient Safety Culture. </w:t>
      </w:r>
      <w:r w:rsidRPr="00E40BBC">
        <w:rPr>
          <w:rFonts w:ascii="Simplified Arabic" w:hAnsi="Simplified Arabic" w:cs="Simplified Arabic"/>
          <w:i/>
          <w:sz w:val="24"/>
          <w:szCs w:val="24"/>
        </w:rPr>
        <w:t>BMC Health Services Research, 10</w:t>
      </w:r>
      <w:r w:rsidRPr="00E40BBC">
        <w:rPr>
          <w:rFonts w:ascii="Simplified Arabic" w:hAnsi="Simplified Arabic" w:cs="Simplified Arabic"/>
          <w:sz w:val="24"/>
          <w:szCs w:val="24"/>
        </w:rPr>
        <w:t>, 199. https://doi.org/10.1186/1472-6963-10-199</w:t>
      </w:r>
    </w:p>
    <w:p w14:paraId="3A7C3138"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lastRenderedPageBreak/>
        <w:t xml:space="preserve">Studdert, D. M., Mello, M. M., Sage, W. M., DesRoches, C. M., Peugh, J., Zapert, K., &amp; Brennan, T. A. (2005). Defensive medicine among high-risk specialist physicians in a volatile malpractice environment. </w:t>
      </w:r>
      <w:r w:rsidRPr="00E40BBC">
        <w:rPr>
          <w:rFonts w:ascii="Simplified Arabic" w:hAnsi="Simplified Arabic" w:cs="Simplified Arabic"/>
          <w:i/>
          <w:sz w:val="24"/>
          <w:szCs w:val="24"/>
        </w:rPr>
        <w:t>JAMA, 293</w:t>
      </w:r>
      <w:r w:rsidRPr="00E40BBC">
        <w:rPr>
          <w:rFonts w:ascii="Simplified Arabic" w:hAnsi="Simplified Arabic" w:cs="Simplified Arabic"/>
          <w:sz w:val="24"/>
          <w:szCs w:val="24"/>
        </w:rPr>
        <w:t>(21), 2609–2617. https://doi.org/10.1001/jama.293.21.2609</w:t>
      </w:r>
    </w:p>
    <w:p w14:paraId="4979069D"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Vadi, E., &amp; Kasemaa, A. (2023). Healthcare workers’ perceptions of their managers’ leadership behaviour and emotional intelligence: A quantitative study in an Estonian hospital. </w:t>
      </w:r>
      <w:r w:rsidRPr="00E40BBC">
        <w:rPr>
          <w:rFonts w:ascii="Simplified Arabic" w:hAnsi="Simplified Arabic" w:cs="Simplified Arabic"/>
          <w:i/>
          <w:sz w:val="24"/>
          <w:szCs w:val="24"/>
        </w:rPr>
        <w:t>Proceedings of the Estonian Academy of Sciences, 72</w:t>
      </w:r>
      <w:r w:rsidRPr="00E40BBC">
        <w:rPr>
          <w:rFonts w:ascii="Simplified Arabic" w:hAnsi="Simplified Arabic" w:cs="Simplified Arabic"/>
          <w:sz w:val="24"/>
          <w:szCs w:val="24"/>
        </w:rPr>
        <w:t>(3), 239–249. https://doi.org/10.3176/proc.2023.3.06</w:t>
      </w:r>
    </w:p>
    <w:p w14:paraId="42FF83A3"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Vogus, T. J., &amp; Sutcliffe, K. M. (2007). The Safety Organizing Scale: Development and validation of a behavioral measure of safety culture in hospital nursing units. </w:t>
      </w:r>
      <w:r w:rsidRPr="00E40BBC">
        <w:rPr>
          <w:rFonts w:ascii="Simplified Arabic" w:hAnsi="Simplified Arabic" w:cs="Simplified Arabic"/>
          <w:i/>
          <w:sz w:val="24"/>
          <w:szCs w:val="24"/>
        </w:rPr>
        <w:t>Medical Care, 45</w:t>
      </w:r>
      <w:r w:rsidRPr="00E40BBC">
        <w:rPr>
          <w:rFonts w:ascii="Simplified Arabic" w:hAnsi="Simplified Arabic" w:cs="Simplified Arabic"/>
          <w:sz w:val="24"/>
          <w:szCs w:val="24"/>
        </w:rPr>
        <w:t>(1), 46–54. https://doi.org/10.1097/01.mlr.0000244635.61178.7a</w:t>
      </w:r>
    </w:p>
    <w:p w14:paraId="5F69CC72" w14:textId="77777777" w:rsidR="0049184C" w:rsidRPr="00E40BBC" w:rsidRDefault="0049184C" w:rsidP="0049184C">
      <w:pPr>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Pr>
        <w:t xml:space="preserve">Wolf, E. J., Harrington, K. M., Clark, S. L., &amp; Miller, M. W. (2013). Sample size requirements for structural equation models: An evaluation of power, bias, and solution propriety. </w:t>
      </w:r>
      <w:r w:rsidRPr="00E40BBC">
        <w:rPr>
          <w:rFonts w:ascii="Simplified Arabic" w:hAnsi="Simplified Arabic" w:cs="Simplified Arabic"/>
          <w:i/>
          <w:sz w:val="24"/>
          <w:szCs w:val="24"/>
        </w:rPr>
        <w:t>Educational and Psychological Measurement, 73</w:t>
      </w:r>
      <w:r w:rsidRPr="00E40BBC">
        <w:rPr>
          <w:rFonts w:ascii="Simplified Arabic" w:hAnsi="Simplified Arabic" w:cs="Simplified Arabic"/>
          <w:sz w:val="24"/>
          <w:szCs w:val="24"/>
        </w:rPr>
        <w:t>(6), 913–934. https://doi.org/10.1177/0013164413495237</w:t>
      </w:r>
    </w:p>
    <w:p w14:paraId="20B30790" w14:textId="5C1C40D2" w:rsidR="0049184C" w:rsidRPr="0049184C" w:rsidRDefault="0049184C" w:rsidP="0049184C">
      <w:pPr>
        <w:bidi/>
        <w:spacing w:after="210" w:line="360" w:lineRule="auto"/>
        <w:rPr>
          <w:rFonts w:ascii="Simplified Arabic" w:hAnsi="Simplified Arabic" w:cs="Simplified Arabic"/>
          <w:sz w:val="28"/>
          <w:szCs w:val="28"/>
          <w:rtl/>
        </w:rPr>
      </w:pPr>
      <w:r>
        <w:rPr>
          <w:rFonts w:ascii="Simplified Arabic" w:hAnsi="Simplified Arabic" w:cs="Simplified Arabic" w:hint="cs"/>
          <w:b/>
          <w:sz w:val="28"/>
          <w:szCs w:val="28"/>
          <w:rtl/>
        </w:rPr>
        <w:t>2.</w:t>
      </w:r>
      <w:r w:rsidRPr="0049184C">
        <w:rPr>
          <w:rFonts w:ascii="Simplified Arabic" w:hAnsi="Simplified Arabic" w:cs="Simplified Arabic"/>
          <w:b/>
          <w:sz w:val="28"/>
          <w:szCs w:val="28"/>
          <w:rtl/>
        </w:rPr>
        <w:t>المراجع العربية</w:t>
      </w:r>
    </w:p>
    <w:p w14:paraId="0F35E260" w14:textId="77777777" w:rsidR="0049184C" w:rsidRPr="00E40BBC" w:rsidRDefault="0049184C" w:rsidP="0049184C">
      <w:pPr>
        <w:bidi/>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tl/>
        </w:rPr>
        <w:t xml:space="preserve">الشيخ، م. إ. م.، وإسماعيل، م. ب. ع.، وعامر، أ. م. (2024). أثر القيادة التحويلية في العلاقة بين الإنتهاك الإيجابى لقواعد المنظمة والإبداع التنظيمى بالتطبيق على المستشفيات العامة الحكومية بالقليوبية. </w:t>
      </w:r>
      <w:r w:rsidRPr="00E40BBC">
        <w:rPr>
          <w:rFonts w:ascii="Simplified Arabic" w:hAnsi="Simplified Arabic" w:cs="Simplified Arabic"/>
          <w:i/>
          <w:sz w:val="24"/>
          <w:szCs w:val="24"/>
          <w:rtl/>
        </w:rPr>
        <w:t xml:space="preserve">مجلة بنها للعلوم الإنسانية، </w:t>
      </w:r>
      <w:r w:rsidRPr="00E40BBC">
        <w:rPr>
          <w:rFonts w:ascii="Simplified Arabic" w:hAnsi="Simplified Arabic" w:cs="Simplified Arabic"/>
          <w:i/>
          <w:sz w:val="24"/>
          <w:szCs w:val="24"/>
          <w:cs/>
        </w:rPr>
        <w:t>‎</w:t>
      </w:r>
      <w:r w:rsidRPr="00E40BBC">
        <w:rPr>
          <w:rFonts w:ascii="Simplified Arabic" w:hAnsi="Simplified Arabic" w:cs="Simplified Arabic"/>
          <w:i/>
          <w:sz w:val="24"/>
          <w:szCs w:val="24"/>
        </w:rPr>
        <w:t>3</w:t>
      </w:r>
      <w:r w:rsidRPr="00E40BBC">
        <w:rPr>
          <w:rFonts w:ascii="Simplified Arabic" w:hAnsi="Simplified Arabic" w:cs="Simplified Arabic"/>
          <w:sz w:val="24"/>
          <w:szCs w:val="24"/>
          <w:cs/>
        </w:rPr>
        <w:t>‎</w:t>
      </w:r>
      <w:r w:rsidRPr="00E40BBC">
        <w:rPr>
          <w:rFonts w:ascii="Simplified Arabic" w:hAnsi="Simplified Arabic" w:cs="Simplified Arabic"/>
          <w:sz w:val="24"/>
          <w:szCs w:val="24"/>
        </w:rPr>
        <w:t>(2), 137–168. https://doi.org/10.21608/bjhs.2024.315754.1262</w:t>
      </w:r>
    </w:p>
    <w:p w14:paraId="213A4628" w14:textId="77777777" w:rsidR="0049184C" w:rsidRPr="00E40BBC" w:rsidRDefault="0049184C" w:rsidP="0049184C">
      <w:pPr>
        <w:bidi/>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tl/>
        </w:rPr>
        <w:t xml:space="preserve">مخدوم، هـ. ك. أ. (2019). دور القيادة التحويلية في التنمية البشرية بالتطبيق على القطاع الصحي بالمملكة العربية السعودية. </w:t>
      </w:r>
      <w:r w:rsidRPr="00E40BBC">
        <w:rPr>
          <w:rFonts w:ascii="Simplified Arabic" w:hAnsi="Simplified Arabic" w:cs="Simplified Arabic"/>
          <w:i/>
          <w:sz w:val="24"/>
          <w:szCs w:val="24"/>
          <w:rtl/>
        </w:rPr>
        <w:t xml:space="preserve">المجلة العلمية للدراسات والبحوث المالية والإدارية، </w:t>
      </w:r>
      <w:r w:rsidRPr="00E40BBC">
        <w:rPr>
          <w:rFonts w:ascii="Simplified Arabic" w:hAnsi="Simplified Arabic" w:cs="Simplified Arabic"/>
          <w:i/>
          <w:sz w:val="24"/>
          <w:szCs w:val="24"/>
          <w:cs/>
        </w:rPr>
        <w:t>‎</w:t>
      </w:r>
      <w:r w:rsidRPr="00E40BBC">
        <w:rPr>
          <w:rFonts w:ascii="Simplified Arabic" w:hAnsi="Simplified Arabic" w:cs="Simplified Arabic"/>
          <w:i/>
          <w:sz w:val="24"/>
          <w:szCs w:val="24"/>
        </w:rPr>
        <w:t>4</w:t>
      </w:r>
      <w:r w:rsidRPr="00E40BBC">
        <w:rPr>
          <w:rFonts w:ascii="Simplified Arabic" w:hAnsi="Simplified Arabic" w:cs="Simplified Arabic"/>
          <w:sz w:val="24"/>
          <w:szCs w:val="24"/>
          <w:cs/>
        </w:rPr>
        <w:t>‎</w:t>
      </w:r>
      <w:r w:rsidRPr="00E40BBC">
        <w:rPr>
          <w:rFonts w:ascii="Simplified Arabic" w:hAnsi="Simplified Arabic" w:cs="Simplified Arabic"/>
          <w:sz w:val="24"/>
          <w:szCs w:val="24"/>
        </w:rPr>
        <w:t>(2), 237–267. https://doi.org/10.21608/masf.2019.68978</w:t>
      </w:r>
    </w:p>
    <w:p w14:paraId="53A238BC" w14:textId="77777777" w:rsidR="0049184C" w:rsidRPr="00E40BBC" w:rsidRDefault="0049184C" w:rsidP="0049184C">
      <w:pPr>
        <w:bidi/>
        <w:spacing w:after="210" w:line="360" w:lineRule="auto"/>
        <w:rPr>
          <w:rFonts w:ascii="Simplified Arabic" w:hAnsi="Simplified Arabic" w:cs="Simplified Arabic"/>
          <w:sz w:val="24"/>
          <w:szCs w:val="24"/>
        </w:rPr>
      </w:pPr>
      <w:r w:rsidRPr="00E40BBC">
        <w:rPr>
          <w:rFonts w:ascii="Simplified Arabic" w:hAnsi="Simplified Arabic" w:cs="Simplified Arabic"/>
          <w:sz w:val="24"/>
          <w:szCs w:val="24"/>
          <w:rtl/>
        </w:rPr>
        <w:t xml:space="preserve">المطيري، م. ع. ا. س.، والأحمري، ع. د. م. (2022). أثر السلامة المهنية على أداء العاملين بالمنظمات الصحية: دراسة تطبيقية على مستشفى الملك فهد العام بمحافظة جدة. </w:t>
      </w:r>
      <w:r w:rsidRPr="00E40BBC">
        <w:rPr>
          <w:rFonts w:ascii="Simplified Arabic" w:hAnsi="Simplified Arabic" w:cs="Simplified Arabic"/>
          <w:i/>
          <w:sz w:val="24"/>
          <w:szCs w:val="24"/>
          <w:rtl/>
        </w:rPr>
        <w:t xml:space="preserve">المجلة الدولية لنشر البحوث والدراسات، </w:t>
      </w:r>
      <w:r w:rsidRPr="00E40BBC">
        <w:rPr>
          <w:rFonts w:ascii="Simplified Arabic" w:hAnsi="Simplified Arabic" w:cs="Simplified Arabic"/>
          <w:i/>
          <w:sz w:val="24"/>
          <w:szCs w:val="24"/>
          <w:cs/>
        </w:rPr>
        <w:t>‎</w:t>
      </w:r>
      <w:r w:rsidRPr="00E40BBC">
        <w:rPr>
          <w:rFonts w:ascii="Simplified Arabic" w:hAnsi="Simplified Arabic" w:cs="Simplified Arabic"/>
          <w:i/>
          <w:sz w:val="24"/>
          <w:szCs w:val="24"/>
        </w:rPr>
        <w:t>3</w:t>
      </w:r>
      <w:r w:rsidRPr="00E40BBC">
        <w:rPr>
          <w:rFonts w:ascii="Simplified Arabic" w:hAnsi="Simplified Arabic" w:cs="Simplified Arabic"/>
          <w:sz w:val="24"/>
          <w:szCs w:val="24"/>
          <w:cs/>
        </w:rPr>
        <w:t>‎</w:t>
      </w:r>
      <w:r w:rsidRPr="00E40BBC">
        <w:rPr>
          <w:rFonts w:ascii="Simplified Arabic" w:hAnsi="Simplified Arabic" w:cs="Simplified Arabic"/>
          <w:sz w:val="24"/>
          <w:szCs w:val="24"/>
        </w:rPr>
        <w:t>(36), 129–163. https://doi.org/10.52133/ijrsp.v3.36.5</w:t>
      </w:r>
    </w:p>
    <w:p w14:paraId="2E66F2F6" w14:textId="77777777" w:rsidR="00390B53" w:rsidRPr="00161B2D" w:rsidRDefault="00390B53" w:rsidP="00161B2D">
      <w:pPr>
        <w:bidi/>
        <w:spacing w:after="210" w:line="360" w:lineRule="auto"/>
        <w:rPr>
          <w:rFonts w:ascii="Simplified Arabic" w:hAnsi="Simplified Arabic" w:cs="Simplified Arabic"/>
          <w:sz w:val="28"/>
          <w:szCs w:val="28"/>
          <w:rtl/>
        </w:rPr>
      </w:pPr>
    </w:p>
    <w:p w14:paraId="3E83A63A" w14:textId="78510660" w:rsidR="0049184C" w:rsidRDefault="0049184C" w:rsidP="0049184C">
      <w:pPr>
        <w:pageBreakBefore/>
        <w:bidi/>
        <w:spacing w:before="720" w:after="80"/>
        <w:rPr>
          <w:rFonts w:ascii="Traditional Arabic" w:eastAsia="Traditional Arabic" w:hAnsi="Traditional Arabic" w:cs="Traditional Arabic"/>
          <w:b/>
          <w:color w:val="1F4E79"/>
          <w:sz w:val="36"/>
        </w:rPr>
      </w:pPr>
    </w:p>
    <w:p w14:paraId="67F69C1D" w14:textId="06FE49C9" w:rsidR="00DE6647" w:rsidRDefault="00DE6647" w:rsidP="001475C8">
      <w:pPr>
        <w:keepNext/>
        <w:bidi/>
        <w:spacing w:before="200" w:after="120"/>
        <w:rPr>
          <w:rFonts w:ascii="Traditional Arabic" w:eastAsia="Traditional Arabic" w:hAnsi="Traditional Arabic" w:cs="Traditional Arabic"/>
          <w:b/>
          <w:color w:val="1F4E79"/>
          <w:sz w:val="36"/>
          <w:rtl/>
        </w:rPr>
      </w:pPr>
    </w:p>
    <w:sectPr w:rsidR="00DE6647" w:rsidSect="00BE577C">
      <w:headerReference w:type="even" r:id="rId10"/>
      <w:headerReference w:type="default" r:id="rId11"/>
      <w:footerReference w:type="default" r:id="rId12"/>
      <w:headerReference w:type="first" r:id="rId13"/>
      <w:footerReference w:type="first" r:id="rId14"/>
      <w:pgSz w:w="11906" w:h="16838"/>
      <w:pgMar w:top="288" w:right="1008" w:bottom="0" w:left="1008" w:header="706" w:footer="28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E6DDB" w14:textId="77777777" w:rsidR="00A62AB5" w:rsidRDefault="00A62AB5" w:rsidP="00F628F0">
      <w:pPr>
        <w:spacing w:after="0" w:line="240" w:lineRule="auto"/>
      </w:pPr>
      <w:r>
        <w:separator/>
      </w:r>
    </w:p>
  </w:endnote>
  <w:endnote w:type="continuationSeparator" w:id="0">
    <w:p w14:paraId="36DE727A" w14:textId="77777777" w:rsidR="00A62AB5" w:rsidRDefault="00A62AB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63449113" w14:textId="77777777"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587E6D14"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BAAA5" w14:textId="77777777" w:rsidR="00883E09" w:rsidRPr="00573910" w:rsidRDefault="00324367" w:rsidP="00573910">
    <w:pPr>
      <w:bidi/>
      <w:spacing w:line="360" w:lineRule="auto"/>
      <w:rPr>
        <w:rFonts w:ascii="Traditional Arabic" w:hAnsi="Traditional Arabic" w:cs="Traditional Arabic"/>
        <w:b/>
        <w:bCs/>
        <w:color w:val="EE0000"/>
        <w:sz w:val="28"/>
        <w:szCs w:val="28"/>
        <w:rtl/>
      </w:rPr>
    </w:pPr>
    <w:r w:rsidRPr="00573910">
      <w:rPr>
        <w:rFonts w:ascii="Times New Roman"/>
        <w:b/>
        <w:noProof/>
        <w:sz w:val="16"/>
        <w:szCs w:val="16"/>
      </w:rPr>
      <w:drawing>
        <wp:anchor distT="0" distB="0" distL="114300" distR="114300" simplePos="0" relativeHeight="251657216" behindDoc="0" locked="0" layoutInCell="1" allowOverlap="1" wp14:anchorId="61F7BFC0" wp14:editId="1579A684">
          <wp:simplePos x="0" y="0"/>
          <wp:positionH relativeFrom="margin">
            <wp:posOffset>-266700</wp:posOffset>
          </wp:positionH>
          <wp:positionV relativeFrom="margin">
            <wp:posOffset>9293225</wp:posOffset>
          </wp:positionV>
          <wp:extent cx="952500" cy="418465"/>
          <wp:effectExtent l="0" t="0" r="0" b="635"/>
          <wp:wrapSquare wrapText="bothSides"/>
          <wp:docPr id="163060699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73910" w:rsidRPr="00573910">
      <w:rPr>
        <w:rFonts w:hint="cs"/>
        <w:sz w:val="16"/>
        <w:szCs w:val="16"/>
        <w:rtl/>
      </w:rPr>
      <w:t>عبد الل</w:t>
    </w:r>
    <w:r w:rsidR="00573910" w:rsidRPr="00573910">
      <w:rPr>
        <w:rFonts w:hint="eastAsia"/>
        <w:sz w:val="16"/>
        <w:szCs w:val="16"/>
        <w:rtl/>
      </w:rPr>
      <w:t>ه</w:t>
    </w:r>
    <w:r w:rsidR="00573910" w:rsidRPr="00573910">
      <w:rPr>
        <w:rFonts w:hint="cs"/>
        <w:sz w:val="16"/>
        <w:szCs w:val="16"/>
        <w:rtl/>
      </w:rPr>
      <w:t xml:space="preserve"> مجزع الرويلي  </w:t>
    </w:r>
    <w:r w:rsidR="00573910" w:rsidRPr="00573910">
      <w:rPr>
        <w:rFonts w:ascii="Traditional Arabic" w:hAnsi="Traditional Arabic" w:cs="Traditional Arabic"/>
        <w:b/>
        <w:bCs/>
        <w:color w:val="EE0000"/>
        <w:sz w:val="16"/>
        <w:szCs w:val="16"/>
        <w:lang w:bidi="ar-JO"/>
      </w:rPr>
      <w:t xml:space="preserve"> </w:t>
    </w:r>
    <w:r w:rsidR="00573910" w:rsidRPr="00573910">
      <w:rPr>
        <w:rFonts w:ascii="Traditional Arabic" w:hAnsi="Traditional Arabic" w:cs="Traditional Arabic"/>
        <w:b/>
        <w:bCs/>
        <w:color w:val="EE0000"/>
        <w:sz w:val="16"/>
        <w:szCs w:val="16"/>
        <w:rtl/>
      </w:rPr>
      <w:t>م</w:t>
    </w:r>
    <w:r w:rsidR="00573910" w:rsidRPr="00573910">
      <w:rPr>
        <w:rFonts w:ascii="Traditional Arabic" w:hAnsi="Traditional Arabic" w:cs="Traditional Arabic"/>
        <w:b/>
        <w:bCs/>
        <w:color w:val="EE0000"/>
        <w:sz w:val="16"/>
        <w:szCs w:val="16"/>
        <w:lang w:bidi="ar-JO"/>
      </w:rPr>
      <w:t xml:space="preserve">2025 -1446 </w:t>
    </w:r>
    <w:r w:rsidR="00573910" w:rsidRPr="00573910">
      <w:rPr>
        <w:rFonts w:ascii="Traditional Arabic" w:hAnsi="Traditional Arabic" w:cs="Traditional Arabic"/>
        <w:b/>
        <w:bCs/>
        <w:color w:val="EE0000"/>
        <w:sz w:val="16"/>
        <w:szCs w:val="16"/>
        <w:rtl/>
      </w:rPr>
      <w:t>ه</w:t>
    </w:r>
    <w:r w:rsidR="00573910" w:rsidRPr="000B28C7">
      <w:rPr>
        <w:rFonts w:ascii="Traditional Arabic" w:hAnsi="Traditional Arabic" w:cs="Traditional Arabic"/>
        <w:b/>
        <w:bCs/>
        <w:color w:val="EE0000"/>
        <w:sz w:val="28"/>
        <w:szCs w:val="28"/>
        <w:rtl/>
      </w:rPr>
      <w:t>ـ</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2A165" w14:textId="77777777" w:rsidR="00A62AB5" w:rsidRDefault="00A62AB5" w:rsidP="00F628F0">
      <w:pPr>
        <w:spacing w:after="0" w:line="240" w:lineRule="auto"/>
      </w:pPr>
      <w:r>
        <w:separator/>
      </w:r>
    </w:p>
  </w:footnote>
  <w:footnote w:type="continuationSeparator" w:id="0">
    <w:p w14:paraId="17905AD5" w14:textId="77777777" w:rsidR="00A62AB5" w:rsidRDefault="00A62AB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46CC7" w14:textId="77777777"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A7571" w14:textId="77777777"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F749F97" w14:textId="77777777"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05B8"/>
    <w:multiLevelType w:val="multilevel"/>
    <w:tmpl w:val="4CC48BA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 w15:restartNumberingAfterBreak="0">
    <w:nsid w:val="12102FBB"/>
    <w:multiLevelType w:val="multilevel"/>
    <w:tmpl w:val="98D6F8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28504DF5"/>
    <w:multiLevelType w:val="multilevel"/>
    <w:tmpl w:val="F698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BA2C29"/>
    <w:multiLevelType w:val="multilevel"/>
    <w:tmpl w:val="C4CC73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3D9121D8"/>
    <w:multiLevelType w:val="hybridMultilevel"/>
    <w:tmpl w:val="E3C0C0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8E122BC"/>
    <w:multiLevelType w:val="multilevel"/>
    <w:tmpl w:val="9C3C3206"/>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6" w15:restartNumberingAfterBreak="0">
    <w:nsid w:val="4E206B17"/>
    <w:multiLevelType w:val="multilevel"/>
    <w:tmpl w:val="416064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17A517E"/>
    <w:multiLevelType w:val="multilevel"/>
    <w:tmpl w:val="0F0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77520A"/>
    <w:multiLevelType w:val="multilevel"/>
    <w:tmpl w:val="1D98C686"/>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9" w15:restartNumberingAfterBreak="0">
    <w:nsid w:val="73EC07FD"/>
    <w:multiLevelType w:val="multilevel"/>
    <w:tmpl w:val="656443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76A7420A"/>
    <w:multiLevelType w:val="hybridMultilevel"/>
    <w:tmpl w:val="7764D8C8"/>
    <w:lvl w:ilvl="0" w:tplc="F8BE432A">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9804976">
    <w:abstractNumId w:val="0"/>
  </w:num>
  <w:num w:numId="2" w16cid:durableId="452483567">
    <w:abstractNumId w:val="10"/>
  </w:num>
  <w:num w:numId="3" w16cid:durableId="57748354">
    <w:abstractNumId w:val="2"/>
  </w:num>
  <w:num w:numId="4" w16cid:durableId="1339234337">
    <w:abstractNumId w:val="1"/>
  </w:num>
  <w:num w:numId="5" w16cid:durableId="1176463378">
    <w:abstractNumId w:val="8"/>
  </w:num>
  <w:num w:numId="6" w16cid:durableId="755634338">
    <w:abstractNumId w:val="5"/>
  </w:num>
  <w:num w:numId="7" w16cid:durableId="1379402849">
    <w:abstractNumId w:val="7"/>
  </w:num>
  <w:num w:numId="8" w16cid:durableId="622662441">
    <w:abstractNumId w:val="6"/>
  </w:num>
  <w:num w:numId="9" w16cid:durableId="1383291571">
    <w:abstractNumId w:val="4"/>
  </w:num>
  <w:num w:numId="10" w16cid:durableId="1719822320">
    <w:abstractNumId w:val="9"/>
  </w:num>
  <w:num w:numId="11" w16cid:durableId="1694381559">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02retxxrerxdxhe9aphvs0z2t9z25p0ew99s&quot;&gt;SBS2024 Copy&lt;record-ids&gt;&lt;item&gt;145&lt;/item&gt;&lt;item&gt;146&lt;/item&gt;&lt;item&gt;148&lt;/item&gt;&lt;item&gt;151&lt;/item&gt;&lt;item&gt;158&lt;/item&gt;&lt;item&gt;167&lt;/item&gt;&lt;item&gt;170&lt;/item&gt;&lt;item&gt;177&lt;/item&gt;&lt;item&gt;180&lt;/item&gt;&lt;item&gt;181&lt;/item&gt;&lt;item&gt;182&lt;/item&gt;&lt;item&gt;183&lt;/item&gt;&lt;item&gt;185&lt;/item&gt;&lt;item&gt;187&lt;/item&gt;&lt;item&gt;246&lt;/item&gt;&lt;item&gt;247&lt;/item&gt;&lt;item&gt;248&lt;/item&gt;&lt;item&gt;249&lt;/item&gt;&lt;item&gt;252&lt;/item&gt;&lt;item&gt;254&lt;/item&gt;&lt;item&gt;256&lt;/item&gt;&lt;item&gt;258&lt;/item&gt;&lt;item&gt;261&lt;/item&gt;&lt;item&gt;262&lt;/item&gt;&lt;item&gt;281&lt;/item&gt;&lt;item&gt;284&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0F7F04"/>
    <w:rsid w:val="0000135A"/>
    <w:rsid w:val="00003AD7"/>
    <w:rsid w:val="0000479E"/>
    <w:rsid w:val="00004971"/>
    <w:rsid w:val="00004C05"/>
    <w:rsid w:val="0000692A"/>
    <w:rsid w:val="00006A1F"/>
    <w:rsid w:val="000148CB"/>
    <w:rsid w:val="00015F0D"/>
    <w:rsid w:val="00016ACB"/>
    <w:rsid w:val="0002038B"/>
    <w:rsid w:val="00022214"/>
    <w:rsid w:val="000234FD"/>
    <w:rsid w:val="00027A34"/>
    <w:rsid w:val="0003027E"/>
    <w:rsid w:val="000322E7"/>
    <w:rsid w:val="00032F82"/>
    <w:rsid w:val="000334B4"/>
    <w:rsid w:val="00033C2D"/>
    <w:rsid w:val="00035A9D"/>
    <w:rsid w:val="00042341"/>
    <w:rsid w:val="00043142"/>
    <w:rsid w:val="00043A98"/>
    <w:rsid w:val="00044CFD"/>
    <w:rsid w:val="000462A2"/>
    <w:rsid w:val="000500A5"/>
    <w:rsid w:val="0005079C"/>
    <w:rsid w:val="000539FD"/>
    <w:rsid w:val="00053D6F"/>
    <w:rsid w:val="00054F0A"/>
    <w:rsid w:val="00057652"/>
    <w:rsid w:val="00060A80"/>
    <w:rsid w:val="00061954"/>
    <w:rsid w:val="00061A09"/>
    <w:rsid w:val="000636E4"/>
    <w:rsid w:val="00063C17"/>
    <w:rsid w:val="000654F3"/>
    <w:rsid w:val="00065B1A"/>
    <w:rsid w:val="00065CC3"/>
    <w:rsid w:val="000665BF"/>
    <w:rsid w:val="0007430F"/>
    <w:rsid w:val="0007487D"/>
    <w:rsid w:val="00076240"/>
    <w:rsid w:val="00076824"/>
    <w:rsid w:val="00081D29"/>
    <w:rsid w:val="00082AAA"/>
    <w:rsid w:val="00083266"/>
    <w:rsid w:val="00087E4F"/>
    <w:rsid w:val="00090A9C"/>
    <w:rsid w:val="00092C24"/>
    <w:rsid w:val="000940A0"/>
    <w:rsid w:val="00094A7A"/>
    <w:rsid w:val="00097E8F"/>
    <w:rsid w:val="000A0E51"/>
    <w:rsid w:val="000A1987"/>
    <w:rsid w:val="000A1D3E"/>
    <w:rsid w:val="000A1E46"/>
    <w:rsid w:val="000A310D"/>
    <w:rsid w:val="000A33FE"/>
    <w:rsid w:val="000A49ED"/>
    <w:rsid w:val="000A54C3"/>
    <w:rsid w:val="000A6044"/>
    <w:rsid w:val="000A6682"/>
    <w:rsid w:val="000A6C37"/>
    <w:rsid w:val="000A7376"/>
    <w:rsid w:val="000A749C"/>
    <w:rsid w:val="000B0263"/>
    <w:rsid w:val="000B0B32"/>
    <w:rsid w:val="000B0FA3"/>
    <w:rsid w:val="000B1071"/>
    <w:rsid w:val="000B1405"/>
    <w:rsid w:val="000B28C7"/>
    <w:rsid w:val="000B39C7"/>
    <w:rsid w:val="000B4DB4"/>
    <w:rsid w:val="000B684B"/>
    <w:rsid w:val="000B706D"/>
    <w:rsid w:val="000C258C"/>
    <w:rsid w:val="000C2954"/>
    <w:rsid w:val="000C2D81"/>
    <w:rsid w:val="000C4765"/>
    <w:rsid w:val="000C73D6"/>
    <w:rsid w:val="000D0869"/>
    <w:rsid w:val="000D21B5"/>
    <w:rsid w:val="000D3EAE"/>
    <w:rsid w:val="000D5131"/>
    <w:rsid w:val="000D5352"/>
    <w:rsid w:val="000E0457"/>
    <w:rsid w:val="000E1A16"/>
    <w:rsid w:val="000E23AB"/>
    <w:rsid w:val="000E2549"/>
    <w:rsid w:val="000E26E2"/>
    <w:rsid w:val="000E42D6"/>
    <w:rsid w:val="000E4892"/>
    <w:rsid w:val="000E6887"/>
    <w:rsid w:val="000E68C6"/>
    <w:rsid w:val="000E77BA"/>
    <w:rsid w:val="000F0A0D"/>
    <w:rsid w:val="000F19E6"/>
    <w:rsid w:val="000F1F55"/>
    <w:rsid w:val="000F4CAA"/>
    <w:rsid w:val="000F62BE"/>
    <w:rsid w:val="000F64C0"/>
    <w:rsid w:val="000F7F04"/>
    <w:rsid w:val="00100E3E"/>
    <w:rsid w:val="001042B1"/>
    <w:rsid w:val="00107B09"/>
    <w:rsid w:val="00110665"/>
    <w:rsid w:val="0011126E"/>
    <w:rsid w:val="001132D0"/>
    <w:rsid w:val="00113B62"/>
    <w:rsid w:val="0011430B"/>
    <w:rsid w:val="001159CC"/>
    <w:rsid w:val="001163C7"/>
    <w:rsid w:val="00116AE4"/>
    <w:rsid w:val="00117CA1"/>
    <w:rsid w:val="00123F6A"/>
    <w:rsid w:val="00125F5F"/>
    <w:rsid w:val="001310EB"/>
    <w:rsid w:val="00131B56"/>
    <w:rsid w:val="00131F17"/>
    <w:rsid w:val="00132DA8"/>
    <w:rsid w:val="001361F4"/>
    <w:rsid w:val="00137F65"/>
    <w:rsid w:val="00140863"/>
    <w:rsid w:val="001428C4"/>
    <w:rsid w:val="0014527A"/>
    <w:rsid w:val="001475C8"/>
    <w:rsid w:val="0015086B"/>
    <w:rsid w:val="00152104"/>
    <w:rsid w:val="00154D4E"/>
    <w:rsid w:val="001558E2"/>
    <w:rsid w:val="001567E7"/>
    <w:rsid w:val="001603EF"/>
    <w:rsid w:val="001618EF"/>
    <w:rsid w:val="00161B2D"/>
    <w:rsid w:val="001624C4"/>
    <w:rsid w:val="00163292"/>
    <w:rsid w:val="001654CD"/>
    <w:rsid w:val="00165D12"/>
    <w:rsid w:val="00171C11"/>
    <w:rsid w:val="00171F2F"/>
    <w:rsid w:val="001762F4"/>
    <w:rsid w:val="00176CBF"/>
    <w:rsid w:val="00180799"/>
    <w:rsid w:val="00180A9B"/>
    <w:rsid w:val="00180EEF"/>
    <w:rsid w:val="001840E2"/>
    <w:rsid w:val="00185F71"/>
    <w:rsid w:val="001901B1"/>
    <w:rsid w:val="00190A4C"/>
    <w:rsid w:val="0019244B"/>
    <w:rsid w:val="0019387F"/>
    <w:rsid w:val="00195226"/>
    <w:rsid w:val="00195627"/>
    <w:rsid w:val="00195DA0"/>
    <w:rsid w:val="001A22E0"/>
    <w:rsid w:val="001A31E6"/>
    <w:rsid w:val="001A4C85"/>
    <w:rsid w:val="001A5804"/>
    <w:rsid w:val="001A680C"/>
    <w:rsid w:val="001B0E73"/>
    <w:rsid w:val="001B1D45"/>
    <w:rsid w:val="001B23C1"/>
    <w:rsid w:val="001B4DC1"/>
    <w:rsid w:val="001B6D9B"/>
    <w:rsid w:val="001C01BE"/>
    <w:rsid w:val="001C2527"/>
    <w:rsid w:val="001C2889"/>
    <w:rsid w:val="001C3DA0"/>
    <w:rsid w:val="001C426A"/>
    <w:rsid w:val="001C4D44"/>
    <w:rsid w:val="001C72AD"/>
    <w:rsid w:val="001C7DB2"/>
    <w:rsid w:val="001D029F"/>
    <w:rsid w:val="001D1F2C"/>
    <w:rsid w:val="001D4470"/>
    <w:rsid w:val="001D47AD"/>
    <w:rsid w:val="001D577E"/>
    <w:rsid w:val="001E1A72"/>
    <w:rsid w:val="001E1AD8"/>
    <w:rsid w:val="001E252D"/>
    <w:rsid w:val="001E32DF"/>
    <w:rsid w:val="001E3406"/>
    <w:rsid w:val="001E525F"/>
    <w:rsid w:val="001E5385"/>
    <w:rsid w:val="001E6447"/>
    <w:rsid w:val="001E7C73"/>
    <w:rsid w:val="001F233E"/>
    <w:rsid w:val="001F3F7F"/>
    <w:rsid w:val="001F4C58"/>
    <w:rsid w:val="00200A76"/>
    <w:rsid w:val="002018CB"/>
    <w:rsid w:val="002022D4"/>
    <w:rsid w:val="0020239B"/>
    <w:rsid w:val="00203761"/>
    <w:rsid w:val="00204C84"/>
    <w:rsid w:val="002053CA"/>
    <w:rsid w:val="0021013A"/>
    <w:rsid w:val="002132B5"/>
    <w:rsid w:val="0021410F"/>
    <w:rsid w:val="00220255"/>
    <w:rsid w:val="0022051E"/>
    <w:rsid w:val="00220689"/>
    <w:rsid w:val="00222468"/>
    <w:rsid w:val="002267E3"/>
    <w:rsid w:val="00230E22"/>
    <w:rsid w:val="00231748"/>
    <w:rsid w:val="00231AB1"/>
    <w:rsid w:val="00232A16"/>
    <w:rsid w:val="0023449F"/>
    <w:rsid w:val="00240308"/>
    <w:rsid w:val="0024045F"/>
    <w:rsid w:val="00243CC1"/>
    <w:rsid w:val="00247419"/>
    <w:rsid w:val="002474FC"/>
    <w:rsid w:val="0024790B"/>
    <w:rsid w:val="00247D89"/>
    <w:rsid w:val="00250CC6"/>
    <w:rsid w:val="002511D2"/>
    <w:rsid w:val="00251580"/>
    <w:rsid w:val="00251FD3"/>
    <w:rsid w:val="00254976"/>
    <w:rsid w:val="00257A20"/>
    <w:rsid w:val="00257F01"/>
    <w:rsid w:val="002616CF"/>
    <w:rsid w:val="00261AF8"/>
    <w:rsid w:val="00262403"/>
    <w:rsid w:val="00262A0F"/>
    <w:rsid w:val="00263733"/>
    <w:rsid w:val="00264677"/>
    <w:rsid w:val="00265C31"/>
    <w:rsid w:val="00270300"/>
    <w:rsid w:val="00274C5B"/>
    <w:rsid w:val="00276B55"/>
    <w:rsid w:val="002773BE"/>
    <w:rsid w:val="00280585"/>
    <w:rsid w:val="00283B32"/>
    <w:rsid w:val="002841B5"/>
    <w:rsid w:val="002851AE"/>
    <w:rsid w:val="0028611F"/>
    <w:rsid w:val="00290C30"/>
    <w:rsid w:val="00290F78"/>
    <w:rsid w:val="00291C10"/>
    <w:rsid w:val="0029654C"/>
    <w:rsid w:val="002A053F"/>
    <w:rsid w:val="002A113E"/>
    <w:rsid w:val="002A14C3"/>
    <w:rsid w:val="002A371B"/>
    <w:rsid w:val="002A5B8E"/>
    <w:rsid w:val="002A6EC2"/>
    <w:rsid w:val="002A7050"/>
    <w:rsid w:val="002A7904"/>
    <w:rsid w:val="002B234B"/>
    <w:rsid w:val="002B27CA"/>
    <w:rsid w:val="002B2817"/>
    <w:rsid w:val="002B3E1B"/>
    <w:rsid w:val="002B6766"/>
    <w:rsid w:val="002C2285"/>
    <w:rsid w:val="002D019D"/>
    <w:rsid w:val="002D05F0"/>
    <w:rsid w:val="002D3349"/>
    <w:rsid w:val="002D638C"/>
    <w:rsid w:val="002D68BB"/>
    <w:rsid w:val="002E03CF"/>
    <w:rsid w:val="002E15D3"/>
    <w:rsid w:val="002E350D"/>
    <w:rsid w:val="002E4152"/>
    <w:rsid w:val="002E6AD0"/>
    <w:rsid w:val="002F016F"/>
    <w:rsid w:val="002F0EEA"/>
    <w:rsid w:val="002F20A7"/>
    <w:rsid w:val="002F20B5"/>
    <w:rsid w:val="002F2274"/>
    <w:rsid w:val="002F3D82"/>
    <w:rsid w:val="002F53C6"/>
    <w:rsid w:val="002F7699"/>
    <w:rsid w:val="0030063A"/>
    <w:rsid w:val="00300827"/>
    <w:rsid w:val="003041BA"/>
    <w:rsid w:val="003061F3"/>
    <w:rsid w:val="00307ED0"/>
    <w:rsid w:val="00313AD8"/>
    <w:rsid w:val="0031571C"/>
    <w:rsid w:val="00316776"/>
    <w:rsid w:val="00316B68"/>
    <w:rsid w:val="003223F2"/>
    <w:rsid w:val="003225E2"/>
    <w:rsid w:val="00322A0D"/>
    <w:rsid w:val="00322CDE"/>
    <w:rsid w:val="003235C8"/>
    <w:rsid w:val="00323AB9"/>
    <w:rsid w:val="00324367"/>
    <w:rsid w:val="003258B2"/>
    <w:rsid w:val="00325CF2"/>
    <w:rsid w:val="00326202"/>
    <w:rsid w:val="00326A18"/>
    <w:rsid w:val="0032712A"/>
    <w:rsid w:val="00330031"/>
    <w:rsid w:val="003335C4"/>
    <w:rsid w:val="003337C8"/>
    <w:rsid w:val="00333FF1"/>
    <w:rsid w:val="00334002"/>
    <w:rsid w:val="00336EAC"/>
    <w:rsid w:val="00343773"/>
    <w:rsid w:val="003475EA"/>
    <w:rsid w:val="00352BC2"/>
    <w:rsid w:val="003535B0"/>
    <w:rsid w:val="00353A13"/>
    <w:rsid w:val="00356156"/>
    <w:rsid w:val="00356244"/>
    <w:rsid w:val="00357F13"/>
    <w:rsid w:val="00360A3F"/>
    <w:rsid w:val="00360B10"/>
    <w:rsid w:val="003610B7"/>
    <w:rsid w:val="003618DC"/>
    <w:rsid w:val="00363895"/>
    <w:rsid w:val="003649C9"/>
    <w:rsid w:val="00364C07"/>
    <w:rsid w:val="003667E3"/>
    <w:rsid w:val="00370539"/>
    <w:rsid w:val="003735F5"/>
    <w:rsid w:val="00373F04"/>
    <w:rsid w:val="00375FDB"/>
    <w:rsid w:val="00377CB0"/>
    <w:rsid w:val="00381E67"/>
    <w:rsid w:val="003869F6"/>
    <w:rsid w:val="00386C14"/>
    <w:rsid w:val="003878D7"/>
    <w:rsid w:val="00390B53"/>
    <w:rsid w:val="00392B50"/>
    <w:rsid w:val="00393F0C"/>
    <w:rsid w:val="00394424"/>
    <w:rsid w:val="00395E1F"/>
    <w:rsid w:val="00397058"/>
    <w:rsid w:val="00397A44"/>
    <w:rsid w:val="003A00C3"/>
    <w:rsid w:val="003A141C"/>
    <w:rsid w:val="003A4334"/>
    <w:rsid w:val="003A447B"/>
    <w:rsid w:val="003B0F00"/>
    <w:rsid w:val="003B1418"/>
    <w:rsid w:val="003B2B64"/>
    <w:rsid w:val="003B5EB7"/>
    <w:rsid w:val="003B6969"/>
    <w:rsid w:val="003C04A3"/>
    <w:rsid w:val="003C05E1"/>
    <w:rsid w:val="003C5944"/>
    <w:rsid w:val="003C66A8"/>
    <w:rsid w:val="003C6B5B"/>
    <w:rsid w:val="003C71BA"/>
    <w:rsid w:val="003D0EAB"/>
    <w:rsid w:val="003D1432"/>
    <w:rsid w:val="003D3563"/>
    <w:rsid w:val="003D4C1A"/>
    <w:rsid w:val="003D58C5"/>
    <w:rsid w:val="003D5F89"/>
    <w:rsid w:val="003D7090"/>
    <w:rsid w:val="003D7E7F"/>
    <w:rsid w:val="003E0205"/>
    <w:rsid w:val="003E1959"/>
    <w:rsid w:val="003E1E60"/>
    <w:rsid w:val="003E2605"/>
    <w:rsid w:val="003F275E"/>
    <w:rsid w:val="003F2D46"/>
    <w:rsid w:val="003F481E"/>
    <w:rsid w:val="003F6189"/>
    <w:rsid w:val="003F69BC"/>
    <w:rsid w:val="003F7AF9"/>
    <w:rsid w:val="004010D0"/>
    <w:rsid w:val="00402407"/>
    <w:rsid w:val="00404286"/>
    <w:rsid w:val="00404376"/>
    <w:rsid w:val="0040510D"/>
    <w:rsid w:val="004055C4"/>
    <w:rsid w:val="00405D18"/>
    <w:rsid w:val="004120DC"/>
    <w:rsid w:val="00413AEF"/>
    <w:rsid w:val="00414946"/>
    <w:rsid w:val="00420F10"/>
    <w:rsid w:val="0042524E"/>
    <w:rsid w:val="00425B7A"/>
    <w:rsid w:val="00430F01"/>
    <w:rsid w:val="00431907"/>
    <w:rsid w:val="0043449E"/>
    <w:rsid w:val="00435137"/>
    <w:rsid w:val="00436B59"/>
    <w:rsid w:val="004373E9"/>
    <w:rsid w:val="00440C4B"/>
    <w:rsid w:val="004413CD"/>
    <w:rsid w:val="004413E9"/>
    <w:rsid w:val="00442185"/>
    <w:rsid w:val="0044258D"/>
    <w:rsid w:val="00443A60"/>
    <w:rsid w:val="00443F33"/>
    <w:rsid w:val="00444B1D"/>
    <w:rsid w:val="00444B3C"/>
    <w:rsid w:val="00445C60"/>
    <w:rsid w:val="004460AB"/>
    <w:rsid w:val="00446973"/>
    <w:rsid w:val="00447A10"/>
    <w:rsid w:val="00450E55"/>
    <w:rsid w:val="00451081"/>
    <w:rsid w:val="00451443"/>
    <w:rsid w:val="0045254E"/>
    <w:rsid w:val="00452834"/>
    <w:rsid w:val="004535AE"/>
    <w:rsid w:val="004578DE"/>
    <w:rsid w:val="00462045"/>
    <w:rsid w:val="0046467D"/>
    <w:rsid w:val="00466097"/>
    <w:rsid w:val="0046668B"/>
    <w:rsid w:val="004668AA"/>
    <w:rsid w:val="00466F79"/>
    <w:rsid w:val="0047048B"/>
    <w:rsid w:val="00473B39"/>
    <w:rsid w:val="00473F99"/>
    <w:rsid w:val="00474119"/>
    <w:rsid w:val="00477387"/>
    <w:rsid w:val="004777AC"/>
    <w:rsid w:val="00480E83"/>
    <w:rsid w:val="00485BD0"/>
    <w:rsid w:val="004869DD"/>
    <w:rsid w:val="00486B51"/>
    <w:rsid w:val="00487152"/>
    <w:rsid w:val="00487338"/>
    <w:rsid w:val="0049184C"/>
    <w:rsid w:val="00492059"/>
    <w:rsid w:val="00492E40"/>
    <w:rsid w:val="00493C51"/>
    <w:rsid w:val="00494B72"/>
    <w:rsid w:val="00495559"/>
    <w:rsid w:val="004A10BC"/>
    <w:rsid w:val="004A2908"/>
    <w:rsid w:val="004A366F"/>
    <w:rsid w:val="004A3F01"/>
    <w:rsid w:val="004B01B7"/>
    <w:rsid w:val="004B0DB7"/>
    <w:rsid w:val="004B0F9F"/>
    <w:rsid w:val="004B46DA"/>
    <w:rsid w:val="004B484B"/>
    <w:rsid w:val="004B57B5"/>
    <w:rsid w:val="004B78C6"/>
    <w:rsid w:val="004C16EA"/>
    <w:rsid w:val="004C1CC5"/>
    <w:rsid w:val="004C7B52"/>
    <w:rsid w:val="004D075E"/>
    <w:rsid w:val="004D0777"/>
    <w:rsid w:val="004D260F"/>
    <w:rsid w:val="004D2A39"/>
    <w:rsid w:val="004D6DB2"/>
    <w:rsid w:val="004D7783"/>
    <w:rsid w:val="004D7F28"/>
    <w:rsid w:val="004E01F6"/>
    <w:rsid w:val="004E07BC"/>
    <w:rsid w:val="004E1090"/>
    <w:rsid w:val="004E12B6"/>
    <w:rsid w:val="004E2481"/>
    <w:rsid w:val="004E54EA"/>
    <w:rsid w:val="004E69CA"/>
    <w:rsid w:val="004E761B"/>
    <w:rsid w:val="004F1607"/>
    <w:rsid w:val="004F1964"/>
    <w:rsid w:val="004F1CF1"/>
    <w:rsid w:val="004F4E13"/>
    <w:rsid w:val="004F513A"/>
    <w:rsid w:val="004F586A"/>
    <w:rsid w:val="004F62B8"/>
    <w:rsid w:val="004F6B72"/>
    <w:rsid w:val="004F70A5"/>
    <w:rsid w:val="0050023D"/>
    <w:rsid w:val="005023C6"/>
    <w:rsid w:val="00504462"/>
    <w:rsid w:val="0050451B"/>
    <w:rsid w:val="0050669F"/>
    <w:rsid w:val="00506FD9"/>
    <w:rsid w:val="00511FFE"/>
    <w:rsid w:val="00512041"/>
    <w:rsid w:val="00514035"/>
    <w:rsid w:val="005144E3"/>
    <w:rsid w:val="00515088"/>
    <w:rsid w:val="00515D7A"/>
    <w:rsid w:val="00515D95"/>
    <w:rsid w:val="0052019E"/>
    <w:rsid w:val="00523740"/>
    <w:rsid w:val="00524F72"/>
    <w:rsid w:val="0053202B"/>
    <w:rsid w:val="0053336F"/>
    <w:rsid w:val="00533AA9"/>
    <w:rsid w:val="00535ED5"/>
    <w:rsid w:val="0053681E"/>
    <w:rsid w:val="00540C9A"/>
    <w:rsid w:val="005421DE"/>
    <w:rsid w:val="0054309A"/>
    <w:rsid w:val="005433BE"/>
    <w:rsid w:val="00545742"/>
    <w:rsid w:val="00545814"/>
    <w:rsid w:val="00545F85"/>
    <w:rsid w:val="00546BB3"/>
    <w:rsid w:val="005532E5"/>
    <w:rsid w:val="0055373F"/>
    <w:rsid w:val="00554689"/>
    <w:rsid w:val="005558C1"/>
    <w:rsid w:val="0055730B"/>
    <w:rsid w:val="00557D4D"/>
    <w:rsid w:val="00560CC1"/>
    <w:rsid w:val="00561FDC"/>
    <w:rsid w:val="00564566"/>
    <w:rsid w:val="00565D66"/>
    <w:rsid w:val="00566743"/>
    <w:rsid w:val="0056720C"/>
    <w:rsid w:val="00573910"/>
    <w:rsid w:val="00574062"/>
    <w:rsid w:val="00575C1B"/>
    <w:rsid w:val="0057638E"/>
    <w:rsid w:val="00576589"/>
    <w:rsid w:val="00577A3B"/>
    <w:rsid w:val="00577B79"/>
    <w:rsid w:val="00582069"/>
    <w:rsid w:val="00582F9E"/>
    <w:rsid w:val="00584F7C"/>
    <w:rsid w:val="00586708"/>
    <w:rsid w:val="0059061D"/>
    <w:rsid w:val="00590A0D"/>
    <w:rsid w:val="005922C4"/>
    <w:rsid w:val="005923F0"/>
    <w:rsid w:val="00595574"/>
    <w:rsid w:val="005966F3"/>
    <w:rsid w:val="00597208"/>
    <w:rsid w:val="00597A6B"/>
    <w:rsid w:val="005A1922"/>
    <w:rsid w:val="005A2803"/>
    <w:rsid w:val="005A2892"/>
    <w:rsid w:val="005A3221"/>
    <w:rsid w:val="005A3266"/>
    <w:rsid w:val="005A3959"/>
    <w:rsid w:val="005A4F66"/>
    <w:rsid w:val="005A5368"/>
    <w:rsid w:val="005A5C4A"/>
    <w:rsid w:val="005A6D81"/>
    <w:rsid w:val="005A74F5"/>
    <w:rsid w:val="005A76D0"/>
    <w:rsid w:val="005A7EB2"/>
    <w:rsid w:val="005B2521"/>
    <w:rsid w:val="005B25B6"/>
    <w:rsid w:val="005B2E32"/>
    <w:rsid w:val="005B4C5A"/>
    <w:rsid w:val="005B65AE"/>
    <w:rsid w:val="005B71D4"/>
    <w:rsid w:val="005C112B"/>
    <w:rsid w:val="005C2DEB"/>
    <w:rsid w:val="005C3DA2"/>
    <w:rsid w:val="005C54EA"/>
    <w:rsid w:val="005C7518"/>
    <w:rsid w:val="005C7680"/>
    <w:rsid w:val="005D1768"/>
    <w:rsid w:val="005D2492"/>
    <w:rsid w:val="005D276B"/>
    <w:rsid w:val="005D670B"/>
    <w:rsid w:val="005E1B7D"/>
    <w:rsid w:val="005E1B7E"/>
    <w:rsid w:val="005E24FB"/>
    <w:rsid w:val="005F1B15"/>
    <w:rsid w:val="005F1F01"/>
    <w:rsid w:val="005F2661"/>
    <w:rsid w:val="005F3582"/>
    <w:rsid w:val="005F4F97"/>
    <w:rsid w:val="005F5AF5"/>
    <w:rsid w:val="005F7D3A"/>
    <w:rsid w:val="00600B2A"/>
    <w:rsid w:val="0060418B"/>
    <w:rsid w:val="0061026F"/>
    <w:rsid w:val="00615235"/>
    <w:rsid w:val="00620DF3"/>
    <w:rsid w:val="0062211E"/>
    <w:rsid w:val="00624B1F"/>
    <w:rsid w:val="0062589E"/>
    <w:rsid w:val="00625A3C"/>
    <w:rsid w:val="00631A37"/>
    <w:rsid w:val="006338AA"/>
    <w:rsid w:val="00633F98"/>
    <w:rsid w:val="00634932"/>
    <w:rsid w:val="00634C26"/>
    <w:rsid w:val="0063698A"/>
    <w:rsid w:val="00636A0A"/>
    <w:rsid w:val="0063750A"/>
    <w:rsid w:val="00637A10"/>
    <w:rsid w:val="006406B6"/>
    <w:rsid w:val="00641136"/>
    <w:rsid w:val="006430AC"/>
    <w:rsid w:val="00643C2D"/>
    <w:rsid w:val="00644496"/>
    <w:rsid w:val="006447D8"/>
    <w:rsid w:val="00644F28"/>
    <w:rsid w:val="0064572C"/>
    <w:rsid w:val="00650123"/>
    <w:rsid w:val="0065187E"/>
    <w:rsid w:val="006535D4"/>
    <w:rsid w:val="00655684"/>
    <w:rsid w:val="00656196"/>
    <w:rsid w:val="00656733"/>
    <w:rsid w:val="00660B15"/>
    <w:rsid w:val="006617E6"/>
    <w:rsid w:val="00661A1D"/>
    <w:rsid w:val="00662EE6"/>
    <w:rsid w:val="00662F5B"/>
    <w:rsid w:val="00663477"/>
    <w:rsid w:val="00663629"/>
    <w:rsid w:val="0066580E"/>
    <w:rsid w:val="00665E20"/>
    <w:rsid w:val="00667BBF"/>
    <w:rsid w:val="00667D1C"/>
    <w:rsid w:val="006731F3"/>
    <w:rsid w:val="006758A1"/>
    <w:rsid w:val="006760C7"/>
    <w:rsid w:val="00676B85"/>
    <w:rsid w:val="00680415"/>
    <w:rsid w:val="00681599"/>
    <w:rsid w:val="00681F79"/>
    <w:rsid w:val="00684598"/>
    <w:rsid w:val="0068489C"/>
    <w:rsid w:val="00684F06"/>
    <w:rsid w:val="006850A4"/>
    <w:rsid w:val="0068584E"/>
    <w:rsid w:val="00687F77"/>
    <w:rsid w:val="006946BE"/>
    <w:rsid w:val="00695F89"/>
    <w:rsid w:val="006A135E"/>
    <w:rsid w:val="006A3CC0"/>
    <w:rsid w:val="006A7DC3"/>
    <w:rsid w:val="006B09CC"/>
    <w:rsid w:val="006B1075"/>
    <w:rsid w:val="006B3448"/>
    <w:rsid w:val="006B366F"/>
    <w:rsid w:val="006B4321"/>
    <w:rsid w:val="006B51C2"/>
    <w:rsid w:val="006B6ABE"/>
    <w:rsid w:val="006B6F89"/>
    <w:rsid w:val="006B790B"/>
    <w:rsid w:val="006C10F3"/>
    <w:rsid w:val="006C2E76"/>
    <w:rsid w:val="006C3B82"/>
    <w:rsid w:val="006C54C9"/>
    <w:rsid w:val="006D1271"/>
    <w:rsid w:val="006D1724"/>
    <w:rsid w:val="006E5221"/>
    <w:rsid w:val="006E53C5"/>
    <w:rsid w:val="006E60E7"/>
    <w:rsid w:val="006E7A0B"/>
    <w:rsid w:val="006F0718"/>
    <w:rsid w:val="006F1837"/>
    <w:rsid w:val="006F26E4"/>
    <w:rsid w:val="006F3CD1"/>
    <w:rsid w:val="006F5252"/>
    <w:rsid w:val="006F52A6"/>
    <w:rsid w:val="006F65E8"/>
    <w:rsid w:val="006F6F1E"/>
    <w:rsid w:val="0070272D"/>
    <w:rsid w:val="00702784"/>
    <w:rsid w:val="0070279A"/>
    <w:rsid w:val="00703112"/>
    <w:rsid w:val="00703A9A"/>
    <w:rsid w:val="00704C25"/>
    <w:rsid w:val="00705E6C"/>
    <w:rsid w:val="00705F1D"/>
    <w:rsid w:val="0070660E"/>
    <w:rsid w:val="00706AC7"/>
    <w:rsid w:val="00711248"/>
    <w:rsid w:val="00715EF1"/>
    <w:rsid w:val="007177B9"/>
    <w:rsid w:val="00717BD6"/>
    <w:rsid w:val="00721ED4"/>
    <w:rsid w:val="007239AC"/>
    <w:rsid w:val="00723E95"/>
    <w:rsid w:val="0072412B"/>
    <w:rsid w:val="007318EF"/>
    <w:rsid w:val="00733953"/>
    <w:rsid w:val="00735562"/>
    <w:rsid w:val="00735DFD"/>
    <w:rsid w:val="00736364"/>
    <w:rsid w:val="0073642B"/>
    <w:rsid w:val="00736666"/>
    <w:rsid w:val="00740AB1"/>
    <w:rsid w:val="007420FC"/>
    <w:rsid w:val="00742306"/>
    <w:rsid w:val="00744715"/>
    <w:rsid w:val="0074528E"/>
    <w:rsid w:val="00745F2F"/>
    <w:rsid w:val="00747EC2"/>
    <w:rsid w:val="007507AF"/>
    <w:rsid w:val="00750F2F"/>
    <w:rsid w:val="00754496"/>
    <w:rsid w:val="007603EA"/>
    <w:rsid w:val="00761E6B"/>
    <w:rsid w:val="00762791"/>
    <w:rsid w:val="00766568"/>
    <w:rsid w:val="0076684E"/>
    <w:rsid w:val="00766A58"/>
    <w:rsid w:val="007674F9"/>
    <w:rsid w:val="007718B7"/>
    <w:rsid w:val="00771F29"/>
    <w:rsid w:val="0077321B"/>
    <w:rsid w:val="007753C8"/>
    <w:rsid w:val="007753EA"/>
    <w:rsid w:val="00776229"/>
    <w:rsid w:val="00776407"/>
    <w:rsid w:val="007764F4"/>
    <w:rsid w:val="00776AB8"/>
    <w:rsid w:val="0078042C"/>
    <w:rsid w:val="00781550"/>
    <w:rsid w:val="007822A3"/>
    <w:rsid w:val="0078334C"/>
    <w:rsid w:val="00783618"/>
    <w:rsid w:val="00785D8E"/>
    <w:rsid w:val="007877B6"/>
    <w:rsid w:val="00790119"/>
    <w:rsid w:val="00791915"/>
    <w:rsid w:val="00793616"/>
    <w:rsid w:val="007956F0"/>
    <w:rsid w:val="007969DC"/>
    <w:rsid w:val="00797AF9"/>
    <w:rsid w:val="007A24A6"/>
    <w:rsid w:val="007A31DC"/>
    <w:rsid w:val="007A3A68"/>
    <w:rsid w:val="007A489B"/>
    <w:rsid w:val="007A4DCA"/>
    <w:rsid w:val="007A64CE"/>
    <w:rsid w:val="007A7C00"/>
    <w:rsid w:val="007A7D6E"/>
    <w:rsid w:val="007B29E4"/>
    <w:rsid w:val="007B3426"/>
    <w:rsid w:val="007B3995"/>
    <w:rsid w:val="007B3A5C"/>
    <w:rsid w:val="007B3AAC"/>
    <w:rsid w:val="007B4CBF"/>
    <w:rsid w:val="007C0F57"/>
    <w:rsid w:val="007C1F01"/>
    <w:rsid w:val="007C375D"/>
    <w:rsid w:val="007C428F"/>
    <w:rsid w:val="007D1551"/>
    <w:rsid w:val="007D2FCC"/>
    <w:rsid w:val="007D39B9"/>
    <w:rsid w:val="007D7D94"/>
    <w:rsid w:val="007E15C4"/>
    <w:rsid w:val="007E262A"/>
    <w:rsid w:val="007E282E"/>
    <w:rsid w:val="007E3985"/>
    <w:rsid w:val="007E5BA4"/>
    <w:rsid w:val="007E63A2"/>
    <w:rsid w:val="007F0FEF"/>
    <w:rsid w:val="007F4183"/>
    <w:rsid w:val="007F4DC9"/>
    <w:rsid w:val="00801F11"/>
    <w:rsid w:val="008022F1"/>
    <w:rsid w:val="00802EEF"/>
    <w:rsid w:val="00807A51"/>
    <w:rsid w:val="00810AE7"/>
    <w:rsid w:val="00811A60"/>
    <w:rsid w:val="00813540"/>
    <w:rsid w:val="00813C16"/>
    <w:rsid w:val="008146AC"/>
    <w:rsid w:val="00816267"/>
    <w:rsid w:val="008173B3"/>
    <w:rsid w:val="00817E2A"/>
    <w:rsid w:val="00820A0F"/>
    <w:rsid w:val="00821E8B"/>
    <w:rsid w:val="00823077"/>
    <w:rsid w:val="00823BC5"/>
    <w:rsid w:val="00824096"/>
    <w:rsid w:val="0082447D"/>
    <w:rsid w:val="00826F9A"/>
    <w:rsid w:val="00831B04"/>
    <w:rsid w:val="00831BF4"/>
    <w:rsid w:val="0083411F"/>
    <w:rsid w:val="00835143"/>
    <w:rsid w:val="00840269"/>
    <w:rsid w:val="0084065A"/>
    <w:rsid w:val="00841E70"/>
    <w:rsid w:val="00845D76"/>
    <w:rsid w:val="00846C82"/>
    <w:rsid w:val="00847344"/>
    <w:rsid w:val="00847E61"/>
    <w:rsid w:val="00850F57"/>
    <w:rsid w:val="00852990"/>
    <w:rsid w:val="00854E14"/>
    <w:rsid w:val="00856E0A"/>
    <w:rsid w:val="00856F43"/>
    <w:rsid w:val="008600D4"/>
    <w:rsid w:val="0086026A"/>
    <w:rsid w:val="0086333D"/>
    <w:rsid w:val="008639EF"/>
    <w:rsid w:val="00864B2B"/>
    <w:rsid w:val="00866BDF"/>
    <w:rsid w:val="00866DE7"/>
    <w:rsid w:val="00867B43"/>
    <w:rsid w:val="008757F7"/>
    <w:rsid w:val="00875EB7"/>
    <w:rsid w:val="00875F20"/>
    <w:rsid w:val="008806D9"/>
    <w:rsid w:val="008812B3"/>
    <w:rsid w:val="0088301D"/>
    <w:rsid w:val="0088325B"/>
    <w:rsid w:val="00883E09"/>
    <w:rsid w:val="008842A4"/>
    <w:rsid w:val="00886510"/>
    <w:rsid w:val="00887021"/>
    <w:rsid w:val="00894ABA"/>
    <w:rsid w:val="00894F92"/>
    <w:rsid w:val="00895205"/>
    <w:rsid w:val="00897949"/>
    <w:rsid w:val="00897B0B"/>
    <w:rsid w:val="008A09DC"/>
    <w:rsid w:val="008A2025"/>
    <w:rsid w:val="008A20E0"/>
    <w:rsid w:val="008A3BB9"/>
    <w:rsid w:val="008A69EA"/>
    <w:rsid w:val="008A7D25"/>
    <w:rsid w:val="008B0F36"/>
    <w:rsid w:val="008B1883"/>
    <w:rsid w:val="008B213C"/>
    <w:rsid w:val="008B36A4"/>
    <w:rsid w:val="008B44A3"/>
    <w:rsid w:val="008B5953"/>
    <w:rsid w:val="008B5C39"/>
    <w:rsid w:val="008C0D08"/>
    <w:rsid w:val="008C140C"/>
    <w:rsid w:val="008C2AA8"/>
    <w:rsid w:val="008C2ADD"/>
    <w:rsid w:val="008C3F9B"/>
    <w:rsid w:val="008C4024"/>
    <w:rsid w:val="008C5214"/>
    <w:rsid w:val="008C7DF9"/>
    <w:rsid w:val="008D1B67"/>
    <w:rsid w:val="008D49CC"/>
    <w:rsid w:val="008D5F2C"/>
    <w:rsid w:val="008D7A9B"/>
    <w:rsid w:val="008E0368"/>
    <w:rsid w:val="008E18C4"/>
    <w:rsid w:val="008E1DF8"/>
    <w:rsid w:val="008E6B1C"/>
    <w:rsid w:val="008E7947"/>
    <w:rsid w:val="008F00B8"/>
    <w:rsid w:val="008F4280"/>
    <w:rsid w:val="008F61CB"/>
    <w:rsid w:val="0090102E"/>
    <w:rsid w:val="00903A36"/>
    <w:rsid w:val="009043EA"/>
    <w:rsid w:val="00907396"/>
    <w:rsid w:val="00907A45"/>
    <w:rsid w:val="00910399"/>
    <w:rsid w:val="009108EA"/>
    <w:rsid w:val="0091344E"/>
    <w:rsid w:val="00913600"/>
    <w:rsid w:val="009139AE"/>
    <w:rsid w:val="00916122"/>
    <w:rsid w:val="00916947"/>
    <w:rsid w:val="00917C97"/>
    <w:rsid w:val="00920F58"/>
    <w:rsid w:val="00922314"/>
    <w:rsid w:val="00922B97"/>
    <w:rsid w:val="009234C7"/>
    <w:rsid w:val="00923916"/>
    <w:rsid w:val="00924073"/>
    <w:rsid w:val="00927C69"/>
    <w:rsid w:val="00930E7C"/>
    <w:rsid w:val="009324F0"/>
    <w:rsid w:val="00935527"/>
    <w:rsid w:val="009357B9"/>
    <w:rsid w:val="00935FC3"/>
    <w:rsid w:val="0093756B"/>
    <w:rsid w:val="009400C2"/>
    <w:rsid w:val="009424FD"/>
    <w:rsid w:val="0094435C"/>
    <w:rsid w:val="00945602"/>
    <w:rsid w:val="009462FA"/>
    <w:rsid w:val="00946F5B"/>
    <w:rsid w:val="009505DD"/>
    <w:rsid w:val="009527AA"/>
    <w:rsid w:val="00952DEE"/>
    <w:rsid w:val="00955905"/>
    <w:rsid w:val="009623D0"/>
    <w:rsid w:val="0096281F"/>
    <w:rsid w:val="00962E14"/>
    <w:rsid w:val="00963390"/>
    <w:rsid w:val="0096761A"/>
    <w:rsid w:val="009676BE"/>
    <w:rsid w:val="009705B3"/>
    <w:rsid w:val="00970779"/>
    <w:rsid w:val="00970784"/>
    <w:rsid w:val="00971016"/>
    <w:rsid w:val="00971603"/>
    <w:rsid w:val="00974AA7"/>
    <w:rsid w:val="00977837"/>
    <w:rsid w:val="00981096"/>
    <w:rsid w:val="009813A6"/>
    <w:rsid w:val="009813DB"/>
    <w:rsid w:val="00982C12"/>
    <w:rsid w:val="00983200"/>
    <w:rsid w:val="00983CFD"/>
    <w:rsid w:val="00984A64"/>
    <w:rsid w:val="009856BA"/>
    <w:rsid w:val="00986F65"/>
    <w:rsid w:val="0098742E"/>
    <w:rsid w:val="00990418"/>
    <w:rsid w:val="00994852"/>
    <w:rsid w:val="00995E24"/>
    <w:rsid w:val="009A0B22"/>
    <w:rsid w:val="009A38B6"/>
    <w:rsid w:val="009A4D5A"/>
    <w:rsid w:val="009A6041"/>
    <w:rsid w:val="009A672F"/>
    <w:rsid w:val="009A689A"/>
    <w:rsid w:val="009B044E"/>
    <w:rsid w:val="009B09E7"/>
    <w:rsid w:val="009B0F6B"/>
    <w:rsid w:val="009B1AC3"/>
    <w:rsid w:val="009B320D"/>
    <w:rsid w:val="009B6902"/>
    <w:rsid w:val="009B7B1F"/>
    <w:rsid w:val="009C1DA1"/>
    <w:rsid w:val="009C1E40"/>
    <w:rsid w:val="009C1FA5"/>
    <w:rsid w:val="009C2244"/>
    <w:rsid w:val="009C3C7B"/>
    <w:rsid w:val="009C5AEE"/>
    <w:rsid w:val="009C6FF4"/>
    <w:rsid w:val="009C76D6"/>
    <w:rsid w:val="009C7B18"/>
    <w:rsid w:val="009D0182"/>
    <w:rsid w:val="009D1D31"/>
    <w:rsid w:val="009D5A9D"/>
    <w:rsid w:val="009D67BD"/>
    <w:rsid w:val="009D7A47"/>
    <w:rsid w:val="009E4604"/>
    <w:rsid w:val="009E58EB"/>
    <w:rsid w:val="009F0B77"/>
    <w:rsid w:val="009F1183"/>
    <w:rsid w:val="009F1514"/>
    <w:rsid w:val="009F1791"/>
    <w:rsid w:val="009F1FCE"/>
    <w:rsid w:val="009F275C"/>
    <w:rsid w:val="009F2F7B"/>
    <w:rsid w:val="009F44B4"/>
    <w:rsid w:val="009F589F"/>
    <w:rsid w:val="009F6CEF"/>
    <w:rsid w:val="009F7119"/>
    <w:rsid w:val="00A00401"/>
    <w:rsid w:val="00A00E5A"/>
    <w:rsid w:val="00A00F0E"/>
    <w:rsid w:val="00A016D3"/>
    <w:rsid w:val="00A0340F"/>
    <w:rsid w:val="00A043DE"/>
    <w:rsid w:val="00A05BAE"/>
    <w:rsid w:val="00A06283"/>
    <w:rsid w:val="00A11618"/>
    <w:rsid w:val="00A1291D"/>
    <w:rsid w:val="00A13D38"/>
    <w:rsid w:val="00A14CF4"/>
    <w:rsid w:val="00A15061"/>
    <w:rsid w:val="00A1570C"/>
    <w:rsid w:val="00A15C4F"/>
    <w:rsid w:val="00A15DD9"/>
    <w:rsid w:val="00A16E60"/>
    <w:rsid w:val="00A20686"/>
    <w:rsid w:val="00A21668"/>
    <w:rsid w:val="00A21E8B"/>
    <w:rsid w:val="00A23560"/>
    <w:rsid w:val="00A2724A"/>
    <w:rsid w:val="00A322B0"/>
    <w:rsid w:val="00A34DC8"/>
    <w:rsid w:val="00A36CAF"/>
    <w:rsid w:val="00A370A9"/>
    <w:rsid w:val="00A37539"/>
    <w:rsid w:val="00A40B4C"/>
    <w:rsid w:val="00A43798"/>
    <w:rsid w:val="00A43BC7"/>
    <w:rsid w:val="00A46DC0"/>
    <w:rsid w:val="00A5058A"/>
    <w:rsid w:val="00A51842"/>
    <w:rsid w:val="00A572F9"/>
    <w:rsid w:val="00A57EF5"/>
    <w:rsid w:val="00A60347"/>
    <w:rsid w:val="00A60348"/>
    <w:rsid w:val="00A6093A"/>
    <w:rsid w:val="00A62487"/>
    <w:rsid w:val="00A62AB5"/>
    <w:rsid w:val="00A63AF0"/>
    <w:rsid w:val="00A64983"/>
    <w:rsid w:val="00A64F6A"/>
    <w:rsid w:val="00A6688C"/>
    <w:rsid w:val="00A66FE9"/>
    <w:rsid w:val="00A67DF9"/>
    <w:rsid w:val="00A67E70"/>
    <w:rsid w:val="00A70534"/>
    <w:rsid w:val="00A70678"/>
    <w:rsid w:val="00A70CE4"/>
    <w:rsid w:val="00A717CD"/>
    <w:rsid w:val="00A73A46"/>
    <w:rsid w:val="00A74A2B"/>
    <w:rsid w:val="00A7525C"/>
    <w:rsid w:val="00A77B25"/>
    <w:rsid w:val="00A77E5E"/>
    <w:rsid w:val="00A80484"/>
    <w:rsid w:val="00A807E7"/>
    <w:rsid w:val="00A817A8"/>
    <w:rsid w:val="00A81C77"/>
    <w:rsid w:val="00A82CB2"/>
    <w:rsid w:val="00A83153"/>
    <w:rsid w:val="00A851E7"/>
    <w:rsid w:val="00A86206"/>
    <w:rsid w:val="00A8785A"/>
    <w:rsid w:val="00A90432"/>
    <w:rsid w:val="00A92C7F"/>
    <w:rsid w:val="00A94A1A"/>
    <w:rsid w:val="00A94DC6"/>
    <w:rsid w:val="00A96785"/>
    <w:rsid w:val="00AA0E21"/>
    <w:rsid w:val="00AA254D"/>
    <w:rsid w:val="00AA2E7B"/>
    <w:rsid w:val="00AA3DF3"/>
    <w:rsid w:val="00AA4260"/>
    <w:rsid w:val="00AA47C0"/>
    <w:rsid w:val="00AA5C65"/>
    <w:rsid w:val="00AA6121"/>
    <w:rsid w:val="00AA6C00"/>
    <w:rsid w:val="00AB0DB7"/>
    <w:rsid w:val="00AB0E27"/>
    <w:rsid w:val="00AB124E"/>
    <w:rsid w:val="00AB7BF2"/>
    <w:rsid w:val="00AC24D4"/>
    <w:rsid w:val="00AC4332"/>
    <w:rsid w:val="00AC46F5"/>
    <w:rsid w:val="00AC4F32"/>
    <w:rsid w:val="00AC6F69"/>
    <w:rsid w:val="00AD191A"/>
    <w:rsid w:val="00AD42B8"/>
    <w:rsid w:val="00AD4644"/>
    <w:rsid w:val="00AD5DDB"/>
    <w:rsid w:val="00AD704E"/>
    <w:rsid w:val="00AD783C"/>
    <w:rsid w:val="00AE30A0"/>
    <w:rsid w:val="00AE5CDE"/>
    <w:rsid w:val="00AE68EF"/>
    <w:rsid w:val="00AE6B9C"/>
    <w:rsid w:val="00AF0D45"/>
    <w:rsid w:val="00AF486B"/>
    <w:rsid w:val="00AF62C2"/>
    <w:rsid w:val="00AF6CA1"/>
    <w:rsid w:val="00B00D76"/>
    <w:rsid w:val="00B01477"/>
    <w:rsid w:val="00B0197B"/>
    <w:rsid w:val="00B03D10"/>
    <w:rsid w:val="00B052AF"/>
    <w:rsid w:val="00B05BF7"/>
    <w:rsid w:val="00B05FDA"/>
    <w:rsid w:val="00B06981"/>
    <w:rsid w:val="00B135BA"/>
    <w:rsid w:val="00B146C0"/>
    <w:rsid w:val="00B170EE"/>
    <w:rsid w:val="00B172EF"/>
    <w:rsid w:val="00B176F1"/>
    <w:rsid w:val="00B23622"/>
    <w:rsid w:val="00B2444E"/>
    <w:rsid w:val="00B25493"/>
    <w:rsid w:val="00B25657"/>
    <w:rsid w:val="00B27C81"/>
    <w:rsid w:val="00B32469"/>
    <w:rsid w:val="00B32E4E"/>
    <w:rsid w:val="00B33476"/>
    <w:rsid w:val="00B33872"/>
    <w:rsid w:val="00B33AF4"/>
    <w:rsid w:val="00B340A4"/>
    <w:rsid w:val="00B35AA1"/>
    <w:rsid w:val="00B36D3B"/>
    <w:rsid w:val="00B36E0E"/>
    <w:rsid w:val="00B43D93"/>
    <w:rsid w:val="00B43F32"/>
    <w:rsid w:val="00B4456F"/>
    <w:rsid w:val="00B458CA"/>
    <w:rsid w:val="00B46066"/>
    <w:rsid w:val="00B47214"/>
    <w:rsid w:val="00B53B86"/>
    <w:rsid w:val="00B601BC"/>
    <w:rsid w:val="00B6050A"/>
    <w:rsid w:val="00B61F61"/>
    <w:rsid w:val="00B632DF"/>
    <w:rsid w:val="00B63BBC"/>
    <w:rsid w:val="00B706F5"/>
    <w:rsid w:val="00B72DD9"/>
    <w:rsid w:val="00B72EB2"/>
    <w:rsid w:val="00B74258"/>
    <w:rsid w:val="00B76A68"/>
    <w:rsid w:val="00B802A8"/>
    <w:rsid w:val="00B8132E"/>
    <w:rsid w:val="00B81AA9"/>
    <w:rsid w:val="00B853B1"/>
    <w:rsid w:val="00B85713"/>
    <w:rsid w:val="00B85E9F"/>
    <w:rsid w:val="00B86BE4"/>
    <w:rsid w:val="00B90CF8"/>
    <w:rsid w:val="00B90D8C"/>
    <w:rsid w:val="00B91986"/>
    <w:rsid w:val="00B92D61"/>
    <w:rsid w:val="00B93AAF"/>
    <w:rsid w:val="00B93BEF"/>
    <w:rsid w:val="00B94966"/>
    <w:rsid w:val="00B96E4F"/>
    <w:rsid w:val="00BA2E74"/>
    <w:rsid w:val="00BA688E"/>
    <w:rsid w:val="00BA6BC9"/>
    <w:rsid w:val="00BB3408"/>
    <w:rsid w:val="00BB4052"/>
    <w:rsid w:val="00BB46BB"/>
    <w:rsid w:val="00BB5DCC"/>
    <w:rsid w:val="00BB6CAF"/>
    <w:rsid w:val="00BC23E5"/>
    <w:rsid w:val="00BC2E85"/>
    <w:rsid w:val="00BC4844"/>
    <w:rsid w:val="00BC7341"/>
    <w:rsid w:val="00BC78DA"/>
    <w:rsid w:val="00BD1209"/>
    <w:rsid w:val="00BD17E4"/>
    <w:rsid w:val="00BD242B"/>
    <w:rsid w:val="00BD4333"/>
    <w:rsid w:val="00BD43F5"/>
    <w:rsid w:val="00BD4C5B"/>
    <w:rsid w:val="00BD5A2C"/>
    <w:rsid w:val="00BD5BF2"/>
    <w:rsid w:val="00BD6EF7"/>
    <w:rsid w:val="00BD7C1A"/>
    <w:rsid w:val="00BE07E2"/>
    <w:rsid w:val="00BE16B9"/>
    <w:rsid w:val="00BE1BA2"/>
    <w:rsid w:val="00BE2447"/>
    <w:rsid w:val="00BE253C"/>
    <w:rsid w:val="00BE2AD6"/>
    <w:rsid w:val="00BE343E"/>
    <w:rsid w:val="00BE4B10"/>
    <w:rsid w:val="00BE508A"/>
    <w:rsid w:val="00BE577C"/>
    <w:rsid w:val="00BE596B"/>
    <w:rsid w:val="00BE609B"/>
    <w:rsid w:val="00BE7FB6"/>
    <w:rsid w:val="00BF00BC"/>
    <w:rsid w:val="00BF0735"/>
    <w:rsid w:val="00BF0A1E"/>
    <w:rsid w:val="00BF10E4"/>
    <w:rsid w:val="00BF1B80"/>
    <w:rsid w:val="00BF20DB"/>
    <w:rsid w:val="00BF2A76"/>
    <w:rsid w:val="00BF4225"/>
    <w:rsid w:val="00BF50E5"/>
    <w:rsid w:val="00BF7480"/>
    <w:rsid w:val="00C0027F"/>
    <w:rsid w:val="00C01BF4"/>
    <w:rsid w:val="00C03C4F"/>
    <w:rsid w:val="00C04DA8"/>
    <w:rsid w:val="00C06B85"/>
    <w:rsid w:val="00C07820"/>
    <w:rsid w:val="00C07F58"/>
    <w:rsid w:val="00C11026"/>
    <w:rsid w:val="00C1168C"/>
    <w:rsid w:val="00C12488"/>
    <w:rsid w:val="00C12A50"/>
    <w:rsid w:val="00C1324B"/>
    <w:rsid w:val="00C144E4"/>
    <w:rsid w:val="00C14900"/>
    <w:rsid w:val="00C16B99"/>
    <w:rsid w:val="00C17A34"/>
    <w:rsid w:val="00C20F12"/>
    <w:rsid w:val="00C2122A"/>
    <w:rsid w:val="00C2376A"/>
    <w:rsid w:val="00C24135"/>
    <w:rsid w:val="00C27F64"/>
    <w:rsid w:val="00C3113C"/>
    <w:rsid w:val="00C34D41"/>
    <w:rsid w:val="00C34E8B"/>
    <w:rsid w:val="00C35121"/>
    <w:rsid w:val="00C35EB8"/>
    <w:rsid w:val="00C367CA"/>
    <w:rsid w:val="00C370EC"/>
    <w:rsid w:val="00C3753A"/>
    <w:rsid w:val="00C415C4"/>
    <w:rsid w:val="00C44E75"/>
    <w:rsid w:val="00C453E3"/>
    <w:rsid w:val="00C45804"/>
    <w:rsid w:val="00C45B23"/>
    <w:rsid w:val="00C472D8"/>
    <w:rsid w:val="00C476E1"/>
    <w:rsid w:val="00C515D4"/>
    <w:rsid w:val="00C52D43"/>
    <w:rsid w:val="00C53130"/>
    <w:rsid w:val="00C53D9D"/>
    <w:rsid w:val="00C53FBD"/>
    <w:rsid w:val="00C54FEC"/>
    <w:rsid w:val="00C55181"/>
    <w:rsid w:val="00C557C5"/>
    <w:rsid w:val="00C56B6D"/>
    <w:rsid w:val="00C61182"/>
    <w:rsid w:val="00C625EA"/>
    <w:rsid w:val="00C62DC1"/>
    <w:rsid w:val="00C65225"/>
    <w:rsid w:val="00C72EA8"/>
    <w:rsid w:val="00C736B2"/>
    <w:rsid w:val="00C73E8C"/>
    <w:rsid w:val="00C7436B"/>
    <w:rsid w:val="00C74AAF"/>
    <w:rsid w:val="00C75DDA"/>
    <w:rsid w:val="00C76706"/>
    <w:rsid w:val="00C81373"/>
    <w:rsid w:val="00C8596E"/>
    <w:rsid w:val="00C85E0A"/>
    <w:rsid w:val="00C87AB5"/>
    <w:rsid w:val="00C87DAB"/>
    <w:rsid w:val="00C87E33"/>
    <w:rsid w:val="00C92050"/>
    <w:rsid w:val="00C92652"/>
    <w:rsid w:val="00C93274"/>
    <w:rsid w:val="00C93ED6"/>
    <w:rsid w:val="00C940BE"/>
    <w:rsid w:val="00CA0E31"/>
    <w:rsid w:val="00CA1B14"/>
    <w:rsid w:val="00CA6385"/>
    <w:rsid w:val="00CA7DAC"/>
    <w:rsid w:val="00CB0A76"/>
    <w:rsid w:val="00CB0E67"/>
    <w:rsid w:val="00CB1282"/>
    <w:rsid w:val="00CB35D3"/>
    <w:rsid w:val="00CB47F4"/>
    <w:rsid w:val="00CB5D24"/>
    <w:rsid w:val="00CB5E65"/>
    <w:rsid w:val="00CB5F44"/>
    <w:rsid w:val="00CC365B"/>
    <w:rsid w:val="00CC3C32"/>
    <w:rsid w:val="00CC3DA8"/>
    <w:rsid w:val="00CD0BDA"/>
    <w:rsid w:val="00CD12FA"/>
    <w:rsid w:val="00CD1ABB"/>
    <w:rsid w:val="00CD1C41"/>
    <w:rsid w:val="00CD264E"/>
    <w:rsid w:val="00CD2E00"/>
    <w:rsid w:val="00CD3A50"/>
    <w:rsid w:val="00CD67C0"/>
    <w:rsid w:val="00CE13A5"/>
    <w:rsid w:val="00CE248B"/>
    <w:rsid w:val="00CE3262"/>
    <w:rsid w:val="00CE39F0"/>
    <w:rsid w:val="00CE3F82"/>
    <w:rsid w:val="00CE4373"/>
    <w:rsid w:val="00CE45FE"/>
    <w:rsid w:val="00CE6F3D"/>
    <w:rsid w:val="00CE74B1"/>
    <w:rsid w:val="00CF297D"/>
    <w:rsid w:val="00CF34F3"/>
    <w:rsid w:val="00CF38E8"/>
    <w:rsid w:val="00D0035F"/>
    <w:rsid w:val="00D012B5"/>
    <w:rsid w:val="00D022C9"/>
    <w:rsid w:val="00D02883"/>
    <w:rsid w:val="00D046CC"/>
    <w:rsid w:val="00D05EDF"/>
    <w:rsid w:val="00D066DC"/>
    <w:rsid w:val="00D1286C"/>
    <w:rsid w:val="00D12929"/>
    <w:rsid w:val="00D14DD5"/>
    <w:rsid w:val="00D16601"/>
    <w:rsid w:val="00D16E23"/>
    <w:rsid w:val="00D20A21"/>
    <w:rsid w:val="00D20E96"/>
    <w:rsid w:val="00D235C5"/>
    <w:rsid w:val="00D237EB"/>
    <w:rsid w:val="00D23CA7"/>
    <w:rsid w:val="00D24D97"/>
    <w:rsid w:val="00D2768A"/>
    <w:rsid w:val="00D31D7E"/>
    <w:rsid w:val="00D325F5"/>
    <w:rsid w:val="00D329D0"/>
    <w:rsid w:val="00D33B36"/>
    <w:rsid w:val="00D3573C"/>
    <w:rsid w:val="00D376D3"/>
    <w:rsid w:val="00D429C3"/>
    <w:rsid w:val="00D47F4C"/>
    <w:rsid w:val="00D501DC"/>
    <w:rsid w:val="00D52899"/>
    <w:rsid w:val="00D52CFE"/>
    <w:rsid w:val="00D54B72"/>
    <w:rsid w:val="00D54DD5"/>
    <w:rsid w:val="00D54EAB"/>
    <w:rsid w:val="00D556BC"/>
    <w:rsid w:val="00D55CAF"/>
    <w:rsid w:val="00D57E5C"/>
    <w:rsid w:val="00D60F31"/>
    <w:rsid w:val="00D63262"/>
    <w:rsid w:val="00D63CA8"/>
    <w:rsid w:val="00D66F8C"/>
    <w:rsid w:val="00D70797"/>
    <w:rsid w:val="00D70DF0"/>
    <w:rsid w:val="00D72BE9"/>
    <w:rsid w:val="00D73F64"/>
    <w:rsid w:val="00D775E0"/>
    <w:rsid w:val="00D77BF5"/>
    <w:rsid w:val="00D82A81"/>
    <w:rsid w:val="00D875B7"/>
    <w:rsid w:val="00D9084B"/>
    <w:rsid w:val="00D9144F"/>
    <w:rsid w:val="00D9147D"/>
    <w:rsid w:val="00D91637"/>
    <w:rsid w:val="00D939FC"/>
    <w:rsid w:val="00D957AB"/>
    <w:rsid w:val="00D962B3"/>
    <w:rsid w:val="00DA0FC4"/>
    <w:rsid w:val="00DA1094"/>
    <w:rsid w:val="00DA3D09"/>
    <w:rsid w:val="00DA5FAE"/>
    <w:rsid w:val="00DA6668"/>
    <w:rsid w:val="00DA6D0A"/>
    <w:rsid w:val="00DA771E"/>
    <w:rsid w:val="00DA7E4B"/>
    <w:rsid w:val="00DB0791"/>
    <w:rsid w:val="00DB379B"/>
    <w:rsid w:val="00DB38FF"/>
    <w:rsid w:val="00DB67ED"/>
    <w:rsid w:val="00DC00A2"/>
    <w:rsid w:val="00DC034B"/>
    <w:rsid w:val="00DC7390"/>
    <w:rsid w:val="00DC763A"/>
    <w:rsid w:val="00DC7903"/>
    <w:rsid w:val="00DD007D"/>
    <w:rsid w:val="00DD345F"/>
    <w:rsid w:val="00DD4E9D"/>
    <w:rsid w:val="00DD6DA0"/>
    <w:rsid w:val="00DE1F7A"/>
    <w:rsid w:val="00DE2642"/>
    <w:rsid w:val="00DE2DA1"/>
    <w:rsid w:val="00DE42E1"/>
    <w:rsid w:val="00DE4849"/>
    <w:rsid w:val="00DE6647"/>
    <w:rsid w:val="00DF2316"/>
    <w:rsid w:val="00DF30DF"/>
    <w:rsid w:val="00DF50CB"/>
    <w:rsid w:val="00DF5D3C"/>
    <w:rsid w:val="00DF6607"/>
    <w:rsid w:val="00DF6DD4"/>
    <w:rsid w:val="00DF749B"/>
    <w:rsid w:val="00E01563"/>
    <w:rsid w:val="00E031FB"/>
    <w:rsid w:val="00E07AD8"/>
    <w:rsid w:val="00E11EF3"/>
    <w:rsid w:val="00E1305F"/>
    <w:rsid w:val="00E15CBC"/>
    <w:rsid w:val="00E17549"/>
    <w:rsid w:val="00E1778E"/>
    <w:rsid w:val="00E23AEC"/>
    <w:rsid w:val="00E24B29"/>
    <w:rsid w:val="00E252CD"/>
    <w:rsid w:val="00E27E3F"/>
    <w:rsid w:val="00E31264"/>
    <w:rsid w:val="00E3299D"/>
    <w:rsid w:val="00E32C61"/>
    <w:rsid w:val="00E3483D"/>
    <w:rsid w:val="00E34F6D"/>
    <w:rsid w:val="00E3576C"/>
    <w:rsid w:val="00E360C5"/>
    <w:rsid w:val="00E36535"/>
    <w:rsid w:val="00E36573"/>
    <w:rsid w:val="00E37575"/>
    <w:rsid w:val="00E40BBC"/>
    <w:rsid w:val="00E415CF"/>
    <w:rsid w:val="00E4256A"/>
    <w:rsid w:val="00E4285D"/>
    <w:rsid w:val="00E440AB"/>
    <w:rsid w:val="00E45FD8"/>
    <w:rsid w:val="00E501DC"/>
    <w:rsid w:val="00E52628"/>
    <w:rsid w:val="00E52BF5"/>
    <w:rsid w:val="00E52D4B"/>
    <w:rsid w:val="00E537AD"/>
    <w:rsid w:val="00E543D7"/>
    <w:rsid w:val="00E56F93"/>
    <w:rsid w:val="00E57E7F"/>
    <w:rsid w:val="00E61B1E"/>
    <w:rsid w:val="00E624E0"/>
    <w:rsid w:val="00E638A6"/>
    <w:rsid w:val="00E667FB"/>
    <w:rsid w:val="00E70A28"/>
    <w:rsid w:val="00E70E4C"/>
    <w:rsid w:val="00E719BA"/>
    <w:rsid w:val="00E71A42"/>
    <w:rsid w:val="00E72678"/>
    <w:rsid w:val="00E73A9D"/>
    <w:rsid w:val="00E751D1"/>
    <w:rsid w:val="00E76DA2"/>
    <w:rsid w:val="00E83A67"/>
    <w:rsid w:val="00E84568"/>
    <w:rsid w:val="00E87873"/>
    <w:rsid w:val="00E878E2"/>
    <w:rsid w:val="00E90784"/>
    <w:rsid w:val="00E91C05"/>
    <w:rsid w:val="00E94C2E"/>
    <w:rsid w:val="00E94DD2"/>
    <w:rsid w:val="00EA0044"/>
    <w:rsid w:val="00EA0129"/>
    <w:rsid w:val="00EA1243"/>
    <w:rsid w:val="00EA171F"/>
    <w:rsid w:val="00EA1FB9"/>
    <w:rsid w:val="00EA2C08"/>
    <w:rsid w:val="00EA2EBA"/>
    <w:rsid w:val="00EA3C4E"/>
    <w:rsid w:val="00EA597B"/>
    <w:rsid w:val="00EA69AC"/>
    <w:rsid w:val="00EA76A6"/>
    <w:rsid w:val="00EA7B5A"/>
    <w:rsid w:val="00EB35A5"/>
    <w:rsid w:val="00EB4835"/>
    <w:rsid w:val="00EB4C9D"/>
    <w:rsid w:val="00EB6304"/>
    <w:rsid w:val="00EB684E"/>
    <w:rsid w:val="00EC0173"/>
    <w:rsid w:val="00EC25CF"/>
    <w:rsid w:val="00EC4694"/>
    <w:rsid w:val="00EC4746"/>
    <w:rsid w:val="00EC4E74"/>
    <w:rsid w:val="00EC5360"/>
    <w:rsid w:val="00EC7D68"/>
    <w:rsid w:val="00ED0AEC"/>
    <w:rsid w:val="00ED2B9C"/>
    <w:rsid w:val="00ED5BCD"/>
    <w:rsid w:val="00ED6763"/>
    <w:rsid w:val="00EE1321"/>
    <w:rsid w:val="00EE32C9"/>
    <w:rsid w:val="00EE3586"/>
    <w:rsid w:val="00EE4069"/>
    <w:rsid w:val="00EE4264"/>
    <w:rsid w:val="00EE699E"/>
    <w:rsid w:val="00EE7D55"/>
    <w:rsid w:val="00EF040F"/>
    <w:rsid w:val="00EF0994"/>
    <w:rsid w:val="00EF1678"/>
    <w:rsid w:val="00EF6C40"/>
    <w:rsid w:val="00EF6D82"/>
    <w:rsid w:val="00EF6E46"/>
    <w:rsid w:val="00F031BC"/>
    <w:rsid w:val="00F05002"/>
    <w:rsid w:val="00F066E2"/>
    <w:rsid w:val="00F06D80"/>
    <w:rsid w:val="00F078E1"/>
    <w:rsid w:val="00F13471"/>
    <w:rsid w:val="00F14FF9"/>
    <w:rsid w:val="00F1554E"/>
    <w:rsid w:val="00F17A30"/>
    <w:rsid w:val="00F20D35"/>
    <w:rsid w:val="00F23554"/>
    <w:rsid w:val="00F26571"/>
    <w:rsid w:val="00F2665B"/>
    <w:rsid w:val="00F30309"/>
    <w:rsid w:val="00F30838"/>
    <w:rsid w:val="00F43BA7"/>
    <w:rsid w:val="00F4536C"/>
    <w:rsid w:val="00F47759"/>
    <w:rsid w:val="00F502E9"/>
    <w:rsid w:val="00F50AE6"/>
    <w:rsid w:val="00F518B1"/>
    <w:rsid w:val="00F51AF9"/>
    <w:rsid w:val="00F5271B"/>
    <w:rsid w:val="00F535F9"/>
    <w:rsid w:val="00F53C98"/>
    <w:rsid w:val="00F55531"/>
    <w:rsid w:val="00F5570C"/>
    <w:rsid w:val="00F5669C"/>
    <w:rsid w:val="00F567E0"/>
    <w:rsid w:val="00F5781A"/>
    <w:rsid w:val="00F57CE1"/>
    <w:rsid w:val="00F611A4"/>
    <w:rsid w:val="00F628F0"/>
    <w:rsid w:val="00F62DEC"/>
    <w:rsid w:val="00F70E96"/>
    <w:rsid w:val="00F71C4B"/>
    <w:rsid w:val="00F72A5E"/>
    <w:rsid w:val="00F73EE4"/>
    <w:rsid w:val="00F74068"/>
    <w:rsid w:val="00F74633"/>
    <w:rsid w:val="00F747CA"/>
    <w:rsid w:val="00F74889"/>
    <w:rsid w:val="00F770F8"/>
    <w:rsid w:val="00F7791D"/>
    <w:rsid w:val="00F77CC4"/>
    <w:rsid w:val="00F77E43"/>
    <w:rsid w:val="00F811EB"/>
    <w:rsid w:val="00F84164"/>
    <w:rsid w:val="00F903E8"/>
    <w:rsid w:val="00F909EF"/>
    <w:rsid w:val="00F92126"/>
    <w:rsid w:val="00F92EA4"/>
    <w:rsid w:val="00F93203"/>
    <w:rsid w:val="00F93590"/>
    <w:rsid w:val="00F942D4"/>
    <w:rsid w:val="00F962F4"/>
    <w:rsid w:val="00F96A83"/>
    <w:rsid w:val="00F97CE6"/>
    <w:rsid w:val="00FA1B1E"/>
    <w:rsid w:val="00FA28F4"/>
    <w:rsid w:val="00FA4160"/>
    <w:rsid w:val="00FA4E00"/>
    <w:rsid w:val="00FA5E1A"/>
    <w:rsid w:val="00FB40CE"/>
    <w:rsid w:val="00FB4EC1"/>
    <w:rsid w:val="00FB5943"/>
    <w:rsid w:val="00FB599B"/>
    <w:rsid w:val="00FB67F2"/>
    <w:rsid w:val="00FB7B59"/>
    <w:rsid w:val="00FB7CB2"/>
    <w:rsid w:val="00FC2FBC"/>
    <w:rsid w:val="00FC3BCE"/>
    <w:rsid w:val="00FC4679"/>
    <w:rsid w:val="00FC55C5"/>
    <w:rsid w:val="00FC62C6"/>
    <w:rsid w:val="00FC6E50"/>
    <w:rsid w:val="00FD0608"/>
    <w:rsid w:val="00FD07C1"/>
    <w:rsid w:val="00FD131E"/>
    <w:rsid w:val="00FD4D08"/>
    <w:rsid w:val="00FD65D4"/>
    <w:rsid w:val="00FD66AC"/>
    <w:rsid w:val="00FE5FA8"/>
    <w:rsid w:val="00FE6577"/>
    <w:rsid w:val="00FE7308"/>
    <w:rsid w:val="00FF2D1F"/>
    <w:rsid w:val="00FF40E9"/>
    <w:rsid w:val="00FF4E25"/>
    <w:rsid w:val="00FF611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C19573"/>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14D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1523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90B53"/>
    <w:pPr>
      <w:keepNext/>
      <w:keepLines/>
      <w:bidi/>
      <w:spacing w:before="80" w:after="40" w:line="240" w:lineRule="atLeast"/>
      <w:outlineLvl w:val="4"/>
    </w:pPr>
    <w:rPr>
      <w:rFonts w:ascii="Georgia" w:eastAsiaTheme="majorEastAsia" w:cstheme="majorBidi"/>
      <w:color w:val="365F91" w:themeColor="accent1" w:themeShade="BF"/>
      <w:sz w:val="21"/>
      <w:lang w:val="ar-SA"/>
    </w:rPr>
  </w:style>
  <w:style w:type="paragraph" w:styleId="6">
    <w:name w:val="heading 6"/>
    <w:basedOn w:val="a"/>
    <w:next w:val="a"/>
    <w:link w:val="6Char"/>
    <w:uiPriority w:val="9"/>
    <w:semiHidden/>
    <w:unhideWhenUsed/>
    <w:qFormat/>
    <w:rsid w:val="00390B53"/>
    <w:pPr>
      <w:keepNext/>
      <w:keepLines/>
      <w:bidi/>
      <w:spacing w:before="40" w:after="0" w:line="240" w:lineRule="atLeast"/>
      <w:outlineLvl w:val="5"/>
    </w:pPr>
    <w:rPr>
      <w:rFonts w:ascii="Georgia" w:eastAsiaTheme="majorEastAsia" w:cstheme="majorBidi"/>
      <w:i/>
      <w:iCs/>
      <w:color w:val="595959" w:themeColor="text1" w:themeTint="A6"/>
      <w:sz w:val="21"/>
      <w:lang w:val="ar-SA"/>
    </w:rPr>
  </w:style>
  <w:style w:type="paragraph" w:styleId="7">
    <w:name w:val="heading 7"/>
    <w:basedOn w:val="a"/>
    <w:next w:val="a"/>
    <w:link w:val="7Char"/>
    <w:uiPriority w:val="9"/>
    <w:semiHidden/>
    <w:unhideWhenUsed/>
    <w:qFormat/>
    <w:rsid w:val="00390B53"/>
    <w:pPr>
      <w:keepNext/>
      <w:keepLines/>
      <w:bidi/>
      <w:spacing w:before="40" w:after="0" w:line="240" w:lineRule="atLeast"/>
      <w:outlineLvl w:val="6"/>
    </w:pPr>
    <w:rPr>
      <w:rFonts w:ascii="Georgia" w:eastAsiaTheme="majorEastAsia" w:cstheme="majorBidi"/>
      <w:color w:val="595959" w:themeColor="text1" w:themeTint="A6"/>
      <w:sz w:val="21"/>
      <w:lang w:val="ar-SA"/>
    </w:rPr>
  </w:style>
  <w:style w:type="paragraph" w:styleId="8">
    <w:name w:val="heading 8"/>
    <w:basedOn w:val="a"/>
    <w:next w:val="a"/>
    <w:link w:val="8Char"/>
    <w:uiPriority w:val="9"/>
    <w:semiHidden/>
    <w:unhideWhenUsed/>
    <w:qFormat/>
    <w:rsid w:val="00390B53"/>
    <w:pPr>
      <w:keepNext/>
      <w:keepLines/>
      <w:bidi/>
      <w:spacing w:after="0" w:line="240" w:lineRule="atLeast"/>
      <w:outlineLvl w:val="7"/>
    </w:pPr>
    <w:rPr>
      <w:rFonts w:ascii="Georgia" w:eastAsiaTheme="majorEastAsia" w:cstheme="majorBidi"/>
      <w:i/>
      <w:iCs/>
      <w:color w:val="272727" w:themeColor="text1" w:themeTint="D8"/>
      <w:sz w:val="21"/>
      <w:lang w:val="ar-SA"/>
    </w:rPr>
  </w:style>
  <w:style w:type="paragraph" w:styleId="9">
    <w:name w:val="heading 9"/>
    <w:basedOn w:val="a"/>
    <w:next w:val="a"/>
    <w:link w:val="9Char"/>
    <w:uiPriority w:val="9"/>
    <w:semiHidden/>
    <w:unhideWhenUsed/>
    <w:qFormat/>
    <w:rsid w:val="00390B53"/>
    <w:pPr>
      <w:keepNext/>
      <w:keepLines/>
      <w:bidi/>
      <w:spacing w:after="0" w:line="240" w:lineRule="atLeast"/>
      <w:outlineLvl w:val="8"/>
    </w:pPr>
    <w:rPr>
      <w:rFonts w:ascii="Georgia" w:eastAsiaTheme="majorEastAsia" w:cstheme="majorBidi"/>
      <w:color w:val="272727" w:themeColor="text1" w:themeTint="D8"/>
      <w:sz w:val="21"/>
      <w:lang w:val="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paragraph" w:customStyle="1" w:styleId="EndNoteBibliographyTitle">
    <w:name w:val="EndNote Bibliography Title"/>
    <w:basedOn w:val="a"/>
    <w:link w:val="EndNoteBibliographyTitleChar"/>
    <w:rsid w:val="009F1791"/>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9F1791"/>
    <w:rPr>
      <w:rFonts w:ascii="Calibri" w:hAnsi="Calibri" w:cs="Calibri"/>
      <w:noProof/>
    </w:rPr>
  </w:style>
  <w:style w:type="paragraph" w:customStyle="1" w:styleId="EndNoteBibliography">
    <w:name w:val="EndNote Bibliography"/>
    <w:basedOn w:val="a"/>
    <w:link w:val="EndNoteBibliographyChar"/>
    <w:rsid w:val="009F1791"/>
    <w:pPr>
      <w:spacing w:line="240" w:lineRule="auto"/>
      <w:jc w:val="right"/>
    </w:pPr>
    <w:rPr>
      <w:rFonts w:ascii="Calibri" w:hAnsi="Calibri" w:cs="Calibri"/>
      <w:noProof/>
    </w:rPr>
  </w:style>
  <w:style w:type="character" w:customStyle="1" w:styleId="EndNoteBibliographyChar">
    <w:name w:val="EndNote Bibliography Char"/>
    <w:basedOn w:val="a0"/>
    <w:link w:val="EndNoteBibliography"/>
    <w:rsid w:val="009F1791"/>
    <w:rPr>
      <w:rFonts w:ascii="Calibri" w:hAnsi="Calibri" w:cs="Calibri"/>
      <w:noProof/>
    </w:rPr>
  </w:style>
  <w:style w:type="character" w:styleId="Hyperlink">
    <w:name w:val="Hyperlink"/>
    <w:basedOn w:val="a0"/>
    <w:uiPriority w:val="99"/>
    <w:unhideWhenUsed/>
    <w:rsid w:val="009F1791"/>
    <w:rPr>
      <w:color w:val="0000FF" w:themeColor="hyperlink"/>
      <w:u w:val="single"/>
    </w:rPr>
  </w:style>
  <w:style w:type="character" w:styleId="ab">
    <w:name w:val="Unresolved Mention"/>
    <w:basedOn w:val="a0"/>
    <w:uiPriority w:val="99"/>
    <w:semiHidden/>
    <w:unhideWhenUsed/>
    <w:rsid w:val="009F1791"/>
    <w:rPr>
      <w:color w:val="605E5C"/>
      <w:shd w:val="clear" w:color="auto" w:fill="E1DFDD"/>
    </w:rPr>
  </w:style>
  <w:style w:type="character" w:customStyle="1" w:styleId="3Char">
    <w:name w:val="عنوان 3 Char"/>
    <w:basedOn w:val="a0"/>
    <w:link w:val="3"/>
    <w:uiPriority w:val="9"/>
    <w:semiHidden/>
    <w:rsid w:val="00D14DD5"/>
    <w:rPr>
      <w:rFonts w:asciiTheme="majorHAnsi" w:eastAsiaTheme="majorEastAsia" w:hAnsiTheme="majorHAnsi" w:cstheme="majorBidi"/>
      <w:color w:val="243F60" w:themeColor="accent1" w:themeShade="7F"/>
      <w:sz w:val="24"/>
      <w:szCs w:val="24"/>
    </w:rPr>
  </w:style>
  <w:style w:type="character" w:styleId="ac">
    <w:name w:val="FollowedHyperlink"/>
    <w:basedOn w:val="a0"/>
    <w:uiPriority w:val="99"/>
    <w:semiHidden/>
    <w:unhideWhenUsed/>
    <w:rsid w:val="00990418"/>
    <w:rPr>
      <w:color w:val="800080" w:themeColor="followedHyperlink"/>
      <w:u w:val="single"/>
    </w:rPr>
  </w:style>
  <w:style w:type="paragraph" w:styleId="ad">
    <w:name w:val="Title"/>
    <w:basedOn w:val="a"/>
    <w:next w:val="a"/>
    <w:link w:val="Char3"/>
    <w:uiPriority w:val="10"/>
    <w:qFormat/>
    <w:rsid w:val="002132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2132B5"/>
    <w:rPr>
      <w:rFonts w:asciiTheme="majorHAnsi" w:eastAsiaTheme="majorEastAsia" w:hAnsiTheme="majorHAnsi" w:cstheme="majorBidi"/>
      <w:spacing w:val="-10"/>
      <w:kern w:val="28"/>
      <w:sz w:val="56"/>
      <w:szCs w:val="56"/>
    </w:rPr>
  </w:style>
  <w:style w:type="paragraph" w:styleId="ae">
    <w:name w:val="No Spacing"/>
    <w:uiPriority w:val="1"/>
    <w:qFormat/>
    <w:rsid w:val="000500A5"/>
    <w:pPr>
      <w:spacing w:after="0" w:line="240" w:lineRule="auto"/>
    </w:pPr>
  </w:style>
  <w:style w:type="character" w:customStyle="1" w:styleId="4Char">
    <w:name w:val="عنوان 4 Char"/>
    <w:basedOn w:val="a0"/>
    <w:link w:val="4"/>
    <w:uiPriority w:val="9"/>
    <w:semiHidden/>
    <w:rsid w:val="00615235"/>
    <w:rPr>
      <w:rFonts w:asciiTheme="majorHAnsi" w:eastAsiaTheme="majorEastAsia" w:hAnsiTheme="majorHAnsi" w:cstheme="majorBidi"/>
      <w:i/>
      <w:iCs/>
      <w:color w:val="365F91" w:themeColor="accent1" w:themeShade="BF"/>
    </w:rPr>
  </w:style>
  <w:style w:type="paragraph" w:customStyle="1" w:styleId="EndNoteCategoryHeading">
    <w:name w:val="EndNote Category Heading"/>
    <w:basedOn w:val="a"/>
    <w:link w:val="EndNoteCategoryHeadingChar"/>
    <w:rsid w:val="00807A51"/>
    <w:pPr>
      <w:spacing w:before="120" w:after="120"/>
    </w:pPr>
    <w:rPr>
      <w:b/>
      <w:noProof/>
    </w:rPr>
  </w:style>
  <w:style w:type="character" w:customStyle="1" w:styleId="EndNoteCategoryHeadingChar">
    <w:name w:val="EndNote Category Heading Char"/>
    <w:basedOn w:val="a0"/>
    <w:link w:val="EndNoteCategoryHeading"/>
    <w:rsid w:val="00807A51"/>
    <w:rPr>
      <w:b/>
      <w:noProof/>
    </w:rPr>
  </w:style>
  <w:style w:type="character" w:customStyle="1" w:styleId="5Char">
    <w:name w:val="عنوان 5 Char"/>
    <w:basedOn w:val="a0"/>
    <w:link w:val="5"/>
    <w:uiPriority w:val="9"/>
    <w:semiHidden/>
    <w:rsid w:val="00390B53"/>
    <w:rPr>
      <w:rFonts w:ascii="Georgia" w:eastAsiaTheme="majorEastAsia" w:cstheme="majorBidi"/>
      <w:color w:val="365F91" w:themeColor="accent1" w:themeShade="BF"/>
      <w:sz w:val="21"/>
      <w:lang w:val="ar-SA"/>
    </w:rPr>
  </w:style>
  <w:style w:type="character" w:customStyle="1" w:styleId="6Char">
    <w:name w:val="عنوان 6 Char"/>
    <w:basedOn w:val="a0"/>
    <w:link w:val="6"/>
    <w:uiPriority w:val="9"/>
    <w:semiHidden/>
    <w:rsid w:val="00390B53"/>
    <w:rPr>
      <w:rFonts w:ascii="Georgia" w:eastAsiaTheme="majorEastAsia" w:cstheme="majorBidi"/>
      <w:i/>
      <w:iCs/>
      <w:color w:val="595959" w:themeColor="text1" w:themeTint="A6"/>
      <w:sz w:val="21"/>
      <w:lang w:val="ar-SA"/>
    </w:rPr>
  </w:style>
  <w:style w:type="character" w:customStyle="1" w:styleId="7Char">
    <w:name w:val="عنوان 7 Char"/>
    <w:basedOn w:val="a0"/>
    <w:link w:val="7"/>
    <w:uiPriority w:val="9"/>
    <w:semiHidden/>
    <w:rsid w:val="00390B53"/>
    <w:rPr>
      <w:rFonts w:ascii="Georgia" w:eastAsiaTheme="majorEastAsia" w:cstheme="majorBidi"/>
      <w:color w:val="595959" w:themeColor="text1" w:themeTint="A6"/>
      <w:sz w:val="21"/>
      <w:lang w:val="ar-SA"/>
    </w:rPr>
  </w:style>
  <w:style w:type="character" w:customStyle="1" w:styleId="8Char">
    <w:name w:val="عنوان 8 Char"/>
    <w:basedOn w:val="a0"/>
    <w:link w:val="8"/>
    <w:uiPriority w:val="9"/>
    <w:semiHidden/>
    <w:rsid w:val="00390B53"/>
    <w:rPr>
      <w:rFonts w:ascii="Georgia" w:eastAsiaTheme="majorEastAsia" w:cstheme="majorBidi"/>
      <w:i/>
      <w:iCs/>
      <w:color w:val="272727" w:themeColor="text1" w:themeTint="D8"/>
      <w:sz w:val="21"/>
      <w:lang w:val="ar-SA"/>
    </w:rPr>
  </w:style>
  <w:style w:type="character" w:customStyle="1" w:styleId="9Char">
    <w:name w:val="عنوان 9 Char"/>
    <w:basedOn w:val="a0"/>
    <w:link w:val="9"/>
    <w:uiPriority w:val="9"/>
    <w:semiHidden/>
    <w:rsid w:val="00390B53"/>
    <w:rPr>
      <w:rFonts w:ascii="Georgia" w:eastAsiaTheme="majorEastAsia" w:cstheme="majorBidi"/>
      <w:color w:val="272727" w:themeColor="text1" w:themeTint="D8"/>
      <w:sz w:val="21"/>
      <w:lang w:val="ar-SA"/>
    </w:rPr>
  </w:style>
  <w:style w:type="paragraph" w:styleId="af">
    <w:name w:val="Quote"/>
    <w:basedOn w:val="a"/>
    <w:next w:val="a"/>
    <w:link w:val="Char4"/>
    <w:uiPriority w:val="29"/>
    <w:qFormat/>
    <w:rsid w:val="00390B53"/>
    <w:pPr>
      <w:bidi/>
      <w:spacing w:before="160" w:after="120" w:line="240" w:lineRule="atLeast"/>
      <w:jc w:val="center"/>
    </w:pPr>
    <w:rPr>
      <w:rFonts w:ascii="Georgia"/>
      <w:i/>
      <w:iCs/>
      <w:color w:val="404040" w:themeColor="text1" w:themeTint="BF"/>
      <w:sz w:val="21"/>
      <w:lang w:val="ar-SA"/>
    </w:rPr>
  </w:style>
  <w:style w:type="character" w:customStyle="1" w:styleId="Char4">
    <w:name w:val="اقتباس Char"/>
    <w:basedOn w:val="a0"/>
    <w:link w:val="af"/>
    <w:uiPriority w:val="29"/>
    <w:rsid w:val="00390B53"/>
    <w:rPr>
      <w:rFonts w:ascii="Georgia"/>
      <w:i/>
      <w:iCs/>
      <w:color w:val="404040" w:themeColor="text1" w:themeTint="BF"/>
      <w:sz w:val="21"/>
      <w:lang w:val="ar-SA"/>
    </w:rPr>
  </w:style>
  <w:style w:type="character" w:styleId="af0">
    <w:name w:val="Intense Emphasis"/>
    <w:basedOn w:val="a0"/>
    <w:uiPriority w:val="21"/>
    <w:qFormat/>
    <w:rsid w:val="00390B53"/>
    <w:rPr>
      <w:i/>
      <w:iCs/>
      <w:color w:val="365F91" w:themeColor="accent1" w:themeShade="BF"/>
    </w:rPr>
  </w:style>
  <w:style w:type="paragraph" w:styleId="af1">
    <w:name w:val="Intense Quote"/>
    <w:basedOn w:val="a"/>
    <w:next w:val="a"/>
    <w:link w:val="Char5"/>
    <w:uiPriority w:val="30"/>
    <w:qFormat/>
    <w:rsid w:val="00390B53"/>
    <w:pPr>
      <w:pBdr>
        <w:top w:val="single" w:sz="4" w:space="10" w:color="365F91" w:themeColor="accent1" w:themeShade="BF"/>
        <w:bottom w:val="single" w:sz="4" w:space="10" w:color="365F91" w:themeColor="accent1" w:themeShade="BF"/>
      </w:pBdr>
      <w:bidi/>
      <w:spacing w:before="360" w:after="360" w:line="240" w:lineRule="atLeast"/>
      <w:ind w:left="864" w:right="864"/>
      <w:jc w:val="center"/>
    </w:pPr>
    <w:rPr>
      <w:rFonts w:ascii="Georgia"/>
      <w:i/>
      <w:iCs/>
      <w:color w:val="365F91" w:themeColor="accent1" w:themeShade="BF"/>
      <w:sz w:val="21"/>
      <w:lang w:val="ar-SA"/>
    </w:rPr>
  </w:style>
  <w:style w:type="character" w:customStyle="1" w:styleId="Char5">
    <w:name w:val="اقتباس مكثف Char"/>
    <w:basedOn w:val="a0"/>
    <w:link w:val="af1"/>
    <w:uiPriority w:val="30"/>
    <w:rsid w:val="00390B53"/>
    <w:rPr>
      <w:rFonts w:ascii="Georgia"/>
      <w:i/>
      <w:iCs/>
      <w:color w:val="365F91" w:themeColor="accent1" w:themeShade="BF"/>
      <w:sz w:val="21"/>
      <w:lang w:val="ar-SA"/>
    </w:rPr>
  </w:style>
  <w:style w:type="character" w:styleId="af2">
    <w:name w:val="Intense Reference"/>
    <w:basedOn w:val="a0"/>
    <w:uiPriority w:val="32"/>
    <w:qFormat/>
    <w:rsid w:val="00390B53"/>
    <w:rPr>
      <w:b/>
      <w:bCs/>
      <w:smallCaps/>
      <w:color w:val="365F91" w:themeColor="accent1" w:themeShade="BF"/>
      <w:spacing w:val="5"/>
    </w:rPr>
  </w:style>
  <w:style w:type="table" w:styleId="10">
    <w:name w:val="Plain Table 1"/>
    <w:basedOn w:val="a1"/>
    <w:uiPriority w:val="41"/>
    <w:rsid w:val="00E07A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3">
    <w:name w:val="Grid Table Light"/>
    <w:basedOn w:val="a1"/>
    <w:uiPriority w:val="40"/>
    <w:rsid w:val="001D44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106">
      <w:bodyDiv w:val="1"/>
      <w:marLeft w:val="0"/>
      <w:marRight w:val="0"/>
      <w:marTop w:val="0"/>
      <w:marBottom w:val="0"/>
      <w:divBdr>
        <w:top w:val="none" w:sz="0" w:space="0" w:color="auto"/>
        <w:left w:val="none" w:sz="0" w:space="0" w:color="auto"/>
        <w:bottom w:val="none" w:sz="0" w:space="0" w:color="auto"/>
        <w:right w:val="none" w:sz="0" w:space="0" w:color="auto"/>
      </w:divBdr>
    </w:div>
    <w:div w:id="206720914">
      <w:bodyDiv w:val="1"/>
      <w:marLeft w:val="0"/>
      <w:marRight w:val="0"/>
      <w:marTop w:val="0"/>
      <w:marBottom w:val="0"/>
      <w:divBdr>
        <w:top w:val="none" w:sz="0" w:space="0" w:color="auto"/>
        <w:left w:val="none" w:sz="0" w:space="0" w:color="auto"/>
        <w:bottom w:val="none" w:sz="0" w:space="0" w:color="auto"/>
        <w:right w:val="none" w:sz="0" w:space="0" w:color="auto"/>
      </w:divBdr>
    </w:div>
    <w:div w:id="240453859">
      <w:bodyDiv w:val="1"/>
      <w:marLeft w:val="0"/>
      <w:marRight w:val="0"/>
      <w:marTop w:val="0"/>
      <w:marBottom w:val="0"/>
      <w:divBdr>
        <w:top w:val="none" w:sz="0" w:space="0" w:color="auto"/>
        <w:left w:val="none" w:sz="0" w:space="0" w:color="auto"/>
        <w:bottom w:val="none" w:sz="0" w:space="0" w:color="auto"/>
        <w:right w:val="none" w:sz="0" w:space="0" w:color="auto"/>
      </w:divBdr>
    </w:div>
    <w:div w:id="268700424">
      <w:bodyDiv w:val="1"/>
      <w:marLeft w:val="0"/>
      <w:marRight w:val="0"/>
      <w:marTop w:val="0"/>
      <w:marBottom w:val="0"/>
      <w:divBdr>
        <w:top w:val="none" w:sz="0" w:space="0" w:color="auto"/>
        <w:left w:val="none" w:sz="0" w:space="0" w:color="auto"/>
        <w:bottom w:val="none" w:sz="0" w:space="0" w:color="auto"/>
        <w:right w:val="none" w:sz="0" w:space="0" w:color="auto"/>
      </w:divBdr>
    </w:div>
    <w:div w:id="493296880">
      <w:bodyDiv w:val="1"/>
      <w:marLeft w:val="0"/>
      <w:marRight w:val="0"/>
      <w:marTop w:val="0"/>
      <w:marBottom w:val="0"/>
      <w:divBdr>
        <w:top w:val="none" w:sz="0" w:space="0" w:color="auto"/>
        <w:left w:val="none" w:sz="0" w:space="0" w:color="auto"/>
        <w:bottom w:val="none" w:sz="0" w:space="0" w:color="auto"/>
        <w:right w:val="none" w:sz="0" w:space="0" w:color="auto"/>
      </w:divBdr>
    </w:div>
    <w:div w:id="74858095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882352">
      <w:bodyDiv w:val="1"/>
      <w:marLeft w:val="0"/>
      <w:marRight w:val="0"/>
      <w:marTop w:val="0"/>
      <w:marBottom w:val="0"/>
      <w:divBdr>
        <w:top w:val="none" w:sz="0" w:space="0" w:color="auto"/>
        <w:left w:val="none" w:sz="0" w:space="0" w:color="auto"/>
        <w:bottom w:val="none" w:sz="0" w:space="0" w:color="auto"/>
        <w:right w:val="none" w:sz="0" w:space="0" w:color="auto"/>
      </w:divBdr>
    </w:div>
    <w:div w:id="1003243901">
      <w:bodyDiv w:val="1"/>
      <w:marLeft w:val="0"/>
      <w:marRight w:val="0"/>
      <w:marTop w:val="0"/>
      <w:marBottom w:val="0"/>
      <w:divBdr>
        <w:top w:val="none" w:sz="0" w:space="0" w:color="auto"/>
        <w:left w:val="none" w:sz="0" w:space="0" w:color="auto"/>
        <w:bottom w:val="none" w:sz="0" w:space="0" w:color="auto"/>
        <w:right w:val="none" w:sz="0" w:space="0" w:color="auto"/>
      </w:divBdr>
    </w:div>
    <w:div w:id="1208302082">
      <w:bodyDiv w:val="1"/>
      <w:marLeft w:val="0"/>
      <w:marRight w:val="0"/>
      <w:marTop w:val="0"/>
      <w:marBottom w:val="0"/>
      <w:divBdr>
        <w:top w:val="none" w:sz="0" w:space="0" w:color="auto"/>
        <w:left w:val="none" w:sz="0" w:space="0" w:color="auto"/>
        <w:bottom w:val="none" w:sz="0" w:space="0" w:color="auto"/>
        <w:right w:val="none" w:sz="0" w:space="0" w:color="auto"/>
      </w:divBdr>
    </w:div>
    <w:div w:id="1543663526">
      <w:bodyDiv w:val="1"/>
      <w:marLeft w:val="0"/>
      <w:marRight w:val="0"/>
      <w:marTop w:val="0"/>
      <w:marBottom w:val="0"/>
      <w:divBdr>
        <w:top w:val="none" w:sz="0" w:space="0" w:color="auto"/>
        <w:left w:val="none" w:sz="0" w:space="0" w:color="auto"/>
        <w:bottom w:val="none" w:sz="0" w:space="0" w:color="auto"/>
        <w:right w:val="none" w:sz="0" w:space="0" w:color="auto"/>
      </w:divBdr>
    </w:div>
    <w:div w:id="1704666692">
      <w:bodyDiv w:val="1"/>
      <w:marLeft w:val="0"/>
      <w:marRight w:val="0"/>
      <w:marTop w:val="0"/>
      <w:marBottom w:val="0"/>
      <w:divBdr>
        <w:top w:val="none" w:sz="0" w:space="0" w:color="auto"/>
        <w:left w:val="none" w:sz="0" w:space="0" w:color="auto"/>
        <w:bottom w:val="none" w:sz="0" w:space="0" w:color="auto"/>
        <w:right w:val="none" w:sz="0" w:space="0" w:color="auto"/>
      </w:divBdr>
    </w:div>
    <w:div w:id="1834295493">
      <w:bodyDiv w:val="1"/>
      <w:marLeft w:val="0"/>
      <w:marRight w:val="0"/>
      <w:marTop w:val="0"/>
      <w:marBottom w:val="0"/>
      <w:divBdr>
        <w:top w:val="none" w:sz="0" w:space="0" w:color="auto"/>
        <w:left w:val="none" w:sz="0" w:space="0" w:color="auto"/>
        <w:bottom w:val="none" w:sz="0" w:space="0" w:color="auto"/>
        <w:right w:val="none" w:sz="0" w:space="0" w:color="auto"/>
      </w:divBdr>
    </w:div>
    <w:div w:id="20258657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2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55</Pages>
  <Words>19647</Words>
  <Characters>111990</Characters>
  <Application>Microsoft Office Word</Application>
  <DocSecurity>0</DocSecurity>
  <Lines>933</Lines>
  <Paragraphs>262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Tarq HP</cp:lastModifiedBy>
  <cp:revision>211</cp:revision>
  <cp:lastPrinted>2025-08-21T18:43:00Z</cp:lastPrinted>
  <dcterms:created xsi:type="dcterms:W3CDTF">2026-06-18T19:49:00Z</dcterms:created>
  <dcterms:modified xsi:type="dcterms:W3CDTF">2026-08-09T10:25:00Z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6349a0fb-0cd3-470b-84f4-a2a81957df55</vt:lpwstr>
  </property>
</Properties>
</file>