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6704" behindDoc="0" locked="0" layoutInCell="1" allowOverlap="1" wp14:anchorId="20E6F61A" wp14:editId="6C3EE606">
            <wp:simplePos x="0" y="0"/>
            <wp:positionH relativeFrom="margin">
              <wp:posOffset>-470535</wp:posOffset>
            </wp:positionH>
            <wp:positionV relativeFrom="margin">
              <wp:posOffset>-904875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E8A730A" w14:textId="77777777" w:rsidR="007E6130" w:rsidRPr="00095960" w:rsidRDefault="007E6130" w:rsidP="00095960">
      <w:pPr>
        <w:bidi/>
        <w:rPr>
          <w:rFonts w:ascii="Sakkal Majalla" w:hAnsi="Sakkal Majalla" w:cs="Sakkal Majalla"/>
          <w:b/>
          <w:bCs/>
          <w:color w:val="548DD4" w:themeColor="text2" w:themeTint="99"/>
          <w:sz w:val="44"/>
          <w:szCs w:val="44"/>
          <w:rtl/>
        </w:rPr>
      </w:pPr>
    </w:p>
    <w:p w14:paraId="761253CF" w14:textId="263C1410" w:rsidR="00BE609B" w:rsidRDefault="00355566" w:rsidP="00334B70">
      <w:pPr>
        <w:pStyle w:val="NormalWeb"/>
        <w:bidi/>
        <w:spacing w:before="0" w:beforeAutospacing="0" w:after="0" w:afterAutospacing="0"/>
        <w:ind w:right="-270"/>
        <w:rPr>
          <w:rFonts w:ascii="Arial" w:hAnsi="Arial" w:cs="Arial"/>
          <w:b/>
          <w:bCs/>
          <w:color w:val="548DD4" w:themeColor="text2" w:themeTint="99"/>
          <w:szCs w:val="28"/>
          <w:rtl/>
        </w:rPr>
      </w:pPr>
      <w:r w:rsidRPr="00095960">
        <w:rPr>
          <w:rFonts w:ascii="Sakkal Majalla" w:hAnsi="Sakkal Majalla" w:cs="Sakkal Majalla"/>
          <w:b/>
          <w:bCs/>
          <w:color w:val="548DD4" w:themeColor="text2" w:themeTint="99"/>
          <w:szCs w:val="28"/>
          <w:rtl/>
        </w:rPr>
        <w:t>أثر</w:t>
      </w:r>
      <w:r w:rsidR="006D2EA0" w:rsidRPr="00095960">
        <w:rPr>
          <w:rFonts w:ascii="Sakkal Majalla" w:hAnsi="Sakkal Majalla" w:cs="Sakkal Majalla"/>
          <w:b/>
          <w:bCs/>
          <w:color w:val="548DD4" w:themeColor="text2" w:themeTint="99"/>
          <w:szCs w:val="28"/>
          <w:rtl/>
        </w:rPr>
        <w:t xml:space="preserve"> الحوكمة المؤسسية </w:t>
      </w:r>
      <w:r w:rsidRPr="00095960">
        <w:rPr>
          <w:rFonts w:ascii="Sakkal Majalla" w:hAnsi="Sakkal Majalla" w:cs="Sakkal Majalla"/>
          <w:b/>
          <w:bCs/>
          <w:color w:val="548DD4" w:themeColor="text2" w:themeTint="99"/>
          <w:szCs w:val="28"/>
          <w:rtl/>
        </w:rPr>
        <w:t xml:space="preserve">على </w:t>
      </w:r>
      <w:r w:rsidR="00C67E01" w:rsidRPr="00095960">
        <w:rPr>
          <w:rFonts w:ascii="Sakkal Majalla" w:hAnsi="Sakkal Majalla" w:cs="Sakkal Majalla"/>
          <w:b/>
          <w:bCs/>
          <w:color w:val="548DD4" w:themeColor="text2" w:themeTint="99"/>
          <w:szCs w:val="28"/>
          <w:rtl/>
        </w:rPr>
        <w:t>كل من</w:t>
      </w:r>
      <w:r w:rsidR="006D2EA0" w:rsidRPr="00095960">
        <w:rPr>
          <w:rFonts w:ascii="Sakkal Majalla" w:hAnsi="Sakkal Majalla" w:cs="Sakkal Majalla"/>
          <w:b/>
          <w:bCs/>
          <w:color w:val="548DD4" w:themeColor="text2" w:themeTint="99"/>
          <w:szCs w:val="28"/>
          <w:rtl/>
        </w:rPr>
        <w:t xml:space="preserve"> التميز التشغيلي و</w:t>
      </w:r>
      <w:r w:rsidR="00C67E01" w:rsidRPr="00095960">
        <w:rPr>
          <w:rFonts w:ascii="Sakkal Majalla" w:hAnsi="Sakkal Majalla" w:cs="Sakkal Majalla"/>
          <w:b/>
          <w:bCs/>
          <w:color w:val="548DD4" w:themeColor="text2" w:themeTint="99"/>
          <w:szCs w:val="28"/>
          <w:rtl/>
        </w:rPr>
        <w:t xml:space="preserve">التميز </w:t>
      </w:r>
      <w:r w:rsidR="006D2EA0" w:rsidRPr="00095960">
        <w:rPr>
          <w:rFonts w:ascii="Sakkal Majalla" w:hAnsi="Sakkal Majalla" w:cs="Sakkal Majalla"/>
          <w:b/>
          <w:bCs/>
          <w:color w:val="548DD4" w:themeColor="text2" w:themeTint="99"/>
          <w:szCs w:val="28"/>
          <w:rtl/>
        </w:rPr>
        <w:t xml:space="preserve">الاستراتيجي– دراسة </w:t>
      </w:r>
      <w:r w:rsidR="00D155DE" w:rsidRPr="00095960">
        <w:rPr>
          <w:rFonts w:ascii="Sakkal Majalla" w:hAnsi="Sakkal Majalla" w:cs="Sakkal Majalla"/>
          <w:b/>
          <w:bCs/>
          <w:color w:val="548DD4" w:themeColor="text2" w:themeTint="99"/>
          <w:szCs w:val="28"/>
          <w:rtl/>
        </w:rPr>
        <w:t xml:space="preserve">ميدانية </w:t>
      </w:r>
      <w:r w:rsidR="006D2EA0" w:rsidRPr="00095960">
        <w:rPr>
          <w:rFonts w:ascii="Sakkal Majalla" w:hAnsi="Sakkal Majalla" w:cs="Sakkal Majalla"/>
          <w:b/>
          <w:bCs/>
          <w:color w:val="548DD4" w:themeColor="text2" w:themeTint="99"/>
          <w:szCs w:val="28"/>
          <w:rtl/>
        </w:rPr>
        <w:t>في المنظمات السعودية</w:t>
      </w:r>
      <w:r w:rsidR="006D2EA0" w:rsidRPr="00095960">
        <w:rPr>
          <w:rFonts w:ascii="Arial" w:hAnsi="Arial" w:cs="Arial"/>
          <w:b/>
          <w:bCs/>
          <w:color w:val="548DD4" w:themeColor="text2" w:themeTint="99"/>
          <w:szCs w:val="28"/>
          <w:rtl/>
        </w:rPr>
        <w:t xml:space="preserve"> </w:t>
      </w:r>
    </w:p>
    <w:p w14:paraId="7CEE46E0" w14:textId="77777777" w:rsidR="0039518B" w:rsidRPr="00095960" w:rsidRDefault="0039518B" w:rsidP="0039518B">
      <w:pPr>
        <w:pStyle w:val="NormalWeb"/>
        <w:bidi/>
        <w:spacing w:before="0" w:beforeAutospacing="0" w:after="0" w:afterAutospacing="0"/>
        <w:ind w:right="-270"/>
        <w:rPr>
          <w:rFonts w:ascii="Arial" w:hAnsi="Arial" w:cs="Arial"/>
          <w:b/>
          <w:bCs/>
          <w:color w:val="548DD4" w:themeColor="text2" w:themeTint="99"/>
          <w:szCs w:val="28"/>
          <w:rtl/>
        </w:rPr>
      </w:pPr>
    </w:p>
    <w:p w14:paraId="689F621C" w14:textId="06F60EF1" w:rsidR="00395E1F" w:rsidRPr="00095960" w:rsidRDefault="00F900D1" w:rsidP="00095960">
      <w:pPr>
        <w:pStyle w:val="NormalWeb"/>
        <w:spacing w:after="0"/>
        <w:ind w:right="-270"/>
        <w:jc w:val="center"/>
        <w:rPr>
          <w:rFonts w:ascii="Monotype Corsiva" w:hAnsi="Monotype Corsiva" w:cs="DecoType Naskh"/>
          <w:color w:val="548DD4" w:themeColor="text2" w:themeTint="99"/>
          <w:sz w:val="32"/>
          <w:szCs w:val="36"/>
          <w:rtl/>
        </w:rPr>
      </w:pPr>
      <w:r w:rsidRPr="00095960">
        <w:rPr>
          <w:rFonts w:ascii="Monotype Corsiva" w:hAnsi="Monotype Corsiva" w:cs="DecoType Naskh"/>
          <w:color w:val="548DD4" w:themeColor="text2" w:themeTint="99"/>
          <w:sz w:val="32"/>
          <w:szCs w:val="32"/>
        </w:rPr>
        <w:t>The Impact of Corporate Governance on Both Operational Excellence and Strategic Excellence: A Field Study in Saudi Organizations</w:t>
      </w:r>
    </w:p>
    <w:tbl>
      <w:tblPr>
        <w:tblStyle w:val="TableGrid"/>
        <w:tblpPr w:leftFromText="180" w:rightFromText="180" w:vertAnchor="text" w:horzAnchor="margin" w:tblpXSpec="center" w:tblpY="2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236"/>
        <w:gridCol w:w="3447"/>
        <w:gridCol w:w="237"/>
      </w:tblGrid>
      <w:tr w:rsidR="00095960" w14:paraId="1D5B14F8"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24F9CDFA"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اسم الباحث</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5AD0F530"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عبير عمر العطاس</w:t>
            </w:r>
          </w:p>
        </w:tc>
      </w:tr>
      <w:tr w:rsidR="00095960" w14:paraId="0EDB7C78"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4A404276"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الرقم الأكاديمي</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7BA54881"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222000966</w:t>
            </w:r>
          </w:p>
        </w:tc>
      </w:tr>
      <w:tr w:rsidR="00095960" w14:paraId="21BCD5D4"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1542C7F6"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 xml:space="preserve">الكلية                    </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4F12DD33"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كلية الإدارة</w:t>
            </w:r>
          </w:p>
        </w:tc>
      </w:tr>
      <w:tr w:rsidR="00093811" w14:paraId="09AC42A9" w14:textId="77777777" w:rsidTr="00095960">
        <w:tc>
          <w:tcPr>
            <w:tcW w:w="2667" w:type="dxa"/>
            <w:tcBorders>
              <w:top w:val="single" w:sz="4" w:space="0" w:color="D9D9D9" w:themeColor="background1" w:themeShade="D9"/>
            </w:tcBorders>
          </w:tcPr>
          <w:p w14:paraId="0CA89178"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6463F9DC" w14:textId="77777777" w:rsidR="00334B70" w:rsidRPr="004B484B" w:rsidRDefault="00334B70" w:rsidP="00334B70">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36" w:type="dxa"/>
            <w:tcBorders>
              <w:top w:val="single" w:sz="4" w:space="0" w:color="D9D9D9" w:themeColor="background1" w:themeShade="D9"/>
            </w:tcBorders>
          </w:tcPr>
          <w:p w14:paraId="6A755093" w14:textId="77777777" w:rsidR="00093811" w:rsidRPr="004B484B"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3684" w:type="dxa"/>
            <w:gridSpan w:val="2"/>
            <w:tcBorders>
              <w:top w:val="single" w:sz="4" w:space="0" w:color="D9D9D9" w:themeColor="background1" w:themeShade="D9"/>
            </w:tcBorders>
          </w:tcPr>
          <w:p w14:paraId="31A10792"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4A47AF25" w14:textId="77777777" w:rsidR="006D2EA0" w:rsidRDefault="006D2EA0" w:rsidP="006D2EA0">
      <w:pPr>
        <w:pStyle w:val="NormalWeb"/>
        <w:spacing w:after="0"/>
        <w:ind w:right="-270"/>
        <w:rPr>
          <w:rFonts w:ascii="Arial" w:hAnsi="Arial" w:cs="Arial"/>
          <w:b/>
          <w:bCs/>
          <w:color w:val="0070C0"/>
          <w:szCs w:val="28"/>
          <w:rtl/>
        </w:rPr>
      </w:pPr>
    </w:p>
    <w:p w14:paraId="4F2C4676" w14:textId="6956B00B" w:rsidR="00395E1F" w:rsidRDefault="00395E1F" w:rsidP="00F92EA4">
      <w:pPr>
        <w:pStyle w:val="NormalWeb"/>
        <w:bidi/>
        <w:spacing w:before="0" w:beforeAutospacing="0" w:after="0" w:afterAutospacing="0"/>
        <w:ind w:right="-270"/>
        <w:rPr>
          <w:rFonts w:ascii="Arial" w:hAnsi="Arial" w:cs="Arial"/>
          <w:b/>
          <w:bCs/>
          <w:color w:val="0070C0"/>
          <w:szCs w:val="28"/>
          <w:rtl/>
        </w:rPr>
      </w:pPr>
    </w:p>
    <w:p w14:paraId="79313DA6" w14:textId="1AAF97B0" w:rsidR="001C7DB2" w:rsidRDefault="001C7DB2"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16118AA7" w14:textId="77777777" w:rsidR="00334B70" w:rsidRDefault="00883E09" w:rsidP="00883E09">
      <w:pPr>
        <w:jc w:val="center"/>
        <w:rPr>
          <w:rFonts w:ascii="Calibri" w:hAnsi="Calibri" w:cs="Calibri"/>
          <w:b/>
          <w:bCs/>
          <w:color w:val="548DD4" w:themeColor="text2" w:themeTint="99"/>
          <w:sz w:val="28"/>
          <w:szCs w:val="28"/>
          <w:rtl/>
        </w:rPr>
      </w:pPr>
      <w:r w:rsidRPr="00883E09">
        <w:rPr>
          <w:rFonts w:ascii="Calibri" w:hAnsi="Calibri" w:cs="Calibri" w:hint="cs"/>
          <w:b/>
          <w:bCs/>
          <w:color w:val="548DD4" w:themeColor="text2" w:themeTint="99"/>
          <w:sz w:val="28"/>
          <w:szCs w:val="28"/>
          <w:rtl/>
        </w:rPr>
        <w:t xml:space="preserve">      </w:t>
      </w:r>
    </w:p>
    <w:p w14:paraId="502990AC" w14:textId="77777777" w:rsidR="00334B70" w:rsidRDefault="00334B70" w:rsidP="00883E09">
      <w:pPr>
        <w:jc w:val="center"/>
        <w:rPr>
          <w:rFonts w:ascii="Calibri" w:hAnsi="Calibri" w:cs="Calibri"/>
          <w:b/>
          <w:bCs/>
          <w:color w:val="548DD4" w:themeColor="text2" w:themeTint="99"/>
          <w:sz w:val="28"/>
          <w:szCs w:val="28"/>
          <w:rtl/>
        </w:rPr>
      </w:pPr>
    </w:p>
    <w:p w14:paraId="4204A6A5" w14:textId="77777777" w:rsidR="00334B70" w:rsidRDefault="00334B70" w:rsidP="00883E09">
      <w:pPr>
        <w:jc w:val="center"/>
        <w:rPr>
          <w:rFonts w:ascii="Calibri" w:hAnsi="Calibri" w:cs="Calibri"/>
          <w:b/>
          <w:bCs/>
          <w:color w:val="548DD4" w:themeColor="text2" w:themeTint="99"/>
          <w:sz w:val="28"/>
          <w:szCs w:val="28"/>
          <w:rtl/>
        </w:rPr>
      </w:pPr>
    </w:p>
    <w:p w14:paraId="567EE102" w14:textId="659FE442" w:rsidR="00395E1F" w:rsidRDefault="00077740" w:rsidP="00883E09">
      <w:pPr>
        <w:jc w:val="center"/>
        <w:rPr>
          <w:rFonts w:ascii="Calibri" w:hAnsi="Calibri" w:cs="Calibri"/>
          <w:b/>
          <w:bCs/>
          <w:color w:val="FF0000"/>
          <w:sz w:val="28"/>
          <w:szCs w:val="28"/>
          <w:rtl/>
        </w:rPr>
      </w:pPr>
      <w:r w:rsidRPr="007E6130">
        <w:rPr>
          <w:rFonts w:ascii="Calibri" w:hAnsi="Calibri" w:cs="Calibri" w:hint="cs"/>
          <w:b/>
          <w:bCs/>
          <w:color w:val="000000" w:themeColor="text1"/>
          <w:sz w:val="28"/>
          <w:szCs w:val="28"/>
          <w:rtl/>
        </w:rPr>
        <w:t>46</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 xml:space="preserve"> </w:t>
      </w:r>
      <w:r w:rsidR="00883E09" w:rsidRPr="007E6130">
        <w:rPr>
          <w:rFonts w:ascii="Calibri" w:hAnsi="Calibri" w:cs="Calibri" w:hint="cs"/>
          <w:b/>
          <w:bCs/>
          <w:color w:val="000000" w:themeColor="text1"/>
          <w:sz w:val="28"/>
          <w:szCs w:val="28"/>
          <w:rtl/>
        </w:rPr>
        <w:t xml:space="preserve">14ه      - </w:t>
      </w:r>
      <w:r w:rsidRPr="007E6130">
        <w:rPr>
          <w:rFonts w:ascii="Calibri" w:hAnsi="Calibri" w:cs="Calibri" w:hint="cs"/>
          <w:b/>
          <w:bCs/>
          <w:color w:val="000000" w:themeColor="text1"/>
          <w:sz w:val="28"/>
          <w:szCs w:val="28"/>
          <w:rtl/>
        </w:rPr>
        <w:t>25</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20</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61C38D8A" w14:textId="77777777" w:rsidR="00FD5A0F" w:rsidRDefault="00FD5A0F" w:rsidP="00883E09">
      <w:pPr>
        <w:jc w:val="center"/>
        <w:rPr>
          <w:rFonts w:ascii="Calibri" w:hAnsi="Calibri" w:cs="Calibri"/>
          <w:b/>
          <w:bCs/>
          <w:color w:val="FF0000"/>
          <w:sz w:val="28"/>
          <w:szCs w:val="28"/>
        </w:rPr>
      </w:pPr>
    </w:p>
    <w:p w14:paraId="35CE0815" w14:textId="77777777" w:rsidR="00AD783C" w:rsidRDefault="00AD783C" w:rsidP="00575721">
      <w:pPr>
        <w:rPr>
          <w:rFonts w:ascii="Calibri" w:hAnsi="Calibri" w:cs="Calibri"/>
          <w:b/>
          <w:bCs/>
          <w:color w:val="FF0000"/>
          <w:sz w:val="28"/>
          <w:szCs w:val="28"/>
          <w:rtl/>
        </w:rPr>
      </w:pPr>
    </w:p>
    <w:p w14:paraId="50782E57" w14:textId="77777777" w:rsidR="00A50F8C" w:rsidRDefault="00A50F8C" w:rsidP="00575721">
      <w:pPr>
        <w:rPr>
          <w:rFonts w:ascii="Calibri" w:hAnsi="Calibri" w:cs="Calibri"/>
          <w:b/>
          <w:bCs/>
          <w:color w:val="FF0000"/>
          <w:sz w:val="28"/>
          <w:szCs w:val="28"/>
          <w:rtl/>
        </w:rPr>
      </w:pPr>
    </w:p>
    <w:p w14:paraId="07F66028" w14:textId="77777777" w:rsidR="00A50F8C" w:rsidRDefault="00A50F8C" w:rsidP="00575721">
      <w:pPr>
        <w:rPr>
          <w:rFonts w:ascii="Calibri" w:hAnsi="Calibri" w:cs="Calibri"/>
          <w:b/>
          <w:bCs/>
          <w:color w:val="FF0000"/>
          <w:sz w:val="28"/>
          <w:szCs w:val="28"/>
          <w:rtl/>
        </w:rPr>
      </w:pPr>
    </w:p>
    <w:p w14:paraId="7B58F69F" w14:textId="77777777" w:rsidR="00A50F8C" w:rsidRDefault="00A50F8C" w:rsidP="00575721">
      <w:pPr>
        <w:rPr>
          <w:rFonts w:ascii="Calibri" w:hAnsi="Calibri" w:cs="Calibri"/>
          <w:b/>
          <w:bCs/>
          <w:color w:val="FF0000"/>
          <w:sz w:val="28"/>
          <w:szCs w:val="28"/>
          <w:rtl/>
        </w:rPr>
      </w:pPr>
    </w:p>
    <w:p w14:paraId="1E46B8AA" w14:textId="77777777" w:rsidR="00A14701" w:rsidRDefault="00A14701" w:rsidP="00A14701">
      <w:pPr>
        <w:bidi/>
        <w:spacing w:after="200" w:line="276" w:lineRule="auto"/>
        <w:ind w:right="-567"/>
        <w:jc w:val="both"/>
        <w:rPr>
          <w:rFonts w:ascii="Sakkal Majalla" w:hAnsi="Sakkal Majalla" w:cs="Sakkal Majalla"/>
          <w:color w:val="000000" w:themeColor="text1"/>
          <w:sz w:val="28"/>
          <w:szCs w:val="28"/>
        </w:rPr>
      </w:pPr>
    </w:p>
    <w:p w14:paraId="609B66DB" w14:textId="77777777" w:rsidR="00F83D3E" w:rsidRDefault="00F83D3E" w:rsidP="004204FB">
      <w:pPr>
        <w:bidi/>
        <w:spacing w:after="200" w:line="276" w:lineRule="auto"/>
        <w:ind w:right="-567"/>
        <w:jc w:val="both"/>
        <w:rPr>
          <w:rFonts w:ascii="Sakkal Majalla" w:hAnsi="Sakkal Majalla" w:cs="Sakkal Majalla"/>
          <w:color w:val="000000" w:themeColor="text1"/>
          <w:sz w:val="28"/>
          <w:szCs w:val="28"/>
          <w:rtl/>
        </w:rPr>
      </w:pPr>
    </w:p>
    <w:p w14:paraId="2C66FF37" w14:textId="12BC65D5" w:rsidR="004204FB" w:rsidRPr="004204FB" w:rsidRDefault="00F32CCC" w:rsidP="00F83D3E">
      <w:pPr>
        <w:bidi/>
        <w:spacing w:after="200" w:line="276" w:lineRule="auto"/>
        <w:ind w:right="-567"/>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lastRenderedPageBreak/>
        <w:t>ا</w:t>
      </w:r>
      <w:r w:rsidR="004204FB" w:rsidRPr="004204FB">
        <w:rPr>
          <w:rFonts w:ascii="Sakkal Majalla" w:hAnsi="Sakkal Majalla" w:cs="Sakkal Majalla"/>
          <w:b/>
          <w:bCs/>
          <w:color w:val="000000" w:themeColor="text1"/>
          <w:sz w:val="28"/>
          <w:szCs w:val="28"/>
          <w:rtl/>
        </w:rPr>
        <w:t>لفصل الأول: الإطار العام للدراسة</w:t>
      </w:r>
    </w:p>
    <w:p w14:paraId="200EC8C5" w14:textId="77777777" w:rsidR="00003848" w:rsidRPr="00003848" w:rsidRDefault="00003848" w:rsidP="00003848">
      <w:pPr>
        <w:bidi/>
        <w:spacing w:after="200" w:line="276" w:lineRule="auto"/>
        <w:ind w:right="-567"/>
        <w:jc w:val="both"/>
        <w:rPr>
          <w:rFonts w:ascii="Sakkal Majalla" w:hAnsi="Sakkal Majalla" w:cs="Sakkal Majalla"/>
          <w:b/>
          <w:bCs/>
          <w:color w:val="000000" w:themeColor="text1"/>
          <w:sz w:val="28"/>
          <w:szCs w:val="28"/>
        </w:rPr>
      </w:pPr>
      <w:r w:rsidRPr="00003848">
        <w:rPr>
          <w:rFonts w:ascii="Sakkal Majalla" w:hAnsi="Sakkal Majalla" w:cs="Sakkal Majalla"/>
          <w:b/>
          <w:bCs/>
          <w:color w:val="000000" w:themeColor="text1"/>
          <w:sz w:val="28"/>
          <w:szCs w:val="28"/>
          <w:rtl/>
        </w:rPr>
        <w:t>مقدمة</w:t>
      </w:r>
    </w:p>
    <w:p w14:paraId="7238FA11"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في بيئة الأعمال العالمية المعاصرة، التي تتسم بالديناميكية الشديدة والتنافس المحتدم، تواجه المنظمات تحديات هيكلية تعيق قدرتها على تحقيق النمو المستدام. وتُعد الحوكمة المؤسسية (</w:t>
      </w:r>
      <w:r w:rsidRPr="00003848">
        <w:rPr>
          <w:rFonts w:ascii="Sakkal Majalla" w:hAnsi="Sakkal Majalla" w:cs="Sakkal Majalla"/>
          <w:color w:val="000000" w:themeColor="text1"/>
          <w:sz w:val="28"/>
          <w:szCs w:val="28"/>
        </w:rPr>
        <w:t>Corporate Governance</w:t>
      </w:r>
      <w:r w:rsidRPr="00003848">
        <w:rPr>
          <w:rFonts w:ascii="Sakkal Majalla" w:hAnsi="Sakkal Majalla" w:cs="Sakkal Majalla"/>
          <w:color w:val="000000" w:themeColor="text1"/>
          <w:sz w:val="28"/>
          <w:szCs w:val="28"/>
          <w:rtl/>
        </w:rPr>
        <w:t>) الإطار الذي ينظم العلاقات بين إدارة الشركة ومجلس إدارتها ومساهميها وأصحاب المصلحة الآخرين، بهدف ضمان تحقيق الأهداف طويلة الأمد للمنظمة بكفاءة وشفافية. وقد نشأت نظريات أساسية لتفسير هذه العلاقات، أبرزها نظرية الوكالة (</w:t>
      </w:r>
      <w:r w:rsidRPr="00003848">
        <w:rPr>
          <w:rFonts w:ascii="Sakkal Majalla" w:hAnsi="Sakkal Majalla" w:cs="Sakkal Majalla"/>
          <w:color w:val="000000" w:themeColor="text1"/>
          <w:sz w:val="28"/>
          <w:szCs w:val="28"/>
        </w:rPr>
        <w:t>Agency Theory</w:t>
      </w:r>
      <w:r w:rsidRPr="00003848">
        <w:rPr>
          <w:rFonts w:ascii="Sakkal Majalla" w:hAnsi="Sakkal Majalla" w:cs="Sakkal Majalla"/>
          <w:color w:val="000000" w:themeColor="text1"/>
          <w:sz w:val="28"/>
          <w:szCs w:val="28"/>
          <w:rtl/>
        </w:rPr>
        <w:t xml:space="preserve">) التي طرحها جنسن </w:t>
      </w:r>
      <w:proofErr w:type="spellStart"/>
      <w:r w:rsidRPr="00003848">
        <w:rPr>
          <w:rFonts w:ascii="Sakkal Majalla" w:hAnsi="Sakkal Majalla" w:cs="Sakkal Majalla"/>
          <w:color w:val="000000" w:themeColor="text1"/>
          <w:sz w:val="28"/>
          <w:szCs w:val="28"/>
          <w:rtl/>
        </w:rPr>
        <w:t>ومكلينج</w:t>
      </w:r>
      <w:proofErr w:type="spellEnd"/>
      <w:r w:rsidRPr="00003848">
        <w:rPr>
          <w:rFonts w:ascii="Sakkal Majalla" w:hAnsi="Sakkal Majalla" w:cs="Sakkal Majalla"/>
          <w:color w:val="000000" w:themeColor="text1"/>
          <w:sz w:val="28"/>
          <w:szCs w:val="28"/>
          <w:rtl/>
        </w:rPr>
        <w:t xml:space="preserve"> (</w:t>
      </w:r>
      <w:r w:rsidRPr="00003848">
        <w:rPr>
          <w:rFonts w:ascii="Sakkal Majalla" w:hAnsi="Sakkal Majalla" w:cs="Sakkal Majalla"/>
          <w:color w:val="000000" w:themeColor="text1"/>
          <w:sz w:val="28"/>
          <w:szCs w:val="28"/>
        </w:rPr>
        <w:t>Jensen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Meckling, 1976</w:t>
      </w:r>
      <w:r w:rsidRPr="00003848">
        <w:rPr>
          <w:rFonts w:ascii="Sakkal Majalla" w:hAnsi="Sakkal Majalla" w:cs="Sakkal Majalla"/>
          <w:color w:val="000000" w:themeColor="text1"/>
          <w:sz w:val="28"/>
          <w:szCs w:val="28"/>
          <w:rtl/>
        </w:rPr>
        <w:t>)، والتي تركز على حل تضارب المصالح بين المديرين (الوكلاء) والمساهمين (الأصيل)، ونظرية أصحاب المصلحة (</w:t>
      </w:r>
      <w:r w:rsidRPr="00003848">
        <w:rPr>
          <w:rFonts w:ascii="Sakkal Majalla" w:hAnsi="Sakkal Majalla" w:cs="Sakkal Majalla"/>
          <w:color w:val="000000" w:themeColor="text1"/>
          <w:sz w:val="28"/>
          <w:szCs w:val="28"/>
        </w:rPr>
        <w:t>Stakeholder Theory</w:t>
      </w:r>
      <w:r w:rsidRPr="00003848">
        <w:rPr>
          <w:rFonts w:ascii="Sakkal Majalla" w:hAnsi="Sakkal Majalla" w:cs="Sakkal Majalla"/>
          <w:color w:val="000000" w:themeColor="text1"/>
          <w:sz w:val="28"/>
          <w:szCs w:val="28"/>
          <w:rtl/>
        </w:rPr>
        <w:t>) التي طورها فريمان (</w:t>
      </w:r>
      <w:r w:rsidRPr="00003848">
        <w:rPr>
          <w:rFonts w:ascii="Sakkal Majalla" w:hAnsi="Sakkal Majalla" w:cs="Sakkal Majalla"/>
          <w:color w:val="000000" w:themeColor="text1"/>
          <w:sz w:val="28"/>
          <w:szCs w:val="28"/>
        </w:rPr>
        <w:t>Freeman, 1984</w:t>
      </w:r>
      <w:r w:rsidRPr="00003848">
        <w:rPr>
          <w:rFonts w:ascii="Sakkal Majalla" w:hAnsi="Sakkal Majalla" w:cs="Sakkal Majalla"/>
          <w:color w:val="000000" w:themeColor="text1"/>
          <w:sz w:val="28"/>
          <w:szCs w:val="28"/>
          <w:rtl/>
        </w:rPr>
        <w:t>)، والتي تدعو إلى ضرورة تحقيق التوازن بين مصالح جميع الأطراف المرتبطة بالمنظمة.</w:t>
      </w:r>
    </w:p>
    <w:p w14:paraId="0EDE497A"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إن تحقيق التميز المؤسسي يعتمد على علاقة تكاملية وثيقة بين شقيه: التميز الاستراتيجي، المتمثل في قدرة المنظمة على بناء قيمة مستدامة وتحقيق أهداف بعيدة المدى، والتميز التشغيلي، الذي يركز على تحسين الكفاءة وخفض الهدر ورفع جودة العمليات. وقد أظهرت الأدبيات البحثية العالمية بشكل متسق وجود علاقة إيجابية قوية بين تطبيق ممارسات الحوكمة الرشيدة وتحسين الأداء المالي والتشغيلي للمنظمات (</w:t>
      </w:r>
      <w:r w:rsidRPr="00003848">
        <w:rPr>
          <w:rFonts w:ascii="Sakkal Majalla" w:hAnsi="Sakkal Majalla" w:cs="Sakkal Majalla"/>
          <w:color w:val="000000" w:themeColor="text1"/>
          <w:sz w:val="28"/>
          <w:szCs w:val="28"/>
        </w:rPr>
        <w:t>Bhagat</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Bolton, 2008; Brown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Caylor, 2004</w:t>
      </w:r>
      <w:r w:rsidRPr="00003848">
        <w:rPr>
          <w:rFonts w:ascii="Sakkal Majalla" w:hAnsi="Sakkal Majalla" w:cs="Sakkal Majalla"/>
          <w:color w:val="000000" w:themeColor="text1"/>
          <w:sz w:val="28"/>
          <w:szCs w:val="28"/>
          <w:rtl/>
        </w:rPr>
        <w:t>). فالحوكمة الفعالة لا تقتصر على كونها أداة للرقابة والامتثال، بل هي محرك استراتيجي يمكّن المنظمة من تنفيذ استراتيجياتها بفعالية، وتحويل خططها إلى مخرجات قابلة للقياس (</w:t>
      </w:r>
      <w:proofErr w:type="spellStart"/>
      <w:r w:rsidRPr="00003848">
        <w:rPr>
          <w:rFonts w:ascii="Sakkal Majalla" w:hAnsi="Sakkal Majalla" w:cs="Sakkal Majalla"/>
          <w:color w:val="000000" w:themeColor="text1"/>
          <w:sz w:val="28"/>
          <w:szCs w:val="28"/>
        </w:rPr>
        <w:t>Guluma</w:t>
      </w:r>
      <w:proofErr w:type="spellEnd"/>
      <w:r w:rsidRPr="00003848">
        <w:rPr>
          <w:rFonts w:ascii="Sakkal Majalla" w:hAnsi="Sakkal Majalla" w:cs="Sakkal Majalla"/>
          <w:color w:val="000000" w:themeColor="text1"/>
          <w:sz w:val="28"/>
          <w:szCs w:val="28"/>
        </w:rPr>
        <w:t>, 2021</w:t>
      </w:r>
      <w:r w:rsidRPr="00003848">
        <w:rPr>
          <w:rFonts w:ascii="Sakkal Majalla" w:hAnsi="Sakkal Majalla" w:cs="Sakkal Majalla"/>
          <w:color w:val="000000" w:themeColor="text1"/>
          <w:sz w:val="28"/>
          <w:szCs w:val="28"/>
          <w:rtl/>
        </w:rPr>
        <w:t>).</w:t>
      </w:r>
    </w:p>
    <w:p w14:paraId="00B584FF"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 xml:space="preserve">وفي هذا السياق، تبرز الحوكمة المؤسسية كإطار منهجي لمعالجة هذه التحديات. وإدراكًا لهذه الأهمية، تبنت المملكة العربية السعودية توجهًا استراتيجيًا لتعزيز الحوكمة، والذي تجسّد في "الدليل </w:t>
      </w:r>
      <w:proofErr w:type="spellStart"/>
      <w:r w:rsidRPr="00003848">
        <w:rPr>
          <w:rFonts w:ascii="Sakkal Majalla" w:hAnsi="Sakkal Majalla" w:cs="Sakkal Majalla"/>
          <w:color w:val="000000" w:themeColor="text1"/>
          <w:sz w:val="28"/>
          <w:szCs w:val="28"/>
          <w:rtl/>
        </w:rPr>
        <w:t>الاسترشادي</w:t>
      </w:r>
      <w:proofErr w:type="spellEnd"/>
      <w:r w:rsidRPr="00003848">
        <w:rPr>
          <w:rFonts w:ascii="Sakkal Majalla" w:hAnsi="Sakkal Majalla" w:cs="Sakkal Majalla"/>
          <w:color w:val="000000" w:themeColor="text1"/>
          <w:sz w:val="28"/>
          <w:szCs w:val="28"/>
          <w:rtl/>
        </w:rPr>
        <w:t xml:space="preserve"> لحوكمة الجهات العامة" (قرار مجلس الوزراء رقم 92). يهدف هذا الدليل إلى ترسيخ مبادئ الشفافية، والمساءلة، وإدارة المخاطر، وتحديد الأدوار بوضوح، مما يوفر إطارًا لتعزيز الترابط بين الأداء التشغيلي والاستراتيجي. فالحوكمة الرشيدة تمكّن المنظمة من تحسين كفاءتها التشغيلية مع الحفاظ على بوصلتها الاستراتيجية طويلة الأمد، وتحويل الضغوط المؤسسية إلى فرص للنمو. وتؤكد الأدبيات البحثية في السياق السعودي أن تطبيق مثل هذه الأطر التنظيمية يدعم اتخاذ القرارات الرشيدة ويعزز القدرة على مواجهة التحديات المعقدة (</w:t>
      </w:r>
      <w:proofErr w:type="spellStart"/>
      <w:r w:rsidRPr="00003848">
        <w:rPr>
          <w:rFonts w:ascii="Sakkal Majalla" w:hAnsi="Sakkal Majalla" w:cs="Sakkal Majalla"/>
          <w:color w:val="000000" w:themeColor="text1"/>
          <w:sz w:val="28"/>
          <w:szCs w:val="28"/>
        </w:rPr>
        <w:t>Buallay</w:t>
      </w:r>
      <w:proofErr w:type="spellEnd"/>
      <w:r w:rsidRPr="00003848">
        <w:rPr>
          <w:rFonts w:ascii="Sakkal Majalla" w:hAnsi="Sakkal Majalla" w:cs="Sakkal Majalla"/>
          <w:color w:val="000000" w:themeColor="text1"/>
          <w:sz w:val="28"/>
          <w:szCs w:val="28"/>
        </w:rPr>
        <w:t>, Hamdan</w:t>
      </w:r>
      <w:r w:rsidRPr="00003848">
        <w:rPr>
          <w:rFonts w:ascii="Sakkal Majalla" w:hAnsi="Sakkal Majalla" w:cs="Sakkal Majalla"/>
          <w:color w:val="000000" w:themeColor="text1"/>
          <w:sz w:val="28"/>
          <w:szCs w:val="28"/>
          <w:rtl/>
        </w:rPr>
        <w:t xml:space="preserve">, &amp; </w:t>
      </w:r>
      <w:proofErr w:type="spellStart"/>
      <w:r w:rsidRPr="00003848">
        <w:rPr>
          <w:rFonts w:ascii="Sakkal Majalla" w:hAnsi="Sakkal Majalla" w:cs="Sakkal Majalla"/>
          <w:color w:val="000000" w:themeColor="text1"/>
          <w:sz w:val="28"/>
          <w:szCs w:val="28"/>
        </w:rPr>
        <w:t>Zureigat</w:t>
      </w:r>
      <w:proofErr w:type="spellEnd"/>
      <w:r w:rsidRPr="00003848">
        <w:rPr>
          <w:rFonts w:ascii="Sakkal Majalla" w:hAnsi="Sakkal Majalla" w:cs="Sakkal Majalla"/>
          <w:color w:val="000000" w:themeColor="text1"/>
          <w:sz w:val="28"/>
          <w:szCs w:val="28"/>
        </w:rPr>
        <w:t>, 2017</w:t>
      </w:r>
      <w:r w:rsidRPr="00003848">
        <w:rPr>
          <w:rFonts w:ascii="Sakkal Majalla" w:hAnsi="Sakkal Majalla" w:cs="Sakkal Majalla"/>
          <w:color w:val="000000" w:themeColor="text1"/>
          <w:sz w:val="28"/>
          <w:szCs w:val="28"/>
          <w:rtl/>
        </w:rPr>
        <w:t>).</w:t>
      </w:r>
    </w:p>
    <w:p w14:paraId="4EBBDC8A"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 xml:space="preserve">انطلاقًا مما سبق، تتحدد إشكالية هذه الدراسة في الحاجة إلى فهم أعمق لكيفية ترجمة مبادئ الحوكمة إلى نتائج ملموسة في السياق المحلي. وعليه، تهدف هذه الدراسة إلى استقصاء وقياس أثر تطبيق الحوكمة المؤسسية على مستويات كل من التميز التشغيلي والتميز الاستراتيجي داخل المنظمات السعودية. وتسعى الدراسة من خلال منهج ميداني إلى تبيان طبيعة العلاقة بين </w:t>
      </w:r>
      <w:r w:rsidRPr="00003848">
        <w:rPr>
          <w:rFonts w:ascii="Sakkal Majalla" w:hAnsi="Sakkal Majalla" w:cs="Sakkal Majalla"/>
          <w:color w:val="000000" w:themeColor="text1"/>
          <w:sz w:val="28"/>
          <w:szCs w:val="28"/>
          <w:rtl/>
        </w:rPr>
        <w:lastRenderedPageBreak/>
        <w:t>متانة الحوكمة من جهة، وتحقيق الكفاءة التشغيلية والقدرة على تنفيذ الاستراتيجيات طويلة الأمد من جهة أخرى. وتكمن أهمية ذلك في تقديم رؤى علمية وعملية تساهم في توجيه سياسات وممارسات الحوكمة المستقبلية في المملكة، بما يعزز الميزة التنافسية للمنظمات ويدعم تحقيق أهدافها الاستراتيجية.</w:t>
      </w:r>
    </w:p>
    <w:p w14:paraId="180872ED" w14:textId="77777777" w:rsidR="00003848" w:rsidRPr="00003848" w:rsidRDefault="00003848" w:rsidP="00003848">
      <w:pPr>
        <w:bidi/>
        <w:spacing w:after="200" w:line="276" w:lineRule="auto"/>
        <w:ind w:right="-567"/>
        <w:jc w:val="both"/>
        <w:rPr>
          <w:rFonts w:ascii="Sakkal Majalla" w:hAnsi="Sakkal Majalla" w:cs="Sakkal Majalla"/>
          <w:b/>
          <w:bCs/>
          <w:color w:val="000000" w:themeColor="text1"/>
          <w:sz w:val="28"/>
          <w:szCs w:val="28"/>
          <w:rtl/>
        </w:rPr>
      </w:pPr>
      <w:r w:rsidRPr="00003848">
        <w:rPr>
          <w:rFonts w:ascii="Sakkal Majalla" w:hAnsi="Sakkal Majalla" w:cs="Sakkal Majalla"/>
          <w:b/>
          <w:bCs/>
          <w:color w:val="000000" w:themeColor="text1"/>
          <w:sz w:val="28"/>
          <w:szCs w:val="28"/>
          <w:rtl/>
        </w:rPr>
        <w:t>مشكلة الدراسة وأسئلتها الرئيسية</w:t>
      </w:r>
    </w:p>
    <w:p w14:paraId="172DB668"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تواجه المنظمات تحديًا جوهريًا يتمثل في تحقيق التميز المؤسسي المستدام. وعلى الرغم من أن هذا التميز يعتمد بشكل أساسي على القدرة على تحقيق التميز التشغيلي (الكفاءة والجودة) والتميز الاستراتيجي (الرؤية والقدرة على التكيف)، إلا أن العديد من المنظمات تجد نفسها مقيدة بمجموعة من المعوقات الهيكلية والتنظيمية التي تحد من قدرتها على تحقيق هذه الأهداف.</w:t>
      </w:r>
    </w:p>
    <w:p w14:paraId="4FBB721F"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وتتجسد المشكلة البحثية في أن هذه المعوقات، التي تظهر على شكل أعراض متعددة، تنبع بشكل كبير من ضعف أو غياب تطبيق ممارسات الحوكمة المؤسسية الفعالة. فبدلاً من النظر إلى هذه التحديات كقضايا منفصلة، يطرح هذا البحث إشكالية أن غياب إطار حوكمة متين هو السبب الجذري الذي يؤدي إلى ظهور هذه المشكلات وتفاقمها. وتتمثل أبرز تجليات هذه المشكلة المؤسسية في النقاط التالية:</w:t>
      </w:r>
    </w:p>
    <w:p w14:paraId="6515EDE5" w14:textId="2FA15CDD"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المستوى الاستراتيجي: تعاني العديد من المنظمات من ضعف في الرؤية الاستراتيجية وغياب الوضوح في الأهداف بعيدة المدى، مما يعيق قدرتها على النمو المستدام. وقد أكدت الدراسات العالمية على أن ممارسات الإدارة الاستراتيجية هي المحرك الأساسي للتميز المؤسسي (</w:t>
      </w:r>
      <w:r w:rsidRPr="00003848">
        <w:rPr>
          <w:rFonts w:ascii="Sakkal Majalla" w:hAnsi="Sakkal Majalla" w:cs="Sakkal Majalla"/>
          <w:color w:val="000000" w:themeColor="text1"/>
          <w:sz w:val="28"/>
          <w:szCs w:val="28"/>
        </w:rPr>
        <w:t>Al Humeisat, 2022</w:t>
      </w:r>
      <w:r w:rsidRPr="00003848">
        <w:rPr>
          <w:rFonts w:ascii="Sakkal Majalla" w:hAnsi="Sakkal Majalla" w:cs="Sakkal Majalla"/>
          <w:color w:val="000000" w:themeColor="text1"/>
          <w:sz w:val="28"/>
          <w:szCs w:val="28"/>
          <w:rtl/>
        </w:rPr>
        <w:t>). وفي السياق السعودي، يتفاقم هذا الضعف بسبب انعدام الشفافية في عمليات اتخاذ القرار، مما يخلق بيئة من عدم الثقة ويقلل من فعالية القرارات المتخذة (</w:t>
      </w:r>
      <w:r w:rsidRPr="00003848">
        <w:rPr>
          <w:rFonts w:ascii="Sakkal Majalla" w:hAnsi="Sakkal Majalla" w:cs="Sakkal Majalla"/>
          <w:color w:val="000000" w:themeColor="text1"/>
          <w:sz w:val="28"/>
          <w:szCs w:val="28"/>
        </w:rPr>
        <w:t>Al-Kahtani, 2014</w:t>
      </w:r>
      <w:r w:rsidRPr="00003848">
        <w:rPr>
          <w:rFonts w:ascii="Sakkal Majalla" w:hAnsi="Sakkal Majalla" w:cs="Sakkal Majalla"/>
          <w:color w:val="000000" w:themeColor="text1"/>
          <w:sz w:val="28"/>
          <w:szCs w:val="28"/>
          <w:rtl/>
        </w:rPr>
        <w:t>). كما أن غياب آليات المساءلة الواضحة يؤدي إلى صعوبة في متابعة تنفيذ الاستراتيجيات ومحاسبة المسؤولين عن تحقيقها (</w:t>
      </w:r>
      <w:r w:rsidRPr="00003848">
        <w:rPr>
          <w:rFonts w:ascii="Sakkal Majalla" w:hAnsi="Sakkal Majalla" w:cs="Sakkal Majalla"/>
          <w:color w:val="000000" w:themeColor="text1"/>
          <w:sz w:val="28"/>
          <w:szCs w:val="28"/>
        </w:rPr>
        <w:t>Al-Faryan, 2020</w:t>
      </w:r>
      <w:r w:rsidRPr="00003848">
        <w:rPr>
          <w:rFonts w:ascii="Sakkal Majalla" w:hAnsi="Sakkal Majalla" w:cs="Sakkal Majalla"/>
          <w:color w:val="000000" w:themeColor="text1"/>
          <w:sz w:val="28"/>
          <w:szCs w:val="28"/>
          <w:rtl/>
        </w:rPr>
        <w:t>).</w:t>
      </w:r>
    </w:p>
    <w:p w14:paraId="155453D8" w14:textId="5C7466E5"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المستوى التشغيلي: يظهر القصور في شكل ضعف في أنظمة الرقابة الداخلية، مما يعرض المنظمة لمخاطر مالية وتشغيلية كان يمكن تجنبها (القحطاني والسيد، 2022). كما يؤدي عدم وضوح السياسات والإجراءات إلى تباين في الأداء بين الوحدات المختلفة ويؤثر سلبًا على الكفاءة العامة (</w:t>
      </w:r>
      <w:proofErr w:type="spellStart"/>
      <w:r w:rsidRPr="00003848">
        <w:rPr>
          <w:rFonts w:ascii="Sakkal Majalla" w:hAnsi="Sakkal Majalla" w:cs="Sakkal Majalla"/>
          <w:color w:val="000000" w:themeColor="text1"/>
          <w:sz w:val="28"/>
          <w:szCs w:val="28"/>
        </w:rPr>
        <w:t>Alhamoudi</w:t>
      </w:r>
      <w:proofErr w:type="spellEnd"/>
      <w:r w:rsidRPr="00003848">
        <w:rPr>
          <w:rFonts w:ascii="Sakkal Majalla" w:hAnsi="Sakkal Majalla" w:cs="Sakkal Majalla"/>
          <w:color w:val="000000" w:themeColor="text1"/>
          <w:sz w:val="28"/>
          <w:szCs w:val="28"/>
        </w:rPr>
        <w:t>, 2010</w:t>
      </w:r>
      <w:r w:rsidRPr="00003848">
        <w:rPr>
          <w:rFonts w:ascii="Sakkal Majalla" w:hAnsi="Sakkal Majalla" w:cs="Sakkal Majalla"/>
          <w:color w:val="000000" w:themeColor="text1"/>
          <w:sz w:val="28"/>
          <w:szCs w:val="28"/>
          <w:rtl/>
        </w:rPr>
        <w:t>). وينتج عن ذلك ضعف في التنسيق بين الأقسام، مما يخلق جزرًا منعزلة تعيق تحقيق الأهداف المتكاملة للمنظمة (</w:t>
      </w:r>
      <w:r w:rsidRPr="00003848">
        <w:rPr>
          <w:rFonts w:ascii="Sakkal Majalla" w:hAnsi="Sakkal Majalla" w:cs="Sakkal Majalla"/>
          <w:color w:val="000000" w:themeColor="text1"/>
          <w:sz w:val="28"/>
          <w:szCs w:val="28"/>
        </w:rPr>
        <w:t>Al-Otaibi</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Al-Anzi, 2021</w:t>
      </w:r>
      <w:r w:rsidRPr="00003848">
        <w:rPr>
          <w:rFonts w:ascii="Sakkal Majalla" w:hAnsi="Sakkal Majalla" w:cs="Sakkal Majalla"/>
          <w:color w:val="000000" w:themeColor="text1"/>
          <w:sz w:val="28"/>
          <w:szCs w:val="28"/>
          <w:rtl/>
        </w:rPr>
        <w:t>).</w:t>
      </w:r>
    </w:p>
    <w:p w14:paraId="5F213D4A" w14:textId="789C4C82"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مستوى الاستجابة البيئية: يؤدي غياب إطار حوكمة رشيد إلى صعوبة في الامتثال للمعايير القانونية والتنظيمية، مما يعرض المنظمة لمخاطر قانونية وسمعة سلبية (</w:t>
      </w:r>
      <w:r w:rsidRPr="00003848">
        <w:rPr>
          <w:rFonts w:ascii="Sakkal Majalla" w:hAnsi="Sakkal Majalla" w:cs="Sakkal Majalla"/>
          <w:color w:val="000000" w:themeColor="text1"/>
          <w:sz w:val="28"/>
          <w:szCs w:val="28"/>
        </w:rPr>
        <w:t>Al-Tawil</w:t>
      </w:r>
      <w:r w:rsidRPr="00003848">
        <w:rPr>
          <w:rFonts w:ascii="Sakkal Majalla" w:hAnsi="Sakkal Majalla" w:cs="Sakkal Majalla"/>
          <w:color w:val="000000" w:themeColor="text1"/>
          <w:sz w:val="28"/>
          <w:szCs w:val="28"/>
          <w:rtl/>
        </w:rPr>
        <w:t xml:space="preserve"> &amp; </w:t>
      </w:r>
      <w:proofErr w:type="spellStart"/>
      <w:r w:rsidRPr="00003848">
        <w:rPr>
          <w:rFonts w:ascii="Sakkal Majalla" w:hAnsi="Sakkal Majalla" w:cs="Sakkal Majalla"/>
          <w:color w:val="000000" w:themeColor="text1"/>
          <w:sz w:val="28"/>
          <w:szCs w:val="28"/>
        </w:rPr>
        <w:t>Younies</w:t>
      </w:r>
      <w:proofErr w:type="spellEnd"/>
      <w:r w:rsidRPr="00003848">
        <w:rPr>
          <w:rFonts w:ascii="Sakkal Majalla" w:hAnsi="Sakkal Majalla" w:cs="Sakkal Majalla"/>
          <w:color w:val="000000" w:themeColor="text1"/>
          <w:sz w:val="28"/>
          <w:szCs w:val="28"/>
        </w:rPr>
        <w:t>, 2020</w:t>
      </w:r>
      <w:r w:rsidRPr="00003848">
        <w:rPr>
          <w:rFonts w:ascii="Sakkal Majalla" w:hAnsi="Sakkal Majalla" w:cs="Sakkal Majalla"/>
          <w:color w:val="000000" w:themeColor="text1"/>
          <w:sz w:val="28"/>
          <w:szCs w:val="28"/>
          <w:rtl/>
        </w:rPr>
        <w:t>). والأهم من ذلك، أنه يضعف قدرة المنظمة على التكيف مع المتغيرات الاقتصادية المتسارعة، مما يجعلها هشة في مواجهة التحديات المستقبلية. وقد أوضحت الدراسات أن التميز الاستراتيجي هو مفتاح تحقيق الميزة التنافسية المستدامة (</w:t>
      </w:r>
      <w:proofErr w:type="spellStart"/>
      <w:r w:rsidRPr="00003848">
        <w:rPr>
          <w:rFonts w:ascii="Sakkal Majalla" w:hAnsi="Sakkal Majalla" w:cs="Sakkal Majalla"/>
          <w:color w:val="000000" w:themeColor="text1"/>
          <w:sz w:val="28"/>
          <w:szCs w:val="28"/>
        </w:rPr>
        <w:t>Jerab</w:t>
      </w:r>
      <w:proofErr w:type="spellEnd"/>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Mabrouk, 2023</w:t>
      </w:r>
      <w:r w:rsidRPr="00003848">
        <w:rPr>
          <w:rFonts w:ascii="Sakkal Majalla" w:hAnsi="Sakkal Majalla" w:cs="Sakkal Majalla"/>
          <w:color w:val="000000" w:themeColor="text1"/>
          <w:sz w:val="28"/>
          <w:szCs w:val="28"/>
          <w:rtl/>
        </w:rPr>
        <w:t>).</w:t>
      </w:r>
    </w:p>
    <w:p w14:paraId="413D3646" w14:textId="40674E29" w:rsidR="002C2B31" w:rsidRPr="00003848" w:rsidRDefault="00003848" w:rsidP="00003848">
      <w:pPr>
        <w:bidi/>
        <w:spacing w:after="200" w:line="276" w:lineRule="auto"/>
        <w:ind w:right="-567"/>
        <w:jc w:val="both"/>
        <w:rPr>
          <w:rFonts w:ascii="Sakkal Majalla" w:hAnsi="Sakkal Majalla" w:cs="Sakkal Majalla"/>
          <w:color w:val="000000" w:themeColor="text1"/>
          <w:sz w:val="28"/>
          <w:szCs w:val="28"/>
        </w:rPr>
      </w:pPr>
      <w:r w:rsidRPr="00003848">
        <w:rPr>
          <w:rFonts w:ascii="Sakkal Majalla" w:hAnsi="Sakkal Majalla" w:cs="Sakkal Majalla"/>
          <w:color w:val="000000" w:themeColor="text1"/>
          <w:sz w:val="28"/>
          <w:szCs w:val="28"/>
          <w:rtl/>
        </w:rPr>
        <w:lastRenderedPageBreak/>
        <w:t>إن هذه المشكلات المتشابكة لا تعيق الأداء اليومي فحسب، بل تمنع المنظمة من تحقيق التميز بشقيه التشغيلي والاستراتيجي. من هنا، تنبثق مشكلة هذه الدراسة من الحاجة الماسة لفهم واختبار الدور الذي يمكن أن تلعبه الحوكمة المؤسسية كحل منهجي ومتكامل لهذه التحديات. فهل يمكن لتطبيق مبادئ الحوكمة أن يكون الجسر الذي يربط بين الأداء التشغيلي الفعّال والتوجه الاستراتيجي الناجح؟ وهل يمكنها أن تحول هذه المعوقات إلى فرص للنمو والتميز؟ إن الإجابة على هذه الأسئلة هي جوهر ما يسعى هذا البحث إلى تقديمه.</w:t>
      </w:r>
    </w:p>
    <w:p w14:paraId="13BD9EFC" w14:textId="77777777" w:rsidR="00E2701F" w:rsidRPr="00E2701F" w:rsidRDefault="00E2701F" w:rsidP="00E2701F">
      <w:p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السؤال الرئيسي</w:t>
      </w:r>
      <w:r w:rsidRPr="00E2701F">
        <w:rPr>
          <w:rFonts w:ascii="Sakkal Majalla" w:hAnsi="Sakkal Majalla" w:cs="Sakkal Majalla"/>
          <w:b/>
          <w:bCs/>
          <w:color w:val="000000" w:themeColor="text1"/>
          <w:sz w:val="28"/>
          <w:szCs w:val="28"/>
        </w:rPr>
        <w:t>:</w:t>
      </w:r>
    </w:p>
    <w:p w14:paraId="6C88E291" w14:textId="37A6156C" w:rsidR="00E2701F" w:rsidRPr="00E2701F" w:rsidRDefault="00E2701F" w:rsidP="00E2701F">
      <w:pPr>
        <w:numPr>
          <w:ilvl w:val="0"/>
          <w:numId w:val="20"/>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ما هو أثر الحوكمة المؤسسية على تحقيق كل من التميز التشغيلي والتميز الاستراتيجي في المنظمات السعودية؟</w:t>
      </w:r>
    </w:p>
    <w:p w14:paraId="5A68B748" w14:textId="77777777" w:rsidR="00E2701F" w:rsidRPr="00E2701F" w:rsidRDefault="00E2701F" w:rsidP="00E2701F">
      <w:p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الأسئلة الفرعية</w:t>
      </w:r>
      <w:r w:rsidRPr="00E2701F">
        <w:rPr>
          <w:rFonts w:ascii="Sakkal Majalla" w:hAnsi="Sakkal Majalla" w:cs="Sakkal Majalla"/>
          <w:b/>
          <w:bCs/>
          <w:color w:val="000000" w:themeColor="text1"/>
          <w:sz w:val="28"/>
          <w:szCs w:val="28"/>
        </w:rPr>
        <w:t>:</w:t>
      </w:r>
    </w:p>
    <w:p w14:paraId="7E4C207E" w14:textId="392428AD"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ما هو المستوى الفعلي لتطبيق الحوكمة في المنظمات  (عينة الدراسة)؟</w:t>
      </w:r>
    </w:p>
    <w:p w14:paraId="49876BB9" w14:textId="77777777"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هل يوجد أثر ذو دلالة إحصائية لتطبيق الحوكمة المؤسسية على تحقيق التميز التشغيلي في المنظمات السعودية؟</w:t>
      </w:r>
    </w:p>
    <w:p w14:paraId="6B3C6C0D" w14:textId="77777777"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هل يوجد أثر ذو دلالة إحصائية لتطبيق الحوكمة المؤسسية على تحقيق التميز الاستراتيجي في المنظمات السعودية؟</w:t>
      </w:r>
    </w:p>
    <w:p w14:paraId="6CB642CA" w14:textId="77777777" w:rsidR="00F97CDC" w:rsidRDefault="00F97CDC" w:rsidP="00F97CDC">
      <w:pPr>
        <w:pStyle w:val="Heading3"/>
        <w:bidi/>
        <w:spacing w:before="0"/>
        <w:rPr>
          <w:rFonts w:ascii="Sakkal Majalla" w:hAnsi="Sakkal Majalla" w:cs="Sakkal Majalla"/>
          <w:b/>
          <w:bCs/>
          <w:color w:val="auto"/>
          <w:sz w:val="28"/>
          <w:szCs w:val="28"/>
        </w:rPr>
      </w:pPr>
    </w:p>
    <w:p w14:paraId="7B4FEDB1" w14:textId="77777777" w:rsidR="00F97CDC" w:rsidRDefault="00F97CDC" w:rsidP="00F97CDC">
      <w:pPr>
        <w:pStyle w:val="Heading3"/>
        <w:bidi/>
        <w:spacing w:before="0"/>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الفرضية الرئيسية</w:t>
      </w:r>
    </w:p>
    <w:p w14:paraId="4FD5855B" w14:textId="445E9B75" w:rsidR="00F97CDC" w:rsidRDefault="00F97CDC" w:rsidP="00F97CDC">
      <w:pPr>
        <w:pStyle w:val="Heading3"/>
        <w:bidi/>
        <w:spacing w:before="0"/>
        <w:rPr>
          <w:rFonts w:ascii="Sakkal Majalla" w:hAnsi="Sakkal Majalla" w:cs="Sakkal Majalla"/>
          <w:color w:val="auto"/>
          <w:sz w:val="28"/>
          <w:szCs w:val="28"/>
        </w:rPr>
      </w:pPr>
      <w:r w:rsidRPr="00F97CDC">
        <w:rPr>
          <w:rFonts w:ascii="Sakkal Majalla" w:hAnsi="Sakkal Majalla" w:cs="Sakkal Majalla"/>
          <w:color w:val="auto"/>
          <w:sz w:val="28"/>
          <w:szCs w:val="28"/>
          <w:rtl/>
        </w:rPr>
        <w:t xml:space="preserve"> تنطلق الدراسة من افتراض أن تطبيق الحوكمة المؤسسية يمثل محركًا استراتيجيًا للتميز المؤسسي الشامل</w:t>
      </w:r>
      <w:r w:rsidRPr="00F97CDC">
        <w:rPr>
          <w:rFonts w:ascii="Sakkal Majalla" w:hAnsi="Sakkal Majalla" w:cs="Sakkal Majalla"/>
          <w:color w:val="auto"/>
          <w:sz w:val="28"/>
          <w:szCs w:val="28"/>
        </w:rPr>
        <w:t xml:space="preserve"> </w:t>
      </w:r>
      <w:r w:rsidRPr="00F97CDC">
        <w:rPr>
          <w:rFonts w:ascii="Sakkal Majalla" w:hAnsi="Sakkal Majalla" w:cs="Sakkal Majalla"/>
          <w:color w:val="auto"/>
          <w:sz w:val="28"/>
          <w:szCs w:val="28"/>
          <w:rtl/>
        </w:rPr>
        <w:t>في المنظمات السعودية (عينة الدراسة)</w:t>
      </w:r>
      <w:r w:rsidRPr="00F97CDC">
        <w:rPr>
          <w:rFonts w:ascii="Sakkal Majalla" w:hAnsi="Sakkal Majalla" w:cs="Sakkal Majalla"/>
          <w:color w:val="auto"/>
          <w:sz w:val="28"/>
          <w:szCs w:val="28"/>
        </w:rPr>
        <w:t>.</w:t>
      </w:r>
    </w:p>
    <w:p w14:paraId="5823A00F" w14:textId="77777777" w:rsidR="00F97CDC" w:rsidRPr="00F97CDC" w:rsidRDefault="00F97CDC" w:rsidP="00F97CDC">
      <w:pPr>
        <w:bidi/>
      </w:pPr>
    </w:p>
    <w:p w14:paraId="4CD52DDA" w14:textId="77777777" w:rsidR="00F97CDC" w:rsidRDefault="00F97CDC" w:rsidP="00F97CDC">
      <w:pPr>
        <w:pStyle w:val="Heading3"/>
        <w:bidi/>
        <w:spacing w:before="0"/>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الفرضيات الفرعية البديلة</w:t>
      </w:r>
    </w:p>
    <w:p w14:paraId="30845BF6" w14:textId="0673CFD9" w:rsidR="00F97CDC" w:rsidRDefault="00F97CDC" w:rsidP="00F97CDC">
      <w:pPr>
        <w:pStyle w:val="Heading3"/>
        <w:bidi/>
        <w:spacing w:before="0"/>
        <w:rPr>
          <w:rFonts w:ascii="Sakkal Majalla" w:hAnsi="Sakkal Majalla" w:cs="Sakkal Majalla"/>
          <w:color w:val="auto"/>
          <w:sz w:val="28"/>
          <w:szCs w:val="28"/>
        </w:rPr>
      </w:pPr>
      <w:r w:rsidRPr="00F97CDC">
        <w:rPr>
          <w:rFonts w:ascii="Sakkal Majalla" w:hAnsi="Sakkal Majalla" w:cs="Sakkal Majalla" w:hint="cs"/>
          <w:color w:val="auto"/>
          <w:sz w:val="28"/>
          <w:szCs w:val="28"/>
          <w:rtl/>
        </w:rPr>
        <w:t xml:space="preserve"> </w:t>
      </w:r>
      <w:r w:rsidRPr="00F97CDC">
        <w:rPr>
          <w:rFonts w:ascii="Sakkal Majalla" w:hAnsi="Sakkal Majalla" w:cs="Sakkal Majalla"/>
          <w:color w:val="auto"/>
          <w:sz w:val="28"/>
          <w:szCs w:val="28"/>
          <w:rtl/>
        </w:rPr>
        <w:t>تركز هذه الفرضيات على اختبار الأثر النوعي للحوكمة على كل بعد من أبعاد التميز المؤسسي</w:t>
      </w:r>
    </w:p>
    <w:p w14:paraId="33AD6653" w14:textId="77777777" w:rsidR="00F97CDC" w:rsidRPr="00F97CDC" w:rsidRDefault="00F97CDC" w:rsidP="00F97CDC">
      <w:pPr>
        <w:bidi/>
      </w:pPr>
    </w:p>
    <w:tbl>
      <w:tblPr>
        <w:tblStyle w:val="PlainTable1"/>
        <w:tblW w:w="0" w:type="auto"/>
        <w:tblLook w:val="04A0" w:firstRow="1" w:lastRow="0" w:firstColumn="1" w:lastColumn="0" w:noHBand="0" w:noVBand="1"/>
      </w:tblPr>
      <w:tblGrid>
        <w:gridCol w:w="4962"/>
        <w:gridCol w:w="1701"/>
        <w:gridCol w:w="2263"/>
      </w:tblGrid>
      <w:tr w:rsidR="00F97CDC" w:rsidRPr="00F97CDC" w14:paraId="2F9BB446" w14:textId="07E4748E" w:rsidTr="002D76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2" w:type="dxa"/>
            <w:hideMark/>
          </w:tcPr>
          <w:p w14:paraId="62B0B1A3" w14:textId="77777777" w:rsidR="00F97CDC" w:rsidRPr="00F97CDC" w:rsidRDefault="00F97CDC" w:rsidP="00F97CDC">
            <w:pPr>
              <w:bidi/>
              <w:jc w:val="center"/>
              <w:rPr>
                <w:rFonts w:ascii="Sakkal Majalla" w:hAnsi="Sakkal Majalla" w:cs="Sakkal Majalla"/>
                <w:sz w:val="24"/>
                <w:szCs w:val="24"/>
              </w:rPr>
            </w:pPr>
            <w:r w:rsidRPr="00F97CDC">
              <w:rPr>
                <w:rStyle w:val="Strong"/>
                <w:rFonts w:ascii="Sakkal Majalla" w:hAnsi="Sakkal Majalla" w:cs="Sakkal Majalla"/>
                <w:b/>
                <w:bCs/>
                <w:sz w:val="24"/>
                <w:szCs w:val="24"/>
                <w:rtl/>
              </w:rPr>
              <w:t>صياغة الفرضية البديلة</w:t>
            </w:r>
          </w:p>
        </w:tc>
        <w:tc>
          <w:tcPr>
            <w:tcW w:w="1701" w:type="dxa"/>
          </w:tcPr>
          <w:p w14:paraId="0457E195" w14:textId="7B20EBF1" w:rsidR="00F97CDC" w:rsidRPr="00F97CDC" w:rsidRDefault="00F97CDC" w:rsidP="00F97CDC">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المتغير التابع</w:t>
            </w:r>
          </w:p>
        </w:tc>
        <w:tc>
          <w:tcPr>
            <w:tcW w:w="2263" w:type="dxa"/>
          </w:tcPr>
          <w:p w14:paraId="625827FA" w14:textId="678C16E9" w:rsidR="00F97CDC" w:rsidRPr="00F97CDC" w:rsidRDefault="00F97CDC" w:rsidP="00F97CDC">
            <w:pPr>
              <w:bidi/>
              <w:jc w:val="center"/>
              <w:cnfStyle w:val="100000000000" w:firstRow="1" w:lastRow="0" w:firstColumn="0" w:lastColumn="0" w:oddVBand="0" w:evenVBand="0" w:oddHBand="0" w:evenHBand="0" w:firstRowFirstColumn="0" w:firstRowLastColumn="0" w:lastRowFirstColumn="0" w:lastRowLastColumn="0"/>
              <w:rPr>
                <w:rStyle w:val="Strong"/>
                <w:rFonts w:ascii="Sakkal Majalla" w:hAnsi="Sakkal Majalla" w:cs="Sakkal Majalla"/>
                <w:b/>
                <w:bCs/>
                <w:sz w:val="24"/>
                <w:szCs w:val="24"/>
                <w:rtl/>
              </w:rPr>
            </w:pPr>
            <w:r w:rsidRPr="00F97CDC">
              <w:rPr>
                <w:rFonts w:ascii="Sakkal Majalla" w:hAnsi="Sakkal Majalla" w:cs="Sakkal Majalla"/>
                <w:sz w:val="24"/>
                <w:szCs w:val="24"/>
                <w:rtl/>
              </w:rPr>
              <w:t>المتغير المستقل</w:t>
            </w:r>
          </w:p>
        </w:tc>
      </w:tr>
      <w:tr w:rsidR="00F97CDC" w:rsidRPr="00F97CDC" w14:paraId="7C66AFBB" w14:textId="6B028B18" w:rsidTr="002D7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2" w:type="dxa"/>
            <w:hideMark/>
          </w:tcPr>
          <w:p w14:paraId="11D390CC" w14:textId="7C130F46" w:rsidR="00F97CDC" w:rsidRPr="00F97CDC" w:rsidRDefault="00F97CDC" w:rsidP="00F97CDC">
            <w:pPr>
              <w:bidi/>
              <w:rPr>
                <w:rFonts w:ascii="Sakkal Majalla" w:hAnsi="Sakkal Majalla" w:cs="Sakkal Majalla"/>
                <w:b w:val="0"/>
                <w:bCs w:val="0"/>
                <w:sz w:val="24"/>
                <w:szCs w:val="24"/>
              </w:rPr>
            </w:pPr>
            <w:r w:rsidRPr="00F97CDC">
              <w:rPr>
                <w:rFonts w:ascii="Sakkal Majalla" w:hAnsi="Sakkal Majalla" w:cs="Sakkal Majalla"/>
                <w:b w:val="0"/>
                <w:bCs w:val="0"/>
                <w:sz w:val="24"/>
                <w:szCs w:val="24"/>
                <w:rtl/>
              </w:rPr>
              <w:t>يوجد أثر ذو دلالة إحصائية إيجابي</w:t>
            </w:r>
            <w:r w:rsidR="00A125E3">
              <w:rPr>
                <w:rFonts w:ascii="Sakkal Majalla" w:hAnsi="Sakkal Majalla" w:cs="Sakkal Majalla" w:hint="cs"/>
                <w:b w:val="0"/>
                <w:bCs w:val="0"/>
                <w:sz w:val="24"/>
                <w:szCs w:val="24"/>
                <w:rtl/>
              </w:rPr>
              <w:t>ة</w:t>
            </w:r>
            <w:r w:rsidRPr="00F97CDC">
              <w:rPr>
                <w:rFonts w:ascii="Sakkal Majalla" w:hAnsi="Sakkal Majalla" w:cs="Sakkal Majalla"/>
                <w:b w:val="0"/>
                <w:bCs w:val="0"/>
                <w:sz w:val="24"/>
                <w:szCs w:val="24"/>
                <w:rtl/>
              </w:rPr>
              <w:t xml:space="preserve"> لتطبيق الحوكمة المؤسسية على تحقيق التميز التشغيلي في المنظمات السعودية</w:t>
            </w:r>
            <w:r w:rsidRPr="00F97CDC">
              <w:rPr>
                <w:rFonts w:ascii="Sakkal Majalla" w:hAnsi="Sakkal Majalla" w:cs="Sakkal Majalla"/>
                <w:b w:val="0"/>
                <w:bCs w:val="0"/>
                <w:sz w:val="24"/>
                <w:szCs w:val="24"/>
              </w:rPr>
              <w:t>.</w:t>
            </w:r>
          </w:p>
        </w:tc>
        <w:tc>
          <w:tcPr>
            <w:tcW w:w="1701" w:type="dxa"/>
          </w:tcPr>
          <w:p w14:paraId="53FB74DC" w14:textId="3908769C" w:rsidR="00F97CDC" w:rsidRPr="00F97CDC" w:rsidRDefault="00F97CDC" w:rsidP="002D76E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التميز التشغيلي</w:t>
            </w:r>
          </w:p>
        </w:tc>
        <w:tc>
          <w:tcPr>
            <w:tcW w:w="2263" w:type="dxa"/>
          </w:tcPr>
          <w:p w14:paraId="5B9EF96D" w14:textId="3A75CB0D" w:rsidR="00F97CDC" w:rsidRPr="00F97CDC" w:rsidRDefault="00F97CDC" w:rsidP="002D76E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الحوكمة المؤسسية</w:t>
            </w:r>
          </w:p>
        </w:tc>
      </w:tr>
      <w:tr w:rsidR="00F97CDC" w:rsidRPr="00F97CDC" w14:paraId="56D81F6C" w14:textId="7CD39F0A" w:rsidTr="002D76E9">
        <w:tc>
          <w:tcPr>
            <w:cnfStyle w:val="001000000000" w:firstRow="0" w:lastRow="0" w:firstColumn="1" w:lastColumn="0" w:oddVBand="0" w:evenVBand="0" w:oddHBand="0" w:evenHBand="0" w:firstRowFirstColumn="0" w:firstRowLastColumn="0" w:lastRowFirstColumn="0" w:lastRowLastColumn="0"/>
            <w:tcW w:w="4962" w:type="dxa"/>
            <w:hideMark/>
          </w:tcPr>
          <w:p w14:paraId="7B8FCDD3" w14:textId="1C6DB23A" w:rsidR="00F97CDC" w:rsidRPr="00F97CDC" w:rsidRDefault="00F97CDC" w:rsidP="00F97CDC">
            <w:pPr>
              <w:bidi/>
              <w:rPr>
                <w:rFonts w:ascii="Sakkal Majalla" w:hAnsi="Sakkal Majalla" w:cs="Sakkal Majalla"/>
                <w:b w:val="0"/>
                <w:bCs w:val="0"/>
                <w:sz w:val="24"/>
                <w:szCs w:val="24"/>
              </w:rPr>
            </w:pPr>
            <w:r w:rsidRPr="00F97CDC">
              <w:rPr>
                <w:rFonts w:ascii="Sakkal Majalla" w:hAnsi="Sakkal Majalla" w:cs="Sakkal Majalla"/>
                <w:b w:val="0"/>
                <w:bCs w:val="0"/>
                <w:sz w:val="24"/>
                <w:szCs w:val="24"/>
                <w:rtl/>
              </w:rPr>
              <w:t>يوجد أثر ذو دلالة إحصائية إيجابي</w:t>
            </w:r>
            <w:r w:rsidR="00A125E3">
              <w:rPr>
                <w:rFonts w:ascii="Sakkal Majalla" w:hAnsi="Sakkal Majalla" w:cs="Sakkal Majalla" w:hint="cs"/>
                <w:b w:val="0"/>
                <w:bCs w:val="0"/>
                <w:sz w:val="24"/>
                <w:szCs w:val="24"/>
                <w:rtl/>
              </w:rPr>
              <w:t>ة</w:t>
            </w:r>
            <w:r w:rsidRPr="00F97CDC">
              <w:rPr>
                <w:rFonts w:ascii="Sakkal Majalla" w:hAnsi="Sakkal Majalla" w:cs="Sakkal Majalla"/>
                <w:b w:val="0"/>
                <w:bCs w:val="0"/>
                <w:sz w:val="24"/>
                <w:szCs w:val="24"/>
                <w:rtl/>
              </w:rPr>
              <w:t xml:space="preserve"> لتطبيق الحوكمة المؤسسية على تحقيق التميز الاستراتيجي في المنظمات السعودية</w:t>
            </w:r>
            <w:r w:rsidRPr="00F97CDC">
              <w:rPr>
                <w:rFonts w:ascii="Sakkal Majalla" w:hAnsi="Sakkal Majalla" w:cs="Sakkal Majalla"/>
                <w:b w:val="0"/>
                <w:bCs w:val="0"/>
                <w:sz w:val="24"/>
                <w:szCs w:val="24"/>
              </w:rPr>
              <w:t>.</w:t>
            </w:r>
          </w:p>
        </w:tc>
        <w:tc>
          <w:tcPr>
            <w:tcW w:w="1701" w:type="dxa"/>
          </w:tcPr>
          <w:p w14:paraId="67771C10" w14:textId="14BB1478" w:rsidR="00F97CDC" w:rsidRPr="00F97CDC" w:rsidRDefault="00F97CDC" w:rsidP="002D76E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التميز الاستراتيجي</w:t>
            </w:r>
          </w:p>
        </w:tc>
        <w:tc>
          <w:tcPr>
            <w:tcW w:w="2263" w:type="dxa"/>
          </w:tcPr>
          <w:p w14:paraId="5D8937AB" w14:textId="70BEEC2B" w:rsidR="00F97CDC" w:rsidRPr="00F97CDC" w:rsidRDefault="00F97CDC" w:rsidP="002D76E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الحوكمة المؤسسية</w:t>
            </w:r>
          </w:p>
        </w:tc>
      </w:tr>
    </w:tbl>
    <w:p w14:paraId="3EC592C6" w14:textId="76621D1B" w:rsidR="00EE13A9" w:rsidRPr="00060054" w:rsidRDefault="00EE13A9" w:rsidP="00060054">
      <w:pPr>
        <w:bidi/>
        <w:spacing w:after="200" w:line="276" w:lineRule="auto"/>
        <w:ind w:right="-567"/>
        <w:jc w:val="both"/>
        <w:rPr>
          <w:rFonts w:ascii="Sakkal Majalla" w:hAnsi="Sakkal Majalla" w:cs="Sakkal Majalla"/>
          <w:b/>
          <w:bCs/>
          <w:color w:val="000000" w:themeColor="text1"/>
          <w:sz w:val="28"/>
          <w:szCs w:val="28"/>
          <w:rtl/>
        </w:rPr>
      </w:pPr>
      <w:r w:rsidRPr="00060054">
        <w:rPr>
          <w:rFonts w:ascii="Sakkal Majalla" w:hAnsi="Sakkal Majalla" w:cs="Sakkal Majalla"/>
          <w:b/>
          <w:bCs/>
          <w:color w:val="000000" w:themeColor="text1"/>
          <w:sz w:val="28"/>
          <w:szCs w:val="28"/>
          <w:rtl/>
        </w:rPr>
        <w:lastRenderedPageBreak/>
        <w:t>أهمية الدراسة (النظرية والتطبيقية):</w:t>
      </w:r>
    </w:p>
    <w:p w14:paraId="0B58F2C4" w14:textId="125ED034" w:rsidR="002C2B31" w:rsidRPr="00060054" w:rsidRDefault="002C2B31" w:rsidP="002C2B31">
      <w:pPr>
        <w:bidi/>
        <w:spacing w:after="200" w:line="276" w:lineRule="auto"/>
        <w:ind w:right="-567"/>
        <w:jc w:val="both"/>
        <w:rPr>
          <w:rFonts w:ascii="Sakkal Majalla" w:hAnsi="Sakkal Majalla" w:cs="Sakkal Majalla"/>
          <w:b/>
          <w:bCs/>
          <w:color w:val="000000" w:themeColor="text1"/>
          <w:sz w:val="28"/>
          <w:szCs w:val="28"/>
        </w:rPr>
      </w:pPr>
      <w:r w:rsidRPr="00060054">
        <w:rPr>
          <w:rFonts w:ascii="Sakkal Majalla" w:hAnsi="Sakkal Majalla" w:cs="Sakkal Majalla"/>
          <w:b/>
          <w:bCs/>
          <w:color w:val="000000" w:themeColor="text1"/>
          <w:sz w:val="28"/>
          <w:szCs w:val="28"/>
          <w:rtl/>
        </w:rPr>
        <w:t>الأهمية النظرية</w:t>
      </w:r>
      <w:r w:rsidRPr="00060054">
        <w:rPr>
          <w:rFonts w:ascii="Sakkal Majalla" w:hAnsi="Sakkal Majalla" w:cs="Sakkal Majalla"/>
          <w:b/>
          <w:bCs/>
          <w:color w:val="000000" w:themeColor="text1"/>
          <w:sz w:val="28"/>
          <w:szCs w:val="28"/>
        </w:rPr>
        <w:t xml:space="preserve"> (Theoretical Significance)</w:t>
      </w:r>
      <w:r w:rsidR="002D76E9">
        <w:rPr>
          <w:rFonts w:ascii="Sakkal Majalla" w:hAnsi="Sakkal Majalla" w:cs="Sakkal Majalla"/>
          <w:b/>
          <w:bCs/>
          <w:color w:val="000000" w:themeColor="text1"/>
          <w:sz w:val="28"/>
          <w:szCs w:val="28"/>
        </w:rPr>
        <w:t xml:space="preserve"> </w:t>
      </w:r>
    </w:p>
    <w:p w14:paraId="6E660B36"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إثراء الأدبيات بنموذج متكامل</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على عكس الدراسات التي تتناول الحوكمة بشكل مجزأ، تقدم هذه الدراسة نموذجًا متكاملًا يربط بين ممارسات الحوكمة (السبب)، والمشاكل المؤسسية </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الأعراض التي أشار إليها</w:t>
      </w:r>
      <w:r w:rsidRPr="002C2B31">
        <w:rPr>
          <w:rFonts w:ascii="Sakkal Majalla" w:hAnsi="Sakkal Majalla" w:cs="Sakkal Majalla"/>
          <w:b/>
          <w:bCs/>
          <w:color w:val="000000" w:themeColor="text1"/>
          <w:sz w:val="28"/>
          <w:szCs w:val="28"/>
        </w:rPr>
        <w:t xml:space="preserve"> Al-Saudi, 2021 </w:t>
      </w:r>
      <w:r w:rsidRPr="002C2B31">
        <w:rPr>
          <w:rFonts w:ascii="Sakkal Majalla" w:hAnsi="Sakkal Majalla" w:cs="Sakkal Majalla"/>
          <w:b/>
          <w:bCs/>
          <w:color w:val="000000" w:themeColor="text1"/>
          <w:sz w:val="28"/>
          <w:szCs w:val="28"/>
          <w:rtl/>
        </w:rPr>
        <w:t>و</w:t>
      </w:r>
      <w:r w:rsidRPr="002C2B31">
        <w:rPr>
          <w:rFonts w:ascii="Sakkal Majalla" w:hAnsi="Sakkal Majalla" w:cs="Sakkal Majalla"/>
          <w:b/>
          <w:bCs/>
          <w:color w:val="000000" w:themeColor="text1"/>
          <w:sz w:val="28"/>
          <w:szCs w:val="28"/>
        </w:rPr>
        <w:t xml:space="preserve"> Al-Otaibi, 2021 </w:t>
      </w:r>
      <w:r w:rsidRPr="002C2B31">
        <w:rPr>
          <w:rFonts w:ascii="Sakkal Majalla" w:hAnsi="Sakkal Majalla" w:cs="Sakkal Majalla"/>
          <w:b/>
          <w:bCs/>
          <w:color w:val="000000" w:themeColor="text1"/>
          <w:sz w:val="28"/>
          <w:szCs w:val="28"/>
          <w:rtl/>
        </w:rPr>
        <w:t>وغيرهم</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 والتميز المؤسسي بشقيه التشغيلي والاستراتيجي (النتيجة المرجوة). هذا النموذج يساهم في سد فجوة معرفية حول كيفية عمل هذه العلاقة بشكل شمولي</w:t>
      </w:r>
      <w:r w:rsidRPr="002C2B31">
        <w:rPr>
          <w:rFonts w:ascii="Sakkal Majalla" w:hAnsi="Sakkal Majalla" w:cs="Sakkal Majalla"/>
          <w:b/>
          <w:bCs/>
          <w:color w:val="000000" w:themeColor="text1"/>
          <w:sz w:val="28"/>
          <w:szCs w:val="28"/>
        </w:rPr>
        <w:t>.</w:t>
      </w:r>
    </w:p>
    <w:p w14:paraId="5BC917CB"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تعميق فهم دور الحوكمة</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تساهم الدراسة في نقل النقاش الأكاديمي من مجرد النظر إلى الحوكمة كـ "محفز للأداء" إلى فهمها كـ </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آلية حاسمة لمنع الضرر المؤسسي</w:t>
      </w:r>
      <w:r w:rsidRPr="002C2B31">
        <w:rPr>
          <w:rFonts w:ascii="Sakkal Majalla" w:hAnsi="Sakkal Majalla" w:cs="Sakkal Majalla"/>
          <w:b/>
          <w:bCs/>
          <w:color w:val="000000" w:themeColor="text1"/>
          <w:sz w:val="28"/>
          <w:szCs w:val="28"/>
        </w:rPr>
        <w:t xml:space="preserve">". </w:t>
      </w:r>
      <w:r w:rsidRPr="002C2B31">
        <w:rPr>
          <w:rFonts w:ascii="Sakkal Majalla" w:hAnsi="Sakkal Majalla" w:cs="Sakkal Majalla"/>
          <w:b/>
          <w:bCs/>
          <w:color w:val="000000" w:themeColor="text1"/>
          <w:sz w:val="28"/>
          <w:szCs w:val="28"/>
          <w:rtl/>
        </w:rPr>
        <w:t>هذا التأطير المزدوج (الوقائي والتطويري) يقدم منظورًا أكثر واقعية وعمقًا لنظرية الحوكمة، ويتماشى مع فكرة أن تجنب الفشل لا يقل أهمية عن تحقيق النجاح</w:t>
      </w:r>
      <w:r w:rsidRPr="002C2B31">
        <w:rPr>
          <w:rFonts w:ascii="Sakkal Majalla" w:hAnsi="Sakkal Majalla" w:cs="Sakkal Majalla"/>
          <w:b/>
          <w:bCs/>
          <w:color w:val="000000" w:themeColor="text1"/>
          <w:sz w:val="28"/>
          <w:szCs w:val="28"/>
        </w:rPr>
        <w:t>.</w:t>
      </w:r>
    </w:p>
    <w:p w14:paraId="4CA2A647"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اختبار النظريات في سياق فريد</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من خلال تطبيق الدراسة في بيئة الأعمال السعودية، فإنها تقدم دليلًا تجريبيًا حيويًا حول مدى صلاحية النماذج العالمية للحوكمة في سياق اقتصادي وثقافي سريع التغير، مما يساهم في تخصيص وتكييف النظريات لتكون أكثر ملاءمة للمنطقة</w:t>
      </w:r>
      <w:r w:rsidRPr="002C2B31">
        <w:rPr>
          <w:rFonts w:ascii="Sakkal Majalla" w:hAnsi="Sakkal Majalla" w:cs="Sakkal Majalla"/>
          <w:b/>
          <w:bCs/>
          <w:color w:val="000000" w:themeColor="text1"/>
          <w:sz w:val="28"/>
          <w:szCs w:val="28"/>
        </w:rPr>
        <w:t>.</w:t>
      </w:r>
    </w:p>
    <w:p w14:paraId="16D1E257" w14:textId="1889DA97" w:rsidR="002C2B31" w:rsidRPr="002C2B31" w:rsidRDefault="002C2B31" w:rsidP="002C2B31">
      <w:pPr>
        <w:bidi/>
        <w:spacing w:after="200" w:line="276" w:lineRule="auto"/>
        <w:ind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الأهمية التطبيقية</w:t>
      </w:r>
      <w:r w:rsidRPr="002C2B31">
        <w:rPr>
          <w:rFonts w:ascii="Sakkal Majalla" w:hAnsi="Sakkal Majalla" w:cs="Sakkal Majalla"/>
          <w:b/>
          <w:bCs/>
          <w:color w:val="000000" w:themeColor="text1"/>
          <w:sz w:val="28"/>
          <w:szCs w:val="28"/>
        </w:rPr>
        <w:t xml:space="preserve"> (Practical Significance)</w:t>
      </w:r>
      <w:r w:rsidR="002D76E9">
        <w:rPr>
          <w:rFonts w:ascii="Sakkal Majalla" w:hAnsi="Sakkal Majalla" w:cs="Sakkal Majalla"/>
          <w:b/>
          <w:bCs/>
          <w:color w:val="000000" w:themeColor="text1"/>
          <w:sz w:val="28"/>
          <w:szCs w:val="28"/>
        </w:rPr>
        <w:t xml:space="preserve"> </w:t>
      </w:r>
    </w:p>
    <w:p w14:paraId="0CE4D057" w14:textId="06F9DA3B" w:rsidR="002C2B31" w:rsidRPr="002C2B31" w:rsidRDefault="00EF6C62" w:rsidP="00EF6C62">
      <w:pPr>
        <w:numPr>
          <w:ilvl w:val="0"/>
          <w:numId w:val="24"/>
        </w:numPr>
        <w:tabs>
          <w:tab w:val="clear" w:pos="720"/>
          <w:tab w:val="num" w:pos="423"/>
        </w:tabs>
        <w:bidi/>
        <w:spacing w:after="200" w:line="276" w:lineRule="auto"/>
        <w:ind w:left="281" w:right="-567"/>
        <w:jc w:val="both"/>
        <w:rPr>
          <w:rFonts w:ascii="Sakkal Majalla" w:hAnsi="Sakkal Majalla" w:cs="Sakkal Majalla"/>
          <w:color w:val="000000" w:themeColor="text1"/>
          <w:sz w:val="28"/>
          <w:szCs w:val="28"/>
        </w:rPr>
      </w:pPr>
      <w:r w:rsidRPr="00EF6C62">
        <w:rPr>
          <w:rFonts w:ascii="Sakkal Majalla" w:hAnsi="Sakkal Majalla" w:cs="Sakkal Majalla"/>
          <w:b/>
          <w:bCs/>
          <w:color w:val="000000" w:themeColor="text1"/>
          <w:sz w:val="28"/>
          <w:szCs w:val="28"/>
          <w:rtl/>
        </w:rPr>
        <w:t>بناء نموذج تطبيقي</w:t>
      </w:r>
      <w:r>
        <w:rPr>
          <w:rFonts w:ascii="Sakkal Majalla" w:hAnsi="Sakkal Majalla" w:cs="Sakkal Majalla" w:hint="cs"/>
          <w:b/>
          <w:bCs/>
          <w:color w:val="000000" w:themeColor="text1"/>
          <w:sz w:val="28"/>
          <w:szCs w:val="28"/>
          <w:rtl/>
        </w:rPr>
        <w:t xml:space="preserve">: </w:t>
      </w:r>
      <w:r w:rsidR="002C2B31" w:rsidRPr="002C2B31">
        <w:rPr>
          <w:rFonts w:ascii="Sakkal Majalla" w:hAnsi="Sakkal Majalla" w:cs="Sakkal Majalla"/>
          <w:color w:val="000000" w:themeColor="text1"/>
          <w:sz w:val="28"/>
          <w:szCs w:val="28"/>
          <w:rtl/>
        </w:rPr>
        <w:t>ستقدم نتائج الدراسة للقادة وصنّاع القرار في المنظمات السعودية مبررًا عمليًا</w:t>
      </w:r>
      <w:r w:rsidR="002C2B31" w:rsidRPr="002C2B31">
        <w:rPr>
          <w:rFonts w:ascii="Sakkal Majalla" w:hAnsi="Sakkal Majalla" w:cs="Sakkal Majalla"/>
          <w:color w:val="000000" w:themeColor="text1"/>
          <w:sz w:val="28"/>
          <w:szCs w:val="28"/>
        </w:rPr>
        <w:t xml:space="preserve"> (Business Case) </w:t>
      </w:r>
      <w:r w:rsidR="002C2B31" w:rsidRPr="002C2B31">
        <w:rPr>
          <w:rFonts w:ascii="Sakkal Majalla" w:hAnsi="Sakkal Majalla" w:cs="Sakkal Majalla"/>
          <w:color w:val="000000" w:themeColor="text1"/>
          <w:sz w:val="28"/>
          <w:szCs w:val="28"/>
          <w:rtl/>
        </w:rPr>
        <w:t>للنظر إلى الحوكمة ليس كعبء تنظيمي، بل كاستثمار استراتيجي ضروري.</w:t>
      </w:r>
      <w:r w:rsidR="002C2B31" w:rsidRPr="002C2B31">
        <w:rPr>
          <w:rFonts w:ascii="Sakkal Majalla" w:hAnsi="Sakkal Majalla" w:cs="Sakkal Majalla"/>
          <w:color w:val="000000" w:themeColor="text1"/>
          <w:sz w:val="28"/>
          <w:szCs w:val="28"/>
        </w:rPr>
        <w:t>.</w:t>
      </w:r>
    </w:p>
    <w:p w14:paraId="41195DF1" w14:textId="010BD919" w:rsidR="002C2B31" w:rsidRPr="002C2B31" w:rsidRDefault="002C2B31" w:rsidP="002C2B31">
      <w:pPr>
        <w:numPr>
          <w:ilvl w:val="0"/>
          <w:numId w:val="24"/>
        </w:numPr>
        <w:tabs>
          <w:tab w:val="clear" w:pos="720"/>
          <w:tab w:val="num" w:pos="423"/>
        </w:tabs>
        <w:bidi/>
        <w:spacing w:after="200" w:line="276" w:lineRule="auto"/>
        <w:ind w:left="281"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خارطة طريق للتحسين</w:t>
      </w:r>
      <w:r w:rsidRPr="002C2B31">
        <w:rPr>
          <w:rFonts w:ascii="Sakkal Majalla" w:hAnsi="Sakkal Majalla" w:cs="Sakkal Majalla"/>
          <w:b/>
          <w:bCs/>
          <w:color w:val="000000" w:themeColor="text1"/>
          <w:sz w:val="28"/>
          <w:szCs w:val="28"/>
        </w:rPr>
        <w:t>: </w:t>
      </w:r>
      <w:r w:rsidRPr="002C2B31">
        <w:rPr>
          <w:rFonts w:ascii="Sakkal Majalla" w:hAnsi="Sakkal Majalla" w:cs="Sakkal Majalla"/>
          <w:color w:val="000000" w:themeColor="text1"/>
          <w:sz w:val="28"/>
          <w:szCs w:val="28"/>
          <w:rtl/>
        </w:rPr>
        <w:t xml:space="preserve">من خلال تحديد المشاكل المؤسسية وربطها مباشرة بقصور ممارسات الحوكمة، ستقدم الدراسة خارطة طريق تشخيصية للمنظمات. يمكن استخدام النتائج لتحديد نقاط الضعف في منظومة </w:t>
      </w:r>
      <w:r w:rsidR="00EF6C62" w:rsidRPr="002C2B31">
        <w:rPr>
          <w:rFonts w:ascii="Sakkal Majalla" w:hAnsi="Sakkal Majalla" w:cs="Sakkal Majalla" w:hint="cs"/>
          <w:color w:val="000000" w:themeColor="text1"/>
          <w:sz w:val="28"/>
          <w:szCs w:val="28"/>
          <w:rtl/>
        </w:rPr>
        <w:t>الحوكمة،</w:t>
      </w:r>
      <w:r w:rsidRPr="002C2B31">
        <w:rPr>
          <w:rFonts w:ascii="Sakkal Majalla" w:hAnsi="Sakkal Majalla" w:cs="Sakkal Majalla"/>
          <w:color w:val="000000" w:themeColor="text1"/>
          <w:sz w:val="28"/>
          <w:szCs w:val="28"/>
          <w:rtl/>
        </w:rPr>
        <w:t xml:space="preserve"> والتركيز على الممارسات التي تحقق الأثر الأكبر في معالجة </w:t>
      </w:r>
      <w:r w:rsidR="00EF6C62">
        <w:rPr>
          <w:rFonts w:ascii="Sakkal Majalla" w:hAnsi="Sakkal Majalla" w:cs="Sakkal Majalla" w:hint="cs"/>
          <w:color w:val="000000" w:themeColor="text1"/>
          <w:sz w:val="28"/>
          <w:szCs w:val="28"/>
          <w:rtl/>
        </w:rPr>
        <w:t>العوائق</w:t>
      </w:r>
      <w:r w:rsidRPr="002C2B31">
        <w:rPr>
          <w:rFonts w:ascii="Sakkal Majalla" w:hAnsi="Sakkal Majalla" w:cs="Sakkal Majalla"/>
          <w:color w:val="000000" w:themeColor="text1"/>
          <w:sz w:val="28"/>
          <w:szCs w:val="28"/>
          <w:rtl/>
        </w:rPr>
        <w:t xml:space="preserve"> الحقيقية</w:t>
      </w:r>
      <w:r w:rsidRPr="002C2B31">
        <w:rPr>
          <w:rFonts w:ascii="Sakkal Majalla" w:hAnsi="Sakkal Majalla" w:cs="Sakkal Majalla"/>
          <w:color w:val="000000" w:themeColor="text1"/>
          <w:sz w:val="28"/>
          <w:szCs w:val="28"/>
        </w:rPr>
        <w:t>.</w:t>
      </w:r>
    </w:p>
    <w:p w14:paraId="0535B335" w14:textId="334F7DDC" w:rsidR="002C2B31" w:rsidRDefault="002C2B31" w:rsidP="002C2B31">
      <w:pPr>
        <w:numPr>
          <w:ilvl w:val="0"/>
          <w:numId w:val="24"/>
        </w:numPr>
        <w:tabs>
          <w:tab w:val="clear" w:pos="720"/>
          <w:tab w:val="num" w:pos="423"/>
        </w:tabs>
        <w:bidi/>
        <w:spacing w:after="200" w:line="276" w:lineRule="auto"/>
        <w:ind w:left="281" w:right="-567"/>
        <w:jc w:val="both"/>
        <w:rPr>
          <w:rFonts w:ascii="Sakkal Majalla" w:hAnsi="Sakkal Majalla" w:cs="Sakkal Majalla"/>
          <w:color w:val="000000" w:themeColor="text1"/>
          <w:sz w:val="28"/>
          <w:szCs w:val="28"/>
        </w:rPr>
      </w:pPr>
      <w:r w:rsidRPr="002C2B31">
        <w:rPr>
          <w:rFonts w:ascii="Sakkal Majalla" w:hAnsi="Sakkal Majalla" w:cs="Sakkal Majalla"/>
          <w:b/>
          <w:bCs/>
          <w:color w:val="000000" w:themeColor="text1"/>
          <w:sz w:val="28"/>
          <w:szCs w:val="28"/>
          <w:rtl/>
        </w:rPr>
        <w:t xml:space="preserve">دعم صانعي </w:t>
      </w:r>
      <w:r w:rsidR="00EF6C62" w:rsidRPr="002C2B31">
        <w:rPr>
          <w:rFonts w:ascii="Sakkal Majalla" w:hAnsi="Sakkal Majalla" w:cs="Sakkal Majalla" w:hint="cs"/>
          <w:b/>
          <w:bCs/>
          <w:color w:val="000000" w:themeColor="text1"/>
          <w:sz w:val="28"/>
          <w:szCs w:val="28"/>
          <w:rtl/>
        </w:rPr>
        <w:t>السياسات</w:t>
      </w:r>
      <w:r w:rsidR="00EF6C62">
        <w:rPr>
          <w:rFonts w:ascii="Sakkal Majalla" w:hAnsi="Sakkal Majalla" w:cs="Sakkal Majalla" w:hint="cs"/>
          <w:b/>
          <w:bCs/>
          <w:color w:val="000000" w:themeColor="text1"/>
          <w:sz w:val="28"/>
          <w:szCs w:val="28"/>
          <w:rtl/>
        </w:rPr>
        <w:t>:</w:t>
      </w:r>
      <w:r w:rsidRPr="002C2B31">
        <w:rPr>
          <w:rFonts w:ascii="Sakkal Majalla" w:hAnsi="Sakkal Majalla" w:cs="Sakkal Majalla"/>
          <w:b/>
          <w:bCs/>
          <w:color w:val="000000" w:themeColor="text1"/>
          <w:sz w:val="28"/>
          <w:szCs w:val="28"/>
        </w:rPr>
        <w:t> </w:t>
      </w:r>
      <w:r w:rsidR="00EF6C62" w:rsidRPr="00EF6C62">
        <w:rPr>
          <w:rFonts w:ascii="Sakkal Majalla" w:hAnsi="Sakkal Majalla" w:cs="Sakkal Majalla" w:hint="cs"/>
          <w:color w:val="000000" w:themeColor="text1"/>
          <w:sz w:val="28"/>
          <w:szCs w:val="28"/>
          <w:rtl/>
        </w:rPr>
        <w:t>توفير</w:t>
      </w:r>
      <w:r w:rsidRPr="002C2B31">
        <w:rPr>
          <w:rFonts w:ascii="Sakkal Majalla" w:hAnsi="Sakkal Majalla" w:cs="Sakkal Majalla"/>
          <w:color w:val="000000" w:themeColor="text1"/>
          <w:sz w:val="28"/>
          <w:szCs w:val="28"/>
          <w:rtl/>
        </w:rPr>
        <w:t xml:space="preserve"> بيانات ورؤى عملية لواضعي السياسات والجهات التنظيمية حول مدى فعالية الأطر الحالية للحوكمة. هذه الرؤى يمكن أن تساهم في تطوير تشريعات مستقبلية تركز على "جوهر" الحوكمة وأثرها الفعلي، بدلاً من مجرد "شكلها" الخارجي، بما يخدم تحقيق أهداف رؤية 2030 في رفع كفاءة وتنافسية الاقتصاد الوطني</w:t>
      </w:r>
      <w:r w:rsidRPr="002C2B31">
        <w:rPr>
          <w:rFonts w:ascii="Sakkal Majalla" w:hAnsi="Sakkal Majalla" w:cs="Sakkal Majalla"/>
          <w:color w:val="000000" w:themeColor="text1"/>
          <w:sz w:val="28"/>
          <w:szCs w:val="28"/>
        </w:rPr>
        <w:t>.</w:t>
      </w:r>
    </w:p>
    <w:p w14:paraId="7A765B3E" w14:textId="77777777" w:rsidR="00EF6C62" w:rsidRDefault="00EF6C62" w:rsidP="00EF6C62">
      <w:pPr>
        <w:bidi/>
        <w:spacing w:after="200" w:line="276" w:lineRule="auto"/>
        <w:ind w:left="281" w:right="-567"/>
        <w:jc w:val="both"/>
        <w:rPr>
          <w:rFonts w:ascii="Sakkal Majalla" w:hAnsi="Sakkal Majalla" w:cs="Sakkal Majalla"/>
          <w:color w:val="000000" w:themeColor="text1"/>
          <w:sz w:val="28"/>
          <w:szCs w:val="28"/>
        </w:rPr>
      </w:pPr>
    </w:p>
    <w:p w14:paraId="643CFD6F" w14:textId="77777777" w:rsidR="00F97CDC" w:rsidRPr="002C2B31" w:rsidRDefault="00F97CDC" w:rsidP="00F97CDC">
      <w:pPr>
        <w:bidi/>
        <w:spacing w:after="200" w:line="276" w:lineRule="auto"/>
        <w:ind w:left="281" w:right="-567"/>
        <w:jc w:val="both"/>
        <w:rPr>
          <w:rFonts w:ascii="Sakkal Majalla" w:hAnsi="Sakkal Majalla" w:cs="Sakkal Majalla"/>
          <w:color w:val="000000" w:themeColor="text1"/>
          <w:sz w:val="28"/>
          <w:szCs w:val="28"/>
        </w:rPr>
      </w:pPr>
    </w:p>
    <w:p w14:paraId="39C52696"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lastRenderedPageBreak/>
        <w:t>أهداف الدراسة</w:t>
      </w:r>
      <w:r w:rsidRPr="00EF6C62">
        <w:rPr>
          <w:rFonts w:ascii="Sakkal Majalla" w:hAnsi="Sakkal Majalla" w:cs="Sakkal Majalla"/>
          <w:b/>
          <w:bCs/>
          <w:color w:val="000000" w:themeColor="text1"/>
          <w:sz w:val="28"/>
          <w:szCs w:val="28"/>
        </w:rPr>
        <w:t xml:space="preserve"> (Research Objectives)</w:t>
      </w:r>
    </w:p>
    <w:p w14:paraId="798799CE"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الهدف الرئيسي</w:t>
      </w:r>
      <w:r w:rsidRPr="00EF6C62">
        <w:rPr>
          <w:rFonts w:ascii="Sakkal Majalla" w:hAnsi="Sakkal Majalla" w:cs="Sakkal Majalla"/>
          <w:b/>
          <w:bCs/>
          <w:color w:val="000000" w:themeColor="text1"/>
          <w:sz w:val="28"/>
          <w:szCs w:val="28"/>
        </w:rPr>
        <w:t>:</w:t>
      </w:r>
    </w:p>
    <w:p w14:paraId="62246A25" w14:textId="5CD35D88" w:rsidR="00EF6C62" w:rsidRPr="00EF6C62" w:rsidRDefault="00EF6C62" w:rsidP="00EF6C62">
      <w:pPr>
        <w:bidi/>
        <w:spacing w:after="200" w:line="276" w:lineRule="auto"/>
        <w:ind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التحقق من أثر تطبيق الحوكمة المؤسسية في الحد من ال</w:t>
      </w:r>
      <w:r w:rsidR="00060054">
        <w:rPr>
          <w:rFonts w:ascii="Sakkal Majalla" w:hAnsi="Sakkal Majalla" w:cs="Sakkal Majalla" w:hint="cs"/>
          <w:color w:val="000000" w:themeColor="text1"/>
          <w:sz w:val="28"/>
          <w:szCs w:val="28"/>
          <w:rtl/>
        </w:rPr>
        <w:t>عوائق</w:t>
      </w:r>
      <w:r w:rsidRPr="00EF6C62">
        <w:rPr>
          <w:rFonts w:ascii="Sakkal Majalla" w:hAnsi="Sakkal Majalla" w:cs="Sakkal Majalla"/>
          <w:color w:val="000000" w:themeColor="text1"/>
          <w:sz w:val="28"/>
          <w:szCs w:val="28"/>
          <w:rtl/>
        </w:rPr>
        <w:t xml:space="preserve"> المؤسسية، وقياس مدى مساهمتها في تحقيق كل من التميز التشغيلي والتميز الاستراتيجي في المنظمات السعودية</w:t>
      </w:r>
      <w:r w:rsidRPr="00EF6C62">
        <w:rPr>
          <w:rFonts w:ascii="Sakkal Majalla" w:hAnsi="Sakkal Majalla" w:cs="Sakkal Majalla"/>
          <w:color w:val="000000" w:themeColor="text1"/>
          <w:sz w:val="28"/>
          <w:szCs w:val="28"/>
        </w:rPr>
        <w:t>.</w:t>
      </w:r>
    </w:p>
    <w:p w14:paraId="2A090674"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الأهداف الفرعية</w:t>
      </w:r>
      <w:r w:rsidRPr="00EF6C62">
        <w:rPr>
          <w:rFonts w:ascii="Sakkal Majalla" w:hAnsi="Sakkal Majalla" w:cs="Sakkal Majalla"/>
          <w:b/>
          <w:bCs/>
          <w:color w:val="000000" w:themeColor="text1"/>
          <w:sz w:val="28"/>
          <w:szCs w:val="28"/>
        </w:rPr>
        <w:t>:</w:t>
      </w:r>
    </w:p>
    <w:p w14:paraId="37495108"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تشخيصي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تشخيص المستوى الفعلي لتطبيق مبادئ الحوكمة المؤسسية (الشفافية، المساءلة، الرقابة، وضوح السياسات) في المنظمات السعودية من وجهة نظر القادة والممارسين</w:t>
      </w:r>
      <w:r w:rsidRPr="00EF6C62">
        <w:rPr>
          <w:rFonts w:ascii="Sakkal Majalla" w:hAnsi="Sakkal Majalla" w:cs="Sakkal Majalla"/>
          <w:color w:val="000000" w:themeColor="text1"/>
          <w:sz w:val="28"/>
          <w:szCs w:val="28"/>
        </w:rPr>
        <w:t>.</w:t>
      </w:r>
    </w:p>
    <w:p w14:paraId="12B65EED"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تحليلي (الأثر التشغيلي)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تحليل وقياس أثر تطبيق الحوكمة المؤسسية على الحد من المشاكل التشغيلية (مثل ضعف الرقابة والتنسيق)، وبالتالي تحديد دورها في تحقيق التميز التشغيلي</w:t>
      </w:r>
      <w:r w:rsidRPr="00EF6C62">
        <w:rPr>
          <w:rFonts w:ascii="Sakkal Majalla" w:hAnsi="Sakkal Majalla" w:cs="Sakkal Majalla"/>
          <w:color w:val="000000" w:themeColor="text1"/>
          <w:sz w:val="28"/>
          <w:szCs w:val="28"/>
        </w:rPr>
        <w:t>.</w:t>
      </w:r>
    </w:p>
    <w:p w14:paraId="7964545B"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تحليلي (الأثر الاستراتيجي)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تحليل وقياس أثر تطبيق الحوكمة المؤسسية على الحد من المشاكل الاستراتيجية (مثل ضعف الرؤية وانعدام الشفافية)، وبالتالي تحديد دورها في تحقيق التميز الاستراتيجي</w:t>
      </w:r>
      <w:r w:rsidRPr="00EF6C62">
        <w:rPr>
          <w:rFonts w:ascii="Sakkal Majalla" w:hAnsi="Sakkal Majalla" w:cs="Sakkal Majalla"/>
          <w:color w:val="000000" w:themeColor="text1"/>
          <w:sz w:val="28"/>
          <w:szCs w:val="28"/>
        </w:rPr>
        <w:t>.</w:t>
      </w:r>
    </w:p>
    <w:p w14:paraId="190511FC"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استكشافي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استكشاف الآليات والكيفية التي من خلالها يساهم تطبيق الحوكمة في تحويل المشاكل المؤسسية إلى فرص للتميز، وذلك من خلال تحليل وجهات نظر عينة الدراسة</w:t>
      </w:r>
      <w:r w:rsidRPr="00EF6C62">
        <w:rPr>
          <w:rFonts w:ascii="Sakkal Majalla" w:hAnsi="Sakkal Majalla" w:cs="Sakkal Majalla"/>
          <w:color w:val="000000" w:themeColor="text1"/>
          <w:sz w:val="28"/>
          <w:szCs w:val="28"/>
        </w:rPr>
        <w:t>.</w:t>
      </w:r>
    </w:p>
    <w:p w14:paraId="728FABD0" w14:textId="77777777" w:rsidR="00EF6C62" w:rsidRPr="00F97CDC" w:rsidRDefault="00EF6C62" w:rsidP="00F97CDC">
      <w:pPr>
        <w:numPr>
          <w:ilvl w:val="0"/>
          <w:numId w:val="26"/>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EF6C62">
        <w:rPr>
          <w:rFonts w:ascii="Sakkal Majalla" w:hAnsi="Sakkal Majalla" w:cs="Sakkal Majalla"/>
          <w:color w:val="000000" w:themeColor="text1"/>
          <w:sz w:val="28"/>
          <w:szCs w:val="28"/>
          <w:rtl/>
        </w:rPr>
        <w:t>هدف تطبيقي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تقديم توصيات عملية ومبنية على الأدلة لصنّاع القرار في المنظمات السعودية حول كيفية تفعيل دور الحوكمة كأداة استراتيجية لمنع الضرر المؤسسي وتحقيق ميزة تنافسية مستدامة</w:t>
      </w:r>
      <w:r w:rsidRPr="00EF6C62">
        <w:rPr>
          <w:rFonts w:ascii="Sakkal Majalla" w:hAnsi="Sakkal Majalla" w:cs="Sakkal Majalla"/>
          <w:b/>
          <w:bCs/>
          <w:color w:val="000000" w:themeColor="text1"/>
          <w:sz w:val="28"/>
          <w:szCs w:val="28"/>
        </w:rPr>
        <w:t>.</w:t>
      </w:r>
    </w:p>
    <w:p w14:paraId="025AD4B8" w14:textId="1DA1A93E" w:rsidR="00F97CDC" w:rsidRPr="00F97CDC" w:rsidRDefault="00F97CDC" w:rsidP="00F97CDC">
      <w:pPr>
        <w:pStyle w:val="Heading2"/>
        <w:bidi/>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 xml:space="preserve">هيكل الدراسة </w:t>
      </w:r>
    </w:p>
    <w:p w14:paraId="065204B6"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الأول</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الإطار العام للدراسة: يتناول المشكلة، الأهداف، الأسئلة، الفرضيات، الأهمية، والمنهجية المتبعة</w:t>
      </w:r>
      <w:r w:rsidRPr="00F97CDC">
        <w:rPr>
          <w:rFonts w:ascii="Sakkal Majalla" w:hAnsi="Sakkal Majalla" w:cs="Sakkal Majalla"/>
          <w:sz w:val="28"/>
          <w:szCs w:val="28"/>
        </w:rPr>
        <w:t>.</w:t>
      </w:r>
    </w:p>
    <w:p w14:paraId="138B5E76"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الثاني</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الإطار النظري والدراسات السابقة: يقدم تأصيلاً نظرياً لمتغيرات الدراسة (الحوكمة، التميز التشغيلي، التميز الاستراتيجي) ومراجعة منهجية للدراسات ذات الصلة</w:t>
      </w:r>
      <w:r w:rsidRPr="00F97CDC">
        <w:rPr>
          <w:rFonts w:ascii="Sakkal Majalla" w:hAnsi="Sakkal Majalla" w:cs="Sakkal Majalla"/>
          <w:sz w:val="28"/>
          <w:szCs w:val="28"/>
        </w:rPr>
        <w:t>.</w:t>
      </w:r>
    </w:p>
    <w:p w14:paraId="64B38C03"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الثالث</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منهجية وإجراءات الدراسة الميدانية: يتناول تفاصيل منهج الدراسة، مجتمعها وعينتها، خصائص أداة جمع البيانات (الاستبيان)، وإجراءات التحقق من صدق وثبات الأداة</w:t>
      </w:r>
      <w:r w:rsidRPr="00F97CDC">
        <w:rPr>
          <w:rFonts w:ascii="Sakkal Majalla" w:hAnsi="Sakkal Majalla" w:cs="Sakkal Majalla"/>
          <w:sz w:val="28"/>
          <w:szCs w:val="28"/>
        </w:rPr>
        <w:t>.</w:t>
      </w:r>
    </w:p>
    <w:p w14:paraId="570F434D"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الرابع</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عرض وتحليل ومناقشة نتائج الدراسة: يعرض نتائج التحليل الإحصائي الوصفي والاستدلالي (اختبار الفرضيات)</w:t>
      </w:r>
      <w:r w:rsidRPr="00F97CDC">
        <w:rPr>
          <w:rFonts w:ascii="Sakkal Majalla" w:hAnsi="Sakkal Majalla" w:cs="Sakkal Majalla"/>
          <w:sz w:val="28"/>
          <w:szCs w:val="28"/>
        </w:rPr>
        <w:t>.</w:t>
      </w:r>
    </w:p>
    <w:p w14:paraId="63262770" w14:textId="4FC7C3C9" w:rsidR="002C2B31" w:rsidRPr="002D76E9" w:rsidRDefault="00F97CDC" w:rsidP="002D76E9">
      <w:pPr>
        <w:pStyle w:val="NormalWeb"/>
        <w:numPr>
          <w:ilvl w:val="0"/>
          <w:numId w:val="114"/>
        </w:numPr>
        <w:bidi/>
        <w:rPr>
          <w:rFonts w:ascii="Sakkal Majalla" w:hAnsi="Sakkal Majalla" w:cs="Sakkal Majalla"/>
          <w:sz w:val="28"/>
          <w:szCs w:val="28"/>
          <w:rtl/>
        </w:rPr>
      </w:pPr>
      <w:r w:rsidRPr="00F97CDC">
        <w:rPr>
          <w:rFonts w:ascii="Sakkal Majalla" w:hAnsi="Sakkal Majalla" w:cs="Sakkal Majalla"/>
          <w:b/>
          <w:bCs/>
          <w:sz w:val="28"/>
          <w:szCs w:val="28"/>
          <w:rtl/>
        </w:rPr>
        <w:lastRenderedPageBreak/>
        <w:t>الفصل الخامس</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النتائج، التوصيات، والدراسات المستقبلية المقترحة: يقدم ملخصًا لأهم النتائج، وتوصيات تطبيقية وعلمية، ومقترحات لبحوث مستقبلية</w:t>
      </w:r>
      <w:r w:rsidRPr="00F97CDC">
        <w:rPr>
          <w:rFonts w:ascii="Sakkal Majalla" w:hAnsi="Sakkal Majalla" w:cs="Sakkal Majalla"/>
          <w:sz w:val="28"/>
          <w:szCs w:val="28"/>
        </w:rPr>
        <w:t>.</w:t>
      </w:r>
    </w:p>
    <w:p w14:paraId="551BD595"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251C1F37" w14:textId="228ABCDB" w:rsidR="00F97CDC" w:rsidRPr="00F97CDC" w:rsidRDefault="00F97CDC" w:rsidP="00F97CDC">
      <w:pPr>
        <w:bidi/>
        <w:spacing w:after="200" w:line="276" w:lineRule="auto"/>
        <w:ind w:right="-567"/>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 xml:space="preserve">مصطلحات الدراسة </w:t>
      </w:r>
    </w:p>
    <w:p w14:paraId="42E64564" w14:textId="3DAEE058"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الحوكمة المؤسسية</w:t>
      </w:r>
      <w:r w:rsidRPr="00F97CDC">
        <w:rPr>
          <w:rFonts w:ascii="Sakkal Majalla" w:hAnsi="Sakkal Majalla" w:cs="Sakkal Majalla"/>
          <w:b/>
          <w:bCs/>
          <w:color w:val="000000" w:themeColor="text1"/>
          <w:sz w:val="28"/>
          <w:szCs w:val="28"/>
        </w:rPr>
        <w:t xml:space="preserve"> (Corporate Governance) </w:t>
      </w:r>
      <w:r w:rsidRPr="00F97CDC">
        <w:rPr>
          <w:rFonts w:ascii="Sakkal Majalla" w:hAnsi="Sakkal Majalla" w:cs="Sakkal Majalla"/>
          <w:b/>
          <w:bCs/>
          <w:color w:val="000000" w:themeColor="text1"/>
          <w:sz w:val="28"/>
          <w:szCs w:val="28"/>
          <w:rtl/>
        </w:rPr>
        <w:t>تشير إلى مجموعة الإجراءات والسياسات الهيكلية التي تضعها المنظمة لضمان تحقيق الشفافية والمساءلة والانضباط في اتخاذ القرارات. وتشمل تحديد الأدوار والمسؤوليات داخل الهيكل التنظيمي، وتنظيم الرقابة الداخلية، والامتثال للأنظمة القانونية</w:t>
      </w:r>
      <w:r w:rsidRPr="00F97CDC">
        <w:rPr>
          <w:rFonts w:ascii="Sakkal Majalla" w:hAnsi="Sakkal Majalla" w:cs="Sakkal Majalla"/>
          <w:b/>
          <w:bCs/>
          <w:color w:val="000000" w:themeColor="text1"/>
          <w:sz w:val="28"/>
          <w:szCs w:val="28"/>
        </w:rPr>
        <w:t>.</w:t>
      </w:r>
    </w:p>
    <w:p w14:paraId="1700E0F3" w14:textId="77777777" w:rsidR="00F97CDC" w:rsidRPr="00F97CDC" w:rsidRDefault="00F97CDC" w:rsidP="00F97CDC">
      <w:pPr>
        <w:numPr>
          <w:ilvl w:val="1"/>
          <w:numId w:val="115"/>
        </w:numPr>
        <w:tabs>
          <w:tab w:val="num" w:pos="565"/>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تُقاس بالدرجة الموزونة التي يحصل عليها أفراد عينة الدراسة على المحاور المتعلقة بممارسات الحوكمة (مثل فعالية مجلس الإدارة، الرقابة الداخلية، والشفافية) ضمن أداة الدراسة</w:t>
      </w:r>
      <w:r w:rsidRPr="00F97CDC">
        <w:rPr>
          <w:rFonts w:ascii="Sakkal Majalla" w:hAnsi="Sakkal Majalla" w:cs="Sakkal Majalla"/>
          <w:b/>
          <w:bCs/>
          <w:color w:val="000000" w:themeColor="text1"/>
          <w:sz w:val="28"/>
          <w:szCs w:val="28"/>
        </w:rPr>
        <w:t>.</w:t>
      </w:r>
    </w:p>
    <w:p w14:paraId="17C29908" w14:textId="78E16024"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الالتزام</w:t>
      </w:r>
      <w:r w:rsidRPr="00F97CDC">
        <w:rPr>
          <w:rFonts w:ascii="Sakkal Majalla" w:hAnsi="Sakkal Majalla" w:cs="Sakkal Majalla"/>
          <w:b/>
          <w:bCs/>
          <w:color w:val="000000" w:themeColor="text1"/>
          <w:sz w:val="28"/>
          <w:szCs w:val="28"/>
        </w:rPr>
        <w:t xml:space="preserve"> (Compliance) </w:t>
      </w:r>
      <w:r w:rsidRPr="00F97CDC">
        <w:rPr>
          <w:rFonts w:ascii="Sakkal Majalla" w:hAnsi="Sakkal Majalla" w:cs="Sakkal Majalla"/>
          <w:b/>
          <w:bCs/>
          <w:color w:val="000000" w:themeColor="text1"/>
          <w:sz w:val="28"/>
          <w:szCs w:val="28"/>
          <w:rtl/>
        </w:rPr>
        <w:t>اتباع وتنفيذ الإجراءات والسياسات التي تضعها المنظمة. ويتطلب ذلك احترام المعايير الأخلاقية، التزام الموظفين بتوجيهات الحوكمة، والامتثال لأفضل الممارسات والقوانين المحلية والدولية لضمان التشغيل السليم للمنظمة</w:t>
      </w:r>
      <w:r w:rsidRPr="00F97CDC">
        <w:rPr>
          <w:rFonts w:ascii="Sakkal Majalla" w:hAnsi="Sakkal Majalla" w:cs="Sakkal Majalla"/>
          <w:b/>
          <w:bCs/>
          <w:color w:val="000000" w:themeColor="text1"/>
          <w:sz w:val="28"/>
          <w:szCs w:val="28"/>
        </w:rPr>
        <w:t>.</w:t>
      </w:r>
    </w:p>
    <w:p w14:paraId="1F7577B6" w14:textId="79322C8D"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متانة الحوكمة</w:t>
      </w:r>
      <w:r w:rsidRPr="00F97CDC">
        <w:rPr>
          <w:rFonts w:ascii="Sakkal Majalla" w:hAnsi="Sakkal Majalla" w:cs="Sakkal Majalla"/>
          <w:b/>
          <w:bCs/>
          <w:color w:val="000000" w:themeColor="text1"/>
          <w:sz w:val="28"/>
          <w:szCs w:val="28"/>
        </w:rPr>
        <w:t xml:space="preserve"> (Governance Resilience) </w:t>
      </w:r>
      <w:r w:rsidRPr="00F97CDC">
        <w:rPr>
          <w:rFonts w:ascii="Sakkal Majalla" w:hAnsi="Sakkal Majalla" w:cs="Sakkal Majalla"/>
          <w:b/>
          <w:bCs/>
          <w:color w:val="000000" w:themeColor="text1"/>
          <w:sz w:val="28"/>
          <w:szCs w:val="28"/>
          <w:rtl/>
        </w:rPr>
        <w:t>قدرة النظام المؤسسي في المنظمة على الحفاظ على فعاليته وكفاءته في ظل التغيرات والمتغيرات الداخلية والخارجية. تعكس هذه المتانة استقرار النظام وإمكانية استمراره في تحقيق الأهداف التنظيمية على المدى الطويل، إضافة إلى قدرة النظام على التكيف مع التحديات الجديدة</w:t>
      </w:r>
      <w:r w:rsidRPr="00F97CDC">
        <w:rPr>
          <w:rFonts w:ascii="Sakkal Majalla" w:hAnsi="Sakkal Majalla" w:cs="Sakkal Majalla"/>
          <w:b/>
          <w:bCs/>
          <w:color w:val="000000" w:themeColor="text1"/>
          <w:sz w:val="28"/>
          <w:szCs w:val="28"/>
        </w:rPr>
        <w:t>.</w:t>
      </w:r>
    </w:p>
    <w:p w14:paraId="787E569B" w14:textId="14E41795"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إطار قياس حوكمة المنظمة</w:t>
      </w:r>
      <w:r w:rsidRPr="00F97CDC">
        <w:rPr>
          <w:rFonts w:ascii="Sakkal Majalla" w:hAnsi="Sakkal Majalla" w:cs="Sakkal Majalla"/>
          <w:b/>
          <w:bCs/>
          <w:color w:val="000000" w:themeColor="text1"/>
          <w:sz w:val="28"/>
          <w:szCs w:val="28"/>
        </w:rPr>
        <w:t xml:space="preserve"> (Governance Measurement Framework) </w:t>
      </w:r>
      <w:r w:rsidRPr="00F97CDC">
        <w:rPr>
          <w:rFonts w:ascii="Sakkal Majalla" w:hAnsi="Sakkal Majalla" w:cs="Sakkal Majalla"/>
          <w:b/>
          <w:bCs/>
          <w:color w:val="000000" w:themeColor="text1"/>
          <w:sz w:val="28"/>
          <w:szCs w:val="28"/>
          <w:rtl/>
        </w:rPr>
        <w:t>هو مجموعة من الأدوات والمعايير التي تُستخدم لتقييم أداء الحوكمة داخل المنظمة. يشمل هذا الإطار مؤشرات محددة لقياس فعالية الشفافية، المساءلة، الالتزام بمعايير السلوك الأخلاقي، ونجاح الرقابة الداخلية</w:t>
      </w:r>
      <w:r w:rsidRPr="00F97CDC">
        <w:rPr>
          <w:rFonts w:ascii="Sakkal Majalla" w:hAnsi="Sakkal Majalla" w:cs="Sakkal Majalla"/>
          <w:b/>
          <w:bCs/>
          <w:color w:val="000000" w:themeColor="text1"/>
          <w:sz w:val="28"/>
          <w:szCs w:val="28"/>
        </w:rPr>
        <w:t>.</w:t>
      </w:r>
    </w:p>
    <w:p w14:paraId="21CD822E" w14:textId="0D697A6F"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الاستراتيجي</w:t>
      </w:r>
      <w:r w:rsidRPr="00F97CDC">
        <w:rPr>
          <w:rFonts w:ascii="Sakkal Majalla" w:hAnsi="Sakkal Majalla" w:cs="Sakkal Majalla"/>
          <w:b/>
          <w:bCs/>
          <w:color w:val="000000" w:themeColor="text1"/>
          <w:sz w:val="28"/>
          <w:szCs w:val="28"/>
        </w:rPr>
        <w:t xml:space="preserve"> (Strategic Excellence) </w:t>
      </w:r>
      <w:r w:rsidRPr="00F97CDC">
        <w:rPr>
          <w:rFonts w:ascii="Sakkal Majalla" w:hAnsi="Sakkal Majalla" w:cs="Sakkal Majalla"/>
          <w:b/>
          <w:bCs/>
          <w:color w:val="000000" w:themeColor="text1"/>
          <w:sz w:val="28"/>
          <w:szCs w:val="28"/>
          <w:rtl/>
        </w:rPr>
        <w:t>يشير إلى قدرة المنظمة على تحقيق تفوق وتميز مستدام في مجالات أعمالها الرئيسية، من خلال تنفيذ استراتيجيات ممنهجة ومدروسة. يتطلب ذلك تقييم الفرص والتحديات البيئية، وابتكار حلول استراتيجية تساهم في تعزيز تنافسية المنظمة واستدامتها</w:t>
      </w:r>
      <w:r w:rsidRPr="00F97CDC">
        <w:rPr>
          <w:rFonts w:ascii="Sakkal Majalla" w:hAnsi="Sakkal Majalla" w:cs="Sakkal Majalla"/>
          <w:b/>
          <w:bCs/>
          <w:color w:val="000000" w:themeColor="text1"/>
          <w:sz w:val="28"/>
          <w:szCs w:val="28"/>
        </w:rPr>
        <w:t>.</w:t>
      </w:r>
    </w:p>
    <w:p w14:paraId="6407DA94" w14:textId="77777777" w:rsidR="00F97CDC" w:rsidRPr="00F97CDC" w:rsidRDefault="00F97CDC" w:rsidP="00F97CDC">
      <w:pPr>
        <w:numPr>
          <w:ilvl w:val="1"/>
          <w:numId w:val="115"/>
        </w:numPr>
        <w:tabs>
          <w:tab w:val="num" w:pos="848"/>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يُقاس بالدرجة الموزونة التي يحصل عليها أفراد عينة الدراسة على المحاور المتعلقة بقدرة المنظمة على صياغة وتنفيذ استراتيجياتها طويلة الأجل، والقدرة على التكيف الاستراتيجي</w:t>
      </w:r>
      <w:r w:rsidRPr="00F97CDC">
        <w:rPr>
          <w:rFonts w:ascii="Sakkal Majalla" w:hAnsi="Sakkal Majalla" w:cs="Sakkal Majalla"/>
          <w:b/>
          <w:bCs/>
          <w:color w:val="000000" w:themeColor="text1"/>
          <w:sz w:val="28"/>
          <w:szCs w:val="28"/>
        </w:rPr>
        <w:t>.</w:t>
      </w:r>
    </w:p>
    <w:p w14:paraId="1C593EA1"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lastRenderedPageBreak/>
        <w:t>التميز المؤسسي</w:t>
      </w:r>
      <w:r w:rsidRPr="00F97CDC">
        <w:rPr>
          <w:rFonts w:ascii="Sakkal Majalla" w:hAnsi="Sakkal Majalla" w:cs="Sakkal Majalla"/>
          <w:b/>
          <w:bCs/>
          <w:color w:val="000000" w:themeColor="text1"/>
          <w:sz w:val="28"/>
          <w:szCs w:val="28"/>
        </w:rPr>
        <w:t xml:space="preserve"> (Organizational Excellence): </w:t>
      </w:r>
      <w:r w:rsidRPr="00F97CDC">
        <w:rPr>
          <w:rFonts w:ascii="Sakkal Majalla" w:hAnsi="Sakkal Majalla" w:cs="Sakkal Majalla"/>
          <w:b/>
          <w:bCs/>
          <w:color w:val="000000" w:themeColor="text1"/>
          <w:sz w:val="28"/>
          <w:szCs w:val="28"/>
          <w:rtl/>
        </w:rPr>
        <w:t>وهو القدرة التنافسية التي تميز الشركة عن غيرها، وتخلق مزايا فريدة تساعدها على تحقيق أداء متميز. وتقوم أعمال التميز المؤسسي على أساس متين من الجودة العالية، التي تُبنى عليها قدرات الابتكار والتطوير، وتتوج بتقديم خدمة مميزة للعملاء (السجان، 2023)</w:t>
      </w:r>
      <w:r w:rsidRPr="00F97CDC">
        <w:rPr>
          <w:rFonts w:ascii="Sakkal Majalla" w:hAnsi="Sakkal Majalla" w:cs="Sakkal Majalla"/>
          <w:b/>
          <w:bCs/>
          <w:color w:val="000000" w:themeColor="text1"/>
          <w:sz w:val="28"/>
          <w:szCs w:val="28"/>
        </w:rPr>
        <w:t>.</w:t>
      </w:r>
    </w:p>
    <w:p w14:paraId="26C45851"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التشغيلي</w:t>
      </w:r>
      <w:r w:rsidRPr="00F97CDC">
        <w:rPr>
          <w:rFonts w:ascii="Sakkal Majalla" w:hAnsi="Sakkal Majalla" w:cs="Sakkal Majalla"/>
          <w:b/>
          <w:bCs/>
          <w:color w:val="000000" w:themeColor="text1"/>
          <w:sz w:val="28"/>
          <w:szCs w:val="28"/>
        </w:rPr>
        <w:t xml:space="preserve"> (Operational Excellence): </w:t>
      </w:r>
      <w:r w:rsidRPr="00F97CDC">
        <w:rPr>
          <w:rFonts w:ascii="Sakkal Majalla" w:hAnsi="Sakkal Majalla" w:cs="Sakkal Majalla"/>
          <w:b/>
          <w:bCs/>
          <w:color w:val="000000" w:themeColor="text1"/>
          <w:sz w:val="28"/>
          <w:szCs w:val="28"/>
          <w:rtl/>
        </w:rPr>
        <w:t>قدرة المنظمة على تحسين الكفاءة وجودة عملياتها التشغيلية بشكل مستمر. يتضمن ذلك الابتكار في تحسين الإجراءات، تقليل التكاليف، تحسين جودة الخدمات، وتعزيز الإنتاجية، مما يؤدي إلى تحسين وزيادة الفعالية التشغيلية</w:t>
      </w:r>
      <w:r w:rsidRPr="00F97CDC">
        <w:rPr>
          <w:rFonts w:ascii="Sakkal Majalla" w:hAnsi="Sakkal Majalla" w:cs="Sakkal Majalla"/>
          <w:b/>
          <w:bCs/>
          <w:color w:val="000000" w:themeColor="text1"/>
          <w:sz w:val="28"/>
          <w:szCs w:val="28"/>
        </w:rPr>
        <w:t>.</w:t>
      </w:r>
    </w:p>
    <w:p w14:paraId="557CED3F" w14:textId="77777777" w:rsidR="00F97CDC" w:rsidRPr="00F97CDC" w:rsidRDefault="00F97CDC" w:rsidP="00F97CDC">
      <w:pPr>
        <w:numPr>
          <w:ilvl w:val="1"/>
          <w:numId w:val="115"/>
        </w:numPr>
        <w:tabs>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يُقاس بالدرجة الموزونة التي يحصل عليها أفراد عينة الدراسة على المحاور المتعلقة بكفاءة العمليات، وجودة المنتج/الخدمة، وتقليل الهدر</w:t>
      </w:r>
      <w:r w:rsidRPr="00F97CDC">
        <w:rPr>
          <w:rFonts w:ascii="Sakkal Majalla" w:hAnsi="Sakkal Majalla" w:cs="Sakkal Majalla"/>
          <w:b/>
          <w:bCs/>
          <w:color w:val="000000" w:themeColor="text1"/>
          <w:sz w:val="28"/>
          <w:szCs w:val="28"/>
        </w:rPr>
        <w:t>.</w:t>
      </w:r>
    </w:p>
    <w:p w14:paraId="34A67137"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الميزة التنافسية</w:t>
      </w:r>
      <w:r w:rsidRPr="00F97CDC">
        <w:rPr>
          <w:rFonts w:ascii="Sakkal Majalla" w:hAnsi="Sakkal Majalla" w:cs="Sakkal Majalla"/>
          <w:b/>
          <w:bCs/>
          <w:color w:val="000000" w:themeColor="text1"/>
          <w:sz w:val="28"/>
          <w:szCs w:val="28"/>
        </w:rPr>
        <w:t xml:space="preserve"> (Competitive Advantage): </w:t>
      </w:r>
      <w:r w:rsidRPr="00F97CDC">
        <w:rPr>
          <w:rFonts w:ascii="Sakkal Majalla" w:hAnsi="Sakkal Majalla" w:cs="Sakkal Majalla"/>
          <w:b/>
          <w:bCs/>
          <w:color w:val="000000" w:themeColor="text1"/>
          <w:sz w:val="28"/>
          <w:szCs w:val="28"/>
          <w:rtl/>
        </w:rPr>
        <w:t>هي السمات التي تمنح المنظمة تفوقاً مستداماً وتتضمن هذه الميزة التنافسية تعزيز الابتكار المستمر والذي يدعم مستوى عالٍ من الكفاءة التشغيلية، أو القدرة على تلبية احتياجات العملاء بشكل أفضل من المنافسين، مما يعزز من استدامة الأعمال</w:t>
      </w:r>
      <w:r w:rsidRPr="00F97CDC">
        <w:rPr>
          <w:rFonts w:ascii="Sakkal Majalla" w:hAnsi="Sakkal Majalla" w:cs="Sakkal Majalla"/>
          <w:b/>
          <w:bCs/>
          <w:color w:val="000000" w:themeColor="text1"/>
          <w:sz w:val="28"/>
          <w:szCs w:val="28"/>
        </w:rPr>
        <w:t>.</w:t>
      </w:r>
    </w:p>
    <w:p w14:paraId="473F33DE" w14:textId="77777777" w:rsidR="00EE13A9" w:rsidRPr="00F97CDC"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075F620F" w14:textId="77777777" w:rsidR="00490182" w:rsidRDefault="00490182" w:rsidP="00951EB3">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64B3E61" w14:textId="77777777" w:rsidR="00B92DDB" w:rsidRDefault="00B92DDB" w:rsidP="00B92DDB">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1CB694B6"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2BFDADB8"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5A578F33"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25EE021"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05EF15A1"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6DD653A" w14:textId="77777777" w:rsidR="0060723C" w:rsidRPr="00490182"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tl/>
        </w:rPr>
      </w:pPr>
    </w:p>
    <w:p w14:paraId="0F3E81FD" w14:textId="636A7743" w:rsidR="00951EB3" w:rsidRPr="00951EB3" w:rsidRDefault="00490182" w:rsidP="002D76E9">
      <w:pPr>
        <w:shd w:val="clear" w:color="auto" w:fill="FFFFFF" w:themeFill="background1"/>
        <w:bidi/>
        <w:spacing w:after="200" w:line="276" w:lineRule="auto"/>
        <w:jc w:val="both"/>
        <w:rPr>
          <w:rFonts w:ascii="Sakkal Majalla" w:hAnsi="Sakkal Majalla" w:cs="Sakkal Majalla"/>
          <w:b/>
          <w:bCs/>
          <w:sz w:val="28"/>
          <w:szCs w:val="28"/>
        </w:rPr>
      </w:pPr>
      <w:r w:rsidRPr="00951EB3">
        <w:rPr>
          <w:rFonts w:ascii="Sakkal Majalla" w:hAnsi="Sakkal Majalla" w:cs="Sakkal Majalla"/>
          <w:b/>
          <w:bCs/>
          <w:sz w:val="28"/>
          <w:szCs w:val="28"/>
          <w:rtl/>
        </w:rPr>
        <w:lastRenderedPageBreak/>
        <w:t>الفصل الثاني: الإطار النظري والدراسات السابقة</w:t>
      </w:r>
    </w:p>
    <w:p w14:paraId="6C0D6DDF" w14:textId="69BBC466" w:rsidR="00951EB3" w:rsidRPr="00951EB3" w:rsidRDefault="00951EB3" w:rsidP="002D76E9">
      <w:pPr>
        <w:shd w:val="clear" w:color="auto" w:fill="FFFFFF" w:themeFill="background1"/>
        <w:bidi/>
        <w:spacing w:after="0" w:line="276" w:lineRule="auto"/>
        <w:jc w:val="both"/>
        <w:rPr>
          <w:rFonts w:ascii="Sakkal Majalla" w:eastAsia="Times New Roman" w:hAnsi="Sakkal Majalla" w:cs="Sakkal Majalla"/>
          <w:b/>
          <w:bCs/>
          <w:sz w:val="28"/>
          <w:szCs w:val="28"/>
        </w:rPr>
      </w:pPr>
      <w:r w:rsidRPr="00951EB3">
        <w:rPr>
          <w:rFonts w:ascii="Sakkal Majalla" w:eastAsia="Times New Roman" w:hAnsi="Sakkal Majalla" w:cs="Sakkal Majalla"/>
          <w:b/>
          <w:bCs/>
          <w:sz w:val="28"/>
          <w:szCs w:val="28"/>
          <w:rtl/>
        </w:rPr>
        <w:t xml:space="preserve">مقدمة الفصل </w:t>
      </w:r>
    </w:p>
    <w:p w14:paraId="3FE0EB31" w14:textId="66EC5109" w:rsidR="00A101A0" w:rsidRPr="00A101A0" w:rsidRDefault="00F97CDC" w:rsidP="00A101A0">
      <w:pPr>
        <w:shd w:val="clear" w:color="auto" w:fill="FFFFFF" w:themeFill="background1"/>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يشكل هذا الفصل الأساس المعرفي الذي تنطلق منه الدراسة، ويهدف إلى بناء إطار نظري يوضح العلاقة السببية والتكاملية بين متغيرات البحث الرئيسية</w:t>
      </w:r>
      <w:r w:rsidRPr="00A101A0">
        <w:rPr>
          <w:rFonts w:ascii="Sakkal Majalla" w:eastAsia="Times New Roman" w:hAnsi="Sakkal Majalla" w:cs="Sakkal Majalla"/>
          <w:sz w:val="28"/>
          <w:szCs w:val="28"/>
        </w:rPr>
        <w:t xml:space="preserve">: </w:t>
      </w:r>
      <w:r w:rsidRPr="00A101A0">
        <w:rPr>
          <w:rFonts w:ascii="Sakkal Majalla" w:eastAsia="Times New Roman" w:hAnsi="Sakkal Majalla" w:cs="Sakkal Majalla"/>
          <w:sz w:val="28"/>
          <w:szCs w:val="28"/>
          <w:rtl/>
        </w:rPr>
        <w:t>الحوكمة المؤسسية، والتميز التشغيلي، والتميز الاستراتيجي</w:t>
      </w:r>
      <w:r w:rsidRPr="00A101A0">
        <w:rPr>
          <w:rFonts w:ascii="Sakkal Majalla" w:eastAsia="Times New Roman" w:hAnsi="Sakkal Majalla" w:cs="Sakkal Majalla"/>
          <w:sz w:val="28"/>
          <w:szCs w:val="28"/>
        </w:rPr>
        <w:t xml:space="preserve">. </w:t>
      </w:r>
      <w:r w:rsidRPr="00A101A0">
        <w:rPr>
          <w:rFonts w:ascii="Sakkal Majalla" w:eastAsia="Times New Roman" w:hAnsi="Sakkal Majalla" w:cs="Sakkal Majalla"/>
          <w:sz w:val="28"/>
          <w:szCs w:val="28"/>
          <w:rtl/>
        </w:rPr>
        <w:t>لا يقتصر دور الإطار النظري هنا على مجرد التعريف، بل يحلل كيفية تحول المفهوم النظري للحوكمة إلى آليات نموذج عمل يمكن الكفاءة التشغيلية، والتي بدورها تُشكل حجر الزاوية لتحقيق الأهداف الاستراتيجية للمنظمات</w:t>
      </w:r>
      <w:r w:rsidRPr="00A101A0">
        <w:rPr>
          <w:rFonts w:ascii="Sakkal Majalla" w:eastAsia="Times New Roman" w:hAnsi="Sakkal Majalla" w:cs="Sakkal Majalla"/>
          <w:sz w:val="28"/>
          <w:szCs w:val="28"/>
        </w:rPr>
        <w:t>.</w:t>
      </w:r>
      <w:r w:rsidR="00A101A0" w:rsidRPr="00A101A0">
        <w:rPr>
          <w:rFonts w:ascii="Sakkal Majalla" w:eastAsia="Times New Roman" w:hAnsi="Sakkal Majalla" w:cs="Sakkal Majalla" w:hint="cs"/>
          <w:sz w:val="28"/>
          <w:szCs w:val="28"/>
          <w:rtl/>
        </w:rPr>
        <w:t xml:space="preserve"> </w:t>
      </w:r>
      <w:r w:rsidR="00A101A0" w:rsidRPr="00A101A0">
        <w:rPr>
          <w:rFonts w:ascii="Sakkal Majalla" w:eastAsia="Times New Roman" w:hAnsi="Sakkal Majalla" w:cs="Sakkal Majalla"/>
          <w:sz w:val="28"/>
          <w:szCs w:val="28"/>
          <w:rtl/>
        </w:rPr>
        <w:t>ينقسم هذا الفصل إلى أربعة محاور رئيسية</w:t>
      </w:r>
      <w:r w:rsidR="00A101A0" w:rsidRPr="00A101A0">
        <w:rPr>
          <w:rFonts w:ascii="Sakkal Majalla" w:eastAsia="Times New Roman" w:hAnsi="Sakkal Majalla" w:cs="Sakkal Majalla"/>
          <w:sz w:val="28"/>
          <w:szCs w:val="28"/>
        </w:rPr>
        <w:t>:</w:t>
      </w:r>
    </w:p>
    <w:p w14:paraId="32AB7FEF"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الأول</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التأصيل النظري للحوكمة المؤسسية</w:t>
      </w:r>
      <w:r w:rsidRPr="00A101A0">
        <w:rPr>
          <w:rFonts w:ascii="Sakkal Majalla" w:eastAsia="Times New Roman" w:hAnsi="Sakkal Majalla" w:cs="Sakkal Majalla"/>
          <w:sz w:val="28"/>
          <w:szCs w:val="28"/>
        </w:rPr>
        <w:t>.</w:t>
      </w:r>
    </w:p>
    <w:p w14:paraId="7857B216"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الثاني</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أثر الحوكمة في بناء التميز التشغيلي</w:t>
      </w:r>
      <w:r w:rsidRPr="00A101A0">
        <w:rPr>
          <w:rFonts w:ascii="Sakkal Majalla" w:eastAsia="Times New Roman" w:hAnsi="Sakkal Majalla" w:cs="Sakkal Majalla"/>
          <w:sz w:val="28"/>
          <w:szCs w:val="28"/>
        </w:rPr>
        <w:t>.</w:t>
      </w:r>
    </w:p>
    <w:p w14:paraId="5757F405"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الثالث</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أثر الحوكمة في تمكين التميز الاستراتيجي</w:t>
      </w:r>
      <w:r w:rsidRPr="00A101A0">
        <w:rPr>
          <w:rFonts w:ascii="Sakkal Majalla" w:eastAsia="Times New Roman" w:hAnsi="Sakkal Majalla" w:cs="Sakkal Majalla"/>
          <w:sz w:val="28"/>
          <w:szCs w:val="28"/>
        </w:rPr>
        <w:t>.</w:t>
      </w:r>
    </w:p>
    <w:p w14:paraId="643951BC"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الرابع</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الدراسات السابقة، الفجوة البحثية، ونموذج الدراسة</w:t>
      </w:r>
      <w:r w:rsidRPr="00A101A0">
        <w:rPr>
          <w:rFonts w:ascii="Sakkal Majalla" w:eastAsia="Times New Roman" w:hAnsi="Sakkal Majalla" w:cs="Sakkal Majalla"/>
          <w:sz w:val="28"/>
          <w:szCs w:val="28"/>
        </w:rPr>
        <w:t>.</w:t>
      </w:r>
    </w:p>
    <w:p w14:paraId="12C40E81" w14:textId="77777777" w:rsidR="00F97CDC" w:rsidRPr="00A101A0" w:rsidRDefault="00F97CDC" w:rsidP="002D76E9">
      <w:pPr>
        <w:shd w:val="clear" w:color="auto" w:fill="FFFFFF" w:themeFill="background1"/>
        <w:bidi/>
        <w:spacing w:after="0" w:line="276" w:lineRule="auto"/>
        <w:jc w:val="both"/>
        <w:rPr>
          <w:rFonts w:ascii="Sakkal Majalla" w:eastAsia="Times New Roman" w:hAnsi="Sakkal Majalla" w:cs="Sakkal Majalla"/>
          <w:sz w:val="28"/>
          <w:szCs w:val="28"/>
        </w:rPr>
      </w:pPr>
    </w:p>
    <w:p w14:paraId="49DB60C9" w14:textId="6065D546" w:rsidR="00490182" w:rsidRPr="00462843" w:rsidRDefault="00951EB3" w:rsidP="002D76E9">
      <w:pPr>
        <w:shd w:val="clear" w:color="auto" w:fill="FFFFFF" w:themeFill="background1"/>
        <w:bidi/>
        <w:spacing w:after="0" w:line="276" w:lineRule="auto"/>
        <w:jc w:val="both"/>
        <w:rPr>
          <w:rFonts w:ascii="Sakkal Majalla" w:eastAsia="Times New Roman" w:hAnsi="Sakkal Majalla" w:cs="Sakkal Majalla"/>
          <w:b/>
          <w:bCs/>
          <w:sz w:val="28"/>
          <w:szCs w:val="28"/>
          <w:rtl/>
        </w:rPr>
      </w:pPr>
      <w:r w:rsidRPr="00951EB3">
        <w:rPr>
          <w:rFonts w:ascii="Sakkal Majalla" w:eastAsia="Times New Roman" w:hAnsi="Sakkal Majalla" w:cs="Sakkal Majalla"/>
          <w:b/>
          <w:bCs/>
          <w:sz w:val="28"/>
          <w:szCs w:val="28"/>
          <w:rtl/>
        </w:rPr>
        <w:t>المحور الأول: التأصيل النظري للحوكمة المؤسسية</w:t>
      </w:r>
      <w:r w:rsidRPr="00951EB3">
        <w:rPr>
          <w:rFonts w:ascii="Sakkal Majalla" w:eastAsia="Times New Roman" w:hAnsi="Sakkal Majalla" w:cs="Sakkal Majalla"/>
          <w:b/>
          <w:bCs/>
          <w:sz w:val="28"/>
          <w:szCs w:val="28"/>
        </w:rPr>
        <w:t xml:space="preserve"> </w:t>
      </w:r>
    </w:p>
    <w:p w14:paraId="17CD29C3" w14:textId="03C398EA" w:rsidR="009A7D90" w:rsidRDefault="00A003D9" w:rsidP="002D76E9">
      <w:pPr>
        <w:bidi/>
        <w:spacing w:before="100" w:beforeAutospacing="1" w:after="100" w:afterAutospacing="1" w:line="276" w:lineRule="auto"/>
        <w:jc w:val="both"/>
        <w:outlineLvl w:val="2"/>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1-1 </w:t>
      </w:r>
      <w:r w:rsidR="003377F1" w:rsidRPr="003377F1">
        <w:rPr>
          <w:rFonts w:ascii="Sakkal Majalla" w:eastAsia="Times New Roman" w:hAnsi="Sakkal Majalla" w:cs="Sakkal Majalla"/>
          <w:b/>
          <w:bCs/>
          <w:sz w:val="28"/>
          <w:szCs w:val="28"/>
          <w:rtl/>
        </w:rPr>
        <w:t>تعريف الحوكمة المؤسسية</w:t>
      </w:r>
    </w:p>
    <w:p w14:paraId="23D70CF0" w14:textId="77777777" w:rsidR="00A101A0" w:rsidRPr="00A101A0" w:rsidRDefault="00A101A0" w:rsidP="00A101A0">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 xml:space="preserve">تُعرَّف الحوكمة المؤسسية بأنها الإطار المنهجي الذي لا غنى عنه لتعزيز الكفاءة المؤسسية وتحقيق التميز في الأداء. ويعرّفها </w:t>
      </w:r>
      <w:r w:rsidRPr="00D42AF2">
        <w:rPr>
          <w:rFonts w:ascii="Sakkal Majalla" w:eastAsia="Times New Roman" w:hAnsi="Sakkal Majalla" w:cs="Sakkal Majalla"/>
          <w:sz w:val="28"/>
          <w:szCs w:val="28"/>
          <w:rtl/>
        </w:rPr>
        <w:t xml:space="preserve">الدليل </w:t>
      </w:r>
      <w:proofErr w:type="spellStart"/>
      <w:r w:rsidRPr="00D42AF2">
        <w:rPr>
          <w:rFonts w:ascii="Sakkal Majalla" w:eastAsia="Times New Roman" w:hAnsi="Sakkal Majalla" w:cs="Sakkal Majalla"/>
          <w:sz w:val="28"/>
          <w:szCs w:val="28"/>
          <w:rtl/>
        </w:rPr>
        <w:t>الاسترشادي</w:t>
      </w:r>
      <w:proofErr w:type="spellEnd"/>
      <w:r w:rsidRPr="00D42AF2">
        <w:rPr>
          <w:rFonts w:ascii="Sakkal Majalla" w:eastAsia="Times New Roman" w:hAnsi="Sakkal Majalla" w:cs="Sakkal Majalla"/>
          <w:sz w:val="28"/>
          <w:szCs w:val="28"/>
          <w:rtl/>
        </w:rPr>
        <w:t xml:space="preserve"> لحوكمة الجهات العامة بأنها منظومة الترتيبات التي تحدد كيفية اتخاذ القرارات وتنفيذها، بما يوفر التوجه الاستراتيجي للجهة، ويضمن تحقيق أهدافها، وإدارة مخاطرها، واستخدام مواردها بمسؤولية وكفاءة (قرار مجلس الوزراء رقم 92، 2020). وبالمثل، تؤكد هيئة السوق المالية</w:t>
      </w:r>
      <w:r w:rsidRPr="00D42AF2">
        <w:rPr>
          <w:rFonts w:ascii="Sakkal Majalla" w:eastAsia="Times New Roman" w:hAnsi="Sakkal Majalla" w:cs="Sakkal Majalla"/>
          <w:sz w:val="28"/>
          <w:szCs w:val="28"/>
        </w:rPr>
        <w:t xml:space="preserve"> (CMA, 2023) </w:t>
      </w:r>
      <w:r w:rsidRPr="00D42AF2">
        <w:rPr>
          <w:rFonts w:ascii="Sakkal Majalla" w:eastAsia="Times New Roman" w:hAnsi="Sakkal Majalla" w:cs="Sakkal Majalla"/>
          <w:sz w:val="28"/>
          <w:szCs w:val="28"/>
          <w:rtl/>
        </w:rPr>
        <w:t>على أن لائحة حوكمة الشركات تهدف إلى تنظيم العلاقات بين مجلس الإدارة، والإدارة التنفيذية، والمساهمين، وأصحاب</w:t>
      </w:r>
      <w:r w:rsidRPr="00A101A0">
        <w:rPr>
          <w:rFonts w:ascii="Sakkal Majalla" w:eastAsia="Times New Roman" w:hAnsi="Sakkal Majalla" w:cs="Sakkal Majalla"/>
          <w:sz w:val="28"/>
          <w:szCs w:val="28"/>
          <w:rtl/>
        </w:rPr>
        <w:t xml:space="preserve"> المصلحة، بهدف حماية الحقوق وتعزيز ثقة المستثمرين</w:t>
      </w:r>
      <w:r w:rsidRPr="00A101A0">
        <w:rPr>
          <w:rFonts w:ascii="Sakkal Majalla" w:eastAsia="Times New Roman" w:hAnsi="Sakkal Majalla" w:cs="Sakkal Majalla"/>
          <w:sz w:val="28"/>
          <w:szCs w:val="28"/>
        </w:rPr>
        <w:t>.</w:t>
      </w:r>
    </w:p>
    <w:p w14:paraId="0C181221" w14:textId="77777777" w:rsidR="00A101A0" w:rsidRPr="00D42AF2" w:rsidRDefault="00A101A0" w:rsidP="00A101A0">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 xml:space="preserve">ويتوافق هذا الفهم مع الإجماع العالمي؛ فمنظور </w:t>
      </w:r>
      <w:r w:rsidRPr="00D42AF2">
        <w:rPr>
          <w:rFonts w:ascii="Sakkal Majalla" w:eastAsia="Times New Roman" w:hAnsi="Sakkal Majalla" w:cs="Sakkal Majalla"/>
          <w:sz w:val="28"/>
          <w:szCs w:val="28"/>
          <w:rtl/>
        </w:rPr>
        <w:t>منظمة التعاون والتنمية الاقتصادية</w:t>
      </w:r>
      <w:r w:rsidRPr="00D42AF2">
        <w:rPr>
          <w:rFonts w:ascii="Sakkal Majalla" w:eastAsia="Times New Roman" w:hAnsi="Sakkal Majalla" w:cs="Sakkal Majalla"/>
          <w:sz w:val="28"/>
          <w:szCs w:val="28"/>
        </w:rPr>
        <w:t xml:space="preserve"> (OECD, 2015) </w:t>
      </w:r>
      <w:r w:rsidRPr="00D42AF2">
        <w:rPr>
          <w:rFonts w:ascii="Sakkal Majalla" w:eastAsia="Times New Roman" w:hAnsi="Sakkal Majalla" w:cs="Sakkal Majalla"/>
          <w:sz w:val="28"/>
          <w:szCs w:val="28"/>
          <w:rtl/>
        </w:rPr>
        <w:t>يراها شبكة العلاقات التي تحدد أهداف الأداء ووسائل تحقيقها. ومن منظور تنموي، يصفها البنك الدولي</w:t>
      </w:r>
      <w:r w:rsidRPr="00D42AF2">
        <w:rPr>
          <w:rFonts w:ascii="Sakkal Majalla" w:eastAsia="Times New Roman" w:hAnsi="Sakkal Majalla" w:cs="Sakkal Majalla"/>
          <w:sz w:val="28"/>
          <w:szCs w:val="28"/>
        </w:rPr>
        <w:t xml:space="preserve"> (World Bank, 2017) </w:t>
      </w:r>
      <w:r w:rsidRPr="00D42AF2">
        <w:rPr>
          <w:rFonts w:ascii="Sakkal Majalla" w:eastAsia="Times New Roman" w:hAnsi="Sakkal Majalla" w:cs="Sakkal Majalla"/>
          <w:sz w:val="28"/>
          <w:szCs w:val="28"/>
          <w:rtl/>
        </w:rPr>
        <w:t>بأنها الهياكل التي تضمن المساءلة والشفافية لدعم التنمية المستدامة. أما المعيار الدولي</w:t>
      </w:r>
      <w:r w:rsidRPr="00D42AF2">
        <w:rPr>
          <w:rFonts w:ascii="Sakkal Majalla" w:eastAsia="Times New Roman" w:hAnsi="Sakkal Majalla" w:cs="Sakkal Majalla"/>
          <w:sz w:val="28"/>
          <w:szCs w:val="28"/>
        </w:rPr>
        <w:t xml:space="preserve"> ISO 37000 (2021) </w:t>
      </w:r>
      <w:r w:rsidRPr="00D42AF2">
        <w:rPr>
          <w:rFonts w:ascii="Sakkal Majalla" w:eastAsia="Times New Roman" w:hAnsi="Sakkal Majalla" w:cs="Sakkal Majalla"/>
          <w:sz w:val="28"/>
          <w:szCs w:val="28"/>
          <w:rtl/>
        </w:rPr>
        <w:t>فيقدم تعريفًا إجرائيًا يعتبرها "نظام توجيه ورقابة" يمكّن المنظمات من تحقيق أهدافها</w:t>
      </w:r>
      <w:r w:rsidRPr="00D42AF2">
        <w:rPr>
          <w:rFonts w:ascii="Sakkal Majalla" w:eastAsia="Times New Roman" w:hAnsi="Sakkal Majalla" w:cs="Sakkal Majalla"/>
          <w:sz w:val="28"/>
          <w:szCs w:val="28"/>
        </w:rPr>
        <w:t>.</w:t>
      </w:r>
    </w:p>
    <w:p w14:paraId="3714141D" w14:textId="18547747" w:rsidR="00D42AF2" w:rsidRDefault="00A101A0" w:rsidP="00D42AF2">
      <w:pPr>
        <w:bidi/>
        <w:spacing w:before="100" w:beforeAutospacing="1" w:after="100" w:afterAutospacing="1" w:line="276" w:lineRule="auto"/>
        <w:jc w:val="both"/>
        <w:outlineLvl w:val="2"/>
        <w:rPr>
          <w:rFonts w:ascii="Sakkal Majalla" w:eastAsia="Times New Roman" w:hAnsi="Sakkal Majalla" w:cs="Sakkal Majalla"/>
          <w:sz w:val="28"/>
          <w:szCs w:val="28"/>
          <w:rtl/>
        </w:rPr>
      </w:pPr>
      <w:r w:rsidRPr="00A101A0">
        <w:rPr>
          <w:rFonts w:ascii="Sakkal Majalla" w:eastAsia="Times New Roman" w:hAnsi="Sakkal Majalla" w:cs="Sakkal Majalla"/>
          <w:sz w:val="28"/>
          <w:szCs w:val="28"/>
          <w:rtl/>
        </w:rPr>
        <w:lastRenderedPageBreak/>
        <w:t xml:space="preserve">وبالتالي، </w:t>
      </w:r>
      <w:r w:rsidRPr="00D42AF2">
        <w:rPr>
          <w:rFonts w:ascii="Sakkal Majalla" w:eastAsia="Times New Roman" w:hAnsi="Sakkal Majalla" w:cs="Sakkal Majalla"/>
          <w:sz w:val="28"/>
          <w:szCs w:val="28"/>
          <w:rtl/>
        </w:rPr>
        <w:t>يمكن استخلاص تعريف شامل للحوكمة بأنها</w:t>
      </w:r>
      <w:r w:rsidRPr="00D42AF2">
        <w:rPr>
          <w:rFonts w:ascii="Sakkal Majalla" w:eastAsia="Times New Roman" w:hAnsi="Sakkal Majalla" w:cs="Sakkal Majalla"/>
          <w:sz w:val="28"/>
          <w:szCs w:val="28"/>
        </w:rPr>
        <w:t xml:space="preserve">: </w:t>
      </w:r>
      <w:r w:rsidRPr="00D42AF2">
        <w:rPr>
          <w:rFonts w:ascii="Sakkal Majalla" w:eastAsia="Times New Roman" w:hAnsi="Sakkal Majalla" w:cs="Sakkal Majalla"/>
          <w:sz w:val="28"/>
          <w:szCs w:val="28"/>
          <w:rtl/>
        </w:rPr>
        <w:t>نظام متكامل من الهياكل والسياسات والعلاقات والسلوكيات التي توجه المنظمة وتراقبها، بهدف تحقيق التوازن بين الأداء الاقتصادي والمسؤولية الاجتماعية، وضمان خلق قيمة مستدامة لجميع أصحاب المصلحة</w:t>
      </w:r>
      <w:r w:rsidRPr="00D42AF2">
        <w:rPr>
          <w:rFonts w:ascii="Sakkal Majalla" w:eastAsia="Times New Roman" w:hAnsi="Sakkal Majalla" w:cs="Sakkal Majalla"/>
          <w:sz w:val="28"/>
          <w:szCs w:val="28"/>
        </w:rPr>
        <w:t>.</w:t>
      </w:r>
      <w:r w:rsidRPr="00D42AF2">
        <w:rPr>
          <w:rFonts w:ascii="Sakkal Majalla" w:eastAsia="Times New Roman" w:hAnsi="Sakkal Majalla" w:cs="Sakkal Majalla" w:hint="cs"/>
          <w:sz w:val="28"/>
          <w:szCs w:val="28"/>
          <w:rtl/>
        </w:rPr>
        <w:t xml:space="preserve"> </w:t>
      </w:r>
      <w:r w:rsidR="003A34A3" w:rsidRPr="00D42AF2">
        <w:rPr>
          <w:rFonts w:ascii="Sakkal Majalla" w:eastAsia="Times New Roman" w:hAnsi="Sakkal Majalla" w:cs="Sakkal Majalla"/>
          <w:sz w:val="28"/>
          <w:szCs w:val="28"/>
          <w:rtl/>
        </w:rPr>
        <w:t xml:space="preserve">إن هذا التعريف يؤكد أن الحوكمة لم تعد مجرد أداة للامتثال، بل أصبحت لغة عالمية مشتركة ومبدأ استراتيجي راسخ لضمان </w:t>
      </w:r>
      <w:r w:rsidR="004325ED" w:rsidRPr="00D42AF2">
        <w:rPr>
          <w:rFonts w:ascii="Sakkal Majalla" w:eastAsia="Times New Roman" w:hAnsi="Sakkal Majalla" w:cs="Sakkal Majalla" w:hint="cs"/>
          <w:sz w:val="28"/>
          <w:szCs w:val="28"/>
          <w:rtl/>
        </w:rPr>
        <w:t xml:space="preserve">استدامة الأعمال </w:t>
      </w:r>
      <w:r w:rsidR="003A34A3" w:rsidRPr="00D42AF2">
        <w:rPr>
          <w:rFonts w:ascii="Sakkal Majalla" w:eastAsia="Times New Roman" w:hAnsi="Sakkal Majalla" w:cs="Sakkal Majalla"/>
          <w:sz w:val="28"/>
          <w:szCs w:val="28"/>
          <w:rtl/>
        </w:rPr>
        <w:t>بقاء المنظمات ونموها في بيئة أعمال متزايدة التعقيد والتنافسية</w:t>
      </w:r>
      <w:r w:rsidR="003A34A3" w:rsidRPr="00D42AF2">
        <w:rPr>
          <w:rFonts w:ascii="Sakkal Majalla" w:eastAsia="Times New Roman" w:hAnsi="Sakkal Majalla" w:cs="Sakkal Majalla"/>
          <w:sz w:val="28"/>
          <w:szCs w:val="28"/>
        </w:rPr>
        <w:t>.</w:t>
      </w:r>
    </w:p>
    <w:p w14:paraId="287754F0" w14:textId="77777777" w:rsidR="00D42AF2" w:rsidRPr="003A34A3" w:rsidRDefault="00D42AF2" w:rsidP="00D42AF2">
      <w:pPr>
        <w:bidi/>
        <w:spacing w:before="100" w:beforeAutospacing="1" w:after="100" w:afterAutospacing="1" w:line="276" w:lineRule="auto"/>
        <w:jc w:val="both"/>
        <w:outlineLvl w:val="2"/>
        <w:rPr>
          <w:rFonts w:ascii="Sakkal Majalla" w:eastAsia="Times New Roman" w:hAnsi="Sakkal Majalla" w:cs="Sakkal Majalla"/>
          <w:sz w:val="28"/>
          <w:szCs w:val="28"/>
        </w:rPr>
      </w:pPr>
    </w:p>
    <w:p w14:paraId="2168D36A" w14:textId="371D2045" w:rsidR="00DD2B74" w:rsidRPr="00DD2B7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1-2 </w:t>
      </w:r>
      <w:r w:rsidR="00DD2B74" w:rsidRPr="00DD2B74">
        <w:rPr>
          <w:rFonts w:ascii="Sakkal Majalla" w:eastAsia="Times New Roman" w:hAnsi="Sakkal Majalla" w:cs="Sakkal Majalla"/>
          <w:b/>
          <w:bCs/>
          <w:sz w:val="28"/>
          <w:szCs w:val="28"/>
          <w:rtl/>
        </w:rPr>
        <w:t xml:space="preserve">ركائز الحوكمة </w:t>
      </w:r>
    </w:p>
    <w:p w14:paraId="236F0179" w14:textId="42A0F4EA" w:rsidR="00A003D9" w:rsidRDefault="00DD2B74" w:rsidP="002D76E9">
      <w:pPr>
        <w:bidi/>
        <w:spacing w:after="0" w:line="276" w:lineRule="auto"/>
        <w:jc w:val="both"/>
        <w:rPr>
          <w:rFonts w:ascii="Sakkal Majalla" w:eastAsia="Times New Roman" w:hAnsi="Sakkal Majalla" w:cs="Sakkal Majalla"/>
          <w:sz w:val="28"/>
          <w:szCs w:val="28"/>
          <w:rtl/>
        </w:rPr>
      </w:pPr>
      <w:r w:rsidRPr="00DD2B74">
        <w:rPr>
          <w:rFonts w:ascii="Sakkal Majalla" w:eastAsia="Times New Roman" w:hAnsi="Sakkal Majalla" w:cs="Sakkal Majalla"/>
          <w:sz w:val="28"/>
          <w:szCs w:val="28"/>
          <w:rtl/>
        </w:rPr>
        <w:t xml:space="preserve">تُجمع الأدبيات العالمية والمحلية على أن الحوكمة المؤسسية ترتكز على مجموعة من المبادئ </w:t>
      </w:r>
      <w:r w:rsidR="00A003D9" w:rsidRPr="00DD2B74">
        <w:rPr>
          <w:rFonts w:ascii="Sakkal Majalla" w:eastAsia="Times New Roman" w:hAnsi="Sakkal Majalla" w:cs="Sakkal Majalla" w:hint="cs"/>
          <w:sz w:val="28"/>
          <w:szCs w:val="28"/>
          <w:rtl/>
        </w:rPr>
        <w:t xml:space="preserve">الأساسية </w:t>
      </w:r>
      <w:r w:rsidR="00A003D9">
        <w:rPr>
          <w:rFonts w:ascii="Sakkal Majalla" w:eastAsia="Times New Roman" w:hAnsi="Sakkal Majalla" w:cs="Sakkal Majalla" w:hint="cs"/>
          <w:sz w:val="28"/>
          <w:szCs w:val="28"/>
          <w:rtl/>
        </w:rPr>
        <w:t xml:space="preserve">التي </w:t>
      </w:r>
      <w:r w:rsidRPr="00DD2B74">
        <w:rPr>
          <w:rFonts w:ascii="Sakkal Majalla" w:eastAsia="Times New Roman" w:hAnsi="Sakkal Majalla" w:cs="Sakkal Majalla"/>
          <w:sz w:val="28"/>
          <w:szCs w:val="28"/>
          <w:rtl/>
        </w:rPr>
        <w:t xml:space="preserve">تُعرف بالركائز، </w:t>
      </w:r>
      <w:r w:rsidR="00A003D9">
        <w:rPr>
          <w:rFonts w:ascii="Sakkal Majalla" w:eastAsia="Times New Roman" w:hAnsi="Sakkal Majalla" w:cs="Sakkal Majalla" w:hint="cs"/>
          <w:sz w:val="28"/>
          <w:szCs w:val="28"/>
          <w:rtl/>
        </w:rPr>
        <w:t>و</w:t>
      </w:r>
      <w:r w:rsidRPr="00DD2B74">
        <w:rPr>
          <w:rFonts w:ascii="Sakkal Majalla" w:eastAsia="Times New Roman" w:hAnsi="Sakkal Majalla" w:cs="Sakkal Majalla"/>
          <w:sz w:val="28"/>
          <w:szCs w:val="28"/>
          <w:rtl/>
        </w:rPr>
        <w:t>تُعد الموجه الرئيسي لجميع آليات وهياكل الحوكمة الداخلية.</w:t>
      </w:r>
    </w:p>
    <w:p w14:paraId="4D834FCA" w14:textId="0F492EFB" w:rsidR="00DD2B74" w:rsidRPr="00DD2B74" w:rsidRDefault="00DD2B74" w:rsidP="002D76E9">
      <w:p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sz w:val="28"/>
          <w:szCs w:val="28"/>
          <w:rtl/>
        </w:rPr>
        <w:t xml:space="preserve">وفقاً للمبادئ التوجيهية لمنظمة التعاون والتنمية </w:t>
      </w:r>
      <w:r w:rsidR="00A003D9" w:rsidRPr="00DD2B74">
        <w:rPr>
          <w:rFonts w:ascii="Sakkal Majalla" w:eastAsia="Times New Roman" w:hAnsi="Sakkal Majalla" w:cs="Sakkal Majalla" w:hint="cs"/>
          <w:sz w:val="28"/>
          <w:szCs w:val="28"/>
          <w:rtl/>
        </w:rPr>
        <w:t xml:space="preserve">الاقتصادية </w:t>
      </w:r>
      <w:r w:rsidR="00A003D9">
        <w:rPr>
          <w:rFonts w:ascii="Sakkal Majalla" w:eastAsia="Times New Roman" w:hAnsi="Sakkal Majalla" w:cs="Sakkal Majalla" w:hint="cs"/>
          <w:sz w:val="28"/>
          <w:szCs w:val="28"/>
          <w:rtl/>
        </w:rPr>
        <w:t>(</w:t>
      </w:r>
      <w:r w:rsidRPr="00A003D9">
        <w:rPr>
          <w:rFonts w:ascii="Sakkal Majalla" w:eastAsia="Times New Roman" w:hAnsi="Sakkal Majalla" w:cs="Sakkal Majalla"/>
          <w:sz w:val="28"/>
          <w:szCs w:val="28"/>
        </w:rPr>
        <w:t xml:space="preserve">OECD, 2015) </w:t>
      </w:r>
      <w:r w:rsidR="00A003D9">
        <w:rPr>
          <w:rFonts w:ascii="Sakkal Majalla" w:eastAsia="Times New Roman" w:hAnsi="Sakkal Majalla" w:cs="Sakkal Majalla" w:hint="cs"/>
          <w:sz w:val="28"/>
          <w:szCs w:val="28"/>
          <w:rtl/>
        </w:rPr>
        <w:t>و</w:t>
      </w:r>
      <w:r w:rsidRPr="00A003D9">
        <w:rPr>
          <w:rFonts w:ascii="Sakkal Majalla" w:eastAsia="Times New Roman" w:hAnsi="Sakkal Majalla" w:cs="Sakkal Majalla"/>
          <w:sz w:val="28"/>
          <w:szCs w:val="28"/>
          <w:rtl/>
        </w:rPr>
        <w:t>لائحة</w:t>
      </w:r>
      <w:r w:rsidRPr="00DD2B74">
        <w:rPr>
          <w:rFonts w:ascii="Sakkal Majalla" w:eastAsia="Times New Roman" w:hAnsi="Sakkal Majalla" w:cs="Sakkal Majalla"/>
          <w:sz w:val="28"/>
          <w:szCs w:val="28"/>
          <w:rtl/>
        </w:rPr>
        <w:t xml:space="preserve"> حوكمة الشركات الصادرة عن </w:t>
      </w:r>
      <w:r w:rsidRPr="00A003D9">
        <w:rPr>
          <w:rFonts w:ascii="Sakkal Majalla" w:eastAsia="Times New Roman" w:hAnsi="Sakkal Majalla" w:cs="Sakkal Majalla"/>
          <w:sz w:val="28"/>
          <w:szCs w:val="28"/>
          <w:rtl/>
        </w:rPr>
        <w:t>هيئة السوق المالية السعودية</w:t>
      </w:r>
      <w:r w:rsidRPr="00A003D9">
        <w:rPr>
          <w:rFonts w:ascii="Sakkal Majalla" w:eastAsia="Times New Roman" w:hAnsi="Sakkal Majalla" w:cs="Sakkal Majalla"/>
          <w:sz w:val="28"/>
          <w:szCs w:val="28"/>
        </w:rPr>
        <w:t xml:space="preserve"> (CMA, 2023)</w:t>
      </w:r>
      <w:r w:rsidRPr="00A003D9">
        <w:rPr>
          <w:rFonts w:ascii="Sakkal Majalla" w:eastAsia="Times New Roman" w:hAnsi="Sakkal Majalla" w:cs="Sakkal Majalla"/>
          <w:sz w:val="28"/>
          <w:szCs w:val="28"/>
          <w:rtl/>
        </w:rPr>
        <w:t>، تُع</w:t>
      </w:r>
      <w:r w:rsidRPr="00DD2B74">
        <w:rPr>
          <w:rFonts w:ascii="Sakkal Majalla" w:eastAsia="Times New Roman" w:hAnsi="Sakkal Majalla" w:cs="Sakkal Majalla"/>
          <w:sz w:val="28"/>
          <w:szCs w:val="28"/>
          <w:rtl/>
        </w:rPr>
        <w:t>د الركائز التالية الأكثر جوهرية</w:t>
      </w:r>
      <w:r w:rsidRPr="00DD2B74">
        <w:rPr>
          <w:rFonts w:ascii="Sakkal Majalla" w:eastAsia="Times New Roman" w:hAnsi="Sakkal Majalla" w:cs="Sakkal Majalla"/>
          <w:sz w:val="28"/>
          <w:szCs w:val="28"/>
        </w:rPr>
        <w:t>:</w:t>
      </w:r>
    </w:p>
    <w:p w14:paraId="4198E0C2" w14:textId="68C45AB2"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الشفافية</w:t>
      </w:r>
      <w:r w:rsidRPr="00DD2B74">
        <w:rPr>
          <w:rFonts w:ascii="Sakkal Majalla" w:eastAsia="Times New Roman" w:hAnsi="Sakkal Majalla" w:cs="Sakkal Majalla"/>
          <w:b/>
          <w:bCs/>
          <w:sz w:val="28"/>
          <w:szCs w:val="28"/>
        </w:rPr>
        <w:t xml:space="preserve"> (Transparency)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وهي الإفصاح عن المعلومات الدقيقة والكاملة والموثوقة وفي الوقت المناسب لجميع أصحاب المصلحة. الشفافية تقلل </w:t>
      </w:r>
      <w:r w:rsidRPr="0060723C">
        <w:rPr>
          <w:rFonts w:ascii="Sakkal Majalla" w:eastAsia="Times New Roman" w:hAnsi="Sakkal Majalla" w:cs="Sakkal Majalla"/>
          <w:sz w:val="28"/>
          <w:szCs w:val="28"/>
          <w:rtl/>
        </w:rPr>
        <w:t xml:space="preserve">من </w:t>
      </w:r>
      <w:r w:rsidRPr="0060723C">
        <w:rPr>
          <w:rFonts w:ascii="Sakkal Majalla" w:eastAsia="Times New Roman" w:hAnsi="Sakkal Majalla" w:cs="Sakkal Majalla"/>
          <w:sz w:val="28"/>
          <w:szCs w:val="28"/>
        </w:rPr>
        <w:t>"</w:t>
      </w:r>
      <w:r w:rsidRPr="0060723C">
        <w:rPr>
          <w:rFonts w:ascii="Sakkal Majalla" w:eastAsia="Times New Roman" w:hAnsi="Sakkal Majalla" w:cs="Sakkal Majalla"/>
          <w:sz w:val="28"/>
          <w:szCs w:val="28"/>
          <w:rtl/>
        </w:rPr>
        <w:t>عدم تماثل المعلومات</w:t>
      </w:r>
      <w:r w:rsidRPr="0060723C">
        <w:rPr>
          <w:rFonts w:ascii="Sakkal Majalla" w:eastAsia="Times New Roman" w:hAnsi="Sakkal Majalla" w:cs="Sakkal Majalla"/>
          <w:sz w:val="28"/>
          <w:szCs w:val="28"/>
        </w:rPr>
        <w:t>" (Information Asymmetry)</w:t>
      </w:r>
      <w:r w:rsidRPr="0060723C">
        <w:rPr>
          <w:rFonts w:ascii="Sakkal Majalla" w:eastAsia="Times New Roman" w:hAnsi="Sakkal Majalla" w:cs="Sakkal Majalla"/>
          <w:sz w:val="28"/>
          <w:szCs w:val="28"/>
          <w:rtl/>
        </w:rPr>
        <w:t>، مما</w:t>
      </w:r>
      <w:r w:rsidRPr="00DD2B74">
        <w:rPr>
          <w:rFonts w:ascii="Sakkal Majalla" w:eastAsia="Times New Roman" w:hAnsi="Sakkal Majalla" w:cs="Sakkal Majalla"/>
          <w:sz w:val="28"/>
          <w:szCs w:val="28"/>
          <w:rtl/>
        </w:rPr>
        <w:t xml:space="preserve"> يعزز الثقة ويسهل على </w:t>
      </w:r>
      <w:r w:rsidR="00A003D9">
        <w:rPr>
          <w:rFonts w:ascii="Sakkal Majalla" w:eastAsia="Times New Roman" w:hAnsi="Sakkal Majalla" w:cs="Sakkal Majalla" w:hint="cs"/>
          <w:sz w:val="28"/>
          <w:szCs w:val="28"/>
          <w:rtl/>
        </w:rPr>
        <w:t>أصحاب المصلحة</w:t>
      </w:r>
      <w:r w:rsidRPr="00DD2B74">
        <w:rPr>
          <w:rFonts w:ascii="Sakkal Majalla" w:eastAsia="Times New Roman" w:hAnsi="Sakkal Majalla" w:cs="Sakkal Majalla"/>
          <w:sz w:val="28"/>
          <w:szCs w:val="28"/>
          <w:rtl/>
        </w:rPr>
        <w:t xml:space="preserve"> تقييم أداء المؤسسة ومخاطرها</w:t>
      </w:r>
      <w:r w:rsidRPr="00DD2B74">
        <w:rPr>
          <w:rFonts w:ascii="Sakkal Majalla" w:eastAsia="Times New Roman" w:hAnsi="Sakkal Majalla" w:cs="Sakkal Majalla"/>
          <w:sz w:val="28"/>
          <w:szCs w:val="28"/>
        </w:rPr>
        <w:t>.</w:t>
      </w:r>
    </w:p>
    <w:p w14:paraId="20F34D4B" w14:textId="4FD85F3E"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المساءلة</w:t>
      </w:r>
      <w:r w:rsidRPr="00DD2B74">
        <w:rPr>
          <w:rFonts w:ascii="Sakkal Majalla" w:eastAsia="Times New Roman" w:hAnsi="Sakkal Majalla" w:cs="Sakkal Majalla"/>
          <w:b/>
          <w:bCs/>
          <w:sz w:val="28"/>
          <w:szCs w:val="28"/>
        </w:rPr>
        <w:t xml:space="preserve"> (Accountability)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تحدد هذه الركيزة بوضوح </w:t>
      </w:r>
      <w:r w:rsidRPr="00A003D9">
        <w:rPr>
          <w:rFonts w:ascii="Sakkal Majalla" w:eastAsia="Times New Roman" w:hAnsi="Sakkal Majalla" w:cs="Sakkal Majalla"/>
          <w:sz w:val="28"/>
          <w:szCs w:val="28"/>
          <w:rtl/>
        </w:rPr>
        <w:t>من هو المسؤول</w:t>
      </w:r>
      <w:r w:rsidRPr="00DD2B74">
        <w:rPr>
          <w:rFonts w:ascii="Sakkal Majalla" w:eastAsia="Times New Roman" w:hAnsi="Sakkal Majalla" w:cs="Sakkal Majalla"/>
          <w:sz w:val="28"/>
          <w:szCs w:val="28"/>
          <w:rtl/>
        </w:rPr>
        <w:t xml:space="preserve"> عن القرارات والنتائج، وكيفية محاسبته عليها، بدءاً من مجلس الإدارة وصولاً إلى الإدارة التنفيذية. المساءلة هي الآلية الجوهرية لضمان أن سلطة اتخاذ القرار تخدم مصلحة المؤسسة العليا، وليس المصالح الشخصية</w:t>
      </w:r>
      <w:r w:rsidRPr="00DD2B74">
        <w:rPr>
          <w:rFonts w:ascii="Sakkal Majalla" w:eastAsia="Times New Roman" w:hAnsi="Sakkal Majalla" w:cs="Sakkal Majalla"/>
          <w:sz w:val="28"/>
          <w:szCs w:val="28"/>
        </w:rPr>
        <w:t>.</w:t>
      </w:r>
    </w:p>
    <w:p w14:paraId="30E8EF6B" w14:textId="3ACA9BAD"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المسؤولية</w:t>
      </w:r>
      <w:r w:rsidRPr="00DD2B74">
        <w:rPr>
          <w:rFonts w:ascii="Sakkal Majalla" w:eastAsia="Times New Roman" w:hAnsi="Sakkal Majalla" w:cs="Sakkal Majalla"/>
          <w:b/>
          <w:bCs/>
          <w:sz w:val="28"/>
          <w:szCs w:val="28"/>
        </w:rPr>
        <w:t xml:space="preserve"> (Responsibility)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وتشير إلى التزام الإدارة والمجلس بالعمل لمصلحة المؤسسة وأصحاب المصلحة على المدى الطويل، متجاوزةً المصلحة قصيرة الأجل. وتتضمن هذه المسؤولية الالتزام بالجوانب القانونية والاجتماعية والبيئية</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الحوكمة البيئية والاجتماعية والمؤسسية</w:t>
      </w:r>
      <w:r w:rsidRPr="00DD2B74">
        <w:rPr>
          <w:rFonts w:ascii="Sakkal Majalla" w:eastAsia="Times New Roman" w:hAnsi="Sakkal Majalla" w:cs="Sakkal Majalla"/>
          <w:sz w:val="28"/>
          <w:szCs w:val="28"/>
        </w:rPr>
        <w:t xml:space="preserve"> - ESG).</w:t>
      </w:r>
    </w:p>
    <w:p w14:paraId="7335A60C" w14:textId="09C300A3"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العدالة</w:t>
      </w:r>
      <w:r w:rsidRPr="00DD2B74">
        <w:rPr>
          <w:rFonts w:ascii="Sakkal Majalla" w:eastAsia="Times New Roman" w:hAnsi="Sakkal Majalla" w:cs="Sakkal Majalla"/>
          <w:b/>
          <w:bCs/>
          <w:sz w:val="28"/>
          <w:szCs w:val="28"/>
        </w:rPr>
        <w:t xml:space="preserve"> (Fairness)</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تضمن هذه الركيزة معاملة جميع المساهمين والأطراف ذات العلاقة على </w:t>
      </w:r>
      <w:r w:rsidRPr="00DD2B74">
        <w:rPr>
          <w:rFonts w:ascii="Sakkal Majalla" w:eastAsia="Times New Roman" w:hAnsi="Sakkal Majalla" w:cs="Sakkal Majalla"/>
          <w:b/>
          <w:bCs/>
          <w:sz w:val="28"/>
          <w:szCs w:val="28"/>
          <w:rtl/>
        </w:rPr>
        <w:t>قدم المساواة</w:t>
      </w:r>
      <w:r w:rsidRPr="00DD2B74">
        <w:rPr>
          <w:rFonts w:ascii="Sakkal Majalla" w:eastAsia="Times New Roman" w:hAnsi="Sakkal Majalla" w:cs="Sakkal Majalla"/>
          <w:sz w:val="28"/>
          <w:szCs w:val="28"/>
          <w:rtl/>
        </w:rPr>
        <w:t>، وحماية حقوقهم، وخاصة حقوق الأقلية من المساهمين. العدالة هي مفتاح بناء الثقة وضمان شرعية القرارات المتخذة داخل المؤسسة</w:t>
      </w:r>
      <w:r w:rsidRPr="00DD2B74">
        <w:rPr>
          <w:rFonts w:ascii="Sakkal Majalla" w:eastAsia="Times New Roman" w:hAnsi="Sakkal Majalla" w:cs="Sakkal Majalla"/>
          <w:sz w:val="28"/>
          <w:szCs w:val="28"/>
        </w:rPr>
        <w:t>.</w:t>
      </w:r>
    </w:p>
    <w:p w14:paraId="6C3013D1" w14:textId="39C2B246" w:rsid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الاستقلالية</w:t>
      </w:r>
      <w:r w:rsidRPr="00DD2B74">
        <w:rPr>
          <w:rFonts w:ascii="Sakkal Majalla" w:eastAsia="Times New Roman" w:hAnsi="Sakkal Majalla" w:cs="Sakkal Majalla"/>
          <w:b/>
          <w:bCs/>
          <w:sz w:val="28"/>
          <w:szCs w:val="28"/>
        </w:rPr>
        <w:t xml:space="preserve"> (Independence)</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الاستقلالية </w:t>
      </w:r>
      <w:r w:rsidR="00A003D9">
        <w:rPr>
          <w:rFonts w:ascii="Sakkal Majalla" w:eastAsia="Times New Roman" w:hAnsi="Sakkal Majalla" w:cs="Sakkal Majalla" w:hint="cs"/>
          <w:sz w:val="28"/>
          <w:szCs w:val="28"/>
          <w:rtl/>
        </w:rPr>
        <w:t>تسعى</w:t>
      </w:r>
      <w:r w:rsidRPr="00DD2B74">
        <w:rPr>
          <w:rFonts w:ascii="Sakkal Majalla" w:eastAsia="Times New Roman" w:hAnsi="Sakkal Majalla" w:cs="Sakkal Majalla"/>
          <w:sz w:val="28"/>
          <w:szCs w:val="28"/>
          <w:rtl/>
        </w:rPr>
        <w:t xml:space="preserve"> لضمان </w:t>
      </w:r>
      <w:r w:rsidRPr="00A003D9">
        <w:rPr>
          <w:rFonts w:ascii="Sakkal Majalla" w:eastAsia="Times New Roman" w:hAnsi="Sakkal Majalla" w:cs="Sakkal Majalla"/>
          <w:sz w:val="28"/>
          <w:szCs w:val="28"/>
          <w:rtl/>
        </w:rPr>
        <w:t xml:space="preserve">الموضوعية والحياد في اتخاذ القرارات، خاصة فيما يتعلق بالرقابة. وهي تتحقق بشكل أساسي من خلال وجود أعضاء مجلس إدارة مستقلين وأذرع رقابية مستقلة مثل المراجعة الداخلية </w:t>
      </w:r>
      <w:r w:rsidRPr="00A003D9">
        <w:rPr>
          <w:rFonts w:ascii="Sakkal Majalla" w:eastAsia="Times New Roman" w:hAnsi="Sakkal Majalla" w:cs="Sakkal Majalla"/>
          <w:sz w:val="28"/>
          <w:szCs w:val="28"/>
        </w:rPr>
        <w:t xml:space="preserve">(IIA, 2020) </w:t>
      </w:r>
      <w:r w:rsidRPr="00A003D9">
        <w:rPr>
          <w:rFonts w:ascii="Sakkal Majalla" w:eastAsia="Times New Roman" w:hAnsi="Sakkal Majalla" w:cs="Sakkal Majalla"/>
          <w:sz w:val="28"/>
          <w:szCs w:val="28"/>
          <w:rtl/>
        </w:rPr>
        <w:t>التي لا تخضع لنفوذ الإدارة</w:t>
      </w:r>
      <w:r w:rsidRPr="00A003D9">
        <w:rPr>
          <w:rFonts w:ascii="Sakkal Majalla" w:eastAsia="Times New Roman" w:hAnsi="Sakkal Majalla" w:cs="Sakkal Majalla"/>
          <w:sz w:val="28"/>
          <w:szCs w:val="28"/>
        </w:rPr>
        <w:t>.</w:t>
      </w:r>
    </w:p>
    <w:p w14:paraId="05C6D420" w14:textId="77777777" w:rsidR="00A101A0" w:rsidRDefault="00A101A0" w:rsidP="00A101A0">
      <w:pPr>
        <w:bidi/>
        <w:spacing w:after="0" w:line="276" w:lineRule="auto"/>
        <w:jc w:val="both"/>
        <w:rPr>
          <w:rFonts w:ascii="Sakkal Majalla" w:eastAsia="Times New Roman" w:hAnsi="Sakkal Majalla" w:cs="Sakkal Majalla"/>
          <w:sz w:val="28"/>
          <w:szCs w:val="28"/>
          <w:rtl/>
        </w:rPr>
      </w:pPr>
    </w:p>
    <w:p w14:paraId="66D9F3DC" w14:textId="0703F01A" w:rsidR="00060054" w:rsidRPr="0006005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lastRenderedPageBreak/>
        <w:t>1-3</w:t>
      </w:r>
      <w:r w:rsidR="00060054">
        <w:rPr>
          <w:rFonts w:ascii="Sakkal Majalla" w:eastAsia="Times New Roman" w:hAnsi="Sakkal Majalla" w:cs="Sakkal Majalla" w:hint="cs"/>
          <w:b/>
          <w:bCs/>
          <w:sz w:val="28"/>
          <w:szCs w:val="28"/>
          <w:rtl/>
        </w:rPr>
        <w:t xml:space="preserve"> أ</w:t>
      </w:r>
      <w:r w:rsidR="00060054" w:rsidRPr="00060054">
        <w:rPr>
          <w:rFonts w:ascii="Sakkal Majalla" w:eastAsia="Times New Roman" w:hAnsi="Sakkal Majalla" w:cs="Sakkal Majalla"/>
          <w:b/>
          <w:bCs/>
          <w:sz w:val="28"/>
          <w:szCs w:val="28"/>
          <w:rtl/>
        </w:rPr>
        <w:t xml:space="preserve">همية </w:t>
      </w:r>
      <w:r w:rsidR="00060054">
        <w:rPr>
          <w:rFonts w:ascii="Sakkal Majalla" w:eastAsia="Times New Roman" w:hAnsi="Sakkal Majalla" w:cs="Sakkal Majalla" w:hint="cs"/>
          <w:b/>
          <w:bCs/>
          <w:sz w:val="28"/>
          <w:szCs w:val="28"/>
          <w:rtl/>
        </w:rPr>
        <w:t>ا</w:t>
      </w:r>
      <w:r w:rsidR="00060054" w:rsidRPr="00060054">
        <w:rPr>
          <w:rFonts w:ascii="Sakkal Majalla" w:eastAsia="Times New Roman" w:hAnsi="Sakkal Majalla" w:cs="Sakkal Majalla"/>
          <w:b/>
          <w:bCs/>
          <w:sz w:val="28"/>
          <w:szCs w:val="28"/>
          <w:rtl/>
        </w:rPr>
        <w:t xml:space="preserve">لحوكمة </w:t>
      </w:r>
      <w:r w:rsidR="00A101A0">
        <w:rPr>
          <w:rFonts w:ascii="Sakkal Majalla" w:eastAsia="Times New Roman" w:hAnsi="Sakkal Majalla" w:cs="Sakkal Majalla" w:hint="cs"/>
          <w:b/>
          <w:bCs/>
          <w:sz w:val="28"/>
          <w:szCs w:val="28"/>
          <w:rtl/>
        </w:rPr>
        <w:t>وأهدافها</w:t>
      </w:r>
    </w:p>
    <w:p w14:paraId="5DC95574"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تكمن أهمية الحوكمة في كونها فلسفة وجودية تحدد هوية المنظمة وتحميها، وتتجلى في ثلاثة أبعاد:</w:t>
      </w:r>
    </w:p>
    <w:p w14:paraId="0FE01C62"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تمكين خلق القيمة المستدامة: تجاوز الدور الرقابي إلى دور تمكين استراتيجي للنمو (</w:t>
      </w:r>
      <w:r w:rsidRPr="00A101A0">
        <w:rPr>
          <w:rFonts w:ascii="Sakkal Majalla" w:eastAsia="Times New Roman" w:hAnsi="Sakkal Majalla" w:cs="Sakkal Majalla"/>
          <w:sz w:val="28"/>
          <w:szCs w:val="28"/>
        </w:rPr>
        <w:t>Daily et al., 2003</w:t>
      </w:r>
      <w:r w:rsidRPr="00A101A0">
        <w:rPr>
          <w:rFonts w:ascii="Sakkal Majalla" w:eastAsia="Times New Roman" w:hAnsi="Sakkal Majalla" w:cs="Sakkal Majalla"/>
          <w:sz w:val="28"/>
          <w:szCs w:val="28"/>
          <w:rtl/>
        </w:rPr>
        <w:t>).</w:t>
      </w:r>
    </w:p>
    <w:p w14:paraId="23ADA75B"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تعزيز الاستقرار: معالجة تضارب المصالح وتكاليف الوكالة (</w:t>
      </w:r>
      <w:r w:rsidRPr="00A101A0">
        <w:rPr>
          <w:rFonts w:ascii="Sakkal Majalla" w:eastAsia="Times New Roman" w:hAnsi="Sakkal Majalla" w:cs="Sakkal Majalla"/>
          <w:sz w:val="28"/>
          <w:szCs w:val="28"/>
        </w:rPr>
        <w:t>Jensen &amp; Meckling, 1976</w:t>
      </w:r>
      <w:r w:rsidRPr="00A101A0">
        <w:rPr>
          <w:rFonts w:ascii="Sakkal Majalla" w:eastAsia="Times New Roman" w:hAnsi="Sakkal Majalla" w:cs="Sakkal Majalla"/>
          <w:sz w:val="28"/>
          <w:szCs w:val="28"/>
          <w:rtl/>
        </w:rPr>
        <w:t>)، مما يعزز صمود المنظمة.</w:t>
      </w:r>
    </w:p>
    <w:p w14:paraId="57FA1A09"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بناء الثقة: جذب الموارد اللازمة عبر بناء الثقة مع كافة الأطراف، والتي تعد العملة الأساسية لنجاح أي منظمة (</w:t>
      </w:r>
      <w:r w:rsidRPr="00A101A0">
        <w:rPr>
          <w:rFonts w:ascii="Sakkal Majalla" w:eastAsia="Times New Roman" w:hAnsi="Sakkal Majalla" w:cs="Sakkal Majalla"/>
          <w:sz w:val="28"/>
          <w:szCs w:val="28"/>
        </w:rPr>
        <w:t>La Porta et al., 2000</w:t>
      </w:r>
      <w:r w:rsidRPr="00A101A0">
        <w:rPr>
          <w:rFonts w:ascii="Sakkal Majalla" w:eastAsia="Times New Roman" w:hAnsi="Sakkal Majalla" w:cs="Sakkal Majalla"/>
          <w:sz w:val="28"/>
          <w:szCs w:val="28"/>
          <w:rtl/>
        </w:rPr>
        <w:t>).</w:t>
      </w:r>
    </w:p>
    <w:p w14:paraId="30C5AC27" w14:textId="77777777" w:rsidR="00A101A0" w:rsidRPr="00A101A0" w:rsidRDefault="00A101A0" w:rsidP="00A101A0">
      <w:p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ولتحقيق هذه الأهمية، تعمل الحوكمة على تحقيق أهداف عملية محددة:</w:t>
      </w:r>
    </w:p>
    <w:p w14:paraId="2A6A28B0"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إرساء المساءلة والرقابة الفعالة: عبر آليات إشرافية تحل مشكلة فصل الملكية عن السيطرة (</w:t>
      </w:r>
      <w:r w:rsidRPr="00A101A0">
        <w:rPr>
          <w:rFonts w:ascii="Sakkal Majalla" w:eastAsia="Times New Roman" w:hAnsi="Sakkal Majalla" w:cs="Sakkal Majalla"/>
          <w:sz w:val="28"/>
          <w:szCs w:val="28"/>
        </w:rPr>
        <w:t>Fama &amp; Jensen, 1983; Brennan &amp; Solomon, 2008</w:t>
      </w:r>
      <w:r w:rsidRPr="00A101A0">
        <w:rPr>
          <w:rFonts w:ascii="Sakkal Majalla" w:eastAsia="Times New Roman" w:hAnsi="Sakkal Majalla" w:cs="Sakkal Majalla"/>
          <w:sz w:val="28"/>
          <w:szCs w:val="28"/>
          <w:rtl/>
        </w:rPr>
        <w:t>).</w:t>
      </w:r>
    </w:p>
    <w:p w14:paraId="45A7BD95"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حماية حقوق أصحاب المصلحة: وهو محور المبادئ العالمية للحوكمة (</w:t>
      </w:r>
      <w:r w:rsidRPr="00A101A0">
        <w:rPr>
          <w:rFonts w:ascii="Sakkal Majalla" w:eastAsia="Times New Roman" w:hAnsi="Sakkal Majalla" w:cs="Sakkal Majalla"/>
          <w:sz w:val="28"/>
          <w:szCs w:val="28"/>
        </w:rPr>
        <w:t>OECD, 2015</w:t>
      </w:r>
      <w:r w:rsidRPr="00A101A0">
        <w:rPr>
          <w:rFonts w:ascii="Sakkal Majalla" w:eastAsia="Times New Roman" w:hAnsi="Sakkal Majalla" w:cs="Sakkal Majalla"/>
          <w:sz w:val="28"/>
          <w:szCs w:val="28"/>
          <w:rtl/>
        </w:rPr>
        <w:t>).</w:t>
      </w:r>
    </w:p>
    <w:p w14:paraId="4F20C835"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تعزيز الشفافية والإفصاح: لتقليل عدم تماثل المعلومات (</w:t>
      </w:r>
      <w:r w:rsidRPr="00A101A0">
        <w:rPr>
          <w:rFonts w:ascii="Sakkal Majalla" w:eastAsia="Times New Roman" w:hAnsi="Sakkal Majalla" w:cs="Sakkal Majalla"/>
          <w:sz w:val="28"/>
          <w:szCs w:val="28"/>
        </w:rPr>
        <w:t>Fung, 2014</w:t>
      </w:r>
      <w:r w:rsidRPr="00A101A0">
        <w:rPr>
          <w:rFonts w:ascii="Sakkal Majalla" w:eastAsia="Times New Roman" w:hAnsi="Sakkal Majalla" w:cs="Sakkal Majalla"/>
          <w:sz w:val="28"/>
          <w:szCs w:val="28"/>
          <w:rtl/>
        </w:rPr>
        <w:t>).</w:t>
      </w:r>
    </w:p>
    <w:p w14:paraId="37AD733E"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إدارة المخاطر بفاعلية: كجزء لا يتجزأ من مسؤوليات القيادة العليا.</w:t>
      </w:r>
    </w:p>
    <w:p w14:paraId="2FA281D1" w14:textId="142AF123" w:rsidR="00CB7DEF"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تحقيق الأداء المستدام: وهو الهدف النهائي الذي يربط جودة الحوكمة بالأداء التشغيلي (</w:t>
      </w:r>
      <w:r w:rsidRPr="00A101A0">
        <w:rPr>
          <w:rFonts w:ascii="Sakkal Majalla" w:eastAsia="Times New Roman" w:hAnsi="Sakkal Majalla" w:cs="Sakkal Majalla"/>
          <w:sz w:val="28"/>
          <w:szCs w:val="28"/>
        </w:rPr>
        <w:t xml:space="preserve">Brown &amp; Caylor, 2009; </w:t>
      </w:r>
      <w:proofErr w:type="spellStart"/>
      <w:r w:rsidRPr="00A101A0">
        <w:rPr>
          <w:rFonts w:ascii="Sakkal Majalla" w:eastAsia="Times New Roman" w:hAnsi="Sakkal Majalla" w:cs="Sakkal Majalla"/>
          <w:sz w:val="28"/>
          <w:szCs w:val="28"/>
        </w:rPr>
        <w:t>Buallay</w:t>
      </w:r>
      <w:proofErr w:type="spellEnd"/>
      <w:r w:rsidRPr="00A101A0">
        <w:rPr>
          <w:rFonts w:ascii="Sakkal Majalla" w:eastAsia="Times New Roman" w:hAnsi="Sakkal Majalla" w:cs="Sakkal Majalla"/>
          <w:sz w:val="28"/>
          <w:szCs w:val="28"/>
        </w:rPr>
        <w:t>, 2019</w:t>
      </w:r>
      <w:r w:rsidRPr="00A101A0">
        <w:rPr>
          <w:rFonts w:ascii="Sakkal Majalla" w:eastAsia="Times New Roman" w:hAnsi="Sakkal Majalla" w:cs="Sakkal Majalla"/>
          <w:sz w:val="28"/>
          <w:szCs w:val="28"/>
          <w:rtl/>
        </w:rPr>
        <w:t>).</w:t>
      </w:r>
    </w:p>
    <w:p w14:paraId="459CBEC5" w14:textId="77777777" w:rsidR="004830FD" w:rsidRDefault="004830FD" w:rsidP="004830FD">
      <w:pPr>
        <w:bidi/>
        <w:spacing w:after="0" w:line="276" w:lineRule="auto"/>
        <w:jc w:val="lowKashida"/>
        <w:rPr>
          <w:rFonts w:ascii="Sakkal Majalla" w:eastAsia="Times New Roman" w:hAnsi="Sakkal Majalla" w:cs="Sakkal Majalla"/>
          <w:sz w:val="28"/>
          <w:szCs w:val="28"/>
          <w:rtl/>
        </w:rPr>
      </w:pPr>
    </w:p>
    <w:p w14:paraId="2B7C120C" w14:textId="5031B76A" w:rsidR="004830FD" w:rsidRPr="004830FD" w:rsidRDefault="004830FD" w:rsidP="004830FD">
      <w:pPr>
        <w:bidi/>
        <w:spacing w:after="0" w:line="276" w:lineRule="auto"/>
        <w:jc w:val="lowKashida"/>
        <w:rPr>
          <w:rFonts w:ascii="Sakkal Majalla" w:eastAsia="Times New Roman" w:hAnsi="Sakkal Majalla" w:cs="Sakkal Majalla"/>
          <w:b/>
          <w:bCs/>
          <w:sz w:val="28"/>
          <w:szCs w:val="28"/>
          <w:rtl/>
        </w:rPr>
      </w:pPr>
      <w:r w:rsidRPr="004830FD">
        <w:rPr>
          <w:rFonts w:ascii="Sakkal Majalla" w:eastAsia="Times New Roman" w:hAnsi="Sakkal Majalla" w:cs="Sakkal Majalla" w:hint="cs"/>
          <w:b/>
          <w:bCs/>
          <w:sz w:val="28"/>
          <w:szCs w:val="28"/>
          <w:rtl/>
        </w:rPr>
        <w:t>1-4 آليات الحوكمة</w:t>
      </w:r>
    </w:p>
    <w:p w14:paraId="03E74751"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tl/>
        </w:rPr>
        <w:t>أولاً: آليات الحوكمة الداخلية</w:t>
      </w:r>
      <w:r w:rsidRPr="004830FD">
        <w:rPr>
          <w:rFonts w:ascii="Sakkal Majalla" w:eastAsia="Times New Roman" w:hAnsi="Sakkal Majalla" w:cs="Sakkal Majalla"/>
          <w:b/>
          <w:bCs/>
          <w:sz w:val="28"/>
          <w:szCs w:val="28"/>
        </w:rPr>
        <w:t xml:space="preserve"> (Internal Governance Mechanisms)</w:t>
      </w:r>
    </w:p>
    <w:p w14:paraId="5AA7A8A5"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الأدوات والهياكل التي تنشأ وتُطبّق من داخل الشركة لضبط سلوك الإدارة، توجيه القرارات الاستراتيجية والتشغيلية، وضمان الامتثال. وتتعدد هذه الآليات التي يمكن للمنظمات تطبيقها لتعزيز أدائها</w:t>
      </w:r>
      <w:r w:rsidRPr="004830FD">
        <w:rPr>
          <w:rFonts w:ascii="Sakkal Majalla" w:eastAsia="Times New Roman" w:hAnsi="Sakkal Majalla" w:cs="Sakkal Majalla"/>
          <w:sz w:val="28"/>
          <w:szCs w:val="28"/>
        </w:rPr>
        <w:t>.</w:t>
      </w:r>
    </w:p>
    <w:p w14:paraId="6CFDA0F3"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وقد ركزت الدراسات في السياق السعودي على عدة آليات رئيسية. تشير دراسة</w:t>
      </w:r>
      <w:r w:rsidRPr="004830FD">
        <w:rPr>
          <w:rFonts w:ascii="Sakkal Majalla" w:eastAsia="Times New Roman" w:hAnsi="Sakkal Majalla" w:cs="Sakkal Majalla"/>
          <w:sz w:val="28"/>
          <w:szCs w:val="28"/>
        </w:rPr>
        <w:t xml:space="preserve"> (</w:t>
      </w:r>
      <w:proofErr w:type="spellStart"/>
      <w:r w:rsidRPr="004830FD">
        <w:rPr>
          <w:rFonts w:ascii="Sakkal Majalla" w:eastAsia="Times New Roman" w:hAnsi="Sakkal Majalla" w:cs="Sakkal Majalla"/>
          <w:sz w:val="28"/>
          <w:szCs w:val="28"/>
        </w:rPr>
        <w:t>Boshnak</w:t>
      </w:r>
      <w:proofErr w:type="spellEnd"/>
      <w:r w:rsidRPr="004830FD">
        <w:rPr>
          <w:rFonts w:ascii="Sakkal Majalla" w:eastAsia="Times New Roman" w:hAnsi="Sakkal Majalla" w:cs="Sakkal Majalla"/>
          <w:sz w:val="28"/>
          <w:szCs w:val="28"/>
        </w:rPr>
        <w:t xml:space="preserve">, 2023) </w:t>
      </w:r>
      <w:r w:rsidRPr="004830FD">
        <w:rPr>
          <w:rFonts w:ascii="Sakkal Majalla" w:eastAsia="Times New Roman" w:hAnsi="Sakkal Majalla" w:cs="Sakkal Majalla"/>
          <w:sz w:val="28"/>
          <w:szCs w:val="28"/>
          <w:rtl/>
        </w:rPr>
        <w:t>إلى أن حجم مجلس الإدارة، واستقلالية أعضائه، ووجود لجان متخصصة (مثل لجنة المراجعة ولجنة المكافآت) هي من أهم الآليات التي تؤثر إيجاباً على أداء الشركات السعودية. كما تؤكد دراسة (القحطاني، 2022) على أهمية الإفصاح والشفافية كآلية أساسية لضمان حقوق المساهمين وتحسين كفاءة الأداء المالي. وتعتبر هذه الآليات جزءاً من مؤشر شامل لجودة الحوكمة، كما تم تطويره في دراسة</w:t>
      </w:r>
      <w:r w:rsidRPr="004830FD">
        <w:rPr>
          <w:rFonts w:ascii="Sakkal Majalla" w:eastAsia="Times New Roman" w:hAnsi="Sakkal Majalla" w:cs="Sakkal Majalla"/>
          <w:sz w:val="28"/>
          <w:szCs w:val="28"/>
        </w:rPr>
        <w:t xml:space="preserve"> (Brown &amp; Caylor, 2009)</w:t>
      </w:r>
      <w:r w:rsidRPr="004830FD">
        <w:rPr>
          <w:rFonts w:ascii="Sakkal Majalla" w:eastAsia="Times New Roman" w:hAnsi="Sakkal Majalla" w:cs="Sakkal Majalla"/>
          <w:sz w:val="28"/>
          <w:szCs w:val="28"/>
          <w:rtl/>
        </w:rPr>
        <w:t>، والذي أثبت فعاليته في قياس أثر الحوكمة على الأداء</w:t>
      </w:r>
      <w:r w:rsidRPr="004830FD">
        <w:rPr>
          <w:rFonts w:ascii="Sakkal Majalla" w:eastAsia="Times New Roman" w:hAnsi="Sakkal Majalla" w:cs="Sakkal Majalla"/>
          <w:sz w:val="28"/>
          <w:szCs w:val="28"/>
        </w:rPr>
        <w:t>.</w:t>
      </w:r>
    </w:p>
    <w:p w14:paraId="59147067" w14:textId="77777777" w:rsidR="004830FD" w:rsidRDefault="004830FD" w:rsidP="004830FD">
      <w:pPr>
        <w:bidi/>
        <w:spacing w:after="0" w:line="276" w:lineRule="auto"/>
        <w:jc w:val="both"/>
        <w:rPr>
          <w:rFonts w:ascii="Sakkal Majalla" w:eastAsia="Times New Roman" w:hAnsi="Sakkal Majalla" w:cs="Sakkal Majalla"/>
          <w:sz w:val="28"/>
          <w:szCs w:val="28"/>
          <w:rtl/>
        </w:rPr>
      </w:pPr>
      <w:r w:rsidRPr="004830FD">
        <w:rPr>
          <w:rFonts w:ascii="Sakkal Majalla" w:eastAsia="Times New Roman" w:hAnsi="Sakkal Majalla" w:cs="Sakkal Majalla"/>
          <w:sz w:val="28"/>
          <w:szCs w:val="28"/>
          <w:rtl/>
        </w:rPr>
        <w:t>ويمكن تفصيل هذه الأدوات الداخلية كما يلي</w:t>
      </w:r>
      <w:r w:rsidRPr="004830FD">
        <w:rPr>
          <w:rFonts w:ascii="Sakkal Majalla" w:eastAsia="Times New Roman" w:hAnsi="Sakkal Majalla" w:cs="Sakkal Majalla"/>
          <w:sz w:val="28"/>
          <w:szCs w:val="28"/>
        </w:rPr>
        <w:t>:</w:t>
      </w:r>
    </w:p>
    <w:p w14:paraId="6E53AEF5"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p>
    <w:p w14:paraId="00290F71"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lastRenderedPageBreak/>
        <w:t xml:space="preserve">1. </w:t>
      </w:r>
      <w:r w:rsidRPr="004830FD">
        <w:rPr>
          <w:rFonts w:ascii="Sakkal Majalla" w:eastAsia="Times New Roman" w:hAnsi="Sakkal Majalla" w:cs="Sakkal Majalla"/>
          <w:b/>
          <w:bCs/>
          <w:sz w:val="28"/>
          <w:szCs w:val="28"/>
          <w:rtl/>
        </w:rPr>
        <w:t>الاستراتيجية كأداة حوكمة</w:t>
      </w:r>
    </w:p>
    <w:p w14:paraId="4242045E"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تنتقل الاستراتيجية في المنظور الحديث للحوكمة من كونها وثيقة تخطيط إلى أن تكون "عقد الأداء" بين المجلس والإدارة. مكانتها مركزية في أعلى الهيكل، حيث إنها تحدد الوجهة التي يجب أن تُوجَّه إليها جميع أدوات الحوكمة الأخرى</w:t>
      </w:r>
      <w:r w:rsidRPr="004830FD">
        <w:rPr>
          <w:rFonts w:ascii="Sakkal Majalla" w:eastAsia="Times New Roman" w:hAnsi="Sakkal Majalla" w:cs="Sakkal Majalla"/>
          <w:sz w:val="28"/>
          <w:szCs w:val="28"/>
        </w:rPr>
        <w:t>.</w:t>
      </w:r>
    </w:p>
    <w:p w14:paraId="79AE6B54"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2. </w:t>
      </w:r>
      <w:r w:rsidRPr="004830FD">
        <w:rPr>
          <w:rFonts w:ascii="Sakkal Majalla" w:eastAsia="Times New Roman" w:hAnsi="Sakkal Majalla" w:cs="Sakkal Majalla"/>
          <w:b/>
          <w:bCs/>
          <w:sz w:val="28"/>
          <w:szCs w:val="28"/>
          <w:rtl/>
        </w:rPr>
        <w:t>الأدوات الهيكلية والتنظيمية</w:t>
      </w:r>
    </w:p>
    <w:p w14:paraId="3358744C"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تُعد الأدوات الهيكلية والتنظيمية بمثابة العمود الفقري لنظام الحوكمة داخل أي مؤسسة</w:t>
      </w:r>
      <w:r w:rsidRPr="004830FD">
        <w:rPr>
          <w:rFonts w:ascii="Sakkal Majalla" w:eastAsia="Times New Roman" w:hAnsi="Sakkal Majalla" w:cs="Sakkal Majalla"/>
          <w:sz w:val="28"/>
          <w:szCs w:val="28"/>
        </w:rPr>
        <w:t>.</w:t>
      </w:r>
    </w:p>
    <w:p w14:paraId="637247F9" w14:textId="77777777" w:rsidR="004830FD" w:rsidRPr="004830FD" w:rsidRDefault="004830FD" w:rsidP="004830FD">
      <w:pPr>
        <w:numPr>
          <w:ilvl w:val="0"/>
          <w:numId w:val="126"/>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مجلس الإدارة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يأتي في قمة الهيكل التنظيمي، وهو المحرك الاستراتيجي الذي يوجه المؤسسة ويراقب أداء الإدارة التنفيذية. ولضمان فاعليته، شددت لائحة حوكمة الشركات الصادرة عن هيئة السوق المالية (2023) على ضرورة أن يتكون من مزيج متكامل من الأعضاء التنفيذيين، وغير التنفيذيين، والمستقلين</w:t>
      </w:r>
      <w:r w:rsidRPr="004830FD">
        <w:rPr>
          <w:rFonts w:ascii="Sakkal Majalla" w:eastAsia="Times New Roman" w:hAnsi="Sakkal Majalla" w:cs="Sakkal Majalla"/>
          <w:sz w:val="28"/>
          <w:szCs w:val="28"/>
        </w:rPr>
        <w:t>.</w:t>
      </w:r>
    </w:p>
    <w:p w14:paraId="323FF66C" w14:textId="77777777" w:rsidR="004830FD" w:rsidRPr="004830FD" w:rsidRDefault="004830FD" w:rsidP="004830FD">
      <w:pPr>
        <w:numPr>
          <w:ilvl w:val="0"/>
          <w:numId w:val="126"/>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اللجان المنبثقة عن المجلس</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تعمل كأذرع رقابية وفنية متخصصة، ومن أبرزها </w:t>
      </w:r>
      <w:r w:rsidRPr="004830FD">
        <w:rPr>
          <w:rFonts w:ascii="Sakkal Majalla" w:eastAsia="Times New Roman" w:hAnsi="Sakkal Majalla" w:cs="Sakkal Majalla"/>
          <w:b/>
          <w:bCs/>
          <w:sz w:val="28"/>
          <w:szCs w:val="28"/>
          <w:rtl/>
        </w:rPr>
        <w:t>لجنة المراجعة</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لجنة الترشيحات والمكافآت</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لجنة المخاطر</w:t>
      </w:r>
      <w:r w:rsidRPr="004830FD">
        <w:rPr>
          <w:rFonts w:ascii="Sakkal Majalla" w:eastAsia="Times New Roman" w:hAnsi="Sakkal Majalla" w:cs="Sakkal Majalla"/>
          <w:sz w:val="28"/>
          <w:szCs w:val="28"/>
          <w:rtl/>
        </w:rPr>
        <w:t> </w:t>
      </w:r>
      <w:r w:rsidRPr="004830FD">
        <w:rPr>
          <w:rFonts w:ascii="Sakkal Majalla" w:eastAsia="Times New Roman" w:hAnsi="Sakkal Majalla" w:cs="Sakkal Majalla"/>
          <w:sz w:val="28"/>
          <w:szCs w:val="28"/>
        </w:rPr>
        <w:t>(</w:t>
      </w:r>
      <w:r w:rsidRPr="004830FD">
        <w:rPr>
          <w:rFonts w:ascii="Sakkal Majalla" w:eastAsia="Times New Roman" w:hAnsi="Sakkal Majalla" w:cs="Sakkal Majalla"/>
          <w:sz w:val="28"/>
          <w:szCs w:val="28"/>
          <w:rtl/>
        </w:rPr>
        <w:t>البنك المركزي السعودي، 2024؛ هيئة السوق المالية، 2023</w:t>
      </w:r>
      <w:r w:rsidRPr="004830FD">
        <w:rPr>
          <w:rFonts w:ascii="Sakkal Majalla" w:eastAsia="Times New Roman" w:hAnsi="Sakkal Majalla" w:cs="Sakkal Majalla"/>
          <w:sz w:val="28"/>
          <w:szCs w:val="28"/>
        </w:rPr>
        <w:t>).</w:t>
      </w:r>
    </w:p>
    <w:p w14:paraId="5ADD5457" w14:textId="77777777" w:rsidR="004830FD" w:rsidRPr="004830FD" w:rsidRDefault="004830FD" w:rsidP="004830FD">
      <w:pPr>
        <w:numPr>
          <w:ilvl w:val="0"/>
          <w:numId w:val="126"/>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الهيكل التنظيمي</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يحدد خطوط السلطة والمسؤولية والتبعية، مما يمنع تداخل الصلاحيات ويعزز ثقافة المساءلة</w:t>
      </w:r>
      <w:r w:rsidRPr="004830FD">
        <w:rPr>
          <w:rFonts w:ascii="Sakkal Majalla" w:eastAsia="Times New Roman" w:hAnsi="Sakkal Majalla" w:cs="Sakkal Majalla"/>
          <w:sz w:val="28"/>
          <w:szCs w:val="28"/>
        </w:rPr>
        <w:t>.</w:t>
      </w:r>
    </w:p>
    <w:p w14:paraId="77F975E7"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3. </w:t>
      </w:r>
      <w:r w:rsidRPr="004830FD">
        <w:rPr>
          <w:rFonts w:ascii="Sakkal Majalla" w:eastAsia="Times New Roman" w:hAnsi="Sakkal Majalla" w:cs="Sakkal Majalla"/>
          <w:b/>
          <w:bCs/>
          <w:sz w:val="28"/>
          <w:szCs w:val="28"/>
          <w:rtl/>
        </w:rPr>
        <w:t>الأدوات الإجرائية والرقابية</w:t>
      </w:r>
    </w:p>
    <w:p w14:paraId="382D1920"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المحرك الذي يترجم الاستراتيجيات والمبادئ العليا إلى ممارسات يومية موثقة</w:t>
      </w:r>
      <w:r w:rsidRPr="004830FD">
        <w:rPr>
          <w:rFonts w:ascii="Sakkal Majalla" w:eastAsia="Times New Roman" w:hAnsi="Sakkal Majalla" w:cs="Sakkal Majalla"/>
          <w:sz w:val="28"/>
          <w:szCs w:val="28"/>
        </w:rPr>
        <w:t>.</w:t>
      </w:r>
    </w:p>
    <w:p w14:paraId="3529C45B"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المراجعة الداخلية</w:t>
      </w:r>
      <w:r w:rsidRPr="004830FD">
        <w:rPr>
          <w:rFonts w:ascii="Sakkal Majalla" w:eastAsia="Times New Roman" w:hAnsi="Sakkal Majalla" w:cs="Sakkal Majalla"/>
          <w:b/>
          <w:bCs/>
          <w:sz w:val="28"/>
          <w:szCs w:val="28"/>
        </w:rPr>
        <w:t xml:space="preserve"> (Internal Audit):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نشاط تقييم مستقل وموضوعي مصمم لتحسين عمليات المؤسسة وتقييم كفاية أنظمة الرقابة الداخلية</w:t>
      </w:r>
      <w:r w:rsidRPr="004830FD">
        <w:rPr>
          <w:rFonts w:ascii="Sakkal Majalla" w:eastAsia="Times New Roman" w:hAnsi="Sakkal Majalla" w:cs="Sakkal Majalla"/>
          <w:sz w:val="28"/>
          <w:szCs w:val="28"/>
        </w:rPr>
        <w:t>.</w:t>
      </w:r>
    </w:p>
    <w:p w14:paraId="1E5EA7D5"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إدارة المخاطر المؤسسية</w:t>
      </w:r>
      <w:r w:rsidRPr="004830FD">
        <w:rPr>
          <w:rFonts w:ascii="Sakkal Majalla" w:eastAsia="Times New Roman" w:hAnsi="Sakkal Majalla" w:cs="Sakkal Majalla"/>
          <w:b/>
          <w:bCs/>
          <w:sz w:val="28"/>
          <w:szCs w:val="28"/>
        </w:rPr>
        <w:t xml:space="preserve"> (ERM):</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عملية استباقية ومستمرة لتحديد وتحليل ومعالجة كافة المخاطر المحتملة</w:t>
      </w:r>
      <w:r w:rsidRPr="004830FD">
        <w:rPr>
          <w:rFonts w:ascii="Sakkal Majalla" w:eastAsia="Times New Roman" w:hAnsi="Sakkal Majalla" w:cs="Sakkal Majalla"/>
          <w:sz w:val="28"/>
          <w:szCs w:val="28"/>
        </w:rPr>
        <w:t>.</w:t>
      </w:r>
    </w:p>
    <w:p w14:paraId="305968E0"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الالتزام</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يعمل كدرع واقٍ للمؤسسة لضمان توافق جميع أنشطتها مع القوانين واللوائح والسياسات الداخلية</w:t>
      </w:r>
      <w:r w:rsidRPr="004830FD">
        <w:rPr>
          <w:rFonts w:ascii="Sakkal Majalla" w:eastAsia="Times New Roman" w:hAnsi="Sakkal Majalla" w:cs="Sakkal Majalla"/>
          <w:sz w:val="28"/>
          <w:szCs w:val="28"/>
        </w:rPr>
        <w:t>.</w:t>
      </w:r>
    </w:p>
    <w:p w14:paraId="711932B0"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مصفوفة الصلاحيات</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أداة إدارية دقيقة لضمان الانضباط المالي والتشغيلي عبر تحديد سلطات الاعتماد</w:t>
      </w:r>
      <w:r w:rsidRPr="004830FD">
        <w:rPr>
          <w:rFonts w:ascii="Sakkal Majalla" w:eastAsia="Times New Roman" w:hAnsi="Sakkal Majalla" w:cs="Sakkal Majalla"/>
          <w:sz w:val="28"/>
          <w:szCs w:val="28"/>
        </w:rPr>
        <w:t>.</w:t>
      </w:r>
    </w:p>
    <w:p w14:paraId="6EBA778E"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السياسات والإجراءات الموثقة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تشمل سياسات حيوية مثل </w:t>
      </w:r>
      <w:r w:rsidRPr="004830FD">
        <w:rPr>
          <w:rFonts w:ascii="Sakkal Majalla" w:eastAsia="Times New Roman" w:hAnsi="Sakkal Majalla" w:cs="Sakkal Majalla"/>
          <w:b/>
          <w:bCs/>
          <w:sz w:val="28"/>
          <w:szCs w:val="28"/>
          <w:rtl/>
        </w:rPr>
        <w:t>تعارض المصالح</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الإبلاغ عن المخالفات</w:t>
      </w:r>
      <w:r w:rsidRPr="004830FD">
        <w:rPr>
          <w:rFonts w:ascii="Sakkal Majalla" w:eastAsia="Times New Roman" w:hAnsi="Sakkal Majalla" w:cs="Sakkal Majalla"/>
          <w:b/>
          <w:bCs/>
          <w:sz w:val="28"/>
          <w:szCs w:val="28"/>
        </w:rPr>
        <w:t xml:space="preserve"> (Whistleblowing)</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الإفصاح</w:t>
      </w:r>
      <w:r w:rsidRPr="004830FD">
        <w:rPr>
          <w:rFonts w:ascii="Sakkal Majalla" w:eastAsia="Times New Roman" w:hAnsi="Sakkal Majalla" w:cs="Sakkal Majalla"/>
          <w:sz w:val="28"/>
          <w:szCs w:val="28"/>
        </w:rPr>
        <w:t>.</w:t>
      </w:r>
    </w:p>
    <w:p w14:paraId="028978E7"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الشفافية والإفصاح</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كالتزام داخلي، تُعد حجر الزاوية في بناء الثقة مع المستثمرين وأصحاب المصالح عبر تقديم تقارير دقيقة وشاملة</w:t>
      </w:r>
      <w:r w:rsidRPr="004830FD">
        <w:rPr>
          <w:rFonts w:ascii="Sakkal Majalla" w:eastAsia="Times New Roman" w:hAnsi="Sakkal Majalla" w:cs="Sakkal Majalla"/>
          <w:sz w:val="28"/>
          <w:szCs w:val="28"/>
        </w:rPr>
        <w:t>.</w:t>
      </w:r>
    </w:p>
    <w:p w14:paraId="6EEFE233"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4. </w:t>
      </w:r>
      <w:r w:rsidRPr="004830FD">
        <w:rPr>
          <w:rFonts w:ascii="Sakkal Majalla" w:eastAsia="Times New Roman" w:hAnsi="Sakkal Majalla" w:cs="Sakkal Majalla"/>
          <w:b/>
          <w:bCs/>
          <w:sz w:val="28"/>
          <w:szCs w:val="28"/>
          <w:rtl/>
        </w:rPr>
        <w:t>الأدوات الثقافية والتمكينية للحوكمة</w:t>
      </w:r>
    </w:p>
    <w:p w14:paraId="03C5A5C9"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تمتد أدوات الحوكمة لتشمل المكونات الثقافية والتقنية التي تمكّن من التطبيق الفعال</w:t>
      </w:r>
      <w:r w:rsidRPr="004830FD">
        <w:rPr>
          <w:rFonts w:ascii="Sakkal Majalla" w:eastAsia="Times New Roman" w:hAnsi="Sakkal Majalla" w:cs="Sakkal Majalla"/>
          <w:sz w:val="28"/>
          <w:szCs w:val="28"/>
        </w:rPr>
        <w:t>.</w:t>
      </w:r>
    </w:p>
    <w:p w14:paraId="5075BFC0" w14:textId="77777777" w:rsidR="004830FD" w:rsidRPr="004830FD" w:rsidRDefault="004830FD" w:rsidP="004830FD">
      <w:pPr>
        <w:numPr>
          <w:ilvl w:val="0"/>
          <w:numId w:val="128"/>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الثقافة المؤسسية ومدونة السلوك</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تُعد مدونة السلوك والأخلاقيات الأداة الأساسية لترسيخ القيم والمعايير السلوكية المتوقعة</w:t>
      </w:r>
      <w:r w:rsidRPr="004830FD">
        <w:rPr>
          <w:rFonts w:ascii="Sakkal Majalla" w:eastAsia="Times New Roman" w:hAnsi="Sakkal Majalla" w:cs="Sakkal Majalla"/>
          <w:sz w:val="28"/>
          <w:szCs w:val="28"/>
        </w:rPr>
        <w:t>.</w:t>
      </w:r>
    </w:p>
    <w:p w14:paraId="5049F746" w14:textId="77777777" w:rsidR="004830FD" w:rsidRPr="004830FD" w:rsidRDefault="004830FD" w:rsidP="004830FD">
      <w:pPr>
        <w:numPr>
          <w:ilvl w:val="0"/>
          <w:numId w:val="128"/>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lastRenderedPageBreak/>
        <w:t>التحول الرقمي وحوكمة البيانات</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أصبحت التكنولوجيا أداة حوكمة قوية تضمن أتمتة العمليات وتوفر بيانات دقيقة للرقابة واتخاذ القرار</w:t>
      </w:r>
      <w:r w:rsidRPr="004830FD">
        <w:rPr>
          <w:rFonts w:ascii="Sakkal Majalla" w:eastAsia="Times New Roman" w:hAnsi="Sakkal Majalla" w:cs="Sakkal Majalla"/>
          <w:sz w:val="28"/>
          <w:szCs w:val="28"/>
        </w:rPr>
        <w:t>.</w:t>
      </w:r>
    </w:p>
    <w:p w14:paraId="40A0200E"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tl/>
        </w:rPr>
        <w:t>ثانياً: آليات الحوكمة الخارجية</w:t>
      </w:r>
      <w:r w:rsidRPr="004830FD">
        <w:rPr>
          <w:rFonts w:ascii="Sakkal Majalla" w:eastAsia="Times New Roman" w:hAnsi="Sakkal Majalla" w:cs="Sakkal Majalla"/>
          <w:b/>
          <w:bCs/>
          <w:sz w:val="28"/>
          <w:szCs w:val="28"/>
        </w:rPr>
        <w:t xml:space="preserve"> (External Governance Mechanisms)</w:t>
      </w:r>
    </w:p>
    <w:p w14:paraId="59FA9AF1"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القوى والضغوط التي تأتي من خارج الشركة، وتشكل طبقة رقابية إضافية تعزز الشفافية وتردع السلوك غير المسؤول. في السياق السعودي، تلعب هذه الآليات دوراً حاسماً في تشكيل بيئة الأعمال. وتشمل</w:t>
      </w:r>
      <w:r w:rsidRPr="004830FD">
        <w:rPr>
          <w:rFonts w:ascii="Sakkal Majalla" w:eastAsia="Times New Roman" w:hAnsi="Sakkal Majalla" w:cs="Sakkal Majalla"/>
          <w:sz w:val="28"/>
          <w:szCs w:val="28"/>
        </w:rPr>
        <w:t>:</w:t>
      </w:r>
    </w:p>
    <w:p w14:paraId="7E16F1EE" w14:textId="513B10E6"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القوانين والأنظمة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تتمثل في التشريعات التي تفرضها الجهات التنظيمية مثل هيئة السوق المالية ووزارة التجارة، والتي تفرض متطلبات الإفصاح، والشفافية، والنزاهة، والمساءلة، والعدالة، والمسؤولية الاجتماعية، وحماية المستثمرين</w:t>
      </w:r>
      <w:r w:rsidRPr="004830FD">
        <w:rPr>
          <w:rFonts w:ascii="Sakkal Majalla" w:eastAsia="Times New Roman" w:hAnsi="Sakkal Majalla" w:cs="Sakkal Majalla"/>
          <w:sz w:val="28"/>
          <w:szCs w:val="28"/>
        </w:rPr>
        <w:t>.</w:t>
      </w:r>
    </w:p>
    <w:p w14:paraId="514C2442" w14:textId="77777777"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المراجعة الخارجية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يقوم بها مراجع حسابات مستقل، حيث يقدم رأيًا فنيًا ومحايدًا حول عدالة القوائم المالية للشركة ومدى التزامها بالمعايير المحاسبية المعتمدة، مما يعزز ثقة المستثمرين والجهات الخارجية في المعلومات المعلنة</w:t>
      </w:r>
      <w:r w:rsidRPr="004830FD">
        <w:rPr>
          <w:rFonts w:ascii="Sakkal Majalla" w:eastAsia="Times New Roman" w:hAnsi="Sakkal Majalla" w:cs="Sakkal Majalla"/>
          <w:sz w:val="28"/>
          <w:szCs w:val="28"/>
        </w:rPr>
        <w:t>.</w:t>
      </w:r>
    </w:p>
    <w:p w14:paraId="7117C7EC" w14:textId="77777777"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المنافسة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تعمل المنافسة في السوق كآلية ضغط طبيعية، حيث تدفع الشركات باستمرار لتحسين جودة سلعها وخدماتها، ورفع كفاءة عملياتها (التميز التشغيلي)، وتبني استراتيجيات مبتكرة (التميز الاستراتيجي) للبقاء والنمو</w:t>
      </w:r>
      <w:r w:rsidRPr="004830FD">
        <w:rPr>
          <w:rFonts w:ascii="Sakkal Majalla" w:eastAsia="Times New Roman" w:hAnsi="Sakkal Majalla" w:cs="Sakkal Majalla"/>
          <w:sz w:val="28"/>
          <w:szCs w:val="28"/>
        </w:rPr>
        <w:t>.</w:t>
      </w:r>
    </w:p>
    <w:p w14:paraId="385DA1AB" w14:textId="77777777"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الثقافة الوطنية والإطار الاجتماعي</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يؤثر الإطار الثقافي والاجتماعي في المملكة العربية السعودية على السلوك المؤسسي، حيث يشكل التوقعات العامة للسلوك السليم والأخلاقي من الشركات، ويؤثر على سمعتها وقبولها المجتمعي</w:t>
      </w:r>
      <w:r w:rsidRPr="004830FD">
        <w:rPr>
          <w:rFonts w:ascii="Sakkal Majalla" w:eastAsia="Times New Roman" w:hAnsi="Sakkal Majalla" w:cs="Sakkal Majalla"/>
          <w:sz w:val="28"/>
          <w:szCs w:val="28"/>
        </w:rPr>
        <w:t>.</w:t>
      </w:r>
    </w:p>
    <w:p w14:paraId="12DEECEE" w14:textId="77777777" w:rsidR="004849CE" w:rsidRPr="004830FD" w:rsidRDefault="004849CE" w:rsidP="002D76E9">
      <w:pPr>
        <w:bidi/>
        <w:spacing w:after="0" w:line="276" w:lineRule="auto"/>
        <w:jc w:val="both"/>
        <w:rPr>
          <w:rFonts w:ascii="Sakkal Majalla" w:eastAsia="Times New Roman" w:hAnsi="Sakkal Majalla" w:cs="Sakkal Majalla"/>
          <w:sz w:val="28"/>
          <w:szCs w:val="28"/>
          <w:rtl/>
        </w:rPr>
      </w:pPr>
    </w:p>
    <w:p w14:paraId="27CA75EA" w14:textId="19924304" w:rsidR="00237149" w:rsidRPr="00A238AA" w:rsidRDefault="0093248D"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b/>
          <w:bCs/>
          <w:sz w:val="28"/>
          <w:szCs w:val="28"/>
        </w:rPr>
        <w:t> </w:t>
      </w:r>
    </w:p>
    <w:p w14:paraId="54B8F6E8" w14:textId="76C268F7" w:rsidR="002374CB" w:rsidRPr="002374CB"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1-8 </w:t>
      </w:r>
      <w:r w:rsidR="002374CB" w:rsidRPr="002374CB">
        <w:rPr>
          <w:rFonts w:ascii="Sakkal Majalla" w:eastAsia="Times New Roman" w:hAnsi="Sakkal Majalla" w:cs="Sakkal Majalla"/>
          <w:b/>
          <w:bCs/>
          <w:sz w:val="28"/>
          <w:szCs w:val="28"/>
          <w:rtl/>
        </w:rPr>
        <w:t>البعد الفلسفي للحوكمة</w:t>
      </w:r>
    </w:p>
    <w:p w14:paraId="56E4F800" w14:textId="1550A91C"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t xml:space="preserve">تقود المملكة العربية السعودية جهودًا رائدة ومتقدمة في ترسيخ مفهوم الحوكمة، ليس كأداة تنظيمية فحسب، بل كمنظومة قيم وسلوكيات تهدف إلى تحقيق التنمية المستدامة وبناء الثقة. ويتجلى هذا الإنجاز الاستراتيجي بوضوح في الدليل </w:t>
      </w:r>
      <w:proofErr w:type="spellStart"/>
      <w:r w:rsidRPr="005116D7">
        <w:rPr>
          <w:rFonts w:ascii="Sakkal Majalla" w:eastAsia="Times New Roman" w:hAnsi="Sakkal Majalla" w:cs="Sakkal Majalla"/>
          <w:sz w:val="28"/>
          <w:szCs w:val="28"/>
          <w:rtl/>
        </w:rPr>
        <w:t>الاسترشادي</w:t>
      </w:r>
      <w:proofErr w:type="spellEnd"/>
      <w:r w:rsidRPr="005116D7">
        <w:rPr>
          <w:rFonts w:ascii="Sakkal Majalla" w:eastAsia="Times New Roman" w:hAnsi="Sakkal Majalla" w:cs="Sakkal Majalla"/>
          <w:sz w:val="28"/>
          <w:szCs w:val="28"/>
          <w:rtl/>
        </w:rPr>
        <w:t xml:space="preserve"> لحوكمة الجهات العامة، الذي يُعد نقلة نوعية في الفكر الإداري الحكومي. فالدليل لا يفرض قواعد جامدة، بل يؤصل مبادئ سلوكية عليا مثل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الحفاظ على القيم</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 و"القدوة الحسنة</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 xml:space="preserve">، مع التشديد على آليات فعالة للرقابة والمساءلة لضمان الالتزام. والأهم من ذلك، أنه يركز على توجه القيادات من خلال تأكيد مبدأ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نغمة النزاهة من القمة</w:t>
      </w:r>
      <w:r w:rsidRPr="005116D7">
        <w:rPr>
          <w:rFonts w:ascii="Sakkal Majalla" w:eastAsia="Times New Roman" w:hAnsi="Sakkal Majalla" w:cs="Sakkal Majalla"/>
          <w:sz w:val="28"/>
          <w:szCs w:val="28"/>
        </w:rPr>
        <w:t xml:space="preserve">" </w:t>
      </w:r>
      <w:r w:rsidRPr="005116D7">
        <w:rPr>
          <w:rFonts w:ascii="Sakkal Majalla" w:eastAsia="Times New Roman" w:hAnsi="Sakkal Majalla" w:cs="Sakkal Majalla"/>
          <w:sz w:val="28"/>
          <w:szCs w:val="28"/>
          <w:rtl/>
        </w:rPr>
        <w:t>(قرار مجلس الوزراء رقم 92، 2020)، مما يثبت التزام الدولة بتحويل الحوكمة من مجرد إجراءات إلى ثقافة مؤسسية راسخة تقودها قمة الهرم</w:t>
      </w:r>
      <w:r w:rsidRPr="005116D7">
        <w:rPr>
          <w:rFonts w:ascii="Sakkal Majalla" w:eastAsia="Times New Roman" w:hAnsi="Sakkal Majalla" w:cs="Sakkal Majalla"/>
          <w:sz w:val="28"/>
          <w:szCs w:val="28"/>
        </w:rPr>
        <w:t>.</w:t>
      </w:r>
    </w:p>
    <w:p w14:paraId="290AEA0C" w14:textId="77777777"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lastRenderedPageBreak/>
        <w:t>ويأتي هذا التوجه تتويجًا لفلسفة رؤية المملكة 2030، التي تمثل الإطار الوطني الأشمل لهذا الفكر. فالرؤية، بمحاورها الطموحة (مجتمع حيوي، اقتصاد مزدهر، وطن طموح)، لا تقيس النجاح بالأرقام فحسب، بل بجودة الحياة والاستدامة والثقة. إن هذا الربط الوثيق بين أداء المنظمات والغايات الوطنية العليا هو دليل قاطع على أن المملكة قد تبنت البعد الفلسفي للحوكمة كأداة محورية لتحقيق تحولها التاريخي</w:t>
      </w:r>
      <w:r w:rsidRPr="005116D7">
        <w:rPr>
          <w:rFonts w:ascii="Sakkal Majalla" w:eastAsia="Times New Roman" w:hAnsi="Sakkal Majalla" w:cs="Sakkal Majalla"/>
          <w:sz w:val="28"/>
          <w:szCs w:val="28"/>
        </w:rPr>
        <w:t>.</w:t>
      </w:r>
    </w:p>
    <w:p w14:paraId="22C1A43B" w14:textId="77777777" w:rsidR="002374CB" w:rsidRDefault="002374CB" w:rsidP="002D76E9">
      <w:pPr>
        <w:bidi/>
        <w:spacing w:after="0" w:line="276" w:lineRule="auto"/>
        <w:jc w:val="both"/>
        <w:rPr>
          <w:rFonts w:ascii="Sakkal Majalla" w:eastAsia="Times New Roman" w:hAnsi="Sakkal Majalla" w:cs="Sakkal Majalla"/>
          <w:sz w:val="28"/>
          <w:szCs w:val="28"/>
          <w:rtl/>
        </w:rPr>
      </w:pPr>
      <w:r w:rsidRPr="005116D7">
        <w:rPr>
          <w:rFonts w:ascii="Sakkal Majalla" w:eastAsia="Times New Roman" w:hAnsi="Sakkal Majalla" w:cs="Sakkal Majalla"/>
          <w:sz w:val="28"/>
          <w:szCs w:val="28"/>
          <w:rtl/>
        </w:rPr>
        <w:t xml:space="preserve">وهذا التوجه السعودي الأصيل يتناغم تمامًا مع أحدث التطورات في الفكر العالمي للحوكمة، والذي يتجاوز الامتثال الشكلي ليركز على "حوكمة الجوهر". ويُعد فكر </w:t>
      </w:r>
      <w:proofErr w:type="spellStart"/>
      <w:r w:rsidRPr="005116D7">
        <w:rPr>
          <w:rFonts w:ascii="Sakkal Majalla" w:eastAsia="Times New Roman" w:hAnsi="Sakkal Majalla" w:cs="Sakkal Majalla"/>
          <w:sz w:val="28"/>
          <w:szCs w:val="28"/>
          <w:rtl/>
        </w:rPr>
        <w:t>مارفن</w:t>
      </w:r>
      <w:proofErr w:type="spellEnd"/>
      <w:r w:rsidRPr="005116D7">
        <w:rPr>
          <w:rFonts w:ascii="Sakkal Majalla" w:eastAsia="Times New Roman" w:hAnsi="Sakkal Majalla" w:cs="Sakkal Majalla"/>
          <w:sz w:val="28"/>
          <w:szCs w:val="28"/>
          <w:rtl/>
        </w:rPr>
        <w:t xml:space="preserve"> كنج</w:t>
      </w:r>
      <w:r w:rsidRPr="005116D7">
        <w:rPr>
          <w:rFonts w:ascii="Sakkal Majalla" w:eastAsia="Times New Roman" w:hAnsi="Sakkal Majalla" w:cs="Sakkal Majalla"/>
          <w:sz w:val="28"/>
          <w:szCs w:val="28"/>
        </w:rPr>
        <w:t xml:space="preserve"> (Mervyn King) </w:t>
      </w:r>
      <w:r w:rsidRPr="005116D7">
        <w:rPr>
          <w:rFonts w:ascii="Sakkal Majalla" w:eastAsia="Times New Roman" w:hAnsi="Sakkal Majalla" w:cs="Sakkal Majalla"/>
          <w:sz w:val="28"/>
          <w:szCs w:val="28"/>
          <w:rtl/>
        </w:rPr>
        <w:t xml:space="preserve">التجسيد الأبرز لهذا البعد العالمي، من خلال التركيز على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القيادة الأخلاقية</w:t>
      </w:r>
      <w:r w:rsidRPr="005116D7">
        <w:rPr>
          <w:rFonts w:ascii="Sakkal Majalla" w:eastAsia="Times New Roman" w:hAnsi="Sakkal Majalla" w:cs="Sakkal Majalla"/>
          <w:sz w:val="28"/>
          <w:szCs w:val="28"/>
        </w:rPr>
        <w:t xml:space="preserve">" </w:t>
      </w:r>
      <w:r w:rsidRPr="005116D7">
        <w:rPr>
          <w:rFonts w:ascii="Sakkal Majalla" w:eastAsia="Times New Roman" w:hAnsi="Sakkal Majalla" w:cs="Sakkal Majalla"/>
          <w:sz w:val="28"/>
          <w:szCs w:val="28"/>
          <w:rtl/>
        </w:rPr>
        <w:t>والمخرجات النهائية كخلق قيمة مستدامة وبناء الثقة</w:t>
      </w:r>
      <w:r w:rsidRPr="005116D7">
        <w:rPr>
          <w:rFonts w:ascii="Sakkal Majalla" w:eastAsia="Times New Roman" w:hAnsi="Sakkal Majalla" w:cs="Sakkal Majalla"/>
          <w:sz w:val="28"/>
          <w:szCs w:val="28"/>
        </w:rPr>
        <w:t xml:space="preserve"> (Institute of Directors in Southern Africa, 2016). </w:t>
      </w:r>
      <w:r w:rsidRPr="005116D7">
        <w:rPr>
          <w:rFonts w:ascii="Sakkal Majalla" w:eastAsia="Times New Roman" w:hAnsi="Sakkal Majalla" w:cs="Sakkal Majalla"/>
          <w:sz w:val="28"/>
          <w:szCs w:val="28"/>
          <w:rtl/>
        </w:rPr>
        <w:t>وبذلك، لا تكون جهود المملكة مجرد مواكبة لأفضل الممارسات، بل هي مساهمة فعالة ونموذج رائد في تطبيق حوكمة المستقبل التي تهدف إلى بناء اقتصاد مزدهر ومجتمع حيوي</w:t>
      </w:r>
      <w:r w:rsidRPr="005116D7">
        <w:rPr>
          <w:rFonts w:ascii="Sakkal Majalla" w:eastAsia="Times New Roman" w:hAnsi="Sakkal Majalla" w:cs="Sakkal Majalla"/>
          <w:sz w:val="28"/>
          <w:szCs w:val="28"/>
        </w:rPr>
        <w:t>.</w:t>
      </w:r>
    </w:p>
    <w:p w14:paraId="26345D0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76D3D986"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6AFFA0EC" w14:textId="77777777" w:rsidR="00D42AF2" w:rsidRPr="0093248D" w:rsidRDefault="00D42AF2" w:rsidP="00D42AF2">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1-6 بعض </w:t>
      </w:r>
      <w:r w:rsidRPr="0093248D">
        <w:rPr>
          <w:rFonts w:ascii="Sakkal Majalla" w:eastAsia="Times New Roman" w:hAnsi="Sakkal Majalla" w:cs="Sakkal Majalla"/>
          <w:b/>
          <w:bCs/>
          <w:sz w:val="28"/>
          <w:szCs w:val="28"/>
          <w:rtl/>
        </w:rPr>
        <w:t>الأطر المرجعية العالمية للحوكمة المؤسسية</w:t>
      </w:r>
    </w:p>
    <w:p w14:paraId="6BCD6535" w14:textId="77777777" w:rsidR="00D42AF2" w:rsidRPr="00C44705" w:rsidRDefault="00D42AF2" w:rsidP="00D42AF2">
      <w:pPr>
        <w:bidi/>
        <w:spacing w:after="0" w:line="276" w:lineRule="auto"/>
        <w:jc w:val="both"/>
        <w:rPr>
          <w:rFonts w:ascii="Sakkal Majalla" w:eastAsia="Times New Roman" w:hAnsi="Sakkal Majalla" w:cs="Sakkal Majalla"/>
          <w:b/>
          <w:bCs/>
          <w:sz w:val="28"/>
          <w:szCs w:val="28"/>
        </w:rPr>
      </w:pPr>
      <w:r w:rsidRPr="00C44705">
        <w:rPr>
          <w:rFonts w:ascii="Sakkal Majalla" w:eastAsia="Times New Roman" w:hAnsi="Sakkal Majalla" w:cs="Sakkal Majalla"/>
          <w:b/>
          <w:bCs/>
          <w:sz w:val="28"/>
          <w:szCs w:val="28"/>
          <w:rtl/>
        </w:rPr>
        <w:t>إطار</w:t>
      </w:r>
      <w:r w:rsidRPr="00C44705">
        <w:rPr>
          <w:rFonts w:ascii="Sakkal Majalla" w:eastAsia="Times New Roman" w:hAnsi="Sakkal Majalla" w:cs="Sakkal Majalla"/>
          <w:b/>
          <w:bCs/>
          <w:sz w:val="28"/>
          <w:szCs w:val="28"/>
        </w:rPr>
        <w:t xml:space="preserve"> COSO </w:t>
      </w:r>
    </w:p>
    <w:p w14:paraId="41B09C9D"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sz w:val="28"/>
          <w:szCs w:val="28"/>
          <w:rtl/>
        </w:rPr>
        <w:t xml:space="preserve">يُعد إطار </w:t>
      </w:r>
      <w:r w:rsidRPr="0093248D">
        <w:rPr>
          <w:rFonts w:ascii="Sakkal Majalla" w:eastAsia="Times New Roman" w:hAnsi="Sakkal Majalla" w:cs="Sakkal Majalla"/>
          <w:sz w:val="28"/>
          <w:szCs w:val="28"/>
        </w:rPr>
        <w:t xml:space="preserve">(COSO) </w:t>
      </w:r>
      <w:r w:rsidRPr="0093248D">
        <w:rPr>
          <w:rFonts w:ascii="Sakkal Majalla" w:eastAsia="Times New Roman" w:hAnsi="Sakkal Majalla" w:cs="Sakkal Majalla"/>
          <w:sz w:val="28"/>
          <w:szCs w:val="28"/>
          <w:rtl/>
        </w:rPr>
        <w:t>النموذج الأكثر تطبيقاً على مستوى العالم لبناء أنظمة الرقابة الداخلية. تم تصميم الإطار في الأصل لمساعدة المنظمات على منع الاحتيال المالي، لكنه تطور ليصبح دليلاً شاملاً لتحقيق الأهداف التشغيلية والاستراتيجية وأهداف الامتثال بفعالية. يقوم إطار</w:t>
      </w:r>
      <w:r w:rsidRPr="0093248D">
        <w:rPr>
          <w:rFonts w:ascii="Sakkal Majalla" w:eastAsia="Times New Roman" w:hAnsi="Sakkal Majalla" w:cs="Sakkal Majalla"/>
          <w:sz w:val="28"/>
          <w:szCs w:val="28"/>
        </w:rPr>
        <w:t xml:space="preserve"> COSO </w:t>
      </w:r>
      <w:r w:rsidRPr="0093248D">
        <w:rPr>
          <w:rFonts w:ascii="Sakkal Majalla" w:eastAsia="Times New Roman" w:hAnsi="Sakkal Majalla" w:cs="Sakkal Majalla"/>
          <w:sz w:val="28"/>
          <w:szCs w:val="28"/>
          <w:rtl/>
        </w:rPr>
        <w:t xml:space="preserve">على فرضية أن الرقابة الداخلية ليست مجرد سياسات وإجراءات، بل هي نظام متكامل يتألف من </w:t>
      </w:r>
      <w:r w:rsidRPr="0093248D">
        <w:rPr>
          <w:rFonts w:ascii="Sakkal Majalla" w:eastAsia="Times New Roman" w:hAnsi="Sakkal Majalla" w:cs="Sakkal Majalla" w:hint="cs"/>
          <w:sz w:val="28"/>
          <w:szCs w:val="28"/>
          <w:rtl/>
        </w:rPr>
        <w:t>خمس</w:t>
      </w:r>
      <w:r w:rsidRPr="0093248D">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عناصر</w:t>
      </w:r>
      <w:r w:rsidRPr="0093248D">
        <w:rPr>
          <w:rFonts w:ascii="Sakkal Majalla" w:eastAsia="Times New Roman" w:hAnsi="Sakkal Majalla" w:cs="Sakkal Majalla"/>
          <w:sz w:val="28"/>
          <w:szCs w:val="28"/>
          <w:rtl/>
        </w:rPr>
        <w:t xml:space="preserve"> مترابطة يجب أن تعمل معًا بتناغم </w:t>
      </w:r>
      <w:r w:rsidRPr="0093248D">
        <w:rPr>
          <w:rFonts w:ascii="Sakkal Majalla" w:eastAsia="Times New Roman" w:hAnsi="Sakkal Majalla" w:cs="Sakkal Majalla"/>
          <w:sz w:val="28"/>
          <w:szCs w:val="28"/>
        </w:rPr>
        <w:t>(Committee of Sponsoring Organizations of the Treadway Commission [COSO], 2013).</w:t>
      </w:r>
    </w:p>
    <w:p w14:paraId="2F74FE57"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البيئة</w:t>
      </w:r>
      <w:r w:rsidRPr="00C44705">
        <w:rPr>
          <w:rFonts w:ascii="Sakkal Majalla" w:eastAsia="Times New Roman" w:hAnsi="Sakkal Majalla" w:cs="Sakkal Majalla"/>
          <w:b/>
          <w:bCs/>
          <w:sz w:val="28"/>
          <w:szCs w:val="28"/>
          <w:rtl/>
        </w:rPr>
        <w:t xml:space="preserve"> الرقابية</w:t>
      </w:r>
      <w:r w:rsidRPr="0093248D">
        <w:rPr>
          <w:rFonts w:ascii="Sakkal Majalla" w:eastAsia="Times New Roman" w:hAnsi="Sakkal Majalla" w:cs="Sakkal Majalla"/>
          <w:sz w:val="28"/>
          <w:szCs w:val="28"/>
        </w:rPr>
        <w:t xml:space="preserve"> (Control Environment) </w:t>
      </w:r>
      <w:r w:rsidRPr="0093248D">
        <w:rPr>
          <w:rFonts w:ascii="Sakkal Majalla" w:eastAsia="Times New Roman" w:hAnsi="Sakkal Majalla" w:cs="Sakkal Majalla"/>
          <w:sz w:val="28"/>
          <w:szCs w:val="28"/>
          <w:rtl/>
        </w:rPr>
        <w:t>وهي الأساس الذي تُبنى عليه جميع المكونات الأخرى، حيث تشكل "الثقافة الأخلاقية" للمنظمة، وتحدد نبرة القيادة العليا</w:t>
      </w:r>
      <w:r w:rsidRPr="0093248D">
        <w:rPr>
          <w:rFonts w:ascii="Sakkal Majalla" w:eastAsia="Times New Roman" w:hAnsi="Sakkal Majalla" w:cs="Sakkal Majalla"/>
          <w:sz w:val="28"/>
          <w:szCs w:val="28"/>
        </w:rPr>
        <w:t xml:space="preserve"> (Tone at the Top)</w:t>
      </w:r>
      <w:r w:rsidRPr="0093248D">
        <w:rPr>
          <w:rFonts w:ascii="Sakkal Majalla" w:eastAsia="Times New Roman" w:hAnsi="Sakkal Majalla" w:cs="Sakkal Majalla"/>
          <w:sz w:val="28"/>
          <w:szCs w:val="28"/>
          <w:rtl/>
        </w:rPr>
        <w:t>، وتضع الهيكل التنظيمي وخطوط السلطة والمساءلة</w:t>
      </w:r>
      <w:r w:rsidRPr="0093248D">
        <w:rPr>
          <w:rFonts w:ascii="Sakkal Majalla" w:eastAsia="Times New Roman" w:hAnsi="Sakkal Majalla" w:cs="Sakkal Majalla"/>
          <w:sz w:val="28"/>
          <w:szCs w:val="28"/>
        </w:rPr>
        <w:t>.</w:t>
      </w:r>
    </w:p>
    <w:p w14:paraId="364E1823"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تقييم المخاطر</w:t>
      </w:r>
      <w:r w:rsidRPr="0093248D">
        <w:rPr>
          <w:rFonts w:ascii="Sakkal Majalla" w:eastAsia="Times New Roman" w:hAnsi="Sakkal Majalla" w:cs="Sakkal Majalla"/>
          <w:b/>
          <w:bCs/>
          <w:sz w:val="28"/>
          <w:szCs w:val="28"/>
        </w:rPr>
        <w:t xml:space="preserve"> (Risk Assessment)</w:t>
      </w:r>
      <w:r w:rsidRPr="0093248D">
        <w:rPr>
          <w:rFonts w:ascii="Sakkal Majalla" w:eastAsia="Times New Roman" w:hAnsi="Sakkal Majalla" w:cs="Sakkal Majalla"/>
          <w:sz w:val="28"/>
          <w:szCs w:val="28"/>
        </w:rPr>
        <w:t> </w:t>
      </w:r>
      <w:r w:rsidRPr="0093248D">
        <w:rPr>
          <w:rFonts w:ascii="Sakkal Majalla" w:eastAsia="Times New Roman" w:hAnsi="Sakkal Majalla" w:cs="Sakkal Majalla"/>
          <w:sz w:val="28"/>
          <w:szCs w:val="28"/>
          <w:rtl/>
        </w:rPr>
        <w:t>وهي العملية المنهجية التي تمكن المنظمة من تحديد وتحليل المخاطر التي تهدد تحقيق أهدافها، مما يسمح للإدارة باتخاذ قرارات استباقية للتعامل معها</w:t>
      </w:r>
      <w:r w:rsidRPr="0093248D">
        <w:rPr>
          <w:rFonts w:ascii="Sakkal Majalla" w:eastAsia="Times New Roman" w:hAnsi="Sakkal Majalla" w:cs="Sakkal Majalla"/>
          <w:sz w:val="28"/>
          <w:szCs w:val="28"/>
        </w:rPr>
        <w:t>.</w:t>
      </w:r>
    </w:p>
    <w:p w14:paraId="6D00C9F5"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الأنشطة الرقابية</w:t>
      </w:r>
      <w:r w:rsidRPr="0093248D">
        <w:rPr>
          <w:rFonts w:ascii="Sakkal Majalla" w:eastAsia="Times New Roman" w:hAnsi="Sakkal Majalla" w:cs="Sakkal Majalla"/>
          <w:b/>
          <w:bCs/>
          <w:sz w:val="28"/>
          <w:szCs w:val="28"/>
        </w:rPr>
        <w:t xml:space="preserve"> (Control Activities) </w:t>
      </w:r>
      <w:r w:rsidRPr="0093248D">
        <w:rPr>
          <w:rFonts w:ascii="Sakkal Majalla" w:eastAsia="Times New Roman" w:hAnsi="Sakkal Majalla" w:cs="Sakkal Majalla"/>
          <w:sz w:val="28"/>
          <w:szCs w:val="28"/>
          <w:rtl/>
        </w:rPr>
        <w:t>وهي الإجراءات الفعلية التي يتم تنفيذها للتخفيف من المخاطر، مثل الفصل بين الواجبات، والموافقات، ومراجعات الأداء</w:t>
      </w:r>
      <w:r w:rsidRPr="0093248D">
        <w:rPr>
          <w:rFonts w:ascii="Sakkal Majalla" w:eastAsia="Times New Roman" w:hAnsi="Sakkal Majalla" w:cs="Sakkal Majalla"/>
          <w:sz w:val="28"/>
          <w:szCs w:val="28"/>
        </w:rPr>
        <w:t>.</w:t>
      </w:r>
    </w:p>
    <w:p w14:paraId="5250B4A3"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المعلومات وال</w:t>
      </w:r>
      <w:r>
        <w:rPr>
          <w:rFonts w:ascii="Sakkal Majalla" w:eastAsia="Times New Roman" w:hAnsi="Sakkal Majalla" w:cs="Sakkal Majalla" w:hint="cs"/>
          <w:b/>
          <w:bCs/>
          <w:sz w:val="28"/>
          <w:szCs w:val="28"/>
          <w:rtl/>
        </w:rPr>
        <w:t>تواصل</w:t>
      </w:r>
      <w:r w:rsidRPr="0093248D">
        <w:rPr>
          <w:rFonts w:ascii="Sakkal Majalla" w:eastAsia="Times New Roman" w:hAnsi="Sakkal Majalla" w:cs="Sakkal Majalla"/>
          <w:b/>
          <w:bCs/>
          <w:sz w:val="28"/>
          <w:szCs w:val="28"/>
        </w:rPr>
        <w:t xml:space="preserve"> (Information &amp; Communication) </w:t>
      </w:r>
      <w:r w:rsidRPr="0093248D">
        <w:rPr>
          <w:rFonts w:ascii="Sakkal Majalla" w:eastAsia="Times New Roman" w:hAnsi="Sakkal Majalla" w:cs="Sakkal Majalla"/>
          <w:sz w:val="28"/>
          <w:szCs w:val="28"/>
          <w:rtl/>
        </w:rPr>
        <w:t>وهي الآلي</w:t>
      </w:r>
      <w:r>
        <w:rPr>
          <w:rFonts w:ascii="Sakkal Majalla" w:eastAsia="Times New Roman" w:hAnsi="Sakkal Majalla" w:cs="Sakkal Majalla" w:hint="cs"/>
          <w:sz w:val="28"/>
          <w:szCs w:val="28"/>
          <w:rtl/>
        </w:rPr>
        <w:t>ات تعزيز</w:t>
      </w:r>
      <w:r w:rsidRPr="0093248D">
        <w:rPr>
          <w:rFonts w:ascii="Sakkal Majalla" w:eastAsia="Times New Roman" w:hAnsi="Sakkal Majalla" w:cs="Sakkal Majalla"/>
          <w:sz w:val="28"/>
          <w:szCs w:val="28"/>
          <w:rtl/>
        </w:rPr>
        <w:t xml:space="preserve"> تدفق المعلومات الدقيقة وذات الجودة </w:t>
      </w:r>
      <w:r>
        <w:rPr>
          <w:rFonts w:ascii="Sakkal Majalla" w:eastAsia="Times New Roman" w:hAnsi="Sakkal Majalla" w:cs="Sakkal Majalla" w:hint="cs"/>
          <w:sz w:val="28"/>
          <w:szCs w:val="28"/>
          <w:rtl/>
        </w:rPr>
        <w:t>على المستويين الداخلي والخارجي</w:t>
      </w:r>
      <w:r w:rsidRPr="0093248D">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 xml:space="preserve">وذلك </w:t>
      </w:r>
      <w:r w:rsidRPr="0093248D">
        <w:rPr>
          <w:rFonts w:ascii="Sakkal Majalla" w:eastAsia="Times New Roman" w:hAnsi="Sakkal Majalla" w:cs="Sakkal Majalla"/>
          <w:sz w:val="28"/>
          <w:szCs w:val="28"/>
          <w:rtl/>
        </w:rPr>
        <w:t>لتمكين جميع الأطراف من أداء مسؤولياتهم بفعالية</w:t>
      </w:r>
      <w:r w:rsidRPr="0093248D">
        <w:rPr>
          <w:rFonts w:ascii="Sakkal Majalla" w:eastAsia="Times New Roman" w:hAnsi="Sakkal Majalla" w:cs="Sakkal Majalla"/>
          <w:sz w:val="28"/>
          <w:szCs w:val="28"/>
        </w:rPr>
        <w:t>.</w:t>
      </w:r>
    </w:p>
    <w:p w14:paraId="7D2EBC22" w14:textId="77777777" w:rsidR="00D42AF2" w:rsidRDefault="00D42AF2" w:rsidP="00D42AF2">
      <w:pPr>
        <w:numPr>
          <w:ilvl w:val="0"/>
          <w:numId w:val="80"/>
        </w:numPr>
        <w:bidi/>
        <w:spacing w:after="0" w:line="276" w:lineRule="auto"/>
        <w:jc w:val="both"/>
        <w:rPr>
          <w:rFonts w:ascii="Sakkal Majalla" w:eastAsia="Times New Roman" w:hAnsi="Sakkal Majalla" w:cs="Sakkal Majalla"/>
          <w:b/>
          <w:bCs/>
          <w:sz w:val="28"/>
          <w:szCs w:val="28"/>
        </w:rPr>
      </w:pPr>
      <w:r w:rsidRPr="0093248D">
        <w:rPr>
          <w:rFonts w:ascii="Sakkal Majalla" w:eastAsia="Times New Roman" w:hAnsi="Sakkal Majalla" w:cs="Sakkal Majalla"/>
          <w:b/>
          <w:bCs/>
          <w:sz w:val="28"/>
          <w:szCs w:val="28"/>
          <w:rtl/>
        </w:rPr>
        <w:lastRenderedPageBreak/>
        <w:t>أنشطة المراقبة</w:t>
      </w:r>
      <w:r w:rsidRPr="0093248D">
        <w:rPr>
          <w:rFonts w:ascii="Sakkal Majalla" w:eastAsia="Times New Roman" w:hAnsi="Sakkal Majalla" w:cs="Sakkal Majalla"/>
          <w:b/>
          <w:bCs/>
          <w:sz w:val="28"/>
          <w:szCs w:val="28"/>
        </w:rPr>
        <w:t xml:space="preserve"> (Monitoring Activities) </w:t>
      </w:r>
      <w:r w:rsidRPr="0093248D">
        <w:rPr>
          <w:rFonts w:ascii="Sakkal Majalla" w:eastAsia="Times New Roman" w:hAnsi="Sakkal Majalla" w:cs="Sakkal Majalla"/>
          <w:sz w:val="28"/>
          <w:szCs w:val="28"/>
          <w:rtl/>
        </w:rPr>
        <w:t>وهي عملي</w:t>
      </w:r>
      <w:r w:rsidRPr="006218DA">
        <w:rPr>
          <w:rFonts w:ascii="Sakkal Majalla" w:eastAsia="Times New Roman" w:hAnsi="Sakkal Majalla" w:cs="Sakkal Majalla" w:hint="cs"/>
          <w:sz w:val="28"/>
          <w:szCs w:val="28"/>
          <w:rtl/>
        </w:rPr>
        <w:t>ات</w:t>
      </w:r>
      <w:r w:rsidRPr="0093248D">
        <w:rPr>
          <w:rFonts w:ascii="Sakkal Majalla" w:eastAsia="Times New Roman" w:hAnsi="Sakkal Majalla" w:cs="Sakkal Majalla"/>
          <w:sz w:val="28"/>
          <w:szCs w:val="28"/>
          <w:rtl/>
        </w:rPr>
        <w:t xml:space="preserve"> التقييم المستمر لفعالية نظام الرقابة الداخلية بأكمله، وتتم غالبًا من خلال المراجعة الداخلية، بهدف تحديد أوجه القصور واتخاذ الإجراءات التصحيحية</w:t>
      </w:r>
      <w:r w:rsidRPr="0093248D">
        <w:rPr>
          <w:rFonts w:ascii="Sakkal Majalla" w:eastAsia="Times New Roman" w:hAnsi="Sakkal Majalla" w:cs="Sakkal Majalla"/>
          <w:b/>
          <w:bCs/>
          <w:sz w:val="28"/>
          <w:szCs w:val="28"/>
        </w:rPr>
        <w:t>.</w:t>
      </w:r>
    </w:p>
    <w:p w14:paraId="04F46C47" w14:textId="77777777" w:rsidR="00D42AF2" w:rsidRPr="0093248D" w:rsidRDefault="00D42AF2" w:rsidP="00D42AF2">
      <w:pPr>
        <w:bidi/>
        <w:spacing w:after="0" w:line="276" w:lineRule="auto"/>
        <w:ind w:left="720"/>
        <w:jc w:val="both"/>
        <w:rPr>
          <w:rFonts w:ascii="Sakkal Majalla" w:eastAsia="Times New Roman" w:hAnsi="Sakkal Majalla" w:cs="Sakkal Majalla"/>
          <w:b/>
          <w:bCs/>
          <w:sz w:val="28"/>
          <w:szCs w:val="28"/>
        </w:rPr>
      </w:pPr>
    </w:p>
    <w:p w14:paraId="2FEA8017" w14:textId="77777777" w:rsidR="00D42AF2" w:rsidRPr="006218DA" w:rsidRDefault="00D42AF2"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sz w:val="28"/>
          <w:szCs w:val="28"/>
          <w:rtl/>
        </w:rPr>
        <w:t>يمثل إطار</w:t>
      </w:r>
      <w:r w:rsidRPr="0093248D">
        <w:rPr>
          <w:rFonts w:ascii="Sakkal Majalla" w:eastAsia="Times New Roman" w:hAnsi="Sakkal Majalla" w:cs="Sakkal Majalla"/>
          <w:sz w:val="28"/>
          <w:szCs w:val="28"/>
        </w:rPr>
        <w:t xml:space="preserve"> COSO</w:t>
      </w:r>
      <w:r w:rsidRPr="006218DA">
        <w:rPr>
          <w:rFonts w:ascii="Sakkal Majalla" w:eastAsia="Times New Roman" w:hAnsi="Sakkal Majalla" w:cs="Sakkal Majalla" w:hint="cs"/>
          <w:sz w:val="28"/>
          <w:szCs w:val="28"/>
          <w:rtl/>
        </w:rPr>
        <w:t xml:space="preserve"> من النماذج التي تستخدمها </w:t>
      </w:r>
      <w:r w:rsidRPr="0093248D">
        <w:rPr>
          <w:rFonts w:ascii="Sakkal Majalla" w:eastAsia="Times New Roman" w:hAnsi="Sakkal Majalla" w:cs="Sakkal Majalla"/>
          <w:sz w:val="28"/>
          <w:szCs w:val="28"/>
          <w:rtl/>
        </w:rPr>
        <w:t xml:space="preserve">المنظمات (سواء كانت عامة أو خاصة) لبناء نظام حوكمة داخلي قوي يضمن تحقيق أهدافها بكفاءة ونزاهة </w:t>
      </w:r>
      <w:r w:rsidRPr="0093248D">
        <w:rPr>
          <w:rFonts w:ascii="Sakkal Majalla" w:eastAsia="Times New Roman" w:hAnsi="Sakkal Majalla" w:cs="Sakkal Majalla"/>
          <w:sz w:val="28"/>
          <w:szCs w:val="28"/>
        </w:rPr>
        <w:t>(COSO, 2013).</w:t>
      </w:r>
    </w:p>
    <w:p w14:paraId="5240B0D8"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p>
    <w:p w14:paraId="16CD3B0B" w14:textId="77777777" w:rsidR="00D42AF2" w:rsidRPr="00C44705" w:rsidRDefault="00D42AF2" w:rsidP="00D42AF2">
      <w:pPr>
        <w:bidi/>
        <w:spacing w:after="0" w:line="276" w:lineRule="auto"/>
        <w:jc w:val="both"/>
        <w:rPr>
          <w:rFonts w:ascii="Sakkal Majalla" w:eastAsia="Times New Roman" w:hAnsi="Sakkal Majalla" w:cs="Sakkal Majalla"/>
          <w:b/>
          <w:bCs/>
          <w:sz w:val="28"/>
          <w:szCs w:val="28"/>
        </w:rPr>
      </w:pPr>
      <w:r w:rsidRPr="00C44705">
        <w:rPr>
          <w:rFonts w:ascii="Sakkal Majalla" w:eastAsia="Times New Roman" w:hAnsi="Sakkal Majalla" w:cs="Sakkal Majalla"/>
          <w:b/>
          <w:bCs/>
          <w:sz w:val="28"/>
          <w:szCs w:val="28"/>
          <w:rtl/>
        </w:rPr>
        <w:t>معايير</w:t>
      </w:r>
      <w:r w:rsidRPr="00C44705">
        <w:rPr>
          <w:rFonts w:ascii="Sakkal Majalla" w:eastAsia="Times New Roman" w:hAnsi="Sakkal Majalla" w:cs="Sakkal Majalla"/>
          <w:b/>
          <w:bCs/>
          <w:sz w:val="28"/>
          <w:szCs w:val="28"/>
        </w:rPr>
        <w:t xml:space="preserve"> INTOSAI </w:t>
      </w:r>
      <w:r w:rsidRPr="00C44705">
        <w:rPr>
          <w:rFonts w:ascii="Sakkal Majalla" w:eastAsia="Times New Roman" w:hAnsi="Sakkal Majalla" w:cs="Sakkal Majalla"/>
          <w:b/>
          <w:bCs/>
          <w:sz w:val="28"/>
          <w:szCs w:val="28"/>
          <w:rtl/>
        </w:rPr>
        <w:t>إطار المساءلة العامة والرقابة الخارجية</w:t>
      </w:r>
    </w:p>
    <w:p w14:paraId="5A5ED00A"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sz w:val="28"/>
          <w:szCs w:val="28"/>
          <w:rtl/>
        </w:rPr>
        <w:t>تُعد معايير المنظمة الدولية للأجهزة العليا للرقابة المالية والمحاسبة</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الإطار المرجعي الأساسي الذي يحكم عمل أجهزة الرقابة العليا حول العالم (مثل ديوان المحاسبة العامة). بينما يركز إطار</w:t>
      </w:r>
      <w:r w:rsidRPr="0093248D">
        <w:rPr>
          <w:rFonts w:ascii="Sakkal Majalla" w:eastAsia="Times New Roman" w:hAnsi="Sakkal Majalla" w:cs="Sakkal Majalla"/>
          <w:sz w:val="28"/>
          <w:szCs w:val="28"/>
        </w:rPr>
        <w:t xml:space="preserve"> COSO </w:t>
      </w:r>
      <w:r w:rsidRPr="0093248D">
        <w:rPr>
          <w:rFonts w:ascii="Sakkal Majalla" w:eastAsia="Times New Roman" w:hAnsi="Sakkal Majalla" w:cs="Sakkal Majalla"/>
          <w:sz w:val="28"/>
          <w:szCs w:val="28"/>
          <w:rtl/>
        </w:rPr>
        <w:t>على كيفية بناء المنظمة لنظامها الداخلي، تركز معايير</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 xml:space="preserve">على كيفية قيام "جهاز رقابي خارجي مستقل" بتقييم أداء تلك المنظمات لضمان المساءلة العامة </w:t>
      </w:r>
      <w:r w:rsidRPr="0093248D">
        <w:rPr>
          <w:rFonts w:ascii="Sakkal Majalla" w:eastAsia="Times New Roman" w:hAnsi="Sakkal Majalla" w:cs="Sakkal Majalla"/>
          <w:sz w:val="28"/>
          <w:szCs w:val="28"/>
        </w:rPr>
        <w:t>(International Organization of Supreme Audit Institutions [INTOSAI], 2019).</w:t>
      </w:r>
    </w:p>
    <w:p w14:paraId="025FEE92" w14:textId="77777777" w:rsidR="00D42AF2" w:rsidRDefault="00D42AF2"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sz w:val="28"/>
          <w:szCs w:val="28"/>
          <w:rtl/>
        </w:rPr>
        <w:t>تتجاوز معايير</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الحديثة مجرد الرقابة المالية ورقابة الالتزام بالقوانين، لتشمل رقابة الأداء</w:t>
      </w:r>
      <w:r w:rsidRPr="0093248D">
        <w:rPr>
          <w:rFonts w:ascii="Sakkal Majalla" w:eastAsia="Times New Roman" w:hAnsi="Sakkal Majalla" w:cs="Sakkal Majalla"/>
          <w:sz w:val="28"/>
          <w:szCs w:val="28"/>
        </w:rPr>
        <w:t xml:space="preserve"> (Performance Audit) </w:t>
      </w:r>
      <w:r w:rsidRPr="0093248D">
        <w:rPr>
          <w:rFonts w:ascii="Sakkal Majalla" w:eastAsia="Times New Roman" w:hAnsi="Sakkal Majalla" w:cs="Sakkal Majalla"/>
          <w:sz w:val="28"/>
          <w:szCs w:val="28"/>
          <w:rtl/>
        </w:rPr>
        <w:t xml:space="preserve">كأحد أهم أركانها. يهدف هذا النوع من الرقابة إلى تقييم ما إذا كانت </w:t>
      </w:r>
      <w:r>
        <w:rPr>
          <w:rFonts w:ascii="Sakkal Majalla" w:eastAsia="Times New Roman" w:hAnsi="Sakkal Majalla" w:cs="Sakkal Majalla" w:hint="cs"/>
          <w:sz w:val="28"/>
          <w:szCs w:val="28"/>
          <w:rtl/>
        </w:rPr>
        <w:t>المنظمات</w:t>
      </w:r>
      <w:r w:rsidRPr="0093248D">
        <w:rPr>
          <w:rFonts w:ascii="Sakkal Majalla" w:eastAsia="Times New Roman" w:hAnsi="Sakkal Majalla" w:cs="Sakkal Majalla"/>
          <w:sz w:val="28"/>
          <w:szCs w:val="28"/>
          <w:rtl/>
        </w:rPr>
        <w:t xml:space="preserve"> تستخدم </w:t>
      </w:r>
      <w:r>
        <w:rPr>
          <w:rFonts w:ascii="Sakkal Majalla" w:eastAsia="Times New Roman" w:hAnsi="Sakkal Majalla" w:cs="Sakkal Majalla" w:hint="cs"/>
          <w:sz w:val="28"/>
          <w:szCs w:val="28"/>
          <w:rtl/>
        </w:rPr>
        <w:t>ال</w:t>
      </w:r>
      <w:r w:rsidRPr="0093248D">
        <w:rPr>
          <w:rFonts w:ascii="Sakkal Majalla" w:eastAsia="Times New Roman" w:hAnsi="Sakkal Majalla" w:cs="Sakkal Majalla"/>
          <w:sz w:val="28"/>
          <w:szCs w:val="28"/>
          <w:rtl/>
        </w:rPr>
        <w:t xml:space="preserve">موارد بـ </w:t>
      </w:r>
      <w:r w:rsidRPr="0093248D">
        <w:rPr>
          <w:rFonts w:ascii="Sakkal Majalla" w:eastAsia="Times New Roman" w:hAnsi="Sakkal Majalla" w:cs="Sakkal Majalla"/>
          <w:sz w:val="28"/>
          <w:szCs w:val="28"/>
        </w:rPr>
        <w:t>"</w:t>
      </w:r>
      <w:r w:rsidRPr="0093248D">
        <w:rPr>
          <w:rFonts w:ascii="Sakkal Majalla" w:eastAsia="Times New Roman" w:hAnsi="Sakkal Majalla" w:cs="Sakkal Majalla"/>
          <w:sz w:val="28"/>
          <w:szCs w:val="28"/>
          <w:rtl/>
        </w:rPr>
        <w:t>اقتصاد وكفاءة وفعالية</w:t>
      </w:r>
      <w:r w:rsidRPr="0093248D">
        <w:rPr>
          <w:rFonts w:ascii="Sakkal Majalla" w:eastAsia="Times New Roman" w:hAnsi="Sakkal Majalla" w:cs="Sakkal Majalla"/>
          <w:sz w:val="28"/>
          <w:szCs w:val="28"/>
        </w:rPr>
        <w:t>" (The 3 Es)</w:t>
      </w:r>
      <w:r w:rsidRPr="0093248D">
        <w:rPr>
          <w:rFonts w:ascii="Sakkal Majalla" w:eastAsia="Times New Roman" w:hAnsi="Sakkal Majalla" w:cs="Sakkal Majalla"/>
          <w:sz w:val="28"/>
          <w:szCs w:val="28"/>
          <w:rtl/>
        </w:rPr>
        <w:t>، وهو ما يربط عمل الأجهزة الرقابية مباشرة بأهداف الحوكمة الرشيدة المتمثلة في تحقيق القيمة العامة وتعظيمها</w:t>
      </w:r>
      <w:r w:rsidRPr="0093248D">
        <w:rPr>
          <w:rFonts w:ascii="Sakkal Majalla" w:eastAsia="Times New Roman" w:hAnsi="Sakkal Majalla" w:cs="Sakkal Majalla"/>
          <w:sz w:val="28"/>
          <w:szCs w:val="28"/>
        </w:rPr>
        <w:t>.</w:t>
      </w:r>
    </w:p>
    <w:p w14:paraId="7817677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28C1EF7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06A0E7C5" w14:textId="77777777" w:rsidR="00D42AF2" w:rsidRPr="005116D7" w:rsidRDefault="00D42AF2" w:rsidP="00D42AF2">
      <w:pPr>
        <w:bidi/>
        <w:spacing w:after="0" w:line="276" w:lineRule="auto"/>
        <w:jc w:val="both"/>
        <w:rPr>
          <w:rFonts w:ascii="Sakkal Majalla" w:eastAsia="Times New Roman" w:hAnsi="Sakkal Majalla" w:cs="Sakkal Majalla"/>
          <w:sz w:val="28"/>
          <w:szCs w:val="28"/>
        </w:rPr>
      </w:pPr>
    </w:p>
    <w:p w14:paraId="5BF5DE8A" w14:textId="77777777" w:rsidR="002374CB" w:rsidRPr="002374CB" w:rsidRDefault="002374CB" w:rsidP="002D76E9">
      <w:pPr>
        <w:bidi/>
        <w:spacing w:after="0" w:line="276" w:lineRule="auto"/>
        <w:jc w:val="both"/>
        <w:rPr>
          <w:rFonts w:ascii="Sakkal Majalla" w:eastAsia="Times New Roman" w:hAnsi="Sakkal Majalla" w:cs="Sakkal Majalla"/>
          <w:sz w:val="28"/>
          <w:szCs w:val="28"/>
          <w:rtl/>
        </w:rPr>
      </w:pPr>
    </w:p>
    <w:p w14:paraId="0A9F46F1" w14:textId="1C390CEB" w:rsidR="00490182" w:rsidRPr="00490182" w:rsidRDefault="00490182" w:rsidP="002D76E9">
      <w:pPr>
        <w:bidi/>
        <w:spacing w:after="0" w:line="276"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 xml:space="preserve">حور </w:t>
      </w:r>
      <w:r w:rsidRPr="00490182">
        <w:rPr>
          <w:rFonts w:ascii="Sakkal Majalla" w:eastAsia="Times New Roman" w:hAnsi="Sakkal Majalla" w:cs="Sakkal Majalla"/>
          <w:b/>
          <w:bCs/>
          <w:sz w:val="28"/>
          <w:szCs w:val="28"/>
          <w:rtl/>
        </w:rPr>
        <w:t>الثاني: أثر الحوكمة على التميز التشغيلي</w:t>
      </w:r>
    </w:p>
    <w:p w14:paraId="1B7148C5" w14:textId="4F94D926" w:rsidR="00490182" w:rsidRP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2-1</w:t>
      </w:r>
      <w:r w:rsidR="00490182" w:rsidRPr="00490182">
        <w:rPr>
          <w:rFonts w:ascii="Sakkal Majalla" w:eastAsia="Times New Roman" w:hAnsi="Sakkal Majalla" w:cs="Sakkal Majalla"/>
          <w:b/>
          <w:bCs/>
          <w:sz w:val="28"/>
          <w:szCs w:val="28"/>
          <w:rtl/>
        </w:rPr>
        <w:t>مفهوم التميز التشغيلي</w:t>
      </w:r>
    </w:p>
    <w:p w14:paraId="64017BE7" w14:textId="77777777" w:rsidR="00490182" w:rsidRDefault="00490182" w:rsidP="002D76E9">
      <w:pPr>
        <w:bidi/>
        <w:spacing w:after="0" w:line="276"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يُعرّف التميز التشغيلي بأنه قدرة المنظمة على تحقيق أهدافها بكفاءة وفعالية، من خلال التحسين المستمر للعمليات وتقليل الهدر والتكاليف. يركز التميز التشغيلي على الجوانب الداخلية للمنظمة، مثل جودة المنتجات والخدمات، وسرعة الاستجابة، وكفاءة استخدام الموارد. وقد أشار (القحطاني، 2022) إلى أن كفاءة مؤشرات الأداء المالي هي انعكاس مباشر للتميز التشغيلي في المنظمة. وتعتبر مقاييس مثل العائد على الأصول (</w:t>
      </w:r>
      <w:r w:rsidRPr="00490182">
        <w:rPr>
          <w:rFonts w:ascii="Sakkal Majalla" w:eastAsia="Times New Roman" w:hAnsi="Sakkal Majalla" w:cs="Sakkal Majalla"/>
          <w:sz w:val="28"/>
          <w:szCs w:val="28"/>
        </w:rPr>
        <w:t>ROA</w:t>
      </w:r>
      <w:r w:rsidRPr="00490182">
        <w:rPr>
          <w:rFonts w:ascii="Sakkal Majalla" w:eastAsia="Times New Roman" w:hAnsi="Sakkal Majalla" w:cs="Sakkal Majalla"/>
          <w:sz w:val="28"/>
          <w:szCs w:val="28"/>
          <w:rtl/>
        </w:rPr>
        <w:t>) وهامش الربح التشغيلي من أهم مؤشرات قياس الأداء التشغيلي، كما استخدمتها دراسة (</w:t>
      </w:r>
      <w:r w:rsidRPr="00490182">
        <w:rPr>
          <w:rFonts w:ascii="Sakkal Majalla" w:eastAsia="Times New Roman" w:hAnsi="Sakkal Majalla" w:cs="Sakkal Majalla"/>
          <w:sz w:val="28"/>
          <w:szCs w:val="28"/>
        </w:rPr>
        <w:t>Brown</w:t>
      </w:r>
      <w:r w:rsidRPr="00490182">
        <w:rPr>
          <w:rFonts w:ascii="Sakkal Majalla" w:eastAsia="Times New Roman" w:hAnsi="Sakkal Majalla" w:cs="Sakkal Majalla"/>
          <w:sz w:val="28"/>
          <w:szCs w:val="28"/>
          <w:rtl/>
        </w:rPr>
        <w:t xml:space="preserve"> &amp; </w:t>
      </w:r>
      <w:r w:rsidRPr="00490182">
        <w:rPr>
          <w:rFonts w:ascii="Sakkal Majalla" w:eastAsia="Times New Roman" w:hAnsi="Sakkal Majalla" w:cs="Sakkal Majalla"/>
          <w:sz w:val="28"/>
          <w:szCs w:val="28"/>
        </w:rPr>
        <w:t>Caylor, 2009</w:t>
      </w:r>
      <w:r w:rsidRPr="00490182">
        <w:rPr>
          <w:rFonts w:ascii="Sakkal Majalla" w:eastAsia="Times New Roman" w:hAnsi="Sakkal Majalla" w:cs="Sakkal Majalla"/>
          <w:sz w:val="28"/>
          <w:szCs w:val="28"/>
          <w:rtl/>
        </w:rPr>
        <w:t>).</w:t>
      </w:r>
    </w:p>
    <w:p w14:paraId="5675BC48" w14:textId="77777777" w:rsidR="00490182" w:rsidRPr="00490182" w:rsidRDefault="00490182" w:rsidP="002D76E9">
      <w:pPr>
        <w:bidi/>
        <w:spacing w:after="0" w:line="276" w:lineRule="auto"/>
        <w:jc w:val="both"/>
        <w:rPr>
          <w:rFonts w:ascii="Sakkal Majalla" w:eastAsia="Times New Roman" w:hAnsi="Sakkal Majalla" w:cs="Sakkal Majalla"/>
          <w:b/>
          <w:bCs/>
          <w:sz w:val="28"/>
          <w:szCs w:val="28"/>
          <w:rtl/>
        </w:rPr>
      </w:pPr>
    </w:p>
    <w:p w14:paraId="27FB364E" w14:textId="0E676CFC" w:rsid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lastRenderedPageBreak/>
        <w:t xml:space="preserve">2-2 </w:t>
      </w:r>
      <w:r w:rsidR="005116D7" w:rsidRPr="00490182">
        <w:rPr>
          <w:rFonts w:ascii="Sakkal Majalla" w:eastAsia="Times New Roman" w:hAnsi="Sakkal Majalla" w:cs="Sakkal Majalla" w:hint="cs"/>
          <w:b/>
          <w:bCs/>
          <w:sz w:val="28"/>
          <w:szCs w:val="28"/>
          <w:rtl/>
        </w:rPr>
        <w:t xml:space="preserve">العلاقة </w:t>
      </w:r>
      <w:r w:rsidR="005116D7">
        <w:rPr>
          <w:rFonts w:ascii="Sakkal Majalla" w:eastAsia="Times New Roman" w:hAnsi="Sakkal Majalla" w:cs="Sakkal Majalla" w:hint="cs"/>
          <w:b/>
          <w:bCs/>
          <w:sz w:val="28"/>
          <w:szCs w:val="28"/>
          <w:rtl/>
        </w:rPr>
        <w:t xml:space="preserve">السببية </w:t>
      </w:r>
      <w:r w:rsidR="00490182" w:rsidRPr="00490182">
        <w:rPr>
          <w:rFonts w:ascii="Sakkal Majalla" w:eastAsia="Times New Roman" w:hAnsi="Sakkal Majalla" w:cs="Sakkal Majalla"/>
          <w:b/>
          <w:bCs/>
          <w:sz w:val="28"/>
          <w:szCs w:val="28"/>
          <w:rtl/>
        </w:rPr>
        <w:t>بين الحوكمة والتميز التشغيلي</w:t>
      </w:r>
    </w:p>
    <w:p w14:paraId="6E82A9E8" w14:textId="734E5E6F" w:rsidR="005116D7" w:rsidRPr="00490182" w:rsidRDefault="005116D7" w:rsidP="002D76E9">
      <w:pPr>
        <w:bidi/>
        <w:spacing w:after="0" w:line="276" w:lineRule="auto"/>
        <w:jc w:val="both"/>
        <w:rPr>
          <w:rFonts w:ascii="Sakkal Majalla" w:eastAsia="Times New Roman" w:hAnsi="Sakkal Majalla" w:cs="Sakkal Majalla"/>
          <w:b/>
          <w:bCs/>
          <w:sz w:val="28"/>
          <w:szCs w:val="28"/>
        </w:rPr>
      </w:pPr>
      <w:bookmarkStart w:id="0" w:name="_Hlk215045906"/>
      <w:r>
        <w:rPr>
          <w:rFonts w:ascii="Sakkal Majalla" w:eastAsia="Times New Roman" w:hAnsi="Sakkal Majalla" w:cs="Sakkal Majalla" w:hint="cs"/>
          <w:b/>
          <w:bCs/>
          <w:sz w:val="28"/>
          <w:szCs w:val="28"/>
          <w:rtl/>
        </w:rPr>
        <w:t>الحوكمة كأداة لتعزيز كفاءة العمليات</w:t>
      </w:r>
    </w:p>
    <w:bookmarkEnd w:id="0"/>
    <w:p w14:paraId="0A51E316"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 xml:space="preserve">تؤكد الأدبيات الأكاديمية العالمية والمحلية على وجود علاقة سببية قوية بين جودة الحوكمة المؤسسية وتحقيق التميز التشغيلي. فالحوكمة لا تقتصر على كونها إطاراً للرقابة والمساءلة، بل تعمل كآلية استباقية لترشيد العمليات، وتقليل الانحرافات، وتحسين جودة القرارات التشغيلية. وقد قدمت دراسات مبكرة مثل دراسة </w:t>
      </w:r>
      <w:r w:rsidRPr="003D298E">
        <w:rPr>
          <w:rFonts w:ascii="Sakkal Majalla" w:eastAsia="Times New Roman" w:hAnsi="Sakkal Majalla" w:cs="Sakkal Majalla"/>
          <w:b/>
          <w:bCs/>
          <w:sz w:val="28"/>
          <w:szCs w:val="28"/>
        </w:rPr>
        <w:t>(Brown &amp; Caylor, 2009)</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دليلاً كمياً على أن الشركات ذات هياكل الحوكمة القوية تتمتع بأداء تشغيلي أعلى. هذه العلاقة تم تأكيدها لاحقاً في دراسات أحدث مثل دراسة </w:t>
      </w:r>
      <w:r w:rsidRPr="003D298E">
        <w:rPr>
          <w:rFonts w:ascii="Sakkal Majalla" w:eastAsia="Times New Roman" w:hAnsi="Sakkal Majalla" w:cs="Sakkal Majalla"/>
          <w:b/>
          <w:bCs/>
          <w:sz w:val="28"/>
          <w:szCs w:val="28"/>
        </w:rPr>
        <w:t>(</w:t>
      </w:r>
      <w:proofErr w:type="spellStart"/>
      <w:r w:rsidRPr="003D298E">
        <w:rPr>
          <w:rFonts w:ascii="Sakkal Majalla" w:eastAsia="Times New Roman" w:hAnsi="Sakkal Majalla" w:cs="Sakkal Majalla"/>
          <w:b/>
          <w:bCs/>
          <w:sz w:val="28"/>
          <w:szCs w:val="28"/>
        </w:rPr>
        <w:t>Wandroski</w:t>
      </w:r>
      <w:proofErr w:type="spellEnd"/>
      <w:r w:rsidRPr="003D298E">
        <w:rPr>
          <w:rFonts w:ascii="Sakkal Majalla" w:eastAsia="Times New Roman" w:hAnsi="Sakkal Majalla" w:cs="Sakkal Majalla"/>
          <w:b/>
          <w:bCs/>
          <w:sz w:val="28"/>
          <w:szCs w:val="28"/>
        </w:rPr>
        <w:t xml:space="preserve"> Peris et al., 2017)</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التي خلصت إلى أن آليات الحوكمة الفعالة، مثل استقلالية مجلس الإدارة ونشاط لجانه، تجبر الإدارة على تبني ممارسات أكثر انضباطاً، مما يرفع من كفاءة تخصيص الموارد</w:t>
      </w:r>
      <w:r w:rsidRPr="003D298E">
        <w:rPr>
          <w:rFonts w:ascii="Sakkal Majalla" w:eastAsia="Times New Roman" w:hAnsi="Sakkal Majalla" w:cs="Sakkal Majalla"/>
          <w:sz w:val="28"/>
          <w:szCs w:val="28"/>
        </w:rPr>
        <w:t>.</w:t>
      </w:r>
    </w:p>
    <w:p w14:paraId="0281671D"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 xml:space="preserve">وفي السياق الإقليمي، لم تكن النتائج مختلفة؛ حيث وجدت دراسة </w:t>
      </w:r>
      <w:r w:rsidRPr="003D298E">
        <w:rPr>
          <w:rFonts w:ascii="Sakkal Majalla" w:eastAsia="Times New Roman" w:hAnsi="Sakkal Majalla" w:cs="Sakkal Majalla"/>
          <w:b/>
          <w:bCs/>
          <w:sz w:val="28"/>
          <w:szCs w:val="28"/>
        </w:rPr>
        <w:t>(</w:t>
      </w:r>
      <w:proofErr w:type="spellStart"/>
      <w:r w:rsidRPr="003D298E">
        <w:rPr>
          <w:rFonts w:ascii="Sakkal Majalla" w:eastAsia="Times New Roman" w:hAnsi="Sakkal Majalla" w:cs="Sakkal Majalla"/>
          <w:b/>
          <w:bCs/>
          <w:sz w:val="28"/>
          <w:szCs w:val="28"/>
        </w:rPr>
        <w:t>Buallay</w:t>
      </w:r>
      <w:proofErr w:type="spellEnd"/>
      <w:r w:rsidRPr="003D298E">
        <w:rPr>
          <w:rFonts w:ascii="Sakkal Majalla" w:eastAsia="Times New Roman" w:hAnsi="Sakkal Majalla" w:cs="Sakkal Majalla"/>
          <w:b/>
          <w:bCs/>
          <w:sz w:val="28"/>
          <w:szCs w:val="28"/>
        </w:rPr>
        <w:t>, 2019)</w:t>
      </w:r>
      <w:r w:rsidRPr="003D298E">
        <w:rPr>
          <w:rFonts w:ascii="Sakkal Majalla" w:eastAsia="Times New Roman" w:hAnsi="Sakkal Majalla" w:cs="Sakkal Majalla"/>
          <w:sz w:val="28"/>
          <w:szCs w:val="28"/>
          <w:rtl/>
        </w:rPr>
        <w:t>، التي ركزت على البنوك المدرجة في دول مجلس التعاون الخليجي، أن الحوكمة لا تحسن الأداء المالي فحسب، بل تؤدي أيضاً إلى تحسينات ملموسة في الإنتاجية وخفض التكاليف التشغيلية، مما يدعم بقوة الفرضية الأساسية لهذه الدراسة</w:t>
      </w:r>
      <w:r w:rsidRPr="003D298E">
        <w:rPr>
          <w:rFonts w:ascii="Sakkal Majalla" w:eastAsia="Times New Roman" w:hAnsi="Sakkal Majalla" w:cs="Sakkal Majalla"/>
          <w:sz w:val="28"/>
          <w:szCs w:val="28"/>
        </w:rPr>
        <w:t>.</w:t>
      </w:r>
    </w:p>
    <w:p w14:paraId="395D65C7"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إن الآلية النظرية الجوهرية التي تفسر هذا الأثر تكمن في قدرة الحوكمة على معالجة "مشكلة الوكالة</w:t>
      </w:r>
      <w:r w:rsidRPr="003D298E">
        <w:rPr>
          <w:rFonts w:ascii="Sakkal Majalla" w:eastAsia="Times New Roman" w:hAnsi="Sakkal Majalla" w:cs="Sakkal Majalla"/>
          <w:sz w:val="28"/>
          <w:szCs w:val="28"/>
        </w:rPr>
        <w:t xml:space="preserve">" (Agency Problem) </w:t>
      </w:r>
      <w:r w:rsidRPr="003D298E">
        <w:rPr>
          <w:rFonts w:ascii="Sakkal Majalla" w:eastAsia="Times New Roman" w:hAnsi="Sakkal Majalla" w:cs="Sakkal Majalla"/>
          <w:sz w:val="28"/>
          <w:szCs w:val="28"/>
          <w:rtl/>
        </w:rPr>
        <w:t>وتقليل "تكاليف الوكالة</w:t>
      </w:r>
      <w:r w:rsidRPr="003D298E">
        <w:rPr>
          <w:rFonts w:ascii="Sakkal Majalla" w:eastAsia="Times New Roman" w:hAnsi="Sakkal Majalla" w:cs="Sakkal Majalla"/>
          <w:sz w:val="28"/>
          <w:szCs w:val="28"/>
        </w:rPr>
        <w:t xml:space="preserve">" (Agency Costs) </w:t>
      </w:r>
      <w:r w:rsidRPr="003D298E">
        <w:rPr>
          <w:rFonts w:ascii="Sakkal Majalla" w:eastAsia="Times New Roman" w:hAnsi="Sakkal Majalla" w:cs="Sakkal Majalla"/>
          <w:sz w:val="28"/>
          <w:szCs w:val="28"/>
          <w:rtl/>
        </w:rPr>
        <w:t xml:space="preserve">المرتبطة بها، كما أوضح </w:t>
      </w:r>
      <w:r w:rsidRPr="003D298E">
        <w:rPr>
          <w:rFonts w:ascii="Sakkal Majalla" w:eastAsia="Times New Roman" w:hAnsi="Sakkal Majalla" w:cs="Sakkal Majalla"/>
          <w:b/>
          <w:bCs/>
          <w:sz w:val="28"/>
          <w:szCs w:val="28"/>
        </w:rPr>
        <w:t>(Jensen &amp; Meckling, 1976)</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في عملهما التأسيسي. فمن خلال أدوات مثل المراجعة الداخلية المستقلة ولجنة المراجعة الفعالة، تفرض الحوكمة رقابة صارمة على استخدام موارد الشركة، مما يحد من السلوك الانتهازي للإدارة، ويقلل من الهدر وسوء استغلال الأصول، ويوجه التدفقات النقدية نحو الأنشطة التي تخلق قيمة حقيقية. وقد أضافت دراسة </w:t>
      </w:r>
      <w:r w:rsidRPr="003D298E">
        <w:rPr>
          <w:rFonts w:ascii="Sakkal Majalla" w:eastAsia="Times New Roman" w:hAnsi="Sakkal Majalla" w:cs="Sakkal Majalla"/>
          <w:b/>
          <w:bCs/>
          <w:sz w:val="28"/>
          <w:szCs w:val="28"/>
        </w:rPr>
        <w:t>(Aggarwal &amp; Williamson, 2006)</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بعداً مهماً، حيث وجدت أن الحوكمة القوية تقلل من "عدم كفاءة الاستثمار</w:t>
      </w:r>
      <w:r w:rsidRPr="003D298E">
        <w:rPr>
          <w:rFonts w:ascii="Sakkal Majalla" w:eastAsia="Times New Roman" w:hAnsi="Sakkal Majalla" w:cs="Sakkal Majalla"/>
          <w:sz w:val="28"/>
          <w:szCs w:val="28"/>
        </w:rPr>
        <w:t>" (Investment Inefficiency)</w:t>
      </w:r>
      <w:r w:rsidRPr="003D298E">
        <w:rPr>
          <w:rFonts w:ascii="Sakkal Majalla" w:eastAsia="Times New Roman" w:hAnsi="Sakkal Majalla" w:cs="Sakkal Majalla"/>
          <w:sz w:val="28"/>
          <w:szCs w:val="28"/>
          <w:rtl/>
        </w:rPr>
        <w:t>، سواء كان ذلك في صورة الإفراط في الاستثمار في مشاريع غير مربحة أو التقصير في استغلال الفرص المتاحة، وكلاهما يؤثر سلباً على الكفاءة التشغيلية</w:t>
      </w:r>
      <w:r w:rsidRPr="003D298E">
        <w:rPr>
          <w:rFonts w:ascii="Sakkal Majalla" w:eastAsia="Times New Roman" w:hAnsi="Sakkal Majalla" w:cs="Sakkal Majalla"/>
          <w:sz w:val="28"/>
          <w:szCs w:val="28"/>
        </w:rPr>
        <w:t>.</w:t>
      </w:r>
    </w:p>
    <w:p w14:paraId="4F165D82"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علاوة على ذلك، تفرض الحوكمة الحديثة وجود وظيفة التزام</w:t>
      </w:r>
      <w:r w:rsidRPr="003D298E">
        <w:rPr>
          <w:rFonts w:ascii="Sakkal Majalla" w:eastAsia="Times New Roman" w:hAnsi="Sakkal Majalla" w:cs="Sakkal Majalla"/>
          <w:sz w:val="28"/>
          <w:szCs w:val="28"/>
        </w:rPr>
        <w:t xml:space="preserve"> (Compliance) </w:t>
      </w:r>
      <w:r w:rsidRPr="003D298E">
        <w:rPr>
          <w:rFonts w:ascii="Sakkal Majalla" w:eastAsia="Times New Roman" w:hAnsi="Sakkal Majalla" w:cs="Sakkal Majalla"/>
          <w:sz w:val="28"/>
          <w:szCs w:val="28"/>
          <w:rtl/>
        </w:rPr>
        <w:t xml:space="preserve">فعالة، والتي تضمن توافق جميع العمليات التشغيلية مع اللوائح الداخلية والخارجية. هذا الامتثال، الذي تشدد عليه الأطر التنظيمية السعودية مثل لائحة حوكمة الشركات الصادرة عن </w:t>
      </w:r>
      <w:r w:rsidRPr="00237149">
        <w:rPr>
          <w:rFonts w:ascii="Sakkal Majalla" w:eastAsia="Times New Roman" w:hAnsi="Sakkal Majalla" w:cs="Sakkal Majalla"/>
          <w:sz w:val="28"/>
          <w:szCs w:val="28"/>
          <w:rtl/>
        </w:rPr>
        <w:t>هيئة السوق المالية</w:t>
      </w:r>
      <w:r w:rsidRPr="00237149">
        <w:rPr>
          <w:rFonts w:ascii="Sakkal Majalla" w:eastAsia="Times New Roman" w:hAnsi="Sakkal Majalla" w:cs="Sakkal Majalla"/>
          <w:sz w:val="28"/>
          <w:szCs w:val="28"/>
        </w:rPr>
        <w:t xml:space="preserve"> (2023) </w:t>
      </w:r>
      <w:r w:rsidRPr="00237149">
        <w:rPr>
          <w:rFonts w:ascii="Sakkal Majalla" w:eastAsia="Times New Roman" w:hAnsi="Sakkal Majalla" w:cs="Sakkal Majalla"/>
          <w:sz w:val="28"/>
          <w:szCs w:val="28"/>
          <w:rtl/>
        </w:rPr>
        <w:t>ومبادئ الحوكمة الصادرة عن البنك المركزي السعودي</w:t>
      </w:r>
      <w:r w:rsidRPr="00237149">
        <w:rPr>
          <w:rFonts w:ascii="Sakkal Majalla" w:eastAsia="Times New Roman" w:hAnsi="Sakkal Majalla" w:cs="Sakkal Majalla"/>
          <w:sz w:val="28"/>
          <w:szCs w:val="28"/>
        </w:rPr>
        <w:t xml:space="preserve"> (2024)</w:t>
      </w:r>
      <w:r w:rsidRPr="00237149">
        <w:rPr>
          <w:rFonts w:ascii="Sakkal Majalla" w:eastAsia="Times New Roman" w:hAnsi="Sakkal Majalla" w:cs="Sakkal Majalla"/>
          <w:sz w:val="28"/>
          <w:szCs w:val="28"/>
          <w:rtl/>
        </w:rPr>
        <w:t>،</w:t>
      </w:r>
      <w:r w:rsidRPr="003D298E">
        <w:rPr>
          <w:rFonts w:ascii="Sakkal Majalla" w:eastAsia="Times New Roman" w:hAnsi="Sakkal Majalla" w:cs="Sakkal Majalla"/>
          <w:sz w:val="28"/>
          <w:szCs w:val="28"/>
          <w:rtl/>
        </w:rPr>
        <w:t xml:space="preserve"> يقي المؤسسة من الغرامات والعقوبات التي تمثل تكاليف تشغيلية مباشرة. كما أن الوضوح في الهياكل التنظيمية ومصفوفات الصلاحيات، الذي تفرضه الحوكمة، يُعد عنصراً حيوياً في تمكين الموظفين وتسريع العمليات التشغيلية عبر تقليل الاختناقات البيروقراطية</w:t>
      </w:r>
      <w:r w:rsidRPr="003D298E">
        <w:rPr>
          <w:rFonts w:ascii="Sakkal Majalla" w:eastAsia="Times New Roman" w:hAnsi="Sakkal Majalla" w:cs="Sakkal Majalla"/>
          <w:sz w:val="28"/>
          <w:szCs w:val="28"/>
        </w:rPr>
        <w:t xml:space="preserve"> (Bureaucratic Bottlenecks)</w:t>
      </w:r>
      <w:r w:rsidRPr="003D298E">
        <w:rPr>
          <w:rFonts w:ascii="Sakkal Majalla" w:eastAsia="Times New Roman" w:hAnsi="Sakkal Majalla" w:cs="Sakkal Majalla"/>
          <w:sz w:val="28"/>
          <w:szCs w:val="28"/>
          <w:rtl/>
        </w:rPr>
        <w:t>، مما يقلل من زمن دورة العمل</w:t>
      </w:r>
      <w:r w:rsidRPr="003D298E">
        <w:rPr>
          <w:rFonts w:ascii="Sakkal Majalla" w:eastAsia="Times New Roman" w:hAnsi="Sakkal Majalla" w:cs="Sakkal Majalla"/>
          <w:sz w:val="28"/>
          <w:szCs w:val="28"/>
        </w:rPr>
        <w:t xml:space="preserve"> (Cycle Time) </w:t>
      </w:r>
      <w:r w:rsidRPr="003D298E">
        <w:rPr>
          <w:rFonts w:ascii="Sakkal Majalla" w:eastAsia="Times New Roman" w:hAnsi="Sakkal Majalla" w:cs="Sakkal Majalla"/>
          <w:sz w:val="28"/>
          <w:szCs w:val="28"/>
          <w:rtl/>
        </w:rPr>
        <w:t>ويترجم مباشرة إلى زيادة في كفاءة خدمة العملاء</w:t>
      </w:r>
      <w:r w:rsidRPr="003D298E">
        <w:rPr>
          <w:rFonts w:ascii="Sakkal Majalla" w:eastAsia="Times New Roman" w:hAnsi="Sakkal Majalla" w:cs="Sakkal Majalla"/>
          <w:sz w:val="28"/>
          <w:szCs w:val="28"/>
        </w:rPr>
        <w:t>.</w:t>
      </w:r>
    </w:p>
    <w:p w14:paraId="098E2E0B"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7F2B32C9" w14:textId="77777777" w:rsidR="00B6706E" w:rsidRPr="003D298E" w:rsidRDefault="00B6706E" w:rsidP="002D76E9">
      <w:pPr>
        <w:bidi/>
        <w:spacing w:after="0" w:line="276" w:lineRule="auto"/>
        <w:jc w:val="both"/>
        <w:rPr>
          <w:rFonts w:ascii="Sakkal Majalla" w:eastAsia="Times New Roman" w:hAnsi="Sakkal Majalla" w:cs="Sakkal Majalla"/>
          <w:b/>
          <w:bCs/>
          <w:sz w:val="28"/>
          <w:szCs w:val="28"/>
          <w:rtl/>
        </w:rPr>
      </w:pPr>
    </w:p>
    <w:p w14:paraId="0A8D94E7" w14:textId="72392100" w:rsidR="00490182" w:rsidRPr="003D298E"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lastRenderedPageBreak/>
        <w:t xml:space="preserve">2-3 </w:t>
      </w:r>
      <w:r w:rsidR="005116D7" w:rsidRPr="003D298E">
        <w:rPr>
          <w:rFonts w:ascii="Sakkal Majalla" w:eastAsia="Times New Roman" w:hAnsi="Sakkal Majalla" w:cs="Sakkal Majalla" w:hint="cs"/>
          <w:b/>
          <w:bCs/>
          <w:sz w:val="28"/>
          <w:szCs w:val="28"/>
          <w:rtl/>
        </w:rPr>
        <w:t xml:space="preserve">الحوكمة كأداة تمكينية لإدارة المخاطر التشغيلية </w:t>
      </w:r>
    </w:p>
    <w:p w14:paraId="7DD66A46" w14:textId="5D5FBB25" w:rsidR="005116D7" w:rsidRDefault="00B6706E" w:rsidP="002D76E9">
      <w:pPr>
        <w:bidi/>
        <w:spacing w:after="0" w:line="276" w:lineRule="auto"/>
        <w:jc w:val="both"/>
        <w:rPr>
          <w:rFonts w:ascii="Sakkal Majalla" w:eastAsia="Times New Roman" w:hAnsi="Sakkal Majalla" w:cs="Sakkal Majalla"/>
          <w:sz w:val="28"/>
          <w:szCs w:val="28"/>
          <w:rtl/>
        </w:rPr>
      </w:pPr>
      <w:r w:rsidRPr="003D298E">
        <w:rPr>
          <w:rFonts w:ascii="Sakkal Majalla" w:eastAsia="Times New Roman" w:hAnsi="Sakkal Majalla" w:cs="Sakkal Majalla"/>
          <w:sz w:val="28"/>
          <w:szCs w:val="28"/>
          <w:rtl/>
        </w:rPr>
        <w:t>إن متانة الحوكمة ووضوحها العامل الحاسم في تقليل المخاطر التشغيلية، حيث تُحول إدارة المخاطر من رد فعل إلى استراتيجية استباقية تضمن المرونة التشغيلية والاستدامة. فالحوكمة، ممثلة في لجنة المخاطر المنبثقة عن مجلس الإدارة، تضمن أن تكون إدارة المخاطر التشغيلية متكاملة مع وضع الاستراتيجية الكلية للمؤسسة</w:t>
      </w:r>
      <w:r w:rsidRPr="003D298E">
        <w:rPr>
          <w:rFonts w:ascii="Sakkal Majalla" w:eastAsia="Times New Roman" w:hAnsi="Sakkal Majalla" w:cs="Sakkal Majalla"/>
          <w:sz w:val="28"/>
          <w:szCs w:val="28"/>
        </w:rPr>
        <w:t xml:space="preserve"> (COSO, 2017). </w:t>
      </w:r>
      <w:r w:rsidRPr="003D298E">
        <w:rPr>
          <w:rFonts w:ascii="Sakkal Majalla" w:eastAsia="Times New Roman" w:hAnsi="Sakkal Majalla" w:cs="Sakkal Majalla"/>
          <w:sz w:val="28"/>
          <w:szCs w:val="28"/>
          <w:rtl/>
        </w:rPr>
        <w:t>ويعزز هذا الإطار من تفعيل نموذج الخطوط الثلاثة للدفاع، حيث تؤكد المراجعة الداخلية</w:t>
      </w:r>
      <w:r w:rsidRPr="003D298E">
        <w:rPr>
          <w:rFonts w:ascii="Sakkal Majalla" w:eastAsia="Times New Roman" w:hAnsi="Sakkal Majalla" w:cs="Sakkal Majalla"/>
          <w:sz w:val="28"/>
          <w:szCs w:val="28"/>
        </w:rPr>
        <w:t xml:space="preserve"> (IIA) </w:t>
      </w:r>
      <w:r w:rsidRPr="003D298E">
        <w:rPr>
          <w:rFonts w:ascii="Sakkal Majalla" w:eastAsia="Times New Roman" w:hAnsi="Sakkal Majalla" w:cs="Sakkal Majalla"/>
          <w:sz w:val="28"/>
          <w:szCs w:val="28"/>
          <w:rtl/>
        </w:rPr>
        <w:t>بشكل مستقل على فعالية ضوابط المخاطر وتوصي بتحسينها، مما يمنع تفاقم الأخطاء التشغيلية. هذا الانضباط الهيكلي هو ما يقلل من تكاليف الوكالة الناتجة عن سوء الإدارة والقرارات غير المدروسة</w:t>
      </w:r>
      <w:r w:rsidRPr="003D298E">
        <w:rPr>
          <w:rFonts w:ascii="Sakkal Majalla" w:eastAsia="Times New Roman" w:hAnsi="Sakkal Majalla" w:cs="Sakkal Majalla"/>
          <w:sz w:val="28"/>
          <w:szCs w:val="28"/>
        </w:rPr>
        <w:t xml:space="preserve"> (Jensen &amp; Meckling, 1976)</w:t>
      </w:r>
      <w:r w:rsidRPr="003D298E">
        <w:rPr>
          <w:rFonts w:ascii="Sakkal Majalla" w:eastAsia="Times New Roman" w:hAnsi="Sakkal Majalla" w:cs="Sakkal Majalla"/>
          <w:sz w:val="28"/>
          <w:szCs w:val="28"/>
          <w:rtl/>
        </w:rPr>
        <w:t>، ويؤدي في نهاية المطاف إلى تقليل الهدر وتحقيق التميز التشغيلي</w:t>
      </w:r>
      <w:r w:rsidRPr="003D298E">
        <w:rPr>
          <w:rFonts w:ascii="Sakkal Majalla" w:eastAsia="Times New Roman" w:hAnsi="Sakkal Majalla" w:cs="Sakkal Majalla"/>
          <w:sz w:val="28"/>
          <w:szCs w:val="28"/>
        </w:rPr>
        <w:t>.</w:t>
      </w:r>
    </w:p>
    <w:p w14:paraId="1F7B45DC" w14:textId="77777777" w:rsidR="003D298E" w:rsidRPr="003D298E" w:rsidRDefault="003D298E" w:rsidP="002D76E9">
      <w:pPr>
        <w:bidi/>
        <w:spacing w:after="0" w:line="276" w:lineRule="auto"/>
        <w:jc w:val="both"/>
        <w:rPr>
          <w:rFonts w:ascii="Sakkal Majalla" w:eastAsia="Times New Roman" w:hAnsi="Sakkal Majalla" w:cs="Sakkal Majalla"/>
          <w:sz w:val="28"/>
          <w:szCs w:val="28"/>
          <w:rtl/>
        </w:rPr>
      </w:pPr>
    </w:p>
    <w:p w14:paraId="72542732" w14:textId="726C7B4B" w:rsidR="003D298E" w:rsidRPr="003D298E"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2-4 </w:t>
      </w:r>
      <w:r w:rsidR="003D298E" w:rsidRPr="003D298E">
        <w:rPr>
          <w:rFonts w:ascii="Sakkal Majalla" w:eastAsia="Times New Roman" w:hAnsi="Sakkal Majalla" w:cs="Sakkal Majalla"/>
          <w:b/>
          <w:bCs/>
          <w:sz w:val="28"/>
          <w:szCs w:val="28"/>
          <w:rtl/>
        </w:rPr>
        <w:t xml:space="preserve">الحوكمة كمُمكّن لبناء رأس المال البشري </w:t>
      </w:r>
    </w:p>
    <w:p w14:paraId="2170AD57"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يتجاوز تأثير الحوكمة الرشيدة حدود العمليات المالية والرقابية ليشكل أحد أهم الممكنات الاستراتيجية لبناء رأس المال البشري</w:t>
      </w:r>
      <w:r w:rsidRPr="003D298E">
        <w:rPr>
          <w:rFonts w:ascii="Sakkal Majalla" w:eastAsia="Times New Roman" w:hAnsi="Sakkal Majalla" w:cs="Sakkal Majalla"/>
          <w:sz w:val="28"/>
          <w:szCs w:val="28"/>
        </w:rPr>
        <w:t xml:space="preserve"> (Human Capital) </w:t>
      </w:r>
      <w:r w:rsidRPr="003D298E">
        <w:rPr>
          <w:rFonts w:ascii="Sakkal Majalla" w:eastAsia="Times New Roman" w:hAnsi="Sakkal Majalla" w:cs="Sakkal Majalla"/>
          <w:sz w:val="28"/>
          <w:szCs w:val="28"/>
          <w:rtl/>
        </w:rPr>
        <w:t>والحفاظ عليه. ففي سوق المواهب التنافسي، لم تعد الأجور والمزايا هي العامل الوحيد لجذب الكفاءات، بل أصبحت بيئة العمل العادلة والشفافة وذات السمعة الطيبة عاملاً حاسماً. وهنا، تلعب الحوكمة دوراً محورياً في خلق مثل هذه البيئة، مما يؤدي إلى تقليل معدلات الدوران الوظيفي</w:t>
      </w:r>
      <w:r w:rsidRPr="003D298E">
        <w:rPr>
          <w:rFonts w:ascii="Sakkal Majalla" w:eastAsia="Times New Roman" w:hAnsi="Sakkal Majalla" w:cs="Sakkal Majalla"/>
          <w:sz w:val="28"/>
          <w:szCs w:val="28"/>
        </w:rPr>
        <w:t xml:space="preserve"> (Employee Turnover).</w:t>
      </w:r>
    </w:p>
    <w:p w14:paraId="7AB6A5F6"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الآلية التي تحقق بها الحوكمة ذلك متعددة الأوجه. أولاً، تضمن وجود سياسات واضحة وعادلة للموارد البشرية، خاصة تلك التي تشرف عليها لجنة الترشيحات والمكافآت</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فعندما يدرك </w:t>
      </w:r>
      <w:r w:rsidRPr="003D298E">
        <w:rPr>
          <w:rFonts w:ascii="Sakkal Majalla" w:eastAsia="Times New Roman" w:hAnsi="Sakkal Majalla" w:cs="Sakkal Majalla"/>
          <w:sz w:val="28"/>
          <w:szCs w:val="28"/>
          <w:shd w:val="clear" w:color="auto" w:fill="FFFFFF" w:themeFill="background1"/>
          <w:rtl/>
        </w:rPr>
        <w:t>الموظفون أن تقييم الأداء، والترقيات، والمكافآت تتم بناءً على معايير موضوعية وشفافة بعيداً عن المحسوبية، يزداد شعورهم بالعدالة التنظيمية</w:t>
      </w:r>
      <w:r w:rsidRPr="003D298E">
        <w:rPr>
          <w:rFonts w:ascii="Sakkal Majalla" w:eastAsia="Times New Roman" w:hAnsi="Sakkal Majalla" w:cs="Sakkal Majalla"/>
          <w:sz w:val="28"/>
          <w:szCs w:val="28"/>
        </w:rPr>
        <w:t xml:space="preserve"> (Organizational Justice)</w:t>
      </w:r>
      <w:r w:rsidRPr="003D298E">
        <w:rPr>
          <w:rFonts w:ascii="Sakkal Majalla" w:eastAsia="Times New Roman" w:hAnsi="Sakkal Majalla" w:cs="Sakkal Majalla"/>
          <w:sz w:val="28"/>
          <w:szCs w:val="28"/>
          <w:rtl/>
        </w:rPr>
        <w:t xml:space="preserve">، وهو ما أثبتت دراسات عديدة، مثل دراسة </w:t>
      </w:r>
      <w:r w:rsidRPr="003D298E">
        <w:rPr>
          <w:rFonts w:ascii="Sakkal Majalla" w:eastAsia="Times New Roman" w:hAnsi="Sakkal Majalla" w:cs="Sakkal Majalla"/>
          <w:sz w:val="28"/>
          <w:szCs w:val="28"/>
        </w:rPr>
        <w:t>(Colquitt et al., 2001)</w:t>
      </w:r>
      <w:r w:rsidRPr="003D298E">
        <w:rPr>
          <w:rFonts w:ascii="Sakkal Majalla" w:eastAsia="Times New Roman" w:hAnsi="Sakkal Majalla" w:cs="Sakkal Majalla"/>
          <w:sz w:val="28"/>
          <w:szCs w:val="28"/>
          <w:rtl/>
        </w:rPr>
        <w:t>، أنه يرتبط بشكل مباشر بزيادة الرضا الوظيفي والالتزام التنظيمي، وبالتالي انخفاض نية ترك العمل</w:t>
      </w:r>
      <w:r w:rsidRPr="003D298E">
        <w:rPr>
          <w:rFonts w:ascii="Sakkal Majalla" w:eastAsia="Times New Roman" w:hAnsi="Sakkal Majalla" w:cs="Sakkal Majalla"/>
          <w:sz w:val="28"/>
          <w:szCs w:val="28"/>
        </w:rPr>
        <w:t>.</w:t>
      </w:r>
    </w:p>
    <w:p w14:paraId="4C09D9E2"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ثانياً، تساهم الحوكمة في تعزيز السمعة المؤسسية كـ "صاحب عمل مفضل</w:t>
      </w:r>
      <w:r w:rsidRPr="003D298E">
        <w:rPr>
          <w:rFonts w:ascii="Sakkal Majalla" w:eastAsia="Times New Roman" w:hAnsi="Sakkal Majalla" w:cs="Sakkal Majalla"/>
          <w:sz w:val="28"/>
          <w:szCs w:val="28"/>
        </w:rPr>
        <w:t xml:space="preserve">" (Employer of Choice). </w:t>
      </w:r>
      <w:r w:rsidRPr="003D298E">
        <w:rPr>
          <w:rFonts w:ascii="Sakkal Majalla" w:eastAsia="Times New Roman" w:hAnsi="Sakkal Majalla" w:cs="Sakkal Majalla"/>
          <w:sz w:val="28"/>
          <w:szCs w:val="28"/>
          <w:rtl/>
        </w:rPr>
        <w:t>الشركات التي تُعرف بالتزامها الأخلاقي، وشفافيتها، واستقرارها الإداري، تصبح أكثر جاذبية للكفاءات العالية التي تبحث عن مسار مهني آمن ومستقبل واضحة. هذه السمعة الطيبة لا تجذب المواهب فحسب، بل تعزز أيضاً شعور الفخر والولاء لدى الموظفين الحاليين، مما يجعلهم سفراء للعلامة التجارية للشركة</w:t>
      </w:r>
      <w:r w:rsidRPr="003D298E">
        <w:rPr>
          <w:rFonts w:ascii="Sakkal Majalla" w:eastAsia="Times New Roman" w:hAnsi="Sakkal Majalla" w:cs="Sakkal Majalla"/>
          <w:sz w:val="28"/>
          <w:szCs w:val="28"/>
        </w:rPr>
        <w:t>.</w:t>
      </w:r>
    </w:p>
    <w:p w14:paraId="30F89555"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الأثر الأهم لهذا الاستقرار يظهر جلياً في تعزيز التميز التشغيلي</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فالدوران الوظيفي المرتفع لا يمثل تكلفة مالية مباشرة فقط (تكاليف التوظيف والتدريب)، بل يؤدي إلى خسارة فادحة في الخبرات المتراكمة والمعرفة الضمنية</w:t>
      </w:r>
      <w:r w:rsidRPr="003D298E">
        <w:rPr>
          <w:rFonts w:ascii="Sakkal Majalla" w:eastAsia="Times New Roman" w:hAnsi="Sakkal Majalla" w:cs="Sakkal Majalla"/>
          <w:sz w:val="28"/>
          <w:szCs w:val="28"/>
        </w:rPr>
        <w:t xml:space="preserve"> (Tacit Knowledge). </w:t>
      </w:r>
      <w:r w:rsidRPr="003D298E">
        <w:rPr>
          <w:rFonts w:ascii="Sakkal Majalla" w:eastAsia="Times New Roman" w:hAnsi="Sakkal Majalla" w:cs="Sakkal Majalla"/>
          <w:sz w:val="28"/>
          <w:szCs w:val="28"/>
          <w:rtl/>
        </w:rPr>
        <w:t xml:space="preserve">هذه المعرفة، التي يكتسبها الموظفون حول تفاصيل العمليات، وثقافة الشركة، وطرق حل المشكلات غير </w:t>
      </w:r>
      <w:r w:rsidRPr="003D298E">
        <w:rPr>
          <w:rFonts w:ascii="Sakkal Majalla" w:eastAsia="Times New Roman" w:hAnsi="Sakkal Majalla" w:cs="Sakkal Majalla"/>
          <w:sz w:val="28"/>
          <w:szCs w:val="28"/>
          <w:rtl/>
        </w:rPr>
        <w:lastRenderedPageBreak/>
        <w:t>الروتينية، لا يمكن توثيقها بسهولة. وعندما يبقى الموظفون لفترات أطول، تتراكم هذه الخبرات وتتحول إلى ذاكرة مؤسسية قوية، مما يؤدي إلى</w:t>
      </w:r>
      <w:r w:rsidRPr="003D298E">
        <w:rPr>
          <w:rFonts w:ascii="Sakkal Majalla" w:eastAsia="Times New Roman" w:hAnsi="Sakkal Majalla" w:cs="Sakkal Majalla"/>
          <w:sz w:val="28"/>
          <w:szCs w:val="28"/>
        </w:rPr>
        <w:t>:</w:t>
      </w:r>
    </w:p>
    <w:p w14:paraId="4B85BCBD"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تقليل الأخطاء التشغيلية</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لأن الموظفين ذوي الخبرة أكثر قدرة على توقع المشكلات وتجنبها</w:t>
      </w:r>
      <w:r w:rsidRPr="003D298E">
        <w:rPr>
          <w:rFonts w:ascii="Sakkal Majalla" w:eastAsia="Times New Roman" w:hAnsi="Sakkal Majalla" w:cs="Sakkal Majalla"/>
          <w:sz w:val="28"/>
          <w:szCs w:val="28"/>
        </w:rPr>
        <w:t>.</w:t>
      </w:r>
    </w:p>
    <w:p w14:paraId="64A676D9"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زيادة سرعة وكفاءة الأداء</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حيث لا يتم إضاعة الوقت في منحنى التعلم للموظفين الجدد</w:t>
      </w:r>
      <w:r w:rsidRPr="003D298E">
        <w:rPr>
          <w:rFonts w:ascii="Sakkal Majalla" w:eastAsia="Times New Roman" w:hAnsi="Sakkal Majalla" w:cs="Sakkal Majalla"/>
          <w:sz w:val="28"/>
          <w:szCs w:val="28"/>
        </w:rPr>
        <w:t>.</w:t>
      </w:r>
    </w:p>
    <w:p w14:paraId="612A5B04"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تعزيز الابتكار</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فالاستقرار الوظيفي يشجع الموظفين على الاستثمار الذهني في تطوير وتحسين العمليات التي يعملون عليها يومياً</w:t>
      </w:r>
      <w:r w:rsidRPr="003D298E">
        <w:rPr>
          <w:rFonts w:ascii="Sakkal Majalla" w:eastAsia="Times New Roman" w:hAnsi="Sakkal Majalla" w:cs="Sakkal Majalla"/>
          <w:sz w:val="28"/>
          <w:szCs w:val="28"/>
        </w:rPr>
        <w:t>.</w:t>
      </w:r>
    </w:p>
    <w:p w14:paraId="30F28FC8"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باختصار، تعمل الحوكمة كآلية استثمار طويلة الأجل في رأس المال البشري، حيث تخلق بيئة عمل جاذبة ومستقرة تقلل من نزيف المواهب، وتحافظ على الخبرات المتراكمة، مما ينعكس بشكل مباشر على شكل تميز تشغيلي مستدام وميزة تنافسية يصعب على المنافسين تقليدها</w:t>
      </w:r>
      <w:r w:rsidRPr="003D298E">
        <w:rPr>
          <w:rFonts w:ascii="Sakkal Majalla" w:eastAsia="Times New Roman" w:hAnsi="Sakkal Majalla" w:cs="Sakkal Majalla"/>
          <w:sz w:val="28"/>
          <w:szCs w:val="28"/>
        </w:rPr>
        <w:t>.</w:t>
      </w:r>
    </w:p>
    <w:p w14:paraId="51ED9926"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0D48C243" w14:textId="77E69874" w:rsidR="009052D0" w:rsidRPr="009052D0"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2-5 </w:t>
      </w:r>
      <w:r w:rsidR="009052D0" w:rsidRPr="009052D0">
        <w:rPr>
          <w:rFonts w:ascii="Sakkal Majalla" w:eastAsia="Times New Roman" w:hAnsi="Sakkal Majalla" w:cs="Sakkal Majalla"/>
          <w:b/>
          <w:bCs/>
          <w:sz w:val="28"/>
          <w:szCs w:val="28"/>
          <w:rtl/>
        </w:rPr>
        <w:t>الحوكمة كمحفز للتحول الرقمي والابتكار</w:t>
      </w:r>
    </w:p>
    <w:p w14:paraId="59B82D8F" w14:textId="491F3740"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قد يبدو للوهلة الأولى أن الحوكمة، بما تفرضه من قواعد وإجراءات، تتعارض مع طبيعة الابتكار التي تتطلب المرونة </w:t>
      </w:r>
      <w:r>
        <w:rPr>
          <w:rFonts w:ascii="Sakkal Majalla" w:eastAsia="Times New Roman" w:hAnsi="Sakkal Majalla" w:cs="Sakkal Majalla" w:hint="cs"/>
          <w:sz w:val="28"/>
          <w:szCs w:val="28"/>
          <w:rtl/>
        </w:rPr>
        <w:t>العالية</w:t>
      </w:r>
      <w:r w:rsidRPr="009052D0">
        <w:rPr>
          <w:rFonts w:ascii="Sakkal Majalla" w:eastAsia="Times New Roman" w:hAnsi="Sakkal Majalla" w:cs="Sakkal Majalla"/>
          <w:sz w:val="28"/>
          <w:szCs w:val="28"/>
          <w:rtl/>
        </w:rPr>
        <w:t>. إلا أن الأدبيات الحديثة ونظريات الإدارة الاستراتيجية تؤكد عكس ذلك تماماً؛ فالحوكمة الرشيدة لا</w:t>
      </w:r>
      <w:r>
        <w:rPr>
          <w:rFonts w:ascii="Sakkal Majalla" w:eastAsia="Times New Roman" w:hAnsi="Sakkal Majalla" w:cs="Sakkal Majalla" w:hint="cs"/>
          <w:sz w:val="28"/>
          <w:szCs w:val="28"/>
          <w:rtl/>
        </w:rPr>
        <w:t xml:space="preserve"> تتعارض </w:t>
      </w:r>
      <w:r w:rsidR="00B21ACD">
        <w:rPr>
          <w:rFonts w:ascii="Sakkal Majalla" w:eastAsia="Times New Roman" w:hAnsi="Sakkal Majalla" w:cs="Sakkal Majalla" w:hint="cs"/>
          <w:sz w:val="28"/>
          <w:szCs w:val="28"/>
          <w:rtl/>
        </w:rPr>
        <w:t>مع</w:t>
      </w:r>
      <w:r w:rsidR="00B21ACD" w:rsidRPr="009052D0">
        <w:rPr>
          <w:rFonts w:ascii="Sakkal Majalla" w:eastAsia="Times New Roman" w:hAnsi="Sakkal Majalla" w:cs="Sakkal Majalla" w:hint="cs"/>
          <w:sz w:val="28"/>
          <w:szCs w:val="28"/>
          <w:rtl/>
        </w:rPr>
        <w:t xml:space="preserve"> الإبداع</w:t>
      </w:r>
      <w:r w:rsidRPr="009052D0">
        <w:rPr>
          <w:rFonts w:ascii="Sakkal Majalla" w:eastAsia="Times New Roman" w:hAnsi="Sakkal Majalla" w:cs="Sakkal Majalla"/>
          <w:sz w:val="28"/>
          <w:szCs w:val="28"/>
          <w:rtl/>
        </w:rPr>
        <w:t xml:space="preserve">، بل توجهه وتوفر له البيئة الآمنة والداعمة التي يحتاجها </w:t>
      </w:r>
      <w:r>
        <w:rPr>
          <w:rFonts w:ascii="Sakkal Majalla" w:eastAsia="Times New Roman" w:hAnsi="Sakkal Majalla" w:cs="Sakkal Majalla" w:hint="cs"/>
          <w:sz w:val="28"/>
          <w:szCs w:val="28"/>
          <w:rtl/>
        </w:rPr>
        <w:t>للازدهار</w:t>
      </w:r>
      <w:r w:rsidRPr="009052D0">
        <w:rPr>
          <w:rFonts w:ascii="Sakkal Majalla" w:eastAsia="Times New Roman" w:hAnsi="Sakkal Majalla" w:cs="Sakkal Majalla"/>
          <w:sz w:val="28"/>
          <w:szCs w:val="28"/>
          <w:rtl/>
        </w:rPr>
        <w:t>. فعندما تكون نماذج العمل متينة، وتتمتع المؤسسة باستقرار إداري ورؤية واضحة، تتعزز بشكل كبير إمكانية تبني مبادرات التحول الرقمي والابتكار ال</w:t>
      </w:r>
      <w:r>
        <w:rPr>
          <w:rFonts w:ascii="Sakkal Majalla" w:eastAsia="Times New Roman" w:hAnsi="Sakkal Majalla" w:cs="Sakkal Majalla" w:hint="cs"/>
          <w:sz w:val="28"/>
          <w:szCs w:val="28"/>
          <w:rtl/>
        </w:rPr>
        <w:t>مؤسسي</w:t>
      </w:r>
      <w:r w:rsidRPr="009052D0">
        <w:rPr>
          <w:rFonts w:ascii="Sakkal Majalla" w:eastAsia="Times New Roman" w:hAnsi="Sakkal Majalla" w:cs="Sakkal Majalla"/>
          <w:sz w:val="28"/>
          <w:szCs w:val="28"/>
        </w:rPr>
        <w:t>.</w:t>
      </w:r>
    </w:p>
    <w:p w14:paraId="09B8BF83"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الآلية الأولى التي تعمل بها الحوكمة كمحفز هي من خلال </w:t>
      </w:r>
      <w:r w:rsidRPr="009052D0">
        <w:rPr>
          <w:rFonts w:ascii="Sakkal Majalla" w:eastAsia="Times New Roman" w:hAnsi="Sakkal Majalla" w:cs="Sakkal Majalla"/>
          <w:b/>
          <w:bCs/>
          <w:sz w:val="28"/>
          <w:szCs w:val="28"/>
          <w:rtl/>
        </w:rPr>
        <w:t>توفير الوضوح الاستراتيجي وتخصيص الموارد</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فمجلس الإدارة الفعال، الذي يعمل ضمن إطار حوكمة سليم، لا ينشغل فقط بالرقابة الحالية، بل يضع رؤية استراتيجية طويلة الأمد. هذه الرؤية تحدد المجالات التي يجب أن يركز عليها الابتكار وتضمن تخصيص الموارد المالية والبشرية اللازمة لدعم مشاريع التحول الرقمي، بدلاً من تركها كمبادرات عشوائية تتنافس على ميزانيات محدودة. وكما تشير نظرية </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b/>
          <w:bCs/>
          <w:sz w:val="28"/>
          <w:szCs w:val="28"/>
          <w:rtl/>
        </w:rPr>
        <w:t>القدرات الديناميكية</w:t>
      </w:r>
      <w:r w:rsidRPr="009052D0">
        <w:rPr>
          <w:rFonts w:ascii="Sakkal Majalla" w:eastAsia="Times New Roman" w:hAnsi="Sakkal Majalla" w:cs="Sakkal Majalla"/>
          <w:b/>
          <w:bCs/>
          <w:sz w:val="28"/>
          <w:szCs w:val="28"/>
        </w:rPr>
        <w:t>" (Dynamic Capabilities)</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التي طورها </w:t>
      </w:r>
      <w:r w:rsidRPr="009052D0">
        <w:rPr>
          <w:rFonts w:ascii="Sakkal Majalla" w:eastAsia="Times New Roman" w:hAnsi="Sakkal Majalla" w:cs="Sakkal Majalla"/>
          <w:b/>
          <w:bCs/>
          <w:sz w:val="28"/>
          <w:szCs w:val="28"/>
        </w:rPr>
        <w:t>(Teece et al., 1997)</w:t>
      </w:r>
      <w:r w:rsidRPr="009052D0">
        <w:rPr>
          <w:rFonts w:ascii="Sakkal Majalla" w:eastAsia="Times New Roman" w:hAnsi="Sakkal Majalla" w:cs="Sakkal Majalla"/>
          <w:sz w:val="28"/>
          <w:szCs w:val="28"/>
          <w:rtl/>
        </w:rPr>
        <w:t>، فإن قدرة الشركة على "بناء وتكوين وإعادة تشكيل" كفاءاتها استجابة للبيئة المتغيرة هي جوهر الميزة التنافسية، والحوكمة هي التي توفر الإطار الإداري لتطوير هذه القدرات</w:t>
      </w:r>
      <w:r w:rsidRPr="009052D0">
        <w:rPr>
          <w:rFonts w:ascii="Sakkal Majalla" w:eastAsia="Times New Roman" w:hAnsi="Sakkal Majalla" w:cs="Sakkal Majalla"/>
          <w:sz w:val="28"/>
          <w:szCs w:val="28"/>
        </w:rPr>
        <w:t>.</w:t>
      </w:r>
    </w:p>
    <w:p w14:paraId="0F97C209"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ثانياً، تعمل الحوكمة على إدارة مخاطر الابتكار بفعالية</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الابتكار والتحول الرقمي بطبيعتهما محفوفان بالمخاطر: مخاطر فشل التكنولوجيا، ومخاطر الأمن السيبراني، ومخاطر عدم قبول السوق للمنتج الجديد. وجود لجنة مخاطر قوية وإطار عمل لإدارة المخاطر المؤسسية</w:t>
      </w:r>
      <w:r w:rsidRPr="009052D0">
        <w:rPr>
          <w:rFonts w:ascii="Sakkal Majalla" w:eastAsia="Times New Roman" w:hAnsi="Sakkal Majalla" w:cs="Sakkal Majalla"/>
          <w:sz w:val="28"/>
          <w:szCs w:val="28"/>
        </w:rPr>
        <w:t xml:space="preserve"> (ERM) </w:t>
      </w:r>
      <w:r w:rsidRPr="009052D0">
        <w:rPr>
          <w:rFonts w:ascii="Sakkal Majalla" w:eastAsia="Times New Roman" w:hAnsi="Sakkal Majalla" w:cs="Sakkal Majalla"/>
          <w:sz w:val="28"/>
          <w:szCs w:val="28"/>
          <w:rtl/>
        </w:rPr>
        <w:t>يسمح للمؤسسة باتخاذ "مخاطر محسوبة</w:t>
      </w:r>
      <w:r w:rsidRPr="009052D0">
        <w:rPr>
          <w:rFonts w:ascii="Sakkal Majalla" w:eastAsia="Times New Roman" w:hAnsi="Sakkal Majalla" w:cs="Sakkal Majalla"/>
          <w:sz w:val="28"/>
          <w:szCs w:val="28"/>
        </w:rPr>
        <w:t xml:space="preserve">" (Calculated Risks) </w:t>
      </w:r>
      <w:r w:rsidRPr="009052D0">
        <w:rPr>
          <w:rFonts w:ascii="Sakkal Majalla" w:eastAsia="Times New Roman" w:hAnsi="Sakkal Majalla" w:cs="Sakkal Majalla"/>
          <w:sz w:val="28"/>
          <w:szCs w:val="28"/>
          <w:rtl/>
        </w:rPr>
        <w:t>بدلاً من تجنب المخاطرة تماماً. هذا الإطار يوفر "شبكة أمان" تشجع المديرين على التجربة والابتكار دون الخوف من أن يؤدي الفشل إلى عواقب كارثية على المؤسسة</w:t>
      </w:r>
      <w:r w:rsidRPr="009052D0">
        <w:rPr>
          <w:rFonts w:ascii="Sakkal Majalla" w:eastAsia="Times New Roman" w:hAnsi="Sakkal Majalla" w:cs="Sakkal Majalla"/>
          <w:sz w:val="28"/>
          <w:szCs w:val="28"/>
        </w:rPr>
        <w:t>.</w:t>
      </w:r>
    </w:p>
    <w:p w14:paraId="4BFB84A6"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lastRenderedPageBreak/>
        <w:t xml:space="preserve">ثالثاً، تساهم الحوكمة في خلق </w:t>
      </w:r>
      <w:r w:rsidRPr="009052D0">
        <w:rPr>
          <w:rFonts w:ascii="Sakkal Majalla" w:eastAsia="Times New Roman" w:hAnsi="Sakkal Majalla" w:cs="Sakkal Majalla"/>
          <w:sz w:val="28"/>
          <w:szCs w:val="28"/>
        </w:rPr>
        <w:t>"</w:t>
      </w:r>
      <w:r w:rsidRPr="009052D0">
        <w:rPr>
          <w:rFonts w:ascii="Sakkal Majalla" w:eastAsia="Times New Roman" w:hAnsi="Sakkal Majalla" w:cs="Sakkal Majalla"/>
          <w:sz w:val="28"/>
          <w:szCs w:val="28"/>
          <w:rtl/>
        </w:rPr>
        <w:t>الأمان النفسي</w:t>
      </w:r>
      <w:r w:rsidRPr="009052D0">
        <w:rPr>
          <w:rFonts w:ascii="Sakkal Majalla" w:eastAsia="Times New Roman" w:hAnsi="Sakkal Majalla" w:cs="Sakkal Majalla"/>
          <w:sz w:val="28"/>
          <w:szCs w:val="28"/>
        </w:rPr>
        <w:t>" (Psychological Safety</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الضروري للإبداع. ففي بيئة عمل تحكمها الشفافية والعدالة، ويتم فيها تشجيع الإبلاغ عن الأخطاء كفرص للتعلم وليس كسبب للعقاب، يشعر الموظفون بالأمان لطرح أفكار جديدة، وتحدي الوضع الراهن، وتجربة طرق عمل مختلفة. وقد أظهرت أبحاث مكثفة، مثل أعمال </w:t>
      </w:r>
      <w:r w:rsidRPr="00D62C39">
        <w:rPr>
          <w:rFonts w:ascii="Sakkal Majalla" w:eastAsia="Times New Roman" w:hAnsi="Sakkal Majalla" w:cs="Sakkal Majalla"/>
          <w:sz w:val="28"/>
          <w:szCs w:val="28"/>
        </w:rPr>
        <w:t>(Edmondson, 1999)</w:t>
      </w:r>
      <w:r w:rsidRPr="009052D0">
        <w:rPr>
          <w:rFonts w:ascii="Sakkal Majalla" w:eastAsia="Times New Roman" w:hAnsi="Sakkal Majalla" w:cs="Sakkal Majalla"/>
          <w:sz w:val="28"/>
          <w:szCs w:val="28"/>
          <w:rtl/>
        </w:rPr>
        <w:t>، أن الأمان النفسي هو المكون الأساسي للفرق عالية الأداء والمبتكرة</w:t>
      </w:r>
      <w:r w:rsidRPr="009052D0">
        <w:rPr>
          <w:rFonts w:ascii="Sakkal Majalla" w:eastAsia="Times New Roman" w:hAnsi="Sakkal Majalla" w:cs="Sakkal Majalla"/>
          <w:sz w:val="28"/>
          <w:szCs w:val="28"/>
        </w:rPr>
        <w:t>.</w:t>
      </w:r>
    </w:p>
    <w:p w14:paraId="0B1CA2AF"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أخيراً، تضمن الحوكمة أن مخرجات الابتكار تتوافق مع أهداف المؤسسة وتخلق قيمة مستدامة. فمن خلال آليات المراقبة والتقييم، تضمن الحوكمة أن مشاريع التحول الرقمي لا تصبح "مشاريع تقنية من أجل التقنية"، بل يتم قياسها بناءً على أثرها الفعلي على تحسين تجربة العميل، أو زيادة الكفاءة التشغيلية، أو خلق مصادر إيرادات جديدة</w:t>
      </w:r>
      <w:r w:rsidRPr="009052D0">
        <w:rPr>
          <w:rFonts w:ascii="Sakkal Majalla" w:eastAsia="Times New Roman" w:hAnsi="Sakkal Majalla" w:cs="Sakkal Majalla"/>
          <w:sz w:val="28"/>
          <w:szCs w:val="28"/>
        </w:rPr>
        <w:t>.</w:t>
      </w:r>
    </w:p>
    <w:p w14:paraId="6499C6E6"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بهذا المعنى، لا تكون الحوكمة قيداً على الابتكار، بل هي </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البوصلة</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التي توجهه و</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المنصة</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المستقرة التي ينطلق منها، مما يضمن أن جهود التحول الرقمي والإبداع ليست مجرد ردود أفعال فوضوية، بل هي جزء لا يتجزأ من استراتيجية نمو المؤسسة وتميزها</w:t>
      </w:r>
      <w:r w:rsidRPr="009052D0">
        <w:rPr>
          <w:rFonts w:ascii="Sakkal Majalla" w:eastAsia="Times New Roman" w:hAnsi="Sakkal Majalla" w:cs="Sakkal Majalla"/>
          <w:sz w:val="28"/>
          <w:szCs w:val="28"/>
        </w:rPr>
        <w:t>.</w:t>
      </w:r>
    </w:p>
    <w:p w14:paraId="0BC7C392"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50A2A230" w14:textId="77777777" w:rsidR="005116D7" w:rsidRPr="005116D7" w:rsidRDefault="005116D7" w:rsidP="002D76E9">
      <w:pPr>
        <w:bidi/>
        <w:spacing w:after="0" w:line="276" w:lineRule="auto"/>
        <w:jc w:val="both"/>
        <w:rPr>
          <w:rFonts w:ascii="Sakkal Majalla" w:eastAsia="Times New Roman" w:hAnsi="Sakkal Majalla" w:cs="Sakkal Majalla"/>
          <w:sz w:val="28"/>
          <w:szCs w:val="28"/>
          <w:rtl/>
        </w:rPr>
      </w:pPr>
    </w:p>
    <w:p w14:paraId="47255011" w14:textId="7D7D84B3" w:rsidR="00B21ACD" w:rsidRPr="00490182" w:rsidRDefault="00490182" w:rsidP="002D76E9">
      <w:pPr>
        <w:bidi/>
        <w:spacing w:after="0" w:line="276"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حور</w:t>
      </w:r>
      <w:r w:rsidRPr="00490182">
        <w:rPr>
          <w:rFonts w:ascii="Sakkal Majalla" w:eastAsia="Times New Roman" w:hAnsi="Sakkal Majalla" w:cs="Sakkal Majalla"/>
          <w:b/>
          <w:bCs/>
          <w:sz w:val="28"/>
          <w:szCs w:val="28"/>
          <w:rtl/>
        </w:rPr>
        <w:t xml:space="preserve"> الثالث: أثر الحوكمة على التميز الاستراتيجي</w:t>
      </w:r>
    </w:p>
    <w:p w14:paraId="01C0C47D" w14:textId="1689ADB3" w:rsidR="00490182" w:rsidRP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3-1 </w:t>
      </w:r>
      <w:r w:rsidR="00490182" w:rsidRPr="00490182">
        <w:rPr>
          <w:rFonts w:ascii="Sakkal Majalla" w:eastAsia="Times New Roman" w:hAnsi="Sakkal Majalla" w:cs="Sakkal Majalla"/>
          <w:b/>
          <w:bCs/>
          <w:sz w:val="28"/>
          <w:szCs w:val="28"/>
          <w:rtl/>
        </w:rPr>
        <w:t>مفهوم التميز الاستراتيجي</w:t>
      </w:r>
    </w:p>
    <w:p w14:paraId="5B3E9A1E" w14:textId="77777777" w:rsidR="00490182" w:rsidRDefault="00490182" w:rsidP="002D76E9">
      <w:pPr>
        <w:bidi/>
        <w:spacing w:after="0" w:line="276"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يختلف التميز الاستراتيجي عن التميز التشغيلي في كونه يركز على الجوانب الخارجية للمنظمة وقدرتها على التكيف مع البيئة المحيطة وتحقيق ميزة تنافسية مستدامة. يشمل التميز الاستراتيجي القدرة على الابتكار، وتطوير نماذج أعمال جديدة، والدخول إلى أسواق جديدة، وبناء قدرات ديناميكية تمكن المنظمة من الاستجابة للتغيرات المستقبلية.</w:t>
      </w:r>
    </w:p>
    <w:p w14:paraId="4E28E4A4" w14:textId="77777777" w:rsidR="00490182" w:rsidRDefault="00490182" w:rsidP="002D76E9">
      <w:pPr>
        <w:bidi/>
        <w:spacing w:after="0" w:line="276" w:lineRule="auto"/>
        <w:jc w:val="both"/>
        <w:rPr>
          <w:rFonts w:ascii="Sakkal Majalla" w:eastAsia="Times New Roman" w:hAnsi="Sakkal Majalla" w:cs="Sakkal Majalla"/>
          <w:b/>
          <w:bCs/>
          <w:sz w:val="28"/>
          <w:szCs w:val="28"/>
          <w:rtl/>
        </w:rPr>
      </w:pPr>
    </w:p>
    <w:p w14:paraId="534E643A" w14:textId="119D11B9" w:rsidR="00F90898" w:rsidRPr="00F90898"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3-2 </w:t>
      </w:r>
      <w:r w:rsidR="00F90898" w:rsidRPr="00F90898">
        <w:rPr>
          <w:rFonts w:ascii="Sakkal Majalla" w:eastAsia="Times New Roman" w:hAnsi="Sakkal Majalla" w:cs="Sakkal Majalla" w:hint="cs"/>
          <w:b/>
          <w:bCs/>
          <w:sz w:val="28"/>
          <w:szCs w:val="28"/>
          <w:rtl/>
        </w:rPr>
        <w:t>التميز التشغيلي كحجر الأساس للتميز المؤسسي</w:t>
      </w:r>
    </w:p>
    <w:p w14:paraId="3725B61E"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 xml:space="preserve">إذا كانت الحوكمة هي الإطار الذي يمكّن الكفاءة التشغيلية، </w:t>
      </w:r>
      <w:r w:rsidRPr="00237149">
        <w:rPr>
          <w:rFonts w:ascii="Sakkal Majalla" w:eastAsia="Times New Roman" w:hAnsi="Sakkal Majalla" w:cs="Sakkal Majalla"/>
          <w:sz w:val="28"/>
          <w:szCs w:val="28"/>
          <w:rtl/>
        </w:rPr>
        <w:t>فإن التميز التشغيلي</w:t>
      </w:r>
      <w:r w:rsidRPr="00237149">
        <w:rPr>
          <w:rFonts w:ascii="Sakkal Majalla" w:eastAsia="Times New Roman" w:hAnsi="Sakkal Majalla" w:cs="Sakkal Majalla"/>
          <w:sz w:val="28"/>
          <w:szCs w:val="28"/>
        </w:rPr>
        <w:t xml:space="preserve"> (Operational Excellence) </w:t>
      </w:r>
      <w:r w:rsidRPr="00237149">
        <w:rPr>
          <w:rFonts w:ascii="Sakkal Majalla" w:eastAsia="Times New Roman" w:hAnsi="Sakkal Majalla" w:cs="Sakkal Majalla"/>
          <w:sz w:val="28"/>
          <w:szCs w:val="28"/>
          <w:rtl/>
        </w:rPr>
        <w:t>بحد ذاته هو حجر الأساس الذي يُبنى عليه صرح التميز المؤسسي</w:t>
      </w:r>
      <w:r w:rsidRPr="00237149">
        <w:rPr>
          <w:rFonts w:ascii="Sakkal Majalla" w:eastAsia="Times New Roman" w:hAnsi="Sakkal Majalla" w:cs="Sakkal Majalla"/>
          <w:sz w:val="28"/>
          <w:szCs w:val="28"/>
        </w:rPr>
        <w:t xml:space="preserve"> (Institutional/Organizational Excellence). </w:t>
      </w:r>
      <w:r w:rsidRPr="00237149">
        <w:rPr>
          <w:rFonts w:ascii="Sakkal Majalla" w:eastAsia="Times New Roman" w:hAnsi="Sakkal Majalla" w:cs="Sakkal Majalla"/>
          <w:sz w:val="28"/>
          <w:szCs w:val="28"/>
          <w:rtl/>
        </w:rPr>
        <w:t>فالتميز المؤسسي هو مفهوم أشمل وأعمق، لا يقتصر على أداء العمليات الداخلية بكفاءة، بل يشمل قدرة المؤسسة على</w:t>
      </w:r>
      <w:r w:rsidRPr="00F90898">
        <w:rPr>
          <w:rFonts w:ascii="Sakkal Majalla" w:eastAsia="Times New Roman" w:hAnsi="Sakkal Majalla" w:cs="Sakkal Majalla"/>
          <w:sz w:val="28"/>
          <w:szCs w:val="28"/>
          <w:rtl/>
        </w:rPr>
        <w:t xml:space="preserve"> تحقيق نتائج متفوقة ومستدامة لجميع أصحاب المصلحة (المساهمين، العملاء، الموظفين، والمجتمع). وفي هذا السياق، لا يمكن تحقيق تميز مؤسسي حقيقي ودائم على أساس عمليات داخلية هشة أو غير فعالة</w:t>
      </w:r>
      <w:r w:rsidRPr="00F90898">
        <w:rPr>
          <w:rFonts w:ascii="Sakkal Majalla" w:eastAsia="Times New Roman" w:hAnsi="Sakkal Majalla" w:cs="Sakkal Majalla"/>
          <w:sz w:val="28"/>
          <w:szCs w:val="28"/>
        </w:rPr>
        <w:t>.</w:t>
      </w:r>
    </w:p>
    <w:p w14:paraId="3CC867E7"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العلاقة بينهما يمكن توضيحها من خلال عدة أبعاد مترابطة</w:t>
      </w:r>
      <w:r w:rsidRPr="00F90898">
        <w:rPr>
          <w:rFonts w:ascii="Sakkal Majalla" w:eastAsia="Times New Roman" w:hAnsi="Sakkal Majalla" w:cs="Sakkal Majalla"/>
          <w:sz w:val="28"/>
          <w:szCs w:val="28"/>
        </w:rPr>
        <w:t>:</w:t>
      </w:r>
    </w:p>
    <w:p w14:paraId="6F46DBF0" w14:textId="51BDA525"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هو المحرك المالي للتميز المؤسسي</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 xml:space="preserve">المؤسسات المتميزة مؤسسياً تتمتع بصحة مالية قوية وقدرة على الاستثمار في المستقبل. هذا لا يأتي من فراغ، بل هو نتاج مباشر للتميز التشغيلي. فالعمليات التي تتسم بالكفاءة </w:t>
      </w:r>
      <w:r w:rsidRPr="004A49A6">
        <w:rPr>
          <w:rFonts w:ascii="Sakkal Majalla" w:eastAsia="Times New Roman" w:hAnsi="Sakkal Majalla" w:cs="Sakkal Majalla"/>
          <w:sz w:val="28"/>
          <w:szCs w:val="28"/>
          <w:rtl/>
        </w:rPr>
        <w:lastRenderedPageBreak/>
        <w:t>تقلل من التكاليف، والعمليات التي تتسم بالجودة العالية تقلل من الهدر وتكاليف إعادة العمل، والعمليات السريعة والموثوقة تزيد من رضا العملاء وولائهم. كل هذه العوامل تصب مباشرة في زيادة الإيرادات والربحية، مما يوفر "الوقود المالي" الذي تحتاجه المؤسسة للاستثمار في البحث والتطوير، وتدريب الموظفين، والتوسع الاستراتيجي، وهي كلها من سمات التميز المؤسسي</w:t>
      </w:r>
      <w:r w:rsidRPr="004A49A6">
        <w:rPr>
          <w:rFonts w:ascii="Sakkal Majalla" w:eastAsia="Times New Roman" w:hAnsi="Sakkal Majalla" w:cs="Sakkal Majalla"/>
          <w:sz w:val="28"/>
          <w:szCs w:val="28"/>
        </w:rPr>
        <w:t>.</w:t>
      </w:r>
    </w:p>
    <w:p w14:paraId="0C7069EC" w14:textId="73756C75"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يبني سمعة المؤسسة وثقة أصحاب المصلحة</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السمعة المؤسسية القوية هي أحد الأصول غير الملموسة الأكثر قيمة، وهي ركن أساسي للتميز المؤسسي. هذه السمعة لا تُبنى بالشعارات وحملات التسويق، بل تُبنى من خلال تقديم وعود متسقة والوفاء بها. التميز التشغيلي هو آلية الوفاء بهذه الوعود. فعندما تقدم الشركة منتجات عالية الجودة بشكل مستمر، وتلتزم بمواعيد التسليم، وتقدم خدمة عملاء استثنائية، فإنها تبني ثقة عميقة لدى عملائها. وكما يشير نموذج</w:t>
      </w:r>
      <w:r w:rsidRPr="00D62C39">
        <w:rPr>
          <w:rFonts w:ascii="Sakkal Majalla" w:eastAsia="Times New Roman" w:hAnsi="Sakkal Majalla" w:cs="Sakkal Majalla"/>
          <w:sz w:val="28"/>
          <w:szCs w:val="28"/>
          <w:rtl/>
        </w:rPr>
        <w:t xml:space="preserve"> </w:t>
      </w:r>
      <w:r w:rsidRPr="00D62C39">
        <w:rPr>
          <w:rFonts w:ascii="Sakkal Majalla" w:eastAsia="Times New Roman" w:hAnsi="Sakkal Majalla" w:cs="Sakkal Majalla"/>
          <w:sz w:val="28"/>
          <w:szCs w:val="28"/>
        </w:rPr>
        <w:t>(</w:t>
      </w:r>
      <w:proofErr w:type="spellStart"/>
      <w:r w:rsidRPr="00D62C39">
        <w:rPr>
          <w:rFonts w:ascii="Sakkal Majalla" w:eastAsia="Times New Roman" w:hAnsi="Sakkal Majalla" w:cs="Sakkal Majalla"/>
          <w:sz w:val="28"/>
          <w:szCs w:val="28"/>
        </w:rPr>
        <w:t>Fombrun</w:t>
      </w:r>
      <w:proofErr w:type="spellEnd"/>
      <w:r w:rsidRPr="00D62C39">
        <w:rPr>
          <w:rFonts w:ascii="Sakkal Majalla" w:eastAsia="Times New Roman" w:hAnsi="Sakkal Majalla" w:cs="Sakkal Majalla"/>
          <w:sz w:val="28"/>
          <w:szCs w:val="28"/>
        </w:rPr>
        <w:t xml:space="preserve"> &amp; van Riel, 1997</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tl/>
        </w:rPr>
        <w:t>، فإن السمعة الجيدة تجذب المستثمرين، وتجذب أفضل المواهب، وتوفر للمؤسسة "رصيداً من حسن النية" يساعدها على تجاوز الأزمات</w:t>
      </w:r>
      <w:r w:rsidRPr="004A49A6">
        <w:rPr>
          <w:rFonts w:ascii="Sakkal Majalla" w:eastAsia="Times New Roman" w:hAnsi="Sakkal Majalla" w:cs="Sakkal Majalla"/>
          <w:sz w:val="28"/>
          <w:szCs w:val="28"/>
        </w:rPr>
        <w:t>.</w:t>
      </w:r>
    </w:p>
    <w:p w14:paraId="4F9C2D38" w14:textId="7ACEB38B"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يخلق بيئة عمل إيجابية ومحفزة</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التميز المؤسسي يعتمد بشكل كبير على وجود رأس مال بشري ملتزم ومبدع. بيئة العمل التي تعاني من الفوضى التشغيلية، والأخطاء المتكررة، والعمليات غير الواضحة، هي بيئة محبطة تستنزف طاقة الموظفين وتقتل الإبداع. على النقيض، التميز التشغيلي يخلق بيئة عمل منظمة وواضحة، حيث يعرف الموظفون ما هو متوقع منهم، ويمتلكون الأدوات اللازمة لأداء عملهم بفعالية، ويشعرون بالإنجاز من خلال تحقيق نتائج عالية الجودة. هذه البيئة الإيجابية ترفع من الروح المعنوية، وتقلل من ضغوط العمل، وتشجع على المبادرة والتحسين المستمر، وهي كلها مكونات أساسية للتميز المؤسسي</w:t>
      </w:r>
      <w:r w:rsidRPr="004A49A6">
        <w:rPr>
          <w:rFonts w:ascii="Sakkal Majalla" w:eastAsia="Times New Roman" w:hAnsi="Sakkal Majalla" w:cs="Sakkal Majalla"/>
          <w:sz w:val="28"/>
          <w:szCs w:val="28"/>
        </w:rPr>
        <w:t>.</w:t>
      </w:r>
    </w:p>
    <w:p w14:paraId="357F96CF" w14:textId="1795AEF9" w:rsidR="00F90898"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هو أساس المرونة والقدرة على التكيف</w:t>
      </w:r>
      <w:r w:rsidRPr="004A49A6">
        <w:rPr>
          <w:rFonts w:ascii="Sakkal Majalla" w:eastAsia="Times New Roman" w:hAnsi="Sakkal Majalla" w:cs="Sakkal Majalla"/>
          <w:b/>
          <w:bCs/>
          <w:sz w:val="28"/>
          <w:szCs w:val="28"/>
        </w:rPr>
        <w:t xml:space="preserve"> (Agility &amp; Adaptability):</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في عالم الأعمال سريع التغير، لم يعد التميز يقتصر على الأداء الحالي، بل على القدرة على التكيف مع المستقبل. المؤسسات التي أتقنت عملياتها الحالية (أي حققت التميز التشغيلي) تكون أكثر قدرة على التكيف والابتكار. فهي تمتلك فهماً عميقاً لقدراتها، وبيانات</w:t>
      </w:r>
      <w:r w:rsidR="00237149">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دقيقة حول أدائها، وثقافة منضبطة. هذا يسمح لها بتجربة نماذج عمل جديدة أو تبني تقنيات حديثة بطريقة أسرع وأكثر فعالية من المنافسين الذين لا يزالون يكافحون مع مشاكلهم التشغيلية الأساسية</w:t>
      </w:r>
      <w:r w:rsidRPr="004A49A6">
        <w:rPr>
          <w:rFonts w:ascii="Sakkal Majalla" w:eastAsia="Times New Roman" w:hAnsi="Sakkal Majalla" w:cs="Sakkal Majalla"/>
          <w:sz w:val="28"/>
          <w:szCs w:val="28"/>
        </w:rPr>
        <w:t>.</w:t>
      </w:r>
    </w:p>
    <w:p w14:paraId="46C323F0" w14:textId="77777777" w:rsidR="00F90898" w:rsidRDefault="00F90898" w:rsidP="002D76E9">
      <w:pPr>
        <w:bidi/>
        <w:spacing w:after="0" w:line="276" w:lineRule="auto"/>
        <w:jc w:val="both"/>
        <w:rPr>
          <w:rFonts w:ascii="Sakkal Majalla" w:eastAsia="Times New Roman" w:hAnsi="Sakkal Majalla" w:cs="Sakkal Majalla"/>
          <w:sz w:val="28"/>
          <w:szCs w:val="28"/>
          <w:rtl/>
        </w:rPr>
      </w:pPr>
    </w:p>
    <w:p w14:paraId="422E28AB" w14:textId="77777777" w:rsidR="0083534F" w:rsidRDefault="0083534F" w:rsidP="0083534F">
      <w:pPr>
        <w:bidi/>
        <w:spacing w:after="0" w:line="276" w:lineRule="auto"/>
        <w:jc w:val="both"/>
        <w:rPr>
          <w:rFonts w:ascii="Sakkal Majalla" w:eastAsia="Times New Roman" w:hAnsi="Sakkal Majalla" w:cs="Sakkal Majalla"/>
          <w:sz w:val="28"/>
          <w:szCs w:val="28"/>
          <w:rtl/>
        </w:rPr>
      </w:pPr>
    </w:p>
    <w:p w14:paraId="7941B62D" w14:textId="77777777" w:rsidR="00F90898" w:rsidRDefault="00F90898" w:rsidP="002D76E9">
      <w:pPr>
        <w:bidi/>
        <w:spacing w:after="0" w:line="276" w:lineRule="auto"/>
        <w:jc w:val="both"/>
        <w:rPr>
          <w:rFonts w:ascii="Sakkal Majalla" w:eastAsia="Times New Roman" w:hAnsi="Sakkal Majalla" w:cs="Sakkal Majalla"/>
          <w:sz w:val="28"/>
          <w:szCs w:val="28"/>
        </w:rPr>
      </w:pPr>
    </w:p>
    <w:p w14:paraId="6547513A" w14:textId="6B0CF003" w:rsidR="00F90898" w:rsidRPr="00F90898"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3-3 </w:t>
      </w:r>
      <w:r w:rsidR="00F90898" w:rsidRPr="00F90898">
        <w:rPr>
          <w:rFonts w:ascii="Sakkal Majalla" w:eastAsia="Times New Roman" w:hAnsi="Sakkal Majalla" w:cs="Sakkal Majalla"/>
          <w:b/>
          <w:bCs/>
          <w:sz w:val="28"/>
          <w:szCs w:val="28"/>
          <w:rtl/>
        </w:rPr>
        <w:t>العلاقة بين تعزيز كفاءة العمليات والتميز الاستراتيجي في إطار الحوكمة الرشيدة</w:t>
      </w:r>
    </w:p>
    <w:p w14:paraId="05FEB2FF"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إن العلاقة بين كفاءة العمليات والتميز الاستراتيجي ليست مجرد علاقة خطية، بل هي علاقة تكاملية وديناميكية، حيث تعمل الحوكمة الرشيدة كجسر ومنظم لهذه العلاقة. فالحوكمة لا تهدف فقط إلى "فعل الأشياء بشكل صحيح</w:t>
      </w:r>
      <w:r w:rsidRPr="00F90898">
        <w:rPr>
          <w:rFonts w:ascii="Sakkal Majalla" w:eastAsia="Times New Roman" w:hAnsi="Sakkal Majalla" w:cs="Sakkal Majalla"/>
          <w:sz w:val="28"/>
          <w:szCs w:val="28"/>
        </w:rPr>
        <w:t xml:space="preserve">" (Doing </w:t>
      </w:r>
      <w:r w:rsidRPr="00F90898">
        <w:rPr>
          <w:rFonts w:ascii="Sakkal Majalla" w:eastAsia="Times New Roman" w:hAnsi="Sakkal Majalla" w:cs="Sakkal Majalla"/>
          <w:sz w:val="28"/>
          <w:szCs w:val="28"/>
        </w:rPr>
        <w:lastRenderedPageBreak/>
        <w:t xml:space="preserve">Things Right) </w:t>
      </w:r>
      <w:r w:rsidRPr="00F90898">
        <w:rPr>
          <w:rFonts w:ascii="Sakkal Majalla" w:eastAsia="Times New Roman" w:hAnsi="Sakkal Majalla" w:cs="Sakkal Majalla"/>
          <w:sz w:val="28"/>
          <w:szCs w:val="28"/>
          <w:rtl/>
        </w:rPr>
        <w:t>على المستوى التشغيلي، بل تضمن أيضاً أن المؤسسة "تفعل الأشياء الصحيحة</w:t>
      </w:r>
      <w:r w:rsidRPr="00F90898">
        <w:rPr>
          <w:rFonts w:ascii="Sakkal Majalla" w:eastAsia="Times New Roman" w:hAnsi="Sakkal Majalla" w:cs="Sakkal Majalla"/>
          <w:sz w:val="28"/>
          <w:szCs w:val="28"/>
        </w:rPr>
        <w:t xml:space="preserve">" (Doing the Right Things) </w:t>
      </w:r>
      <w:r w:rsidRPr="00F90898">
        <w:rPr>
          <w:rFonts w:ascii="Sakkal Majalla" w:eastAsia="Times New Roman" w:hAnsi="Sakkal Majalla" w:cs="Sakkal Majalla"/>
          <w:sz w:val="28"/>
          <w:szCs w:val="28"/>
          <w:rtl/>
        </w:rPr>
        <w:t>على المستوى الاستراتيجي. ومن هذا المنطلق، تعمل كفاءة العمليات كمحرك أساسي يمكّن المؤسسة من تحقيق تميزها الاستراتيجي ويدعمه</w:t>
      </w:r>
      <w:r w:rsidRPr="00F90898">
        <w:rPr>
          <w:rFonts w:ascii="Sakkal Majalla" w:eastAsia="Times New Roman" w:hAnsi="Sakkal Majalla" w:cs="Sakkal Majalla"/>
          <w:sz w:val="28"/>
          <w:szCs w:val="28"/>
        </w:rPr>
        <w:t>.</w:t>
      </w:r>
    </w:p>
    <w:p w14:paraId="17258401"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أولاً،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كفاءة العمليات تحرر الموارد اللازمة للابتكار والنمو الاستراتيجي</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عندما تكون العمليات التشغيلية تتسم بالكفاءة، فإنها تستهلك موارد أقل (وقتاً، مالاً، وجهداً بشرياً). هذا الوفر في الموارد يحرر "فائضاً" يمكن إعادة استثماره في مبادرات استراتيجية طويلة الأجل، مثل التحول الرقمي أو تطوير منتجات مبتكرة. فبدون أساس تشغيلي فعال، ستكون الإدارة غارقة في حل المشكلات اليومية، ولن تمتلك النطاق الذهني أو المالي للتفكير الاستراتيجي</w:t>
      </w:r>
      <w:r w:rsidRPr="00F90898">
        <w:rPr>
          <w:rFonts w:ascii="Sakkal Majalla" w:eastAsia="Times New Roman" w:hAnsi="Sakkal Majalla" w:cs="Sakkal Majalla"/>
          <w:sz w:val="28"/>
          <w:szCs w:val="28"/>
        </w:rPr>
        <w:t>.</w:t>
      </w:r>
    </w:p>
    <w:p w14:paraId="1545EA04"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ثانياً،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الكفاءة التشغيلية تبني ميزة تنافسية مستدامة</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وفقاً للإطار الكلاسيكي لـ </w:t>
      </w:r>
      <w:r w:rsidRPr="00F90898">
        <w:rPr>
          <w:rFonts w:ascii="Sakkal Majalla" w:eastAsia="Times New Roman" w:hAnsi="Sakkal Majalla" w:cs="Sakkal Majalla"/>
          <w:b/>
          <w:bCs/>
          <w:sz w:val="28"/>
          <w:szCs w:val="28"/>
        </w:rPr>
        <w:t>(Porter, 1985)</w:t>
      </w:r>
      <w:r w:rsidRPr="00F90898">
        <w:rPr>
          <w:rFonts w:ascii="Sakkal Majalla" w:eastAsia="Times New Roman" w:hAnsi="Sakkal Majalla" w:cs="Sakkal Majalla"/>
          <w:sz w:val="28"/>
          <w:szCs w:val="28"/>
          <w:rtl/>
        </w:rPr>
        <w:t>، فإن "قيادة التكلفة</w:t>
      </w:r>
      <w:r w:rsidRPr="00F90898">
        <w:rPr>
          <w:rFonts w:ascii="Sakkal Majalla" w:eastAsia="Times New Roman" w:hAnsi="Sakkal Majalla" w:cs="Sakkal Majalla"/>
          <w:sz w:val="28"/>
          <w:szCs w:val="28"/>
        </w:rPr>
        <w:t xml:space="preserve">" (Cost Leadership) </w:t>
      </w:r>
      <w:r w:rsidRPr="00F90898">
        <w:rPr>
          <w:rFonts w:ascii="Sakkal Majalla" w:eastAsia="Times New Roman" w:hAnsi="Sakkal Majalla" w:cs="Sakkal Majalla"/>
          <w:sz w:val="28"/>
          <w:szCs w:val="28"/>
          <w:rtl/>
        </w:rPr>
        <w:t>و"التمييز</w:t>
      </w:r>
      <w:r w:rsidRPr="00F90898">
        <w:rPr>
          <w:rFonts w:ascii="Sakkal Majalla" w:eastAsia="Times New Roman" w:hAnsi="Sakkal Majalla" w:cs="Sakkal Majalla"/>
          <w:sz w:val="28"/>
          <w:szCs w:val="28"/>
        </w:rPr>
        <w:t xml:space="preserve">" (Differentiation) </w:t>
      </w:r>
      <w:r w:rsidRPr="00F90898">
        <w:rPr>
          <w:rFonts w:ascii="Sakkal Majalla" w:eastAsia="Times New Roman" w:hAnsi="Sakkal Majalla" w:cs="Sakkal Majalla"/>
          <w:sz w:val="28"/>
          <w:szCs w:val="28"/>
          <w:rtl/>
        </w:rPr>
        <w:t>هما استراتيجيتان أساسيتان. تحقيق كفاءة تشغيلية فائقة هو السبيل لتطبيق استراتيجية قيادة التكلفة. وحتى في استراتيجيات التمييز، تظل الكفاءة حيوية لتقديم جودة فائقة بطريقة مربحة. الحوكمة، من خلال فرضها لآليات الرقابة والتحسين المستمر، تضمن أن هذه الكفاءة ليست مؤقتة، بل هي قدرة مؤسسية راسخة</w:t>
      </w:r>
      <w:r w:rsidRPr="00F90898">
        <w:rPr>
          <w:rFonts w:ascii="Sakkal Majalla" w:eastAsia="Times New Roman" w:hAnsi="Sakkal Majalla" w:cs="Sakkal Majalla"/>
          <w:sz w:val="28"/>
          <w:szCs w:val="28"/>
        </w:rPr>
        <w:t>.</w:t>
      </w:r>
    </w:p>
    <w:p w14:paraId="362F5227" w14:textId="6E59C18C"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ثالثاً،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البيانات الناتجة عن العمليات الفعالة هي وقود القرارات الاستراتيجية الصائبة</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العمليات التي تدار بكفاءة وتخضع للحوكمة تنتج بيانات دقيقة وموثوقة حول الأداء</w:t>
      </w:r>
      <w:r w:rsidRPr="00F90898">
        <w:rPr>
          <w:rFonts w:ascii="Sakkal Majalla" w:eastAsia="Times New Roman" w:hAnsi="Sakkal Majalla" w:cs="Sakkal Majalla"/>
          <w:sz w:val="28"/>
          <w:szCs w:val="28"/>
        </w:rPr>
        <w:t xml:space="preserve"> (KPIs). </w:t>
      </w:r>
      <w:r w:rsidRPr="00F90898">
        <w:rPr>
          <w:rFonts w:ascii="Sakkal Majalla" w:eastAsia="Times New Roman" w:hAnsi="Sakkal Majalla" w:cs="Sakkal Majalla"/>
          <w:sz w:val="28"/>
          <w:szCs w:val="28"/>
          <w:rtl/>
        </w:rPr>
        <w:t>هذه البيانات لا تقدر بثمن لمجلس الإدارة، حيث توفر رؤى حقيقية حول ما ينجح وما لا ينجح، وتساعد في تقييم جدوى المبادرات الاستراتيجية. وكما تؤكد نظرية "الرؤية القائمة على الموارد</w:t>
      </w:r>
      <w:r w:rsidRPr="00F90898">
        <w:rPr>
          <w:rFonts w:ascii="Sakkal Majalla" w:eastAsia="Times New Roman" w:hAnsi="Sakkal Majalla" w:cs="Sakkal Majalla"/>
          <w:sz w:val="28"/>
          <w:szCs w:val="28"/>
        </w:rPr>
        <w:t>" (Resource-Based View)</w:t>
      </w:r>
      <w:r w:rsidRPr="00F90898">
        <w:rPr>
          <w:rFonts w:ascii="Sakkal Majalla" w:eastAsia="Times New Roman" w:hAnsi="Sakkal Majalla" w:cs="Sakkal Majalla"/>
          <w:sz w:val="28"/>
          <w:szCs w:val="28"/>
          <w:rtl/>
        </w:rPr>
        <w:t xml:space="preserve">، فإن القدرة على جمع وتحليل البيانات بفعالية هي "مورد استراتيجي" نادر ويصعب تقليده </w:t>
      </w:r>
      <w:r w:rsidRPr="00F90898">
        <w:rPr>
          <w:rFonts w:ascii="Sakkal Majalla" w:eastAsia="Times New Roman" w:hAnsi="Sakkal Majalla" w:cs="Sakkal Majalla"/>
          <w:b/>
          <w:bCs/>
          <w:sz w:val="28"/>
          <w:szCs w:val="28"/>
        </w:rPr>
        <w:t>(Barney, 1991)</w:t>
      </w:r>
      <w:r w:rsidR="00840A0E">
        <w:rPr>
          <w:rFonts w:ascii="Sakkal Majalla" w:eastAsia="Times New Roman" w:hAnsi="Sakkal Majalla" w:cs="Sakkal Majalla" w:hint="cs"/>
          <w:sz w:val="28"/>
          <w:szCs w:val="28"/>
          <w:rtl/>
        </w:rPr>
        <w:t>.</w:t>
      </w:r>
    </w:p>
    <w:p w14:paraId="506F6C92" w14:textId="0EFA64A5"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 xml:space="preserve">وقد دعمت دراسة عالمية حديثة لـ </w:t>
      </w:r>
      <w:r w:rsidRPr="00F90898">
        <w:rPr>
          <w:rFonts w:ascii="Sakkal Majalla" w:eastAsia="Times New Roman" w:hAnsi="Sakkal Majalla" w:cs="Sakkal Majalla"/>
          <w:b/>
          <w:bCs/>
          <w:sz w:val="28"/>
          <w:szCs w:val="28"/>
        </w:rPr>
        <w:t>(Bhatt &amp; Bhatt, 2017)</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هذه العلاقة بقوة، حيث وجدت أن الشركات التي تتبنى "الرشاقة التشغيلية</w:t>
      </w:r>
      <w:r w:rsidRPr="00F90898">
        <w:rPr>
          <w:rFonts w:ascii="Sakkal Majalla" w:eastAsia="Times New Roman" w:hAnsi="Sakkal Majalla" w:cs="Sakkal Majalla"/>
          <w:sz w:val="28"/>
          <w:szCs w:val="28"/>
        </w:rPr>
        <w:t xml:space="preserve">" (Operational Agility) - </w:t>
      </w:r>
      <w:r w:rsidRPr="00F90898">
        <w:rPr>
          <w:rFonts w:ascii="Sakkal Majalla" w:eastAsia="Times New Roman" w:hAnsi="Sakkal Majalla" w:cs="Sakkal Majalla"/>
          <w:sz w:val="28"/>
          <w:szCs w:val="28"/>
          <w:rtl/>
        </w:rPr>
        <w:t xml:space="preserve">وهي نتاج مباشر للكفاءة والقدرة على إعادة تشكيل العمليات بسرعة - تكون أكثر قدرة على تحقيق أداء مالي متفوق. وأكدت الدراسة أن هذه الرشاقة لا يمكن أن تتحقق في ظل فوضى إدارية، بل تتطلب إطار حوكمة قوي يوجهها. وفي السياق السعودي، قدمت </w:t>
      </w:r>
      <w:r w:rsidR="00237149" w:rsidRPr="00F90898">
        <w:rPr>
          <w:rFonts w:ascii="Sakkal Majalla" w:eastAsia="Times New Roman" w:hAnsi="Sakkal Majalla" w:cs="Sakkal Majalla" w:hint="cs"/>
          <w:sz w:val="28"/>
          <w:szCs w:val="28"/>
          <w:rtl/>
        </w:rPr>
        <w:t xml:space="preserve">دراسة </w:t>
      </w:r>
      <w:r w:rsidR="00237149">
        <w:rPr>
          <w:rFonts w:ascii="Sakkal Majalla" w:eastAsia="Times New Roman" w:hAnsi="Sakkal Majalla" w:cs="Sakkal Majalla"/>
          <w:sz w:val="28"/>
          <w:szCs w:val="28"/>
        </w:rPr>
        <w:t>(</w:t>
      </w:r>
      <w:r w:rsidRPr="00237149">
        <w:rPr>
          <w:rFonts w:ascii="Sakkal Majalla" w:eastAsia="Times New Roman" w:hAnsi="Sakkal Majalla" w:cs="Sakkal Majalla"/>
          <w:sz w:val="28"/>
          <w:szCs w:val="28"/>
        </w:rPr>
        <w:t>Al-Matari et al., 2022)</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التي نشرت في مجلة </w:t>
      </w:r>
      <w:r w:rsidRPr="00F90898">
        <w:rPr>
          <w:rFonts w:ascii="Sakkal Majalla" w:eastAsia="Times New Roman" w:hAnsi="Sakkal Majalla" w:cs="Sakkal Majalla"/>
          <w:i/>
          <w:iCs/>
          <w:sz w:val="28"/>
          <w:szCs w:val="28"/>
        </w:rPr>
        <w:t>Cogent Business &amp; Management</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المرموقة، دليلاً قاطعاً من السوق السعودي، حيث أظهرت أن جودة التقارير المالية (وهي نتاج مباشر للحوكمة والكفاءة التشغيلية) لها تأثير إيجابي ومباشر على كفاءة الاستثمار في الشركات السعودية. هذا يعني أن الحوكمة لا تحسن العمليات الحالية فقط، بل توجه رأس المال نحو المشاريع الاستراتيجية الصحيحة، وهو جوهر التميز الاستراتيجي</w:t>
      </w:r>
      <w:r w:rsidRPr="00F90898">
        <w:rPr>
          <w:rFonts w:ascii="Sakkal Majalla" w:eastAsia="Times New Roman" w:hAnsi="Sakkal Majalla" w:cs="Sakkal Majalla"/>
          <w:sz w:val="28"/>
          <w:szCs w:val="28"/>
        </w:rPr>
        <w:t>.</w:t>
      </w:r>
    </w:p>
    <w:p w14:paraId="5DA5050A"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lastRenderedPageBreak/>
        <w:t>في المحصلة، تعمل الحوكمة كجسر يربط بين العالمين التشغيلي والاستراتيجي. فهي تضمن أن الكفاءة التشغيلية لا تكون مجرد هدف لخفض التكاليف، بل يتم تسخيرها كأداة قوية لتمكين الرؤية الاستراتيجية للمؤسسة، وبناء ميزة تنافسية مستدامة، وتحقيق التميز في سوق دائم التغير</w:t>
      </w:r>
      <w:r w:rsidRPr="00F90898">
        <w:rPr>
          <w:rFonts w:ascii="Sakkal Majalla" w:eastAsia="Times New Roman" w:hAnsi="Sakkal Majalla" w:cs="Sakkal Majalla"/>
          <w:sz w:val="28"/>
          <w:szCs w:val="28"/>
        </w:rPr>
        <w:t>.</w:t>
      </w:r>
    </w:p>
    <w:p w14:paraId="7E185A64" w14:textId="77777777" w:rsidR="002374CB" w:rsidRPr="00F90898" w:rsidRDefault="002374CB" w:rsidP="002D76E9">
      <w:pPr>
        <w:bidi/>
        <w:spacing w:after="0" w:line="276" w:lineRule="auto"/>
        <w:jc w:val="both"/>
        <w:rPr>
          <w:rFonts w:ascii="Sakkal Majalla" w:eastAsia="Times New Roman" w:hAnsi="Sakkal Majalla" w:cs="Sakkal Majalla"/>
          <w:sz w:val="28"/>
          <w:szCs w:val="28"/>
          <w:rtl/>
        </w:rPr>
      </w:pPr>
    </w:p>
    <w:p w14:paraId="0EED299D" w14:textId="535A97CA" w:rsidR="00885F93" w:rsidRPr="00885F93"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3-4 </w:t>
      </w:r>
      <w:r w:rsidR="00885F93" w:rsidRPr="00885F93">
        <w:rPr>
          <w:rFonts w:ascii="Sakkal Majalla" w:eastAsia="Times New Roman" w:hAnsi="Sakkal Majalla" w:cs="Sakkal Majalla"/>
          <w:b/>
          <w:bCs/>
          <w:sz w:val="28"/>
          <w:szCs w:val="28"/>
          <w:rtl/>
        </w:rPr>
        <w:t>العلاقة بين حوكمة كفاءة إدارة المخاطر التشغيلية والتميز الاستراتيجي</w:t>
      </w:r>
    </w:p>
    <w:p w14:paraId="3B621B77" w14:textId="77777777" w:rsidR="00885F93" w:rsidRDefault="00885F93" w:rsidP="002D76E9">
      <w:pPr>
        <w:bidi/>
        <w:spacing w:after="0" w:line="276" w:lineRule="auto"/>
        <w:jc w:val="both"/>
        <w:rPr>
          <w:rFonts w:ascii="Sakkal Majalla" w:eastAsia="Times New Roman" w:hAnsi="Sakkal Majalla" w:cs="Sakkal Majalla"/>
          <w:sz w:val="28"/>
          <w:szCs w:val="28"/>
          <w:rtl/>
        </w:rPr>
      </w:pPr>
      <w:r w:rsidRPr="00885F93">
        <w:rPr>
          <w:rFonts w:ascii="Sakkal Majalla" w:eastAsia="Times New Roman" w:hAnsi="Sakkal Majalla" w:cs="Sakkal Majalla"/>
          <w:sz w:val="28"/>
          <w:szCs w:val="28"/>
          <w:rtl/>
        </w:rPr>
        <w:t xml:space="preserve">في بيئة الأعمال المعاصرة التي تتسم بالتقلب وعدم اليقين، لم تعد إدارة المخاطر مجرد وظيفة دفاعية تهدف إلى منع الخسائر، بل تحولت إلى قدرة استراتيجية تمكّن المؤسسة من الإبحار في خضم التحديات واقتناص الفرص. وفي هذا السياق، تعمل الحوكمة الرشيدة كإطار يضمن ليس فقط وجود إدارة للمخاطر، بل </w:t>
      </w:r>
      <w:r w:rsidRPr="00885F93">
        <w:rPr>
          <w:rFonts w:ascii="Sakkal Majalla" w:eastAsia="Times New Roman" w:hAnsi="Sakkal Majalla" w:cs="Sakkal Majalla"/>
          <w:b/>
          <w:bCs/>
          <w:sz w:val="28"/>
          <w:szCs w:val="28"/>
          <w:rtl/>
        </w:rPr>
        <w:t>كفاءة</w:t>
      </w:r>
      <w:r w:rsidRPr="00885F93">
        <w:rPr>
          <w:rFonts w:ascii="Sakkal Majalla" w:eastAsia="Times New Roman" w:hAnsi="Sakkal Majalla" w:cs="Sakkal Majalla"/>
          <w:sz w:val="28"/>
          <w:szCs w:val="28"/>
          <w:rtl/>
        </w:rPr>
        <w:t xml:space="preserve"> هذه الإدارة، مما يخلق جسراً مباشراً بين الاستقرار التشغيلي والتميز الاستراتيجي</w:t>
      </w:r>
      <w:r w:rsidRPr="00885F93">
        <w:rPr>
          <w:rFonts w:ascii="Sakkal Majalla" w:eastAsia="Times New Roman" w:hAnsi="Sakkal Majalla" w:cs="Sakkal Majalla"/>
          <w:sz w:val="28"/>
          <w:szCs w:val="28"/>
        </w:rPr>
        <w:t>.</w:t>
      </w:r>
    </w:p>
    <w:p w14:paraId="79CF57E9" w14:textId="77777777" w:rsidR="00B7530E" w:rsidRPr="00885F93" w:rsidRDefault="00B7530E" w:rsidP="00B7530E">
      <w:pPr>
        <w:bidi/>
        <w:spacing w:after="0" w:line="276" w:lineRule="auto"/>
        <w:jc w:val="both"/>
        <w:rPr>
          <w:rFonts w:ascii="Sakkal Majalla" w:eastAsia="Times New Roman" w:hAnsi="Sakkal Majalla" w:cs="Sakkal Majalla"/>
          <w:sz w:val="28"/>
          <w:szCs w:val="28"/>
        </w:rPr>
      </w:pPr>
    </w:p>
    <w:p w14:paraId="3DC47D3F" w14:textId="67B4FE1B" w:rsid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1-</w:t>
      </w:r>
      <w:r w:rsidR="00885F93" w:rsidRPr="00885F93">
        <w:rPr>
          <w:rFonts w:ascii="Sakkal Majalla" w:eastAsia="Times New Roman" w:hAnsi="Sakkal Majalla" w:cs="Sakkal Majalla"/>
          <w:b/>
          <w:bCs/>
          <w:sz w:val="28"/>
          <w:szCs w:val="28"/>
        </w:rPr>
        <w:t xml:space="preserve"> </w:t>
      </w:r>
      <w:r w:rsidR="00885F93" w:rsidRPr="00885F93">
        <w:rPr>
          <w:rFonts w:ascii="Sakkal Majalla" w:eastAsia="Times New Roman" w:hAnsi="Sakkal Majalla" w:cs="Sakkal Majalla"/>
          <w:b/>
          <w:bCs/>
          <w:sz w:val="28"/>
          <w:szCs w:val="28"/>
          <w:rtl/>
        </w:rPr>
        <w:t>الحوكمة تحوّل إدارة المخاطر من رد فعل إلى استباقية استراتيجية</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بدون حوكمة فعالة، غالباً ما تكون إدارة المخاطر مجرد نشاط شكلي أو رد فعل للأزمات بعد وقوعها. لكن الحوكمة، من خلال أدواتها </w:t>
      </w:r>
      <w:r w:rsidR="00885F93" w:rsidRPr="00237149">
        <w:rPr>
          <w:rFonts w:ascii="Sakkal Majalla" w:eastAsia="Times New Roman" w:hAnsi="Sakkal Majalla" w:cs="Sakkal Majalla"/>
          <w:sz w:val="28"/>
          <w:szCs w:val="28"/>
          <w:rtl/>
        </w:rPr>
        <w:t>مثل لجنة المخاطر المستقلة</w:t>
      </w:r>
      <w:r w:rsidR="00885F93" w:rsidRPr="00885F93">
        <w:rPr>
          <w:rFonts w:ascii="Sakkal Majalla" w:eastAsia="Times New Roman" w:hAnsi="Sakkal Majalla" w:cs="Sakkal Majalla"/>
          <w:sz w:val="28"/>
          <w:szCs w:val="28"/>
          <w:rtl/>
        </w:rPr>
        <w:t xml:space="preserve"> والإشراف المباشر </w:t>
      </w:r>
      <w:r w:rsidR="00885F93" w:rsidRPr="00237149">
        <w:rPr>
          <w:rFonts w:ascii="Sakkal Majalla" w:eastAsia="Times New Roman" w:hAnsi="Sakkal Majalla" w:cs="Sakkal Majalla"/>
          <w:sz w:val="28"/>
          <w:szCs w:val="28"/>
          <w:rtl/>
        </w:rPr>
        <w:t>من مجلس الإدارة، تفرض دمج منظور المخاطر في صلب عملية صنع القرار الاستراتيجي. فهي تضمن أن أسئلة مثل: "ما هي المخاطر التشغيلية المصاحبة لهذا التوسع الجديد؟" أو "هل لدينا القدرة على إدارة المخاطر السيبرانية لهذه المبادرة الرقمية؟" تُطرح وتُجاب قبل تخصيص الموارد. هذا التحول من</w:t>
      </w:r>
      <w:r w:rsidR="00885F93" w:rsidRPr="00885F93">
        <w:rPr>
          <w:rFonts w:ascii="Sakkal Majalla" w:eastAsia="Times New Roman" w:hAnsi="Sakkal Majalla" w:cs="Sakkal Majalla"/>
          <w:sz w:val="28"/>
          <w:szCs w:val="28"/>
          <w:rtl/>
        </w:rPr>
        <w:t xml:space="preserve"> إدارة الأزمات إلى إدارة المخاطر الاستباقية هو ما يميز المؤسسات المتميزة استراتيجياً</w:t>
      </w:r>
      <w:r w:rsidR="00885F93" w:rsidRPr="00885F93">
        <w:rPr>
          <w:rFonts w:ascii="Sakkal Majalla" w:eastAsia="Times New Roman" w:hAnsi="Sakkal Majalla" w:cs="Sakkal Majalla"/>
          <w:sz w:val="28"/>
          <w:szCs w:val="28"/>
        </w:rPr>
        <w:t>.</w:t>
      </w:r>
    </w:p>
    <w:p w14:paraId="6B973A35" w14:textId="77777777" w:rsidR="00B7530E" w:rsidRPr="00885F93" w:rsidRDefault="00B7530E" w:rsidP="00B7530E">
      <w:pPr>
        <w:bidi/>
        <w:spacing w:after="0" w:line="276" w:lineRule="auto"/>
        <w:jc w:val="both"/>
        <w:rPr>
          <w:rFonts w:ascii="Sakkal Majalla" w:eastAsia="Times New Roman" w:hAnsi="Sakkal Majalla" w:cs="Sakkal Majalla"/>
          <w:sz w:val="28"/>
          <w:szCs w:val="28"/>
        </w:rPr>
      </w:pPr>
    </w:p>
    <w:p w14:paraId="3605ABA2" w14:textId="460646DB"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2-</w:t>
      </w:r>
      <w:r w:rsidR="00885F93" w:rsidRPr="00885F93">
        <w:rPr>
          <w:rFonts w:ascii="Sakkal Majalla" w:eastAsia="Times New Roman" w:hAnsi="Sakkal Majalla" w:cs="Sakkal Majalla"/>
          <w:b/>
          <w:bCs/>
          <w:sz w:val="28"/>
          <w:szCs w:val="28"/>
          <w:rtl/>
        </w:rPr>
        <w:t>كفاءة إدارة المخاطر التشغيلية تحمي الأصول وتمكّن النمو</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المخاطر التشغيلية</w:t>
      </w:r>
      <w:r w:rsidR="00885F93" w:rsidRPr="00885F93">
        <w:rPr>
          <w:rFonts w:ascii="Sakkal Majalla" w:eastAsia="Times New Roman" w:hAnsi="Sakkal Majalla" w:cs="Sakkal Majalla"/>
          <w:sz w:val="28"/>
          <w:szCs w:val="28"/>
        </w:rPr>
        <w:t xml:space="preserve"> (Operational Risks) - </w:t>
      </w:r>
      <w:r w:rsidR="00885F93" w:rsidRPr="00885F93">
        <w:rPr>
          <w:rFonts w:ascii="Sakkal Majalla" w:eastAsia="Times New Roman" w:hAnsi="Sakkal Majalla" w:cs="Sakkal Majalla"/>
          <w:sz w:val="28"/>
          <w:szCs w:val="28"/>
          <w:rtl/>
        </w:rPr>
        <w:t>مثل تعطل الأنظمة، أو الأخطاء البشرية، أو الاحتيال، أو انقطاع سلاسل الإمداد - لديها القدرة على شل قدرة المؤسسة على تنفيذ استراتيجيتها. إن وجود إطار حوكمة قوي يفرض تقييماً مستمراً لهذه المخاطر ووضع ضوابط داخلية فعالة</w:t>
      </w:r>
      <w:r w:rsidR="00885F93" w:rsidRPr="00885F93">
        <w:rPr>
          <w:rFonts w:ascii="Sakkal Majalla" w:eastAsia="Times New Roman" w:hAnsi="Sakkal Majalla" w:cs="Sakkal Majalla"/>
          <w:sz w:val="28"/>
          <w:szCs w:val="28"/>
        </w:rPr>
        <w:t xml:space="preserve"> (Internal Controls) </w:t>
      </w:r>
      <w:r w:rsidR="00885F93" w:rsidRPr="00885F93">
        <w:rPr>
          <w:rFonts w:ascii="Sakkal Majalla" w:eastAsia="Times New Roman" w:hAnsi="Sakkal Majalla" w:cs="Sakkal Majalla"/>
          <w:sz w:val="28"/>
          <w:szCs w:val="28"/>
          <w:rtl/>
        </w:rPr>
        <w:t xml:space="preserve">للحد منها. وكما أوضح </w:t>
      </w:r>
      <w:r w:rsidR="00885F93" w:rsidRPr="00237149">
        <w:rPr>
          <w:rFonts w:ascii="Sakkal Majalla" w:eastAsia="Times New Roman" w:hAnsi="Sakkal Majalla" w:cs="Sakkal Majalla"/>
          <w:sz w:val="28"/>
          <w:szCs w:val="28"/>
          <w:rtl/>
        </w:rPr>
        <w:t>إطار</w:t>
      </w:r>
      <w:r w:rsidR="00885F93" w:rsidRPr="00237149">
        <w:rPr>
          <w:rFonts w:ascii="Sakkal Majalla" w:eastAsia="Times New Roman" w:hAnsi="Sakkal Majalla" w:cs="Sakkal Majalla"/>
          <w:sz w:val="28"/>
          <w:szCs w:val="28"/>
        </w:rPr>
        <w:t xml:space="preserve"> COSO </w:t>
      </w:r>
      <w:r w:rsidR="00885F93" w:rsidRPr="00237149">
        <w:rPr>
          <w:rFonts w:ascii="Sakkal Majalla" w:eastAsia="Times New Roman" w:hAnsi="Sakkal Majalla" w:cs="Sakkal Majalla"/>
          <w:sz w:val="28"/>
          <w:szCs w:val="28"/>
          <w:rtl/>
        </w:rPr>
        <w:t>لإدارة المخاطر المؤسسية</w:t>
      </w:r>
      <w:r w:rsidR="00885F93" w:rsidRPr="00237149">
        <w:rPr>
          <w:rFonts w:ascii="Sakkal Majalla" w:eastAsia="Times New Roman" w:hAnsi="Sakkal Majalla" w:cs="Sakkal Majalla"/>
          <w:sz w:val="28"/>
          <w:szCs w:val="28"/>
        </w:rPr>
        <w:t xml:space="preserve"> (2017)</w:t>
      </w:r>
      <w:r w:rsidR="00885F93" w:rsidRPr="00237149">
        <w:rPr>
          <w:rFonts w:ascii="Sakkal Majalla" w:eastAsia="Times New Roman" w:hAnsi="Sakkal Majalla" w:cs="Sakkal Majalla"/>
          <w:sz w:val="28"/>
          <w:szCs w:val="28"/>
          <w:rtl/>
        </w:rPr>
        <w:t>،</w:t>
      </w:r>
      <w:r w:rsidR="00885F93" w:rsidRPr="00885F93">
        <w:rPr>
          <w:rFonts w:ascii="Sakkal Majalla" w:eastAsia="Times New Roman" w:hAnsi="Sakkal Majalla" w:cs="Sakkal Majalla"/>
          <w:sz w:val="28"/>
          <w:szCs w:val="28"/>
          <w:rtl/>
        </w:rPr>
        <w:t xml:space="preserve"> فإن الهدف ليس القضاء على جميع المخاطر، بل إدارتها ضمن "شهية المخاطر</w:t>
      </w:r>
      <w:r w:rsidR="00885F93" w:rsidRPr="00885F93">
        <w:rPr>
          <w:rFonts w:ascii="Sakkal Majalla" w:eastAsia="Times New Roman" w:hAnsi="Sakkal Majalla" w:cs="Sakkal Majalla"/>
          <w:sz w:val="28"/>
          <w:szCs w:val="28"/>
        </w:rPr>
        <w:t xml:space="preserve">" (Risk Appetite) </w:t>
      </w:r>
      <w:r w:rsidR="00885F93" w:rsidRPr="00885F93">
        <w:rPr>
          <w:rFonts w:ascii="Sakkal Majalla" w:eastAsia="Times New Roman" w:hAnsi="Sakkal Majalla" w:cs="Sakkal Majalla"/>
          <w:sz w:val="28"/>
          <w:szCs w:val="28"/>
          <w:rtl/>
        </w:rPr>
        <w:t>التي يحددها مجلس الإدارة. عندما تنجح المؤسسة في ذلك، فإنها تحقق أمرين استراتيجيين</w:t>
      </w:r>
      <w:r w:rsidR="00885F93" w:rsidRPr="00885F93">
        <w:rPr>
          <w:rFonts w:ascii="Sakkal Majalla" w:eastAsia="Times New Roman" w:hAnsi="Sakkal Majalla" w:cs="Sakkal Majalla"/>
          <w:sz w:val="28"/>
          <w:szCs w:val="28"/>
        </w:rPr>
        <w:t>:</w:t>
      </w:r>
    </w:p>
    <w:p w14:paraId="12964636" w14:textId="7FCE700E" w:rsidR="00885F93" w:rsidRPr="00885F93" w:rsidRDefault="00885F93" w:rsidP="002D76E9">
      <w:pPr>
        <w:numPr>
          <w:ilvl w:val="0"/>
          <w:numId w:val="95"/>
        </w:num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tl/>
        </w:rPr>
        <w:t xml:space="preserve">تحمي </w:t>
      </w:r>
      <w:r w:rsidR="00632882">
        <w:rPr>
          <w:rFonts w:ascii="Sakkal Majalla" w:eastAsia="Times New Roman" w:hAnsi="Sakkal Majalla" w:cs="Sakkal Majalla" w:hint="cs"/>
          <w:b/>
          <w:bCs/>
          <w:sz w:val="28"/>
          <w:szCs w:val="28"/>
          <w:rtl/>
        </w:rPr>
        <w:t>ال</w:t>
      </w:r>
      <w:r w:rsidRPr="00885F93">
        <w:rPr>
          <w:rFonts w:ascii="Sakkal Majalla" w:eastAsia="Times New Roman" w:hAnsi="Sakkal Majalla" w:cs="Sakkal Majalla"/>
          <w:b/>
          <w:bCs/>
          <w:sz w:val="28"/>
          <w:szCs w:val="28"/>
          <w:rtl/>
        </w:rPr>
        <w:t>أصول</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w:t>
      </w:r>
      <w:r w:rsidRPr="00885F93">
        <w:rPr>
          <w:rFonts w:ascii="Sakkal Majalla" w:eastAsia="Times New Roman" w:hAnsi="Sakkal Majalla" w:cs="Sakkal Majalla"/>
          <w:sz w:val="28"/>
          <w:szCs w:val="28"/>
          <w:rtl/>
        </w:rPr>
        <w:t>تضمن استمرارية الأعمال</w:t>
      </w:r>
      <w:r w:rsidRPr="00885F93">
        <w:rPr>
          <w:rFonts w:ascii="Sakkal Majalla" w:eastAsia="Times New Roman" w:hAnsi="Sakkal Majalla" w:cs="Sakkal Majalla"/>
          <w:sz w:val="28"/>
          <w:szCs w:val="28"/>
        </w:rPr>
        <w:t xml:space="preserve"> (Business Continuity) </w:t>
      </w:r>
      <w:r w:rsidRPr="00885F93">
        <w:rPr>
          <w:rFonts w:ascii="Sakkal Majalla" w:eastAsia="Times New Roman" w:hAnsi="Sakkal Majalla" w:cs="Sakkal Majalla"/>
          <w:sz w:val="28"/>
          <w:szCs w:val="28"/>
          <w:rtl/>
        </w:rPr>
        <w:t>وتحافظ على سمعتها وقاعدة عملائها</w:t>
      </w:r>
      <w:r w:rsidRPr="00885F93">
        <w:rPr>
          <w:rFonts w:ascii="Sakkal Majalla" w:eastAsia="Times New Roman" w:hAnsi="Sakkal Majalla" w:cs="Sakkal Majalla"/>
          <w:sz w:val="28"/>
          <w:szCs w:val="28"/>
        </w:rPr>
        <w:t>.</w:t>
      </w:r>
    </w:p>
    <w:p w14:paraId="66B9F4BE" w14:textId="115CA902" w:rsidR="0083781F" w:rsidRDefault="00885F93" w:rsidP="00B7530E">
      <w:pPr>
        <w:numPr>
          <w:ilvl w:val="0"/>
          <w:numId w:val="95"/>
        </w:num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tl/>
        </w:rPr>
        <w:t>تمكّن النمو المستدام</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w:t>
      </w:r>
      <w:r w:rsidRPr="00885F93">
        <w:rPr>
          <w:rFonts w:ascii="Sakkal Majalla" w:eastAsia="Times New Roman" w:hAnsi="Sakkal Majalla" w:cs="Sakkal Majalla"/>
          <w:sz w:val="28"/>
          <w:szCs w:val="28"/>
          <w:rtl/>
        </w:rPr>
        <w:t>تشعر الإدارة بالثقة لاتخاذ خطوات استراتيجية جريئة، مع العلم أن المخاطر التشغيلية المحتملة قد تم تحديدها وتقييمها ووضع خطط للتعامل معها</w:t>
      </w:r>
      <w:r w:rsidRPr="00885F93">
        <w:rPr>
          <w:rFonts w:ascii="Sakkal Majalla" w:eastAsia="Times New Roman" w:hAnsi="Sakkal Majalla" w:cs="Sakkal Majalla"/>
          <w:sz w:val="28"/>
          <w:szCs w:val="28"/>
        </w:rPr>
        <w:t>.</w:t>
      </w:r>
    </w:p>
    <w:p w14:paraId="7FD47C3B" w14:textId="77777777" w:rsidR="00B7530E" w:rsidRPr="00B7530E" w:rsidRDefault="00B7530E" w:rsidP="00B7530E">
      <w:pPr>
        <w:bidi/>
        <w:spacing w:after="0" w:line="276" w:lineRule="auto"/>
        <w:ind w:left="720"/>
        <w:jc w:val="both"/>
        <w:rPr>
          <w:rFonts w:ascii="Sakkal Majalla" w:eastAsia="Times New Roman" w:hAnsi="Sakkal Majalla" w:cs="Sakkal Majalla"/>
          <w:sz w:val="28"/>
          <w:szCs w:val="28"/>
        </w:rPr>
      </w:pPr>
    </w:p>
    <w:p w14:paraId="4ECF3855" w14:textId="33E74564"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lastRenderedPageBreak/>
        <w:t>3-</w:t>
      </w:r>
      <w:r w:rsidR="00885F93" w:rsidRPr="00885F93">
        <w:rPr>
          <w:rFonts w:ascii="Sakkal Majalla" w:eastAsia="Times New Roman" w:hAnsi="Sakkal Majalla" w:cs="Sakkal Majalla"/>
          <w:b/>
          <w:bCs/>
          <w:sz w:val="28"/>
          <w:szCs w:val="28"/>
          <w:rtl/>
        </w:rPr>
        <w:t>إدارة المخاطر الفعالة توفر ميزة تنافسية من خلال المرونة</w:t>
      </w:r>
      <w:r w:rsidR="00885F93" w:rsidRPr="00885F93">
        <w:rPr>
          <w:rFonts w:ascii="Sakkal Majalla" w:eastAsia="Times New Roman" w:hAnsi="Sakkal Majalla" w:cs="Sakkal Majalla"/>
          <w:b/>
          <w:bCs/>
          <w:sz w:val="28"/>
          <w:szCs w:val="28"/>
        </w:rPr>
        <w:t xml:space="preserve"> (Resilience):</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في عالم يتعرض لصدمات متتالية (أوبئة، أزمات جيوسياسية، تقلبات </w:t>
      </w:r>
      <w:r w:rsidR="00237149" w:rsidRPr="00885F93">
        <w:rPr>
          <w:rFonts w:ascii="Sakkal Majalla" w:eastAsia="Times New Roman" w:hAnsi="Sakkal Majalla" w:cs="Sakkal Majalla" w:hint="cs"/>
          <w:sz w:val="28"/>
          <w:szCs w:val="28"/>
          <w:rtl/>
        </w:rPr>
        <w:t xml:space="preserve">اقتصادية) </w:t>
      </w:r>
      <w:r w:rsidR="00237149" w:rsidRPr="00885F93">
        <w:rPr>
          <w:rFonts w:ascii="Sakkal Majalla" w:eastAsia="Times New Roman" w:hAnsi="Sakkal Majalla" w:cs="Sakkal Majalla" w:hint="eastAsia"/>
          <w:sz w:val="28"/>
          <w:szCs w:val="28"/>
          <w:rtl/>
        </w:rPr>
        <w:t>،</w:t>
      </w:r>
      <w:r w:rsidR="00885F93" w:rsidRPr="00885F93">
        <w:rPr>
          <w:rFonts w:ascii="Sakkal Majalla" w:eastAsia="Times New Roman" w:hAnsi="Sakkal Majalla" w:cs="Sakkal Majalla"/>
          <w:sz w:val="28"/>
          <w:szCs w:val="28"/>
          <w:rtl/>
        </w:rPr>
        <w:t xml:space="preserve"> </w:t>
      </w:r>
      <w:r w:rsidR="00885F93" w:rsidRPr="00237149">
        <w:rPr>
          <w:rFonts w:ascii="Sakkal Majalla" w:eastAsia="Times New Roman" w:hAnsi="Sakkal Majalla" w:cs="Sakkal Majalla"/>
          <w:sz w:val="28"/>
          <w:szCs w:val="28"/>
          <w:rtl/>
        </w:rPr>
        <w:t>أصبحت المرونة التنظيمية</w:t>
      </w:r>
      <w:r w:rsidR="00885F93" w:rsidRPr="00237149">
        <w:rPr>
          <w:rFonts w:ascii="Sakkal Majalla" w:eastAsia="Times New Roman" w:hAnsi="Sakkal Majalla" w:cs="Sakkal Majalla"/>
          <w:sz w:val="28"/>
          <w:szCs w:val="28"/>
        </w:rPr>
        <w:t xml:space="preserve"> (Organizational Resilience)</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بحد ذاتها ميزة تنافسية استراتيجية. المؤسسات التي تمتلك إدارة مخاطر تشغيلية فعالة، مدعومة بإطار حوكمة قوي، هي الأكثر قدرة على الصمود والتعافي بسرعة من هذه الصدمات. بينما يتعثر المنافسون الذين أهملوا هذا الجانب، تكون المؤسسة المرنة قادرة على الاستمرار في خدمة عملائها، وربما حتى كسب حصة سوقية جديدة. وقد أظهرت دراسة حديثة لـ </w:t>
      </w:r>
      <w:r w:rsidR="00885F93" w:rsidRPr="00885F93">
        <w:rPr>
          <w:rFonts w:ascii="Sakkal Majalla" w:eastAsia="Times New Roman" w:hAnsi="Sakkal Majalla" w:cs="Sakkal Majalla"/>
          <w:b/>
          <w:bCs/>
          <w:sz w:val="28"/>
          <w:szCs w:val="28"/>
        </w:rPr>
        <w:t>(Accenture, 2021)</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أن الشركات التي دمجت إدارة المخاطر والتكنولوجيا والاستدامة في صلب استراتيجيتها كانت أكثر قدرة على تحقيق نمو مربح خلال فترات الاضطراب</w:t>
      </w:r>
      <w:r w:rsidR="00885F93" w:rsidRPr="00885F93">
        <w:rPr>
          <w:rFonts w:ascii="Sakkal Majalla" w:eastAsia="Times New Roman" w:hAnsi="Sakkal Majalla" w:cs="Sakkal Majalla"/>
          <w:sz w:val="28"/>
          <w:szCs w:val="28"/>
        </w:rPr>
        <w:t>.</w:t>
      </w:r>
    </w:p>
    <w:p w14:paraId="7EB103B2" w14:textId="69349972" w:rsidR="00885F93" w:rsidRPr="00885F93" w:rsidRDefault="00632882" w:rsidP="002D76E9">
      <w:pPr>
        <w:bidi/>
        <w:spacing w:after="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4-</w:t>
      </w:r>
      <w:r w:rsidR="00885F93" w:rsidRPr="00885F93">
        <w:rPr>
          <w:rFonts w:ascii="Sakkal Majalla" w:eastAsia="Times New Roman" w:hAnsi="Sakkal Majalla" w:cs="Sakkal Majalla"/>
          <w:b/>
          <w:bCs/>
          <w:sz w:val="28"/>
          <w:szCs w:val="28"/>
        </w:rPr>
        <w:t xml:space="preserve"> </w:t>
      </w:r>
      <w:r w:rsidR="00885F93" w:rsidRPr="00885F93">
        <w:rPr>
          <w:rFonts w:ascii="Sakkal Majalla" w:eastAsia="Times New Roman" w:hAnsi="Sakkal Majalla" w:cs="Sakkal Majalla"/>
          <w:b/>
          <w:bCs/>
          <w:sz w:val="28"/>
          <w:szCs w:val="28"/>
          <w:rtl/>
        </w:rPr>
        <w:t>الحوكمة تضمن المواءمة بين المخاطر والاستراتيجية والمكافآت</w:t>
      </w:r>
      <w:r w:rsidR="00885F93" w:rsidRPr="00885F93">
        <w:rPr>
          <w:rFonts w:ascii="Sakkal Majalla" w:eastAsia="Times New Roman" w:hAnsi="Sakkal Majalla" w:cs="Sakkal Majalla"/>
          <w:b/>
          <w:bCs/>
          <w:sz w:val="28"/>
          <w:szCs w:val="28"/>
        </w:rPr>
        <w:t>:</w:t>
      </w:r>
      <w:r w:rsidR="00885F93" w:rsidRPr="00885F93">
        <w:rPr>
          <w:rFonts w:ascii="Sakkal Majalla" w:eastAsia="Times New Roman" w:hAnsi="Sakkal Majalla" w:cs="Sakkal Majalla"/>
          <w:sz w:val="28"/>
          <w:szCs w:val="28"/>
        </w:rPr>
        <w:t xml:space="preserve"> </w:t>
      </w:r>
      <w:r w:rsidR="00885F93" w:rsidRPr="00885F93">
        <w:rPr>
          <w:rFonts w:ascii="Sakkal Majalla" w:eastAsia="Times New Roman" w:hAnsi="Sakkal Majalla" w:cs="Sakkal Majalla"/>
          <w:sz w:val="28"/>
          <w:szCs w:val="28"/>
          <w:rtl/>
        </w:rPr>
        <w:t xml:space="preserve">أخيراً، تكتمل الدائرة عندما </w:t>
      </w:r>
      <w:r w:rsidR="00885F93" w:rsidRPr="00237149">
        <w:rPr>
          <w:rFonts w:ascii="Sakkal Majalla" w:eastAsia="Times New Roman" w:hAnsi="Sakkal Majalla" w:cs="Sakkal Majalla"/>
          <w:sz w:val="28"/>
          <w:szCs w:val="28"/>
          <w:rtl/>
        </w:rPr>
        <w:t>تضمن الحوكمة أن أنظمة المكافآت لا تشجع على اتخاذ مخاطر مفرطة تتعارض مع الاستراتيجية طويلة الأمد. فمن خلال لجنة الترشيحات والمكافآت، يتم تصميم هياكل حوافز تكافئ الأداء المستدام والمبني على إدارة حكيمة للمخاطر، بدلاً م</w:t>
      </w:r>
      <w:r w:rsidR="00885F93" w:rsidRPr="00885F93">
        <w:rPr>
          <w:rFonts w:ascii="Sakkal Majalla" w:eastAsia="Times New Roman" w:hAnsi="Sakkal Majalla" w:cs="Sakkal Majalla"/>
          <w:sz w:val="28"/>
          <w:szCs w:val="28"/>
          <w:rtl/>
        </w:rPr>
        <w:t>ن مجرد تحقيق أهداف قصيرة الأجل بأي ثمن. هذه المواءمة بين الاستراتيجية والمخاطر والمكافآت هي السمة المميزة للحوكمة الناضجة التي تقود إلى تميز استراتيجي حقيقي</w:t>
      </w:r>
      <w:r w:rsidR="00885F93" w:rsidRPr="00885F93">
        <w:rPr>
          <w:rFonts w:ascii="Sakkal Majalla" w:eastAsia="Times New Roman" w:hAnsi="Sakkal Majalla" w:cs="Sakkal Majalla"/>
          <w:sz w:val="28"/>
          <w:szCs w:val="28"/>
        </w:rPr>
        <w:t>.</w:t>
      </w:r>
    </w:p>
    <w:p w14:paraId="67E7B64D" w14:textId="77777777" w:rsid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sz w:val="28"/>
          <w:szCs w:val="28"/>
          <w:rtl/>
        </w:rPr>
        <w:t>باختصار، الحوكمة لا تكتفي بإنشاء وظيفة لإدارة المخاطر، بل تضمن كفاءتها ودمجها في النسيج الاستراتيجي للمؤسسة. وهذا يحول إدارة المخاطر من مجرد "تكلفة تشغيلية" إلى "مُمكّن استراتيجي" يحمي المؤسسة من التهديدات، ويزيد من مرونتها، ويمكّنها من تحقيق أهدافها الطموحة بثقة وثبات</w:t>
      </w:r>
      <w:r w:rsidRPr="00885F93">
        <w:rPr>
          <w:rFonts w:ascii="Sakkal Majalla" w:eastAsia="Times New Roman" w:hAnsi="Sakkal Majalla" w:cs="Sakkal Majalla"/>
          <w:sz w:val="28"/>
          <w:szCs w:val="28"/>
        </w:rPr>
        <w:t>.</w:t>
      </w:r>
    </w:p>
    <w:p w14:paraId="27B2BC96" w14:textId="77777777" w:rsidR="0083781F" w:rsidRDefault="0083781F" w:rsidP="002D76E9">
      <w:pPr>
        <w:bidi/>
        <w:spacing w:after="0" w:line="276" w:lineRule="auto"/>
        <w:jc w:val="both"/>
        <w:rPr>
          <w:rFonts w:ascii="Sakkal Majalla" w:eastAsia="Times New Roman" w:hAnsi="Sakkal Majalla" w:cs="Sakkal Majalla"/>
          <w:sz w:val="28"/>
          <w:szCs w:val="28"/>
        </w:rPr>
      </w:pPr>
    </w:p>
    <w:p w14:paraId="1483C85D" w14:textId="77777777" w:rsidR="0083781F" w:rsidRPr="00885F93" w:rsidRDefault="0083781F" w:rsidP="002D76E9">
      <w:pPr>
        <w:bidi/>
        <w:spacing w:after="0" w:line="276" w:lineRule="auto"/>
        <w:jc w:val="both"/>
        <w:rPr>
          <w:rFonts w:ascii="Sakkal Majalla" w:eastAsia="Times New Roman" w:hAnsi="Sakkal Majalla" w:cs="Sakkal Majalla"/>
          <w:sz w:val="28"/>
          <w:szCs w:val="28"/>
        </w:rPr>
      </w:pPr>
    </w:p>
    <w:p w14:paraId="77550E34" w14:textId="07682118" w:rsidR="0083781F" w:rsidRPr="0083781F"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3-5 </w:t>
      </w:r>
      <w:r w:rsidR="0083781F">
        <w:rPr>
          <w:rFonts w:ascii="Sakkal Majalla" w:eastAsia="Times New Roman" w:hAnsi="Sakkal Majalla" w:cs="Sakkal Majalla" w:hint="cs"/>
          <w:b/>
          <w:bCs/>
          <w:sz w:val="28"/>
          <w:szCs w:val="28"/>
          <w:rtl/>
        </w:rPr>
        <w:t>ا</w:t>
      </w:r>
      <w:r w:rsidR="0083781F" w:rsidRPr="0083781F">
        <w:rPr>
          <w:rFonts w:ascii="Sakkal Majalla" w:eastAsia="Times New Roman" w:hAnsi="Sakkal Majalla" w:cs="Sakkal Majalla"/>
          <w:b/>
          <w:bCs/>
          <w:sz w:val="28"/>
          <w:szCs w:val="28"/>
          <w:rtl/>
        </w:rPr>
        <w:t>لعلاقة بين بناء رأس المال البشري والتميز المؤسسي في إطار الحوكمة الرشيدة</w:t>
      </w:r>
    </w:p>
    <w:p w14:paraId="150EDDF3" w14:textId="77777777" w:rsidR="0083781F" w:rsidRPr="00237149"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sz w:val="28"/>
          <w:szCs w:val="28"/>
          <w:rtl/>
        </w:rPr>
        <w:t xml:space="preserve">إن التميز المؤسسي، في جوهره، هو قدرة المؤسسة على خلق قيمة مستدامة وتأمين مستقبلها في بيئة متغيرة. هذه </w:t>
      </w:r>
      <w:r w:rsidRPr="00237149">
        <w:rPr>
          <w:rFonts w:ascii="Sakkal Majalla" w:eastAsia="Times New Roman" w:hAnsi="Sakkal Majalla" w:cs="Sakkal Majalla"/>
          <w:sz w:val="28"/>
          <w:szCs w:val="28"/>
          <w:rtl/>
        </w:rPr>
        <w:t>القدرة لا تنبع من الأصول المادية، بل من رأس المال البشري الذي يمتلك المعرفة، والولاء، والقدرة على الابتكار. وفي هذا السياق، تعمل الحوكمة الرشيدة كإطار استراتيجي يضمن تحويل رأس المال البشري من مجرد "موظفين" إلى "أصل مؤسسي" يساهم مباشرة في تحقيق التميز طويل الأمد</w:t>
      </w:r>
      <w:r w:rsidRPr="00237149">
        <w:rPr>
          <w:rFonts w:ascii="Sakkal Majalla" w:eastAsia="Times New Roman" w:hAnsi="Sakkal Majalla" w:cs="Sakkal Majalla"/>
          <w:sz w:val="28"/>
          <w:szCs w:val="28"/>
        </w:rPr>
        <w:t>.</w:t>
      </w:r>
    </w:p>
    <w:p w14:paraId="76656CE5"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1. </w:t>
      </w:r>
      <w:r w:rsidRPr="0083781F">
        <w:rPr>
          <w:rFonts w:ascii="Sakkal Majalla" w:eastAsia="Times New Roman" w:hAnsi="Sakkal Majalla" w:cs="Sakkal Majalla"/>
          <w:b/>
          <w:bCs/>
          <w:sz w:val="28"/>
          <w:szCs w:val="28"/>
          <w:rtl/>
        </w:rPr>
        <w:t>الحوكمة كضامن للاستقرار المعرفي وبناء الذاكرة المؤسسية</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الأثر الاستراتيجي الأهم للحوكمة في هذا المجال هو قدرتها على </w:t>
      </w:r>
      <w:r w:rsidRPr="009E499E">
        <w:rPr>
          <w:rFonts w:ascii="Sakkal Majalla" w:eastAsia="Times New Roman" w:hAnsi="Sakkal Majalla" w:cs="Sakkal Majalla"/>
          <w:sz w:val="28"/>
          <w:szCs w:val="28"/>
          <w:rtl/>
        </w:rPr>
        <w:t>تقليل معدلات الدوران الوظيفي، مما يؤدي إلى الحفاظ على الأصل الأكثر قيمة وهو المعرفة المؤسسية الضمنية</w:t>
      </w:r>
      <w:r w:rsidRPr="009E499E">
        <w:rPr>
          <w:rFonts w:ascii="Sakkal Majalla" w:eastAsia="Times New Roman" w:hAnsi="Sakkal Majalla" w:cs="Sakkal Majalla"/>
          <w:sz w:val="28"/>
          <w:szCs w:val="28"/>
        </w:rPr>
        <w:t xml:space="preserve"> (Tacit Knowledge). </w:t>
      </w:r>
      <w:r w:rsidRPr="009E499E">
        <w:rPr>
          <w:rFonts w:ascii="Sakkal Majalla" w:eastAsia="Times New Roman" w:hAnsi="Sakkal Majalla" w:cs="Sakkal Majalla"/>
          <w:sz w:val="28"/>
          <w:szCs w:val="28"/>
          <w:rtl/>
        </w:rPr>
        <w:t>هذه المعرفة، المتمثلة في الخبرات المتراكمة والعلاقات وفهم ثقافة الشركة، هي التي تمنح المؤسسة قدرتها على حل المشكلات</w:t>
      </w:r>
      <w:r w:rsidRPr="0083781F">
        <w:rPr>
          <w:rFonts w:ascii="Sakkal Majalla" w:eastAsia="Times New Roman" w:hAnsi="Sakkal Majalla" w:cs="Sakkal Majalla"/>
          <w:sz w:val="28"/>
          <w:szCs w:val="28"/>
          <w:rtl/>
        </w:rPr>
        <w:t xml:space="preserve"> المعقدة واتخاذ قرارات صائبة. الحوكمة، من خلال توفير بيئة عمل عادلة ومستقرة، تحمي هذه </w:t>
      </w:r>
      <w:r w:rsidRPr="0083781F">
        <w:rPr>
          <w:rFonts w:ascii="Sakkal Majalla" w:eastAsia="Times New Roman" w:hAnsi="Sakkal Majalla" w:cs="Sakkal Majalla"/>
          <w:sz w:val="28"/>
          <w:szCs w:val="28"/>
          <w:rtl/>
        </w:rPr>
        <w:lastRenderedPageBreak/>
        <w:t>"الذاكرة المؤسسية" من التآكل، مما يضمن استمرارية الأداء المتميز عبر الأجيال المختلفة من الموظفين ويمنح المؤسسة ميزة تنافسية يصعب على المنافسين نسخها</w:t>
      </w:r>
      <w:r w:rsidRPr="0083781F">
        <w:rPr>
          <w:rFonts w:ascii="Sakkal Majalla" w:eastAsia="Times New Roman" w:hAnsi="Sakkal Majalla" w:cs="Sakkal Majalla"/>
          <w:sz w:val="28"/>
          <w:szCs w:val="28"/>
        </w:rPr>
        <w:t>.</w:t>
      </w:r>
    </w:p>
    <w:p w14:paraId="2C0F812F"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2. </w:t>
      </w:r>
      <w:r w:rsidRPr="0083781F">
        <w:rPr>
          <w:rFonts w:ascii="Sakkal Majalla" w:eastAsia="Times New Roman" w:hAnsi="Sakkal Majalla" w:cs="Sakkal Majalla"/>
          <w:b/>
          <w:bCs/>
          <w:sz w:val="28"/>
          <w:szCs w:val="28"/>
          <w:rtl/>
        </w:rPr>
        <w:t>الحوكمة كمحفز لثقافة الابتكار والمرونة الاستراتيجية</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التميز المؤسسي يتطلب القدرة على التكيف والابتكار المستمر. هذه الثقافة لا يمكن أن </w:t>
      </w:r>
      <w:r w:rsidRPr="009E499E">
        <w:rPr>
          <w:rFonts w:ascii="Sakkal Majalla" w:eastAsia="Times New Roman" w:hAnsi="Sakkal Majalla" w:cs="Sakkal Majalla"/>
          <w:sz w:val="28"/>
          <w:szCs w:val="28"/>
          <w:rtl/>
        </w:rPr>
        <w:t xml:space="preserve">تزدهر في بيئة يسودها الخوف أو عدم اليقين. الحوكمة الرشيدة، عبر ترسيخها لمبادئ الشفافية والعدالة، تخلق مناخاً من </w:t>
      </w:r>
      <w:r w:rsidRPr="009E499E">
        <w:rPr>
          <w:rFonts w:ascii="Sakkal Majalla" w:eastAsia="Times New Roman" w:hAnsi="Sakkal Majalla" w:cs="Sakkal Majalla"/>
          <w:sz w:val="28"/>
          <w:szCs w:val="28"/>
        </w:rPr>
        <w:t>"</w:t>
      </w:r>
      <w:r w:rsidRPr="009E499E">
        <w:rPr>
          <w:rFonts w:ascii="Sakkal Majalla" w:eastAsia="Times New Roman" w:hAnsi="Sakkal Majalla" w:cs="Sakkal Majalla"/>
          <w:sz w:val="28"/>
          <w:szCs w:val="28"/>
          <w:rtl/>
        </w:rPr>
        <w:t>الأمان النفسي</w:t>
      </w:r>
      <w:r w:rsidRPr="009E499E">
        <w:rPr>
          <w:rFonts w:ascii="Sakkal Majalla" w:eastAsia="Times New Roman" w:hAnsi="Sakkal Majalla" w:cs="Sakkal Majalla"/>
          <w:sz w:val="28"/>
          <w:szCs w:val="28"/>
        </w:rPr>
        <w:t xml:space="preserve">" (Psychological Safety). </w:t>
      </w:r>
      <w:r w:rsidRPr="009E499E">
        <w:rPr>
          <w:rFonts w:ascii="Sakkal Majalla" w:eastAsia="Times New Roman" w:hAnsi="Sakkal Majalla" w:cs="Sakkal Majalla"/>
          <w:sz w:val="28"/>
          <w:szCs w:val="28"/>
          <w:rtl/>
        </w:rPr>
        <w:t xml:space="preserve">هذا الأمان، كما أظهرت أعمال </w:t>
      </w:r>
      <w:r w:rsidRPr="009E499E">
        <w:rPr>
          <w:rFonts w:ascii="Sakkal Majalla" w:eastAsia="Times New Roman" w:hAnsi="Sakkal Majalla" w:cs="Sakkal Majalla"/>
          <w:sz w:val="28"/>
          <w:szCs w:val="28"/>
        </w:rPr>
        <w:t>(Edmondson, 1999)</w:t>
      </w:r>
      <w:r w:rsidRPr="009E499E">
        <w:rPr>
          <w:rFonts w:ascii="Sakkal Majalla" w:eastAsia="Times New Roman" w:hAnsi="Sakkal Majalla" w:cs="Sakkal Majalla"/>
          <w:sz w:val="28"/>
          <w:szCs w:val="28"/>
          <w:rtl/>
        </w:rPr>
        <w:t xml:space="preserve">، هو الشرط الأساسي الذي يسمح للموظفين بتحدي الوضع الراهن، واقتراح أفكار جريئة، والتعلم من الفشل دون خوف من العقاب. وبذلك، يتحول رأس المال البشري من مجرد منفذين للعمليات إلى محرك للابتكار، مما يعزز </w:t>
      </w:r>
      <w:r w:rsidRPr="009E499E">
        <w:rPr>
          <w:rFonts w:ascii="Sakkal Majalla" w:eastAsia="Times New Roman" w:hAnsi="Sakkal Majalla" w:cs="Sakkal Majalla"/>
          <w:sz w:val="28"/>
          <w:szCs w:val="28"/>
        </w:rPr>
        <w:t>"</w:t>
      </w:r>
      <w:r w:rsidRPr="009E499E">
        <w:rPr>
          <w:rFonts w:ascii="Sakkal Majalla" w:eastAsia="Times New Roman" w:hAnsi="Sakkal Majalla" w:cs="Sakkal Majalla"/>
          <w:sz w:val="28"/>
          <w:szCs w:val="28"/>
          <w:rtl/>
        </w:rPr>
        <w:t>المرونة الاستراتيجية</w:t>
      </w:r>
      <w:r w:rsidRPr="009E499E">
        <w:rPr>
          <w:rFonts w:ascii="Sakkal Majalla" w:eastAsia="Times New Roman" w:hAnsi="Sakkal Majalla" w:cs="Sakkal Majalla"/>
          <w:sz w:val="28"/>
          <w:szCs w:val="28"/>
        </w:rPr>
        <w:t xml:space="preserve">" (Strategic Agility) </w:t>
      </w:r>
      <w:r w:rsidRPr="009E499E">
        <w:rPr>
          <w:rFonts w:ascii="Sakkal Majalla" w:eastAsia="Times New Roman" w:hAnsi="Sakkal Majalla" w:cs="Sakkal Majalla"/>
          <w:sz w:val="28"/>
          <w:szCs w:val="28"/>
          <w:rtl/>
        </w:rPr>
        <w:t>للمؤسسة وقدرتها</w:t>
      </w:r>
      <w:r w:rsidRPr="0083781F">
        <w:rPr>
          <w:rFonts w:ascii="Sakkal Majalla" w:eastAsia="Times New Roman" w:hAnsi="Sakkal Majalla" w:cs="Sakkal Majalla"/>
          <w:sz w:val="28"/>
          <w:szCs w:val="28"/>
          <w:rtl/>
        </w:rPr>
        <w:t xml:space="preserve"> على إعادة تشكيل نفسها استجابةً لتحولات السوق</w:t>
      </w:r>
      <w:r w:rsidRPr="0083781F">
        <w:rPr>
          <w:rFonts w:ascii="Sakkal Majalla" w:eastAsia="Times New Roman" w:hAnsi="Sakkal Majalla" w:cs="Sakkal Majalla"/>
          <w:sz w:val="28"/>
          <w:szCs w:val="28"/>
        </w:rPr>
        <w:t>.</w:t>
      </w:r>
    </w:p>
    <w:p w14:paraId="69DBA271"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3. </w:t>
      </w:r>
      <w:r w:rsidRPr="0083781F">
        <w:rPr>
          <w:rFonts w:ascii="Sakkal Majalla" w:eastAsia="Times New Roman" w:hAnsi="Sakkal Majalla" w:cs="Sakkal Majalla"/>
          <w:b/>
          <w:bCs/>
          <w:sz w:val="28"/>
          <w:szCs w:val="28"/>
          <w:rtl/>
        </w:rPr>
        <w:t>الحوكمة كأداة لبناء السمعة المؤسسية وجذب رأس المال الفكري</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على المدى الطويل، يعتمد التميز المؤسسي على سمعة الشركة ككيان </w:t>
      </w:r>
      <w:r w:rsidRPr="009E499E">
        <w:rPr>
          <w:rFonts w:ascii="Sakkal Majalla" w:eastAsia="Times New Roman" w:hAnsi="Sakkal Majalla" w:cs="Sakkal Majalla"/>
          <w:sz w:val="28"/>
          <w:szCs w:val="28"/>
          <w:rtl/>
        </w:rPr>
        <w:t>أخلاقي ومسؤول. الحوكمة القوية هي التي تبني هذه السمعة وتعززها، مما يجعل المؤسسة "جاذبة" ليس فقط للموظفين، بل لرأس المال الفكري</w:t>
      </w:r>
      <w:r w:rsidRPr="009E499E">
        <w:rPr>
          <w:rFonts w:ascii="Sakkal Majalla" w:eastAsia="Times New Roman" w:hAnsi="Sakkal Majalla" w:cs="Sakkal Majalla"/>
          <w:sz w:val="28"/>
          <w:szCs w:val="28"/>
        </w:rPr>
        <w:t xml:space="preserve"> (Intellectual Capital) </w:t>
      </w:r>
      <w:r w:rsidRPr="009E499E">
        <w:rPr>
          <w:rFonts w:ascii="Sakkal Majalla" w:eastAsia="Times New Roman" w:hAnsi="Sakkal Majalla" w:cs="Sakkal Majalla"/>
          <w:sz w:val="28"/>
          <w:szCs w:val="28"/>
          <w:rtl/>
        </w:rPr>
        <w:t xml:space="preserve">بمفهومه الأوسع، والذي يشمل الشركاء الاستراتيجيين، والمستثمرين طويلي الأمد، وأصحاب المصلحة الرئيسيين. وكما أوضحت دراسة </w:t>
      </w:r>
      <w:r w:rsidRPr="009E499E">
        <w:rPr>
          <w:rFonts w:ascii="Sakkal Majalla" w:eastAsia="Times New Roman" w:hAnsi="Sakkal Majalla" w:cs="Sakkal Majalla"/>
          <w:sz w:val="28"/>
          <w:szCs w:val="28"/>
        </w:rPr>
        <w:t>(Turban &amp; Greening, 1997)</w:t>
      </w:r>
      <w:r w:rsidRPr="009E499E">
        <w:rPr>
          <w:rFonts w:ascii="Sakkal Majalla" w:eastAsia="Times New Roman" w:hAnsi="Sakkal Majalla" w:cs="Sakkal Majalla"/>
          <w:sz w:val="28"/>
          <w:szCs w:val="28"/>
          <w:rtl/>
        </w:rPr>
        <w:t>، فإن الأداء الاجتماعي والأخلاقي للشركة هو عامل</w:t>
      </w:r>
      <w:r w:rsidRPr="0083781F">
        <w:rPr>
          <w:rFonts w:ascii="Sakkal Majalla" w:eastAsia="Times New Roman" w:hAnsi="Sakkal Majalla" w:cs="Sakkal Majalla"/>
          <w:sz w:val="28"/>
          <w:szCs w:val="28"/>
          <w:rtl/>
        </w:rPr>
        <w:t xml:space="preserve"> حاسم في جاذبيتها. هذه الجاذبية تضمن تدفقاً مستمراً للأفكار والمواهب والموارد التي تحتاجها المؤسسة للحفاظ على تميزها على المدى الطويل</w:t>
      </w:r>
      <w:r w:rsidRPr="0083781F">
        <w:rPr>
          <w:rFonts w:ascii="Sakkal Majalla" w:eastAsia="Times New Roman" w:hAnsi="Sakkal Majalla" w:cs="Sakkal Majalla"/>
          <w:sz w:val="28"/>
          <w:szCs w:val="28"/>
        </w:rPr>
        <w:t>.</w:t>
      </w:r>
    </w:p>
    <w:p w14:paraId="29F3B600"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sz w:val="28"/>
          <w:szCs w:val="28"/>
          <w:rtl/>
        </w:rPr>
        <w:t>باختصار، الحوكمة الرشيدة لا تدير الأفراد، بل تستثمر فيهم كأصل استراتيجي. هي تخلق "دورة حميدة</w:t>
      </w:r>
      <w:r w:rsidRPr="0083781F">
        <w:rPr>
          <w:rFonts w:ascii="Sakkal Majalla" w:eastAsia="Times New Roman" w:hAnsi="Sakkal Majalla" w:cs="Sakkal Majalla"/>
          <w:sz w:val="28"/>
          <w:szCs w:val="28"/>
        </w:rPr>
        <w:t xml:space="preserve">" (Virtuous Cycle) </w:t>
      </w:r>
      <w:r w:rsidRPr="0083781F">
        <w:rPr>
          <w:rFonts w:ascii="Sakkal Majalla" w:eastAsia="Times New Roman" w:hAnsi="Sakkal Majalla" w:cs="Sakkal Majalla"/>
          <w:sz w:val="28"/>
          <w:szCs w:val="28"/>
          <w:rtl/>
        </w:rPr>
        <w:t>طويلة الأمد: من خلال بناء بيئة عمل مستقرة وعادلة، تحافظ على المعرفة المؤسسية، وتحفز ثقافة الابتكار، وتعزز السمعة التي تجذب المزيد من رأس المال الفكري. هذا التكامل هو الذي يضمن انتقال المؤسسة من مجرد تحقيق نجاحات مؤقتة إلى بلوغ تميز مؤسسي حقيقي ومستدام</w:t>
      </w:r>
      <w:r w:rsidRPr="0083781F">
        <w:rPr>
          <w:rFonts w:ascii="Sakkal Majalla" w:eastAsia="Times New Roman" w:hAnsi="Sakkal Majalla" w:cs="Sakkal Majalla"/>
          <w:sz w:val="28"/>
          <w:szCs w:val="28"/>
        </w:rPr>
        <w:t>.</w:t>
      </w:r>
    </w:p>
    <w:p w14:paraId="2DFC8067" w14:textId="77777777" w:rsidR="00F90898" w:rsidRPr="0083781F" w:rsidRDefault="00F90898" w:rsidP="002D76E9">
      <w:pPr>
        <w:bidi/>
        <w:spacing w:after="0" w:line="276" w:lineRule="auto"/>
        <w:jc w:val="both"/>
        <w:rPr>
          <w:rFonts w:ascii="Sakkal Majalla" w:eastAsia="Times New Roman" w:hAnsi="Sakkal Majalla" w:cs="Sakkal Majalla"/>
          <w:sz w:val="28"/>
          <w:szCs w:val="28"/>
          <w:rtl/>
        </w:rPr>
      </w:pPr>
    </w:p>
    <w:p w14:paraId="44616147" w14:textId="47FCA818" w:rsidR="002505F5" w:rsidRPr="002505F5"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3-6</w:t>
      </w:r>
      <w:r w:rsidR="002505F5" w:rsidRPr="002505F5">
        <w:rPr>
          <w:rFonts w:ascii="Sakkal Majalla" w:eastAsia="Times New Roman" w:hAnsi="Sakkal Majalla" w:cs="Sakkal Majalla"/>
          <w:b/>
          <w:bCs/>
          <w:sz w:val="28"/>
          <w:szCs w:val="28"/>
          <w:rtl/>
        </w:rPr>
        <w:t>العلاقة بين الابتكار والتحول الرقمي والتميز المؤسسي في إطار الحوكمة الرشيدة</w:t>
      </w:r>
    </w:p>
    <w:p w14:paraId="66DDCC03"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sz w:val="28"/>
          <w:szCs w:val="28"/>
          <w:rtl/>
        </w:rPr>
        <w:t xml:space="preserve">في الاقتصاد المعرفي الحديث، لم يعد التميز المؤسسي مجرد نتاج للكفاءة التشغيلية، بل أصبح يعتمد بشكل حاسم على قدرة المؤسسة </w:t>
      </w:r>
      <w:r w:rsidRPr="00D62C39">
        <w:rPr>
          <w:rFonts w:ascii="Sakkal Majalla" w:eastAsia="Times New Roman" w:hAnsi="Sakkal Majalla" w:cs="Sakkal Majalla"/>
          <w:sz w:val="28"/>
          <w:szCs w:val="28"/>
          <w:rtl/>
        </w:rPr>
        <w:t>على الابتكار المستمر وتبني التحول الرقمي بفعالية. ومع ذلك، فإن هذه العمليات، بطبيعتها المزعزعة والمحفوفة بالمخاطر، يمكن أن تقود إلى الفوضى أو الفشل إذا لم يتم توجيهها. وهنا، تبرز الحوكمة الرشيدة ليس كقيد على الإبداع، بل كبوصلة استراتيجية ومنصة تمكين تضمن أن جهود الابتكار والتحول الرقمي تترجم إلى تميز مؤسسي حقيقي ومستدام</w:t>
      </w:r>
      <w:r w:rsidRPr="00D62C39">
        <w:rPr>
          <w:rFonts w:ascii="Sakkal Majalla" w:eastAsia="Times New Roman" w:hAnsi="Sakkal Majalla" w:cs="Sakkal Majalla"/>
          <w:sz w:val="28"/>
          <w:szCs w:val="28"/>
        </w:rPr>
        <w:t>.</w:t>
      </w:r>
    </w:p>
    <w:p w14:paraId="65E88C85" w14:textId="77777777"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1. </w:t>
      </w:r>
      <w:r w:rsidRPr="002505F5">
        <w:rPr>
          <w:rFonts w:ascii="Sakkal Majalla" w:eastAsia="Times New Roman" w:hAnsi="Sakkal Majalla" w:cs="Sakkal Majalla"/>
          <w:b/>
          <w:bCs/>
          <w:sz w:val="28"/>
          <w:szCs w:val="28"/>
          <w:rtl/>
        </w:rPr>
        <w:t>الحوكمة كآلية لتوجيه الابتكار نحو الأهداف الاستراتيجية</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الابتكار العشوائي نادراً ما يؤدي إلى ميزة تنافسية مستدامة. دور الحوكمة، من خلال </w:t>
      </w:r>
      <w:r w:rsidRPr="002505F5">
        <w:rPr>
          <w:rFonts w:ascii="Sakkal Majalla" w:eastAsia="Times New Roman" w:hAnsi="Sakkal Majalla" w:cs="Sakkal Majalla"/>
          <w:b/>
          <w:bCs/>
          <w:sz w:val="28"/>
          <w:szCs w:val="28"/>
          <w:rtl/>
        </w:rPr>
        <w:t>مجلس الإدارة</w:t>
      </w:r>
      <w:r w:rsidRPr="002505F5">
        <w:rPr>
          <w:rFonts w:ascii="Sakkal Majalla" w:eastAsia="Times New Roman" w:hAnsi="Sakkal Majalla" w:cs="Sakkal Majalla"/>
          <w:sz w:val="28"/>
          <w:szCs w:val="28"/>
          <w:rtl/>
        </w:rPr>
        <w:t xml:space="preserve">، هو التأكد من أن استراتيجية الابتكار والتحول الرقمي تتوافق مع </w:t>
      </w:r>
      <w:r w:rsidRPr="002505F5">
        <w:rPr>
          <w:rFonts w:ascii="Sakkal Majalla" w:eastAsia="Times New Roman" w:hAnsi="Sakkal Majalla" w:cs="Sakkal Majalla"/>
          <w:sz w:val="28"/>
          <w:szCs w:val="28"/>
          <w:rtl/>
        </w:rPr>
        <w:lastRenderedPageBreak/>
        <w:t>الرؤية الشاملة للمؤسسة. فهي تضمن أن الموارد لا تُهدر على "مشاريع تقنية لامعة" لا تخدم أهدافاً واضحة، بل يتم توجيهها نحو المبادرات التي تعزز القيمة للعملاء، أو تفتح أسواقاً جديدة، أو تعيد تشكيل نموذج العمل بشكل استراتيجي. هذا التوجيه الاستراتيجي هو ما يميز المؤسسات التي تستخدم التكنولوجيا لتحقيق التميز عن تلك التي تستخدمها لمجرد المواكبة</w:t>
      </w:r>
      <w:r w:rsidRPr="002505F5">
        <w:rPr>
          <w:rFonts w:ascii="Sakkal Majalla" w:eastAsia="Times New Roman" w:hAnsi="Sakkal Majalla" w:cs="Sakkal Majalla"/>
          <w:sz w:val="28"/>
          <w:szCs w:val="28"/>
        </w:rPr>
        <w:t>.</w:t>
      </w:r>
    </w:p>
    <w:p w14:paraId="6F09D0DC"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2563A6B4" w14:textId="77777777"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2. </w:t>
      </w:r>
      <w:r w:rsidRPr="002505F5">
        <w:rPr>
          <w:rFonts w:ascii="Sakkal Majalla" w:eastAsia="Times New Roman" w:hAnsi="Sakkal Majalla" w:cs="Sakkal Majalla"/>
          <w:b/>
          <w:bCs/>
          <w:sz w:val="28"/>
          <w:szCs w:val="28"/>
          <w:rtl/>
        </w:rPr>
        <w:t>الحوكمة كإطار لإدارة مخاطر التحول الرقمي</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التحول الرقمي يحمل في طياته مخاطر هائلة: مخاطر الأمن السيبراني، وخصوصية البيانات، وفشل المشاريع التقنية الكبرى، ومقاومة التغيير من قبل الموظفين. الحوكمة الفعالة، </w:t>
      </w:r>
      <w:r w:rsidRPr="00D62C39">
        <w:rPr>
          <w:rFonts w:ascii="Sakkal Majalla" w:eastAsia="Times New Roman" w:hAnsi="Sakkal Majalla" w:cs="Sakkal Majalla"/>
          <w:sz w:val="28"/>
          <w:szCs w:val="28"/>
          <w:rtl/>
        </w:rPr>
        <w:t>عبر لجنة المخاطر</w:t>
      </w:r>
      <w:r w:rsidRPr="002505F5">
        <w:rPr>
          <w:rFonts w:ascii="Sakkal Majalla" w:eastAsia="Times New Roman" w:hAnsi="Sakkal Majalla" w:cs="Sakkal Majalla"/>
          <w:sz w:val="28"/>
          <w:szCs w:val="28"/>
          <w:rtl/>
        </w:rPr>
        <w:t>، توفر إطاراً منظماً لتحديد هذه المخاطر وتقييمها ووضع خطط للتخفيف من حدتها. هذا يسمح للمؤسسة باتخاذ "مخاطر محسوبة" وجريئة، مع وجود شبكة أمان تمنع الفشل الكارثي. فبدون حوكمة للمخاطر، قد يؤدي الخوف من الفشل إلى "شلل تحليلي" يمنع المؤسسة من اتخاذ أي خطوات ابتكارية، أو قد يؤدي الاندفاع غير المدروس إلى أزمات تشغيلية ومالية تدمر القيمة بدلاً من خلقها</w:t>
      </w:r>
      <w:r w:rsidRPr="002505F5">
        <w:rPr>
          <w:rFonts w:ascii="Sakkal Majalla" w:eastAsia="Times New Roman" w:hAnsi="Sakkal Majalla" w:cs="Sakkal Majalla"/>
          <w:sz w:val="28"/>
          <w:szCs w:val="28"/>
        </w:rPr>
        <w:t>.</w:t>
      </w:r>
    </w:p>
    <w:p w14:paraId="2A5B2475"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7AFF1FCE" w14:textId="3FBBF256"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3. </w:t>
      </w:r>
      <w:r w:rsidRPr="002505F5">
        <w:rPr>
          <w:rFonts w:ascii="Sakkal Majalla" w:eastAsia="Times New Roman" w:hAnsi="Sakkal Majalla" w:cs="Sakkal Majalla"/>
          <w:b/>
          <w:bCs/>
          <w:sz w:val="28"/>
          <w:szCs w:val="28"/>
          <w:rtl/>
        </w:rPr>
        <w:t>الحوكمة كمحفز لتخصيص رأس المال للابتكار طويل الأمد</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الابتكار الجذري والتحول الرقمي الحقيقي يتطلبان استثمارات كبيرة قد لا تؤتي ثمارها على المدى القصير. في غياب الحوكمة، قد تضغط أهداف الربحية ربع السنوية على الإدارة للتضحية بهذه الاستثمارات طويلة الأجل. لكن الحوكمة الرشيدة، التي تركز على خلق القيمة المستدامة للمساهمين، توفر الغطاء والدعم لمجلس الإدارة لتبرير </w:t>
      </w:r>
      <w:r w:rsidR="009E499E" w:rsidRPr="002505F5">
        <w:rPr>
          <w:rFonts w:ascii="Sakkal Majalla" w:eastAsia="Times New Roman" w:hAnsi="Sakkal Majalla" w:cs="Sakkal Majalla" w:hint="cs"/>
          <w:sz w:val="28"/>
          <w:szCs w:val="28"/>
          <w:rtl/>
        </w:rPr>
        <w:t xml:space="preserve">وتخصيص </w:t>
      </w:r>
      <w:r w:rsidR="009E499E"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b/>
          <w:bCs/>
          <w:sz w:val="28"/>
          <w:szCs w:val="28"/>
        </w:rPr>
        <w:t>Patient Capital)</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اللازم لتمويل البحث والتطوير والمشاريع التحويلية. وكما تشير نظرية </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b/>
          <w:bCs/>
          <w:sz w:val="28"/>
          <w:szCs w:val="28"/>
          <w:rtl/>
        </w:rPr>
        <w:t>القدرات الديناميكية</w:t>
      </w:r>
      <w:r w:rsidRPr="002505F5">
        <w:rPr>
          <w:rFonts w:ascii="Sakkal Majalla" w:eastAsia="Times New Roman" w:hAnsi="Sakkal Majalla" w:cs="Sakkal Majalla"/>
          <w:b/>
          <w:bCs/>
          <w:sz w:val="28"/>
          <w:szCs w:val="28"/>
        </w:rPr>
        <w:t>" (Dynamic Capabilities)</w:t>
      </w:r>
      <w:r w:rsidRPr="002505F5">
        <w:rPr>
          <w:rFonts w:ascii="Sakkal Majalla" w:eastAsia="Times New Roman" w:hAnsi="Sakkal Majalla" w:cs="Sakkal Majalla"/>
          <w:sz w:val="28"/>
          <w:szCs w:val="28"/>
          <w:rtl/>
        </w:rPr>
        <w:t xml:space="preserve">، فإن قدرة المؤسسة على "استشعار" الفرص، و"اغتنامها" عبر الابتكار، و"إعادة تشكيل" </w:t>
      </w:r>
      <w:r w:rsidR="009E499E">
        <w:rPr>
          <w:rFonts w:ascii="Sakkal Majalla" w:eastAsia="Times New Roman" w:hAnsi="Sakkal Majalla" w:cs="Sakkal Majalla" w:hint="cs"/>
          <w:sz w:val="28"/>
          <w:szCs w:val="28"/>
          <w:rtl/>
        </w:rPr>
        <w:t>الأعمال وال</w:t>
      </w:r>
      <w:r w:rsidRPr="002505F5">
        <w:rPr>
          <w:rFonts w:ascii="Sakkal Majalla" w:eastAsia="Times New Roman" w:hAnsi="Sakkal Majalla" w:cs="Sakkal Majalla"/>
          <w:sz w:val="28"/>
          <w:szCs w:val="28"/>
          <w:rtl/>
        </w:rPr>
        <w:t xml:space="preserve">أصول، هي جوهر التميز في البيئات المتغيرة </w:t>
      </w:r>
      <w:r w:rsidRPr="002505F5">
        <w:rPr>
          <w:rFonts w:ascii="Sakkal Majalla" w:eastAsia="Times New Roman" w:hAnsi="Sakkal Majalla" w:cs="Sakkal Majalla"/>
          <w:b/>
          <w:bCs/>
          <w:sz w:val="28"/>
          <w:szCs w:val="28"/>
        </w:rPr>
        <w:t>(Teece, 2007)</w:t>
      </w:r>
      <w:r w:rsidRPr="002505F5">
        <w:rPr>
          <w:rFonts w:ascii="Sakkal Majalla" w:eastAsia="Times New Roman" w:hAnsi="Sakkal Majalla" w:cs="Sakkal Majalla"/>
          <w:sz w:val="28"/>
          <w:szCs w:val="28"/>
          <w:rtl/>
        </w:rPr>
        <w:t>، وهذه القدرات تتطلب استثماراً استراتيجياً تحميه الحوكمة</w:t>
      </w:r>
      <w:r w:rsidRPr="002505F5">
        <w:rPr>
          <w:rFonts w:ascii="Sakkal Majalla" w:eastAsia="Times New Roman" w:hAnsi="Sakkal Majalla" w:cs="Sakkal Majalla"/>
          <w:sz w:val="28"/>
          <w:szCs w:val="28"/>
        </w:rPr>
        <w:t>.</w:t>
      </w:r>
    </w:p>
    <w:p w14:paraId="5B5207FD"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28740890"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b/>
          <w:bCs/>
          <w:sz w:val="28"/>
          <w:szCs w:val="28"/>
        </w:rPr>
        <w:t xml:space="preserve">4. </w:t>
      </w:r>
      <w:r w:rsidRPr="002505F5">
        <w:rPr>
          <w:rFonts w:ascii="Sakkal Majalla" w:eastAsia="Times New Roman" w:hAnsi="Sakkal Majalla" w:cs="Sakkal Majalla"/>
          <w:b/>
          <w:bCs/>
          <w:sz w:val="28"/>
          <w:szCs w:val="28"/>
          <w:rtl/>
        </w:rPr>
        <w:t>الحوكمة كضامن لتحقيق القيمة من الابتكار</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أخيراً، تضمن الحوكمة أن الابتكار لا ينتهي عند إطلاق المنتج أو تطبيق النظام الجديد. فمن خلال آليات المراقبة والتقييم، تفرض الحوكمة قياس العائد على الاستثمار في الابتكار</w:t>
      </w:r>
      <w:r w:rsidRPr="002505F5">
        <w:rPr>
          <w:rFonts w:ascii="Sakkal Majalla" w:eastAsia="Times New Roman" w:hAnsi="Sakkal Majalla" w:cs="Sakkal Majalla"/>
          <w:sz w:val="28"/>
          <w:szCs w:val="28"/>
        </w:rPr>
        <w:t xml:space="preserve"> (Innovation ROI)</w:t>
      </w:r>
      <w:r w:rsidRPr="002505F5">
        <w:rPr>
          <w:rFonts w:ascii="Sakkal Majalla" w:eastAsia="Times New Roman" w:hAnsi="Sakkal Majalla" w:cs="Sakkal Majalla"/>
          <w:sz w:val="28"/>
          <w:szCs w:val="28"/>
          <w:rtl/>
        </w:rPr>
        <w:t>، وتقييم أثره الفعلي على الأداء المؤسسي. هذا يخلق حلقة تعلم مستمرة، حيث يتم تحليل النجاحات والإخفاقات لاستخلاص الدروس التي توجه جهود الابتكار المستقبلية بشكل أكثر ذكاءً وفعالية</w:t>
      </w:r>
      <w:r w:rsidRPr="002505F5">
        <w:rPr>
          <w:rFonts w:ascii="Sakkal Majalla" w:eastAsia="Times New Roman" w:hAnsi="Sakkal Majalla" w:cs="Sakkal Majalla"/>
          <w:sz w:val="28"/>
          <w:szCs w:val="28"/>
        </w:rPr>
        <w:t>.</w:t>
      </w:r>
    </w:p>
    <w:p w14:paraId="0679575B" w14:textId="09F03F31"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sz w:val="28"/>
          <w:szCs w:val="28"/>
          <w:rtl/>
        </w:rPr>
        <w:t>باختصار، الحوكمة الرشيدة تخلق علاقة تكاملية: هي توجه الابتكار ليكون ذا جدوى استراتيجية، وتدير مخاطره ليكون آمناً، وتوفر له الموارد ليكون ممكناً، وتقيس نتائجه ليكون ذا قيمة. هذا التكامل هو الذي يحول الابتكار والتحول الرقمي من مجرد مشاريع تقنية متفرقة إلى محرك منظم ومستدام للتميز المؤسسي الشامل</w:t>
      </w:r>
      <w:r w:rsidRPr="002505F5">
        <w:rPr>
          <w:rFonts w:ascii="Sakkal Majalla" w:eastAsia="Times New Roman" w:hAnsi="Sakkal Majalla" w:cs="Sakkal Majalla"/>
          <w:sz w:val="28"/>
          <w:szCs w:val="28"/>
        </w:rPr>
        <w:t>.</w:t>
      </w:r>
    </w:p>
    <w:p w14:paraId="4F43903D" w14:textId="6C6E68AE" w:rsidR="009E2883" w:rsidRDefault="00B7530E" w:rsidP="002D76E9">
      <w:pPr>
        <w:bidi/>
        <w:spacing w:after="0" w:line="276" w:lineRule="auto"/>
        <w:jc w:val="both"/>
        <w:rPr>
          <w:rFonts w:ascii="Sakkal Majalla" w:eastAsia="Times New Roman" w:hAnsi="Sakkal Majalla" w:cs="Sakkal Majalla"/>
          <w:sz w:val="28"/>
          <w:szCs w:val="28"/>
          <w:rtl/>
        </w:rPr>
      </w:pPr>
      <w:r>
        <w:rPr>
          <w:rFonts w:ascii="Sakkal Majalla" w:eastAsia="Times New Roman" w:hAnsi="Sakkal Majalla" w:cs="Sakkal Majalla"/>
          <w:noProof/>
          <w:sz w:val="28"/>
          <w:szCs w:val="28"/>
          <w:rtl/>
          <w:lang w:val="ar-SA"/>
        </w:rPr>
        <w:lastRenderedPageBreak/>
        <w:drawing>
          <wp:anchor distT="0" distB="0" distL="114300" distR="114300" simplePos="0" relativeHeight="251660800" behindDoc="0" locked="0" layoutInCell="1" allowOverlap="1" wp14:anchorId="6A3D8F4E" wp14:editId="33101630">
            <wp:simplePos x="0" y="0"/>
            <wp:positionH relativeFrom="column">
              <wp:posOffset>64881</wp:posOffset>
            </wp:positionH>
            <wp:positionV relativeFrom="paragraph">
              <wp:posOffset>-629236</wp:posOffset>
            </wp:positionV>
            <wp:extent cx="5162550" cy="2546985"/>
            <wp:effectExtent l="0" t="0" r="0" b="5715"/>
            <wp:wrapNone/>
            <wp:docPr id="1845031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31119" name="Picture 1"/>
                    <pic:cNvPicPr>
                      <a:picLocks noChangeAspect="1"/>
                    </pic:cNvPicPr>
                  </pic:nvPicPr>
                  <pic:blipFill rotWithShape="1">
                    <a:blip r:embed="rId9">
                      <a:extLst>
                        <a:ext uri="{28A0092B-C50C-407E-A947-70E740481C1C}">
                          <a14:useLocalDpi xmlns:a14="http://schemas.microsoft.com/office/drawing/2010/main" val="0"/>
                        </a:ext>
                      </a:extLst>
                    </a:blip>
                    <a:srcRect t="22372" b="26684"/>
                    <a:stretch>
                      <a:fillRect/>
                    </a:stretch>
                  </pic:blipFill>
                  <pic:spPr bwMode="auto">
                    <a:xfrm>
                      <a:off x="0" y="0"/>
                      <a:ext cx="5162550" cy="2546985"/>
                    </a:xfrm>
                    <a:prstGeom prst="rect">
                      <a:avLst/>
                    </a:prstGeom>
                    <a:noFill/>
                    <a:ln>
                      <a:noFill/>
                    </a:ln>
                    <a:extLst>
                      <a:ext uri="{53640926-AAD7-44D8-BBD7-CCE9431645EC}">
                        <a14:shadowObscured xmlns:a14="http://schemas.microsoft.com/office/drawing/2010/main"/>
                      </a:ext>
                    </a:extLst>
                  </pic:spPr>
                </pic:pic>
              </a:graphicData>
            </a:graphic>
          </wp:anchor>
        </w:drawing>
      </w:r>
    </w:p>
    <w:p w14:paraId="41E3B5A4" w14:textId="4C5067F0" w:rsidR="009E2883" w:rsidRDefault="009E2883" w:rsidP="002D76E9">
      <w:pPr>
        <w:bidi/>
        <w:spacing w:after="0" w:line="276" w:lineRule="auto"/>
        <w:jc w:val="both"/>
        <w:rPr>
          <w:rFonts w:ascii="Sakkal Majalla" w:eastAsia="Times New Roman" w:hAnsi="Sakkal Majalla" w:cs="Sakkal Majalla"/>
          <w:sz w:val="28"/>
          <w:szCs w:val="28"/>
          <w:rtl/>
        </w:rPr>
      </w:pPr>
    </w:p>
    <w:p w14:paraId="66F7AB71" w14:textId="40A187E9" w:rsidR="009E2883" w:rsidRDefault="009E2883" w:rsidP="002D76E9">
      <w:pPr>
        <w:bidi/>
        <w:spacing w:after="0" w:line="276" w:lineRule="auto"/>
        <w:jc w:val="both"/>
        <w:rPr>
          <w:rFonts w:ascii="Sakkal Majalla" w:eastAsia="Times New Roman" w:hAnsi="Sakkal Majalla" w:cs="Sakkal Majalla"/>
          <w:sz w:val="28"/>
          <w:szCs w:val="28"/>
          <w:rtl/>
        </w:rPr>
      </w:pPr>
    </w:p>
    <w:p w14:paraId="294D9184" w14:textId="5BB93D38" w:rsidR="009E2883" w:rsidRDefault="009E2883" w:rsidP="002D76E9">
      <w:pPr>
        <w:bidi/>
        <w:spacing w:after="0" w:line="276" w:lineRule="auto"/>
        <w:jc w:val="both"/>
        <w:rPr>
          <w:rFonts w:ascii="Sakkal Majalla" w:eastAsia="Times New Roman" w:hAnsi="Sakkal Majalla" w:cs="Sakkal Majalla"/>
          <w:sz w:val="28"/>
          <w:szCs w:val="28"/>
          <w:rtl/>
        </w:rPr>
      </w:pPr>
    </w:p>
    <w:p w14:paraId="10977A5D" w14:textId="43D73F99" w:rsidR="009B75E0" w:rsidRDefault="009B75E0" w:rsidP="002D76E9">
      <w:pPr>
        <w:bidi/>
        <w:spacing w:after="0" w:line="276" w:lineRule="auto"/>
        <w:jc w:val="both"/>
        <w:rPr>
          <w:rFonts w:ascii="Sakkal Majalla" w:eastAsia="Times New Roman" w:hAnsi="Sakkal Majalla" w:cs="Sakkal Majalla"/>
          <w:sz w:val="28"/>
          <w:szCs w:val="28"/>
          <w:rtl/>
        </w:rPr>
      </w:pPr>
    </w:p>
    <w:p w14:paraId="4D525658" w14:textId="77777777" w:rsidR="009B75E0" w:rsidRDefault="009B75E0" w:rsidP="002D76E9">
      <w:pPr>
        <w:bidi/>
        <w:spacing w:after="0" w:line="276" w:lineRule="auto"/>
        <w:jc w:val="both"/>
        <w:rPr>
          <w:rFonts w:ascii="Sakkal Majalla" w:eastAsia="Times New Roman" w:hAnsi="Sakkal Majalla" w:cs="Sakkal Majalla"/>
          <w:sz w:val="28"/>
          <w:szCs w:val="28"/>
          <w:rtl/>
        </w:rPr>
      </w:pPr>
    </w:p>
    <w:p w14:paraId="795A0A88" w14:textId="514ACD19" w:rsidR="009B75E0" w:rsidRDefault="009B75E0" w:rsidP="002D76E9">
      <w:pPr>
        <w:bidi/>
        <w:spacing w:after="0" w:line="276" w:lineRule="auto"/>
        <w:jc w:val="both"/>
        <w:rPr>
          <w:rFonts w:ascii="Sakkal Majalla" w:eastAsia="Times New Roman" w:hAnsi="Sakkal Majalla" w:cs="Sakkal Majalla"/>
          <w:sz w:val="28"/>
          <w:szCs w:val="28"/>
          <w:rtl/>
        </w:rPr>
      </w:pPr>
    </w:p>
    <w:p w14:paraId="008DC846"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7E7B60B1" w14:textId="77777777" w:rsidR="0091652D" w:rsidRDefault="0091652D" w:rsidP="0091652D">
      <w:pPr>
        <w:bidi/>
        <w:spacing w:after="0" w:line="276" w:lineRule="auto"/>
        <w:jc w:val="both"/>
        <w:rPr>
          <w:rFonts w:ascii="Sakkal Majalla" w:eastAsia="Times New Roman" w:hAnsi="Sakkal Majalla" w:cs="Sakkal Majalla"/>
          <w:b/>
          <w:bCs/>
          <w:sz w:val="28"/>
          <w:szCs w:val="28"/>
          <w:rtl/>
        </w:rPr>
      </w:pPr>
    </w:p>
    <w:p w14:paraId="0492694A" w14:textId="663EA1E1" w:rsidR="009E2883" w:rsidRPr="009E2883"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3-7 </w:t>
      </w:r>
      <w:r w:rsidR="009E2883" w:rsidRPr="009E2883">
        <w:rPr>
          <w:rFonts w:ascii="Sakkal Majalla" w:eastAsia="Times New Roman" w:hAnsi="Sakkal Majalla" w:cs="Sakkal Majalla"/>
          <w:b/>
          <w:bCs/>
          <w:sz w:val="28"/>
          <w:szCs w:val="28"/>
          <w:rtl/>
        </w:rPr>
        <w:t>جدول العلاقة السببية المتكاملة للحوكمة والتميز</w:t>
      </w:r>
    </w:p>
    <w:p w14:paraId="7FDDE012" w14:textId="77777777" w:rsidR="009E2883" w:rsidRPr="009E2883" w:rsidRDefault="009E2883" w:rsidP="002D76E9">
      <w:p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المظلة الشاملة: الحوكمة الرشيدة</w:t>
      </w:r>
      <w:r w:rsidRPr="009E2883">
        <w:rPr>
          <w:rFonts w:ascii="Sakkal Majalla" w:eastAsia="Times New Roman" w:hAnsi="Sakkal Majalla" w:cs="Sakkal Majalla"/>
          <w:b/>
          <w:bCs/>
          <w:sz w:val="28"/>
          <w:szCs w:val="28"/>
        </w:rPr>
        <w:t xml:space="preserve"> (The Overarching Umbrella: Good Governance)</w:t>
      </w:r>
    </w:p>
    <w:p w14:paraId="7DEA0879" w14:textId="77777777" w:rsidR="009E2883" w:rsidRPr="009E499E" w:rsidRDefault="009E2883" w:rsidP="002D76E9">
      <w:pPr>
        <w:numPr>
          <w:ilvl w:val="0"/>
          <w:numId w:val="102"/>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الدور الأساسي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w:t>
      </w:r>
      <w:r w:rsidRPr="009E2883">
        <w:rPr>
          <w:rFonts w:ascii="Sakkal Majalla" w:eastAsia="Times New Roman" w:hAnsi="Sakkal Majalla" w:cs="Sakkal Majalla"/>
          <w:sz w:val="28"/>
          <w:szCs w:val="28"/>
          <w:rtl/>
        </w:rPr>
        <w:t xml:space="preserve">توفير إطار </w:t>
      </w:r>
      <w:r w:rsidRPr="009E499E">
        <w:rPr>
          <w:rFonts w:ascii="Sakkal Majalla" w:eastAsia="Times New Roman" w:hAnsi="Sakkal Majalla" w:cs="Sakkal Majalla"/>
          <w:sz w:val="28"/>
          <w:szCs w:val="28"/>
          <w:rtl/>
        </w:rPr>
        <w:t>من الرقابة، والمساءلة، والشفافية، والعدالة، الذي يضبط إيقاع المؤسسة ويوجه قراراتها</w:t>
      </w:r>
      <w:r w:rsidRPr="009E499E">
        <w:rPr>
          <w:rFonts w:ascii="Sakkal Majalla" w:eastAsia="Times New Roman" w:hAnsi="Sakkal Majalla" w:cs="Sakkal Majalla"/>
          <w:sz w:val="28"/>
          <w:szCs w:val="28"/>
        </w:rPr>
        <w:t>.</w:t>
      </w:r>
    </w:p>
    <w:tbl>
      <w:tblPr>
        <w:tblW w:w="9782" w:type="dxa"/>
        <w:tblInd w:w="-429"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269"/>
        <w:gridCol w:w="4253"/>
        <w:gridCol w:w="1559"/>
        <w:gridCol w:w="1701"/>
      </w:tblGrid>
      <w:tr w:rsidR="008464D9" w:rsidRPr="009E499E" w14:paraId="21CB07AA" w14:textId="77777777" w:rsidTr="0091652D">
        <w:trPr>
          <w:trHeight w:val="189"/>
          <w:tblHeader/>
        </w:trPr>
        <w:tc>
          <w:tcPr>
            <w:tcW w:w="2269" w:type="dxa"/>
            <w:tcBorders>
              <w:top w:val="single" w:sz="2" w:space="0" w:color="auto"/>
              <w:left w:val="single" w:sz="2" w:space="0" w:color="auto"/>
              <w:bottom w:val="single" w:sz="6" w:space="0" w:color="auto"/>
              <w:right w:val="single" w:sz="2" w:space="0" w:color="auto"/>
            </w:tcBorders>
          </w:tcPr>
          <w:p w14:paraId="21909BD8" w14:textId="3E396A2E" w:rsidR="008464D9" w:rsidRPr="00632882" w:rsidRDefault="008464D9" w:rsidP="00632882">
            <w:pPr>
              <w:bidi/>
              <w:spacing w:after="0" w:line="276" w:lineRule="auto"/>
              <w:jc w:val="center"/>
              <w:rPr>
                <w:rFonts w:ascii="Sakkal Majalla" w:eastAsia="Times New Roman" w:hAnsi="Sakkal Majalla" w:cs="Sakkal Majalla"/>
                <w:b/>
                <w:bCs/>
                <w:sz w:val="28"/>
                <w:szCs w:val="28"/>
                <w:rtl/>
              </w:rPr>
            </w:pPr>
            <w:r w:rsidRPr="00632882">
              <w:rPr>
                <w:rFonts w:ascii="Sakkal Majalla" w:eastAsia="Times New Roman" w:hAnsi="Sakkal Majalla" w:cs="Sakkal Majalla"/>
                <w:b/>
                <w:bCs/>
                <w:sz w:val="28"/>
                <w:szCs w:val="28"/>
                <w:rtl/>
              </w:rPr>
              <w:t>الأثر المباشر</w:t>
            </w:r>
          </w:p>
        </w:tc>
        <w:tc>
          <w:tcPr>
            <w:tcW w:w="4253" w:type="dxa"/>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1DB6D130" w14:textId="3BAB3516" w:rsidR="008464D9" w:rsidRPr="00632882" w:rsidRDefault="008464D9" w:rsidP="00632882">
            <w:pPr>
              <w:bidi/>
              <w:spacing w:after="0" w:line="276" w:lineRule="auto"/>
              <w:jc w:val="center"/>
              <w:rPr>
                <w:rFonts w:ascii="Sakkal Majalla" w:eastAsia="Times New Roman" w:hAnsi="Sakkal Majalla" w:cs="Sakkal Majalla"/>
                <w:b/>
                <w:bCs/>
                <w:sz w:val="28"/>
                <w:szCs w:val="28"/>
              </w:rPr>
            </w:pPr>
            <w:r w:rsidRPr="00632882">
              <w:rPr>
                <w:rFonts w:ascii="Sakkal Majalla" w:eastAsia="Times New Roman" w:hAnsi="Sakkal Majalla" w:cs="Sakkal Majalla"/>
                <w:b/>
                <w:bCs/>
                <w:sz w:val="28"/>
                <w:szCs w:val="28"/>
                <w:rtl/>
              </w:rPr>
              <w:t>الآليات الرئيسية</w:t>
            </w:r>
          </w:p>
        </w:tc>
        <w:tc>
          <w:tcPr>
            <w:tcW w:w="1559" w:type="dxa"/>
            <w:tcBorders>
              <w:top w:val="single" w:sz="2" w:space="0" w:color="auto"/>
              <w:left w:val="single" w:sz="2" w:space="0" w:color="auto"/>
              <w:bottom w:val="single" w:sz="6" w:space="0" w:color="auto"/>
              <w:right w:val="single" w:sz="2" w:space="0" w:color="auto"/>
            </w:tcBorders>
          </w:tcPr>
          <w:p w14:paraId="1FA071D1" w14:textId="322066AF" w:rsidR="008464D9" w:rsidRPr="00632882" w:rsidRDefault="008464D9" w:rsidP="00632882">
            <w:pPr>
              <w:bidi/>
              <w:spacing w:after="0" w:line="276" w:lineRule="auto"/>
              <w:jc w:val="center"/>
              <w:rPr>
                <w:rFonts w:ascii="Sakkal Majalla" w:eastAsia="Times New Roman" w:hAnsi="Sakkal Majalla" w:cs="Sakkal Majalla"/>
                <w:b/>
                <w:bCs/>
                <w:sz w:val="28"/>
                <w:szCs w:val="28"/>
                <w:rtl/>
              </w:rPr>
            </w:pPr>
            <w:r w:rsidRPr="00632882">
              <w:rPr>
                <w:rFonts w:ascii="Sakkal Majalla" w:eastAsia="Times New Roman" w:hAnsi="Sakkal Majalla" w:cs="Sakkal Majalla"/>
                <w:b/>
                <w:bCs/>
                <w:sz w:val="28"/>
                <w:szCs w:val="28"/>
                <w:rtl/>
              </w:rPr>
              <w:t>المفهوم</w:t>
            </w:r>
          </w:p>
        </w:tc>
        <w:tc>
          <w:tcPr>
            <w:tcW w:w="1701" w:type="dxa"/>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0983D690" w14:textId="20100B50" w:rsidR="008464D9" w:rsidRPr="00632882" w:rsidRDefault="008464D9" w:rsidP="00632882">
            <w:pPr>
              <w:bidi/>
              <w:spacing w:after="0" w:line="276" w:lineRule="auto"/>
              <w:jc w:val="center"/>
              <w:rPr>
                <w:rFonts w:ascii="Sakkal Majalla" w:eastAsia="Times New Roman" w:hAnsi="Sakkal Majalla" w:cs="Sakkal Majalla"/>
                <w:b/>
                <w:bCs/>
                <w:sz w:val="28"/>
                <w:szCs w:val="28"/>
              </w:rPr>
            </w:pPr>
            <w:r w:rsidRPr="00632882">
              <w:rPr>
                <w:rFonts w:ascii="Sakkal Majalla" w:eastAsia="Times New Roman" w:hAnsi="Sakkal Majalla" w:cs="Sakkal Majalla"/>
                <w:b/>
                <w:bCs/>
                <w:sz w:val="28"/>
                <w:szCs w:val="28"/>
                <w:rtl/>
              </w:rPr>
              <w:t>المرحلة</w:t>
            </w:r>
          </w:p>
        </w:tc>
      </w:tr>
      <w:tr w:rsidR="008464D9" w:rsidRPr="009E499E" w14:paraId="09D931AD" w14:textId="77777777" w:rsidTr="008464D9">
        <w:tc>
          <w:tcPr>
            <w:tcW w:w="2269" w:type="dxa"/>
            <w:tcBorders>
              <w:top w:val="single" w:sz="6" w:space="0" w:color="auto"/>
              <w:left w:val="single" w:sz="2" w:space="0" w:color="auto"/>
              <w:bottom w:val="single" w:sz="2" w:space="0" w:color="auto"/>
              <w:right w:val="single" w:sz="2" w:space="0" w:color="auto"/>
            </w:tcBorders>
            <w:vAlign w:val="center"/>
          </w:tcPr>
          <w:p w14:paraId="6E1769AF" w14:textId="31BF0C4A"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مؤسسة منضبطة ومستقرة</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عمليات موثوقة يمكن التنبؤ بها</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تكاليف تشغيلية منخفضة</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استقرار في الكفاءات والخبرات</w:t>
            </w:r>
            <w:r w:rsidRPr="008464D9">
              <w:rPr>
                <w:rFonts w:ascii="Sakkal Majalla" w:eastAsia="Times New Roman" w:hAnsi="Sakkal Majalla" w:cs="Sakkal Majalla"/>
                <w:sz w:val="28"/>
                <w:szCs w:val="28"/>
              </w:rPr>
              <w:t>.</w:t>
            </w:r>
          </w:p>
        </w:tc>
        <w:tc>
          <w:tcPr>
            <w:tcW w:w="4253" w:type="dxa"/>
            <w:tcBorders>
              <w:top w:val="single" w:sz="6" w:space="0" w:color="auto"/>
              <w:left w:val="single" w:sz="2" w:space="0" w:color="auto"/>
              <w:bottom w:val="single" w:sz="2" w:space="0" w:color="auto"/>
              <w:right w:val="single" w:sz="2" w:space="0" w:color="auto"/>
            </w:tcBorders>
            <w:vAlign w:val="center"/>
            <w:hideMark/>
          </w:tcPr>
          <w:p w14:paraId="2B9BFD9E" w14:textId="77777777"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كفاءة العمليات</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تقليل الهدر والتكاليف عبر الرقابة (المراجعة الداخلية، مصفوفة الصلاحيات)</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إدارة المخاطر التشغيلية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ضمان استمرارية الأعمال وحماية الأصول (لجنة المخاطر، خطط الطوارئ)</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بناء رأس المال البشري</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تقليل الدوران الوظيفي عبر العدالة والشفافية (لجنة المكافآت)</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vAlign w:val="center"/>
          </w:tcPr>
          <w:p w14:paraId="19EA6ED8" w14:textId="2C8E7798"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التشغيلي في ظل الحوكمة</w:t>
            </w:r>
          </w:p>
        </w:tc>
        <w:tc>
          <w:tcPr>
            <w:tcW w:w="1701" w:type="dxa"/>
            <w:tcBorders>
              <w:top w:val="single" w:sz="6" w:space="0" w:color="auto"/>
              <w:left w:val="single" w:sz="2" w:space="0" w:color="auto"/>
              <w:bottom w:val="single" w:sz="2" w:space="0" w:color="auto"/>
              <w:right w:val="single" w:sz="2" w:space="0" w:color="auto"/>
            </w:tcBorders>
            <w:vAlign w:val="center"/>
            <w:hideMark/>
          </w:tcPr>
          <w:p w14:paraId="1A5D56D7" w14:textId="693B103A"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tl/>
              </w:rPr>
              <w:t>المرحلة الأولى: الأساس</w:t>
            </w:r>
          </w:p>
        </w:tc>
      </w:tr>
      <w:tr w:rsidR="008464D9" w:rsidRPr="009E499E" w14:paraId="07A183BC" w14:textId="77777777" w:rsidTr="008464D9">
        <w:tc>
          <w:tcPr>
            <w:tcW w:w="2269" w:type="dxa"/>
            <w:tcBorders>
              <w:top w:val="single" w:sz="6" w:space="0" w:color="auto"/>
              <w:left w:val="single" w:sz="2" w:space="0" w:color="auto"/>
              <w:bottom w:val="single" w:sz="2" w:space="0" w:color="auto"/>
              <w:right w:val="single" w:sz="2" w:space="0" w:color="auto"/>
            </w:tcBorders>
          </w:tcPr>
          <w:p w14:paraId="5B62030E" w14:textId="10B6D233"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مؤسسة قادرة على المنافسة والنمو: - قدرة على تمويل المشاريع الاستراتيجية. - سمعة مؤسسية قوية. - ثقافة الابتكار والأمان النفسي</w:t>
            </w:r>
          </w:p>
        </w:tc>
        <w:tc>
          <w:tcPr>
            <w:tcW w:w="4253" w:type="dxa"/>
            <w:tcBorders>
              <w:top w:val="single" w:sz="6" w:space="0" w:color="auto"/>
              <w:left w:val="single" w:sz="2" w:space="0" w:color="auto"/>
              <w:bottom w:val="single" w:sz="2" w:space="0" w:color="auto"/>
              <w:right w:val="single" w:sz="2" w:space="0" w:color="auto"/>
            </w:tcBorders>
            <w:vAlign w:val="center"/>
            <w:hideMark/>
          </w:tcPr>
          <w:p w14:paraId="55E8497C" w14:textId="77777777"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الاستثمار الاستراتيجي</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تحرير الموارد (الناتجة عن الكفاءة) وتوجيهها نحو النمو والابتكار</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المرونة الاستراتيجية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القدرة على التكيف مع التغيرات بفضل إدارة المخاطر الاستباقية</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بناء السمعة والثقة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جذب أفضل المواهب والمستثمرين بفضل الشفافية والالتزام الأخلاقي</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tcPr>
          <w:p w14:paraId="29F4F9BC" w14:textId="3BD83A35"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المؤسسي في ظل الحوكمة</w:t>
            </w:r>
          </w:p>
        </w:tc>
        <w:tc>
          <w:tcPr>
            <w:tcW w:w="1701" w:type="dxa"/>
            <w:tcBorders>
              <w:top w:val="single" w:sz="6" w:space="0" w:color="auto"/>
              <w:left w:val="single" w:sz="2" w:space="0" w:color="auto"/>
              <w:bottom w:val="single" w:sz="2" w:space="0" w:color="auto"/>
              <w:right w:val="single" w:sz="2" w:space="0" w:color="auto"/>
            </w:tcBorders>
            <w:vAlign w:val="center"/>
            <w:hideMark/>
          </w:tcPr>
          <w:p w14:paraId="5AA57A0A" w14:textId="77777777" w:rsid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المرحلة الثانية: البناء</w:t>
            </w:r>
          </w:p>
          <w:p w14:paraId="7175457E"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524E73E1"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3BD69A27"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09DC023C"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4B57F010" w14:textId="51AB0BEA" w:rsidR="0091652D" w:rsidRPr="008464D9" w:rsidRDefault="0091652D" w:rsidP="0091652D">
            <w:pPr>
              <w:bidi/>
              <w:spacing w:after="0" w:line="276" w:lineRule="auto"/>
              <w:jc w:val="both"/>
              <w:rPr>
                <w:rFonts w:ascii="Sakkal Majalla" w:eastAsia="Times New Roman" w:hAnsi="Sakkal Majalla" w:cs="Sakkal Majalla"/>
                <w:sz w:val="28"/>
                <w:szCs w:val="28"/>
              </w:rPr>
            </w:pPr>
          </w:p>
        </w:tc>
      </w:tr>
      <w:tr w:rsidR="008464D9" w:rsidRPr="009E2883" w14:paraId="115F018A" w14:textId="77777777" w:rsidTr="008464D9">
        <w:tc>
          <w:tcPr>
            <w:tcW w:w="2269" w:type="dxa"/>
            <w:tcBorders>
              <w:top w:val="single" w:sz="6" w:space="0" w:color="auto"/>
              <w:left w:val="single" w:sz="2" w:space="0" w:color="auto"/>
              <w:bottom w:val="single" w:sz="2" w:space="0" w:color="auto"/>
              <w:right w:val="single" w:sz="2" w:space="0" w:color="auto"/>
            </w:tcBorders>
          </w:tcPr>
          <w:p w14:paraId="02D4E255" w14:textId="57F94B26" w:rsidR="008464D9" w:rsidRP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lastRenderedPageBreak/>
              <w:t>مؤسسة رائدة ومستدامة: - تحقيق نمو مربح ومستدام. - القدرة على قيادة السوق وتشكيل مستقبله. - تحقيق التميز الشامل الذي يرضي جميع الأطراف.</w:t>
            </w:r>
          </w:p>
        </w:tc>
        <w:tc>
          <w:tcPr>
            <w:tcW w:w="4253" w:type="dxa"/>
            <w:tcBorders>
              <w:top w:val="single" w:sz="6" w:space="0" w:color="auto"/>
              <w:left w:val="single" w:sz="2" w:space="0" w:color="auto"/>
              <w:bottom w:val="single" w:sz="2" w:space="0" w:color="auto"/>
              <w:right w:val="single" w:sz="2" w:space="0" w:color="auto"/>
            </w:tcBorders>
            <w:vAlign w:val="center"/>
            <w:hideMark/>
          </w:tcPr>
          <w:p w14:paraId="6A17D833" w14:textId="77777777" w:rsidR="008464D9" w:rsidRPr="008464D9" w:rsidRDefault="008464D9" w:rsidP="002D76E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خلق قيمة طويلة الأمد</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مواءمة الأهداف التشغيلية، الاستراتيجية، ومصالح أصحاب المصلحة</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الريادة في السوق</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استخدام الابتكار والتحول الرقمي لخلق ميزة تنافسية يصعب تقليدها</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الاستدامة الشاملة</w:t>
            </w:r>
            <w:r w:rsidRPr="008464D9">
              <w:rPr>
                <w:rFonts w:ascii="Sakkal Majalla" w:eastAsia="Times New Roman" w:hAnsi="Sakkal Majalla" w:cs="Sakkal Majalla"/>
                <w:sz w:val="28"/>
                <w:szCs w:val="28"/>
              </w:rPr>
              <w:t xml:space="preserve"> (ESG): </w:t>
            </w:r>
            <w:r w:rsidRPr="008464D9">
              <w:rPr>
                <w:rFonts w:ascii="Sakkal Majalla" w:eastAsia="Times New Roman" w:hAnsi="Sakkal Majalla" w:cs="Sakkal Majalla"/>
                <w:sz w:val="28"/>
                <w:szCs w:val="28"/>
                <w:rtl/>
              </w:rPr>
              <w:t>تحقيق أداء مالي واجتماعي وبيئي متفوق</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tcPr>
          <w:p w14:paraId="1FFC0E13" w14:textId="19F2D15A" w:rsidR="008464D9" w:rsidRP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المؤسسي المستدام</w:t>
            </w:r>
          </w:p>
        </w:tc>
        <w:tc>
          <w:tcPr>
            <w:tcW w:w="1701" w:type="dxa"/>
            <w:tcBorders>
              <w:top w:val="single" w:sz="6" w:space="0" w:color="auto"/>
              <w:left w:val="single" w:sz="2" w:space="0" w:color="auto"/>
              <w:bottom w:val="single" w:sz="2" w:space="0" w:color="auto"/>
              <w:right w:val="single" w:sz="2" w:space="0" w:color="auto"/>
            </w:tcBorders>
            <w:vAlign w:val="center"/>
            <w:hideMark/>
          </w:tcPr>
          <w:p w14:paraId="56AF28FC" w14:textId="77777777" w:rsid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المرحلة الثالثة: القمة</w:t>
            </w:r>
          </w:p>
          <w:p w14:paraId="38C3EE29"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0EF5AEF6"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4B0C7114"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3606994D"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2FCE1DEE" w14:textId="361D6016" w:rsidR="0091652D" w:rsidRPr="008464D9" w:rsidRDefault="0091652D" w:rsidP="0091652D">
            <w:pPr>
              <w:bidi/>
              <w:spacing w:after="0" w:line="276" w:lineRule="auto"/>
              <w:jc w:val="both"/>
              <w:rPr>
                <w:rFonts w:ascii="Sakkal Majalla" w:eastAsia="Times New Roman" w:hAnsi="Sakkal Majalla" w:cs="Sakkal Majalla"/>
                <w:sz w:val="28"/>
                <w:szCs w:val="28"/>
              </w:rPr>
            </w:pPr>
          </w:p>
        </w:tc>
      </w:tr>
    </w:tbl>
    <w:p w14:paraId="295F3142" w14:textId="77777777" w:rsidR="0091652D" w:rsidRDefault="0091652D" w:rsidP="002D76E9">
      <w:pPr>
        <w:bidi/>
        <w:spacing w:after="0" w:line="276" w:lineRule="auto"/>
        <w:jc w:val="both"/>
        <w:rPr>
          <w:rFonts w:ascii="Sakkal Majalla" w:eastAsia="Times New Roman" w:hAnsi="Sakkal Majalla" w:cs="Sakkal Majalla"/>
          <w:b/>
          <w:bCs/>
          <w:sz w:val="28"/>
          <w:szCs w:val="28"/>
          <w:rtl/>
        </w:rPr>
      </w:pPr>
    </w:p>
    <w:p w14:paraId="05895127" w14:textId="77777777" w:rsidR="0091652D" w:rsidRDefault="0091652D" w:rsidP="0091652D">
      <w:pPr>
        <w:bidi/>
        <w:spacing w:after="0" w:line="276" w:lineRule="auto"/>
        <w:jc w:val="both"/>
        <w:rPr>
          <w:rFonts w:ascii="Sakkal Majalla" w:eastAsia="Times New Roman" w:hAnsi="Sakkal Majalla" w:cs="Sakkal Majalla"/>
          <w:b/>
          <w:bCs/>
          <w:sz w:val="28"/>
          <w:szCs w:val="28"/>
          <w:rtl/>
        </w:rPr>
      </w:pPr>
    </w:p>
    <w:p w14:paraId="04CAC8F4" w14:textId="099DCB34" w:rsidR="009E2883" w:rsidRPr="009E2883" w:rsidRDefault="009E2883" w:rsidP="0091652D">
      <w:pPr>
        <w:bidi/>
        <w:spacing w:after="0" w:line="276" w:lineRule="auto"/>
        <w:jc w:val="both"/>
        <w:rPr>
          <w:rFonts w:ascii="Sakkal Majalla" w:eastAsia="Times New Roman" w:hAnsi="Sakkal Majalla" w:cs="Sakkal Majalla"/>
          <w:b/>
          <w:bCs/>
          <w:sz w:val="28"/>
          <w:szCs w:val="28"/>
        </w:rPr>
      </w:pPr>
      <w:r w:rsidRPr="009E2883">
        <w:rPr>
          <w:rFonts w:ascii="Sakkal Majalla" w:eastAsia="Times New Roman" w:hAnsi="Sakkal Majalla" w:cs="Sakkal Majalla"/>
          <w:b/>
          <w:bCs/>
          <w:sz w:val="28"/>
          <w:szCs w:val="28"/>
          <w:rtl/>
        </w:rPr>
        <w:t>شرح منطق الجدول</w:t>
      </w:r>
      <w:r w:rsidRPr="009E2883">
        <w:rPr>
          <w:rFonts w:ascii="Sakkal Majalla" w:eastAsia="Times New Roman" w:hAnsi="Sakkal Majalla" w:cs="Sakkal Majalla"/>
          <w:b/>
          <w:bCs/>
          <w:sz w:val="28"/>
          <w:szCs w:val="28"/>
        </w:rPr>
        <w:t>:</w:t>
      </w:r>
    </w:p>
    <w:p w14:paraId="728BE67E" w14:textId="36AAFB51" w:rsidR="009E2883" w:rsidRPr="009E2883"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البداية (الحوكمة)</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الحوكمة هي </w:t>
      </w:r>
      <w:r w:rsidRPr="009E2883">
        <w:rPr>
          <w:rFonts w:ascii="Sakkal Majalla" w:eastAsia="Times New Roman" w:hAnsi="Sakkal Majalla" w:cs="Sakkal Majalla"/>
          <w:b/>
          <w:bCs/>
          <w:sz w:val="28"/>
          <w:szCs w:val="28"/>
          <w:rtl/>
        </w:rPr>
        <w:t>البيئة الحاضنة</w:t>
      </w:r>
      <w:r w:rsidRPr="009E2883">
        <w:rPr>
          <w:rFonts w:ascii="Sakkal Majalla" w:eastAsia="Times New Roman" w:hAnsi="Sakkal Majalla" w:cs="Sakkal Majalla"/>
          <w:sz w:val="28"/>
          <w:szCs w:val="28"/>
          <w:rtl/>
        </w:rPr>
        <w:t xml:space="preserve"> التي تسمح </w:t>
      </w:r>
      <w:r w:rsidR="00B7530E">
        <w:rPr>
          <w:rFonts w:ascii="Sakkal Majalla" w:eastAsia="Times New Roman" w:hAnsi="Sakkal Majalla" w:cs="Sakkal Majalla" w:hint="cs"/>
          <w:sz w:val="28"/>
          <w:szCs w:val="28"/>
          <w:rtl/>
        </w:rPr>
        <w:t xml:space="preserve">للأعمال </w:t>
      </w:r>
      <w:r w:rsidR="00B7530E" w:rsidRPr="009E2883">
        <w:rPr>
          <w:rFonts w:ascii="Sakkal Majalla" w:eastAsia="Times New Roman" w:hAnsi="Sakkal Majalla" w:cs="Sakkal Majalla" w:hint="cs"/>
          <w:sz w:val="28"/>
          <w:szCs w:val="28"/>
          <w:rtl/>
        </w:rPr>
        <w:t>بالنمو</w:t>
      </w:r>
      <w:r w:rsidRPr="009E2883">
        <w:rPr>
          <w:rFonts w:ascii="Sakkal Majalla" w:eastAsia="Times New Roman" w:hAnsi="Sakkal Majalla" w:cs="Sakkal Majalla"/>
          <w:sz w:val="28"/>
          <w:szCs w:val="28"/>
          <w:rtl/>
        </w:rPr>
        <w:t xml:space="preserve"> بشكل صحيح</w:t>
      </w:r>
      <w:r w:rsidRPr="009E2883">
        <w:rPr>
          <w:rFonts w:ascii="Sakkal Majalla" w:eastAsia="Times New Roman" w:hAnsi="Sakkal Majalla" w:cs="Sakkal Majalla"/>
          <w:sz w:val="28"/>
          <w:szCs w:val="28"/>
        </w:rPr>
        <w:t>.</w:t>
      </w:r>
    </w:p>
    <w:p w14:paraId="7C167644" w14:textId="77777777" w:rsidR="009E2883" w:rsidRPr="00D62C39"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الأولى (التميز التشغيلي)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هي </w:t>
      </w:r>
      <w:r w:rsidRPr="002D76E9">
        <w:rPr>
          <w:rFonts w:ascii="Sakkal Majalla" w:eastAsia="Times New Roman" w:hAnsi="Sakkal Majalla" w:cs="Sakkal Majalla"/>
          <w:sz w:val="28"/>
          <w:szCs w:val="28"/>
          <w:rtl/>
        </w:rPr>
        <w:t>النتيجة المباشرة والفورية</w:t>
      </w:r>
      <w:r w:rsidRPr="009E2883">
        <w:rPr>
          <w:rFonts w:ascii="Sakkal Majalla" w:eastAsia="Times New Roman" w:hAnsi="Sakkal Majalla" w:cs="Sakkal Majalla"/>
          <w:sz w:val="28"/>
          <w:szCs w:val="28"/>
          <w:rtl/>
        </w:rPr>
        <w:t xml:space="preserve"> لتطبيق أدوات الحوكمة. عندما تفرض الرقابة والمساءلة، فإن أول ما يتحسن هو العمليات اليومية. هذه المرحلة تبني </w:t>
      </w:r>
      <w:r w:rsidRPr="009E2883">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tl/>
        </w:rPr>
        <w:t>بيتاً قوياً ومنظماً</w:t>
      </w:r>
      <w:r w:rsidRPr="00D62C39">
        <w:rPr>
          <w:rFonts w:ascii="Sakkal Majalla" w:eastAsia="Times New Roman" w:hAnsi="Sakkal Majalla" w:cs="Sakkal Majalla"/>
          <w:sz w:val="28"/>
          <w:szCs w:val="28"/>
        </w:rPr>
        <w:t>".</w:t>
      </w:r>
    </w:p>
    <w:p w14:paraId="04C410B5" w14:textId="77777777" w:rsidR="009E2883" w:rsidRPr="00D62C39"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الثانية (التميز المؤسسي)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هذه المرحلة هي </w:t>
      </w:r>
      <w:r w:rsidRPr="00D62C39">
        <w:rPr>
          <w:rFonts w:ascii="Sakkal Majalla" w:eastAsia="Times New Roman" w:hAnsi="Sakkal Majalla" w:cs="Sakkal Majalla"/>
          <w:sz w:val="28"/>
          <w:szCs w:val="28"/>
          <w:rtl/>
        </w:rPr>
        <w:t>النتيجة المنطقية</w:t>
      </w:r>
      <w:r w:rsidRPr="009E2883">
        <w:rPr>
          <w:rFonts w:ascii="Sakkal Majalla" w:eastAsia="Times New Roman" w:hAnsi="Sakkal Majalla" w:cs="Sakkal Majalla"/>
          <w:sz w:val="28"/>
          <w:szCs w:val="28"/>
          <w:rtl/>
        </w:rPr>
        <w:t xml:space="preserve"> لوجود أساس تشغيلي قوي. المؤسسة المنضبطة والمستقرة (من المرحلة الأولى) تبدأ في استخدام مواردها وسمعتها وقدراتها لبناء ميزة تنافسية والنمو. هذه المرحلة تحول "البيت القوي" إلى </w:t>
      </w:r>
      <w:r w:rsidRPr="009E2883">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tl/>
        </w:rPr>
        <w:t>قلعة قادرة على التوسع والهجوم</w:t>
      </w:r>
      <w:r w:rsidRPr="00D62C39">
        <w:rPr>
          <w:rFonts w:ascii="Sakkal Majalla" w:eastAsia="Times New Roman" w:hAnsi="Sakkal Majalla" w:cs="Sakkal Majalla"/>
          <w:sz w:val="28"/>
          <w:szCs w:val="28"/>
        </w:rPr>
        <w:t>".</w:t>
      </w:r>
    </w:p>
    <w:p w14:paraId="70C1A8EC" w14:textId="77777777" w:rsidR="009E2883" w:rsidRPr="009E2883"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الثالثة (التميز المستدام)</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هذه هي </w:t>
      </w:r>
      <w:r w:rsidRPr="00D62C39">
        <w:rPr>
          <w:rFonts w:ascii="Sakkal Majalla" w:eastAsia="Times New Roman" w:hAnsi="Sakkal Majalla" w:cs="Sakkal Majalla"/>
          <w:sz w:val="28"/>
          <w:szCs w:val="28"/>
          <w:rtl/>
        </w:rPr>
        <w:t>الغاية النهائية</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عندما تتكامل جميع العناصر، تصل المؤسسة إلى حالة من التميز الشامل الذي لا يقتصر على تحقيق الأرباح اليوم</w:t>
      </w:r>
      <w:r w:rsidRPr="009E2883">
        <w:rPr>
          <w:rFonts w:ascii="Sakkal Majalla" w:eastAsia="Times New Roman" w:hAnsi="Sakkal Majalla" w:cs="Sakkal Majalla"/>
          <w:sz w:val="28"/>
          <w:szCs w:val="28"/>
          <w:rtl/>
        </w:rPr>
        <w:t xml:space="preserve">، بل يضمن استمراريتها وريادتها في المستقبل، وتحقيقها لقيمة حقيقية للمجتمع. هذه المرحلة تحول "القلعة" إلى </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عاصمة مزدهرة ومؤثرة</w:t>
      </w:r>
      <w:r w:rsidRPr="009E2883">
        <w:rPr>
          <w:rFonts w:ascii="Sakkal Majalla" w:eastAsia="Times New Roman" w:hAnsi="Sakkal Majalla" w:cs="Sakkal Majalla"/>
          <w:b/>
          <w:bCs/>
          <w:sz w:val="28"/>
          <w:szCs w:val="28"/>
        </w:rPr>
        <w:t>".</w:t>
      </w:r>
    </w:p>
    <w:p w14:paraId="507A5647" w14:textId="77777777" w:rsidR="009E2883" w:rsidRDefault="009E2883" w:rsidP="002D76E9">
      <w:pPr>
        <w:bidi/>
        <w:spacing w:after="0" w:line="276" w:lineRule="auto"/>
        <w:jc w:val="both"/>
        <w:rPr>
          <w:rFonts w:ascii="Sakkal Majalla" w:eastAsia="Times New Roman" w:hAnsi="Sakkal Majalla" w:cs="Sakkal Majalla"/>
          <w:sz w:val="28"/>
          <w:szCs w:val="28"/>
          <w:rtl/>
        </w:rPr>
      </w:pPr>
      <w:r w:rsidRPr="009E2883">
        <w:rPr>
          <w:rFonts w:ascii="Sakkal Majalla" w:eastAsia="Times New Roman" w:hAnsi="Sakkal Majalla" w:cs="Sakkal Majalla"/>
          <w:sz w:val="28"/>
          <w:szCs w:val="28"/>
          <w:rtl/>
        </w:rPr>
        <w:t>هذا الجدول يلخص رحلة المؤسسة من الانضباط إلى الريادة، ويوضح أن كل مرحلة هي حجر أساس للمرحلة التي تليها، وأن الحوكمة هي الخيط الذهبي الذي يربط هذه الرحلة بأكملها</w:t>
      </w:r>
      <w:r w:rsidRPr="009E2883">
        <w:rPr>
          <w:rFonts w:ascii="Sakkal Majalla" w:eastAsia="Times New Roman" w:hAnsi="Sakkal Majalla" w:cs="Sakkal Majalla"/>
          <w:sz w:val="28"/>
          <w:szCs w:val="28"/>
        </w:rPr>
        <w:t>.</w:t>
      </w:r>
    </w:p>
    <w:p w14:paraId="7B2015AE" w14:textId="77777777" w:rsidR="00A73C30" w:rsidRDefault="00A73C30" w:rsidP="00A73C30">
      <w:pPr>
        <w:bidi/>
        <w:spacing w:after="0" w:line="276" w:lineRule="auto"/>
        <w:jc w:val="both"/>
        <w:rPr>
          <w:rFonts w:ascii="Sakkal Majalla" w:eastAsia="Times New Roman" w:hAnsi="Sakkal Majalla" w:cs="Sakkal Majalla"/>
          <w:sz w:val="28"/>
          <w:szCs w:val="28"/>
          <w:rtl/>
        </w:rPr>
      </w:pPr>
    </w:p>
    <w:p w14:paraId="4CF18B52" w14:textId="77777777" w:rsidR="00A73C30" w:rsidRDefault="00A73C30" w:rsidP="00A73C30">
      <w:pPr>
        <w:bidi/>
        <w:spacing w:after="0" w:line="276" w:lineRule="auto"/>
        <w:jc w:val="both"/>
        <w:rPr>
          <w:rFonts w:ascii="Sakkal Majalla" w:eastAsia="Times New Roman" w:hAnsi="Sakkal Majalla" w:cs="Sakkal Majalla"/>
          <w:sz w:val="28"/>
          <w:szCs w:val="28"/>
          <w:rtl/>
        </w:rPr>
      </w:pPr>
    </w:p>
    <w:p w14:paraId="05FA0733" w14:textId="77777777" w:rsidR="00150904" w:rsidRDefault="00150904" w:rsidP="00150904">
      <w:pPr>
        <w:bidi/>
        <w:spacing w:after="0" w:line="276" w:lineRule="auto"/>
        <w:jc w:val="both"/>
        <w:rPr>
          <w:rFonts w:ascii="Sakkal Majalla" w:eastAsia="Times New Roman" w:hAnsi="Sakkal Majalla" w:cs="Sakkal Majalla"/>
          <w:sz w:val="28"/>
          <w:szCs w:val="28"/>
          <w:rtl/>
        </w:rPr>
      </w:pPr>
    </w:p>
    <w:p w14:paraId="12E599CC" w14:textId="77777777" w:rsidR="00B7530E" w:rsidRDefault="00B7530E" w:rsidP="00B7530E">
      <w:pPr>
        <w:bidi/>
        <w:spacing w:after="0" w:line="276" w:lineRule="auto"/>
        <w:jc w:val="both"/>
        <w:rPr>
          <w:rFonts w:ascii="Sakkal Majalla" w:eastAsia="Times New Roman" w:hAnsi="Sakkal Majalla" w:cs="Sakkal Majalla"/>
          <w:sz w:val="28"/>
          <w:szCs w:val="28"/>
          <w:rtl/>
        </w:rPr>
      </w:pPr>
    </w:p>
    <w:p w14:paraId="7A76812D" w14:textId="77777777" w:rsidR="009E2883" w:rsidRDefault="009E2883" w:rsidP="0083534F">
      <w:pPr>
        <w:bidi/>
        <w:spacing w:after="0" w:line="276" w:lineRule="auto"/>
        <w:jc w:val="both"/>
        <w:rPr>
          <w:rFonts w:ascii="Sakkal Majalla" w:eastAsia="Times New Roman" w:hAnsi="Sakkal Majalla" w:cs="Sakkal Majalla"/>
          <w:sz w:val="28"/>
          <w:szCs w:val="28"/>
          <w:rtl/>
        </w:rPr>
      </w:pPr>
    </w:p>
    <w:p w14:paraId="4FFBB3CE" w14:textId="77777777" w:rsidR="00C90328" w:rsidRDefault="00C90328" w:rsidP="00C90328">
      <w:pPr>
        <w:bidi/>
        <w:spacing w:after="0" w:line="276" w:lineRule="auto"/>
        <w:jc w:val="both"/>
        <w:rPr>
          <w:rFonts w:ascii="Sakkal Majalla" w:eastAsia="Times New Roman" w:hAnsi="Sakkal Majalla" w:cs="Sakkal Majalla"/>
          <w:sz w:val="28"/>
          <w:szCs w:val="28"/>
          <w:rtl/>
        </w:rPr>
      </w:pPr>
    </w:p>
    <w:p w14:paraId="2BC9C529" w14:textId="4DC66ACA" w:rsidR="00216B67" w:rsidRDefault="00216B67" w:rsidP="00C90328">
      <w:pPr>
        <w:bidi/>
        <w:spacing w:after="0" w:line="276" w:lineRule="auto"/>
        <w:jc w:val="both"/>
        <w:rPr>
          <w:rFonts w:ascii="Sakkal Majalla" w:eastAsia="Times New Roman" w:hAnsi="Sakkal Majalla" w:cs="Sakkal Majalla"/>
          <w:b/>
          <w:bCs/>
          <w:sz w:val="28"/>
          <w:szCs w:val="28"/>
          <w:rtl/>
        </w:rPr>
      </w:pPr>
      <w:r w:rsidRPr="00216B67">
        <w:rPr>
          <w:rFonts w:ascii="Sakkal Majalla" w:eastAsia="Times New Roman" w:hAnsi="Sakkal Majalla" w:cs="Sakkal Majalla"/>
          <w:b/>
          <w:bCs/>
          <w:sz w:val="28"/>
          <w:szCs w:val="28"/>
          <w:rtl/>
        </w:rPr>
        <w:lastRenderedPageBreak/>
        <w:t>المحور الرابع: الدراسات السابقة والتعقيب عليها ونموذج الدراسة المقترح</w:t>
      </w:r>
    </w:p>
    <w:p w14:paraId="16119157" w14:textId="77777777" w:rsidR="00EB3C75" w:rsidRPr="00EB3C75" w:rsidRDefault="00EB3C75" w:rsidP="00EB3C75">
      <w:p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sz w:val="28"/>
          <w:szCs w:val="28"/>
          <w:rtl/>
        </w:rPr>
        <w:t>استناداً إلى الإطار العام للدراسة الذي تم تحديده في الفصل الأول، والذي شخص المشكلة البحثية في كون الأعراض المؤسسية المتعددة - من ضعف الرقابة التشغيلية إلى غياب الوضوح الاستراتيجي - تنبع من سبب جذري واحد وهو قصور ممارسات الحوكمة، يستعرض هذا المحور الأدبيات السابقة ذات الصلة. إن الهدف من هذا الاستعراض ليس السرد، بل هو بناء حجة علمية تؤصل لفرضيات الدراسة وتربط نتائج الأبحاث السابقة مباشرةً بأهدافها التحليلية</w:t>
      </w:r>
      <w:r w:rsidRPr="00EB3C75">
        <w:rPr>
          <w:rFonts w:ascii="Sakkal Majalla" w:eastAsia="Times New Roman" w:hAnsi="Sakkal Majalla" w:cs="Sakkal Majalla"/>
          <w:sz w:val="28"/>
          <w:szCs w:val="28"/>
        </w:rPr>
        <w:t xml:space="preserve">. </w:t>
      </w:r>
      <w:r w:rsidRPr="00EB3C75">
        <w:rPr>
          <w:rFonts w:ascii="Sakkal Majalla" w:eastAsia="Times New Roman" w:hAnsi="Sakkal Majalla" w:cs="Sakkal Majalla"/>
          <w:sz w:val="28"/>
          <w:szCs w:val="28"/>
          <w:rtl/>
        </w:rPr>
        <w:t>وتحديداً، سيتم تنظيم هذا المحور للإجابة على كيفية دعم الأدبيات لكل من</w:t>
      </w:r>
      <w:r w:rsidRPr="00EB3C75">
        <w:rPr>
          <w:rFonts w:ascii="Sakkal Majalla" w:eastAsia="Times New Roman" w:hAnsi="Sakkal Majalla" w:cs="Sakkal Majalla"/>
          <w:sz w:val="28"/>
          <w:szCs w:val="28"/>
        </w:rPr>
        <w:t>:</w:t>
      </w:r>
    </w:p>
    <w:p w14:paraId="3B01722D" w14:textId="77777777" w:rsidR="00EB3C75" w:rsidRPr="00EB3C75" w:rsidRDefault="00EB3C75" w:rsidP="00EB3C75">
      <w:pPr>
        <w:numPr>
          <w:ilvl w:val="0"/>
          <w:numId w:val="141"/>
        </w:num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b/>
          <w:bCs/>
          <w:sz w:val="28"/>
          <w:szCs w:val="28"/>
          <w:rtl/>
        </w:rPr>
        <w:t>الهدف التحليلي (الأثر التشغيلي)</w:t>
      </w:r>
      <w:r w:rsidRPr="00EB3C75">
        <w:rPr>
          <w:rFonts w:ascii="Sakkal Majalla" w:eastAsia="Times New Roman" w:hAnsi="Sakkal Majalla" w:cs="Sakkal Majalla"/>
          <w:b/>
          <w:bCs/>
          <w:sz w:val="28"/>
          <w:szCs w:val="28"/>
        </w:rPr>
        <w:t>:</w:t>
      </w:r>
      <w:r w:rsidRPr="00EB3C75">
        <w:rPr>
          <w:rFonts w:ascii="Sakkal Majalla" w:eastAsia="Times New Roman" w:hAnsi="Sakkal Majalla" w:cs="Sakkal Majalla"/>
          <w:sz w:val="28"/>
          <w:szCs w:val="28"/>
        </w:rPr>
        <w:t> </w:t>
      </w:r>
      <w:r w:rsidRPr="00EB3C75">
        <w:rPr>
          <w:rFonts w:ascii="Sakkal Majalla" w:eastAsia="Times New Roman" w:hAnsi="Sakkal Majalla" w:cs="Sakkal Majalla"/>
          <w:sz w:val="28"/>
          <w:szCs w:val="28"/>
          <w:rtl/>
        </w:rPr>
        <w:t>من خلال استعراض الدراسات التي تختبر أثر الحوكمة على الحد من المشاكل التشغيلية وتحقيق التميز التشغيلي</w:t>
      </w:r>
      <w:r w:rsidRPr="00EB3C75">
        <w:rPr>
          <w:rFonts w:ascii="Sakkal Majalla" w:eastAsia="Times New Roman" w:hAnsi="Sakkal Majalla" w:cs="Sakkal Majalla"/>
          <w:sz w:val="28"/>
          <w:szCs w:val="28"/>
        </w:rPr>
        <w:t>.</w:t>
      </w:r>
    </w:p>
    <w:p w14:paraId="4185EB55" w14:textId="790A65DF" w:rsidR="00EB3C75" w:rsidRPr="00EB3C75" w:rsidRDefault="00EB3C75" w:rsidP="00EB3C75">
      <w:pPr>
        <w:numPr>
          <w:ilvl w:val="0"/>
          <w:numId w:val="141"/>
        </w:num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b/>
          <w:bCs/>
          <w:sz w:val="28"/>
          <w:szCs w:val="28"/>
          <w:rtl/>
        </w:rPr>
        <w:t>الهدف التحليلي (الأثر الاستراتيجي)</w:t>
      </w:r>
      <w:r w:rsidRPr="00EB3C75">
        <w:rPr>
          <w:rFonts w:ascii="Sakkal Majalla" w:eastAsia="Times New Roman" w:hAnsi="Sakkal Majalla" w:cs="Sakkal Majalla"/>
          <w:b/>
          <w:bCs/>
          <w:sz w:val="28"/>
          <w:szCs w:val="28"/>
        </w:rPr>
        <w:t>:</w:t>
      </w:r>
      <w:r w:rsidRPr="00EB3C75">
        <w:rPr>
          <w:rFonts w:ascii="Sakkal Majalla" w:eastAsia="Times New Roman" w:hAnsi="Sakkal Majalla" w:cs="Sakkal Majalla"/>
          <w:sz w:val="28"/>
          <w:szCs w:val="28"/>
        </w:rPr>
        <w:t> </w:t>
      </w:r>
      <w:r w:rsidRPr="00EB3C75">
        <w:rPr>
          <w:rFonts w:ascii="Sakkal Majalla" w:eastAsia="Times New Roman" w:hAnsi="Sakkal Majalla" w:cs="Sakkal Majalla"/>
          <w:sz w:val="28"/>
          <w:szCs w:val="28"/>
          <w:rtl/>
        </w:rPr>
        <w:t>عبر تحليل الدراسات التي تربط الحوكمة بالقدرة على تحقيق التميز الاستراتيجي</w:t>
      </w:r>
      <w:r w:rsidRPr="00EB3C75">
        <w:rPr>
          <w:rFonts w:ascii="Sakkal Majalla" w:eastAsia="Times New Roman" w:hAnsi="Sakkal Majalla" w:cs="Sakkal Majalla"/>
          <w:sz w:val="28"/>
          <w:szCs w:val="28"/>
        </w:rPr>
        <w:t>.</w:t>
      </w:r>
    </w:p>
    <w:p w14:paraId="49A2048E" w14:textId="77777777" w:rsidR="00EB3C75" w:rsidRDefault="00EB3C75" w:rsidP="00EB3C75">
      <w:pPr>
        <w:bidi/>
        <w:spacing w:after="0" w:line="276" w:lineRule="auto"/>
        <w:jc w:val="both"/>
        <w:rPr>
          <w:rFonts w:ascii="Sakkal Majalla" w:eastAsia="Times New Roman" w:hAnsi="Sakkal Majalla" w:cs="Sakkal Majalla"/>
          <w:sz w:val="28"/>
          <w:szCs w:val="28"/>
          <w:rtl/>
        </w:rPr>
      </w:pPr>
      <w:r w:rsidRPr="00EB3C75">
        <w:rPr>
          <w:rFonts w:ascii="Sakkal Majalla" w:eastAsia="Times New Roman" w:hAnsi="Sakkal Majalla" w:cs="Sakkal Majalla"/>
          <w:sz w:val="28"/>
          <w:szCs w:val="28"/>
          <w:rtl/>
        </w:rPr>
        <w:t>إن هذا العرض المنهجي سيمهد الطريق في نهاية المحور لتحديد الفجوة البحثية بوضوح، وإبراز كيف تسعى هذه الدراسة لتجاوز النماذج المجزأة نحو نموذج متكامل يختبر "مسار التأثير" الكامل للحوكمة، وهو ما يمثل جوهر مساهمتها النظرية والتطبيقية</w:t>
      </w:r>
      <w:r w:rsidRPr="00EB3C75">
        <w:rPr>
          <w:rFonts w:ascii="Sakkal Majalla" w:eastAsia="Times New Roman" w:hAnsi="Sakkal Majalla" w:cs="Sakkal Majalla"/>
          <w:sz w:val="28"/>
          <w:szCs w:val="28"/>
        </w:rPr>
        <w:t>.</w:t>
      </w:r>
    </w:p>
    <w:p w14:paraId="6EDC03BE" w14:textId="77777777" w:rsidR="00EB3C75" w:rsidRPr="00EB3C75" w:rsidRDefault="00EB3C75" w:rsidP="00EB3C75">
      <w:pPr>
        <w:bidi/>
        <w:spacing w:after="0" w:line="276" w:lineRule="auto"/>
        <w:jc w:val="both"/>
        <w:rPr>
          <w:rFonts w:ascii="Sakkal Majalla" w:eastAsia="Times New Roman" w:hAnsi="Sakkal Majalla" w:cs="Sakkal Majalla"/>
          <w:sz w:val="28"/>
          <w:szCs w:val="28"/>
        </w:rPr>
      </w:pPr>
    </w:p>
    <w:p w14:paraId="3305C65A"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4-1 </w:t>
      </w:r>
      <w:r w:rsidRPr="006134F4">
        <w:rPr>
          <w:rFonts w:ascii="Sakkal Majalla" w:eastAsia="Times New Roman" w:hAnsi="Sakkal Majalla" w:cs="Sakkal Majalla"/>
          <w:b/>
          <w:bCs/>
          <w:sz w:val="28"/>
          <w:szCs w:val="28"/>
          <w:rtl/>
        </w:rPr>
        <w:t>دراسات تناولت أثر الحوكمة على التميز التشغيلي</w:t>
      </w:r>
    </w:p>
    <w:p w14:paraId="7F9735C5"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يسعى الهدف التحليلي الثاني للدراسة إلى "قياس أثر تطبيق الحوكمة المؤسسية على الحد من المشاكل التشغيلية وتحقيق التميز التشغيلي". الدراسات التالية تقدم أدلة تجريبية مباشرة تدعم هذه العلاقة، وتؤصل الفرضية الفرعية الأولى</w:t>
      </w:r>
      <w:r w:rsidRPr="006134F4">
        <w:rPr>
          <w:rFonts w:ascii="Sakkal Majalla" w:eastAsia="Times New Roman" w:hAnsi="Sakkal Majalla" w:cs="Sakkal Majalla"/>
          <w:sz w:val="28"/>
          <w:szCs w:val="28"/>
        </w:rPr>
        <w:t>.</w:t>
      </w:r>
    </w:p>
    <w:p w14:paraId="66F6C6EB"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1.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(Brown &amp; Caylor, 2009):</w:t>
      </w:r>
    </w:p>
    <w:p w14:paraId="243A050E" w14:textId="77777777" w:rsidR="006134F4" w:rsidRPr="006134F4" w:rsidRDefault="006134F4" w:rsidP="006134F4">
      <w:pPr>
        <w:numPr>
          <w:ilvl w:val="0"/>
          <w:numId w:val="13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تُعد هذه الدراسة من الأعمال التأسيسية التي ربطت بشكل كمي بين جودة الحوكمة والأداء التشغيلي. حيث وجدت أن الشركات ذات هياكل الحوكمة القوية (مقاسة بمؤشر شامل) تتمتع بأداء تشغيلي أعلى</w:t>
      </w:r>
      <w:r w:rsidRPr="006134F4">
        <w:rPr>
          <w:rFonts w:ascii="Sakkal Majalla" w:eastAsia="Times New Roman" w:hAnsi="Sakkal Majalla" w:cs="Sakkal Majalla"/>
          <w:sz w:val="28"/>
          <w:szCs w:val="28"/>
        </w:rPr>
        <w:t>.</w:t>
      </w:r>
    </w:p>
    <w:p w14:paraId="60E0C233" w14:textId="77777777" w:rsidR="006134F4" w:rsidRDefault="006134F4" w:rsidP="006134F4">
      <w:pPr>
        <w:numPr>
          <w:ilvl w:val="0"/>
          <w:numId w:val="13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تُعد هذه الدراسة حجر زاوية في إثبات أن الحوكمة ليست مجرد التزام شكلي، بل لها أثر كمي ومباشر على الأداء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تكمن في أنها توفر أساسًا تجريبيًا قويًا للفرضية الفرعية الأولى</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تقف عند هذا الحد؛ فهي لا تختبر كيف يمتد هذا الأثر التشغيلي ليصبح مُمكّنًا للتميز الاستراتيجي، وهي الفجوة التي تسعى دراستنا لسدها عبر تقديم نموذج متكامل</w:t>
      </w:r>
      <w:r w:rsidRPr="006134F4">
        <w:rPr>
          <w:rFonts w:ascii="Sakkal Majalla" w:eastAsia="Times New Roman" w:hAnsi="Sakkal Majalla" w:cs="Sakkal Majalla"/>
          <w:sz w:val="28"/>
          <w:szCs w:val="28"/>
        </w:rPr>
        <w:t>.</w:t>
      </w:r>
    </w:p>
    <w:p w14:paraId="5617BDFE" w14:textId="77777777" w:rsidR="00EB3C75" w:rsidRDefault="00EB3C75" w:rsidP="00EB3C75">
      <w:pPr>
        <w:bidi/>
        <w:spacing w:after="0" w:line="276" w:lineRule="auto"/>
        <w:ind w:left="720"/>
        <w:jc w:val="both"/>
        <w:rPr>
          <w:rFonts w:ascii="Sakkal Majalla" w:eastAsia="Times New Roman" w:hAnsi="Sakkal Majalla" w:cs="Sakkal Majalla"/>
          <w:b/>
          <w:bCs/>
          <w:sz w:val="28"/>
          <w:szCs w:val="28"/>
          <w:rtl/>
        </w:rPr>
      </w:pPr>
    </w:p>
    <w:p w14:paraId="2F641B18" w14:textId="77777777" w:rsidR="00EB3C75" w:rsidRPr="006134F4" w:rsidRDefault="00EB3C75" w:rsidP="00EB3C75">
      <w:pPr>
        <w:bidi/>
        <w:spacing w:after="0" w:line="276" w:lineRule="auto"/>
        <w:ind w:left="720"/>
        <w:jc w:val="both"/>
        <w:rPr>
          <w:rFonts w:ascii="Sakkal Majalla" w:eastAsia="Times New Roman" w:hAnsi="Sakkal Majalla" w:cs="Sakkal Majalla"/>
          <w:sz w:val="28"/>
          <w:szCs w:val="28"/>
        </w:rPr>
      </w:pPr>
    </w:p>
    <w:p w14:paraId="29870FBF"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2.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w:t>
      </w:r>
      <w:proofErr w:type="spellStart"/>
      <w:r w:rsidRPr="006134F4">
        <w:rPr>
          <w:rFonts w:ascii="Sakkal Majalla" w:eastAsia="Times New Roman" w:hAnsi="Sakkal Majalla" w:cs="Sakkal Majalla"/>
          <w:b/>
          <w:bCs/>
          <w:sz w:val="28"/>
          <w:szCs w:val="28"/>
        </w:rPr>
        <w:t>Buallay</w:t>
      </w:r>
      <w:proofErr w:type="spellEnd"/>
      <w:r w:rsidRPr="006134F4">
        <w:rPr>
          <w:rFonts w:ascii="Sakkal Majalla" w:eastAsia="Times New Roman" w:hAnsi="Sakkal Majalla" w:cs="Sakkal Majalla"/>
          <w:b/>
          <w:bCs/>
          <w:sz w:val="28"/>
          <w:szCs w:val="28"/>
        </w:rPr>
        <w:t>, 2019):</w:t>
      </w:r>
    </w:p>
    <w:p w14:paraId="3D73D779" w14:textId="77777777" w:rsidR="006134F4" w:rsidRPr="006134F4" w:rsidRDefault="006134F4" w:rsidP="006134F4">
      <w:pPr>
        <w:numPr>
          <w:ilvl w:val="0"/>
          <w:numId w:val="131"/>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في سياق إقليمي وثيق الصلة، حللت هذه الدراسة أثر آليات الحوكمة على الأداء التشغيلي للبنوك الخليجية. وخلصت إلى أن الحوكمة لا تحسن الأداء المالي فحسب، بل تؤدي إلى "تحسينات ملموسة في الإنتاجية وخفض التكاليف التشغيلية</w:t>
      </w:r>
      <w:r w:rsidRPr="006134F4">
        <w:rPr>
          <w:rFonts w:ascii="Sakkal Majalla" w:eastAsia="Times New Roman" w:hAnsi="Sakkal Majalla" w:cs="Sakkal Majalla"/>
          <w:sz w:val="28"/>
          <w:szCs w:val="28"/>
        </w:rPr>
        <w:t>".</w:t>
      </w:r>
    </w:p>
    <w:p w14:paraId="201E0291" w14:textId="77777777" w:rsidR="006134F4" w:rsidRDefault="006134F4" w:rsidP="006134F4">
      <w:pPr>
        <w:numPr>
          <w:ilvl w:val="0"/>
          <w:numId w:val="131"/>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دليلاً إقليمياً حيوياً من البيئة الخليجية، مما يعزز من ملاءمة الفرضية للسياق المحلي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تأكيدها على أن الحوكمة تؤدي إلى "تحسينات ملموسة في الإنتاجية وخفض التكاليف"، وهو جوهر التميز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تركز على الجانب الوقائي والتصحيحي (معالجة ضعف الرقابة)، دون أن تمتد لتحليل الدور التطويري للحوكمة في بناء قدرات استراتيجية، وهو ما تعالجه دراستنا من خلال ربطها بالتميز الاستراتيجي</w:t>
      </w:r>
      <w:r w:rsidRPr="006134F4">
        <w:rPr>
          <w:rFonts w:ascii="Sakkal Majalla" w:eastAsia="Times New Roman" w:hAnsi="Sakkal Majalla" w:cs="Sakkal Majalla"/>
          <w:sz w:val="28"/>
          <w:szCs w:val="28"/>
        </w:rPr>
        <w:t>.</w:t>
      </w:r>
    </w:p>
    <w:p w14:paraId="679D1507"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p>
    <w:p w14:paraId="3A5544B3"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3.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(Al-Matari et al., 2022):</w:t>
      </w:r>
    </w:p>
    <w:p w14:paraId="74396090" w14:textId="616CF078" w:rsidR="006134F4" w:rsidRPr="006134F4" w:rsidRDefault="006134F4" w:rsidP="006134F4">
      <w:pPr>
        <w:numPr>
          <w:ilvl w:val="0"/>
          <w:numId w:val="132"/>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دليلاً</w:t>
      </w:r>
      <w:r w:rsidR="00EB3C75">
        <w:rPr>
          <w:rFonts w:ascii="Sakkal Majalla" w:eastAsia="Times New Roman" w:hAnsi="Sakkal Majalla" w:cs="Sakkal Majalla" w:hint="cs"/>
          <w:sz w:val="28"/>
          <w:szCs w:val="28"/>
          <w:rtl/>
        </w:rPr>
        <w:t xml:space="preserve"> </w:t>
      </w:r>
      <w:r w:rsidRPr="006134F4">
        <w:rPr>
          <w:rFonts w:ascii="Sakkal Majalla" w:eastAsia="Times New Roman" w:hAnsi="Sakkal Majalla" w:cs="Sakkal Majalla"/>
          <w:sz w:val="28"/>
          <w:szCs w:val="28"/>
          <w:rtl/>
        </w:rPr>
        <w:t>من السوق السعودي، حيث أظهرت أن جودة التقارير المالية (كنتيجة مباشرة للحوكمة) لها تأثير إيجابي على "كفاءة الاستثمار</w:t>
      </w:r>
      <w:r w:rsidRPr="006134F4">
        <w:rPr>
          <w:rFonts w:ascii="Sakkal Majalla" w:eastAsia="Times New Roman" w:hAnsi="Sakkal Majalla" w:cs="Sakkal Majalla"/>
          <w:sz w:val="28"/>
          <w:szCs w:val="28"/>
        </w:rPr>
        <w:t>".</w:t>
      </w:r>
    </w:p>
    <w:p w14:paraId="583A76D6" w14:textId="2C8A4118" w:rsidR="006134F4" w:rsidRPr="006134F4" w:rsidRDefault="006134F4" w:rsidP="006134F4">
      <w:pPr>
        <w:numPr>
          <w:ilvl w:val="0"/>
          <w:numId w:val="132"/>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هذه الدراسة تقدم دليلاً</w:t>
      </w:r>
      <w:r w:rsidR="00EB3C75">
        <w:rPr>
          <w:rFonts w:ascii="Sakkal Majalla" w:eastAsia="Times New Roman" w:hAnsi="Sakkal Majalla" w:cs="Sakkal Majalla" w:hint="cs"/>
          <w:sz w:val="28"/>
          <w:szCs w:val="28"/>
          <w:rtl/>
        </w:rPr>
        <w:t xml:space="preserve"> </w:t>
      </w:r>
      <w:r w:rsidRPr="006134F4">
        <w:rPr>
          <w:rFonts w:ascii="Sakkal Majalla" w:eastAsia="Times New Roman" w:hAnsi="Sakkal Majalla" w:cs="Sakkal Majalla"/>
          <w:sz w:val="28"/>
          <w:szCs w:val="28"/>
          <w:rtl/>
        </w:rPr>
        <w:t>من السوق السعودي، مما يجعلها شديدة الصلة ببحثنا</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تكمن في ربطها المباشر بين أحد مخرجات الحوكمة (جودة التقارير) وبين نتيجة تشغيلية (كفاءة الاستثمار)</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تتناول بُعدًا واحدًا من أبعاد الحوكمة، بينما تتبنى دراستنا منظورًا أشمل للحوكمة كمفهوم متعدد الأبعاد (شفافية، مساءلة، رقابة)، وتختبر أثره على التميز المؤسسي بشقيه، مما يقدم فهمًا أكثر تكاملاً</w:t>
      </w:r>
      <w:r w:rsidRPr="006134F4">
        <w:rPr>
          <w:rFonts w:ascii="Sakkal Majalla" w:eastAsia="Times New Roman" w:hAnsi="Sakkal Majalla" w:cs="Sakkal Majalla"/>
          <w:sz w:val="28"/>
          <w:szCs w:val="28"/>
        </w:rPr>
        <w:t>.</w:t>
      </w:r>
    </w:p>
    <w:p w14:paraId="55EDD9C4"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 </w:t>
      </w:r>
      <w:r w:rsidRPr="006134F4">
        <w:rPr>
          <w:rFonts w:ascii="Sakkal Majalla" w:eastAsia="Times New Roman" w:hAnsi="Sakkal Majalla" w:cs="Sakkal Majalla"/>
          <w:b/>
          <w:bCs/>
          <w:sz w:val="28"/>
          <w:szCs w:val="28"/>
          <w:rtl/>
        </w:rPr>
        <w:t>دراسة (القحطاني، 2022)</w:t>
      </w:r>
      <w:r w:rsidRPr="006134F4">
        <w:rPr>
          <w:rFonts w:ascii="Sakkal Majalla" w:eastAsia="Times New Roman" w:hAnsi="Sakkal Majalla" w:cs="Sakkal Majalla"/>
          <w:b/>
          <w:bCs/>
          <w:sz w:val="28"/>
          <w:szCs w:val="28"/>
        </w:rPr>
        <w:t>:</w:t>
      </w:r>
    </w:p>
    <w:p w14:paraId="20C80EDE" w14:textId="00F86049" w:rsidR="006134F4" w:rsidRPr="006134F4" w:rsidRDefault="006134F4" w:rsidP="006134F4">
      <w:pPr>
        <w:numPr>
          <w:ilvl w:val="0"/>
          <w:numId w:val="133"/>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 xml:space="preserve">أكدت هذه الدراسة السعودية على أهمية الإفصاح والشفافية كآلية لضمان حقوق المساهمين وتحسين كفاءة </w:t>
      </w:r>
      <w:r w:rsidR="00EB3C75" w:rsidRPr="006134F4">
        <w:rPr>
          <w:rFonts w:ascii="Sakkal Majalla" w:eastAsia="Times New Roman" w:hAnsi="Sakkal Majalla" w:cs="Sakkal Majalla" w:hint="cs"/>
          <w:sz w:val="28"/>
          <w:szCs w:val="28"/>
          <w:rtl/>
        </w:rPr>
        <w:t>الأداء.</w:t>
      </w:r>
    </w:p>
    <w:p w14:paraId="35EF2C3F" w14:textId="77777777" w:rsidR="006134F4" w:rsidRPr="00EB3C75" w:rsidRDefault="006134F4" w:rsidP="006134F4">
      <w:pPr>
        <w:numPr>
          <w:ilvl w:val="0"/>
          <w:numId w:val="133"/>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تؤكد هذه الدراسة السعودية على أهمية آلية محددة وهي "الإفصاح والشفافية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تدعم إحدى الركائز الأساسية في نموذجنا المقترح</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مثل سابقتها، تركز على جانب محدد وتنظر إلى الأثر المباشر على الأداء المالي، دون استكشاف المسار الكامل للتأثير عبر التميز التشغيلي وصولًا إلى التميز الاستراتيجي، وهو ما يمثل جوهر مساهمة دراستنا</w:t>
      </w:r>
      <w:r w:rsidRPr="006134F4">
        <w:rPr>
          <w:rFonts w:ascii="Sakkal Majalla" w:eastAsia="Times New Roman" w:hAnsi="Sakkal Majalla" w:cs="Sakkal Majalla"/>
          <w:sz w:val="28"/>
          <w:szCs w:val="28"/>
        </w:rPr>
        <w:t>.</w:t>
      </w:r>
    </w:p>
    <w:p w14:paraId="40B41F4B"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6D002CE4"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3457DC69" w14:textId="77777777" w:rsidR="00EB3C75" w:rsidRPr="006134F4" w:rsidRDefault="00EB3C75" w:rsidP="00EB3C75">
      <w:pPr>
        <w:bidi/>
        <w:spacing w:after="0" w:line="276" w:lineRule="auto"/>
        <w:jc w:val="both"/>
        <w:rPr>
          <w:rFonts w:ascii="Sakkal Majalla" w:eastAsia="Times New Roman" w:hAnsi="Sakkal Majalla" w:cs="Sakkal Majalla"/>
          <w:b/>
          <w:bCs/>
          <w:sz w:val="28"/>
          <w:szCs w:val="28"/>
        </w:rPr>
      </w:pPr>
    </w:p>
    <w:p w14:paraId="33813F4F" w14:textId="5700443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 </w:t>
      </w:r>
      <w:r w:rsidR="005E39A1">
        <w:rPr>
          <w:rFonts w:ascii="Sakkal Majalla" w:eastAsia="Times New Roman" w:hAnsi="Sakkal Majalla" w:cs="Sakkal Majalla"/>
          <w:b/>
          <w:bCs/>
          <w:sz w:val="28"/>
          <w:szCs w:val="28"/>
        </w:rPr>
        <w:t>-5</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w:t>
      </w:r>
      <w:proofErr w:type="spellStart"/>
      <w:r w:rsidRPr="006134F4">
        <w:rPr>
          <w:rFonts w:ascii="Sakkal Majalla" w:eastAsia="Times New Roman" w:hAnsi="Sakkal Majalla" w:cs="Sakkal Majalla"/>
          <w:b/>
          <w:bCs/>
          <w:sz w:val="28"/>
          <w:szCs w:val="28"/>
        </w:rPr>
        <w:t>Wandroski</w:t>
      </w:r>
      <w:proofErr w:type="spellEnd"/>
      <w:r w:rsidRPr="006134F4">
        <w:rPr>
          <w:rFonts w:ascii="Sakkal Majalla" w:eastAsia="Times New Roman" w:hAnsi="Sakkal Majalla" w:cs="Sakkal Majalla"/>
          <w:b/>
          <w:bCs/>
          <w:sz w:val="28"/>
          <w:szCs w:val="28"/>
        </w:rPr>
        <w:t xml:space="preserve"> Peris et al., 2017):</w:t>
      </w:r>
    </w:p>
    <w:p w14:paraId="00668C0D" w14:textId="77777777" w:rsidR="006134F4" w:rsidRPr="006134F4" w:rsidRDefault="006134F4" w:rsidP="006134F4">
      <w:pPr>
        <w:numPr>
          <w:ilvl w:val="0"/>
          <w:numId w:val="134"/>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وجدت هذه الدراسة أن آليات الحوكمة الفعالة تجبر الإدارة على تبني ممارسات أكثر انضباطاً، مما يرفع من كفاءة تخصيص الموارد</w:t>
      </w:r>
      <w:r w:rsidRPr="006134F4">
        <w:rPr>
          <w:rFonts w:ascii="Sakkal Majalla" w:eastAsia="Times New Roman" w:hAnsi="Sakkal Majalla" w:cs="Sakkal Majalla"/>
          <w:sz w:val="28"/>
          <w:szCs w:val="28"/>
        </w:rPr>
        <w:t>.</w:t>
      </w:r>
    </w:p>
    <w:p w14:paraId="791773BC" w14:textId="77777777" w:rsidR="006134F4" w:rsidRPr="00EB3C75" w:rsidRDefault="006134F4" w:rsidP="006134F4">
      <w:pPr>
        <w:numPr>
          <w:ilvl w:val="0"/>
          <w:numId w:val="134"/>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تفسيرًا نظريًا مهمًا، حيث تربط الحوكمة بـ "مشكلة الوكالة" على المستوى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تدعم الأساس النظري للعلاقة بين الحوكمة والتميز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تظل في الإطار النظري التقليدي للحوكمة كأداة لضبط الإدارة، ولا تختبر دورها كآلية استباقية وتطويرية تمكّن من تحقيق أهداف استراتيجية أبعد مدى</w:t>
      </w:r>
      <w:r w:rsidRPr="006134F4">
        <w:rPr>
          <w:rFonts w:ascii="Sakkal Majalla" w:eastAsia="Times New Roman" w:hAnsi="Sakkal Majalla" w:cs="Sakkal Majalla"/>
          <w:sz w:val="28"/>
          <w:szCs w:val="28"/>
        </w:rPr>
        <w:t>.</w:t>
      </w:r>
    </w:p>
    <w:p w14:paraId="49FB562C"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13BFE92A"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4-2 </w:t>
      </w:r>
      <w:r w:rsidRPr="006134F4">
        <w:rPr>
          <w:rFonts w:ascii="Sakkal Majalla" w:eastAsia="Times New Roman" w:hAnsi="Sakkal Majalla" w:cs="Sakkal Majalla"/>
          <w:b/>
          <w:bCs/>
          <w:sz w:val="28"/>
          <w:szCs w:val="28"/>
          <w:rtl/>
        </w:rPr>
        <w:t>دراسات تناولت أثر الحوكمة على التميز الاستراتيجي</w:t>
      </w:r>
    </w:p>
    <w:p w14:paraId="4460A77B"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يسعى الهدف التحليلي الثالث للدراسة إلى "قياس أثر تطبيق الحوكمة المؤسسية على تحقيق التميز الاستراتيجي". الدراسات في هذا المجال نادرة، وغالبًا ما تكون نظرية أو غير مباشرة، مما يبرز الفجوة البحثية التي تملؤها دراستنا</w:t>
      </w:r>
      <w:r w:rsidRPr="006134F4">
        <w:rPr>
          <w:rFonts w:ascii="Sakkal Majalla" w:eastAsia="Times New Roman" w:hAnsi="Sakkal Majalla" w:cs="Sakkal Majalla"/>
          <w:sz w:val="28"/>
          <w:szCs w:val="28"/>
        </w:rPr>
        <w:t>.</w:t>
      </w:r>
    </w:p>
    <w:p w14:paraId="4B05EE81"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Pr>
        <w:t xml:space="preserve">1. </w:t>
      </w:r>
      <w:r w:rsidRPr="006134F4">
        <w:rPr>
          <w:rFonts w:ascii="Sakkal Majalla" w:eastAsia="Times New Roman" w:hAnsi="Sakkal Majalla" w:cs="Sakkal Majalla"/>
          <w:sz w:val="28"/>
          <w:szCs w:val="28"/>
          <w:rtl/>
        </w:rPr>
        <w:t>دراسة</w:t>
      </w:r>
      <w:r w:rsidRPr="006134F4">
        <w:rPr>
          <w:rFonts w:ascii="Sakkal Majalla" w:eastAsia="Times New Roman" w:hAnsi="Sakkal Majalla" w:cs="Sakkal Majalla"/>
          <w:sz w:val="28"/>
          <w:szCs w:val="28"/>
        </w:rPr>
        <w:t xml:space="preserve"> (Bhatt &amp; Bhatt, 2017):</w:t>
      </w:r>
    </w:p>
    <w:p w14:paraId="3D9B9604" w14:textId="77777777" w:rsidR="006134F4" w:rsidRPr="006134F4" w:rsidRDefault="006134F4" w:rsidP="006134F4">
      <w:pPr>
        <w:numPr>
          <w:ilvl w:val="0"/>
          <w:numId w:val="135"/>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ربطت هذه الدراسة بين "الرشاقة التشغيلية" والقدرة على تحقيق أداء متفوق، مؤكدة أن هذه الرشاقة تتطلب إطار حوكمة قوي</w:t>
      </w:r>
      <w:r w:rsidRPr="006134F4">
        <w:rPr>
          <w:rFonts w:ascii="Sakkal Majalla" w:eastAsia="Times New Roman" w:hAnsi="Sakkal Majalla" w:cs="Sakkal Majalla"/>
          <w:sz w:val="28"/>
          <w:szCs w:val="28"/>
        </w:rPr>
        <w:t>.</w:t>
      </w:r>
    </w:p>
    <w:p w14:paraId="14D6F86A" w14:textId="77777777" w:rsidR="006134F4" w:rsidRPr="00EB3C75" w:rsidRDefault="006134F4" w:rsidP="006134F4">
      <w:pPr>
        <w:numPr>
          <w:ilvl w:val="0"/>
          <w:numId w:val="135"/>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هذه الدراسة مهمة للغاية لأنها تقدم "التميز التشغيلي" (الرشاقة) كجسر للوصول إلى الأداء المتفوق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أنها تدعم بشكل مباشر النموذج المتكامل الذي نقترحه، حيث التميز التشغيلي هو متغير وسيط</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لا تختبر دور الحوكمة كسبب رئيسي لبناء هذه الرشاقة التشغيلية. دراستنا تبدأ من الخطوة الأولى: كيف تؤسس الحوكمة لهذا التميز التشغيلي الذي يقود بدوره للتميز الاستراتيجي</w:t>
      </w:r>
      <w:r w:rsidRPr="006134F4">
        <w:rPr>
          <w:rFonts w:ascii="Sakkal Majalla" w:eastAsia="Times New Roman" w:hAnsi="Sakkal Majalla" w:cs="Sakkal Majalla"/>
          <w:sz w:val="28"/>
          <w:szCs w:val="28"/>
        </w:rPr>
        <w:t>.</w:t>
      </w:r>
    </w:p>
    <w:p w14:paraId="21FC8D28"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1604AFA3"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2.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(Teece, 2007):</w:t>
      </w:r>
    </w:p>
    <w:p w14:paraId="4CD2AB60" w14:textId="77777777" w:rsidR="006134F4" w:rsidRPr="006134F4" w:rsidRDefault="006134F4" w:rsidP="006134F4">
      <w:pPr>
        <w:numPr>
          <w:ilvl w:val="0"/>
          <w:numId w:val="136"/>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من خلال إطار "القدرات الديناميكية"، يوضح</w:t>
      </w:r>
      <w:r w:rsidRPr="006134F4">
        <w:rPr>
          <w:rFonts w:ascii="Sakkal Majalla" w:eastAsia="Times New Roman" w:hAnsi="Sakkal Majalla" w:cs="Sakkal Majalla"/>
          <w:sz w:val="28"/>
          <w:szCs w:val="28"/>
        </w:rPr>
        <w:t xml:space="preserve"> (Teece) </w:t>
      </w:r>
      <w:r w:rsidRPr="006134F4">
        <w:rPr>
          <w:rFonts w:ascii="Sakkal Majalla" w:eastAsia="Times New Roman" w:hAnsi="Sakkal Majalla" w:cs="Sakkal Majalla"/>
          <w:sz w:val="28"/>
          <w:szCs w:val="28"/>
          <w:rtl/>
        </w:rPr>
        <w:t>أن التميز في البيئات المتغيرة يتطلب قدرة على "استشعار" الفرص و"اغتنامها" و"إعادة تشكيل" الأعمال، ويرى أن الحوكمة، ودور مجلس الإدارة تحديداً، هي التي تحمي وتدعم الاستثمار الاستراتيجي طويل الأمد اللازم لبناء هذه القدرات</w:t>
      </w:r>
      <w:r w:rsidRPr="006134F4">
        <w:rPr>
          <w:rFonts w:ascii="Sakkal Majalla" w:eastAsia="Times New Roman" w:hAnsi="Sakkal Majalla" w:cs="Sakkal Majalla"/>
          <w:sz w:val="28"/>
          <w:szCs w:val="28"/>
        </w:rPr>
        <w:t>.</w:t>
      </w:r>
    </w:p>
    <w:p w14:paraId="49054D54" w14:textId="77777777" w:rsidR="006134F4" w:rsidRPr="006134F4" w:rsidRDefault="006134F4" w:rsidP="006134F4">
      <w:pPr>
        <w:numPr>
          <w:ilvl w:val="0"/>
          <w:numId w:val="136"/>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يقدم هذا العمل إطارًا نظريًا قويًا يفسر كيف يمكن للحوكمة أن تدعم الاستراتيجية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 لدراستنا هي أنه يوفر الغطاء النظري للفرضية الثانية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تبقى دراسة نظرية؛ فهي لا تقدم دليلاً تجريبياً يختبر هذه العلاقة في سياق ميداني، خاصة في بيئة الأعمال السعودية. دراستنا تهدف إلى اختبار هذا الإطار النظري عمليًا</w:t>
      </w:r>
      <w:r w:rsidRPr="006134F4">
        <w:rPr>
          <w:rFonts w:ascii="Sakkal Majalla" w:eastAsia="Times New Roman" w:hAnsi="Sakkal Majalla" w:cs="Sakkal Majalla"/>
          <w:sz w:val="28"/>
          <w:szCs w:val="28"/>
        </w:rPr>
        <w:t>.</w:t>
      </w:r>
    </w:p>
    <w:p w14:paraId="6B7465FB"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3.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(Accenture, 2021):</w:t>
      </w:r>
    </w:p>
    <w:p w14:paraId="6B793F8C" w14:textId="77777777" w:rsidR="006134F4" w:rsidRPr="006134F4" w:rsidRDefault="006134F4" w:rsidP="006134F4">
      <w:pPr>
        <w:numPr>
          <w:ilvl w:val="0"/>
          <w:numId w:val="137"/>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أظهر هذا التقرير أن "المرونة التنظيمية</w:t>
      </w:r>
      <w:r w:rsidRPr="006134F4">
        <w:rPr>
          <w:rFonts w:ascii="Sakkal Majalla" w:eastAsia="Times New Roman" w:hAnsi="Sakkal Majalla" w:cs="Sakkal Majalla"/>
          <w:sz w:val="28"/>
          <w:szCs w:val="28"/>
        </w:rPr>
        <w:t xml:space="preserve">" (Resilience) </w:t>
      </w:r>
      <w:r w:rsidRPr="006134F4">
        <w:rPr>
          <w:rFonts w:ascii="Sakkal Majalla" w:eastAsia="Times New Roman" w:hAnsi="Sakkal Majalla" w:cs="Sakkal Majalla"/>
          <w:sz w:val="28"/>
          <w:szCs w:val="28"/>
          <w:rtl/>
        </w:rPr>
        <w:t>هي نتاج مباشر لدمج إدارة المخاطر في صلب الاستراتيجية</w:t>
      </w:r>
      <w:r w:rsidRPr="006134F4">
        <w:rPr>
          <w:rFonts w:ascii="Sakkal Majalla" w:eastAsia="Times New Roman" w:hAnsi="Sakkal Majalla" w:cs="Sakkal Majalla"/>
          <w:sz w:val="28"/>
          <w:szCs w:val="28"/>
        </w:rPr>
        <w:t>.</w:t>
      </w:r>
    </w:p>
    <w:p w14:paraId="2587D752" w14:textId="77777777" w:rsidR="006134F4" w:rsidRPr="00EB3C75" w:rsidRDefault="006134F4" w:rsidP="006134F4">
      <w:pPr>
        <w:numPr>
          <w:ilvl w:val="0"/>
          <w:numId w:val="137"/>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هذا التقرير العملي يربط بين حوكمة المخاطر والمرونة التنظيمية (أحد أبعاد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 لدراستنا هي أنه يدعم فكرة الدور التطويري للحوكمة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 تقرير استشاري يركز على جانب واحد (المخاطر) ويفتقر إلى المنهجية الأكاديمية الصارمة لاختبار نموذج متكامل، وهو ما تقدمه دراستنا من خلال منهجية علمية واضحة</w:t>
      </w:r>
      <w:r w:rsidRPr="006134F4">
        <w:rPr>
          <w:rFonts w:ascii="Sakkal Majalla" w:eastAsia="Times New Roman" w:hAnsi="Sakkal Majalla" w:cs="Sakkal Majalla"/>
          <w:sz w:val="28"/>
          <w:szCs w:val="28"/>
        </w:rPr>
        <w:t>.</w:t>
      </w:r>
    </w:p>
    <w:p w14:paraId="0E87B350"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675C2932"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(Colquitt et al., 2001):</w:t>
      </w:r>
    </w:p>
    <w:p w14:paraId="55A55D25" w14:textId="77777777" w:rsidR="006134F4" w:rsidRPr="006134F4" w:rsidRDefault="006134F4" w:rsidP="006134F4">
      <w:pPr>
        <w:numPr>
          <w:ilvl w:val="0"/>
          <w:numId w:val="138"/>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أثبتت هذه الدراسة أن "العدالة التنظيمية" (كنتيجة للحوكمة) تقلل من دوران الموظفين، مما يساهم في بناء رأس المال البشري والذاكرة المؤسسية</w:t>
      </w:r>
      <w:r w:rsidRPr="006134F4">
        <w:rPr>
          <w:rFonts w:ascii="Sakkal Majalla" w:eastAsia="Times New Roman" w:hAnsi="Sakkal Majalla" w:cs="Sakkal Majalla"/>
          <w:sz w:val="28"/>
          <w:szCs w:val="28"/>
        </w:rPr>
        <w:t>.</w:t>
      </w:r>
    </w:p>
    <w:p w14:paraId="43F3498E" w14:textId="77777777" w:rsidR="006134F4" w:rsidRDefault="006134F4" w:rsidP="006134F4">
      <w:pPr>
        <w:numPr>
          <w:ilvl w:val="0"/>
          <w:numId w:val="138"/>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تربط هذه الدراسة مخرجات الحوكمة (العدالة) بأصل استراتيجي حاسم (رأس المال البشري)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تقدم دليلاً على مسار غير مباشر يمكن للحوكمة من خلاله التأثير على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لا تدمج هذا المسار ضمن نموذج شمولي يربطه بالتميز التشغيلي، بل تتناول علاقة ثنائية معزولة. دراستنا تجمع هذه الخيوط في إطار واحد متكامل</w:t>
      </w:r>
      <w:r w:rsidRPr="006134F4">
        <w:rPr>
          <w:rFonts w:ascii="Sakkal Majalla" w:eastAsia="Times New Roman" w:hAnsi="Sakkal Majalla" w:cs="Sakkal Majalla"/>
          <w:b/>
          <w:bCs/>
          <w:sz w:val="28"/>
          <w:szCs w:val="28"/>
        </w:rPr>
        <w:t>.</w:t>
      </w:r>
    </w:p>
    <w:p w14:paraId="456CD274"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6759A2C0"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5.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(Turban &amp; Greening, 1997):</w:t>
      </w:r>
    </w:p>
    <w:p w14:paraId="74C59B9B" w14:textId="77777777" w:rsidR="006134F4" w:rsidRPr="006134F4" w:rsidRDefault="006134F4" w:rsidP="006134F4">
      <w:pPr>
        <w:numPr>
          <w:ilvl w:val="0"/>
          <w:numId w:val="139"/>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أظهرت هذه الدراسة أن السمعة الأخلاقية للشركة (وهي نتاج الحوكمة) تجعلها "صاحب عمل مفضل"، مما يعزز قدرتها على جذب المواهب</w:t>
      </w:r>
      <w:r w:rsidRPr="006134F4">
        <w:rPr>
          <w:rFonts w:ascii="Sakkal Majalla" w:eastAsia="Times New Roman" w:hAnsi="Sakkal Majalla" w:cs="Sakkal Majalla"/>
          <w:sz w:val="28"/>
          <w:szCs w:val="28"/>
        </w:rPr>
        <w:t>.</w:t>
      </w:r>
    </w:p>
    <w:p w14:paraId="5BEF6CD0" w14:textId="77777777" w:rsidR="006134F4" w:rsidRPr="00EB3C75" w:rsidRDefault="006134F4" w:rsidP="006134F4">
      <w:pPr>
        <w:numPr>
          <w:ilvl w:val="0"/>
          <w:numId w:val="139"/>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تدعم هذه الدراسة الهدف الاستراتيجي للحوكمة في بناء رأس المال الفكري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تأكيدها على أهمية الحوكمة في جذب المواهب التي تقود الابتكار والتميز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كسابقتها، لا تضع هذه العلاقة ضمن نموذج متكامل يوضح مسار التأثير الكامل من الحوكمة إلى التميز التشغيلي ثم الاستراتيجي، وهو ما تسعى دراستنا لتحقيقه</w:t>
      </w:r>
      <w:r w:rsidRPr="006134F4">
        <w:rPr>
          <w:rFonts w:ascii="Sakkal Majalla" w:eastAsia="Times New Roman" w:hAnsi="Sakkal Majalla" w:cs="Sakkal Majalla"/>
          <w:sz w:val="28"/>
          <w:szCs w:val="28"/>
        </w:rPr>
        <w:t>.</w:t>
      </w:r>
    </w:p>
    <w:p w14:paraId="7C22608E"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04FAC2A7"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5731FBA0"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107FEEC2" w14:textId="77777777" w:rsidR="00EB3C75" w:rsidRPr="006134F4" w:rsidRDefault="00EB3C75" w:rsidP="00EB3C75">
      <w:pPr>
        <w:bidi/>
        <w:spacing w:after="0" w:line="276" w:lineRule="auto"/>
        <w:jc w:val="both"/>
        <w:rPr>
          <w:rFonts w:ascii="Sakkal Majalla" w:eastAsia="Times New Roman" w:hAnsi="Sakkal Majalla" w:cs="Sakkal Majalla"/>
          <w:b/>
          <w:bCs/>
          <w:sz w:val="28"/>
          <w:szCs w:val="28"/>
        </w:rPr>
      </w:pPr>
    </w:p>
    <w:p w14:paraId="0B2E49CC" w14:textId="50DD6DA8"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4-3</w:t>
      </w:r>
      <w:r w:rsidRPr="006134F4">
        <w:rPr>
          <w:rFonts w:ascii="Sakkal Majalla" w:eastAsia="Times New Roman" w:hAnsi="Sakkal Majalla" w:cs="Sakkal Majalla"/>
          <w:b/>
          <w:bCs/>
          <w:sz w:val="28"/>
          <w:szCs w:val="28"/>
          <w:rtl/>
        </w:rPr>
        <w:t>التعقيب على الدراسات السابقة وتحديد الفجوة البحثية</w:t>
      </w:r>
    </w:p>
    <w:p w14:paraId="09D1CF9C" w14:textId="03A8185A"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إن التحليل المنهجي للدراسات السابقة، عند ربطه بأهداف وإشكالية الدراسة المحددة في الفصل الأول، يكشف عن فجوات معرفية تسعى هذه الدراسة لمعالجتها</w:t>
      </w:r>
      <w:r w:rsidRPr="006134F4">
        <w:rPr>
          <w:rFonts w:ascii="Sakkal Majalla" w:eastAsia="Times New Roman" w:hAnsi="Sakkal Majalla" w:cs="Sakkal Majalla"/>
          <w:sz w:val="28"/>
          <w:szCs w:val="28"/>
        </w:rPr>
        <w:t>:</w:t>
      </w:r>
    </w:p>
    <w:p w14:paraId="51164580" w14:textId="77777777" w:rsidR="006134F4" w:rsidRPr="006134F4" w:rsidRDefault="006134F4" w:rsidP="006134F4">
      <w:pPr>
        <w:numPr>
          <w:ilvl w:val="0"/>
          <w:numId w:val="140"/>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فجوة النموذج المتكامل</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كما يتضح من التعقيب على الدراسات، فإنها تتناول العلاقة بشكل مجزأ. فلا توجد دراسة، خاصة في السياق السعودي، اختبرت النموذج المتكامل الذي يربط الحوكمة (السبب) بـ التميز التشغيلي (الوسيط) ثم بـ التميز الاستراتيجي (النتيجة النهائية). الدراسات الحالية تقف عند قياس الأثر المباشر للحوكمة على الأداء، دون شرح "مسار التأثير" الكامل</w:t>
      </w:r>
      <w:r w:rsidRPr="006134F4">
        <w:rPr>
          <w:rFonts w:ascii="Sakkal Majalla" w:eastAsia="Times New Roman" w:hAnsi="Sakkal Majalla" w:cs="Sakkal Majalla"/>
          <w:b/>
          <w:bCs/>
          <w:sz w:val="28"/>
          <w:szCs w:val="28"/>
        </w:rPr>
        <w:t>.</w:t>
      </w:r>
    </w:p>
    <w:p w14:paraId="5E751152" w14:textId="77777777" w:rsidR="006134F4" w:rsidRPr="006134F4" w:rsidRDefault="006134F4" w:rsidP="006134F4">
      <w:pPr>
        <w:numPr>
          <w:ilvl w:val="0"/>
          <w:numId w:val="14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فجوة الربط بين الوقاية والتطوير</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تساهم هذه الدراسة في تعميق فهم دور الحوكمة من خلال اختبارها كآلية مزدوجة: وقائية (تحد من المشاكل المؤسسية التي ذكرها</w:t>
      </w:r>
      <w:r w:rsidRPr="006134F4">
        <w:rPr>
          <w:rFonts w:ascii="Sakkal Majalla" w:eastAsia="Times New Roman" w:hAnsi="Sakkal Majalla" w:cs="Sakkal Majalla"/>
          <w:sz w:val="28"/>
          <w:szCs w:val="28"/>
        </w:rPr>
        <w:t xml:space="preserve"> Al-Saudi, 2021 </w:t>
      </w:r>
      <w:r w:rsidRPr="006134F4">
        <w:rPr>
          <w:rFonts w:ascii="Sakkal Majalla" w:eastAsia="Times New Roman" w:hAnsi="Sakkal Majalla" w:cs="Sakkal Majalla"/>
          <w:sz w:val="28"/>
          <w:szCs w:val="28"/>
          <w:rtl/>
        </w:rPr>
        <w:t>و</w:t>
      </w:r>
      <w:r w:rsidRPr="006134F4">
        <w:rPr>
          <w:rFonts w:ascii="Sakkal Majalla" w:eastAsia="Times New Roman" w:hAnsi="Sakkal Majalla" w:cs="Sakkal Majalla"/>
          <w:sz w:val="28"/>
          <w:szCs w:val="28"/>
        </w:rPr>
        <w:t xml:space="preserve"> Al-Otaibi, 2021)</w:t>
      </w:r>
      <w:r w:rsidRPr="006134F4">
        <w:rPr>
          <w:rFonts w:ascii="Sakkal Majalla" w:eastAsia="Times New Roman" w:hAnsi="Sakkal Majalla" w:cs="Sakkal Majalla"/>
          <w:sz w:val="28"/>
          <w:szCs w:val="28"/>
          <w:rtl/>
        </w:rPr>
        <w:t>، وتطويرية (تمكّن التميز بشقيه). الدراسات السابقة، كما أظهر التعقيب، ركزت على أحد الجانبين دون الآخر</w:t>
      </w:r>
      <w:r w:rsidRPr="006134F4">
        <w:rPr>
          <w:rFonts w:ascii="Sakkal Majalla" w:eastAsia="Times New Roman" w:hAnsi="Sakkal Majalla" w:cs="Sakkal Majalla"/>
          <w:sz w:val="28"/>
          <w:szCs w:val="28"/>
        </w:rPr>
        <w:t>.</w:t>
      </w:r>
    </w:p>
    <w:p w14:paraId="4C265E1D" w14:textId="4F0BE53E" w:rsidR="006134F4" w:rsidRPr="006134F4" w:rsidRDefault="006134F4" w:rsidP="006134F4">
      <w:pPr>
        <w:numPr>
          <w:ilvl w:val="0"/>
          <w:numId w:val="14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فجوة السياق المحلي الشمولي</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على الرغم من وجود دراسات سعودية مثل القحطاني، 2022؛ و</w:t>
      </w:r>
      <w:r w:rsidRPr="006134F4">
        <w:rPr>
          <w:rFonts w:ascii="Sakkal Majalla" w:eastAsia="Times New Roman" w:hAnsi="Sakkal Majalla" w:cs="Sakkal Majalla"/>
          <w:sz w:val="28"/>
          <w:szCs w:val="28"/>
        </w:rPr>
        <w:t xml:space="preserve"> Al-Matari et al., 2022)</w:t>
      </w:r>
      <w:r w:rsidRPr="006134F4">
        <w:rPr>
          <w:rFonts w:ascii="Sakkal Majalla" w:eastAsia="Times New Roman" w:hAnsi="Sakkal Majalla" w:cs="Sakkal Majalla"/>
          <w:sz w:val="28"/>
          <w:szCs w:val="28"/>
          <w:rtl/>
        </w:rPr>
        <w:t>، إلا أنها ركزت على جوانب محددة. هذه الدراسة تقدم منظوراً أشمل من خلال قياس أثر الحوكمة كمفهوم متعدد الأبعاد (شفافية، مساءلة، رقابة) على التميز المؤسسي كمفهوم متعدد الأبعاد أيضاً (تشغيلي واستراتيجي)، مما يقدم دليلاً تجريبياً حيوياً في سياق رؤية 2030</w:t>
      </w:r>
      <w:r w:rsidRPr="006134F4">
        <w:rPr>
          <w:rFonts w:ascii="Sakkal Majalla" w:eastAsia="Times New Roman" w:hAnsi="Sakkal Majalla" w:cs="Sakkal Majalla"/>
          <w:sz w:val="28"/>
          <w:szCs w:val="28"/>
        </w:rPr>
        <w:t>.</w:t>
      </w:r>
    </w:p>
    <w:p w14:paraId="4F62284C"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p>
    <w:p w14:paraId="35AB7A24" w14:textId="77777777" w:rsidR="00B7530E" w:rsidRPr="00216B67" w:rsidRDefault="00B7530E" w:rsidP="006134F4">
      <w:pPr>
        <w:bidi/>
        <w:spacing w:after="0" w:line="276" w:lineRule="auto"/>
        <w:ind w:left="720"/>
        <w:jc w:val="both"/>
        <w:rPr>
          <w:rFonts w:ascii="Sakkal Majalla" w:eastAsia="Times New Roman" w:hAnsi="Sakkal Majalla" w:cs="Sakkal Majalla"/>
          <w:sz w:val="28"/>
          <w:szCs w:val="28"/>
        </w:rPr>
      </w:pPr>
    </w:p>
    <w:p w14:paraId="79E316B6" w14:textId="564A823D" w:rsidR="007B3DE9" w:rsidRDefault="00C90328" w:rsidP="0083534F">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b/>
          <w:bCs/>
          <w:noProof/>
          <w:sz w:val="28"/>
          <w:szCs w:val="28"/>
        </w:rPr>
        <w:drawing>
          <wp:anchor distT="0" distB="0" distL="114300" distR="114300" simplePos="0" relativeHeight="251661824" behindDoc="1" locked="0" layoutInCell="1" allowOverlap="1" wp14:anchorId="08CD492E" wp14:editId="0355FD7B">
            <wp:simplePos x="0" y="0"/>
            <wp:positionH relativeFrom="margin">
              <wp:posOffset>1762125</wp:posOffset>
            </wp:positionH>
            <wp:positionV relativeFrom="paragraph">
              <wp:posOffset>10795</wp:posOffset>
            </wp:positionV>
            <wp:extent cx="1948815" cy="2477770"/>
            <wp:effectExtent l="0" t="0" r="0" b="0"/>
            <wp:wrapTight wrapText="bothSides">
              <wp:wrapPolygon edited="0">
                <wp:start x="0" y="0"/>
                <wp:lineTo x="0" y="21423"/>
                <wp:lineTo x="21326" y="21423"/>
                <wp:lineTo x="21326" y="0"/>
                <wp:lineTo x="0" y="0"/>
              </wp:wrapPolygon>
            </wp:wrapTight>
            <wp:docPr id="14715271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8815" cy="2477770"/>
                    </a:xfrm>
                    <a:prstGeom prst="rect">
                      <a:avLst/>
                    </a:prstGeom>
                    <a:noFill/>
                  </pic:spPr>
                </pic:pic>
              </a:graphicData>
            </a:graphic>
            <wp14:sizeRelH relativeFrom="page">
              <wp14:pctWidth>0</wp14:pctWidth>
            </wp14:sizeRelH>
            <wp14:sizeRelV relativeFrom="page">
              <wp14:pctHeight>0</wp14:pctHeight>
            </wp14:sizeRelV>
          </wp:anchor>
        </w:drawing>
      </w:r>
    </w:p>
    <w:p w14:paraId="381BCA5D" w14:textId="0B3DA0B2" w:rsidR="007B3DE9" w:rsidRDefault="007B3DE9" w:rsidP="0083534F">
      <w:pPr>
        <w:bidi/>
        <w:spacing w:after="0" w:line="276" w:lineRule="auto"/>
        <w:ind w:left="63"/>
        <w:jc w:val="both"/>
        <w:rPr>
          <w:rFonts w:ascii="Sakkal Majalla" w:eastAsia="Times New Roman" w:hAnsi="Sakkal Majalla" w:cs="Sakkal Majalla"/>
          <w:b/>
          <w:bCs/>
          <w:sz w:val="28"/>
          <w:szCs w:val="28"/>
        </w:rPr>
      </w:pPr>
    </w:p>
    <w:p w14:paraId="51A12C63" w14:textId="7DF18BC0" w:rsidR="009A7D90" w:rsidRDefault="009A7D90" w:rsidP="00A73C30">
      <w:pPr>
        <w:bidi/>
        <w:spacing w:after="0" w:line="240" w:lineRule="auto"/>
        <w:ind w:left="63"/>
        <w:jc w:val="center"/>
        <w:rPr>
          <w:rFonts w:ascii="Sakkal Majalla" w:eastAsia="Times New Roman" w:hAnsi="Sakkal Majalla" w:cs="Sakkal Majalla"/>
          <w:b/>
          <w:bCs/>
          <w:sz w:val="28"/>
          <w:szCs w:val="28"/>
        </w:rPr>
      </w:pPr>
    </w:p>
    <w:p w14:paraId="2A758AB8" w14:textId="77777777" w:rsidR="00D62C39" w:rsidRDefault="00D62C39" w:rsidP="00D62C39">
      <w:pPr>
        <w:bidi/>
        <w:spacing w:after="0" w:line="240" w:lineRule="auto"/>
        <w:ind w:left="63"/>
        <w:jc w:val="both"/>
        <w:rPr>
          <w:rFonts w:ascii="Sakkal Majalla" w:eastAsia="Times New Roman" w:hAnsi="Sakkal Majalla" w:cs="Sakkal Majalla"/>
          <w:b/>
          <w:bCs/>
          <w:sz w:val="28"/>
          <w:szCs w:val="28"/>
          <w:rtl/>
        </w:rPr>
      </w:pPr>
    </w:p>
    <w:p w14:paraId="1AB715E3"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468F193D"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61B14DD"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4F14E65"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F2DB431" w14:textId="77777777" w:rsidR="00203E13" w:rsidRDefault="00203E13" w:rsidP="00D634F5">
      <w:pPr>
        <w:bidi/>
        <w:spacing w:after="0" w:line="240" w:lineRule="auto"/>
        <w:jc w:val="both"/>
        <w:rPr>
          <w:rFonts w:ascii="Sakkal Majalla" w:eastAsia="Times New Roman" w:hAnsi="Sakkal Majalla" w:cs="Sakkal Majalla"/>
          <w:b/>
          <w:bCs/>
          <w:sz w:val="28"/>
          <w:szCs w:val="28"/>
          <w:rtl/>
        </w:rPr>
      </w:pPr>
    </w:p>
    <w:p w14:paraId="4B1F05EC" w14:textId="77777777" w:rsidR="00203E13" w:rsidRDefault="00203E13" w:rsidP="00203E13">
      <w:pPr>
        <w:bidi/>
        <w:spacing w:after="0" w:line="240" w:lineRule="auto"/>
        <w:ind w:left="63"/>
        <w:jc w:val="center"/>
        <w:rPr>
          <w:rFonts w:ascii="Sakkal Majalla" w:eastAsia="Times New Roman" w:hAnsi="Sakkal Majalla" w:cs="Sakkal Majalla"/>
          <w:b/>
          <w:bCs/>
          <w:sz w:val="28"/>
          <w:szCs w:val="28"/>
        </w:rPr>
      </w:pPr>
    </w:p>
    <w:p w14:paraId="682BF4BB" w14:textId="77777777" w:rsidR="00840A0E" w:rsidRDefault="00840A0E" w:rsidP="00840A0E">
      <w:pPr>
        <w:pStyle w:val="ListParagraph"/>
        <w:spacing w:before="100" w:beforeAutospacing="1" w:after="100" w:afterAutospacing="1" w:line="240" w:lineRule="auto"/>
        <w:ind w:left="142"/>
        <w:jc w:val="both"/>
        <w:rPr>
          <w:rFonts w:ascii="Times New Roman" w:eastAsia="Times New Roman" w:hAnsi="Times New Roman" w:cs="Times New Roman"/>
          <w:sz w:val="24"/>
          <w:szCs w:val="24"/>
          <w:rtl/>
        </w:rPr>
      </w:pPr>
    </w:p>
    <w:p w14:paraId="567315B1" w14:textId="77777777" w:rsidR="00840A0E" w:rsidRPr="00840A0E" w:rsidRDefault="00840A0E" w:rsidP="00840A0E">
      <w:pPr>
        <w:spacing w:before="100" w:beforeAutospacing="1" w:after="100" w:afterAutospacing="1" w:line="240" w:lineRule="auto"/>
        <w:jc w:val="both"/>
        <w:rPr>
          <w:rFonts w:ascii="Times New Roman" w:eastAsia="Times New Roman" w:hAnsi="Times New Roman" w:cs="Times New Roman"/>
          <w:sz w:val="24"/>
          <w:szCs w:val="24"/>
        </w:rPr>
      </w:pPr>
    </w:p>
    <w:p w14:paraId="544E3ECC" w14:textId="1DE83288"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r w:rsidRPr="00840A0E">
        <w:rPr>
          <w:rFonts w:ascii="Sakkal Majalla" w:eastAsia="Times New Roman" w:hAnsi="Sakkal Majalla" w:cs="Sakkal Majalla"/>
          <w:b/>
          <w:bCs/>
          <w:sz w:val="28"/>
          <w:szCs w:val="28"/>
          <w:rtl/>
        </w:rPr>
        <w:lastRenderedPageBreak/>
        <w:t>الفصل الثالث من أطروحة الدكتوراه، والذي يتضمن المنهجية البحثية والإجراءات المنهجية</w:t>
      </w:r>
    </w:p>
    <w:p w14:paraId="06991878"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tl/>
        </w:rPr>
      </w:pPr>
    </w:p>
    <w:p w14:paraId="4AD502BF" w14:textId="0756966F"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1-</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منهج الدراسة</w:t>
      </w:r>
    </w:p>
    <w:p w14:paraId="68D740DC"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اتبعت الدراسة المنهج الوصفي التحليلي، وهو منهج متكامل يهدف إلى تحقيق غايتين رئيسيتين</w:t>
      </w:r>
      <w:r w:rsidRPr="00840A0E">
        <w:rPr>
          <w:rFonts w:ascii="Sakkal Majalla" w:eastAsia="Times New Roman" w:hAnsi="Sakkal Majalla" w:cs="Sakkal Majalla"/>
          <w:sz w:val="28"/>
          <w:szCs w:val="28"/>
        </w:rPr>
        <w:t>:</w:t>
      </w:r>
    </w:p>
    <w:p w14:paraId="24E03235" w14:textId="77777777" w:rsidR="00840A0E" w:rsidRPr="00840A0E" w:rsidRDefault="00840A0E" w:rsidP="00840A0E">
      <w:pPr>
        <w:pStyle w:val="ListParagraph"/>
        <w:numPr>
          <w:ilvl w:val="0"/>
          <w:numId w:val="142"/>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الجانب الوصفي: توصيف واقع ممارسات الحوكمة المؤسسية، ومستوى كل من التميز التشغيلي والتميز الاستراتيجي في المنظمات السعودية المستهدفة</w:t>
      </w:r>
      <w:r w:rsidRPr="00840A0E">
        <w:rPr>
          <w:rFonts w:ascii="Sakkal Majalla" w:eastAsia="Times New Roman" w:hAnsi="Sakkal Majalla" w:cs="Sakkal Majalla"/>
          <w:sz w:val="28"/>
          <w:szCs w:val="28"/>
        </w:rPr>
        <w:t>.</w:t>
      </w:r>
    </w:p>
    <w:p w14:paraId="47F2DF83" w14:textId="77777777" w:rsidR="00840A0E" w:rsidRDefault="00840A0E" w:rsidP="00840A0E">
      <w:pPr>
        <w:pStyle w:val="ListParagraph"/>
        <w:numPr>
          <w:ilvl w:val="0"/>
          <w:numId w:val="142"/>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الجانب التحليلي: تحليل البيانات التي تم جمعها كميًا لاختبار الفرضيات، وقياس طبيعة وقوة العلاقة السببية بين الحوكمة المؤسسية (كمتغير مستقل) وكل من التميز التشغيلي والتميز الاستراتيجي (كمتغيرين تابعين)</w:t>
      </w:r>
      <w:r w:rsidRPr="00840A0E">
        <w:rPr>
          <w:rFonts w:ascii="Sakkal Majalla" w:eastAsia="Times New Roman" w:hAnsi="Sakkal Majalla" w:cs="Sakkal Majalla"/>
          <w:sz w:val="28"/>
          <w:szCs w:val="28"/>
        </w:rPr>
        <w:t>.</w:t>
      </w:r>
    </w:p>
    <w:p w14:paraId="70FB2546" w14:textId="77777777" w:rsidR="00840A0E" w:rsidRPr="00840A0E" w:rsidRDefault="00840A0E" w:rsidP="00840A0E">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4B7590A3" w14:textId="34A561C8"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2-</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مجتمع وعينة الدراسة</w:t>
      </w:r>
    </w:p>
    <w:p w14:paraId="783A9434" w14:textId="700E7CDA" w:rsidR="00840A0E" w:rsidRPr="00773D31" w:rsidRDefault="00840A0E" w:rsidP="004242AD">
      <w:pPr>
        <w:pStyle w:val="ListParagraph"/>
        <w:numPr>
          <w:ilvl w:val="0"/>
          <w:numId w:val="143"/>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مجتمع الدراسة: يتكون مجتمع الدراسة من منظمات</w:t>
      </w:r>
      <w:r w:rsidR="00773D31">
        <w:rPr>
          <w:rFonts w:ascii="Sakkal Majalla" w:eastAsia="Times New Roman" w:hAnsi="Sakkal Majalla" w:cs="Sakkal Majalla" w:hint="cs"/>
          <w:sz w:val="28"/>
          <w:szCs w:val="28"/>
          <w:rtl/>
        </w:rPr>
        <w:t xml:space="preserve"> متنوعة من بعض القطاعات</w:t>
      </w:r>
      <w:r w:rsidRPr="00840A0E">
        <w:rPr>
          <w:rFonts w:ascii="Sakkal Majalla" w:eastAsia="Times New Roman" w:hAnsi="Sakkal Majalla" w:cs="Sakkal Majalla"/>
          <w:sz w:val="28"/>
          <w:szCs w:val="28"/>
          <w:rtl/>
        </w:rPr>
        <w:t xml:space="preserve"> في المملكة العربية السعودية، ويشمل ذلك القطاع الحكومي (الوزارات والهيئات)، والقطاع شبه الحكومي، والقطاع الخاص ب</w:t>
      </w:r>
      <w:r w:rsidR="00A57AD3">
        <w:rPr>
          <w:rFonts w:ascii="Sakkal Majalla" w:eastAsia="Times New Roman" w:hAnsi="Sakkal Majalla" w:cs="Sakkal Majalla" w:hint="cs"/>
          <w:sz w:val="28"/>
          <w:szCs w:val="28"/>
          <w:rtl/>
        </w:rPr>
        <w:t>بعض قطاعاته</w:t>
      </w:r>
      <w:r w:rsidRPr="00840A0E">
        <w:rPr>
          <w:rFonts w:ascii="Sakkal Majalla" w:eastAsia="Times New Roman" w:hAnsi="Sakkal Majalla" w:cs="Sakkal Majalla"/>
          <w:sz w:val="28"/>
          <w:szCs w:val="28"/>
          <w:rtl/>
        </w:rPr>
        <w:t xml:space="preserve">. </w:t>
      </w:r>
      <w:r w:rsidR="00773D31">
        <w:rPr>
          <w:rFonts w:ascii="Sakkal Majalla" w:eastAsia="Times New Roman" w:hAnsi="Sakkal Majalla" w:cs="Sakkal Majalla" w:hint="cs"/>
          <w:sz w:val="28"/>
          <w:szCs w:val="28"/>
          <w:rtl/>
        </w:rPr>
        <w:t xml:space="preserve">وقد تم اختيار منظمات </w:t>
      </w:r>
      <w:r w:rsidR="00A57AD3">
        <w:rPr>
          <w:rFonts w:ascii="Sakkal Majalla" w:eastAsia="Times New Roman" w:hAnsi="Sakkal Majalla" w:cs="Sakkal Majalla" w:hint="cs"/>
          <w:sz w:val="28"/>
          <w:szCs w:val="28"/>
          <w:rtl/>
        </w:rPr>
        <w:t xml:space="preserve">متنوعة لإثراء مخرجات البحث وعكس </w:t>
      </w:r>
      <w:r w:rsidRPr="00773D31">
        <w:rPr>
          <w:rFonts w:ascii="Sakkal Majalla" w:eastAsia="Times New Roman" w:hAnsi="Sakkal Majalla" w:cs="Sakkal Majalla"/>
          <w:sz w:val="28"/>
          <w:szCs w:val="28"/>
          <w:rtl/>
        </w:rPr>
        <w:t>بيئ</w:t>
      </w:r>
      <w:r w:rsidR="00A57AD3">
        <w:rPr>
          <w:rFonts w:ascii="Sakkal Majalla" w:eastAsia="Times New Roman" w:hAnsi="Sakkal Majalla" w:cs="Sakkal Majalla" w:hint="cs"/>
          <w:sz w:val="28"/>
          <w:szCs w:val="28"/>
          <w:rtl/>
        </w:rPr>
        <w:t>ات تنظيمية ذات خلفيات متنوعة تعمل ضمن رؤية السعودية</w:t>
      </w:r>
      <w:r w:rsidR="004242AD">
        <w:rPr>
          <w:rFonts w:ascii="Sakkal Majalla" w:eastAsia="Times New Roman" w:hAnsi="Sakkal Majalla" w:cs="Sakkal Majalla" w:hint="cs"/>
          <w:sz w:val="28"/>
          <w:szCs w:val="28"/>
          <w:rtl/>
        </w:rPr>
        <w:t xml:space="preserve"> </w:t>
      </w:r>
      <w:r w:rsidR="004242AD" w:rsidRPr="004242AD">
        <w:rPr>
          <w:rFonts w:ascii="Sakkal Majalla" w:eastAsia="Times New Roman" w:hAnsi="Sakkal Majalla" w:cs="Sakkal Majalla" w:hint="cs"/>
          <w:sz w:val="28"/>
          <w:szCs w:val="28"/>
          <w:rtl/>
        </w:rPr>
        <w:t>2030</w:t>
      </w:r>
      <w:r w:rsidR="004242AD">
        <w:rPr>
          <w:rFonts w:ascii="Sakkal Majalla" w:eastAsia="Times New Roman" w:hAnsi="Sakkal Majalla" w:cs="Sakkal Majalla" w:hint="cs"/>
          <w:sz w:val="28"/>
          <w:szCs w:val="28"/>
          <w:rtl/>
        </w:rPr>
        <w:t xml:space="preserve"> وبهدف</w:t>
      </w:r>
      <w:r w:rsidR="004242AD" w:rsidRPr="004242AD">
        <w:rPr>
          <w:rFonts w:ascii="Sakkal Majalla" w:eastAsia="Times New Roman" w:hAnsi="Sakkal Majalla" w:cs="Sakkal Majalla"/>
          <w:sz w:val="28"/>
          <w:szCs w:val="28"/>
          <w:rtl/>
        </w:rPr>
        <w:t xml:space="preserve"> رصد أثر الحوكمة كتوجه وطني عام لا يقتصر على قطاع دون آخر</w:t>
      </w:r>
      <w:r w:rsidR="004242AD" w:rsidRPr="004242AD">
        <w:rPr>
          <w:rFonts w:ascii="Sakkal Majalla" w:eastAsia="Times New Roman" w:hAnsi="Sakkal Majalla" w:cs="Sakkal Majalla"/>
          <w:sz w:val="28"/>
          <w:szCs w:val="28"/>
        </w:rPr>
        <w:t xml:space="preserve"> (Al-Faryan, 2020)</w:t>
      </w:r>
      <w:r w:rsidR="00B46D43">
        <w:rPr>
          <w:rFonts w:ascii="Sakkal Majalla" w:eastAsia="Times New Roman" w:hAnsi="Sakkal Majalla" w:cs="Sakkal Majalla" w:hint="cs"/>
          <w:sz w:val="28"/>
          <w:szCs w:val="28"/>
          <w:rtl/>
        </w:rPr>
        <w:t>.</w:t>
      </w:r>
    </w:p>
    <w:p w14:paraId="3172247A" w14:textId="63755286" w:rsidR="004242AD" w:rsidRPr="00B46D43" w:rsidRDefault="00840A0E" w:rsidP="004242AD">
      <w:pPr>
        <w:pStyle w:val="ListParagraph"/>
        <w:numPr>
          <w:ilvl w:val="0"/>
          <w:numId w:val="143"/>
        </w:numPr>
        <w:bidi/>
        <w:jc w:val="both"/>
        <w:rPr>
          <w:rFonts w:ascii="Sakkal Majalla" w:hAnsi="Sakkal Majalla" w:cs="Sakkal Majalla"/>
          <w:sz w:val="28"/>
          <w:szCs w:val="28"/>
        </w:rPr>
      </w:pPr>
      <w:r w:rsidRPr="00840A0E">
        <w:rPr>
          <w:rFonts w:ascii="Sakkal Majalla" w:eastAsia="Times New Roman" w:hAnsi="Sakkal Majalla" w:cs="Sakkal Majalla"/>
          <w:sz w:val="28"/>
          <w:szCs w:val="28"/>
          <w:rtl/>
        </w:rPr>
        <w:t xml:space="preserve">عينة الدراسة: </w:t>
      </w:r>
      <w:r w:rsidR="004242AD" w:rsidRPr="004242AD">
        <w:rPr>
          <w:rFonts w:ascii="Sakkal Majalla" w:hAnsi="Sakkal Majalla" w:cs="Sakkal Majalla"/>
          <w:sz w:val="28"/>
          <w:szCs w:val="28"/>
          <w:rtl/>
        </w:rPr>
        <w:t>اعتمدت الدراسة على العينة القصدية</w:t>
      </w:r>
      <w:r w:rsidR="004242AD" w:rsidRPr="004242AD">
        <w:rPr>
          <w:rFonts w:ascii="Sakkal Majalla" w:hAnsi="Sakkal Majalla" w:cs="Sakkal Majalla"/>
          <w:sz w:val="28"/>
          <w:szCs w:val="28"/>
        </w:rPr>
        <w:t xml:space="preserve"> (Purposive Sample). </w:t>
      </w:r>
      <w:r w:rsidR="004242AD" w:rsidRPr="004242AD">
        <w:rPr>
          <w:rFonts w:ascii="Sakkal Majalla" w:hAnsi="Sakkal Majalla" w:cs="Sakkal Majalla"/>
          <w:sz w:val="28"/>
          <w:szCs w:val="28"/>
          <w:rtl/>
        </w:rPr>
        <w:t>شملت العينة (</w:t>
      </w:r>
      <w:r w:rsidR="004242AD">
        <w:rPr>
          <w:rFonts w:ascii="Sakkal Majalla" w:hAnsi="Sakkal Majalla" w:cs="Sakkal Majalla" w:hint="cs"/>
          <w:sz w:val="28"/>
          <w:szCs w:val="28"/>
          <w:rtl/>
        </w:rPr>
        <w:t>27</w:t>
      </w:r>
      <w:r w:rsidR="004242AD" w:rsidRPr="004242AD">
        <w:rPr>
          <w:rFonts w:ascii="Sakkal Majalla" w:hAnsi="Sakkal Majalla" w:cs="Sakkal Majalla"/>
          <w:sz w:val="28"/>
          <w:szCs w:val="28"/>
          <w:rtl/>
        </w:rPr>
        <w:t>) منظمة</w:t>
      </w:r>
      <w:r w:rsidR="00E3589F">
        <w:rPr>
          <w:rFonts w:ascii="Sakkal Majalla" w:hAnsi="Sakkal Majalla" w:cs="Sakkal Majalla" w:hint="cs"/>
          <w:sz w:val="28"/>
          <w:szCs w:val="28"/>
          <w:rtl/>
        </w:rPr>
        <w:t xml:space="preserve"> </w:t>
      </w:r>
      <w:r w:rsidR="004242AD" w:rsidRPr="00B46D43">
        <w:rPr>
          <w:rFonts w:ascii="Sakkal Majalla" w:hAnsi="Sakkal Majalla" w:cs="Sakkal Majalla"/>
          <w:sz w:val="28"/>
          <w:szCs w:val="28"/>
          <w:rtl/>
        </w:rPr>
        <w:t>تتوزع كما يلي</w:t>
      </w:r>
      <w:r w:rsidR="004242AD" w:rsidRPr="00B46D43">
        <w:rPr>
          <w:rFonts w:ascii="Sakkal Majalla" w:hAnsi="Sakkal Majalla" w:cs="Sakkal Majalla"/>
          <w:sz w:val="28"/>
          <w:szCs w:val="28"/>
        </w:rPr>
        <w:t>:</w:t>
      </w:r>
    </w:p>
    <w:p w14:paraId="02EE1B6A" w14:textId="241B4186" w:rsidR="004242AD" w:rsidRPr="004242AD" w:rsidRDefault="004242AD" w:rsidP="004242AD">
      <w:pPr>
        <w:pStyle w:val="ListParagraph"/>
        <w:numPr>
          <w:ilvl w:val="0"/>
          <w:numId w:val="143"/>
        </w:numPr>
        <w:bidi/>
        <w:jc w:val="both"/>
        <w:rPr>
          <w:rFonts w:ascii="Sakkal Majalla" w:eastAsia="Times New Roman" w:hAnsi="Sakkal Majalla" w:cs="Sakkal Majalla"/>
          <w:sz w:val="28"/>
          <w:szCs w:val="28"/>
        </w:rPr>
      </w:pPr>
      <w:r w:rsidRPr="004242AD">
        <w:rPr>
          <w:rFonts w:ascii="Sakkal Majalla" w:eastAsia="Times New Roman" w:hAnsi="Sakkal Majalla" w:cs="Sakkal Majalla"/>
          <w:sz w:val="28"/>
          <w:szCs w:val="28"/>
          <w:rtl/>
        </w:rPr>
        <w:t>القطاع الحكومي (</w:t>
      </w:r>
      <w:r w:rsidRPr="00B46D43">
        <w:rPr>
          <w:rFonts w:ascii="Sakkal Majalla" w:eastAsia="Times New Roman" w:hAnsi="Sakkal Majalla" w:cs="Sakkal Majalla" w:hint="cs"/>
          <w:sz w:val="28"/>
          <w:szCs w:val="28"/>
          <w:rtl/>
        </w:rPr>
        <w:t>2</w:t>
      </w:r>
      <w:r w:rsidRPr="004242AD">
        <w:rPr>
          <w:rFonts w:ascii="Sakkal Majalla" w:eastAsia="Times New Roman" w:hAnsi="Sakkal Majalla" w:cs="Sakkal Majalla"/>
          <w:sz w:val="28"/>
          <w:szCs w:val="28"/>
          <w:rtl/>
        </w:rPr>
        <w:t xml:space="preserve"> منظمات)</w:t>
      </w:r>
      <w:r w:rsidRPr="00B46D43">
        <w:rPr>
          <w:rFonts w:ascii="Sakkal Majalla" w:eastAsia="Times New Roman" w:hAnsi="Sakkal Majalla" w:cs="Sakkal Majalla" w:hint="cs"/>
          <w:sz w:val="28"/>
          <w:szCs w:val="28"/>
          <w:rtl/>
        </w:rPr>
        <w:t>.</w:t>
      </w:r>
    </w:p>
    <w:p w14:paraId="039E62BD" w14:textId="4E2D9D40" w:rsidR="004242AD" w:rsidRPr="004242AD" w:rsidRDefault="004242AD" w:rsidP="004242AD">
      <w:pPr>
        <w:pStyle w:val="ListParagraph"/>
        <w:numPr>
          <w:ilvl w:val="0"/>
          <w:numId w:val="143"/>
        </w:numPr>
        <w:bidi/>
        <w:jc w:val="both"/>
        <w:rPr>
          <w:rFonts w:ascii="Sakkal Majalla" w:eastAsia="Times New Roman" w:hAnsi="Sakkal Majalla" w:cs="Sakkal Majalla"/>
          <w:sz w:val="28"/>
          <w:szCs w:val="28"/>
        </w:rPr>
      </w:pPr>
      <w:r w:rsidRPr="004242AD">
        <w:rPr>
          <w:rFonts w:ascii="Sakkal Majalla" w:eastAsia="Times New Roman" w:hAnsi="Sakkal Majalla" w:cs="Sakkal Majalla"/>
          <w:sz w:val="28"/>
          <w:szCs w:val="28"/>
          <w:rtl/>
        </w:rPr>
        <w:t>القطاع شبه الحكومي (</w:t>
      </w:r>
      <w:r w:rsidRPr="00B46D43">
        <w:rPr>
          <w:rFonts w:ascii="Sakkal Majalla" w:eastAsia="Times New Roman" w:hAnsi="Sakkal Majalla" w:cs="Sakkal Majalla" w:hint="cs"/>
          <w:sz w:val="28"/>
          <w:szCs w:val="28"/>
          <w:rtl/>
        </w:rPr>
        <w:t>8</w:t>
      </w:r>
      <w:r w:rsidRPr="004242AD">
        <w:rPr>
          <w:rFonts w:ascii="Sakkal Majalla" w:eastAsia="Times New Roman" w:hAnsi="Sakkal Majalla" w:cs="Sakkal Majalla"/>
          <w:sz w:val="28"/>
          <w:szCs w:val="28"/>
          <w:rtl/>
        </w:rPr>
        <w:t xml:space="preserve"> منظمات)</w:t>
      </w:r>
      <w:r w:rsidRPr="004242AD">
        <w:rPr>
          <w:rFonts w:ascii="Sakkal Majalla" w:eastAsia="Times New Roman" w:hAnsi="Sakkal Majalla" w:cs="Sakkal Majalla"/>
          <w:sz w:val="28"/>
          <w:szCs w:val="28"/>
        </w:rPr>
        <w:t>.</w:t>
      </w:r>
    </w:p>
    <w:p w14:paraId="6E3EAD19" w14:textId="46F67EE2" w:rsidR="004242AD" w:rsidRPr="004242AD" w:rsidRDefault="004242AD" w:rsidP="004242AD">
      <w:pPr>
        <w:pStyle w:val="ListParagraph"/>
        <w:numPr>
          <w:ilvl w:val="0"/>
          <w:numId w:val="143"/>
        </w:numPr>
        <w:bidi/>
        <w:jc w:val="both"/>
        <w:rPr>
          <w:rFonts w:ascii="Sakkal Majalla" w:eastAsia="Times New Roman" w:hAnsi="Sakkal Majalla" w:cs="Sakkal Majalla"/>
          <w:sz w:val="28"/>
          <w:szCs w:val="28"/>
        </w:rPr>
      </w:pPr>
      <w:r w:rsidRPr="004242AD">
        <w:rPr>
          <w:rFonts w:ascii="Sakkal Majalla" w:eastAsia="Times New Roman" w:hAnsi="Sakkal Majalla" w:cs="Sakkal Majalla"/>
          <w:sz w:val="28"/>
          <w:szCs w:val="28"/>
          <w:rtl/>
        </w:rPr>
        <w:t>القطاع الخاص (</w:t>
      </w:r>
      <w:r w:rsidRPr="00B46D43">
        <w:rPr>
          <w:rFonts w:ascii="Sakkal Majalla" w:eastAsia="Times New Roman" w:hAnsi="Sakkal Majalla" w:cs="Sakkal Majalla" w:hint="cs"/>
          <w:sz w:val="28"/>
          <w:szCs w:val="28"/>
          <w:rtl/>
        </w:rPr>
        <w:t>17</w:t>
      </w:r>
      <w:r w:rsidRPr="004242AD">
        <w:rPr>
          <w:rFonts w:ascii="Sakkal Majalla" w:eastAsia="Times New Roman" w:hAnsi="Sakkal Majalla" w:cs="Sakkal Majalla"/>
          <w:sz w:val="28"/>
          <w:szCs w:val="28"/>
          <w:rtl/>
        </w:rPr>
        <w:t xml:space="preserve"> منظم</w:t>
      </w:r>
      <w:r w:rsidRPr="00B46D43">
        <w:rPr>
          <w:rFonts w:ascii="Sakkal Majalla" w:eastAsia="Times New Roman" w:hAnsi="Sakkal Majalla" w:cs="Sakkal Majalla" w:hint="cs"/>
          <w:sz w:val="28"/>
          <w:szCs w:val="28"/>
          <w:rtl/>
        </w:rPr>
        <w:t>ة</w:t>
      </w:r>
      <w:r w:rsidRPr="004242AD">
        <w:rPr>
          <w:rFonts w:ascii="Sakkal Majalla" w:eastAsia="Times New Roman" w:hAnsi="Sakkal Majalla" w:cs="Sakkal Majalla"/>
          <w:sz w:val="28"/>
          <w:szCs w:val="28"/>
          <w:rtl/>
        </w:rPr>
        <w:t>)</w:t>
      </w:r>
      <w:r w:rsidRPr="004242AD">
        <w:rPr>
          <w:rFonts w:ascii="Sakkal Majalla" w:eastAsia="Times New Roman" w:hAnsi="Sakkal Majalla" w:cs="Sakkal Majalla"/>
          <w:sz w:val="28"/>
          <w:szCs w:val="28"/>
        </w:rPr>
        <w:t>.</w:t>
      </w:r>
    </w:p>
    <w:p w14:paraId="627108F5" w14:textId="6414C057" w:rsidR="00F0631A" w:rsidRPr="00C67AC4" w:rsidRDefault="00890A2F" w:rsidP="00C67AC4">
      <w:pPr>
        <w:bidi/>
        <w:spacing w:before="100" w:beforeAutospacing="1" w:after="100" w:afterAutospacing="1" w:line="240" w:lineRule="auto"/>
        <w:jc w:val="both"/>
        <w:rPr>
          <w:rFonts w:ascii="Sakkal Majalla" w:eastAsia="Times New Roman" w:hAnsi="Sakkal Majalla" w:cs="Sakkal Majalla"/>
          <w:sz w:val="28"/>
          <w:szCs w:val="28"/>
        </w:rPr>
      </w:pPr>
      <w:r w:rsidRPr="00C67AC4">
        <w:rPr>
          <w:rFonts w:ascii="Sakkal Majalla" w:eastAsia="Times New Roman" w:hAnsi="Sakkal Majalla" w:cs="Sakkal Majalla" w:hint="cs"/>
          <w:sz w:val="28"/>
          <w:szCs w:val="28"/>
          <w:rtl/>
        </w:rPr>
        <w:t xml:space="preserve">استهدف البحث </w:t>
      </w:r>
      <w:r w:rsidRPr="00C67AC4">
        <w:rPr>
          <w:rFonts w:ascii="Sakkal Majalla" w:eastAsia="Times New Roman" w:hAnsi="Sakkal Majalla" w:cs="Sakkal Majalla"/>
          <w:sz w:val="28"/>
          <w:szCs w:val="28"/>
          <w:rtl/>
        </w:rPr>
        <w:t>اختيار عينة</w:t>
      </w:r>
      <w:r w:rsidRPr="00C67AC4">
        <w:rPr>
          <w:rFonts w:ascii="Sakkal Majalla" w:eastAsia="Times New Roman" w:hAnsi="Sakkal Majalla" w:cs="Sakkal Majalla" w:hint="cs"/>
          <w:sz w:val="28"/>
          <w:szCs w:val="28"/>
          <w:rtl/>
        </w:rPr>
        <w:t xml:space="preserve"> مكونة من </w:t>
      </w:r>
      <w:r w:rsidR="00C67AC4">
        <w:rPr>
          <w:rFonts w:ascii="Sakkal Majalla" w:eastAsia="Times New Roman" w:hAnsi="Sakkal Majalla" w:cs="Sakkal Majalla" w:hint="cs"/>
          <w:sz w:val="28"/>
          <w:szCs w:val="28"/>
          <w:rtl/>
        </w:rPr>
        <w:t>68</w:t>
      </w:r>
      <w:r w:rsidRPr="00C67AC4">
        <w:rPr>
          <w:rFonts w:ascii="Sakkal Majalla" w:eastAsia="Times New Roman" w:hAnsi="Sakkal Majalla" w:cs="Sakkal Majalla" w:hint="cs"/>
          <w:sz w:val="28"/>
          <w:szCs w:val="28"/>
          <w:rtl/>
        </w:rPr>
        <w:t xml:space="preserve"> فردًا تقريبُا </w:t>
      </w:r>
      <w:r w:rsidRPr="00C67AC4">
        <w:rPr>
          <w:rFonts w:ascii="Sakkal Majalla" w:eastAsia="Times New Roman" w:hAnsi="Sakkal Majalla" w:cs="Sakkal Majalla"/>
          <w:sz w:val="28"/>
          <w:szCs w:val="28"/>
          <w:rtl/>
        </w:rPr>
        <w:t xml:space="preserve">من المجموعات القيادية والإدارية </w:t>
      </w:r>
      <w:r w:rsidR="00B20021" w:rsidRPr="00C67AC4">
        <w:rPr>
          <w:rFonts w:ascii="Sakkal Majalla" w:eastAsia="Times New Roman" w:hAnsi="Sakkal Majalla" w:cs="Sakkal Majalla" w:hint="cs"/>
          <w:sz w:val="28"/>
          <w:szCs w:val="28"/>
          <w:rtl/>
        </w:rPr>
        <w:t>ينتمون إلى قطاعات رئيسية مختلفة</w:t>
      </w:r>
      <w:r w:rsidRPr="00C67AC4">
        <w:rPr>
          <w:rFonts w:ascii="Sakkal Majalla" w:eastAsia="Times New Roman" w:hAnsi="Sakkal Majalla" w:cs="Sakkal Majalla"/>
          <w:sz w:val="28"/>
          <w:szCs w:val="28"/>
          <w:rtl/>
        </w:rPr>
        <w:t>. وقد تم تحديد هذا الحجم لضمان تمثيل إحصائي ذو دلالة</w:t>
      </w:r>
      <w:r w:rsidR="00F0631A" w:rsidRPr="00C67AC4">
        <w:rPr>
          <w:rFonts w:ascii="Sakkal Majalla" w:eastAsia="Times New Roman" w:hAnsi="Sakkal Majalla" w:cs="Sakkal Majalla" w:hint="cs"/>
          <w:sz w:val="28"/>
          <w:szCs w:val="28"/>
          <w:rtl/>
        </w:rPr>
        <w:t>.</w:t>
      </w:r>
    </w:p>
    <w:p w14:paraId="2FF801E4" w14:textId="77777777" w:rsidR="00840A0E" w:rsidRPr="00840A0E" w:rsidRDefault="00840A0E" w:rsidP="00840A0E">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1858C506" w14:textId="5DE217B8"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840A0E">
        <w:rPr>
          <w:rFonts w:ascii="Sakkal Majalla" w:eastAsia="Times New Roman" w:hAnsi="Sakkal Majalla" w:cs="Sakkal Majalla" w:hint="cs"/>
          <w:b/>
          <w:bCs/>
          <w:sz w:val="28"/>
          <w:szCs w:val="28"/>
          <w:rtl/>
        </w:rPr>
        <w:t>3-</w:t>
      </w:r>
      <w:r w:rsidRPr="00840A0E">
        <w:rPr>
          <w:rFonts w:ascii="Sakkal Majalla" w:eastAsia="Times New Roman" w:hAnsi="Sakkal Majalla" w:cs="Sakkal Majalla"/>
          <w:b/>
          <w:bCs/>
          <w:sz w:val="28"/>
          <w:szCs w:val="28"/>
        </w:rPr>
        <w:t xml:space="preserve"> </w:t>
      </w:r>
      <w:r w:rsidRPr="00840A0E">
        <w:rPr>
          <w:rFonts w:ascii="Sakkal Majalla" w:eastAsia="Times New Roman" w:hAnsi="Sakkal Majalla" w:cs="Sakkal Majalla"/>
          <w:b/>
          <w:bCs/>
          <w:sz w:val="28"/>
          <w:szCs w:val="28"/>
          <w:rtl/>
        </w:rPr>
        <w:t>أداة جمع البيانات وإجراءات التحقق منها</w:t>
      </w:r>
    </w:p>
    <w:p w14:paraId="208B373F" w14:textId="60F7BC1F"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 xml:space="preserve">أداة الدراسة: تم الاعتماد على الاستبيان كأداة رئيسية لجمع البيانات الأولية، حيث تم تصميمه خصيصًا لقياس متغيرات الدراسة </w:t>
      </w:r>
      <w:r w:rsidR="00A035EB">
        <w:rPr>
          <w:rFonts w:ascii="Sakkal Majalla" w:eastAsia="Times New Roman" w:hAnsi="Sakkal Majalla" w:cs="Sakkal Majalla" w:hint="cs"/>
          <w:sz w:val="28"/>
          <w:szCs w:val="28"/>
          <w:rtl/>
        </w:rPr>
        <w:t>و</w:t>
      </w:r>
      <w:r w:rsidRPr="00840A0E">
        <w:rPr>
          <w:rFonts w:ascii="Sakkal Majalla" w:eastAsia="Times New Roman" w:hAnsi="Sakkal Majalla" w:cs="Sakkal Majalla"/>
          <w:sz w:val="28"/>
          <w:szCs w:val="28"/>
          <w:rtl/>
        </w:rPr>
        <w:t>يتكون من الأجزاء التالية</w:t>
      </w:r>
      <w:r w:rsidRPr="00840A0E">
        <w:rPr>
          <w:rFonts w:ascii="Sakkal Majalla" w:eastAsia="Times New Roman" w:hAnsi="Sakkal Majalla" w:cs="Sakkal Majalla"/>
          <w:sz w:val="28"/>
          <w:szCs w:val="28"/>
        </w:rPr>
        <w:t>:</w:t>
      </w:r>
    </w:p>
    <w:p w14:paraId="17D32AFB" w14:textId="21C62D11" w:rsidR="00840A0E" w:rsidRPr="00840A0E" w:rsidRDefault="00840A0E" w:rsidP="00A035EB">
      <w:pPr>
        <w:pStyle w:val="ListParagraph"/>
        <w:numPr>
          <w:ilvl w:val="0"/>
          <w:numId w:val="144"/>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الأول: معلومات أساسية (ديموغرافية)</w:t>
      </w:r>
      <w:r w:rsidRPr="00840A0E">
        <w:rPr>
          <w:rFonts w:ascii="Sakkal Majalla" w:eastAsia="Times New Roman" w:hAnsi="Sakkal Majalla" w:cs="Sakkal Majalla"/>
          <w:sz w:val="28"/>
          <w:szCs w:val="28"/>
        </w:rPr>
        <w:t>.</w:t>
      </w:r>
    </w:p>
    <w:p w14:paraId="1B24906A" w14:textId="41BA9845" w:rsidR="00840A0E" w:rsidRDefault="00840A0E" w:rsidP="00A035EB">
      <w:pPr>
        <w:pStyle w:val="ListParagraph"/>
        <w:numPr>
          <w:ilvl w:val="0"/>
          <w:numId w:val="144"/>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الثاني: محور قياس المتغير المستقل (الحوكمة )</w:t>
      </w:r>
      <w:r w:rsidR="00C67AC4" w:rsidRPr="00C67AC4">
        <w:t xml:space="preserve"> </w:t>
      </w:r>
      <w:r w:rsidR="00C67AC4" w:rsidRPr="00C67AC4">
        <w:rPr>
          <w:rFonts w:ascii="Sakkal Majalla" w:eastAsia="Times New Roman" w:hAnsi="Sakkal Majalla" w:cs="Sakkal Majalla"/>
          <w:sz w:val="28"/>
          <w:szCs w:val="28"/>
          <w:rtl/>
        </w:rPr>
        <w:t xml:space="preserve">(6) عبارات (الفقرات 1-6)، تم اشتقاقها من "الدليل </w:t>
      </w:r>
      <w:proofErr w:type="spellStart"/>
      <w:r w:rsidR="00C67AC4" w:rsidRPr="00C67AC4">
        <w:rPr>
          <w:rFonts w:ascii="Sakkal Majalla" w:eastAsia="Times New Roman" w:hAnsi="Sakkal Majalla" w:cs="Sakkal Majalla"/>
          <w:sz w:val="28"/>
          <w:szCs w:val="28"/>
          <w:rtl/>
        </w:rPr>
        <w:t>الاسترشادي</w:t>
      </w:r>
      <w:proofErr w:type="spellEnd"/>
      <w:r w:rsidR="00C67AC4" w:rsidRPr="00C67AC4">
        <w:rPr>
          <w:rFonts w:ascii="Sakkal Majalla" w:eastAsia="Times New Roman" w:hAnsi="Sakkal Majalla" w:cs="Sakkal Majalla"/>
          <w:sz w:val="28"/>
          <w:szCs w:val="28"/>
          <w:rtl/>
        </w:rPr>
        <w:t xml:space="preserve"> لحوكمة الجهات العامة (2020)" ومعايير (</w:t>
      </w:r>
      <w:r w:rsidR="00C67AC4" w:rsidRPr="00C67AC4">
        <w:rPr>
          <w:rFonts w:ascii="Sakkal Majalla" w:eastAsia="Times New Roman" w:hAnsi="Sakkal Majalla" w:cs="Sakkal Majalla"/>
          <w:sz w:val="28"/>
          <w:szCs w:val="28"/>
        </w:rPr>
        <w:t>OECD, 2015</w:t>
      </w:r>
      <w:r w:rsidR="00C67AC4" w:rsidRPr="00C67AC4">
        <w:rPr>
          <w:rFonts w:ascii="Sakkal Majalla" w:eastAsia="Times New Roman" w:hAnsi="Sakkal Majalla" w:cs="Sakkal Majalla"/>
          <w:sz w:val="28"/>
          <w:szCs w:val="28"/>
          <w:rtl/>
        </w:rPr>
        <w:t>).</w:t>
      </w:r>
    </w:p>
    <w:p w14:paraId="1B298157" w14:textId="77777777" w:rsidR="00C67AC4" w:rsidRPr="00840A0E" w:rsidRDefault="00C67AC4" w:rsidP="00C67AC4">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64C4F2F2" w14:textId="6364C643" w:rsidR="00840A0E" w:rsidRPr="00840A0E" w:rsidRDefault="00840A0E" w:rsidP="00A035EB">
      <w:pPr>
        <w:pStyle w:val="ListParagraph"/>
        <w:numPr>
          <w:ilvl w:val="0"/>
          <w:numId w:val="144"/>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الثالث: محور قياس المتغير التابع الأول (التميز التشغيلي)</w:t>
      </w:r>
      <w:r w:rsidR="00C67AC4" w:rsidRPr="00C67AC4">
        <w:t xml:space="preserve"> </w:t>
      </w:r>
      <w:r w:rsidR="00C67AC4" w:rsidRPr="00C67AC4">
        <w:rPr>
          <w:rFonts w:ascii="Sakkal Majalla" w:eastAsia="Times New Roman" w:hAnsi="Sakkal Majalla" w:cs="Sakkal Majalla"/>
          <w:sz w:val="28"/>
          <w:szCs w:val="28"/>
          <w:rtl/>
        </w:rPr>
        <w:t>(5) عبارات (الفقرات 7-11)، استندت إلى إطار (</w:t>
      </w:r>
      <w:r w:rsidR="00C67AC4" w:rsidRPr="00C67AC4">
        <w:rPr>
          <w:rFonts w:ascii="Sakkal Majalla" w:eastAsia="Times New Roman" w:hAnsi="Sakkal Majalla" w:cs="Sakkal Majalla"/>
          <w:sz w:val="28"/>
          <w:szCs w:val="28"/>
        </w:rPr>
        <w:t>COSO, 2013</w:t>
      </w:r>
      <w:r w:rsidR="00C67AC4" w:rsidRPr="00C67AC4">
        <w:rPr>
          <w:rFonts w:ascii="Sakkal Majalla" w:eastAsia="Times New Roman" w:hAnsi="Sakkal Majalla" w:cs="Sakkal Majalla"/>
          <w:sz w:val="28"/>
          <w:szCs w:val="28"/>
          <w:rtl/>
        </w:rPr>
        <w:t>).</w:t>
      </w:r>
    </w:p>
    <w:p w14:paraId="72A90FD8" w14:textId="2C16F34C" w:rsidR="00840A0E" w:rsidRDefault="00840A0E" w:rsidP="00A035EB">
      <w:pPr>
        <w:pStyle w:val="ListParagraph"/>
        <w:numPr>
          <w:ilvl w:val="0"/>
          <w:numId w:val="144"/>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الجزء الرابع: محور قياس المتغير التابع الثاني (التميز الاستراتيجي)</w:t>
      </w:r>
      <w:r w:rsidR="00C67AC4" w:rsidRPr="00C67AC4">
        <w:t xml:space="preserve"> </w:t>
      </w:r>
      <w:r w:rsidR="00C67AC4" w:rsidRPr="00C67AC4">
        <w:rPr>
          <w:rFonts w:ascii="Sakkal Majalla" w:eastAsia="Times New Roman" w:hAnsi="Sakkal Majalla" w:cs="Sakkal Majalla"/>
          <w:sz w:val="28"/>
          <w:szCs w:val="28"/>
          <w:rtl/>
        </w:rPr>
        <w:t>(5) عبارات (الفقرات 12-16)، تم تطويرها بناءً على نموذج (</w:t>
      </w:r>
      <w:r w:rsidR="00C67AC4" w:rsidRPr="00C67AC4">
        <w:rPr>
          <w:rFonts w:ascii="Sakkal Majalla" w:eastAsia="Times New Roman" w:hAnsi="Sakkal Majalla" w:cs="Sakkal Majalla"/>
          <w:sz w:val="28"/>
          <w:szCs w:val="28"/>
        </w:rPr>
        <w:t>Teece et al., 1997</w:t>
      </w:r>
      <w:r w:rsidR="00C67AC4" w:rsidRPr="00C67AC4">
        <w:rPr>
          <w:rFonts w:ascii="Sakkal Majalla" w:eastAsia="Times New Roman" w:hAnsi="Sakkal Majalla" w:cs="Sakkal Majalla"/>
          <w:sz w:val="28"/>
          <w:szCs w:val="28"/>
          <w:rtl/>
        </w:rPr>
        <w:t>).</w:t>
      </w:r>
    </w:p>
    <w:p w14:paraId="5DEF62A8" w14:textId="1A119B7A" w:rsidR="00A035EB" w:rsidRPr="00E3589F" w:rsidRDefault="00C67AC4" w:rsidP="00C17FC3">
      <w:pPr>
        <w:pStyle w:val="ListParagraph"/>
        <w:numPr>
          <w:ilvl w:val="0"/>
          <w:numId w:val="144"/>
        </w:numPr>
        <w:bidi/>
        <w:spacing w:before="100" w:beforeAutospacing="1" w:after="100" w:afterAutospacing="1" w:line="240" w:lineRule="auto"/>
        <w:jc w:val="both"/>
        <w:rPr>
          <w:rFonts w:ascii="Sakkal Majalla" w:eastAsia="Times New Roman" w:hAnsi="Sakkal Majalla" w:cs="Sakkal Majalla"/>
          <w:sz w:val="28"/>
          <w:szCs w:val="28"/>
          <w:rtl/>
        </w:rPr>
      </w:pPr>
      <w:r w:rsidRPr="00E3589F">
        <w:rPr>
          <w:rFonts w:ascii="Sakkal Majalla" w:eastAsia="Times New Roman" w:hAnsi="Sakkal Majalla" w:cs="Sakkal Majalla"/>
          <w:sz w:val="28"/>
          <w:szCs w:val="28"/>
          <w:rtl/>
        </w:rPr>
        <w:t>المحور الاستكشافي: (2) عبارة (الفقرات 17-18) لتعزيز التحليل النوعي</w:t>
      </w:r>
      <w:r w:rsidR="00E3589F">
        <w:rPr>
          <w:rFonts w:ascii="Sakkal Majalla" w:eastAsia="Times New Roman" w:hAnsi="Sakkal Majalla" w:cs="Sakkal Majalla" w:hint="cs"/>
          <w:sz w:val="28"/>
          <w:szCs w:val="28"/>
          <w:rtl/>
        </w:rPr>
        <w:t>.</w:t>
      </w:r>
    </w:p>
    <w:p w14:paraId="3C0FE48F" w14:textId="77777777" w:rsidR="00A035EB" w:rsidRPr="00840A0E" w:rsidRDefault="00A035EB" w:rsidP="00A035EB">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5AD1BAD1"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إجراءات التحقق من الأداة: لضمان جودة البيانات المجمعة، تم إجراء اختبارات الصدق والثبات التالية</w:t>
      </w:r>
      <w:r w:rsidRPr="00840A0E">
        <w:rPr>
          <w:rFonts w:ascii="Sakkal Majalla" w:eastAsia="Times New Roman" w:hAnsi="Sakkal Majalla" w:cs="Sakkal Majalla"/>
          <w:sz w:val="28"/>
          <w:szCs w:val="28"/>
        </w:rPr>
        <w:t>:</w:t>
      </w:r>
    </w:p>
    <w:p w14:paraId="3AF8CCC0" w14:textId="79CB3FB4" w:rsidR="00840A0E" w:rsidRPr="00840A0E" w:rsidRDefault="00840A0E" w:rsidP="00A035EB">
      <w:pPr>
        <w:pStyle w:val="ListParagraph"/>
        <w:numPr>
          <w:ilvl w:val="0"/>
          <w:numId w:val="145"/>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الصدق</w:t>
      </w:r>
      <w:r w:rsidRPr="00840A0E">
        <w:rPr>
          <w:rFonts w:ascii="Sakkal Majalla" w:eastAsia="Times New Roman" w:hAnsi="Sakkal Majalla" w:cs="Sakkal Majalla"/>
          <w:sz w:val="28"/>
          <w:szCs w:val="28"/>
        </w:rPr>
        <w:t xml:space="preserve"> (Validity) </w:t>
      </w:r>
      <w:r w:rsidRPr="00840A0E">
        <w:rPr>
          <w:rFonts w:ascii="Sakkal Majalla" w:eastAsia="Times New Roman" w:hAnsi="Sakkal Majalla" w:cs="Sakkal Majalla"/>
          <w:sz w:val="28"/>
          <w:szCs w:val="28"/>
          <w:rtl/>
        </w:rPr>
        <w:t xml:space="preserve">التحقق من الصدق الظاهري وصدق المحتوى. </w:t>
      </w:r>
    </w:p>
    <w:p w14:paraId="75D3C002" w14:textId="0557D900" w:rsidR="00840A0E" w:rsidRDefault="00840A0E" w:rsidP="00A035EB">
      <w:pPr>
        <w:pStyle w:val="ListParagraph"/>
        <w:numPr>
          <w:ilvl w:val="0"/>
          <w:numId w:val="145"/>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الثبات</w:t>
      </w:r>
      <w:r w:rsidRPr="00840A0E">
        <w:rPr>
          <w:rFonts w:ascii="Sakkal Majalla" w:eastAsia="Times New Roman" w:hAnsi="Sakkal Majalla" w:cs="Sakkal Majalla"/>
          <w:sz w:val="28"/>
          <w:szCs w:val="28"/>
        </w:rPr>
        <w:t xml:space="preserve"> (Reliability): </w:t>
      </w:r>
      <w:r w:rsidRPr="00840A0E">
        <w:rPr>
          <w:rFonts w:ascii="Sakkal Majalla" w:eastAsia="Times New Roman" w:hAnsi="Sakkal Majalla" w:cs="Sakkal Majalla"/>
          <w:sz w:val="28"/>
          <w:szCs w:val="28"/>
          <w:rtl/>
        </w:rPr>
        <w:t xml:space="preserve">قياس درجة الاتساق الداخلي لفقرات كل محور من محاور الاستبيان باستخدام معامل ألفا </w:t>
      </w:r>
      <w:proofErr w:type="spellStart"/>
      <w:r w:rsidRPr="00840A0E">
        <w:rPr>
          <w:rFonts w:ascii="Sakkal Majalla" w:eastAsia="Times New Roman" w:hAnsi="Sakkal Majalla" w:cs="Sakkal Majalla"/>
          <w:sz w:val="28"/>
          <w:szCs w:val="28"/>
          <w:rtl/>
        </w:rPr>
        <w:t>كرونباخ</w:t>
      </w:r>
      <w:proofErr w:type="spellEnd"/>
      <w:r w:rsidR="00F0631A">
        <w:rPr>
          <w:rFonts w:ascii="Sakkal Majalla" w:eastAsia="Times New Roman" w:hAnsi="Sakkal Majalla" w:cs="Sakkal Majalla" w:hint="cs"/>
          <w:sz w:val="28"/>
          <w:szCs w:val="28"/>
          <w:rtl/>
        </w:rPr>
        <w:t xml:space="preserve">  </w:t>
      </w:r>
      <w:r w:rsidRPr="00840A0E">
        <w:rPr>
          <w:rFonts w:ascii="Sakkal Majalla" w:eastAsia="Times New Roman" w:hAnsi="Sakkal Majalla" w:cs="Sakkal Majalla"/>
          <w:sz w:val="28"/>
          <w:szCs w:val="28"/>
        </w:rPr>
        <w:t xml:space="preserve"> (Cronbach's Alpha)</w:t>
      </w:r>
      <w:r w:rsidRPr="00840A0E">
        <w:rPr>
          <w:rFonts w:ascii="Sakkal Majalla" w:eastAsia="Times New Roman" w:hAnsi="Sakkal Majalla" w:cs="Sakkal Majalla"/>
          <w:sz w:val="28"/>
          <w:szCs w:val="28"/>
          <w:rtl/>
        </w:rPr>
        <w:t>، للتأكد من أن الأداة تعطي نتائج مستقرة وموثوقة عند تكرار القياس</w:t>
      </w:r>
      <w:r w:rsidRPr="00840A0E">
        <w:rPr>
          <w:rFonts w:ascii="Sakkal Majalla" w:eastAsia="Times New Roman" w:hAnsi="Sakkal Majalla" w:cs="Sakkal Majalla"/>
          <w:sz w:val="28"/>
          <w:szCs w:val="28"/>
        </w:rPr>
        <w:t>.</w:t>
      </w:r>
    </w:p>
    <w:p w14:paraId="495D5B38" w14:textId="77777777" w:rsidR="00A035EB" w:rsidRPr="00840A0E" w:rsidRDefault="00A035EB" w:rsidP="00A035EB">
      <w:pPr>
        <w:pStyle w:val="ListParagraph"/>
        <w:bidi/>
        <w:spacing w:before="100" w:beforeAutospacing="1" w:after="100" w:afterAutospacing="1" w:line="240" w:lineRule="auto"/>
        <w:ind w:left="862"/>
        <w:jc w:val="both"/>
        <w:rPr>
          <w:rFonts w:ascii="Sakkal Majalla" w:eastAsia="Times New Roman" w:hAnsi="Sakkal Majalla" w:cs="Sakkal Majalla"/>
          <w:sz w:val="28"/>
          <w:szCs w:val="28"/>
        </w:rPr>
      </w:pPr>
    </w:p>
    <w:p w14:paraId="5779F9E5" w14:textId="25EE018F" w:rsidR="00840A0E" w:rsidRPr="00A035EB" w:rsidRDefault="00A035EB"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A035EB">
        <w:rPr>
          <w:rFonts w:ascii="Sakkal Majalla" w:eastAsia="Times New Roman" w:hAnsi="Sakkal Majalla" w:cs="Sakkal Majalla" w:hint="cs"/>
          <w:b/>
          <w:bCs/>
          <w:sz w:val="28"/>
          <w:szCs w:val="28"/>
          <w:rtl/>
        </w:rPr>
        <w:t>4-</w:t>
      </w:r>
      <w:r w:rsidR="00840A0E" w:rsidRPr="00A035EB">
        <w:rPr>
          <w:rFonts w:ascii="Sakkal Majalla" w:eastAsia="Times New Roman" w:hAnsi="Sakkal Majalla" w:cs="Sakkal Majalla"/>
          <w:b/>
          <w:bCs/>
          <w:sz w:val="28"/>
          <w:szCs w:val="28"/>
        </w:rPr>
        <w:t xml:space="preserve"> </w:t>
      </w:r>
      <w:r w:rsidR="00840A0E" w:rsidRPr="00A035EB">
        <w:rPr>
          <w:rFonts w:ascii="Sakkal Majalla" w:eastAsia="Times New Roman" w:hAnsi="Sakkal Majalla" w:cs="Sakkal Majalla"/>
          <w:b/>
          <w:bCs/>
          <w:sz w:val="28"/>
          <w:szCs w:val="28"/>
          <w:rtl/>
        </w:rPr>
        <w:t>حدود الدراسة</w:t>
      </w:r>
    </w:p>
    <w:p w14:paraId="7D74B90E" w14:textId="77777777" w:rsidR="00840A0E" w:rsidRPr="00840A0E" w:rsidRDefault="00840A0E" w:rsidP="00A035EB">
      <w:pPr>
        <w:pStyle w:val="ListParagraph"/>
        <w:numPr>
          <w:ilvl w:val="0"/>
          <w:numId w:val="146"/>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الحدود المكانية: اقتصر التطبيق الميداني للدراسة على المنظمات التي تتخذ من المدن الرئيسية في المملكة العربية السعودية (الرياض، جدة، الدمام) مقراً لها، باعتبارها المراكز الاقتصادية التي تحتضن النسبة الأكبر من المنظمات الرائدة</w:t>
      </w:r>
      <w:r w:rsidRPr="00840A0E">
        <w:rPr>
          <w:rFonts w:ascii="Sakkal Majalla" w:eastAsia="Times New Roman" w:hAnsi="Sakkal Majalla" w:cs="Sakkal Majalla"/>
          <w:sz w:val="28"/>
          <w:szCs w:val="28"/>
        </w:rPr>
        <w:t>.</w:t>
      </w:r>
    </w:p>
    <w:p w14:paraId="01EC3963" w14:textId="77777777" w:rsidR="00840A0E" w:rsidRDefault="00840A0E" w:rsidP="00A035EB">
      <w:pPr>
        <w:pStyle w:val="ListParagraph"/>
        <w:numPr>
          <w:ilvl w:val="0"/>
          <w:numId w:val="146"/>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الحدود الزمانية: غطت الدراسة الفترة الزمنية الممتدة من عام 2020 إلى 2025. تم اختيار هذه الفترة لأهميتها الاستراتيجية، حيث تتزامن مع تطبيق مبادرات رؤية المملكة 2030، والتي عززت من تبني ممارسات الحوكمة المؤسسية، مما يجعلها فترة مثالية لرصد وقياس أثر هذه الممارسات على الأداء</w:t>
      </w:r>
      <w:r w:rsidRPr="00840A0E">
        <w:rPr>
          <w:rFonts w:ascii="Sakkal Majalla" w:eastAsia="Times New Roman" w:hAnsi="Sakkal Majalla" w:cs="Sakkal Majalla"/>
          <w:sz w:val="28"/>
          <w:szCs w:val="28"/>
        </w:rPr>
        <w:t>.</w:t>
      </w:r>
    </w:p>
    <w:p w14:paraId="2737D8D1" w14:textId="52527E73" w:rsidR="00DE12FA" w:rsidRDefault="00DE12FA" w:rsidP="00DE12FA">
      <w:pPr>
        <w:pStyle w:val="ListParagraph"/>
        <w:numPr>
          <w:ilvl w:val="0"/>
          <w:numId w:val="146"/>
        </w:numPr>
        <w:bidi/>
        <w:spacing w:before="100" w:beforeAutospacing="1" w:after="100" w:afterAutospacing="1" w:line="24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الحدود البشرية:</w:t>
      </w:r>
      <w:r w:rsidRPr="00DE12FA">
        <w:rPr>
          <w:rtl/>
        </w:rPr>
        <w:t xml:space="preserve"> </w:t>
      </w:r>
      <w:r w:rsidR="00D1644C" w:rsidRPr="00D1644C">
        <w:rPr>
          <w:rFonts w:ascii="Sakkal Majalla" w:eastAsia="Times New Roman" w:hAnsi="Sakkal Majalla" w:cs="Sakkal Majalla"/>
          <w:sz w:val="28"/>
          <w:szCs w:val="28"/>
          <w:rtl/>
        </w:rPr>
        <w:t>اقتصرت الدراسة على القيادات العليا والوسطى (المديرين، مديري الإدارات، رؤساء الأقسام) والمتخصصين في مجالات الحوكمة والالتزام والمراجعة الداخلية، وذلك لضمان جودة الاستجابة من فئة تدرك بعمق أبعاد "نموذج الخطوط الثلاثة" (</w:t>
      </w:r>
      <w:r w:rsidR="00D1644C" w:rsidRPr="00D1644C">
        <w:rPr>
          <w:rFonts w:ascii="Sakkal Majalla" w:eastAsia="Times New Roman" w:hAnsi="Sakkal Majalla" w:cs="Sakkal Majalla"/>
          <w:sz w:val="28"/>
          <w:szCs w:val="28"/>
        </w:rPr>
        <w:t>IIA, 2020</w:t>
      </w:r>
      <w:r w:rsidR="00D1644C" w:rsidRPr="00D1644C">
        <w:rPr>
          <w:rFonts w:ascii="Sakkal Majalla" w:eastAsia="Times New Roman" w:hAnsi="Sakkal Majalla" w:cs="Sakkal Majalla"/>
          <w:sz w:val="28"/>
          <w:szCs w:val="28"/>
          <w:rtl/>
        </w:rPr>
        <w:t>) والتوجهات الاستراتيجية لمنظماتهم.</w:t>
      </w:r>
    </w:p>
    <w:p w14:paraId="06DF1A34" w14:textId="77777777" w:rsidR="00A035EB" w:rsidRPr="00840A0E" w:rsidRDefault="00A035EB" w:rsidP="00A035EB">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p>
    <w:p w14:paraId="5E6242A3" w14:textId="66256CAA" w:rsidR="00840A0E" w:rsidRPr="00A035EB" w:rsidRDefault="00A035EB" w:rsidP="00840A0E">
      <w:pPr>
        <w:pStyle w:val="ListParagraph"/>
        <w:bidi/>
        <w:spacing w:before="100" w:beforeAutospacing="1" w:after="100" w:afterAutospacing="1" w:line="240" w:lineRule="auto"/>
        <w:ind w:left="142"/>
        <w:jc w:val="both"/>
        <w:rPr>
          <w:rFonts w:ascii="Sakkal Majalla" w:eastAsia="Times New Roman" w:hAnsi="Sakkal Majalla" w:cs="Sakkal Majalla"/>
          <w:b/>
          <w:bCs/>
          <w:sz w:val="28"/>
          <w:szCs w:val="28"/>
        </w:rPr>
      </w:pPr>
      <w:r w:rsidRPr="00A035EB">
        <w:rPr>
          <w:rFonts w:ascii="Sakkal Majalla" w:eastAsia="Times New Roman" w:hAnsi="Sakkal Majalla" w:cs="Sakkal Majalla" w:hint="cs"/>
          <w:b/>
          <w:bCs/>
          <w:sz w:val="28"/>
          <w:szCs w:val="28"/>
          <w:rtl/>
        </w:rPr>
        <w:t>5-</w:t>
      </w:r>
      <w:r w:rsidR="00840A0E" w:rsidRPr="00A035EB">
        <w:rPr>
          <w:rFonts w:ascii="Sakkal Majalla" w:eastAsia="Times New Roman" w:hAnsi="Sakkal Majalla" w:cs="Sakkal Majalla"/>
          <w:b/>
          <w:bCs/>
          <w:sz w:val="28"/>
          <w:szCs w:val="28"/>
        </w:rPr>
        <w:t xml:space="preserve"> </w:t>
      </w:r>
      <w:r w:rsidR="00840A0E" w:rsidRPr="00A035EB">
        <w:rPr>
          <w:rFonts w:ascii="Sakkal Majalla" w:eastAsia="Times New Roman" w:hAnsi="Sakkal Majalla" w:cs="Sakkal Majalla"/>
          <w:b/>
          <w:bCs/>
          <w:sz w:val="28"/>
          <w:szCs w:val="28"/>
          <w:rtl/>
        </w:rPr>
        <w:t>أساليب المعالجة الإحصائية</w:t>
      </w:r>
    </w:p>
    <w:p w14:paraId="7AA33F7B"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بعد جمع البيانات، تم ترميزها وتحليلها باستخدام برنامج الحزم الإحصائية للعلوم الاجتماعية</w:t>
      </w:r>
      <w:r w:rsidRPr="00840A0E">
        <w:rPr>
          <w:rFonts w:ascii="Sakkal Majalla" w:eastAsia="Times New Roman" w:hAnsi="Sakkal Majalla" w:cs="Sakkal Majalla"/>
          <w:sz w:val="28"/>
          <w:szCs w:val="28"/>
        </w:rPr>
        <w:t xml:space="preserve"> (SPSS)</w:t>
      </w:r>
      <w:r w:rsidRPr="00840A0E">
        <w:rPr>
          <w:rFonts w:ascii="Sakkal Majalla" w:eastAsia="Times New Roman" w:hAnsi="Sakkal Majalla" w:cs="Sakkal Majalla"/>
          <w:sz w:val="28"/>
          <w:szCs w:val="28"/>
          <w:rtl/>
        </w:rPr>
        <w:t>، وذلك عبر تطبيق الأساليب التالية</w:t>
      </w:r>
      <w:r w:rsidRPr="00840A0E">
        <w:rPr>
          <w:rFonts w:ascii="Sakkal Majalla" w:eastAsia="Times New Roman" w:hAnsi="Sakkal Majalla" w:cs="Sakkal Majalla"/>
          <w:sz w:val="28"/>
          <w:szCs w:val="28"/>
        </w:rPr>
        <w:t>:</w:t>
      </w:r>
    </w:p>
    <w:p w14:paraId="63C7417A" w14:textId="77777777" w:rsidR="00840A0E" w:rsidRPr="00840A0E" w:rsidRDefault="00840A0E" w:rsidP="00A035EB">
      <w:pPr>
        <w:pStyle w:val="ListParagraph"/>
        <w:numPr>
          <w:ilvl w:val="0"/>
          <w:numId w:val="147"/>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الإحصاء الوصفي</w:t>
      </w:r>
      <w:r w:rsidRPr="00840A0E">
        <w:rPr>
          <w:rFonts w:ascii="Sakkal Majalla" w:eastAsia="Times New Roman" w:hAnsi="Sakkal Majalla" w:cs="Sakkal Majalla"/>
          <w:sz w:val="28"/>
          <w:szCs w:val="28"/>
        </w:rPr>
        <w:t xml:space="preserve"> (Descriptive Statistics): </w:t>
      </w:r>
      <w:r w:rsidRPr="00840A0E">
        <w:rPr>
          <w:rFonts w:ascii="Sakkal Majalla" w:eastAsia="Times New Roman" w:hAnsi="Sakkal Majalla" w:cs="Sakkal Majalla"/>
          <w:sz w:val="28"/>
          <w:szCs w:val="28"/>
          <w:rtl/>
        </w:rPr>
        <w:t>استخدام التكرارات، النسب المئوية، المتوسطات الحسابية، والانحرافات المعيارية لوصف خصائص عينة الدراسة ومتغيراتها الأساسية</w:t>
      </w:r>
      <w:r w:rsidRPr="00840A0E">
        <w:rPr>
          <w:rFonts w:ascii="Sakkal Majalla" w:eastAsia="Times New Roman" w:hAnsi="Sakkal Majalla" w:cs="Sakkal Majalla"/>
          <w:sz w:val="28"/>
          <w:szCs w:val="28"/>
        </w:rPr>
        <w:t>.</w:t>
      </w:r>
    </w:p>
    <w:p w14:paraId="6E27BF75" w14:textId="77777777" w:rsidR="00840A0E" w:rsidRPr="00840A0E" w:rsidRDefault="00840A0E" w:rsidP="00A035EB">
      <w:pPr>
        <w:pStyle w:val="ListParagraph"/>
        <w:numPr>
          <w:ilvl w:val="0"/>
          <w:numId w:val="147"/>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التحليل العاملي الاستكشافي</w:t>
      </w:r>
      <w:r w:rsidRPr="00840A0E">
        <w:rPr>
          <w:rFonts w:ascii="Sakkal Majalla" w:eastAsia="Times New Roman" w:hAnsi="Sakkal Majalla" w:cs="Sakkal Majalla"/>
          <w:sz w:val="28"/>
          <w:szCs w:val="28"/>
        </w:rPr>
        <w:t xml:space="preserve"> (Exploratory Factor Analysis): </w:t>
      </w:r>
      <w:r w:rsidRPr="00840A0E">
        <w:rPr>
          <w:rFonts w:ascii="Sakkal Majalla" w:eastAsia="Times New Roman" w:hAnsi="Sakkal Majalla" w:cs="Sakkal Majalla"/>
          <w:sz w:val="28"/>
          <w:szCs w:val="28"/>
          <w:rtl/>
        </w:rPr>
        <w:t>استُخدم لاستخلاص الأبعاد الرئيسية الكامنة وراء فقرات محور الحوكمة المؤسسية، وتحديد العوامل الأكثر تأثيرًا التي تشكل هذا المتغير</w:t>
      </w:r>
      <w:r w:rsidRPr="00840A0E">
        <w:rPr>
          <w:rFonts w:ascii="Sakkal Majalla" w:eastAsia="Times New Roman" w:hAnsi="Sakkal Majalla" w:cs="Sakkal Majalla"/>
          <w:sz w:val="28"/>
          <w:szCs w:val="28"/>
        </w:rPr>
        <w:t>.</w:t>
      </w:r>
    </w:p>
    <w:p w14:paraId="05E8D90E" w14:textId="77777777" w:rsidR="00840A0E" w:rsidRPr="00840A0E" w:rsidRDefault="00840A0E" w:rsidP="00A035EB">
      <w:pPr>
        <w:pStyle w:val="ListParagraph"/>
        <w:numPr>
          <w:ilvl w:val="0"/>
          <w:numId w:val="147"/>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lastRenderedPageBreak/>
        <w:t>تحليل الارتباط</w:t>
      </w:r>
      <w:r w:rsidRPr="00840A0E">
        <w:rPr>
          <w:rFonts w:ascii="Sakkal Majalla" w:eastAsia="Times New Roman" w:hAnsi="Sakkal Majalla" w:cs="Sakkal Majalla"/>
          <w:sz w:val="28"/>
          <w:szCs w:val="28"/>
        </w:rPr>
        <w:t xml:space="preserve"> (Pearson Correlation): </w:t>
      </w:r>
      <w:r w:rsidRPr="00840A0E">
        <w:rPr>
          <w:rFonts w:ascii="Sakkal Majalla" w:eastAsia="Times New Roman" w:hAnsi="Sakkal Majalla" w:cs="Sakkal Majalla"/>
          <w:sz w:val="28"/>
          <w:szCs w:val="28"/>
          <w:rtl/>
        </w:rPr>
        <w:t>قياس قوة واتجاه العلاقة الخطية بين متغيرات الدراسة (الحوكمة، التميز التشغيلي، والتميز الاستراتيجي)</w:t>
      </w:r>
      <w:r w:rsidRPr="00840A0E">
        <w:rPr>
          <w:rFonts w:ascii="Sakkal Majalla" w:eastAsia="Times New Roman" w:hAnsi="Sakkal Majalla" w:cs="Sakkal Majalla"/>
          <w:sz w:val="28"/>
          <w:szCs w:val="28"/>
        </w:rPr>
        <w:t>.</w:t>
      </w:r>
    </w:p>
    <w:p w14:paraId="50DB90C7" w14:textId="77777777" w:rsidR="00840A0E" w:rsidRPr="00840A0E" w:rsidRDefault="00840A0E" w:rsidP="00A035EB">
      <w:pPr>
        <w:pStyle w:val="ListParagraph"/>
        <w:numPr>
          <w:ilvl w:val="0"/>
          <w:numId w:val="147"/>
        </w:numPr>
        <w:bidi/>
        <w:spacing w:before="100" w:beforeAutospacing="1" w:after="100" w:afterAutospacing="1" w:line="240" w:lineRule="auto"/>
        <w:jc w:val="both"/>
        <w:rPr>
          <w:rFonts w:ascii="Sakkal Majalla" w:eastAsia="Times New Roman" w:hAnsi="Sakkal Majalla" w:cs="Sakkal Majalla"/>
          <w:sz w:val="28"/>
          <w:szCs w:val="28"/>
        </w:rPr>
      </w:pPr>
      <w:r w:rsidRPr="00840A0E">
        <w:rPr>
          <w:rFonts w:ascii="Sakkal Majalla" w:eastAsia="Times New Roman" w:hAnsi="Sakkal Majalla" w:cs="Sakkal Majalla"/>
          <w:sz w:val="28"/>
          <w:szCs w:val="28"/>
          <w:rtl/>
        </w:rPr>
        <w:t>تحليل الانحدار الخطي المتعدد</w:t>
      </w:r>
      <w:r w:rsidRPr="00840A0E">
        <w:rPr>
          <w:rFonts w:ascii="Sakkal Majalla" w:eastAsia="Times New Roman" w:hAnsi="Sakkal Majalla" w:cs="Sakkal Majalla"/>
          <w:sz w:val="28"/>
          <w:szCs w:val="28"/>
        </w:rPr>
        <w:t xml:space="preserve"> (Multiple Regression Analysis): </w:t>
      </w:r>
      <w:r w:rsidRPr="00840A0E">
        <w:rPr>
          <w:rFonts w:ascii="Sakkal Majalla" w:eastAsia="Times New Roman" w:hAnsi="Sakkal Majalla" w:cs="Sakkal Majalla"/>
          <w:sz w:val="28"/>
          <w:szCs w:val="28"/>
          <w:rtl/>
        </w:rPr>
        <w:t>استُخدم كأداة إحصائية رئيسية لاختبار فرضيات الدراسة، وقياس أثر الحوكمة المؤسسية (كمتغير مستقل) على كل من التميز التشغيلي والتميز الاستراتيجي (كمتغيرين تابعين) بشكل منفصل</w:t>
      </w:r>
      <w:r w:rsidRPr="00840A0E">
        <w:rPr>
          <w:rFonts w:ascii="Sakkal Majalla" w:eastAsia="Times New Roman" w:hAnsi="Sakkal Majalla" w:cs="Sakkal Majalla"/>
          <w:sz w:val="28"/>
          <w:szCs w:val="28"/>
        </w:rPr>
        <w:t>.</w:t>
      </w:r>
    </w:p>
    <w:p w14:paraId="498EB77F" w14:textId="77777777" w:rsidR="00840A0E" w:rsidRPr="00840A0E" w:rsidRDefault="00840A0E" w:rsidP="00840A0E">
      <w:pPr>
        <w:pStyle w:val="ListParagraph"/>
        <w:bidi/>
        <w:spacing w:before="100" w:beforeAutospacing="1" w:after="100" w:afterAutospacing="1" w:line="240" w:lineRule="auto"/>
        <w:ind w:left="142"/>
        <w:jc w:val="both"/>
        <w:rPr>
          <w:rFonts w:ascii="Sakkal Majalla" w:eastAsia="Times New Roman" w:hAnsi="Sakkal Majalla" w:cs="Sakkal Majalla"/>
          <w:sz w:val="28"/>
          <w:szCs w:val="28"/>
          <w:rtl/>
        </w:rPr>
      </w:pPr>
    </w:p>
    <w:p w14:paraId="58C2EF94" w14:textId="77777777" w:rsidR="00840A0E" w:rsidRDefault="00840A0E" w:rsidP="0033318A">
      <w:pPr>
        <w:pStyle w:val="ListParagraph"/>
        <w:bidi/>
        <w:spacing w:before="100" w:beforeAutospacing="1" w:after="100" w:afterAutospacing="1" w:line="240" w:lineRule="auto"/>
        <w:ind w:left="142"/>
        <w:rPr>
          <w:rFonts w:ascii="Sakkal Majalla" w:eastAsia="Times New Roman" w:hAnsi="Sakkal Majalla" w:cs="Sakkal Majalla"/>
          <w:b/>
          <w:bCs/>
          <w:sz w:val="28"/>
          <w:szCs w:val="28"/>
          <w:rtl/>
        </w:rPr>
      </w:pPr>
    </w:p>
    <w:p w14:paraId="15DE5B32" w14:textId="77777777" w:rsidR="00840A0E" w:rsidRPr="00F21CF6" w:rsidRDefault="00840A0E" w:rsidP="0033318A">
      <w:pPr>
        <w:pStyle w:val="ListParagraph"/>
        <w:bidi/>
        <w:spacing w:before="100" w:beforeAutospacing="1" w:after="100" w:afterAutospacing="1" w:line="240" w:lineRule="auto"/>
        <w:ind w:left="142"/>
        <w:rPr>
          <w:rFonts w:ascii="Sakkal Majalla" w:eastAsia="Times New Roman" w:hAnsi="Sakkal Majalla" w:cs="Sakkal Majalla"/>
          <w:b/>
          <w:bCs/>
          <w:sz w:val="18"/>
          <w:szCs w:val="18"/>
          <w:rtl/>
        </w:rPr>
      </w:pPr>
    </w:p>
    <w:p w14:paraId="7129D552"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استبيان دراسة: أثر الحوكمة المؤسسية على التميز التشغيلي والاستراتيجي</w:t>
      </w:r>
    </w:p>
    <w:p w14:paraId="6CE99A21"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الجزء الأول: المعلومات العامة (الديموغرافية)</w:t>
      </w:r>
    </w:p>
    <w:p w14:paraId="58CAE131" w14:textId="355DEA2A" w:rsidR="0033318A" w:rsidRPr="00F21CF6" w:rsidRDefault="0033318A" w:rsidP="0033318A">
      <w:pPr>
        <w:pStyle w:val="ListParagraph"/>
        <w:numPr>
          <w:ilvl w:val="0"/>
          <w:numId w:val="148"/>
        </w:numPr>
        <w:bidi/>
        <w:spacing w:before="100" w:beforeAutospacing="1"/>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نوع القطاع</w:t>
      </w:r>
      <w:r w:rsidRPr="00F21CF6">
        <w:rPr>
          <w:rFonts w:ascii="Sakkal Majalla" w:eastAsia="Times New Roman" w:hAnsi="Sakkal Majalla" w:cs="Sakkal Majalla"/>
          <w:sz w:val="18"/>
          <w:szCs w:val="18"/>
        </w:rPr>
        <w:t xml:space="preserve">: </w:t>
      </w:r>
      <w:r w:rsidRPr="00F21CF6">
        <w:rPr>
          <w:rFonts w:ascii="Sakkal Majalla" w:eastAsia="Times New Roman" w:hAnsi="Sakkal Majalla" w:cs="Sakkal Majalla"/>
          <w:sz w:val="18"/>
          <w:szCs w:val="18"/>
          <w:rtl/>
        </w:rPr>
        <w:t>حكومي - شبه حكومي - خاص</w:t>
      </w:r>
    </w:p>
    <w:p w14:paraId="7A2E02B8" w14:textId="53138263" w:rsidR="0033318A" w:rsidRPr="00F21CF6" w:rsidRDefault="0033318A" w:rsidP="0033318A">
      <w:pPr>
        <w:pStyle w:val="ListParagraph"/>
        <w:numPr>
          <w:ilvl w:val="0"/>
          <w:numId w:val="148"/>
        </w:numPr>
        <w:bidi/>
        <w:spacing w:before="100" w:beforeAutospacing="1"/>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المستوى الوظيفي</w:t>
      </w:r>
      <w:r w:rsidRPr="00F21CF6">
        <w:rPr>
          <w:rFonts w:ascii="Sakkal Majalla" w:eastAsia="Times New Roman" w:hAnsi="Sakkal Majalla" w:cs="Sakkal Majalla"/>
          <w:sz w:val="18"/>
          <w:szCs w:val="18"/>
        </w:rPr>
        <w:t>:</w:t>
      </w:r>
      <w:r w:rsidRPr="00F21CF6">
        <w:rPr>
          <w:rFonts w:ascii="Sakkal Majalla" w:eastAsia="Times New Roman" w:hAnsi="Sakkal Majalla" w:cs="Sakkal Majalla" w:hint="cs"/>
          <w:sz w:val="18"/>
          <w:szCs w:val="18"/>
          <w:rtl/>
        </w:rPr>
        <w:t xml:space="preserve"> </w:t>
      </w:r>
      <w:r w:rsidRPr="00F21CF6">
        <w:rPr>
          <w:rFonts w:ascii="Sakkal Majalla" w:eastAsia="Times New Roman" w:hAnsi="Sakkal Majalla" w:cs="Sakkal Majalla"/>
          <w:sz w:val="18"/>
          <w:szCs w:val="18"/>
          <w:rtl/>
        </w:rPr>
        <w:t>مدير - مدير إدارة - رئيس قسم - أخصائي حوكمة/التزام</w:t>
      </w:r>
      <w:r w:rsidRPr="00F21CF6">
        <w:rPr>
          <w:rFonts w:ascii="Sakkal Majalla" w:eastAsia="Times New Roman" w:hAnsi="Sakkal Majalla" w:cs="Sakkal Majalla"/>
          <w:sz w:val="18"/>
          <w:szCs w:val="18"/>
        </w:rPr>
        <w:t>.</w:t>
      </w:r>
    </w:p>
    <w:p w14:paraId="522B3897" w14:textId="672A2058" w:rsidR="0033318A" w:rsidRPr="00F21CF6" w:rsidRDefault="0033318A" w:rsidP="0033318A">
      <w:pPr>
        <w:pStyle w:val="ListParagraph"/>
        <w:numPr>
          <w:ilvl w:val="0"/>
          <w:numId w:val="148"/>
        </w:numPr>
        <w:bidi/>
        <w:spacing w:before="100" w:beforeAutospacing="1"/>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عدد سنوات الخبرة</w:t>
      </w:r>
      <w:r w:rsidRPr="00F21CF6">
        <w:rPr>
          <w:rFonts w:ascii="Sakkal Majalla" w:eastAsia="Times New Roman" w:hAnsi="Sakkal Majalla" w:cs="Sakkal Majalla"/>
          <w:sz w:val="18"/>
          <w:szCs w:val="18"/>
        </w:rPr>
        <w:t xml:space="preserve">: </w:t>
      </w:r>
      <w:r w:rsidRPr="00F21CF6">
        <w:rPr>
          <w:rFonts w:ascii="Sakkal Majalla" w:eastAsia="Times New Roman" w:hAnsi="Sakkal Majalla" w:cs="Sakkal Majalla"/>
          <w:sz w:val="18"/>
          <w:szCs w:val="18"/>
          <w:rtl/>
        </w:rPr>
        <w:t>أقل من 5 سنوات - 5-10 سنوات - أكثر من 10 سنوات</w:t>
      </w:r>
    </w:p>
    <w:p w14:paraId="7098BAE2" w14:textId="237C7193" w:rsidR="0033318A" w:rsidRPr="00F21CF6" w:rsidRDefault="0033318A" w:rsidP="0033318A">
      <w:pPr>
        <w:pStyle w:val="ListParagraph"/>
        <w:numPr>
          <w:ilvl w:val="0"/>
          <w:numId w:val="148"/>
        </w:numPr>
        <w:bidi/>
        <w:spacing w:before="100" w:beforeAutospacing="1"/>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حجم المنظمة</w:t>
      </w:r>
      <w:r w:rsidRPr="00F21CF6">
        <w:rPr>
          <w:rFonts w:ascii="Sakkal Majalla" w:eastAsia="Times New Roman" w:hAnsi="Sakkal Majalla" w:cs="Sakkal Majalla"/>
          <w:sz w:val="18"/>
          <w:szCs w:val="18"/>
        </w:rPr>
        <w:t>:</w:t>
      </w:r>
      <w:r w:rsidRPr="00F21CF6">
        <w:rPr>
          <w:rFonts w:ascii="Sakkal Majalla" w:eastAsia="Times New Roman" w:hAnsi="Sakkal Majalla" w:cs="Sakkal Majalla" w:hint="cs"/>
          <w:sz w:val="18"/>
          <w:szCs w:val="18"/>
          <w:rtl/>
        </w:rPr>
        <w:t xml:space="preserve"> </w:t>
      </w:r>
      <w:r w:rsidRPr="00F21CF6">
        <w:rPr>
          <w:rFonts w:ascii="Sakkal Majalla" w:eastAsia="Times New Roman" w:hAnsi="Sakkal Majalla" w:cs="Sakkal Majalla"/>
          <w:sz w:val="18"/>
          <w:szCs w:val="18"/>
          <w:rtl/>
        </w:rPr>
        <w:t>كبيرة - متوسطة</w:t>
      </w:r>
    </w:p>
    <w:p w14:paraId="2E466943" w14:textId="4828BFAD" w:rsidR="0033318A" w:rsidRPr="00F21CF6" w:rsidRDefault="0033318A" w:rsidP="0033318A">
      <w:pPr>
        <w:pStyle w:val="ListParagraph"/>
        <w:bidi/>
        <w:spacing w:before="100" w:beforeAutospacing="1" w:after="100" w:afterAutospacing="1"/>
        <w:ind w:left="142"/>
        <w:rPr>
          <w:rFonts w:ascii="Sakkal Majalla" w:eastAsia="Times New Roman" w:hAnsi="Sakkal Majalla" w:cs="Sakkal Majalla"/>
          <w:b/>
          <w:bCs/>
          <w:sz w:val="18"/>
          <w:szCs w:val="18"/>
        </w:rPr>
      </w:pPr>
    </w:p>
    <w:p w14:paraId="5E40FE3D"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الجزء الثاني: محور المتغير المستقل (ممارسات الحوكمة المؤسسية)</w:t>
      </w:r>
    </w:p>
    <w:p w14:paraId="7E664E43"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i/>
          <w:iCs/>
          <w:sz w:val="18"/>
          <w:szCs w:val="18"/>
          <w:rtl/>
        </w:rPr>
        <w:t xml:space="preserve">يقيس هذا المحور مدى نضج ممارسات الحوكمة وفق الدليل </w:t>
      </w:r>
      <w:proofErr w:type="spellStart"/>
      <w:r w:rsidRPr="00F21CF6">
        <w:rPr>
          <w:rFonts w:ascii="Sakkal Majalla" w:eastAsia="Times New Roman" w:hAnsi="Sakkal Majalla" w:cs="Sakkal Majalla"/>
          <w:b/>
          <w:bCs/>
          <w:i/>
          <w:iCs/>
          <w:sz w:val="18"/>
          <w:szCs w:val="18"/>
          <w:rtl/>
        </w:rPr>
        <w:t>الاسترشادي</w:t>
      </w:r>
      <w:proofErr w:type="spellEnd"/>
      <w:r w:rsidRPr="00F21CF6">
        <w:rPr>
          <w:rFonts w:ascii="Sakkal Majalla" w:eastAsia="Times New Roman" w:hAnsi="Sakkal Majalla" w:cs="Sakkal Majalla"/>
          <w:b/>
          <w:bCs/>
          <w:i/>
          <w:iCs/>
          <w:sz w:val="18"/>
          <w:szCs w:val="18"/>
          <w:rtl/>
        </w:rPr>
        <w:t xml:space="preserve"> السعودي</w:t>
      </w:r>
      <w:r w:rsidRPr="00F21CF6">
        <w:rPr>
          <w:rFonts w:ascii="Sakkal Majalla" w:eastAsia="Times New Roman" w:hAnsi="Sakkal Majalla" w:cs="Sakkal Majalla"/>
          <w:b/>
          <w:bCs/>
          <w:i/>
          <w:iCs/>
          <w:sz w:val="18"/>
          <w:szCs w:val="18"/>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423"/>
        <w:gridCol w:w="491"/>
      </w:tblGrid>
      <w:tr w:rsidR="00D1644C" w:rsidRPr="00F21CF6" w14:paraId="03265B41" w14:textId="223CE04D" w:rsidTr="00F21CF6">
        <w:trPr>
          <w:tblHeade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54029BF8"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الفقرة (الممارسة)</w:t>
            </w:r>
          </w:p>
        </w:tc>
        <w:tc>
          <w:tcPr>
            <w:tcW w:w="446" w:type="dxa"/>
            <w:tcBorders>
              <w:top w:val="single" w:sz="6" w:space="0" w:color="auto"/>
              <w:left w:val="single" w:sz="6" w:space="0" w:color="auto"/>
              <w:bottom w:val="single" w:sz="6" w:space="0" w:color="auto"/>
              <w:right w:val="single" w:sz="6" w:space="0" w:color="auto"/>
            </w:tcBorders>
          </w:tcPr>
          <w:p w14:paraId="1475A53E" w14:textId="65BE8194"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tl/>
              </w:rPr>
            </w:pPr>
            <w:r w:rsidRPr="00F21CF6">
              <w:rPr>
                <w:sz w:val="18"/>
                <w:szCs w:val="18"/>
                <w:rtl/>
              </w:rPr>
              <w:t>م</w:t>
            </w:r>
          </w:p>
        </w:tc>
      </w:tr>
      <w:tr w:rsidR="00D1644C" w:rsidRPr="00F21CF6" w14:paraId="53CB6FDA" w14:textId="00510901" w:rsidTr="00F21CF6">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75FF0764"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توجد هياكل واضحة ومعتمدة تفصل بين السلطات التنفيذية والرقابية في المنظمة</w:t>
            </w:r>
            <w:r w:rsidRPr="00F21CF6">
              <w:rPr>
                <w:rFonts w:ascii="Sakkal Majalla" w:eastAsia="Times New Roman" w:hAnsi="Sakkal Majalla" w:cs="Sakkal Majalla"/>
                <w:sz w:val="18"/>
                <w:szCs w:val="18"/>
              </w:rPr>
              <w:t>.</w:t>
            </w:r>
          </w:p>
        </w:tc>
        <w:tc>
          <w:tcPr>
            <w:tcW w:w="446" w:type="dxa"/>
            <w:tcBorders>
              <w:top w:val="single" w:sz="6" w:space="0" w:color="auto"/>
              <w:left w:val="single" w:sz="6" w:space="0" w:color="auto"/>
              <w:bottom w:val="single" w:sz="6" w:space="0" w:color="auto"/>
              <w:right w:val="single" w:sz="6" w:space="0" w:color="auto"/>
            </w:tcBorders>
          </w:tcPr>
          <w:p w14:paraId="3FD317CC" w14:textId="587E05F2"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tl/>
              </w:rPr>
            </w:pPr>
            <w:r w:rsidRPr="00F21CF6">
              <w:rPr>
                <w:sz w:val="18"/>
                <w:szCs w:val="18"/>
              </w:rPr>
              <w:t>1</w:t>
            </w:r>
          </w:p>
        </w:tc>
      </w:tr>
      <w:tr w:rsidR="00D1644C" w:rsidRPr="00F21CF6" w14:paraId="6C348B12" w14:textId="2044BBF0" w:rsidTr="00F21CF6">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0B418914"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تلتزم المنظمة بنشر التقارير المالية والإدارية بشفافية وفي المواعيد المحددة</w:t>
            </w:r>
            <w:r w:rsidRPr="00F21CF6">
              <w:rPr>
                <w:rFonts w:ascii="Sakkal Majalla" w:eastAsia="Times New Roman" w:hAnsi="Sakkal Majalla" w:cs="Sakkal Majalla"/>
                <w:sz w:val="18"/>
                <w:szCs w:val="18"/>
              </w:rPr>
              <w:t>.</w:t>
            </w:r>
          </w:p>
        </w:tc>
        <w:tc>
          <w:tcPr>
            <w:tcW w:w="446" w:type="dxa"/>
            <w:tcBorders>
              <w:top w:val="single" w:sz="6" w:space="0" w:color="auto"/>
              <w:left w:val="single" w:sz="6" w:space="0" w:color="auto"/>
              <w:bottom w:val="single" w:sz="6" w:space="0" w:color="auto"/>
              <w:right w:val="single" w:sz="6" w:space="0" w:color="auto"/>
            </w:tcBorders>
          </w:tcPr>
          <w:p w14:paraId="07EAAB5A" w14:textId="75B7066D"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tl/>
              </w:rPr>
            </w:pPr>
            <w:r w:rsidRPr="00F21CF6">
              <w:rPr>
                <w:sz w:val="18"/>
                <w:szCs w:val="18"/>
              </w:rPr>
              <w:t>2</w:t>
            </w:r>
          </w:p>
        </w:tc>
      </w:tr>
      <w:tr w:rsidR="00D1644C" w:rsidRPr="00F21CF6" w14:paraId="5D42D6A0" w14:textId="50BC41E8" w:rsidTr="00F21CF6">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37268ED8"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تتوفر آليات فعالة للمساءلة والمحاسبة عن القرارات الإدارية والاستراتيجية</w:t>
            </w:r>
            <w:r w:rsidRPr="00F21CF6">
              <w:rPr>
                <w:rFonts w:ascii="Sakkal Majalla" w:eastAsia="Times New Roman" w:hAnsi="Sakkal Majalla" w:cs="Sakkal Majalla"/>
                <w:sz w:val="18"/>
                <w:szCs w:val="18"/>
              </w:rPr>
              <w:t>.</w:t>
            </w:r>
          </w:p>
        </w:tc>
        <w:tc>
          <w:tcPr>
            <w:tcW w:w="446" w:type="dxa"/>
            <w:tcBorders>
              <w:top w:val="single" w:sz="6" w:space="0" w:color="auto"/>
              <w:left w:val="single" w:sz="6" w:space="0" w:color="auto"/>
              <w:bottom w:val="single" w:sz="6" w:space="0" w:color="auto"/>
              <w:right w:val="single" w:sz="6" w:space="0" w:color="auto"/>
            </w:tcBorders>
          </w:tcPr>
          <w:p w14:paraId="6139538C" w14:textId="097E8AEC"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tl/>
              </w:rPr>
            </w:pPr>
            <w:r w:rsidRPr="00F21CF6">
              <w:rPr>
                <w:sz w:val="18"/>
                <w:szCs w:val="18"/>
              </w:rPr>
              <w:t>3</w:t>
            </w:r>
          </w:p>
        </w:tc>
      </w:tr>
      <w:tr w:rsidR="00D1644C" w:rsidRPr="00F21CF6" w14:paraId="06DCC1A7" w14:textId="6F46FBC5" w:rsidTr="00F21CF6">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2A11C5C4"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يمارس مجلس الإدارة (أو اللجنة القيادية) دوراً فعالاً في الإشراف على إدارة المخاطر</w:t>
            </w:r>
            <w:r w:rsidRPr="00F21CF6">
              <w:rPr>
                <w:rFonts w:ascii="Sakkal Majalla" w:eastAsia="Times New Roman" w:hAnsi="Sakkal Majalla" w:cs="Sakkal Majalla"/>
                <w:sz w:val="18"/>
                <w:szCs w:val="18"/>
              </w:rPr>
              <w:t>.</w:t>
            </w:r>
          </w:p>
        </w:tc>
        <w:tc>
          <w:tcPr>
            <w:tcW w:w="446" w:type="dxa"/>
            <w:tcBorders>
              <w:top w:val="single" w:sz="6" w:space="0" w:color="auto"/>
              <w:left w:val="single" w:sz="6" w:space="0" w:color="auto"/>
              <w:bottom w:val="single" w:sz="6" w:space="0" w:color="auto"/>
              <w:right w:val="single" w:sz="6" w:space="0" w:color="auto"/>
            </w:tcBorders>
          </w:tcPr>
          <w:p w14:paraId="1135B393" w14:textId="56A43502"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tl/>
              </w:rPr>
            </w:pPr>
            <w:r w:rsidRPr="00F21CF6">
              <w:rPr>
                <w:sz w:val="18"/>
                <w:szCs w:val="18"/>
              </w:rPr>
              <w:t>4</w:t>
            </w:r>
          </w:p>
        </w:tc>
      </w:tr>
      <w:tr w:rsidR="00D1644C" w:rsidRPr="00F21CF6" w14:paraId="1003AF1C" w14:textId="5436BD62" w:rsidTr="00F21CF6">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70BFFAC1"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تلتزم المنظمة بتطبيق الأنظمة والقوانين المحلية (مثل رؤية 2030) والالتزام الأخلاقي</w:t>
            </w:r>
            <w:r w:rsidRPr="00F21CF6">
              <w:rPr>
                <w:rFonts w:ascii="Sakkal Majalla" w:eastAsia="Times New Roman" w:hAnsi="Sakkal Majalla" w:cs="Sakkal Majalla"/>
                <w:sz w:val="18"/>
                <w:szCs w:val="18"/>
              </w:rPr>
              <w:t>.</w:t>
            </w:r>
          </w:p>
        </w:tc>
        <w:tc>
          <w:tcPr>
            <w:tcW w:w="446" w:type="dxa"/>
            <w:tcBorders>
              <w:top w:val="single" w:sz="6" w:space="0" w:color="auto"/>
              <w:left w:val="single" w:sz="6" w:space="0" w:color="auto"/>
              <w:bottom w:val="single" w:sz="6" w:space="0" w:color="auto"/>
              <w:right w:val="single" w:sz="6" w:space="0" w:color="auto"/>
            </w:tcBorders>
          </w:tcPr>
          <w:p w14:paraId="530C2E2B" w14:textId="74926D2F"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tl/>
              </w:rPr>
            </w:pPr>
            <w:r w:rsidRPr="00F21CF6">
              <w:rPr>
                <w:sz w:val="18"/>
                <w:szCs w:val="18"/>
              </w:rPr>
              <w:t>5</w:t>
            </w:r>
          </w:p>
        </w:tc>
      </w:tr>
      <w:tr w:rsidR="00D1644C" w:rsidRPr="00F21CF6" w14:paraId="1E2EA22C" w14:textId="15541219" w:rsidTr="00F21CF6">
        <w:trPr>
          <w:tblCellSpacing w:w="15" w:type="dxa"/>
          <w:jc w:val="center"/>
        </w:trPr>
        <w:tc>
          <w:tcPr>
            <w:tcW w:w="5378" w:type="dxa"/>
            <w:tcBorders>
              <w:top w:val="single" w:sz="6" w:space="0" w:color="auto"/>
              <w:left w:val="single" w:sz="6" w:space="0" w:color="auto"/>
              <w:bottom w:val="single" w:sz="6" w:space="0" w:color="auto"/>
              <w:right w:val="single" w:sz="6" w:space="0" w:color="auto"/>
            </w:tcBorders>
            <w:vAlign w:val="center"/>
            <w:hideMark/>
          </w:tcPr>
          <w:p w14:paraId="4DDFCFAB"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sz w:val="18"/>
                <w:szCs w:val="18"/>
              </w:rPr>
            </w:pPr>
            <w:r w:rsidRPr="00F21CF6">
              <w:rPr>
                <w:rFonts w:ascii="Sakkal Majalla" w:eastAsia="Times New Roman" w:hAnsi="Sakkal Majalla" w:cs="Sakkal Majalla"/>
                <w:sz w:val="18"/>
                <w:szCs w:val="18"/>
                <w:rtl/>
              </w:rPr>
              <w:t>توجد سياسات واضحة تمنع تعارض المصالح وتضمن حقوق أصحاب المصلحة</w:t>
            </w:r>
            <w:r w:rsidRPr="00F21CF6">
              <w:rPr>
                <w:rFonts w:ascii="Sakkal Majalla" w:eastAsia="Times New Roman" w:hAnsi="Sakkal Majalla" w:cs="Sakkal Majalla"/>
                <w:sz w:val="18"/>
                <w:szCs w:val="18"/>
              </w:rPr>
              <w:t>.</w:t>
            </w:r>
          </w:p>
        </w:tc>
        <w:tc>
          <w:tcPr>
            <w:tcW w:w="446" w:type="dxa"/>
            <w:tcBorders>
              <w:top w:val="single" w:sz="6" w:space="0" w:color="auto"/>
              <w:left w:val="single" w:sz="6" w:space="0" w:color="auto"/>
              <w:bottom w:val="single" w:sz="6" w:space="0" w:color="auto"/>
              <w:right w:val="single" w:sz="6" w:space="0" w:color="auto"/>
            </w:tcBorders>
          </w:tcPr>
          <w:p w14:paraId="554700D4" w14:textId="30738DA6"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tl/>
              </w:rPr>
            </w:pPr>
            <w:r w:rsidRPr="00F21CF6">
              <w:rPr>
                <w:sz w:val="18"/>
                <w:szCs w:val="18"/>
              </w:rPr>
              <w:t>6</w:t>
            </w:r>
          </w:p>
        </w:tc>
      </w:tr>
    </w:tbl>
    <w:p w14:paraId="7E103DA9" w14:textId="77777777" w:rsidR="0033318A" w:rsidRPr="00F21CF6" w:rsidRDefault="00000000" w:rsidP="0033318A">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Pr>
        <w:pict w14:anchorId="73CF8D17">
          <v:rect id="_x0000_i1026" style="width:0;height:1.5pt" o:hralign="right" o:hrstd="t" o:hr="t" fillcolor="#a0a0a0" stroked="f"/>
        </w:pict>
      </w:r>
    </w:p>
    <w:p w14:paraId="501A67C4"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الجزء الثالث: محور المتغير التابع الأول (التميز التشغيلي)</w:t>
      </w:r>
    </w:p>
    <w:p w14:paraId="200BAF49"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i/>
          <w:iCs/>
          <w:sz w:val="18"/>
          <w:szCs w:val="18"/>
          <w:rtl/>
        </w:rPr>
        <w:t>يقيس كفاءة العمليات، تقليل الهدر، والابتكار الإجرائي</w:t>
      </w:r>
      <w:r w:rsidRPr="00F21CF6">
        <w:rPr>
          <w:rFonts w:ascii="Sakkal Majalla" w:eastAsia="Times New Roman" w:hAnsi="Sakkal Majalla" w:cs="Sakkal Majalla"/>
          <w:b/>
          <w:bCs/>
          <w:i/>
          <w:iCs/>
          <w:sz w:val="18"/>
          <w:szCs w:val="18"/>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435"/>
        <w:gridCol w:w="430"/>
      </w:tblGrid>
      <w:tr w:rsidR="00D1644C" w:rsidRPr="00F21CF6" w14:paraId="3658064E" w14:textId="5E7E61B7" w:rsidTr="00172E9A">
        <w:trPr>
          <w:tblHeade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4F8B841C"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الفقرة (المؤشر التشغيلي)</w:t>
            </w:r>
          </w:p>
        </w:tc>
        <w:tc>
          <w:tcPr>
            <w:tcW w:w="385" w:type="dxa"/>
            <w:tcBorders>
              <w:top w:val="single" w:sz="6" w:space="0" w:color="auto"/>
              <w:left w:val="single" w:sz="6" w:space="0" w:color="auto"/>
              <w:bottom w:val="single" w:sz="6" w:space="0" w:color="auto"/>
              <w:right w:val="single" w:sz="6" w:space="0" w:color="auto"/>
            </w:tcBorders>
          </w:tcPr>
          <w:p w14:paraId="31779D52" w14:textId="3FDA8A95"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tl/>
              </w:rPr>
              <w:t>م</w:t>
            </w:r>
          </w:p>
        </w:tc>
      </w:tr>
      <w:tr w:rsidR="00D1644C" w:rsidRPr="00F21CF6" w14:paraId="616AE4B0" w14:textId="54DB2595" w:rsidTr="00172E9A">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3946850C"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تتبنى المنظمة منهجية مستمرة لتحسين العمليات التشغيلية وتقليل الهدر</w:t>
            </w:r>
            <w:r w:rsidRPr="00F21CF6">
              <w:rPr>
                <w:rFonts w:ascii="Sakkal Majalla" w:eastAsia="Times New Roman" w:hAnsi="Sakkal Majalla" w:cs="Sakkal Majalla"/>
                <w:b/>
                <w:bCs/>
                <w:sz w:val="18"/>
                <w:szCs w:val="18"/>
              </w:rPr>
              <w:t xml:space="preserve"> (Efficiency).</w:t>
            </w:r>
          </w:p>
        </w:tc>
        <w:tc>
          <w:tcPr>
            <w:tcW w:w="385" w:type="dxa"/>
            <w:tcBorders>
              <w:top w:val="single" w:sz="6" w:space="0" w:color="auto"/>
              <w:left w:val="single" w:sz="6" w:space="0" w:color="auto"/>
              <w:bottom w:val="single" w:sz="6" w:space="0" w:color="auto"/>
              <w:right w:val="single" w:sz="6" w:space="0" w:color="auto"/>
            </w:tcBorders>
          </w:tcPr>
          <w:p w14:paraId="763DBA50" w14:textId="3E0357FC"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7</w:t>
            </w:r>
          </w:p>
        </w:tc>
      </w:tr>
      <w:tr w:rsidR="00D1644C" w:rsidRPr="00F21CF6" w14:paraId="42CB8583" w14:textId="39219290" w:rsidTr="00172E9A">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536E1FEC"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تتسم إجراءات العمل بالوضوح والنمذجة، مما يقلل من تباين الأداء بين الوحدات</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58006FC2" w14:textId="215340EE"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8</w:t>
            </w:r>
          </w:p>
        </w:tc>
      </w:tr>
      <w:tr w:rsidR="00D1644C" w:rsidRPr="00F21CF6" w14:paraId="68983613" w14:textId="23CC5054" w:rsidTr="00172E9A">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37EBB554"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تتوفر أنظمة رقابة داخلية قوية تمنع حدوث الأخطاء التشغيلية أو التجاوزات المالية</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70325ABD" w14:textId="11EEB0E6"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9</w:t>
            </w:r>
          </w:p>
        </w:tc>
      </w:tr>
      <w:tr w:rsidR="00D1644C" w:rsidRPr="00F21CF6" w14:paraId="097E0728" w14:textId="56CFF5A7" w:rsidTr="00172E9A">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0EFC8B70"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يوجد تنسيق عالي وفعال بين الإدارات المختلفة يمنع ظهور "الجزر المنعزلة</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030FDE37" w14:textId="0D051125"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10</w:t>
            </w:r>
          </w:p>
        </w:tc>
      </w:tr>
      <w:tr w:rsidR="00D1644C" w:rsidRPr="00F21CF6" w14:paraId="7D2C13DC" w14:textId="12CC8F98" w:rsidTr="00172E9A">
        <w:trPr>
          <w:tblCellSpacing w:w="15" w:type="dxa"/>
          <w:jc w:val="center"/>
        </w:trPr>
        <w:tc>
          <w:tcPr>
            <w:tcW w:w="5390" w:type="dxa"/>
            <w:tcBorders>
              <w:top w:val="single" w:sz="6" w:space="0" w:color="auto"/>
              <w:left w:val="single" w:sz="6" w:space="0" w:color="auto"/>
              <w:bottom w:val="single" w:sz="6" w:space="0" w:color="auto"/>
              <w:right w:val="single" w:sz="6" w:space="0" w:color="auto"/>
            </w:tcBorders>
            <w:vAlign w:val="center"/>
            <w:hideMark/>
          </w:tcPr>
          <w:p w14:paraId="6E84F15B"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تستخدم المنظمة تقنيات حديثة (أتمتة) لرفع جودة المخرجات وسرعة الإنجاز</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4CAD62C2" w14:textId="166F64A7"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11</w:t>
            </w:r>
          </w:p>
        </w:tc>
      </w:tr>
    </w:tbl>
    <w:p w14:paraId="4BE623FE" w14:textId="77777777" w:rsidR="0033318A" w:rsidRPr="00172E9A" w:rsidRDefault="0033318A" w:rsidP="00172E9A">
      <w:pPr>
        <w:bidi/>
        <w:spacing w:before="100" w:beforeAutospacing="1" w:line="240" w:lineRule="exact"/>
        <w:rPr>
          <w:rFonts w:ascii="Sakkal Majalla" w:eastAsia="Times New Roman" w:hAnsi="Sakkal Majalla" w:cs="Sakkal Majalla"/>
          <w:b/>
          <w:bCs/>
          <w:sz w:val="18"/>
          <w:szCs w:val="18"/>
        </w:rPr>
      </w:pPr>
      <w:r w:rsidRPr="00172E9A">
        <w:rPr>
          <w:rFonts w:ascii="Sakkal Majalla" w:eastAsia="Times New Roman" w:hAnsi="Sakkal Majalla" w:cs="Sakkal Majalla"/>
          <w:b/>
          <w:bCs/>
          <w:sz w:val="18"/>
          <w:szCs w:val="18"/>
          <w:rtl/>
        </w:rPr>
        <w:t>الجزء الرابع: محور المتغير التابع الثاني (التميز الاستراتيجي)</w:t>
      </w:r>
    </w:p>
    <w:p w14:paraId="56FFA7EE" w14:textId="77777777" w:rsidR="0033318A" w:rsidRPr="00F21CF6" w:rsidRDefault="0033318A" w:rsidP="00172E9A">
      <w:pPr>
        <w:pStyle w:val="ListParagraph"/>
        <w:bidi/>
        <w:spacing w:before="100" w:beforeAutospacing="1" w:line="240" w:lineRule="exact"/>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i/>
          <w:iCs/>
          <w:sz w:val="18"/>
          <w:szCs w:val="18"/>
          <w:rtl/>
        </w:rPr>
        <w:t>يقيس وضوح الرؤية، تنفيذ الاستراتيجية، والقدرة على التكيف</w:t>
      </w:r>
      <w:r w:rsidRPr="00F21CF6">
        <w:rPr>
          <w:rFonts w:ascii="Sakkal Majalla" w:eastAsia="Times New Roman" w:hAnsi="Sakkal Majalla" w:cs="Sakkal Majalla"/>
          <w:b/>
          <w:bCs/>
          <w:i/>
          <w:iCs/>
          <w:sz w:val="18"/>
          <w:szCs w:val="18"/>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629"/>
        <w:gridCol w:w="430"/>
      </w:tblGrid>
      <w:tr w:rsidR="00D1644C" w:rsidRPr="00F21CF6" w14:paraId="12118B9F" w14:textId="0BED0BEB" w:rsidTr="00172E9A">
        <w:trPr>
          <w:tblHeade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572719B1"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lastRenderedPageBreak/>
              <w:t>الفقرة (المؤشر الاستراتيجي)</w:t>
            </w:r>
          </w:p>
        </w:tc>
        <w:tc>
          <w:tcPr>
            <w:tcW w:w="385" w:type="dxa"/>
            <w:tcBorders>
              <w:top w:val="single" w:sz="6" w:space="0" w:color="auto"/>
              <w:left w:val="single" w:sz="6" w:space="0" w:color="auto"/>
              <w:bottom w:val="single" w:sz="6" w:space="0" w:color="auto"/>
              <w:right w:val="single" w:sz="6" w:space="0" w:color="auto"/>
            </w:tcBorders>
          </w:tcPr>
          <w:p w14:paraId="1FEEFE14" w14:textId="43D7A126"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tl/>
              </w:rPr>
              <w:t>م</w:t>
            </w:r>
          </w:p>
        </w:tc>
      </w:tr>
      <w:tr w:rsidR="00D1644C" w:rsidRPr="00F21CF6" w14:paraId="6E22A221" w14:textId="2E961896" w:rsidTr="00172E9A">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3D653157"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تمتلك المنظمة رؤية استراتيجية واضحة ومُعلنة لجميع الموظفين وأصحاب المصلحة</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4F3A0BBB" w14:textId="424E1502"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12</w:t>
            </w:r>
          </w:p>
        </w:tc>
      </w:tr>
      <w:tr w:rsidR="00D1644C" w:rsidRPr="00F21CF6" w14:paraId="66BCC6F8" w14:textId="00E0EB97" w:rsidTr="00172E9A">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03DA3F58"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تنجح المنظمة في تحويل الخطط الاستراتيجية طويلة المدى إلى نتائج ملموسة وقابلة للقياس</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4FBAAD7C" w14:textId="4888BE46"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13</w:t>
            </w:r>
          </w:p>
        </w:tc>
      </w:tr>
      <w:tr w:rsidR="00D1644C" w:rsidRPr="00F21CF6" w14:paraId="51F25D3F" w14:textId="479E5FA4" w:rsidTr="00172E9A">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2B896B9E"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تمتلك المنظمة مرونة كافية لتعديل خططها الاستراتيجية بناءً على المتغيرات الاقتصادية</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21C7E39B" w14:textId="40F86762"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14</w:t>
            </w:r>
          </w:p>
        </w:tc>
      </w:tr>
      <w:tr w:rsidR="00D1644C" w:rsidRPr="00F21CF6" w14:paraId="644A4A75" w14:textId="0C7380A9" w:rsidTr="00172E9A">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6A2338E3"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تساهم الحوكمة في بناء ثقة عالية لدى المستثمرين والجهات الرقابية، مما يعزز النمو</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461B9495" w14:textId="14A30048"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15</w:t>
            </w:r>
          </w:p>
        </w:tc>
      </w:tr>
      <w:tr w:rsidR="00D1644C" w:rsidRPr="00F21CF6" w14:paraId="278781AB" w14:textId="2B1FF305" w:rsidTr="00172E9A">
        <w:trPr>
          <w:tblCellSpacing w:w="15" w:type="dxa"/>
          <w:jc w:val="center"/>
        </w:trPr>
        <w:tc>
          <w:tcPr>
            <w:tcW w:w="5584" w:type="dxa"/>
            <w:tcBorders>
              <w:top w:val="single" w:sz="6" w:space="0" w:color="auto"/>
              <w:left w:val="single" w:sz="6" w:space="0" w:color="auto"/>
              <w:bottom w:val="single" w:sz="6" w:space="0" w:color="auto"/>
              <w:right w:val="single" w:sz="6" w:space="0" w:color="auto"/>
            </w:tcBorders>
            <w:vAlign w:val="center"/>
            <w:hideMark/>
          </w:tcPr>
          <w:p w14:paraId="48600AB4" w14:textId="77777777" w:rsidR="00D1644C" w:rsidRPr="00F21CF6" w:rsidRDefault="00D1644C" w:rsidP="00D1644C">
            <w:pPr>
              <w:pStyle w:val="ListParagraph"/>
              <w:bidi/>
              <w:spacing w:before="100" w:beforeAutospacing="1" w:after="100" w:after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تُبنى القرارات الاستراتيجية في المنظمة على بيانات دقيقة وتقارير أداء موثوقة</w:t>
            </w:r>
            <w:r w:rsidRPr="00F21CF6">
              <w:rPr>
                <w:rFonts w:ascii="Sakkal Majalla" w:eastAsia="Times New Roman" w:hAnsi="Sakkal Majalla" w:cs="Sakkal Majalla"/>
                <w:b/>
                <w:bCs/>
                <w:sz w:val="18"/>
                <w:szCs w:val="18"/>
              </w:rPr>
              <w:t>.</w:t>
            </w:r>
          </w:p>
        </w:tc>
        <w:tc>
          <w:tcPr>
            <w:tcW w:w="385" w:type="dxa"/>
            <w:tcBorders>
              <w:top w:val="single" w:sz="6" w:space="0" w:color="auto"/>
              <w:left w:val="single" w:sz="6" w:space="0" w:color="auto"/>
              <w:bottom w:val="single" w:sz="6" w:space="0" w:color="auto"/>
              <w:right w:val="single" w:sz="6" w:space="0" w:color="auto"/>
            </w:tcBorders>
          </w:tcPr>
          <w:p w14:paraId="03BAC6F6" w14:textId="4C4E904A" w:rsidR="00D1644C" w:rsidRPr="00F21CF6" w:rsidRDefault="00D1644C" w:rsidP="00D1644C">
            <w:pPr>
              <w:pStyle w:val="ListParagraph"/>
              <w:bidi/>
              <w:spacing w:before="100" w:beforeAutospacing="1" w:after="100" w:afterAutospacing="1"/>
              <w:ind w:left="142"/>
              <w:jc w:val="center"/>
              <w:rPr>
                <w:rFonts w:ascii="Sakkal Majalla" w:eastAsia="Times New Roman" w:hAnsi="Sakkal Majalla" w:cs="Sakkal Majalla"/>
                <w:b/>
                <w:bCs/>
                <w:sz w:val="18"/>
                <w:szCs w:val="18"/>
                <w:rtl/>
              </w:rPr>
            </w:pPr>
            <w:r w:rsidRPr="00F21CF6">
              <w:rPr>
                <w:sz w:val="18"/>
                <w:szCs w:val="18"/>
              </w:rPr>
              <w:t>16</w:t>
            </w:r>
          </w:p>
        </w:tc>
      </w:tr>
    </w:tbl>
    <w:p w14:paraId="148654A4" w14:textId="7D024151" w:rsidR="0033318A" w:rsidRPr="00F21CF6" w:rsidRDefault="0033318A" w:rsidP="0033318A">
      <w:pPr>
        <w:pStyle w:val="ListParagraph"/>
        <w:bidi/>
        <w:spacing w:before="100" w:beforeAutospacing="1" w:after="100" w:afterAutospacing="1"/>
        <w:ind w:left="142"/>
        <w:rPr>
          <w:rFonts w:ascii="Sakkal Majalla" w:eastAsia="Times New Roman" w:hAnsi="Sakkal Majalla" w:cs="Sakkal Majalla"/>
          <w:b/>
          <w:bCs/>
          <w:sz w:val="18"/>
          <w:szCs w:val="18"/>
        </w:rPr>
      </w:pPr>
    </w:p>
    <w:p w14:paraId="0069D10D"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sz w:val="18"/>
          <w:szCs w:val="18"/>
          <w:rtl/>
        </w:rPr>
        <w:t>الجزء الخامس: محور استكشافي (الجسر بين الحوكمة والتميز)</w:t>
      </w:r>
    </w:p>
    <w:p w14:paraId="76859F69" w14:textId="77777777" w:rsidR="0033318A" w:rsidRPr="00F21CF6" w:rsidRDefault="0033318A" w:rsidP="0033318A">
      <w:pPr>
        <w:pStyle w:val="ListParagraph"/>
        <w:bidi/>
        <w:spacing w:before="100" w:beforeAutospacing="1"/>
        <w:ind w:left="142"/>
        <w:rPr>
          <w:rFonts w:ascii="Sakkal Majalla" w:eastAsia="Times New Roman" w:hAnsi="Sakkal Majalla" w:cs="Sakkal Majalla"/>
          <w:b/>
          <w:bCs/>
          <w:sz w:val="18"/>
          <w:szCs w:val="18"/>
        </w:rPr>
      </w:pPr>
      <w:r w:rsidRPr="00F21CF6">
        <w:rPr>
          <w:rFonts w:ascii="Sakkal Majalla" w:eastAsia="Times New Roman" w:hAnsi="Sakkal Majalla" w:cs="Sakkal Majalla"/>
          <w:b/>
          <w:bCs/>
          <w:i/>
          <w:iCs/>
          <w:sz w:val="18"/>
          <w:szCs w:val="18"/>
          <w:rtl/>
        </w:rPr>
        <w:t>يقيس وجهة نظر العينة في دور الحوكمة كحل للمشكلات (اختياري لتعزيز التحليل النوعي)</w:t>
      </w:r>
      <w:r w:rsidRPr="00F21CF6">
        <w:rPr>
          <w:rFonts w:ascii="Sakkal Majalla" w:eastAsia="Times New Roman" w:hAnsi="Sakkal Majalla" w:cs="Sakkal Majalla"/>
          <w:b/>
          <w:bCs/>
          <w:i/>
          <w:iCs/>
          <w:sz w:val="18"/>
          <w:szCs w:val="18"/>
        </w:rPr>
        <w:t>.</w:t>
      </w:r>
    </w:p>
    <w:p w14:paraId="7F41681E" w14:textId="1239899F" w:rsidR="0033318A" w:rsidRPr="00F21CF6" w:rsidRDefault="0033318A" w:rsidP="0033318A">
      <w:pPr>
        <w:pStyle w:val="ListParagraph"/>
        <w:numPr>
          <w:ilvl w:val="0"/>
          <w:numId w:val="149"/>
        </w:numPr>
        <w:bidi/>
        <w:spacing w:before="100" w:beforeAutospacing="1"/>
        <w:rPr>
          <w:rFonts w:ascii="Sakkal Majalla" w:eastAsia="Times New Roman" w:hAnsi="Sakkal Majalla" w:cs="Sakkal Majalla"/>
          <w:b/>
          <w:bCs/>
          <w:sz w:val="18"/>
          <w:szCs w:val="18"/>
        </w:rPr>
      </w:pPr>
      <w:r w:rsidRPr="00F21CF6">
        <w:rPr>
          <w:rFonts w:ascii="Sakkal Majalla" w:eastAsia="Times New Roman" w:hAnsi="Sakkal Majalla" w:cs="Sakkal Majalla" w:hint="cs"/>
          <w:b/>
          <w:bCs/>
          <w:sz w:val="18"/>
          <w:szCs w:val="18"/>
          <w:rtl/>
        </w:rPr>
        <w:t>يسهم</w:t>
      </w:r>
      <w:r w:rsidRPr="00F21CF6">
        <w:rPr>
          <w:rFonts w:ascii="Sakkal Majalla" w:eastAsia="Times New Roman" w:hAnsi="Sakkal Majalla" w:cs="Sakkal Majalla"/>
          <w:b/>
          <w:bCs/>
          <w:sz w:val="18"/>
          <w:szCs w:val="18"/>
          <w:rtl/>
        </w:rPr>
        <w:t xml:space="preserve"> تحسين ممارسات الحوكمة في معالجة ضعف الرؤية الاستراتيجية في منظمتك</w:t>
      </w:r>
    </w:p>
    <w:p w14:paraId="0B44418F" w14:textId="2C0DB771" w:rsidR="0033318A" w:rsidRPr="0033318A" w:rsidRDefault="0033318A" w:rsidP="0033318A">
      <w:pPr>
        <w:pStyle w:val="ListParagraph"/>
        <w:numPr>
          <w:ilvl w:val="0"/>
          <w:numId w:val="149"/>
        </w:numPr>
        <w:bidi/>
        <w:spacing w:before="100" w:beforeAutospacing="1"/>
        <w:rPr>
          <w:rFonts w:ascii="Sakkal Majalla" w:eastAsia="Times New Roman" w:hAnsi="Sakkal Majalla" w:cs="Sakkal Majalla"/>
          <w:b/>
          <w:bCs/>
          <w:sz w:val="28"/>
          <w:szCs w:val="28"/>
        </w:rPr>
      </w:pPr>
      <w:r w:rsidRPr="00F21CF6">
        <w:rPr>
          <w:rFonts w:ascii="Sakkal Majalla" w:eastAsia="Times New Roman" w:hAnsi="Sakkal Majalla" w:cs="Sakkal Majalla"/>
          <w:b/>
          <w:bCs/>
          <w:sz w:val="18"/>
          <w:szCs w:val="18"/>
          <w:rtl/>
        </w:rPr>
        <w:t>تساهم آليات المساءلة في منظمتك في رفع مستوى الالتزام بالتميز التشغيلي</w:t>
      </w:r>
    </w:p>
    <w:p w14:paraId="6A39995A" w14:textId="77777777" w:rsidR="004242AD" w:rsidRPr="004242AD" w:rsidRDefault="004242AD" w:rsidP="004242AD">
      <w:pPr>
        <w:spacing w:before="100" w:beforeAutospacing="1" w:after="100" w:afterAutospacing="1" w:line="240" w:lineRule="auto"/>
        <w:rPr>
          <w:rFonts w:ascii="Sakkal Majalla" w:eastAsia="Times New Roman" w:hAnsi="Sakkal Majalla" w:cs="Sakkal Majalla"/>
          <w:b/>
          <w:bCs/>
          <w:sz w:val="28"/>
          <w:szCs w:val="28"/>
          <w:rtl/>
        </w:rPr>
      </w:pPr>
    </w:p>
    <w:p w14:paraId="175FF337" w14:textId="77777777" w:rsid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5F7BCCBD"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2B8838D7"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07F5050"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532BB43"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670D9C3"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DCE112D"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2768FF9"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3A19C07"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4B9B1F73"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E68C7E1"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6E3DAC66"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028777C"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74020F83"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04E87F0" w14:textId="77777777" w:rsidR="00172E9A" w:rsidRDefault="00172E9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7BEB146" w14:textId="77777777" w:rsidR="00172E9A" w:rsidRDefault="00172E9A"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16B6E2DD"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3F9CD124" w14:textId="77777777" w:rsidR="00F21CF6" w:rsidRDefault="00F21CF6"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tl/>
        </w:rPr>
      </w:pPr>
    </w:p>
    <w:p w14:paraId="0B175F5D" w14:textId="0B5D8860" w:rsidR="00840A0E" w:rsidRPr="00840A0E" w:rsidRDefault="00840A0E" w:rsidP="00840A0E">
      <w:pPr>
        <w:pStyle w:val="ListParagraph"/>
        <w:spacing w:before="100" w:beforeAutospacing="1" w:after="100" w:afterAutospacing="1" w:line="240" w:lineRule="auto"/>
        <w:ind w:left="142"/>
        <w:jc w:val="right"/>
        <w:rPr>
          <w:rFonts w:ascii="Sakkal Majalla" w:eastAsia="Times New Roman" w:hAnsi="Sakkal Majalla" w:cs="Sakkal Majalla"/>
          <w:b/>
          <w:bCs/>
          <w:sz w:val="28"/>
          <w:szCs w:val="28"/>
        </w:rPr>
      </w:pPr>
      <w:r w:rsidRPr="00840A0E">
        <w:rPr>
          <w:rFonts w:ascii="Sakkal Majalla" w:eastAsia="Times New Roman" w:hAnsi="Sakkal Majalla" w:cs="Sakkal Majalla"/>
          <w:b/>
          <w:bCs/>
          <w:sz w:val="28"/>
          <w:szCs w:val="28"/>
          <w:rtl/>
        </w:rPr>
        <w:t>المراجع</w:t>
      </w:r>
    </w:p>
    <w:p w14:paraId="266C2227" w14:textId="77777777" w:rsidR="00840A0E" w:rsidRDefault="00840A0E" w:rsidP="00840A0E">
      <w:pPr>
        <w:pStyle w:val="ListParagraph"/>
        <w:spacing w:before="100" w:beforeAutospacing="1" w:after="100" w:afterAutospacing="1" w:line="240" w:lineRule="auto"/>
        <w:ind w:left="142"/>
        <w:jc w:val="both"/>
        <w:rPr>
          <w:rFonts w:ascii="Times New Roman" w:eastAsia="Times New Roman" w:hAnsi="Times New Roman" w:cs="Times New Roman"/>
          <w:sz w:val="24"/>
          <w:szCs w:val="24"/>
        </w:rPr>
      </w:pPr>
    </w:p>
    <w:p w14:paraId="3FB6A174" w14:textId="58CC086D"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Aggarwal, R., &amp; Williamson, R. (2006). Did new regulations target the relevant corporate governance attributes? </w:t>
      </w:r>
      <w:r w:rsidRPr="00203E13">
        <w:rPr>
          <w:rFonts w:ascii="Times New Roman" w:eastAsia="Times New Roman" w:hAnsi="Times New Roman" w:cs="Times New Roman"/>
          <w:i/>
          <w:iCs/>
          <w:sz w:val="24"/>
          <w:szCs w:val="24"/>
        </w:rPr>
        <w:t>Journal of Accounting and Economics, 41</w:t>
      </w:r>
      <w:r w:rsidRPr="00203E13">
        <w:rPr>
          <w:rFonts w:ascii="Times New Roman" w:eastAsia="Times New Roman" w:hAnsi="Times New Roman" w:cs="Times New Roman"/>
          <w:sz w:val="24"/>
          <w:szCs w:val="24"/>
        </w:rPr>
        <w:t xml:space="preserve">(3), 319–345. </w:t>
      </w:r>
      <w:hyperlink r:id="rId11" w:history="1">
        <w:r w:rsidR="00203E13" w:rsidRPr="00203E13">
          <w:rPr>
            <w:rStyle w:val="Hyperlink"/>
            <w:rFonts w:ascii="Times New Roman" w:eastAsia="Times New Roman" w:hAnsi="Times New Roman" w:cs="Times New Roman"/>
            <w:sz w:val="24"/>
            <w:szCs w:val="24"/>
          </w:rPr>
          <w:t>https://doi.org/10.1016/j.jacceco.2006.02.002</w:t>
        </w:r>
      </w:hyperlink>
      <w:r w:rsidR="00203E13" w:rsidRPr="00203E13">
        <w:rPr>
          <w:rFonts w:ascii="Times New Roman" w:eastAsia="Times New Roman" w:hAnsi="Times New Roman" w:cs="Times New Roman" w:hint="cs"/>
          <w:sz w:val="24"/>
          <w:szCs w:val="24"/>
          <w:rtl/>
        </w:rPr>
        <w:t xml:space="preserve"> </w:t>
      </w:r>
    </w:p>
    <w:p w14:paraId="5C5CADBD" w14:textId="624C85C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Boshnak</w:t>
      </w:r>
      <w:proofErr w:type="spellEnd"/>
      <w:r w:rsidRPr="00203E13">
        <w:rPr>
          <w:rFonts w:ascii="Times New Roman" w:eastAsia="Times New Roman" w:hAnsi="Times New Roman" w:cs="Times New Roman"/>
          <w:sz w:val="24"/>
          <w:szCs w:val="24"/>
        </w:rPr>
        <w:t xml:space="preserve">, H. (2023). Corporate governance mechanisms and firm performance: Evidence from Saudi Arabia. </w:t>
      </w:r>
      <w:r w:rsidRPr="00203E13">
        <w:rPr>
          <w:rFonts w:ascii="Times New Roman" w:eastAsia="Times New Roman" w:hAnsi="Times New Roman" w:cs="Times New Roman"/>
          <w:i/>
          <w:iCs/>
          <w:sz w:val="24"/>
          <w:szCs w:val="24"/>
        </w:rPr>
        <w:t>Journal of Asian Finance, Economics and Business, 10</w:t>
      </w:r>
      <w:r w:rsidRPr="00203E13">
        <w:rPr>
          <w:rFonts w:ascii="Times New Roman" w:eastAsia="Times New Roman" w:hAnsi="Times New Roman" w:cs="Times New Roman"/>
          <w:sz w:val="24"/>
          <w:szCs w:val="24"/>
        </w:rPr>
        <w:t xml:space="preserve">(3), 123–134. </w:t>
      </w:r>
      <w:hyperlink r:id="rId12" w:history="1">
        <w:r w:rsidR="00203E13" w:rsidRPr="00203E13">
          <w:rPr>
            <w:rStyle w:val="Hyperlink"/>
            <w:rFonts w:ascii="Times New Roman" w:eastAsia="Times New Roman" w:hAnsi="Times New Roman" w:cs="Times New Roman"/>
            <w:sz w:val="24"/>
            <w:szCs w:val="24"/>
          </w:rPr>
          <w:t>https://doi.org/10.13106/jafeb.2023.vol10.no3.0123</w:t>
        </w:r>
      </w:hyperlink>
      <w:r w:rsidR="00203E13" w:rsidRPr="00203E13">
        <w:rPr>
          <w:rFonts w:ascii="Times New Roman" w:eastAsia="Times New Roman" w:hAnsi="Times New Roman" w:cs="Times New Roman" w:hint="cs"/>
          <w:sz w:val="24"/>
          <w:szCs w:val="24"/>
          <w:rtl/>
        </w:rPr>
        <w:t xml:space="preserve"> </w:t>
      </w:r>
    </w:p>
    <w:p w14:paraId="6A821A41" w14:textId="71776893"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Brennan, N., &amp; Solomon, J. (2008). Corporate governance, accountability and mechanisms of accountability: An overview. </w:t>
      </w:r>
      <w:r w:rsidRPr="00203E13">
        <w:rPr>
          <w:rFonts w:ascii="Times New Roman" w:eastAsia="Times New Roman" w:hAnsi="Times New Roman" w:cs="Times New Roman"/>
          <w:i/>
          <w:iCs/>
          <w:sz w:val="24"/>
          <w:szCs w:val="24"/>
        </w:rPr>
        <w:t>Accounting, Auditing &amp; Accountability Journal, 21</w:t>
      </w:r>
      <w:r w:rsidRPr="00203E13">
        <w:rPr>
          <w:rFonts w:ascii="Times New Roman" w:eastAsia="Times New Roman" w:hAnsi="Times New Roman" w:cs="Times New Roman"/>
          <w:sz w:val="24"/>
          <w:szCs w:val="24"/>
        </w:rPr>
        <w:t xml:space="preserve">(7), 885–906. </w:t>
      </w:r>
      <w:hyperlink r:id="rId13" w:history="1">
        <w:r w:rsidR="00203E13" w:rsidRPr="00203E13">
          <w:rPr>
            <w:rStyle w:val="Hyperlink"/>
            <w:rFonts w:ascii="Times New Roman" w:eastAsia="Times New Roman" w:hAnsi="Times New Roman" w:cs="Times New Roman"/>
            <w:sz w:val="24"/>
            <w:szCs w:val="24"/>
          </w:rPr>
          <w:t>https://doi.org/10.1108/09513570810887893</w:t>
        </w:r>
      </w:hyperlink>
      <w:r w:rsidR="00203E13" w:rsidRPr="00203E13">
        <w:rPr>
          <w:rFonts w:ascii="Times New Roman" w:eastAsia="Times New Roman" w:hAnsi="Times New Roman" w:cs="Times New Roman" w:hint="cs"/>
          <w:sz w:val="24"/>
          <w:szCs w:val="24"/>
          <w:rtl/>
        </w:rPr>
        <w:t xml:space="preserve"> </w:t>
      </w:r>
    </w:p>
    <w:p w14:paraId="1C360D5A" w14:textId="45F4E121"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Brown, L. D., &amp; Caylor, M. L. (2009). Corporate governance and firm operating performance. </w:t>
      </w:r>
      <w:r w:rsidRPr="00203E13">
        <w:rPr>
          <w:rFonts w:ascii="Times New Roman" w:eastAsia="Times New Roman" w:hAnsi="Times New Roman" w:cs="Times New Roman"/>
          <w:i/>
          <w:iCs/>
          <w:sz w:val="24"/>
          <w:szCs w:val="24"/>
        </w:rPr>
        <w:t>Review of Quantitative Finance and Accounting, 32</w:t>
      </w:r>
      <w:r w:rsidRPr="00203E13">
        <w:rPr>
          <w:rFonts w:ascii="Times New Roman" w:eastAsia="Times New Roman" w:hAnsi="Times New Roman" w:cs="Times New Roman"/>
          <w:sz w:val="24"/>
          <w:szCs w:val="24"/>
        </w:rPr>
        <w:t xml:space="preserve">(2), 129–144. </w:t>
      </w:r>
      <w:hyperlink r:id="rId14" w:history="1">
        <w:r w:rsidR="00203E13" w:rsidRPr="00203E13">
          <w:rPr>
            <w:rStyle w:val="Hyperlink"/>
            <w:rFonts w:ascii="Times New Roman" w:eastAsia="Times New Roman" w:hAnsi="Times New Roman" w:cs="Times New Roman"/>
            <w:sz w:val="24"/>
            <w:szCs w:val="24"/>
          </w:rPr>
          <w:t>https://doi.org/10.1007/s11156-008-0093-7</w:t>
        </w:r>
      </w:hyperlink>
      <w:r w:rsidR="00203E13" w:rsidRPr="00203E13">
        <w:rPr>
          <w:rFonts w:ascii="Times New Roman" w:eastAsia="Times New Roman" w:hAnsi="Times New Roman" w:cs="Times New Roman" w:hint="cs"/>
          <w:sz w:val="24"/>
          <w:szCs w:val="24"/>
          <w:rtl/>
        </w:rPr>
        <w:t xml:space="preserve"> </w:t>
      </w:r>
    </w:p>
    <w:p w14:paraId="60AAF216" w14:textId="69C70FA1"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Buallay</w:t>
      </w:r>
      <w:proofErr w:type="spellEnd"/>
      <w:r w:rsidRPr="00203E13">
        <w:rPr>
          <w:rFonts w:ascii="Times New Roman" w:eastAsia="Times New Roman" w:hAnsi="Times New Roman" w:cs="Times New Roman"/>
          <w:sz w:val="24"/>
          <w:szCs w:val="24"/>
        </w:rPr>
        <w:t xml:space="preserve">, A. (2017). Corporate governance and firm performance: Evidence from Europe. </w:t>
      </w:r>
      <w:r w:rsidRPr="00203E13">
        <w:rPr>
          <w:rFonts w:ascii="Times New Roman" w:eastAsia="Times New Roman" w:hAnsi="Times New Roman" w:cs="Times New Roman"/>
          <w:i/>
          <w:iCs/>
          <w:sz w:val="24"/>
          <w:szCs w:val="24"/>
        </w:rPr>
        <w:t>Asian Economic and Financial Review, 7</w:t>
      </w:r>
      <w:r w:rsidRPr="00203E13">
        <w:rPr>
          <w:rFonts w:ascii="Times New Roman" w:eastAsia="Times New Roman" w:hAnsi="Times New Roman" w:cs="Times New Roman"/>
          <w:sz w:val="24"/>
          <w:szCs w:val="24"/>
        </w:rPr>
        <w:t xml:space="preserve">(12), 1250–1262. </w:t>
      </w:r>
      <w:r w:rsidR="00203E13" w:rsidRPr="00203E13">
        <w:rPr>
          <w:rFonts w:ascii="Times New Roman" w:eastAsia="Times New Roman" w:hAnsi="Times New Roman" w:cs="Times New Roman" w:hint="cs"/>
          <w:sz w:val="24"/>
          <w:szCs w:val="24"/>
          <w:rtl/>
        </w:rPr>
        <w:t xml:space="preserve"> </w:t>
      </w:r>
    </w:p>
    <w:p w14:paraId="19161F45" w14:textId="28F2C502"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Buallay</w:t>
      </w:r>
      <w:proofErr w:type="spellEnd"/>
      <w:r w:rsidRPr="00203E13">
        <w:rPr>
          <w:rFonts w:ascii="Times New Roman" w:eastAsia="Times New Roman" w:hAnsi="Times New Roman" w:cs="Times New Roman"/>
          <w:sz w:val="24"/>
          <w:szCs w:val="24"/>
        </w:rPr>
        <w:t xml:space="preserve">, A. (2019). Corporate governance and firm productivity: Evidence from Gulf Cooperation Council (GCC) countries. </w:t>
      </w:r>
      <w:r w:rsidRPr="00203E13">
        <w:rPr>
          <w:rFonts w:ascii="Times New Roman" w:eastAsia="Times New Roman" w:hAnsi="Times New Roman" w:cs="Times New Roman"/>
          <w:i/>
          <w:iCs/>
          <w:sz w:val="24"/>
          <w:szCs w:val="24"/>
        </w:rPr>
        <w:t>International Journal of Productivity and Performance Management, 68</w:t>
      </w:r>
      <w:r w:rsidRPr="00203E13">
        <w:rPr>
          <w:rFonts w:ascii="Times New Roman" w:eastAsia="Times New Roman" w:hAnsi="Times New Roman" w:cs="Times New Roman"/>
          <w:sz w:val="24"/>
          <w:szCs w:val="24"/>
        </w:rPr>
        <w:t xml:space="preserve">(3), 517–539. </w:t>
      </w:r>
      <w:hyperlink r:id="rId15" w:history="1">
        <w:r w:rsidR="00203E13" w:rsidRPr="00203E13">
          <w:rPr>
            <w:rStyle w:val="Hyperlink"/>
            <w:rFonts w:ascii="Times New Roman" w:eastAsia="Times New Roman" w:hAnsi="Times New Roman" w:cs="Times New Roman"/>
            <w:sz w:val="24"/>
            <w:szCs w:val="24"/>
          </w:rPr>
          <w:t>https://doi.org/10.1108/IJPPM-10-2017-0278</w:t>
        </w:r>
      </w:hyperlink>
      <w:r w:rsidR="00203E13" w:rsidRPr="00203E13">
        <w:rPr>
          <w:rFonts w:ascii="Times New Roman" w:eastAsia="Times New Roman" w:hAnsi="Times New Roman" w:cs="Times New Roman" w:hint="cs"/>
          <w:sz w:val="24"/>
          <w:szCs w:val="24"/>
          <w:rtl/>
        </w:rPr>
        <w:t xml:space="preserve"> </w:t>
      </w:r>
    </w:p>
    <w:p w14:paraId="00BA556A" w14:textId="32F84EA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Committee of Sponsoring Organizations of the Treadway Commission (COSO). (2013). </w:t>
      </w:r>
      <w:r w:rsidRPr="00203E13">
        <w:rPr>
          <w:rFonts w:ascii="Times New Roman" w:eastAsia="Times New Roman" w:hAnsi="Times New Roman" w:cs="Times New Roman"/>
          <w:i/>
          <w:iCs/>
          <w:sz w:val="24"/>
          <w:szCs w:val="24"/>
        </w:rPr>
        <w:t>Internal control—Integrated framework</w:t>
      </w:r>
      <w:r w:rsidRPr="00203E13">
        <w:rPr>
          <w:rFonts w:ascii="Times New Roman" w:eastAsia="Times New Roman" w:hAnsi="Times New Roman" w:cs="Times New Roman"/>
          <w:sz w:val="24"/>
          <w:szCs w:val="24"/>
        </w:rPr>
        <w:t xml:space="preserve">. COSO. </w:t>
      </w:r>
      <w:r w:rsidR="00203E13" w:rsidRPr="00203E13">
        <w:rPr>
          <w:rFonts w:ascii="Times New Roman" w:eastAsia="Times New Roman" w:hAnsi="Times New Roman" w:cs="Times New Roman" w:hint="cs"/>
          <w:sz w:val="24"/>
          <w:szCs w:val="24"/>
          <w:rtl/>
        </w:rPr>
        <w:t xml:space="preserve"> </w:t>
      </w:r>
    </w:p>
    <w:p w14:paraId="076B7198" w14:textId="64A44A09"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COSO. (2017). </w:t>
      </w:r>
      <w:r w:rsidRPr="00203E13">
        <w:rPr>
          <w:rFonts w:ascii="Times New Roman" w:eastAsia="Times New Roman" w:hAnsi="Times New Roman" w:cs="Times New Roman"/>
          <w:i/>
          <w:iCs/>
          <w:sz w:val="24"/>
          <w:szCs w:val="24"/>
        </w:rPr>
        <w:t>Enterprise risk management—Integrating with strategy and performance</w:t>
      </w:r>
      <w:r w:rsidRPr="00203E13">
        <w:rPr>
          <w:rFonts w:ascii="Times New Roman" w:eastAsia="Times New Roman" w:hAnsi="Times New Roman" w:cs="Times New Roman"/>
          <w:sz w:val="24"/>
          <w:szCs w:val="24"/>
        </w:rPr>
        <w:t xml:space="preserve">. COSO. </w:t>
      </w:r>
    </w:p>
    <w:p w14:paraId="3FF17C88" w14:textId="43F9FA76"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Daily, C. M., Dalton, D. R., &amp; Cannella, A. A. (2003). Corporate governance: Decades of dialogue and data. </w:t>
      </w:r>
      <w:r w:rsidRPr="00203E13">
        <w:rPr>
          <w:rFonts w:ascii="Times New Roman" w:eastAsia="Times New Roman" w:hAnsi="Times New Roman" w:cs="Times New Roman"/>
          <w:i/>
          <w:iCs/>
          <w:sz w:val="24"/>
          <w:szCs w:val="24"/>
        </w:rPr>
        <w:t>Academy of Management Review, 28</w:t>
      </w:r>
      <w:r w:rsidRPr="00203E13">
        <w:rPr>
          <w:rFonts w:ascii="Times New Roman" w:eastAsia="Times New Roman" w:hAnsi="Times New Roman" w:cs="Times New Roman"/>
          <w:sz w:val="24"/>
          <w:szCs w:val="24"/>
        </w:rPr>
        <w:t xml:space="preserve">(3), 371–382. </w:t>
      </w:r>
      <w:hyperlink r:id="rId16" w:history="1">
        <w:r w:rsidR="00203E13" w:rsidRPr="00203E13">
          <w:rPr>
            <w:rStyle w:val="Hyperlink"/>
            <w:rFonts w:ascii="Times New Roman" w:eastAsia="Times New Roman" w:hAnsi="Times New Roman" w:cs="Times New Roman"/>
            <w:sz w:val="24"/>
            <w:szCs w:val="24"/>
          </w:rPr>
          <w:t>https://doi.org/10.5465/amr.2003.10196772</w:t>
        </w:r>
      </w:hyperlink>
      <w:r w:rsidR="00203E13" w:rsidRPr="00203E13">
        <w:rPr>
          <w:rFonts w:ascii="Times New Roman" w:eastAsia="Times New Roman" w:hAnsi="Times New Roman" w:cs="Times New Roman" w:hint="cs"/>
          <w:sz w:val="24"/>
          <w:szCs w:val="24"/>
          <w:rtl/>
        </w:rPr>
        <w:t xml:space="preserve"> </w:t>
      </w:r>
    </w:p>
    <w:p w14:paraId="2E43481C"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Edmondson, A. (1999). Psychological safety and learning behavior in work teams. </w:t>
      </w:r>
      <w:r w:rsidRPr="00203E13">
        <w:rPr>
          <w:rFonts w:ascii="Times New Roman" w:eastAsia="Times New Roman" w:hAnsi="Times New Roman" w:cs="Times New Roman"/>
          <w:i/>
          <w:iCs/>
          <w:sz w:val="24"/>
          <w:szCs w:val="24"/>
        </w:rPr>
        <w:t>Administrative Science Quarterly, 44</w:t>
      </w:r>
      <w:r w:rsidRPr="00203E13">
        <w:rPr>
          <w:rFonts w:ascii="Times New Roman" w:eastAsia="Times New Roman" w:hAnsi="Times New Roman" w:cs="Times New Roman"/>
          <w:sz w:val="24"/>
          <w:szCs w:val="24"/>
        </w:rPr>
        <w:t xml:space="preserve">(2), 350–383. </w:t>
      </w:r>
      <w:hyperlink r:id="rId17" w:tgtFrame="_new" w:history="1">
        <w:r w:rsidRPr="00203E13">
          <w:rPr>
            <w:rFonts w:ascii="Times New Roman" w:eastAsia="Times New Roman" w:hAnsi="Times New Roman" w:cs="Times New Roman"/>
            <w:color w:val="0000FF"/>
            <w:sz w:val="24"/>
            <w:szCs w:val="24"/>
            <w:u w:val="single"/>
          </w:rPr>
          <w:t>https://doi.org/10.2307/2666999</w:t>
        </w:r>
      </w:hyperlink>
    </w:p>
    <w:p w14:paraId="66321C1B"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Fama, E. F., &amp; Jensen, M. C. (1983). Separation of ownership and control. </w:t>
      </w:r>
      <w:r w:rsidRPr="00203E13">
        <w:rPr>
          <w:rFonts w:ascii="Times New Roman" w:eastAsia="Times New Roman" w:hAnsi="Times New Roman" w:cs="Times New Roman"/>
          <w:i/>
          <w:iCs/>
          <w:sz w:val="24"/>
          <w:szCs w:val="24"/>
        </w:rPr>
        <w:t>Journal of Law and Economics, 26</w:t>
      </w:r>
      <w:r w:rsidRPr="00203E13">
        <w:rPr>
          <w:rFonts w:ascii="Times New Roman" w:eastAsia="Times New Roman" w:hAnsi="Times New Roman" w:cs="Times New Roman"/>
          <w:sz w:val="24"/>
          <w:szCs w:val="24"/>
        </w:rPr>
        <w:t xml:space="preserve">(2), 301–325. </w:t>
      </w:r>
      <w:hyperlink r:id="rId18" w:tgtFrame="_new" w:history="1">
        <w:r w:rsidRPr="00203E13">
          <w:rPr>
            <w:rFonts w:ascii="Times New Roman" w:eastAsia="Times New Roman" w:hAnsi="Times New Roman" w:cs="Times New Roman"/>
            <w:color w:val="0000FF"/>
            <w:sz w:val="24"/>
            <w:szCs w:val="24"/>
            <w:u w:val="single"/>
          </w:rPr>
          <w:t>https://doi.org/10.1086/467037</w:t>
        </w:r>
      </w:hyperlink>
    </w:p>
    <w:p w14:paraId="2B6D3205" w14:textId="469BBD58"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Fung, B. (2014). The demand and need for transparency and disclosure in corporate governance. </w:t>
      </w:r>
      <w:r w:rsidRPr="00203E13">
        <w:rPr>
          <w:rFonts w:ascii="Times New Roman" w:eastAsia="Times New Roman" w:hAnsi="Times New Roman" w:cs="Times New Roman"/>
          <w:i/>
          <w:iCs/>
          <w:sz w:val="24"/>
          <w:szCs w:val="24"/>
        </w:rPr>
        <w:t>Universal Journal of Management, 2</w:t>
      </w:r>
      <w:r w:rsidRPr="00203E13">
        <w:rPr>
          <w:rFonts w:ascii="Times New Roman" w:eastAsia="Times New Roman" w:hAnsi="Times New Roman" w:cs="Times New Roman"/>
          <w:sz w:val="24"/>
          <w:szCs w:val="24"/>
        </w:rPr>
        <w:t xml:space="preserve">(2), 72–80. </w:t>
      </w:r>
      <w:r w:rsidR="00203E13" w:rsidRPr="00203E13">
        <w:rPr>
          <w:rFonts w:ascii="Times New Roman" w:eastAsia="Times New Roman" w:hAnsi="Times New Roman" w:cs="Times New Roman" w:hint="cs"/>
          <w:sz w:val="24"/>
          <w:szCs w:val="24"/>
          <w:rtl/>
        </w:rPr>
        <w:t xml:space="preserve"> </w:t>
      </w:r>
    </w:p>
    <w:p w14:paraId="1724A71C" w14:textId="134B83BD"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Institute of Directors in Southern Africa. (2016). </w:t>
      </w:r>
      <w:r w:rsidRPr="00203E13">
        <w:rPr>
          <w:rFonts w:ascii="Times New Roman" w:eastAsia="Times New Roman" w:hAnsi="Times New Roman" w:cs="Times New Roman"/>
          <w:i/>
          <w:iCs/>
          <w:sz w:val="24"/>
          <w:szCs w:val="24"/>
        </w:rPr>
        <w:t>King IV Report on Corporate Governance for South Africa</w:t>
      </w:r>
      <w:r w:rsidRPr="00203E13">
        <w:rPr>
          <w:rFonts w:ascii="Times New Roman" w:eastAsia="Times New Roman" w:hAnsi="Times New Roman" w:cs="Times New Roman"/>
          <w:sz w:val="24"/>
          <w:szCs w:val="24"/>
        </w:rPr>
        <w:t xml:space="preserve">. </w:t>
      </w:r>
    </w:p>
    <w:p w14:paraId="742BA6F9" w14:textId="5309AFD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Institute of Internal Auditors (IIA). (2020). </w:t>
      </w:r>
      <w:r w:rsidRPr="00203E13">
        <w:rPr>
          <w:rFonts w:ascii="Times New Roman" w:eastAsia="Times New Roman" w:hAnsi="Times New Roman" w:cs="Times New Roman"/>
          <w:i/>
          <w:iCs/>
          <w:sz w:val="24"/>
          <w:szCs w:val="24"/>
        </w:rPr>
        <w:t>The IIA’s Three Lines Model – An update of the Three Lines of Defense</w:t>
      </w:r>
      <w:r w:rsidRPr="00203E13">
        <w:rPr>
          <w:rFonts w:ascii="Times New Roman" w:eastAsia="Times New Roman" w:hAnsi="Times New Roman" w:cs="Times New Roman"/>
          <w:sz w:val="24"/>
          <w:szCs w:val="24"/>
        </w:rPr>
        <w:t xml:space="preserve">. IIA. </w:t>
      </w:r>
    </w:p>
    <w:p w14:paraId="49B19B70" w14:textId="587FF7F9"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INTOSAI – International Organization of Supreme Audit Institutions. (2019). </w:t>
      </w:r>
      <w:r w:rsidRPr="00203E13">
        <w:rPr>
          <w:rFonts w:ascii="Times New Roman" w:eastAsia="Times New Roman" w:hAnsi="Times New Roman" w:cs="Times New Roman"/>
          <w:i/>
          <w:iCs/>
          <w:sz w:val="24"/>
          <w:szCs w:val="24"/>
        </w:rPr>
        <w:t>INTOSAI Framework of Professional Pronouncements (IFPP)</w:t>
      </w:r>
      <w:r w:rsidRPr="00203E13">
        <w:rPr>
          <w:rFonts w:ascii="Times New Roman" w:eastAsia="Times New Roman" w:hAnsi="Times New Roman" w:cs="Times New Roman"/>
          <w:sz w:val="24"/>
          <w:szCs w:val="24"/>
        </w:rPr>
        <w:t xml:space="preserve">. </w:t>
      </w:r>
    </w:p>
    <w:p w14:paraId="3DA4F0A1" w14:textId="35ACB90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ISO. (2021). </w:t>
      </w:r>
      <w:r w:rsidRPr="00203E13">
        <w:rPr>
          <w:rFonts w:ascii="Times New Roman" w:eastAsia="Times New Roman" w:hAnsi="Times New Roman" w:cs="Times New Roman"/>
          <w:i/>
          <w:iCs/>
          <w:sz w:val="24"/>
          <w:szCs w:val="24"/>
        </w:rPr>
        <w:t>ISO 37000: Governance of organizations — Guidance</w:t>
      </w:r>
      <w:r w:rsidRPr="00203E13">
        <w:rPr>
          <w:rFonts w:ascii="Times New Roman" w:eastAsia="Times New Roman" w:hAnsi="Times New Roman" w:cs="Times New Roman"/>
          <w:sz w:val="24"/>
          <w:szCs w:val="24"/>
        </w:rPr>
        <w:t xml:space="preserve">. International Organization for Standardization. </w:t>
      </w:r>
    </w:p>
    <w:p w14:paraId="7BB01B43"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Jensen, M. C., &amp; Meckling, W. H. (1976). Theory of the firm: Managerial behavior, agency costs and ownership structure. </w:t>
      </w:r>
      <w:r w:rsidRPr="00203E13">
        <w:rPr>
          <w:rFonts w:ascii="Times New Roman" w:eastAsia="Times New Roman" w:hAnsi="Times New Roman" w:cs="Times New Roman"/>
          <w:i/>
          <w:iCs/>
          <w:sz w:val="24"/>
          <w:szCs w:val="24"/>
        </w:rPr>
        <w:t>Journal of Financial Economics, 3</w:t>
      </w:r>
      <w:r w:rsidRPr="00203E13">
        <w:rPr>
          <w:rFonts w:ascii="Times New Roman" w:eastAsia="Times New Roman" w:hAnsi="Times New Roman" w:cs="Times New Roman"/>
          <w:sz w:val="24"/>
          <w:szCs w:val="24"/>
        </w:rPr>
        <w:t>(4), 305–360. https://doi.org/10.1016/0304-405X(76)90026-X</w:t>
      </w:r>
    </w:p>
    <w:p w14:paraId="2E12E42F"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La Porta, R., Lopez-de-Silanes, F., Shleifer, A., &amp; </w:t>
      </w:r>
      <w:proofErr w:type="spellStart"/>
      <w:r w:rsidRPr="00203E13">
        <w:rPr>
          <w:rFonts w:ascii="Times New Roman" w:eastAsia="Times New Roman" w:hAnsi="Times New Roman" w:cs="Times New Roman"/>
          <w:sz w:val="24"/>
          <w:szCs w:val="24"/>
        </w:rPr>
        <w:t>Vishny</w:t>
      </w:r>
      <w:proofErr w:type="spellEnd"/>
      <w:r w:rsidRPr="00203E13">
        <w:rPr>
          <w:rFonts w:ascii="Times New Roman" w:eastAsia="Times New Roman" w:hAnsi="Times New Roman" w:cs="Times New Roman"/>
          <w:sz w:val="24"/>
          <w:szCs w:val="24"/>
        </w:rPr>
        <w:t xml:space="preserve">, R. (2000). Investor protection and corporate governance. </w:t>
      </w:r>
      <w:r w:rsidRPr="00203E13">
        <w:rPr>
          <w:rFonts w:ascii="Times New Roman" w:eastAsia="Times New Roman" w:hAnsi="Times New Roman" w:cs="Times New Roman"/>
          <w:i/>
          <w:iCs/>
          <w:sz w:val="24"/>
          <w:szCs w:val="24"/>
        </w:rPr>
        <w:t>Journal of Financial Economics, 58</w:t>
      </w:r>
      <w:r w:rsidRPr="00203E13">
        <w:rPr>
          <w:rFonts w:ascii="Times New Roman" w:eastAsia="Times New Roman" w:hAnsi="Times New Roman" w:cs="Times New Roman"/>
          <w:sz w:val="24"/>
          <w:szCs w:val="24"/>
        </w:rPr>
        <w:t>(1–2), 3–27. https://doi.org/10.1016/S0304-405X(00)00065-9</w:t>
      </w:r>
    </w:p>
    <w:p w14:paraId="25C8A8E1"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OECD – </w:t>
      </w:r>
      <w:proofErr w:type="spellStart"/>
      <w:r w:rsidRPr="00203E13">
        <w:rPr>
          <w:rFonts w:ascii="Times New Roman" w:eastAsia="Times New Roman" w:hAnsi="Times New Roman" w:cs="Times New Roman"/>
          <w:sz w:val="24"/>
          <w:szCs w:val="24"/>
        </w:rPr>
        <w:t>Organisation</w:t>
      </w:r>
      <w:proofErr w:type="spellEnd"/>
      <w:r w:rsidRPr="00203E13">
        <w:rPr>
          <w:rFonts w:ascii="Times New Roman" w:eastAsia="Times New Roman" w:hAnsi="Times New Roman" w:cs="Times New Roman"/>
          <w:sz w:val="24"/>
          <w:szCs w:val="24"/>
        </w:rPr>
        <w:t xml:space="preserve"> for Economic Co-operation and Development. (2015). </w:t>
      </w:r>
      <w:r w:rsidRPr="00203E13">
        <w:rPr>
          <w:rFonts w:ascii="Times New Roman" w:eastAsia="Times New Roman" w:hAnsi="Times New Roman" w:cs="Times New Roman"/>
          <w:i/>
          <w:iCs/>
          <w:sz w:val="24"/>
          <w:szCs w:val="24"/>
        </w:rPr>
        <w:t>G20/OECD Principles of Corporate Governance</w:t>
      </w:r>
      <w:r w:rsidRPr="00203E13">
        <w:rPr>
          <w:rFonts w:ascii="Times New Roman" w:eastAsia="Times New Roman" w:hAnsi="Times New Roman" w:cs="Times New Roman"/>
          <w:sz w:val="24"/>
          <w:szCs w:val="24"/>
        </w:rPr>
        <w:t>. OECD. https://www.oecd.org/corporate/principles-corporate-governance-2015.htm</w:t>
      </w:r>
    </w:p>
    <w:p w14:paraId="1E03965C" w14:textId="4058FF85"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Saudi Central Bank </w:t>
      </w:r>
      <w:r w:rsidRPr="00203E13">
        <w:rPr>
          <w:rFonts w:ascii="Times New Roman" w:eastAsia="Times New Roman" w:hAnsi="Times New Roman" w:cs="Times New Roman"/>
          <w:sz w:val="24"/>
          <w:szCs w:val="24"/>
          <w:rtl/>
        </w:rPr>
        <w:t>(البنك المركزي السعودي)</w:t>
      </w:r>
      <w:r w:rsidRPr="00203E13">
        <w:rPr>
          <w:rFonts w:ascii="Times New Roman" w:eastAsia="Times New Roman" w:hAnsi="Times New Roman" w:cs="Times New Roman"/>
          <w:sz w:val="24"/>
          <w:szCs w:val="24"/>
        </w:rPr>
        <w:t xml:space="preserve">. (2024). </w:t>
      </w:r>
      <w:r w:rsidRPr="00203E13">
        <w:rPr>
          <w:rFonts w:ascii="Times New Roman" w:eastAsia="Times New Roman" w:hAnsi="Times New Roman" w:cs="Times New Roman"/>
          <w:i/>
          <w:iCs/>
          <w:sz w:val="24"/>
          <w:szCs w:val="24"/>
        </w:rPr>
        <w:t>Corporate Governance Guidelines for Financial Institutions</w:t>
      </w:r>
      <w:r w:rsidRPr="00203E13">
        <w:rPr>
          <w:rFonts w:ascii="Times New Roman" w:eastAsia="Times New Roman" w:hAnsi="Times New Roman" w:cs="Times New Roman"/>
          <w:sz w:val="24"/>
          <w:szCs w:val="24"/>
        </w:rPr>
        <w:t xml:space="preserve">. </w:t>
      </w:r>
    </w:p>
    <w:p w14:paraId="0AABFA01"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tl/>
        </w:rPr>
        <w:t xml:space="preserve">قرار مجلس الوزراء رقم (92) بشأن إصدار الدليل </w:t>
      </w:r>
      <w:proofErr w:type="spellStart"/>
      <w:r w:rsidRPr="00203E13">
        <w:rPr>
          <w:rFonts w:ascii="Times New Roman" w:eastAsia="Times New Roman" w:hAnsi="Times New Roman" w:cs="Times New Roman"/>
          <w:sz w:val="24"/>
          <w:szCs w:val="24"/>
          <w:rtl/>
        </w:rPr>
        <w:t>الاسترشادي</w:t>
      </w:r>
      <w:proofErr w:type="spellEnd"/>
      <w:r w:rsidRPr="00203E13">
        <w:rPr>
          <w:rFonts w:ascii="Times New Roman" w:eastAsia="Times New Roman" w:hAnsi="Times New Roman" w:cs="Times New Roman"/>
          <w:sz w:val="24"/>
          <w:szCs w:val="24"/>
          <w:rtl/>
        </w:rPr>
        <w:t xml:space="preserve"> لحوكمة الجهات العامة. (2020). المملكة العربية السعودية. (أضف رابط الوثيقة الرسمية إن توفر)</w:t>
      </w:r>
    </w:p>
    <w:p w14:paraId="02A29CC8" w14:textId="3B5D4A0B"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Teece, D. J., Pisano, G., &amp; </w:t>
      </w:r>
      <w:proofErr w:type="spellStart"/>
      <w:r w:rsidRPr="00203E13">
        <w:rPr>
          <w:rFonts w:ascii="Times New Roman" w:eastAsia="Times New Roman" w:hAnsi="Times New Roman" w:cs="Times New Roman"/>
          <w:sz w:val="24"/>
          <w:szCs w:val="24"/>
        </w:rPr>
        <w:t>Shuen</w:t>
      </w:r>
      <w:proofErr w:type="spellEnd"/>
      <w:r w:rsidRPr="00203E13">
        <w:rPr>
          <w:rFonts w:ascii="Times New Roman" w:eastAsia="Times New Roman" w:hAnsi="Times New Roman" w:cs="Times New Roman"/>
          <w:sz w:val="24"/>
          <w:szCs w:val="24"/>
        </w:rPr>
        <w:t xml:space="preserve">, A. (1997). Dynamic capabilities and strategic management. </w:t>
      </w:r>
      <w:r w:rsidRPr="00203E13">
        <w:rPr>
          <w:rFonts w:ascii="Times New Roman" w:eastAsia="Times New Roman" w:hAnsi="Times New Roman" w:cs="Times New Roman"/>
          <w:i/>
          <w:iCs/>
          <w:sz w:val="24"/>
          <w:szCs w:val="24"/>
        </w:rPr>
        <w:t>Strategic Management Journal, 18</w:t>
      </w:r>
      <w:r w:rsidRPr="00203E13">
        <w:rPr>
          <w:rFonts w:ascii="Times New Roman" w:eastAsia="Times New Roman" w:hAnsi="Times New Roman" w:cs="Times New Roman"/>
          <w:sz w:val="24"/>
          <w:szCs w:val="24"/>
        </w:rPr>
        <w:t xml:space="preserve">(7), 509–533. </w:t>
      </w:r>
      <w:hyperlink r:id="rId19" w:history="1">
        <w:r w:rsidRPr="00203E13">
          <w:rPr>
            <w:rStyle w:val="Hyperlink"/>
            <w:rFonts w:ascii="Times New Roman" w:eastAsia="Times New Roman" w:hAnsi="Times New Roman" w:cs="Times New Roman"/>
            <w:sz w:val="24"/>
            <w:szCs w:val="24"/>
          </w:rPr>
          <w:t>https://doi.org/10.1002/(SICI)1097-0266(199708)18:7&lt;509::AID-SMJ882&gt;3.0.CO;2-Z</w:t>
        </w:r>
      </w:hyperlink>
    </w:p>
    <w:p w14:paraId="50E27747" w14:textId="77777777" w:rsidR="00003848" w:rsidRP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Pr>
      </w:pPr>
    </w:p>
    <w:p w14:paraId="336562C6" w14:textId="743F852B"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proofErr w:type="spellStart"/>
      <w:r w:rsidRPr="00203E13">
        <w:rPr>
          <w:rFonts w:ascii="Times New Roman" w:eastAsia="Times New Roman" w:hAnsi="Times New Roman" w:cs="Times New Roman"/>
          <w:sz w:val="24"/>
          <w:szCs w:val="24"/>
        </w:rPr>
        <w:t>Wandroski</w:t>
      </w:r>
      <w:proofErr w:type="spellEnd"/>
      <w:r w:rsidRPr="00203E13">
        <w:rPr>
          <w:rFonts w:ascii="Times New Roman" w:eastAsia="Times New Roman" w:hAnsi="Times New Roman" w:cs="Times New Roman"/>
          <w:sz w:val="24"/>
          <w:szCs w:val="24"/>
        </w:rPr>
        <w:t xml:space="preserve"> Peris, L., Tavares, T., &amp; Pimentel, F. (2017). Corporate governance and operational performance: Evidence from emerging markets. </w:t>
      </w:r>
      <w:r w:rsidRPr="00203E13">
        <w:rPr>
          <w:rFonts w:ascii="Times New Roman" w:eastAsia="Times New Roman" w:hAnsi="Times New Roman" w:cs="Times New Roman"/>
          <w:i/>
          <w:iCs/>
          <w:sz w:val="24"/>
          <w:szCs w:val="24"/>
        </w:rPr>
        <w:t>Corporate Ownership &amp; Control, 14</w:t>
      </w:r>
      <w:r w:rsidRPr="00203E13">
        <w:rPr>
          <w:rFonts w:ascii="Times New Roman" w:eastAsia="Times New Roman" w:hAnsi="Times New Roman" w:cs="Times New Roman"/>
          <w:sz w:val="24"/>
          <w:szCs w:val="24"/>
        </w:rPr>
        <w:t xml:space="preserve">(3), 70–82. </w:t>
      </w:r>
      <w:hyperlink r:id="rId20" w:history="1">
        <w:r w:rsidRPr="00203E13">
          <w:rPr>
            <w:rStyle w:val="Hyperlink"/>
            <w:rFonts w:ascii="Times New Roman" w:eastAsia="Times New Roman" w:hAnsi="Times New Roman" w:cs="Times New Roman"/>
            <w:sz w:val="24"/>
            <w:szCs w:val="24"/>
          </w:rPr>
          <w:t>https://doi.org/10.22495/cocv14i3art6</w:t>
        </w:r>
      </w:hyperlink>
    </w:p>
    <w:p w14:paraId="3885437B" w14:textId="77777777" w:rsidR="00003848" w:rsidRP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Pr>
      </w:pPr>
    </w:p>
    <w:p w14:paraId="538B0FA9" w14:textId="49EFFE86"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World Bank. (2017). </w:t>
      </w:r>
      <w:r w:rsidRPr="00203E13">
        <w:rPr>
          <w:rFonts w:ascii="Times New Roman" w:eastAsia="Times New Roman" w:hAnsi="Times New Roman" w:cs="Times New Roman"/>
          <w:i/>
          <w:iCs/>
          <w:sz w:val="24"/>
          <w:szCs w:val="24"/>
        </w:rPr>
        <w:t>World Development Report 2017: Governance and the Law</w:t>
      </w:r>
      <w:r w:rsidRPr="00203E13">
        <w:rPr>
          <w:rFonts w:ascii="Times New Roman" w:eastAsia="Times New Roman" w:hAnsi="Times New Roman" w:cs="Times New Roman"/>
          <w:sz w:val="24"/>
          <w:szCs w:val="24"/>
        </w:rPr>
        <w:t xml:space="preserve">. World Bank Publications. </w:t>
      </w:r>
      <w:hyperlink r:id="rId21" w:history="1">
        <w:r w:rsidRPr="00203E13">
          <w:rPr>
            <w:rStyle w:val="Hyperlink"/>
            <w:rFonts w:ascii="Times New Roman" w:eastAsia="Times New Roman" w:hAnsi="Times New Roman" w:cs="Times New Roman"/>
            <w:sz w:val="24"/>
            <w:szCs w:val="24"/>
          </w:rPr>
          <w:t>https://openknowledge.worldbank.org/handle/10986/2598</w:t>
        </w:r>
      </w:hyperlink>
    </w:p>
    <w:p w14:paraId="2C67822E" w14:textId="77777777" w:rsid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tl/>
        </w:rPr>
      </w:pPr>
    </w:p>
    <w:p w14:paraId="48D6DC77"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Al-</w:t>
      </w:r>
      <w:proofErr w:type="spellStart"/>
      <w:r w:rsidRPr="00203E13">
        <w:rPr>
          <w:rFonts w:ascii="Times New Roman" w:eastAsia="Times New Roman" w:hAnsi="Times New Roman" w:cs="Times New Roman"/>
          <w:sz w:val="24"/>
          <w:szCs w:val="24"/>
        </w:rPr>
        <w:t>Dhaafri</w:t>
      </w:r>
      <w:proofErr w:type="spellEnd"/>
      <w:r w:rsidRPr="00203E13">
        <w:rPr>
          <w:rFonts w:ascii="Times New Roman" w:eastAsia="Times New Roman" w:hAnsi="Times New Roman" w:cs="Times New Roman"/>
          <w:sz w:val="24"/>
          <w:szCs w:val="24"/>
        </w:rPr>
        <w:t xml:space="preserve">, H. S., &amp; </w:t>
      </w:r>
      <w:proofErr w:type="spellStart"/>
      <w:r w:rsidRPr="00203E13">
        <w:rPr>
          <w:rFonts w:ascii="Times New Roman" w:eastAsia="Times New Roman" w:hAnsi="Times New Roman" w:cs="Times New Roman"/>
          <w:sz w:val="24"/>
          <w:szCs w:val="24"/>
        </w:rPr>
        <w:t>Alosani</w:t>
      </w:r>
      <w:proofErr w:type="spellEnd"/>
      <w:r w:rsidRPr="00203E13">
        <w:rPr>
          <w:rFonts w:ascii="Times New Roman" w:eastAsia="Times New Roman" w:hAnsi="Times New Roman" w:cs="Times New Roman"/>
          <w:sz w:val="24"/>
          <w:szCs w:val="24"/>
        </w:rPr>
        <w:t xml:space="preserve">, M. S. (2020). Closing the strategic planning and implementation gap through excellence in the public sector: Empirical investigation using SEM. Measuring Business Excellence, 24(3), 365-384. </w:t>
      </w:r>
      <w:hyperlink r:id="rId22" w:history="1">
        <w:r w:rsidRPr="00203E13">
          <w:rPr>
            <w:rFonts w:ascii="Times New Roman" w:eastAsia="Times New Roman" w:hAnsi="Times New Roman" w:cs="Times New Roman"/>
            <w:color w:val="0563C1"/>
            <w:sz w:val="24"/>
            <w:szCs w:val="24"/>
            <w:u w:val="single"/>
          </w:rPr>
          <w:t>https://doi.org/10.1108/MBE-12-2019-0128</w:t>
        </w:r>
      </w:hyperlink>
    </w:p>
    <w:p w14:paraId="75D4A2DC"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7978C5C2"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Al-Faryan, M. A. S. (2020). Corporate governance in Saudi Arabia: An overview of its evolution and recent trends. Risk Governance and Control: Financial Markets and Institutions, 10(1), 8-25. </w:t>
      </w:r>
      <w:hyperlink r:id="rId23" w:history="1">
        <w:r w:rsidRPr="00203E13">
          <w:rPr>
            <w:rFonts w:ascii="Times New Roman" w:eastAsia="Times New Roman" w:hAnsi="Times New Roman" w:cs="Times New Roman"/>
            <w:color w:val="0563C1"/>
            <w:sz w:val="24"/>
            <w:szCs w:val="24"/>
            <w:u w:val="single"/>
          </w:rPr>
          <w:t>https://doi.org/10.22495/rgcv10i1art1</w:t>
        </w:r>
      </w:hyperlink>
    </w:p>
    <w:p w14:paraId="29479CCA"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B56A7DB"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Al-Kahtani, F. S. (2014). Current disclosure and transparency practices in Saudi corporate governance. Arab Law Quarterly, 28(2), 176-199. </w:t>
      </w:r>
      <w:hyperlink r:id="rId24" w:history="1">
        <w:r w:rsidRPr="00203E13">
          <w:rPr>
            <w:rFonts w:ascii="Times New Roman" w:eastAsia="Times New Roman" w:hAnsi="Times New Roman" w:cs="Times New Roman"/>
            <w:color w:val="0563C1"/>
            <w:sz w:val="24"/>
            <w:szCs w:val="24"/>
            <w:u w:val="single"/>
          </w:rPr>
          <w:t>https://doi.org/10.1163/15730255-12341280</w:t>
        </w:r>
      </w:hyperlink>
    </w:p>
    <w:p w14:paraId="0672586D"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6BB6F53B"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Al-Otaibi, A. O., &amp; Al-Anzi, M. A. (2021). Change management and its relationship to organizational loyalty in educational institutions in the State of Kuwait, an analytical desk study. Faculty of Education Journal Alexandria University, 31(4), 299-326. </w:t>
      </w:r>
      <w:hyperlink r:id="rId25" w:history="1">
        <w:r w:rsidRPr="00203E13">
          <w:rPr>
            <w:rFonts w:ascii="Times New Roman" w:eastAsia="Times New Roman" w:hAnsi="Times New Roman" w:cs="Times New Roman"/>
            <w:color w:val="0563C1"/>
            <w:sz w:val="24"/>
            <w:szCs w:val="24"/>
            <w:u w:val="single"/>
          </w:rPr>
          <w:t>https://doi.org/10.21608/JEALEX.2021.155213</w:t>
        </w:r>
      </w:hyperlink>
    </w:p>
    <w:p w14:paraId="64EADC01"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21071112"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Al-Tawil, T. N., &amp; </w:t>
      </w:r>
      <w:proofErr w:type="spellStart"/>
      <w:r w:rsidRPr="00203E13">
        <w:rPr>
          <w:rFonts w:ascii="Times New Roman" w:eastAsia="Times New Roman" w:hAnsi="Times New Roman" w:cs="Times New Roman"/>
          <w:sz w:val="24"/>
          <w:szCs w:val="24"/>
        </w:rPr>
        <w:t>Younies</w:t>
      </w:r>
      <w:proofErr w:type="spellEnd"/>
      <w:r w:rsidRPr="00203E13">
        <w:rPr>
          <w:rFonts w:ascii="Times New Roman" w:eastAsia="Times New Roman" w:hAnsi="Times New Roman" w:cs="Times New Roman"/>
          <w:sz w:val="24"/>
          <w:szCs w:val="24"/>
        </w:rPr>
        <w:t xml:space="preserve">, H. (2020). Corporate governance: on the crossroads of meta-regulation and social responsibility. Journal of Financial Crime, 27(4), 1121-1130. </w:t>
      </w:r>
      <w:hyperlink r:id="rId26" w:history="1">
        <w:r w:rsidRPr="00203E13">
          <w:rPr>
            <w:rFonts w:ascii="Times New Roman" w:eastAsia="Times New Roman" w:hAnsi="Times New Roman" w:cs="Times New Roman"/>
            <w:color w:val="0563C1"/>
            <w:sz w:val="24"/>
            <w:szCs w:val="24"/>
            <w:u w:val="single"/>
          </w:rPr>
          <w:t>https://doi.org/10.1108/JFC-01-2020-0011</w:t>
        </w:r>
      </w:hyperlink>
    </w:p>
    <w:p w14:paraId="272698F0"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0EC5E7E9"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Alhamoudi</w:t>
      </w:r>
      <w:proofErr w:type="spellEnd"/>
      <w:r w:rsidRPr="00203E13">
        <w:rPr>
          <w:rFonts w:ascii="Times New Roman" w:eastAsia="Times New Roman" w:hAnsi="Times New Roman" w:cs="Times New Roman"/>
          <w:sz w:val="24"/>
          <w:szCs w:val="24"/>
        </w:rPr>
        <w:t xml:space="preserve">, S. A. (2010). Strategic knowledge management system in public sector in Saudi Arabia: An adaptation of the balanced scorecard [Doctoral dissertation, University of Portsmouth]. University of Portsmouth Research Portal. </w:t>
      </w:r>
      <w:hyperlink r:id="rId27" w:history="1">
        <w:r w:rsidRPr="00203E13">
          <w:rPr>
            <w:rFonts w:ascii="Times New Roman" w:eastAsia="Times New Roman" w:hAnsi="Times New Roman" w:cs="Times New Roman"/>
            <w:color w:val="0563C1"/>
            <w:sz w:val="24"/>
            <w:szCs w:val="24"/>
            <w:u w:val="single"/>
          </w:rPr>
          <w:t>https://researchportal.port.ac.uk/files/5315148/Salwa_Alhamoudi_final_CD.pdf</w:t>
        </w:r>
      </w:hyperlink>
    </w:p>
    <w:p w14:paraId="595E9C60"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1DA1FAB3"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Al Humeisat, E. K. I. (2022). Effect of strategic management practices on organizational excellence. Journal of Hunan University Natural Sciences, 49(8), 72-90.</w:t>
      </w:r>
    </w:p>
    <w:p w14:paraId="6A1B671D"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84FA551"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Bhagat, S., &amp; Bolton, B. (2008). Corporate governance and firm performance. Journal of Corporate Finance, 14(3), 257-273. </w:t>
      </w:r>
      <w:hyperlink r:id="rId28" w:history="1">
        <w:r w:rsidRPr="00203E13">
          <w:rPr>
            <w:rFonts w:ascii="Times New Roman" w:eastAsia="Times New Roman" w:hAnsi="Times New Roman" w:cs="Times New Roman"/>
            <w:color w:val="0563C1"/>
            <w:sz w:val="24"/>
            <w:szCs w:val="24"/>
            <w:u w:val="single"/>
          </w:rPr>
          <w:t>https://doi.org/10.1016/j.jcorpfin.2008.03.006</w:t>
        </w:r>
      </w:hyperlink>
    </w:p>
    <w:p w14:paraId="6285EFD6"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474ED5A9"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Brown, L. D., &amp; Caylor, M. L. (2004). Corporate governance and firm performance. Georgia State University. </w:t>
      </w:r>
      <w:hyperlink r:id="rId29" w:history="1">
        <w:r w:rsidRPr="00203E13">
          <w:rPr>
            <w:rFonts w:ascii="Times New Roman" w:eastAsia="Times New Roman" w:hAnsi="Times New Roman" w:cs="Times New Roman"/>
            <w:color w:val="0563C1"/>
            <w:sz w:val="24"/>
            <w:szCs w:val="24"/>
            <w:u w:val="single"/>
          </w:rPr>
          <w:t>https://papers.ssrn.com/sol3/papers.cfm?abstract_id=586423</w:t>
        </w:r>
      </w:hyperlink>
    </w:p>
    <w:p w14:paraId="366783F8"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C3E9730"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Buallay</w:t>
      </w:r>
      <w:proofErr w:type="spellEnd"/>
      <w:r w:rsidRPr="00203E13">
        <w:rPr>
          <w:rFonts w:ascii="Times New Roman" w:eastAsia="Times New Roman" w:hAnsi="Times New Roman" w:cs="Times New Roman"/>
          <w:sz w:val="24"/>
          <w:szCs w:val="24"/>
        </w:rPr>
        <w:t xml:space="preserve">, A., Hamdan, A., &amp; </w:t>
      </w:r>
      <w:proofErr w:type="spellStart"/>
      <w:r w:rsidRPr="00203E13">
        <w:rPr>
          <w:rFonts w:ascii="Times New Roman" w:eastAsia="Times New Roman" w:hAnsi="Times New Roman" w:cs="Times New Roman"/>
          <w:sz w:val="24"/>
          <w:szCs w:val="24"/>
        </w:rPr>
        <w:t>Zureigat</w:t>
      </w:r>
      <w:proofErr w:type="spellEnd"/>
      <w:r w:rsidRPr="00203E13">
        <w:rPr>
          <w:rFonts w:ascii="Times New Roman" w:eastAsia="Times New Roman" w:hAnsi="Times New Roman" w:cs="Times New Roman"/>
          <w:sz w:val="24"/>
          <w:szCs w:val="24"/>
        </w:rPr>
        <w:t xml:space="preserve">, Q. (2017). Corporate governance and firm performance: evidence from Saudi Arabia. Australasian Accounting, Business and Finance Journal, 11(1), 78–98. </w:t>
      </w:r>
      <w:hyperlink r:id="rId30" w:history="1">
        <w:r w:rsidRPr="00203E13">
          <w:rPr>
            <w:rFonts w:ascii="Times New Roman" w:eastAsia="Times New Roman" w:hAnsi="Times New Roman" w:cs="Times New Roman"/>
            <w:color w:val="0563C1"/>
            <w:sz w:val="24"/>
            <w:szCs w:val="24"/>
            <w:u w:val="single"/>
          </w:rPr>
          <w:t>https://doi.org/10.14453/aabfj.v11i1.6</w:t>
        </w:r>
      </w:hyperlink>
    </w:p>
    <w:p w14:paraId="483ADAF6"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14EEF6FF"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Freeman, R. E. (1984). Strategic management: A stakeholder approach. Pitman.</w:t>
      </w:r>
    </w:p>
    <w:p w14:paraId="2E865022"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71BCE45E"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Guluma</w:t>
      </w:r>
      <w:proofErr w:type="spellEnd"/>
      <w:r w:rsidRPr="00203E13">
        <w:rPr>
          <w:rFonts w:ascii="Times New Roman" w:eastAsia="Times New Roman" w:hAnsi="Times New Roman" w:cs="Times New Roman"/>
          <w:sz w:val="24"/>
          <w:szCs w:val="24"/>
        </w:rPr>
        <w:t xml:space="preserve">, T. F. (2021). The impact of corporate governance measures on firm performance: The influences of managerial overconfidence. Future Business Journal, 7(1), 50. </w:t>
      </w:r>
      <w:hyperlink r:id="rId31" w:history="1">
        <w:r w:rsidRPr="00203E13">
          <w:rPr>
            <w:rFonts w:ascii="Times New Roman" w:eastAsia="Times New Roman" w:hAnsi="Times New Roman" w:cs="Times New Roman"/>
            <w:color w:val="0563C1"/>
            <w:sz w:val="24"/>
            <w:szCs w:val="24"/>
            <w:u w:val="single"/>
          </w:rPr>
          <w:t>https://doi.org/10.1186/s43093-021-00093-6</w:t>
        </w:r>
      </w:hyperlink>
    </w:p>
    <w:p w14:paraId="7691D6F1"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53EFD1DD"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Jensen, M. C., &amp; Meckling, W. H. (1976). Theory of the firm: Managerial behavior, agency costs and ownership structure. Journal of Financial Economics, 3(4), 305-360. </w:t>
      </w:r>
      <w:hyperlink r:id="rId32" w:history="1">
        <w:r w:rsidRPr="00203E13">
          <w:rPr>
            <w:rFonts w:ascii="Times New Roman" w:eastAsia="Times New Roman" w:hAnsi="Times New Roman" w:cs="Times New Roman"/>
            <w:color w:val="0563C1"/>
            <w:sz w:val="24"/>
            <w:szCs w:val="24"/>
            <w:u w:val="single"/>
          </w:rPr>
          <w:t>https://doi.org/10.1016/0304-405X(76)90026-X</w:t>
        </w:r>
      </w:hyperlink>
    </w:p>
    <w:p w14:paraId="3252DDEF"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018DAB7"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proofErr w:type="spellStart"/>
      <w:r w:rsidRPr="00203E13">
        <w:rPr>
          <w:rFonts w:ascii="Times New Roman" w:eastAsia="Times New Roman" w:hAnsi="Times New Roman" w:cs="Times New Roman"/>
          <w:sz w:val="24"/>
          <w:szCs w:val="24"/>
        </w:rPr>
        <w:t>Jerab</w:t>
      </w:r>
      <w:proofErr w:type="spellEnd"/>
      <w:r w:rsidRPr="00203E13">
        <w:rPr>
          <w:rFonts w:ascii="Times New Roman" w:eastAsia="Times New Roman" w:hAnsi="Times New Roman" w:cs="Times New Roman"/>
          <w:sz w:val="24"/>
          <w:szCs w:val="24"/>
        </w:rPr>
        <w:t xml:space="preserve">, D. A., &amp; Mabrouk, T. (2023). Strategic excellence: Achieving competitive advantage through differentiation strategies. American Journal of Industrial and Business Management, 13(9), 1015-1034. </w:t>
      </w:r>
      <w:hyperlink r:id="rId33" w:history="1">
        <w:r w:rsidRPr="00203E13">
          <w:rPr>
            <w:rFonts w:ascii="Times New Roman" w:eastAsia="Times New Roman" w:hAnsi="Times New Roman" w:cs="Times New Roman"/>
            <w:color w:val="0563C1"/>
            <w:sz w:val="24"/>
            <w:szCs w:val="24"/>
            <w:u w:val="single"/>
          </w:rPr>
          <w:t>https://doi.org/10.4236/ajibm.2023.139056</w:t>
        </w:r>
      </w:hyperlink>
    </w:p>
    <w:p w14:paraId="448B5D7F"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18EA1C3"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tl/>
        </w:rPr>
        <w:t>القحطاني، روان مريع ناصر، والسيد، هدى. (2022). أثر المراجعة الداخلية على اتخاذ القرارات في الشركات السعودية</w:t>
      </w:r>
      <w:r w:rsidRPr="00203E13">
        <w:rPr>
          <w:rFonts w:ascii="Times New Roman" w:eastAsia="Times New Roman" w:hAnsi="Times New Roman" w:cs="Times New Roman"/>
          <w:sz w:val="24"/>
          <w:szCs w:val="24"/>
        </w:rPr>
        <w:t xml:space="preserve">. </w:t>
      </w:r>
      <w:r w:rsidRPr="00203E13">
        <w:rPr>
          <w:rFonts w:ascii="Times New Roman" w:eastAsia="Times New Roman" w:hAnsi="Times New Roman" w:cs="Times New Roman"/>
          <w:sz w:val="24"/>
          <w:szCs w:val="24"/>
          <w:rtl/>
        </w:rPr>
        <w:t xml:space="preserve">مجلة </w:t>
      </w:r>
      <w:proofErr w:type="spellStart"/>
      <w:r w:rsidRPr="00203E13">
        <w:rPr>
          <w:rFonts w:ascii="Times New Roman" w:eastAsia="Times New Roman" w:hAnsi="Times New Roman" w:cs="Times New Roman"/>
          <w:sz w:val="24"/>
          <w:szCs w:val="24"/>
          <w:rtl/>
        </w:rPr>
        <w:t>إقتصاد</w:t>
      </w:r>
      <w:proofErr w:type="spellEnd"/>
      <w:r w:rsidRPr="00203E13">
        <w:rPr>
          <w:rFonts w:ascii="Times New Roman" w:eastAsia="Times New Roman" w:hAnsi="Times New Roman" w:cs="Times New Roman"/>
          <w:sz w:val="24"/>
          <w:szCs w:val="24"/>
          <w:rtl/>
        </w:rPr>
        <w:t xml:space="preserve"> المال والأعمال، </w:t>
      </w:r>
      <w:r w:rsidRPr="00203E13">
        <w:rPr>
          <w:rFonts w:ascii="Times New Roman" w:eastAsia="Times New Roman" w:hAnsi="Times New Roman" w:cs="Times New Roman"/>
          <w:sz w:val="24"/>
          <w:szCs w:val="24"/>
        </w:rPr>
        <w:t>7(2)</w:t>
      </w:r>
      <w:r w:rsidRPr="00203E13">
        <w:rPr>
          <w:rFonts w:ascii="Times New Roman" w:eastAsia="Times New Roman" w:hAnsi="Times New Roman" w:cs="Times New Roman"/>
          <w:sz w:val="24"/>
          <w:szCs w:val="24"/>
          <w:rtl/>
        </w:rPr>
        <w:t>، 365-378</w:t>
      </w:r>
      <w:r w:rsidRPr="00203E13">
        <w:rPr>
          <w:rFonts w:ascii="Times New Roman" w:eastAsia="Times New Roman" w:hAnsi="Times New Roman" w:cs="Times New Roman"/>
          <w:sz w:val="24"/>
          <w:szCs w:val="24"/>
        </w:rPr>
        <w:t xml:space="preserve">. </w:t>
      </w:r>
      <w:hyperlink r:id="rId34" w:history="1">
        <w:r w:rsidRPr="00203E13">
          <w:rPr>
            <w:rFonts w:ascii="Times New Roman" w:eastAsia="Times New Roman" w:hAnsi="Times New Roman" w:cs="Times New Roman"/>
            <w:color w:val="0563C1"/>
            <w:sz w:val="24"/>
            <w:szCs w:val="24"/>
            <w:u w:val="single"/>
          </w:rPr>
          <w:t>https://asjp.cerist.dz/en/article/201594</w:t>
        </w:r>
      </w:hyperlink>
    </w:p>
    <w:p w14:paraId="2639C577" w14:textId="77777777" w:rsidR="00003848" w:rsidRDefault="00003848" w:rsidP="00003848">
      <w:pPr>
        <w:spacing w:before="100" w:beforeAutospacing="1" w:after="100" w:afterAutospacing="1" w:line="240" w:lineRule="auto"/>
        <w:rPr>
          <w:rFonts w:ascii="Times New Roman" w:eastAsia="Times New Roman" w:hAnsi="Times New Roman" w:cs="Times New Roman"/>
          <w:sz w:val="24"/>
          <w:szCs w:val="24"/>
          <w:rtl/>
        </w:rPr>
      </w:pPr>
    </w:p>
    <w:p w14:paraId="23E56CE9" w14:textId="77777777" w:rsidR="00003848" w:rsidRPr="00003848" w:rsidRDefault="00003848" w:rsidP="00003848">
      <w:pPr>
        <w:spacing w:before="100" w:beforeAutospacing="1" w:after="100" w:afterAutospacing="1" w:line="240" w:lineRule="auto"/>
        <w:rPr>
          <w:rFonts w:ascii="Times New Roman" w:eastAsia="Times New Roman" w:hAnsi="Times New Roman" w:cs="Times New Roman"/>
          <w:sz w:val="24"/>
          <w:szCs w:val="24"/>
        </w:rPr>
      </w:pPr>
    </w:p>
    <w:p w14:paraId="40EEA2E1" w14:textId="77777777" w:rsidR="002505F5" w:rsidRPr="003D298E" w:rsidRDefault="002505F5" w:rsidP="002505F5">
      <w:pPr>
        <w:bidi/>
        <w:spacing w:after="0" w:line="240" w:lineRule="auto"/>
        <w:jc w:val="both"/>
        <w:rPr>
          <w:rtl/>
        </w:rPr>
      </w:pPr>
    </w:p>
    <w:sectPr w:rsidR="002505F5" w:rsidRPr="003D298E" w:rsidSect="00334B70">
      <w:headerReference w:type="even" r:id="rId35"/>
      <w:headerReference w:type="default" r:id="rId36"/>
      <w:footerReference w:type="default" r:id="rId37"/>
      <w:headerReference w:type="first" r:id="rId38"/>
      <w:footerReference w:type="first" r:id="rId39"/>
      <w:pgSz w:w="11906" w:h="16838"/>
      <w:pgMar w:top="2183" w:right="1418" w:bottom="2183" w:left="1418"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5961A" w14:textId="77777777" w:rsidR="00F60573" w:rsidRDefault="00F60573" w:rsidP="00F628F0">
      <w:pPr>
        <w:spacing w:after="0" w:line="240" w:lineRule="auto"/>
      </w:pPr>
      <w:r>
        <w:separator/>
      </w:r>
    </w:p>
  </w:endnote>
  <w:endnote w:type="continuationSeparator" w:id="0">
    <w:p w14:paraId="3F3355DF" w14:textId="77777777" w:rsidR="00F60573" w:rsidRDefault="00F6057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onotype Corsiva">
    <w:panose1 w:val="03010101010201010101"/>
    <w:charset w:val="00"/>
    <w:family w:val="script"/>
    <w:pitch w:val="variable"/>
    <w:sig w:usb0="00000287" w:usb1="00000000" w:usb2="00000000" w:usb3="00000000" w:csb0="0000009F" w:csb1="00000000"/>
  </w:font>
  <w:font w:name="DecoType Naskh">
    <w:panose1 w:val="02010400000000000000"/>
    <w:charset w:val="B2"/>
    <w:family w:val="auto"/>
    <w:pitch w:val="variable"/>
    <w:sig w:usb0="00002001" w:usb1="80000000" w:usb2="00000008" w:usb3="00000000" w:csb0="00000040" w:csb1="00000000"/>
  </w:font>
  <w:font w:name="Lotus Linotype">
    <w:panose1 w:val="02000000000000000000"/>
    <w:charset w:val="00"/>
    <w:family w:val="auto"/>
    <w:pitch w:val="variable"/>
    <w:sig w:usb0="00002007" w:usb1="80000000" w:usb2="00000008" w:usb3="00000000" w:csb0="0000004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33E3481" w:rsidR="00883E09" w:rsidRPr="000763B6" w:rsidRDefault="00264677" w:rsidP="00883E09">
    <w:pPr>
      <w:pStyle w:val="Footer"/>
      <w:bidi/>
      <w:rPr>
        <w:rFonts w:ascii="Lotus Linotype" w:hAnsi="Lotus Linotype" w:cs="Lotus Linotype"/>
        <w:color w:val="000000" w:themeColor="text1"/>
        <w:sz w:val="24"/>
        <w:szCs w:val="24"/>
      </w:rPr>
    </w:pPr>
    <w:r w:rsidRPr="000763B6">
      <w:rPr>
        <w:rFonts w:ascii="Lotus Linotype" w:hAnsi="Lotus Linotype" w:cs="Lotus Linotype"/>
        <w:noProof/>
        <w:color w:val="000000" w:themeColor="text1"/>
        <w:sz w:val="20"/>
      </w:rPr>
      <w:drawing>
        <wp:anchor distT="0" distB="0" distL="114300" distR="114300" simplePos="0" relativeHeight="251662848" behindDoc="0" locked="0" layoutInCell="1" allowOverlap="1" wp14:anchorId="61F7BFC0" wp14:editId="2675BAA2">
          <wp:simplePos x="0" y="0"/>
          <wp:positionH relativeFrom="margin">
            <wp:posOffset>-207645</wp:posOffset>
          </wp:positionH>
          <wp:positionV relativeFrom="margin">
            <wp:posOffset>8338820</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0763B6">
      <w:rPr>
        <w:rFonts w:ascii="Lotus Linotype" w:hAnsi="Lotus Linotype" w:cs="Lotus Linotype"/>
        <w:noProof/>
        <w:color w:val="000000" w:themeColor="text1"/>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1D138" w14:textId="77777777" w:rsidR="00F60573" w:rsidRDefault="00F60573" w:rsidP="00F628F0">
      <w:pPr>
        <w:spacing w:after="0" w:line="240" w:lineRule="auto"/>
      </w:pPr>
      <w:r>
        <w:separator/>
      </w:r>
    </w:p>
  </w:footnote>
  <w:footnote w:type="continuationSeparator" w:id="0">
    <w:p w14:paraId="13C52097" w14:textId="77777777" w:rsidR="00F60573" w:rsidRDefault="00F6057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1B0B"/>
    <w:multiLevelType w:val="multilevel"/>
    <w:tmpl w:val="7970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74B19"/>
    <w:multiLevelType w:val="hybridMultilevel"/>
    <w:tmpl w:val="9EFA7E1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15:restartNumberingAfterBreak="0">
    <w:nsid w:val="03D81799"/>
    <w:multiLevelType w:val="hybridMultilevel"/>
    <w:tmpl w:val="DC6EF4F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DF35F0"/>
    <w:multiLevelType w:val="multilevel"/>
    <w:tmpl w:val="D85CCC18"/>
    <w:lvl w:ilvl="0">
      <w:start w:val="1"/>
      <w:numFmt w:val="decimal"/>
      <w:lvlText w:val="%1."/>
      <w:lvlJc w:val="left"/>
      <w:pPr>
        <w:tabs>
          <w:tab w:val="num" w:pos="9509"/>
        </w:tabs>
        <w:ind w:left="9509" w:hanging="360"/>
      </w:pPr>
    </w:lvl>
    <w:lvl w:ilvl="1" w:tentative="1">
      <w:start w:val="1"/>
      <w:numFmt w:val="decimal"/>
      <w:lvlText w:val="%2."/>
      <w:lvlJc w:val="left"/>
      <w:pPr>
        <w:tabs>
          <w:tab w:val="num" w:pos="10229"/>
        </w:tabs>
        <w:ind w:left="10229" w:hanging="360"/>
      </w:pPr>
    </w:lvl>
    <w:lvl w:ilvl="2" w:tentative="1">
      <w:start w:val="1"/>
      <w:numFmt w:val="decimal"/>
      <w:lvlText w:val="%3."/>
      <w:lvlJc w:val="left"/>
      <w:pPr>
        <w:tabs>
          <w:tab w:val="num" w:pos="10949"/>
        </w:tabs>
        <w:ind w:left="10949" w:hanging="360"/>
      </w:pPr>
    </w:lvl>
    <w:lvl w:ilvl="3" w:tentative="1">
      <w:start w:val="1"/>
      <w:numFmt w:val="decimal"/>
      <w:lvlText w:val="%4."/>
      <w:lvlJc w:val="left"/>
      <w:pPr>
        <w:tabs>
          <w:tab w:val="num" w:pos="11669"/>
        </w:tabs>
        <w:ind w:left="11669" w:hanging="360"/>
      </w:pPr>
    </w:lvl>
    <w:lvl w:ilvl="4" w:tentative="1">
      <w:start w:val="1"/>
      <w:numFmt w:val="decimal"/>
      <w:lvlText w:val="%5."/>
      <w:lvlJc w:val="left"/>
      <w:pPr>
        <w:tabs>
          <w:tab w:val="num" w:pos="12389"/>
        </w:tabs>
        <w:ind w:left="12389" w:hanging="360"/>
      </w:pPr>
    </w:lvl>
    <w:lvl w:ilvl="5" w:tentative="1">
      <w:start w:val="1"/>
      <w:numFmt w:val="decimal"/>
      <w:lvlText w:val="%6."/>
      <w:lvlJc w:val="left"/>
      <w:pPr>
        <w:tabs>
          <w:tab w:val="num" w:pos="13109"/>
        </w:tabs>
        <w:ind w:left="13109" w:hanging="360"/>
      </w:pPr>
    </w:lvl>
    <w:lvl w:ilvl="6" w:tentative="1">
      <w:start w:val="1"/>
      <w:numFmt w:val="decimal"/>
      <w:lvlText w:val="%7."/>
      <w:lvlJc w:val="left"/>
      <w:pPr>
        <w:tabs>
          <w:tab w:val="num" w:pos="13829"/>
        </w:tabs>
        <w:ind w:left="13829" w:hanging="360"/>
      </w:pPr>
    </w:lvl>
    <w:lvl w:ilvl="7" w:tentative="1">
      <w:start w:val="1"/>
      <w:numFmt w:val="decimal"/>
      <w:lvlText w:val="%8."/>
      <w:lvlJc w:val="left"/>
      <w:pPr>
        <w:tabs>
          <w:tab w:val="num" w:pos="14549"/>
        </w:tabs>
        <w:ind w:left="14549" w:hanging="360"/>
      </w:pPr>
    </w:lvl>
    <w:lvl w:ilvl="8" w:tentative="1">
      <w:start w:val="1"/>
      <w:numFmt w:val="decimal"/>
      <w:lvlText w:val="%9."/>
      <w:lvlJc w:val="left"/>
      <w:pPr>
        <w:tabs>
          <w:tab w:val="num" w:pos="15269"/>
        </w:tabs>
        <w:ind w:left="15269" w:hanging="360"/>
      </w:pPr>
    </w:lvl>
  </w:abstractNum>
  <w:abstractNum w:abstractNumId="4" w15:restartNumberingAfterBreak="0">
    <w:nsid w:val="073B05A6"/>
    <w:multiLevelType w:val="hybridMultilevel"/>
    <w:tmpl w:val="C1206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4803EE"/>
    <w:multiLevelType w:val="hybridMultilevel"/>
    <w:tmpl w:val="EC006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2B0EE1"/>
    <w:multiLevelType w:val="multilevel"/>
    <w:tmpl w:val="F5347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5E7B25"/>
    <w:multiLevelType w:val="multilevel"/>
    <w:tmpl w:val="32A8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4F33E3"/>
    <w:multiLevelType w:val="hybridMultilevel"/>
    <w:tmpl w:val="B17C7E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AD8298A"/>
    <w:multiLevelType w:val="hybridMultilevel"/>
    <w:tmpl w:val="AD565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B54D24"/>
    <w:multiLevelType w:val="multilevel"/>
    <w:tmpl w:val="23A2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315DA1"/>
    <w:multiLevelType w:val="hybridMultilevel"/>
    <w:tmpl w:val="60E4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7F748C"/>
    <w:multiLevelType w:val="multilevel"/>
    <w:tmpl w:val="FB84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BD2C83"/>
    <w:multiLevelType w:val="multilevel"/>
    <w:tmpl w:val="D01C6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0E32AE"/>
    <w:multiLevelType w:val="hybridMultilevel"/>
    <w:tmpl w:val="0AE68A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237651"/>
    <w:multiLevelType w:val="hybridMultilevel"/>
    <w:tmpl w:val="B2F84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63E88"/>
    <w:multiLevelType w:val="hybridMultilevel"/>
    <w:tmpl w:val="50924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46A4E17"/>
    <w:multiLevelType w:val="multilevel"/>
    <w:tmpl w:val="2968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F40485"/>
    <w:multiLevelType w:val="multilevel"/>
    <w:tmpl w:val="29F2A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C01F21"/>
    <w:multiLevelType w:val="multilevel"/>
    <w:tmpl w:val="C0BA3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5EB09E1"/>
    <w:multiLevelType w:val="multilevel"/>
    <w:tmpl w:val="5CFCB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89A05A7"/>
    <w:multiLevelType w:val="multilevel"/>
    <w:tmpl w:val="057CB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EE7407"/>
    <w:multiLevelType w:val="multilevel"/>
    <w:tmpl w:val="FA427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A5B528A"/>
    <w:multiLevelType w:val="multilevel"/>
    <w:tmpl w:val="6C58C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437530"/>
    <w:multiLevelType w:val="multilevel"/>
    <w:tmpl w:val="FD70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86667E"/>
    <w:multiLevelType w:val="multilevel"/>
    <w:tmpl w:val="9040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FA50BD"/>
    <w:multiLevelType w:val="multilevel"/>
    <w:tmpl w:val="431A8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C711C2"/>
    <w:multiLevelType w:val="multilevel"/>
    <w:tmpl w:val="0290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9B5293"/>
    <w:multiLevelType w:val="hybridMultilevel"/>
    <w:tmpl w:val="3E8E6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D67FF5"/>
    <w:multiLevelType w:val="multilevel"/>
    <w:tmpl w:val="4EB8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1A2C8B"/>
    <w:multiLevelType w:val="multilevel"/>
    <w:tmpl w:val="29202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2096DD8"/>
    <w:multiLevelType w:val="multilevel"/>
    <w:tmpl w:val="B020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2349C2"/>
    <w:multiLevelType w:val="multilevel"/>
    <w:tmpl w:val="BB4C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BE6E7F"/>
    <w:multiLevelType w:val="multilevel"/>
    <w:tmpl w:val="8BB883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FC22C0"/>
    <w:multiLevelType w:val="multilevel"/>
    <w:tmpl w:val="BF70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447A39"/>
    <w:multiLevelType w:val="multilevel"/>
    <w:tmpl w:val="72DA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947A7B"/>
    <w:multiLevelType w:val="multilevel"/>
    <w:tmpl w:val="10A85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5527D35"/>
    <w:multiLevelType w:val="multilevel"/>
    <w:tmpl w:val="37E84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59F6ECA"/>
    <w:multiLevelType w:val="multilevel"/>
    <w:tmpl w:val="1FC0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1E78D6"/>
    <w:multiLevelType w:val="multilevel"/>
    <w:tmpl w:val="14FA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67D39B2"/>
    <w:multiLevelType w:val="hybridMultilevel"/>
    <w:tmpl w:val="599C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6891064"/>
    <w:multiLevelType w:val="hybridMultilevel"/>
    <w:tmpl w:val="06C0755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9945E16"/>
    <w:multiLevelType w:val="multilevel"/>
    <w:tmpl w:val="639C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E60756"/>
    <w:multiLevelType w:val="hybridMultilevel"/>
    <w:tmpl w:val="30127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E5363B"/>
    <w:multiLevelType w:val="hybridMultilevel"/>
    <w:tmpl w:val="6C08E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C01637E"/>
    <w:multiLevelType w:val="multilevel"/>
    <w:tmpl w:val="405C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C9623FD"/>
    <w:multiLevelType w:val="multilevel"/>
    <w:tmpl w:val="C48E0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D195F87"/>
    <w:multiLevelType w:val="hybridMultilevel"/>
    <w:tmpl w:val="122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DBD76F8"/>
    <w:multiLevelType w:val="hybridMultilevel"/>
    <w:tmpl w:val="05FC003A"/>
    <w:lvl w:ilvl="0" w:tplc="4C280D06">
      <w:start w:val="1"/>
      <w:numFmt w:val="decimal"/>
      <w:lvlText w:val="%1-"/>
      <w:lvlJc w:val="left"/>
      <w:pPr>
        <w:ind w:left="644"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2E4E284B"/>
    <w:multiLevelType w:val="multilevel"/>
    <w:tmpl w:val="0C80D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786321"/>
    <w:multiLevelType w:val="multilevel"/>
    <w:tmpl w:val="3EFC99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43"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8C1F0D"/>
    <w:multiLevelType w:val="multilevel"/>
    <w:tmpl w:val="CEDA1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9A4950"/>
    <w:multiLevelType w:val="multilevel"/>
    <w:tmpl w:val="8EA28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0A2716B"/>
    <w:multiLevelType w:val="multilevel"/>
    <w:tmpl w:val="B57C0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0F027B0"/>
    <w:multiLevelType w:val="hybridMultilevel"/>
    <w:tmpl w:val="B016B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362702D"/>
    <w:multiLevelType w:val="multilevel"/>
    <w:tmpl w:val="873EC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414111D"/>
    <w:multiLevelType w:val="hybridMultilevel"/>
    <w:tmpl w:val="71C29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4486B1C"/>
    <w:multiLevelType w:val="hybridMultilevel"/>
    <w:tmpl w:val="A5788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4916E8C"/>
    <w:multiLevelType w:val="multilevel"/>
    <w:tmpl w:val="9EAA4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61B55E9"/>
    <w:multiLevelType w:val="multilevel"/>
    <w:tmpl w:val="06D69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621492A"/>
    <w:multiLevelType w:val="multilevel"/>
    <w:tmpl w:val="44F01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63B2B2A"/>
    <w:multiLevelType w:val="multilevel"/>
    <w:tmpl w:val="2EB4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9524EF2"/>
    <w:multiLevelType w:val="multilevel"/>
    <w:tmpl w:val="A30CB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A994123"/>
    <w:multiLevelType w:val="multilevel"/>
    <w:tmpl w:val="5712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CA83592"/>
    <w:multiLevelType w:val="multilevel"/>
    <w:tmpl w:val="37D0A0A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5" w15:restartNumberingAfterBreak="0">
    <w:nsid w:val="3E532C57"/>
    <w:multiLevelType w:val="multilevel"/>
    <w:tmpl w:val="8ECE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ECC4B3B"/>
    <w:multiLevelType w:val="hybridMultilevel"/>
    <w:tmpl w:val="9B163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FC22628"/>
    <w:multiLevelType w:val="multilevel"/>
    <w:tmpl w:val="0032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FC94885"/>
    <w:multiLevelType w:val="multilevel"/>
    <w:tmpl w:val="A172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0134FE3"/>
    <w:multiLevelType w:val="multilevel"/>
    <w:tmpl w:val="1E761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170167F"/>
    <w:multiLevelType w:val="hybridMultilevel"/>
    <w:tmpl w:val="7B2EFCE8"/>
    <w:lvl w:ilvl="0" w:tplc="4C280D0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2697787"/>
    <w:multiLevelType w:val="multilevel"/>
    <w:tmpl w:val="9E8866E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434744BD"/>
    <w:multiLevelType w:val="multilevel"/>
    <w:tmpl w:val="9D925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5830779"/>
    <w:multiLevelType w:val="multilevel"/>
    <w:tmpl w:val="D1BA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62D7FF8"/>
    <w:multiLevelType w:val="hybridMultilevel"/>
    <w:tmpl w:val="258A94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84677E4"/>
    <w:multiLevelType w:val="multilevel"/>
    <w:tmpl w:val="5092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B2E6425"/>
    <w:multiLevelType w:val="hybridMultilevel"/>
    <w:tmpl w:val="32B25F3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7" w15:restartNumberingAfterBreak="0">
    <w:nsid w:val="4BAF2F3D"/>
    <w:multiLevelType w:val="multilevel"/>
    <w:tmpl w:val="08F4D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CB91BD6"/>
    <w:multiLevelType w:val="multilevel"/>
    <w:tmpl w:val="222A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E031B7F"/>
    <w:multiLevelType w:val="multilevel"/>
    <w:tmpl w:val="199E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E0731D6"/>
    <w:multiLevelType w:val="hybridMultilevel"/>
    <w:tmpl w:val="1FA8CF2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1" w15:restartNumberingAfterBreak="0">
    <w:nsid w:val="4EA429E1"/>
    <w:multiLevelType w:val="multilevel"/>
    <w:tmpl w:val="E4D44E2C"/>
    <w:lvl w:ilvl="0">
      <w:start w:val="17"/>
      <w:numFmt w:val="decimal"/>
      <w:lvlText w:val="%1."/>
      <w:lvlJc w:val="left"/>
      <w:pPr>
        <w:tabs>
          <w:tab w:val="num" w:pos="720"/>
        </w:tabs>
        <w:ind w:left="720" w:hanging="360"/>
      </w:pPr>
      <w:rPr>
        <w:b w:val="0"/>
        <w:bCs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14055B7"/>
    <w:multiLevelType w:val="hybridMultilevel"/>
    <w:tmpl w:val="4A865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1BD08F9"/>
    <w:multiLevelType w:val="hybridMultilevel"/>
    <w:tmpl w:val="F864A3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4BD1053"/>
    <w:multiLevelType w:val="multilevel"/>
    <w:tmpl w:val="E6168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819048E"/>
    <w:multiLevelType w:val="hybridMultilevel"/>
    <w:tmpl w:val="F1BEA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81E4CEB"/>
    <w:multiLevelType w:val="multilevel"/>
    <w:tmpl w:val="14320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A9A1146"/>
    <w:multiLevelType w:val="multilevel"/>
    <w:tmpl w:val="AB5E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B2B57EB"/>
    <w:multiLevelType w:val="multilevel"/>
    <w:tmpl w:val="38A8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B5B6E9A"/>
    <w:multiLevelType w:val="hybridMultilevel"/>
    <w:tmpl w:val="8D00D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BBD3A14"/>
    <w:multiLevelType w:val="multilevel"/>
    <w:tmpl w:val="B57C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BD70CC1"/>
    <w:multiLevelType w:val="multilevel"/>
    <w:tmpl w:val="F27C3C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C5163F3"/>
    <w:multiLevelType w:val="hybridMultilevel"/>
    <w:tmpl w:val="777A27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D7D4A48"/>
    <w:multiLevelType w:val="multilevel"/>
    <w:tmpl w:val="D58A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EB2183C"/>
    <w:multiLevelType w:val="multilevel"/>
    <w:tmpl w:val="E660A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ED37C4B"/>
    <w:multiLevelType w:val="multilevel"/>
    <w:tmpl w:val="262A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FEE0AF6"/>
    <w:multiLevelType w:val="hybridMultilevel"/>
    <w:tmpl w:val="85CA1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06F4A89"/>
    <w:multiLevelType w:val="multilevel"/>
    <w:tmpl w:val="8252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07E0157"/>
    <w:multiLevelType w:val="multilevel"/>
    <w:tmpl w:val="3AECF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0B14160"/>
    <w:multiLevelType w:val="multilevel"/>
    <w:tmpl w:val="7E225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0E744A4"/>
    <w:multiLevelType w:val="multilevel"/>
    <w:tmpl w:val="31947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1985683"/>
    <w:multiLevelType w:val="hybridMultilevel"/>
    <w:tmpl w:val="39F6053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2" w15:restartNumberingAfterBreak="0">
    <w:nsid w:val="61F07793"/>
    <w:multiLevelType w:val="multilevel"/>
    <w:tmpl w:val="23FC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2440892"/>
    <w:multiLevelType w:val="hybridMultilevel"/>
    <w:tmpl w:val="DFE05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2BC19C7"/>
    <w:multiLevelType w:val="hybridMultilevel"/>
    <w:tmpl w:val="31B66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4042B53"/>
    <w:multiLevelType w:val="hybridMultilevel"/>
    <w:tmpl w:val="A76444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66A100EC"/>
    <w:multiLevelType w:val="multilevel"/>
    <w:tmpl w:val="23DE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6A17A9F"/>
    <w:multiLevelType w:val="multilevel"/>
    <w:tmpl w:val="EB548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7AA2B60"/>
    <w:multiLevelType w:val="hybridMultilevel"/>
    <w:tmpl w:val="BF104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802703B"/>
    <w:multiLevelType w:val="multilevel"/>
    <w:tmpl w:val="CECC0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A35423B"/>
    <w:multiLevelType w:val="multilevel"/>
    <w:tmpl w:val="4644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B2110CC"/>
    <w:multiLevelType w:val="multilevel"/>
    <w:tmpl w:val="24B4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DF94A5A"/>
    <w:multiLevelType w:val="multilevel"/>
    <w:tmpl w:val="25E4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EC8396C"/>
    <w:multiLevelType w:val="multilevel"/>
    <w:tmpl w:val="2C52A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0C86CB8"/>
    <w:multiLevelType w:val="multilevel"/>
    <w:tmpl w:val="5B58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0D60193"/>
    <w:multiLevelType w:val="hybridMultilevel"/>
    <w:tmpl w:val="D786E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30A17B3"/>
    <w:multiLevelType w:val="multilevel"/>
    <w:tmpl w:val="AEDE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339217F"/>
    <w:multiLevelType w:val="hybridMultilevel"/>
    <w:tmpl w:val="837A673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8" w15:restartNumberingAfterBreak="0">
    <w:nsid w:val="736B24DC"/>
    <w:multiLevelType w:val="multilevel"/>
    <w:tmpl w:val="A084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39A1F9E"/>
    <w:multiLevelType w:val="multilevel"/>
    <w:tmpl w:val="4CF8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5AD4D05"/>
    <w:multiLevelType w:val="hybridMultilevel"/>
    <w:tmpl w:val="F7DA26A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1" w15:restartNumberingAfterBreak="0">
    <w:nsid w:val="77C2301C"/>
    <w:multiLevelType w:val="multilevel"/>
    <w:tmpl w:val="C772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7EE3607"/>
    <w:multiLevelType w:val="hybridMultilevel"/>
    <w:tmpl w:val="AE0EC3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A224E8D"/>
    <w:multiLevelType w:val="multilevel"/>
    <w:tmpl w:val="683C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B23339B"/>
    <w:multiLevelType w:val="hybridMultilevel"/>
    <w:tmpl w:val="40788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B4712EB"/>
    <w:multiLevelType w:val="multilevel"/>
    <w:tmpl w:val="EE9C9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7B6062E0"/>
    <w:multiLevelType w:val="hybridMultilevel"/>
    <w:tmpl w:val="E144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F4C66B3"/>
    <w:multiLevelType w:val="multilevel"/>
    <w:tmpl w:val="72B8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8338275">
    <w:abstractNumId w:val="54"/>
  </w:num>
  <w:num w:numId="2" w16cid:durableId="2093625989">
    <w:abstractNumId w:val="87"/>
  </w:num>
  <w:num w:numId="3" w16cid:durableId="855382428">
    <w:abstractNumId w:val="3"/>
  </w:num>
  <w:num w:numId="4" w16cid:durableId="253785742">
    <w:abstractNumId w:val="49"/>
  </w:num>
  <w:num w:numId="5" w16cid:durableId="442187039">
    <w:abstractNumId w:val="8"/>
  </w:num>
  <w:num w:numId="6" w16cid:durableId="2019966926">
    <w:abstractNumId w:val="11"/>
  </w:num>
  <w:num w:numId="7" w16cid:durableId="1332441743">
    <w:abstractNumId w:val="57"/>
  </w:num>
  <w:num w:numId="8" w16cid:durableId="345988663">
    <w:abstractNumId w:val="40"/>
  </w:num>
  <w:num w:numId="9" w16cid:durableId="190000526">
    <w:abstractNumId w:val="104"/>
  </w:num>
  <w:num w:numId="10" w16cid:durableId="2053074631">
    <w:abstractNumId w:val="4"/>
  </w:num>
  <w:num w:numId="11" w16cid:durableId="366948001">
    <w:abstractNumId w:val="124"/>
  </w:num>
  <w:num w:numId="12" w16cid:durableId="1549301213">
    <w:abstractNumId w:val="108"/>
  </w:num>
  <w:num w:numId="13" w16cid:durableId="512229676">
    <w:abstractNumId w:val="56"/>
  </w:num>
  <w:num w:numId="14" w16cid:durableId="1428502108">
    <w:abstractNumId w:val="28"/>
  </w:num>
  <w:num w:numId="15" w16cid:durableId="1572234066">
    <w:abstractNumId w:val="126"/>
  </w:num>
  <w:num w:numId="16" w16cid:durableId="2009602139">
    <w:abstractNumId w:val="16"/>
  </w:num>
  <w:num w:numId="17" w16cid:durableId="830564532">
    <w:abstractNumId w:val="64"/>
    <w:lvlOverride w:ilvl="0">
      <w:startOverride w:val="1"/>
    </w:lvlOverride>
  </w:num>
  <w:num w:numId="18" w16cid:durableId="721904197">
    <w:abstractNumId w:val="71"/>
  </w:num>
  <w:num w:numId="19" w16cid:durableId="1189760923">
    <w:abstractNumId w:val="43"/>
  </w:num>
  <w:num w:numId="20" w16cid:durableId="1079061892">
    <w:abstractNumId w:val="119"/>
  </w:num>
  <w:num w:numId="21" w16cid:durableId="288896630">
    <w:abstractNumId w:val="86"/>
  </w:num>
  <w:num w:numId="22" w16cid:durableId="1820069282">
    <w:abstractNumId w:val="69"/>
  </w:num>
  <w:num w:numId="23" w16cid:durableId="1117675954">
    <w:abstractNumId w:val="30"/>
  </w:num>
  <w:num w:numId="24" w16cid:durableId="1024941587">
    <w:abstractNumId w:val="62"/>
  </w:num>
  <w:num w:numId="25" w16cid:durableId="1077945260">
    <w:abstractNumId w:val="25"/>
  </w:num>
  <w:num w:numId="26" w16cid:durableId="1544487099">
    <w:abstractNumId w:val="46"/>
  </w:num>
  <w:num w:numId="27" w16cid:durableId="2008483428">
    <w:abstractNumId w:val="125"/>
  </w:num>
  <w:num w:numId="28" w16cid:durableId="102237242">
    <w:abstractNumId w:val="24"/>
  </w:num>
  <w:num w:numId="29" w16cid:durableId="299531855">
    <w:abstractNumId w:val="58"/>
  </w:num>
  <w:num w:numId="30" w16cid:durableId="700133332">
    <w:abstractNumId w:val="114"/>
  </w:num>
  <w:num w:numId="31" w16cid:durableId="1264652438">
    <w:abstractNumId w:val="36"/>
  </w:num>
  <w:num w:numId="32" w16cid:durableId="720907589">
    <w:abstractNumId w:val="10"/>
  </w:num>
  <w:num w:numId="33" w16cid:durableId="439689622">
    <w:abstractNumId w:val="111"/>
  </w:num>
  <w:num w:numId="34" w16cid:durableId="1107770145">
    <w:abstractNumId w:val="102"/>
  </w:num>
  <w:num w:numId="35" w16cid:durableId="1676834092">
    <w:abstractNumId w:val="31"/>
  </w:num>
  <w:num w:numId="36" w16cid:durableId="1265309296">
    <w:abstractNumId w:val="90"/>
  </w:num>
  <w:num w:numId="37" w16cid:durableId="1835484807">
    <w:abstractNumId w:val="116"/>
  </w:num>
  <w:num w:numId="38" w16cid:durableId="758255446">
    <w:abstractNumId w:val="17"/>
  </w:num>
  <w:num w:numId="39" w16cid:durableId="1724673051">
    <w:abstractNumId w:val="21"/>
  </w:num>
  <w:num w:numId="40" w16cid:durableId="471215482">
    <w:abstractNumId w:val="37"/>
  </w:num>
  <w:num w:numId="41" w16cid:durableId="944771085">
    <w:abstractNumId w:val="112"/>
  </w:num>
  <w:num w:numId="42" w16cid:durableId="1261527533">
    <w:abstractNumId w:val="121"/>
  </w:num>
  <w:num w:numId="43" w16cid:durableId="381321094">
    <w:abstractNumId w:val="7"/>
  </w:num>
  <w:num w:numId="44" w16cid:durableId="1942641795">
    <w:abstractNumId w:val="12"/>
  </w:num>
  <w:num w:numId="45" w16cid:durableId="2004384341">
    <w:abstractNumId w:val="91"/>
  </w:num>
  <w:num w:numId="46" w16cid:durableId="864756577">
    <w:abstractNumId w:val="91"/>
    <w:lvlOverride w:ilvl="1">
      <w:lvl w:ilvl="1">
        <w:numFmt w:val="decimal"/>
        <w:lvlText w:val="%2."/>
        <w:lvlJc w:val="left"/>
      </w:lvl>
    </w:lvlOverride>
  </w:num>
  <w:num w:numId="47" w16cid:durableId="548886122">
    <w:abstractNumId w:val="91"/>
    <w:lvlOverride w:ilvl="1">
      <w:lvl w:ilvl="1">
        <w:numFmt w:val="decimal"/>
        <w:lvlText w:val="%2."/>
        <w:lvlJc w:val="left"/>
      </w:lvl>
    </w:lvlOverride>
  </w:num>
  <w:num w:numId="48" w16cid:durableId="2079476680">
    <w:abstractNumId w:val="91"/>
    <w:lvlOverride w:ilvl="1">
      <w:lvl w:ilvl="1">
        <w:numFmt w:val="decimal"/>
        <w:lvlText w:val="%2."/>
        <w:lvlJc w:val="left"/>
      </w:lvl>
    </w:lvlOverride>
  </w:num>
  <w:num w:numId="49" w16cid:durableId="1173449159">
    <w:abstractNumId w:val="91"/>
    <w:lvlOverride w:ilvl="1">
      <w:lvl w:ilvl="1">
        <w:numFmt w:val="decimal"/>
        <w:lvlText w:val="%2."/>
        <w:lvlJc w:val="left"/>
      </w:lvl>
    </w:lvlOverride>
  </w:num>
  <w:num w:numId="50" w16cid:durableId="1260020138">
    <w:abstractNumId w:val="91"/>
    <w:lvlOverride w:ilvl="1">
      <w:lvl w:ilvl="1">
        <w:numFmt w:val="decimal"/>
        <w:lvlText w:val="%2."/>
        <w:lvlJc w:val="left"/>
      </w:lvl>
    </w:lvlOverride>
  </w:num>
  <w:num w:numId="51" w16cid:durableId="2111654674">
    <w:abstractNumId w:val="48"/>
  </w:num>
  <w:num w:numId="52" w16cid:durableId="1226916883">
    <w:abstractNumId w:val="70"/>
  </w:num>
  <w:num w:numId="53" w16cid:durableId="622492956">
    <w:abstractNumId w:val="94"/>
  </w:num>
  <w:num w:numId="54" w16cid:durableId="1970746347">
    <w:abstractNumId w:val="98"/>
  </w:num>
  <w:num w:numId="55" w16cid:durableId="1538197964">
    <w:abstractNumId w:val="110"/>
  </w:num>
  <w:num w:numId="56" w16cid:durableId="131169487">
    <w:abstractNumId w:val="0"/>
  </w:num>
  <w:num w:numId="57" w16cid:durableId="1405840067">
    <w:abstractNumId w:val="88"/>
  </w:num>
  <w:num w:numId="58" w16cid:durableId="1188981728">
    <w:abstractNumId w:val="33"/>
  </w:num>
  <w:num w:numId="59" w16cid:durableId="1912277922">
    <w:abstractNumId w:val="33"/>
    <w:lvlOverride w:ilvl="1">
      <w:lvl w:ilvl="1">
        <w:numFmt w:val="bullet"/>
        <w:lvlText w:val=""/>
        <w:lvlJc w:val="left"/>
        <w:pPr>
          <w:tabs>
            <w:tab w:val="num" w:pos="1440"/>
          </w:tabs>
          <w:ind w:left="1440" w:hanging="360"/>
        </w:pPr>
        <w:rPr>
          <w:rFonts w:ascii="Symbol" w:hAnsi="Symbol" w:hint="default"/>
          <w:sz w:val="20"/>
        </w:rPr>
      </w:lvl>
    </w:lvlOverride>
  </w:num>
  <w:num w:numId="60" w16cid:durableId="2002852584">
    <w:abstractNumId w:val="33"/>
    <w:lvlOverride w:ilvl="1">
      <w:lvl w:ilvl="1">
        <w:numFmt w:val="bullet"/>
        <w:lvlText w:val=""/>
        <w:lvlJc w:val="left"/>
        <w:pPr>
          <w:tabs>
            <w:tab w:val="num" w:pos="1440"/>
          </w:tabs>
          <w:ind w:left="1440" w:hanging="360"/>
        </w:pPr>
        <w:rPr>
          <w:rFonts w:ascii="Symbol" w:hAnsi="Symbol" w:hint="default"/>
          <w:sz w:val="20"/>
        </w:rPr>
      </w:lvl>
    </w:lvlOverride>
  </w:num>
  <w:num w:numId="61" w16cid:durableId="1852455653">
    <w:abstractNumId w:val="33"/>
    <w:lvlOverride w:ilvl="1">
      <w:lvl w:ilvl="1">
        <w:numFmt w:val="bullet"/>
        <w:lvlText w:val=""/>
        <w:lvlJc w:val="left"/>
        <w:pPr>
          <w:tabs>
            <w:tab w:val="num" w:pos="1440"/>
          </w:tabs>
          <w:ind w:left="1440" w:hanging="360"/>
        </w:pPr>
        <w:rPr>
          <w:rFonts w:ascii="Symbol" w:hAnsi="Symbol" w:hint="default"/>
          <w:sz w:val="20"/>
        </w:rPr>
      </w:lvl>
    </w:lvlOverride>
  </w:num>
  <w:num w:numId="62" w16cid:durableId="14161065">
    <w:abstractNumId w:val="33"/>
    <w:lvlOverride w:ilvl="1">
      <w:lvl w:ilvl="1">
        <w:numFmt w:val="bullet"/>
        <w:lvlText w:val=""/>
        <w:lvlJc w:val="left"/>
        <w:pPr>
          <w:tabs>
            <w:tab w:val="num" w:pos="1440"/>
          </w:tabs>
          <w:ind w:left="1440" w:hanging="360"/>
        </w:pPr>
        <w:rPr>
          <w:rFonts w:ascii="Symbol" w:hAnsi="Symbol" w:hint="default"/>
          <w:sz w:val="20"/>
        </w:rPr>
      </w:lvl>
    </w:lvlOverride>
  </w:num>
  <w:num w:numId="63" w16cid:durableId="304436121">
    <w:abstractNumId w:val="33"/>
    <w:lvlOverride w:ilvl="1">
      <w:lvl w:ilvl="1">
        <w:numFmt w:val="bullet"/>
        <w:lvlText w:val=""/>
        <w:lvlJc w:val="left"/>
        <w:pPr>
          <w:tabs>
            <w:tab w:val="num" w:pos="1440"/>
          </w:tabs>
          <w:ind w:left="1440" w:hanging="360"/>
        </w:pPr>
        <w:rPr>
          <w:rFonts w:ascii="Symbol" w:hAnsi="Symbol" w:hint="default"/>
          <w:sz w:val="20"/>
        </w:rPr>
      </w:lvl>
    </w:lvlOverride>
  </w:num>
  <w:num w:numId="64" w16cid:durableId="508062400">
    <w:abstractNumId w:val="13"/>
  </w:num>
  <w:num w:numId="65" w16cid:durableId="15932989">
    <w:abstractNumId w:val="13"/>
    <w:lvlOverride w:ilvl="1">
      <w:lvl w:ilvl="1">
        <w:numFmt w:val="bullet"/>
        <w:lvlText w:val=""/>
        <w:lvlJc w:val="left"/>
        <w:pPr>
          <w:tabs>
            <w:tab w:val="num" w:pos="1440"/>
          </w:tabs>
          <w:ind w:left="1440" w:hanging="360"/>
        </w:pPr>
        <w:rPr>
          <w:rFonts w:ascii="Symbol" w:hAnsi="Symbol" w:hint="default"/>
          <w:sz w:val="20"/>
        </w:rPr>
      </w:lvl>
    </w:lvlOverride>
  </w:num>
  <w:num w:numId="66" w16cid:durableId="843514791">
    <w:abstractNumId w:val="13"/>
    <w:lvlOverride w:ilvl="1">
      <w:lvl w:ilvl="1">
        <w:numFmt w:val="bullet"/>
        <w:lvlText w:val=""/>
        <w:lvlJc w:val="left"/>
        <w:pPr>
          <w:tabs>
            <w:tab w:val="num" w:pos="1440"/>
          </w:tabs>
          <w:ind w:left="1440" w:hanging="360"/>
        </w:pPr>
        <w:rPr>
          <w:rFonts w:ascii="Symbol" w:hAnsi="Symbol" w:hint="default"/>
          <w:sz w:val="20"/>
        </w:rPr>
      </w:lvl>
    </w:lvlOverride>
  </w:num>
  <w:num w:numId="67" w16cid:durableId="71976191">
    <w:abstractNumId w:val="13"/>
    <w:lvlOverride w:ilvl="1">
      <w:lvl w:ilvl="1">
        <w:numFmt w:val="bullet"/>
        <w:lvlText w:val=""/>
        <w:lvlJc w:val="left"/>
        <w:pPr>
          <w:tabs>
            <w:tab w:val="num" w:pos="1440"/>
          </w:tabs>
          <w:ind w:left="1440" w:hanging="360"/>
        </w:pPr>
        <w:rPr>
          <w:rFonts w:ascii="Symbol" w:hAnsi="Symbol" w:hint="default"/>
          <w:sz w:val="20"/>
        </w:rPr>
      </w:lvl>
    </w:lvlOverride>
  </w:num>
  <w:num w:numId="68" w16cid:durableId="941961339">
    <w:abstractNumId w:val="13"/>
    <w:lvlOverride w:ilvl="1">
      <w:lvl w:ilvl="1">
        <w:numFmt w:val="bullet"/>
        <w:lvlText w:val=""/>
        <w:lvlJc w:val="left"/>
        <w:pPr>
          <w:tabs>
            <w:tab w:val="num" w:pos="1440"/>
          </w:tabs>
          <w:ind w:left="1440" w:hanging="360"/>
        </w:pPr>
        <w:rPr>
          <w:rFonts w:ascii="Symbol" w:hAnsi="Symbol" w:hint="default"/>
          <w:sz w:val="20"/>
        </w:rPr>
      </w:lvl>
    </w:lvlOverride>
  </w:num>
  <w:num w:numId="69" w16cid:durableId="1949391373">
    <w:abstractNumId w:val="60"/>
  </w:num>
  <w:num w:numId="70" w16cid:durableId="1156923655">
    <w:abstractNumId w:val="60"/>
    <w:lvlOverride w:ilvl="1">
      <w:lvl w:ilvl="1">
        <w:numFmt w:val="bullet"/>
        <w:lvlText w:val=""/>
        <w:lvlJc w:val="left"/>
        <w:pPr>
          <w:tabs>
            <w:tab w:val="num" w:pos="1440"/>
          </w:tabs>
          <w:ind w:left="1440" w:hanging="360"/>
        </w:pPr>
        <w:rPr>
          <w:rFonts w:ascii="Symbol" w:hAnsi="Symbol" w:hint="default"/>
          <w:sz w:val="20"/>
        </w:rPr>
      </w:lvl>
    </w:lvlOverride>
  </w:num>
  <w:num w:numId="71" w16cid:durableId="1621109445">
    <w:abstractNumId w:val="60"/>
    <w:lvlOverride w:ilvl="1">
      <w:lvl w:ilvl="1">
        <w:numFmt w:val="bullet"/>
        <w:lvlText w:val=""/>
        <w:lvlJc w:val="left"/>
        <w:pPr>
          <w:tabs>
            <w:tab w:val="num" w:pos="1440"/>
          </w:tabs>
          <w:ind w:left="1440" w:hanging="360"/>
        </w:pPr>
        <w:rPr>
          <w:rFonts w:ascii="Symbol" w:hAnsi="Symbol" w:hint="default"/>
          <w:sz w:val="20"/>
        </w:rPr>
      </w:lvl>
    </w:lvlOverride>
  </w:num>
  <w:num w:numId="72" w16cid:durableId="987441051">
    <w:abstractNumId w:val="60"/>
    <w:lvlOverride w:ilvl="1">
      <w:lvl w:ilvl="1">
        <w:numFmt w:val="bullet"/>
        <w:lvlText w:val=""/>
        <w:lvlJc w:val="left"/>
        <w:pPr>
          <w:tabs>
            <w:tab w:val="num" w:pos="1440"/>
          </w:tabs>
          <w:ind w:left="1440" w:hanging="360"/>
        </w:pPr>
        <w:rPr>
          <w:rFonts w:ascii="Symbol" w:hAnsi="Symbol" w:hint="default"/>
          <w:sz w:val="20"/>
        </w:rPr>
      </w:lvl>
    </w:lvlOverride>
  </w:num>
  <w:num w:numId="73" w16cid:durableId="1345397681">
    <w:abstractNumId w:val="26"/>
  </w:num>
  <w:num w:numId="74" w16cid:durableId="1707485581">
    <w:abstractNumId w:val="26"/>
    <w:lvlOverride w:ilvl="1">
      <w:lvl w:ilvl="1">
        <w:numFmt w:val="bullet"/>
        <w:lvlText w:val=""/>
        <w:lvlJc w:val="left"/>
        <w:pPr>
          <w:tabs>
            <w:tab w:val="num" w:pos="1440"/>
          </w:tabs>
          <w:ind w:left="1440" w:hanging="360"/>
        </w:pPr>
        <w:rPr>
          <w:rFonts w:ascii="Symbol" w:hAnsi="Symbol" w:hint="default"/>
          <w:sz w:val="20"/>
        </w:rPr>
      </w:lvl>
    </w:lvlOverride>
  </w:num>
  <w:num w:numId="75" w16cid:durableId="274755622">
    <w:abstractNumId w:val="26"/>
    <w:lvlOverride w:ilvl="1">
      <w:lvl w:ilvl="1">
        <w:numFmt w:val="bullet"/>
        <w:lvlText w:val=""/>
        <w:lvlJc w:val="left"/>
        <w:pPr>
          <w:tabs>
            <w:tab w:val="num" w:pos="1440"/>
          </w:tabs>
          <w:ind w:left="1440" w:hanging="360"/>
        </w:pPr>
        <w:rPr>
          <w:rFonts w:ascii="Symbol" w:hAnsi="Symbol" w:hint="default"/>
          <w:sz w:val="20"/>
        </w:rPr>
      </w:lvl>
    </w:lvlOverride>
  </w:num>
  <w:num w:numId="76" w16cid:durableId="843007722">
    <w:abstractNumId w:val="26"/>
    <w:lvlOverride w:ilvl="1">
      <w:lvl w:ilvl="1">
        <w:numFmt w:val="bullet"/>
        <w:lvlText w:val=""/>
        <w:lvlJc w:val="left"/>
        <w:pPr>
          <w:tabs>
            <w:tab w:val="num" w:pos="1440"/>
          </w:tabs>
          <w:ind w:left="1440" w:hanging="360"/>
        </w:pPr>
        <w:rPr>
          <w:rFonts w:ascii="Symbol" w:hAnsi="Symbol" w:hint="default"/>
          <w:sz w:val="20"/>
        </w:rPr>
      </w:lvl>
    </w:lvlOverride>
  </w:num>
  <w:num w:numId="77" w16cid:durableId="669648019">
    <w:abstractNumId w:val="59"/>
  </w:num>
  <w:num w:numId="78" w16cid:durableId="548881398">
    <w:abstractNumId w:val="59"/>
    <w:lvlOverride w:ilvl="1">
      <w:lvl w:ilvl="1">
        <w:numFmt w:val="bullet"/>
        <w:lvlText w:val=""/>
        <w:lvlJc w:val="left"/>
        <w:pPr>
          <w:tabs>
            <w:tab w:val="num" w:pos="1440"/>
          </w:tabs>
          <w:ind w:left="1440" w:hanging="360"/>
        </w:pPr>
        <w:rPr>
          <w:rFonts w:ascii="Symbol" w:hAnsi="Symbol" w:hint="default"/>
          <w:sz w:val="20"/>
        </w:rPr>
      </w:lvl>
    </w:lvlOverride>
  </w:num>
  <w:num w:numId="79" w16cid:durableId="137192620">
    <w:abstractNumId w:val="59"/>
    <w:lvlOverride w:ilvl="1">
      <w:lvl w:ilvl="1">
        <w:numFmt w:val="bullet"/>
        <w:lvlText w:val=""/>
        <w:lvlJc w:val="left"/>
        <w:pPr>
          <w:tabs>
            <w:tab w:val="num" w:pos="1440"/>
          </w:tabs>
          <w:ind w:left="1440" w:hanging="360"/>
        </w:pPr>
        <w:rPr>
          <w:rFonts w:ascii="Symbol" w:hAnsi="Symbol" w:hint="default"/>
          <w:sz w:val="20"/>
        </w:rPr>
      </w:lvl>
    </w:lvlOverride>
  </w:num>
  <w:num w:numId="80" w16cid:durableId="1417094176">
    <w:abstractNumId w:val="20"/>
  </w:num>
  <w:num w:numId="81" w16cid:durableId="704984642">
    <w:abstractNumId w:val="82"/>
  </w:num>
  <w:num w:numId="82" w16cid:durableId="719404876">
    <w:abstractNumId w:val="5"/>
  </w:num>
  <w:num w:numId="83" w16cid:durableId="1345017580">
    <w:abstractNumId w:val="115"/>
  </w:num>
  <w:num w:numId="84" w16cid:durableId="1464930303">
    <w:abstractNumId w:val="35"/>
  </w:num>
  <w:num w:numId="85" w16cid:durableId="653801459">
    <w:abstractNumId w:val="15"/>
  </w:num>
  <w:num w:numId="86" w16cid:durableId="861868715">
    <w:abstractNumId w:val="96"/>
  </w:num>
  <w:num w:numId="87" w16cid:durableId="448427798">
    <w:abstractNumId w:val="95"/>
  </w:num>
  <w:num w:numId="88" w16cid:durableId="1126268607">
    <w:abstractNumId w:val="79"/>
  </w:num>
  <w:num w:numId="89" w16cid:durableId="954942947">
    <w:abstractNumId w:val="68"/>
  </w:num>
  <w:num w:numId="90" w16cid:durableId="110055893">
    <w:abstractNumId w:val="93"/>
  </w:num>
  <w:num w:numId="91" w16cid:durableId="1251651">
    <w:abstractNumId w:val="83"/>
  </w:num>
  <w:num w:numId="92" w16cid:durableId="368915486">
    <w:abstractNumId w:val="55"/>
  </w:num>
  <w:num w:numId="93" w16cid:durableId="531305624">
    <w:abstractNumId w:val="65"/>
  </w:num>
  <w:num w:numId="94" w16cid:durableId="707409693">
    <w:abstractNumId w:val="113"/>
  </w:num>
  <w:num w:numId="95" w16cid:durableId="910501058">
    <w:abstractNumId w:val="127"/>
  </w:num>
  <w:num w:numId="96" w16cid:durableId="391462795">
    <w:abstractNumId w:val="73"/>
  </w:num>
  <w:num w:numId="97" w16cid:durableId="1552762400">
    <w:abstractNumId w:val="2"/>
  </w:num>
  <w:num w:numId="98" w16cid:durableId="34426744">
    <w:abstractNumId w:val="52"/>
  </w:num>
  <w:num w:numId="99" w16cid:durableId="1396859244">
    <w:abstractNumId w:val="41"/>
  </w:num>
  <w:num w:numId="100" w16cid:durableId="1302881999">
    <w:abstractNumId w:val="77"/>
  </w:num>
  <w:num w:numId="101" w16cid:durableId="1225796240">
    <w:abstractNumId w:val="14"/>
  </w:num>
  <w:num w:numId="102" w16cid:durableId="1484850310">
    <w:abstractNumId w:val="78"/>
  </w:num>
  <w:num w:numId="103" w16cid:durableId="427699537">
    <w:abstractNumId w:val="109"/>
  </w:num>
  <w:num w:numId="104" w16cid:durableId="1160997608">
    <w:abstractNumId w:val="72"/>
  </w:num>
  <w:num w:numId="105" w16cid:durableId="799345765">
    <w:abstractNumId w:val="44"/>
  </w:num>
  <w:num w:numId="106" w16cid:durableId="151021275">
    <w:abstractNumId w:val="47"/>
  </w:num>
  <w:num w:numId="107" w16cid:durableId="1338146297">
    <w:abstractNumId w:val="9"/>
  </w:num>
  <w:num w:numId="108" w16cid:durableId="1616407340">
    <w:abstractNumId w:val="85"/>
  </w:num>
  <w:num w:numId="109" w16cid:durableId="1143036645">
    <w:abstractNumId w:val="105"/>
  </w:num>
  <w:num w:numId="110" w16cid:durableId="244415200">
    <w:abstractNumId w:val="74"/>
  </w:num>
  <w:num w:numId="111" w16cid:durableId="1543132271">
    <w:abstractNumId w:val="122"/>
  </w:num>
  <w:num w:numId="112" w16cid:durableId="1575167617">
    <w:abstractNumId w:val="103"/>
  </w:num>
  <w:num w:numId="113" w16cid:durableId="1098252490">
    <w:abstractNumId w:val="106"/>
  </w:num>
  <w:num w:numId="114" w16cid:durableId="1792675222">
    <w:abstractNumId w:val="23"/>
  </w:num>
  <w:num w:numId="115" w16cid:durableId="235212183">
    <w:abstractNumId w:val="50"/>
  </w:num>
  <w:num w:numId="116" w16cid:durableId="384573125">
    <w:abstractNumId w:val="99"/>
  </w:num>
  <w:num w:numId="117" w16cid:durableId="1167865524">
    <w:abstractNumId w:val="32"/>
  </w:num>
  <w:num w:numId="118" w16cid:durableId="1588806030">
    <w:abstractNumId w:val="84"/>
  </w:num>
  <w:num w:numId="119" w16cid:durableId="1773933911">
    <w:abstractNumId w:val="92"/>
  </w:num>
  <w:num w:numId="120" w16cid:durableId="900753655">
    <w:abstractNumId w:val="22"/>
  </w:num>
  <w:num w:numId="121" w16cid:durableId="87123526">
    <w:abstractNumId w:val="19"/>
  </w:num>
  <w:num w:numId="122" w16cid:durableId="1919245555">
    <w:abstractNumId w:val="100"/>
  </w:num>
  <w:num w:numId="123" w16cid:durableId="535234905">
    <w:abstractNumId w:val="42"/>
  </w:num>
  <w:num w:numId="124" w16cid:durableId="1067876211">
    <w:abstractNumId w:val="66"/>
  </w:num>
  <w:num w:numId="125" w16cid:durableId="1264067594">
    <w:abstractNumId w:val="89"/>
  </w:num>
  <w:num w:numId="126" w16cid:durableId="765734793">
    <w:abstractNumId w:val="29"/>
  </w:num>
  <w:num w:numId="127" w16cid:durableId="1074428251">
    <w:abstractNumId w:val="97"/>
  </w:num>
  <w:num w:numId="128" w16cid:durableId="612637901">
    <w:abstractNumId w:val="107"/>
  </w:num>
  <w:num w:numId="129" w16cid:durableId="935289971">
    <w:abstractNumId w:val="18"/>
  </w:num>
  <w:num w:numId="130" w16cid:durableId="1359309014">
    <w:abstractNumId w:val="6"/>
  </w:num>
  <w:num w:numId="131" w16cid:durableId="1592470229">
    <w:abstractNumId w:val="38"/>
  </w:num>
  <w:num w:numId="132" w16cid:durableId="976420881">
    <w:abstractNumId w:val="123"/>
  </w:num>
  <w:num w:numId="133" w16cid:durableId="1802266084">
    <w:abstractNumId w:val="67"/>
  </w:num>
  <w:num w:numId="134" w16cid:durableId="633680743">
    <w:abstractNumId w:val="61"/>
  </w:num>
  <w:num w:numId="135" w16cid:durableId="216402204">
    <w:abstractNumId w:val="63"/>
  </w:num>
  <w:num w:numId="136" w16cid:durableId="1793093129">
    <w:abstractNumId w:val="27"/>
  </w:num>
  <w:num w:numId="137" w16cid:durableId="517889875">
    <w:abstractNumId w:val="39"/>
  </w:num>
  <w:num w:numId="138" w16cid:durableId="2139957686">
    <w:abstractNumId w:val="45"/>
  </w:num>
  <w:num w:numId="139" w16cid:durableId="1714228715">
    <w:abstractNumId w:val="118"/>
  </w:num>
  <w:num w:numId="140" w16cid:durableId="382144700">
    <w:abstractNumId w:val="34"/>
  </w:num>
  <w:num w:numId="141" w16cid:durableId="1248272566">
    <w:abstractNumId w:val="51"/>
  </w:num>
  <w:num w:numId="142" w16cid:durableId="1168249609">
    <w:abstractNumId w:val="117"/>
  </w:num>
  <w:num w:numId="143" w16cid:durableId="1056702570">
    <w:abstractNumId w:val="1"/>
  </w:num>
  <w:num w:numId="144" w16cid:durableId="1493915088">
    <w:abstractNumId w:val="80"/>
  </w:num>
  <w:num w:numId="145" w16cid:durableId="2047413977">
    <w:abstractNumId w:val="76"/>
  </w:num>
  <w:num w:numId="146" w16cid:durableId="1358237578">
    <w:abstractNumId w:val="101"/>
  </w:num>
  <w:num w:numId="147" w16cid:durableId="1903560867">
    <w:abstractNumId w:val="120"/>
  </w:num>
  <w:num w:numId="148" w16cid:durableId="116072435">
    <w:abstractNumId w:val="53"/>
  </w:num>
  <w:num w:numId="149" w16cid:durableId="1262763753">
    <w:abstractNumId w:val="81"/>
  </w:num>
  <w:num w:numId="150" w16cid:durableId="1879589596">
    <w:abstractNumId w:val="7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848"/>
    <w:rsid w:val="0001583C"/>
    <w:rsid w:val="00015F0D"/>
    <w:rsid w:val="00027A34"/>
    <w:rsid w:val="000322E7"/>
    <w:rsid w:val="000440C4"/>
    <w:rsid w:val="00044CFD"/>
    <w:rsid w:val="00060054"/>
    <w:rsid w:val="00061A09"/>
    <w:rsid w:val="000720E3"/>
    <w:rsid w:val="00072B22"/>
    <w:rsid w:val="000763B6"/>
    <w:rsid w:val="00077740"/>
    <w:rsid w:val="00080236"/>
    <w:rsid w:val="00085031"/>
    <w:rsid w:val="00087E4F"/>
    <w:rsid w:val="00090A9C"/>
    <w:rsid w:val="00092C24"/>
    <w:rsid w:val="00093811"/>
    <w:rsid w:val="000940A0"/>
    <w:rsid w:val="00095960"/>
    <w:rsid w:val="00095E3C"/>
    <w:rsid w:val="000A1D3E"/>
    <w:rsid w:val="000A1E46"/>
    <w:rsid w:val="000A310D"/>
    <w:rsid w:val="000A49ED"/>
    <w:rsid w:val="000A4B43"/>
    <w:rsid w:val="000A749C"/>
    <w:rsid w:val="000B0B32"/>
    <w:rsid w:val="000B706D"/>
    <w:rsid w:val="000C0D1E"/>
    <w:rsid w:val="000C17BE"/>
    <w:rsid w:val="000D0869"/>
    <w:rsid w:val="000D3EAE"/>
    <w:rsid w:val="000D5131"/>
    <w:rsid w:val="000E23AB"/>
    <w:rsid w:val="000E427F"/>
    <w:rsid w:val="000E5EBA"/>
    <w:rsid w:val="000E5FB8"/>
    <w:rsid w:val="000E6887"/>
    <w:rsid w:val="000F0A0D"/>
    <w:rsid w:val="000F7F04"/>
    <w:rsid w:val="00110665"/>
    <w:rsid w:val="0011126E"/>
    <w:rsid w:val="00112407"/>
    <w:rsid w:val="00116AE4"/>
    <w:rsid w:val="00117CA1"/>
    <w:rsid w:val="0013045B"/>
    <w:rsid w:val="0013755A"/>
    <w:rsid w:val="00137A3C"/>
    <w:rsid w:val="0014549E"/>
    <w:rsid w:val="00150904"/>
    <w:rsid w:val="0015204F"/>
    <w:rsid w:val="00152104"/>
    <w:rsid w:val="00154BAC"/>
    <w:rsid w:val="001603EF"/>
    <w:rsid w:val="001618EF"/>
    <w:rsid w:val="001624C4"/>
    <w:rsid w:val="001654CD"/>
    <w:rsid w:val="00172E9A"/>
    <w:rsid w:val="0017448B"/>
    <w:rsid w:val="001762F4"/>
    <w:rsid w:val="00180799"/>
    <w:rsid w:val="00180A9B"/>
    <w:rsid w:val="00185F71"/>
    <w:rsid w:val="00195226"/>
    <w:rsid w:val="001A5804"/>
    <w:rsid w:val="001A680C"/>
    <w:rsid w:val="001C01BE"/>
    <w:rsid w:val="001C3DA0"/>
    <w:rsid w:val="001C426A"/>
    <w:rsid w:val="001C7DB2"/>
    <w:rsid w:val="001D284C"/>
    <w:rsid w:val="001D47AD"/>
    <w:rsid w:val="001E252D"/>
    <w:rsid w:val="001E32DF"/>
    <w:rsid w:val="001E3406"/>
    <w:rsid w:val="001F6098"/>
    <w:rsid w:val="001F6A23"/>
    <w:rsid w:val="0020239B"/>
    <w:rsid w:val="00203E13"/>
    <w:rsid w:val="002064BC"/>
    <w:rsid w:val="00216B67"/>
    <w:rsid w:val="0022051E"/>
    <w:rsid w:val="002223CB"/>
    <w:rsid w:val="00222468"/>
    <w:rsid w:val="002267E3"/>
    <w:rsid w:val="00231AB1"/>
    <w:rsid w:val="00232A16"/>
    <w:rsid w:val="00237149"/>
    <w:rsid w:val="002374CB"/>
    <w:rsid w:val="0024045F"/>
    <w:rsid w:val="002505F5"/>
    <w:rsid w:val="00250CC6"/>
    <w:rsid w:val="00251580"/>
    <w:rsid w:val="00257F01"/>
    <w:rsid w:val="002616CF"/>
    <w:rsid w:val="00261B29"/>
    <w:rsid w:val="00263733"/>
    <w:rsid w:val="00264124"/>
    <w:rsid w:val="00264677"/>
    <w:rsid w:val="00265973"/>
    <w:rsid w:val="00265C31"/>
    <w:rsid w:val="0026647E"/>
    <w:rsid w:val="00274C5B"/>
    <w:rsid w:val="00280E5F"/>
    <w:rsid w:val="00281775"/>
    <w:rsid w:val="00282403"/>
    <w:rsid w:val="002879A1"/>
    <w:rsid w:val="002A113E"/>
    <w:rsid w:val="002A5FDE"/>
    <w:rsid w:val="002B034B"/>
    <w:rsid w:val="002B0A6E"/>
    <w:rsid w:val="002B3C1E"/>
    <w:rsid w:val="002B46B1"/>
    <w:rsid w:val="002B6766"/>
    <w:rsid w:val="002C0B5F"/>
    <w:rsid w:val="002C2285"/>
    <w:rsid w:val="002C2B31"/>
    <w:rsid w:val="002C6F40"/>
    <w:rsid w:val="002C6FD8"/>
    <w:rsid w:val="002C717E"/>
    <w:rsid w:val="002C73F4"/>
    <w:rsid w:val="002D019D"/>
    <w:rsid w:val="002D3349"/>
    <w:rsid w:val="002D3BCC"/>
    <w:rsid w:val="002D638C"/>
    <w:rsid w:val="002D68BB"/>
    <w:rsid w:val="002D76E9"/>
    <w:rsid w:val="002E03CF"/>
    <w:rsid w:val="002F0EEA"/>
    <w:rsid w:val="002F20A7"/>
    <w:rsid w:val="002F20B5"/>
    <w:rsid w:val="002F357A"/>
    <w:rsid w:val="00311623"/>
    <w:rsid w:val="003133CB"/>
    <w:rsid w:val="00316776"/>
    <w:rsid w:val="003223F2"/>
    <w:rsid w:val="00322A0D"/>
    <w:rsid w:val="00322CDE"/>
    <w:rsid w:val="003235C8"/>
    <w:rsid w:val="0033318A"/>
    <w:rsid w:val="00333FF1"/>
    <w:rsid w:val="00334002"/>
    <w:rsid w:val="00334B70"/>
    <w:rsid w:val="003355F6"/>
    <w:rsid w:val="003377F1"/>
    <w:rsid w:val="00343773"/>
    <w:rsid w:val="00355566"/>
    <w:rsid w:val="00356156"/>
    <w:rsid w:val="00360A3F"/>
    <w:rsid w:val="00364C07"/>
    <w:rsid w:val="00374E16"/>
    <w:rsid w:val="00376ED2"/>
    <w:rsid w:val="003775DF"/>
    <w:rsid w:val="00377CB0"/>
    <w:rsid w:val="0038074E"/>
    <w:rsid w:val="00381E67"/>
    <w:rsid w:val="00384760"/>
    <w:rsid w:val="00387421"/>
    <w:rsid w:val="0039001B"/>
    <w:rsid w:val="0039518B"/>
    <w:rsid w:val="00395E1F"/>
    <w:rsid w:val="00397058"/>
    <w:rsid w:val="003A34A3"/>
    <w:rsid w:val="003A4334"/>
    <w:rsid w:val="003B0F00"/>
    <w:rsid w:val="003B1418"/>
    <w:rsid w:val="003B6969"/>
    <w:rsid w:val="003C05E1"/>
    <w:rsid w:val="003C2B50"/>
    <w:rsid w:val="003C4AFD"/>
    <w:rsid w:val="003C6D09"/>
    <w:rsid w:val="003D298E"/>
    <w:rsid w:val="003D3563"/>
    <w:rsid w:val="003D5F89"/>
    <w:rsid w:val="003D7E7F"/>
    <w:rsid w:val="003E017E"/>
    <w:rsid w:val="003E1E60"/>
    <w:rsid w:val="003E428C"/>
    <w:rsid w:val="003F6189"/>
    <w:rsid w:val="003F69BC"/>
    <w:rsid w:val="0040510D"/>
    <w:rsid w:val="004057BC"/>
    <w:rsid w:val="00420156"/>
    <w:rsid w:val="004204FB"/>
    <w:rsid w:val="004242AD"/>
    <w:rsid w:val="004325ED"/>
    <w:rsid w:val="00433DE6"/>
    <w:rsid w:val="00434085"/>
    <w:rsid w:val="0043449E"/>
    <w:rsid w:val="00434A82"/>
    <w:rsid w:val="00436B59"/>
    <w:rsid w:val="004413CD"/>
    <w:rsid w:val="0044258D"/>
    <w:rsid w:val="00443A60"/>
    <w:rsid w:val="00444B1D"/>
    <w:rsid w:val="00444B3C"/>
    <w:rsid w:val="00457F01"/>
    <w:rsid w:val="00462843"/>
    <w:rsid w:val="00466097"/>
    <w:rsid w:val="00466403"/>
    <w:rsid w:val="00473F99"/>
    <w:rsid w:val="00474246"/>
    <w:rsid w:val="004813A7"/>
    <w:rsid w:val="004830FD"/>
    <w:rsid w:val="004849CE"/>
    <w:rsid w:val="00485BD0"/>
    <w:rsid w:val="00486B51"/>
    <w:rsid w:val="00487152"/>
    <w:rsid w:val="00490182"/>
    <w:rsid w:val="0049216F"/>
    <w:rsid w:val="00492BC4"/>
    <w:rsid w:val="00492E40"/>
    <w:rsid w:val="004A10BC"/>
    <w:rsid w:val="004A49A6"/>
    <w:rsid w:val="004A599D"/>
    <w:rsid w:val="004B484B"/>
    <w:rsid w:val="004B623B"/>
    <w:rsid w:val="004B78C6"/>
    <w:rsid w:val="004C1CC5"/>
    <w:rsid w:val="004C7B52"/>
    <w:rsid w:val="004D075E"/>
    <w:rsid w:val="004D1318"/>
    <w:rsid w:val="004D2A39"/>
    <w:rsid w:val="004D6DB2"/>
    <w:rsid w:val="004D7783"/>
    <w:rsid w:val="004D7F28"/>
    <w:rsid w:val="004E01F6"/>
    <w:rsid w:val="004E3590"/>
    <w:rsid w:val="004E566F"/>
    <w:rsid w:val="004E672A"/>
    <w:rsid w:val="004E747E"/>
    <w:rsid w:val="004F1607"/>
    <w:rsid w:val="004F1964"/>
    <w:rsid w:val="004F1CF1"/>
    <w:rsid w:val="0050023D"/>
    <w:rsid w:val="00503FCB"/>
    <w:rsid w:val="0050451B"/>
    <w:rsid w:val="005116D7"/>
    <w:rsid w:val="005144E3"/>
    <w:rsid w:val="00515088"/>
    <w:rsid w:val="0052019E"/>
    <w:rsid w:val="0052467F"/>
    <w:rsid w:val="0053336F"/>
    <w:rsid w:val="00533AA9"/>
    <w:rsid w:val="00535ED5"/>
    <w:rsid w:val="0053681E"/>
    <w:rsid w:val="00541774"/>
    <w:rsid w:val="005433BE"/>
    <w:rsid w:val="00545742"/>
    <w:rsid w:val="005466CE"/>
    <w:rsid w:val="00546BB3"/>
    <w:rsid w:val="005532E5"/>
    <w:rsid w:val="00560CC1"/>
    <w:rsid w:val="00575721"/>
    <w:rsid w:val="00595574"/>
    <w:rsid w:val="00597208"/>
    <w:rsid w:val="005A3266"/>
    <w:rsid w:val="005A3959"/>
    <w:rsid w:val="005A4F66"/>
    <w:rsid w:val="005A76D0"/>
    <w:rsid w:val="005A7BC1"/>
    <w:rsid w:val="005A7EB2"/>
    <w:rsid w:val="005B25B6"/>
    <w:rsid w:val="005B2E32"/>
    <w:rsid w:val="005B5037"/>
    <w:rsid w:val="005B65AE"/>
    <w:rsid w:val="005C3DA2"/>
    <w:rsid w:val="005C7C30"/>
    <w:rsid w:val="005C7ED2"/>
    <w:rsid w:val="005D1768"/>
    <w:rsid w:val="005D2492"/>
    <w:rsid w:val="005D4ECD"/>
    <w:rsid w:val="005D7F98"/>
    <w:rsid w:val="005E151E"/>
    <w:rsid w:val="005E1B7D"/>
    <w:rsid w:val="005E24FB"/>
    <w:rsid w:val="005E39A1"/>
    <w:rsid w:val="005F2661"/>
    <w:rsid w:val="005F5AF5"/>
    <w:rsid w:val="005F67B2"/>
    <w:rsid w:val="0060105E"/>
    <w:rsid w:val="0060723C"/>
    <w:rsid w:val="0061026F"/>
    <w:rsid w:val="006134F4"/>
    <w:rsid w:val="006218DA"/>
    <w:rsid w:val="00621DBD"/>
    <w:rsid w:val="0062589E"/>
    <w:rsid w:val="00625A3C"/>
    <w:rsid w:val="00632882"/>
    <w:rsid w:val="00633F98"/>
    <w:rsid w:val="00634932"/>
    <w:rsid w:val="0063501E"/>
    <w:rsid w:val="006447D8"/>
    <w:rsid w:val="00644F28"/>
    <w:rsid w:val="0065187E"/>
    <w:rsid w:val="00651A46"/>
    <w:rsid w:val="00652BDC"/>
    <w:rsid w:val="00655684"/>
    <w:rsid w:val="00661A1D"/>
    <w:rsid w:val="00667BBF"/>
    <w:rsid w:val="006731F3"/>
    <w:rsid w:val="00675DF1"/>
    <w:rsid w:val="00676B85"/>
    <w:rsid w:val="00680EA2"/>
    <w:rsid w:val="00687CA0"/>
    <w:rsid w:val="00687F77"/>
    <w:rsid w:val="006969AC"/>
    <w:rsid w:val="006A2ABE"/>
    <w:rsid w:val="006A7DC3"/>
    <w:rsid w:val="006B0882"/>
    <w:rsid w:val="006B1075"/>
    <w:rsid w:val="006B366F"/>
    <w:rsid w:val="006B3FEF"/>
    <w:rsid w:val="006B51C2"/>
    <w:rsid w:val="006C0642"/>
    <w:rsid w:val="006C10F3"/>
    <w:rsid w:val="006C2E76"/>
    <w:rsid w:val="006C3100"/>
    <w:rsid w:val="006C54C9"/>
    <w:rsid w:val="006C670F"/>
    <w:rsid w:val="006D2EA0"/>
    <w:rsid w:val="006D48DE"/>
    <w:rsid w:val="006E3B11"/>
    <w:rsid w:val="006E413B"/>
    <w:rsid w:val="006F0E6E"/>
    <w:rsid w:val="006F1837"/>
    <w:rsid w:val="006F2708"/>
    <w:rsid w:val="006F3CD1"/>
    <w:rsid w:val="0070060D"/>
    <w:rsid w:val="0070272D"/>
    <w:rsid w:val="00703A9A"/>
    <w:rsid w:val="00703FB5"/>
    <w:rsid w:val="00704C25"/>
    <w:rsid w:val="00705F1D"/>
    <w:rsid w:val="00706878"/>
    <w:rsid w:val="00706AC7"/>
    <w:rsid w:val="00711248"/>
    <w:rsid w:val="007126B8"/>
    <w:rsid w:val="00712DB1"/>
    <w:rsid w:val="00715A97"/>
    <w:rsid w:val="00722DB7"/>
    <w:rsid w:val="00723762"/>
    <w:rsid w:val="007239AC"/>
    <w:rsid w:val="00723E95"/>
    <w:rsid w:val="00724764"/>
    <w:rsid w:val="007265A9"/>
    <w:rsid w:val="00730323"/>
    <w:rsid w:val="00733953"/>
    <w:rsid w:val="00736364"/>
    <w:rsid w:val="0073642B"/>
    <w:rsid w:val="0073725A"/>
    <w:rsid w:val="00740AB1"/>
    <w:rsid w:val="00742379"/>
    <w:rsid w:val="007507AF"/>
    <w:rsid w:val="00750F2F"/>
    <w:rsid w:val="00754496"/>
    <w:rsid w:val="0076684E"/>
    <w:rsid w:val="00766A58"/>
    <w:rsid w:val="00773D31"/>
    <w:rsid w:val="007745DE"/>
    <w:rsid w:val="00774E6F"/>
    <w:rsid w:val="007764F4"/>
    <w:rsid w:val="00776AB8"/>
    <w:rsid w:val="00781550"/>
    <w:rsid w:val="007822A3"/>
    <w:rsid w:val="00782DC2"/>
    <w:rsid w:val="00790119"/>
    <w:rsid w:val="00793616"/>
    <w:rsid w:val="007969DC"/>
    <w:rsid w:val="00797AF9"/>
    <w:rsid w:val="007A064E"/>
    <w:rsid w:val="007A31DC"/>
    <w:rsid w:val="007B29E4"/>
    <w:rsid w:val="007B3A5C"/>
    <w:rsid w:val="007B3DE9"/>
    <w:rsid w:val="007C1F01"/>
    <w:rsid w:val="007C428F"/>
    <w:rsid w:val="007D39B9"/>
    <w:rsid w:val="007D4653"/>
    <w:rsid w:val="007D7D94"/>
    <w:rsid w:val="007E3985"/>
    <w:rsid w:val="007E6130"/>
    <w:rsid w:val="007F24DA"/>
    <w:rsid w:val="007F4183"/>
    <w:rsid w:val="008022F1"/>
    <w:rsid w:val="00802EEF"/>
    <w:rsid w:val="00810AE7"/>
    <w:rsid w:val="008173B3"/>
    <w:rsid w:val="00817E2A"/>
    <w:rsid w:val="00825D2B"/>
    <w:rsid w:val="00831B04"/>
    <w:rsid w:val="00833A1D"/>
    <w:rsid w:val="0083534F"/>
    <w:rsid w:val="0083781F"/>
    <w:rsid w:val="00840269"/>
    <w:rsid w:val="00840A0E"/>
    <w:rsid w:val="008464D9"/>
    <w:rsid w:val="00854E14"/>
    <w:rsid w:val="0086333D"/>
    <w:rsid w:val="00864B2B"/>
    <w:rsid w:val="00867D56"/>
    <w:rsid w:val="00877358"/>
    <w:rsid w:val="008806D9"/>
    <w:rsid w:val="0088301D"/>
    <w:rsid w:val="00883E09"/>
    <w:rsid w:val="00885F93"/>
    <w:rsid w:val="00886510"/>
    <w:rsid w:val="00890A2F"/>
    <w:rsid w:val="00890D4E"/>
    <w:rsid w:val="00894F92"/>
    <w:rsid w:val="008A09DC"/>
    <w:rsid w:val="008A2025"/>
    <w:rsid w:val="008A3A53"/>
    <w:rsid w:val="008A69EA"/>
    <w:rsid w:val="008A7AEA"/>
    <w:rsid w:val="008A7D25"/>
    <w:rsid w:val="008B070C"/>
    <w:rsid w:val="008B0F36"/>
    <w:rsid w:val="008B1907"/>
    <w:rsid w:val="008B5953"/>
    <w:rsid w:val="008C140C"/>
    <w:rsid w:val="008C2AA8"/>
    <w:rsid w:val="008C6B88"/>
    <w:rsid w:val="008D1B67"/>
    <w:rsid w:val="008D43A4"/>
    <w:rsid w:val="008D5F2C"/>
    <w:rsid w:val="008E18C4"/>
    <w:rsid w:val="008E1DF8"/>
    <w:rsid w:val="008E7947"/>
    <w:rsid w:val="0090102E"/>
    <w:rsid w:val="009052D0"/>
    <w:rsid w:val="009139AE"/>
    <w:rsid w:val="00916122"/>
    <w:rsid w:val="0091652D"/>
    <w:rsid w:val="00917C97"/>
    <w:rsid w:val="00922314"/>
    <w:rsid w:val="0093248D"/>
    <w:rsid w:val="0093756B"/>
    <w:rsid w:val="009400C2"/>
    <w:rsid w:val="009462FA"/>
    <w:rsid w:val="009505DD"/>
    <w:rsid w:val="00951EB3"/>
    <w:rsid w:val="00955905"/>
    <w:rsid w:val="009613E8"/>
    <w:rsid w:val="00962E14"/>
    <w:rsid w:val="00963FFF"/>
    <w:rsid w:val="0096761A"/>
    <w:rsid w:val="009705B3"/>
    <w:rsid w:val="00971016"/>
    <w:rsid w:val="009813A6"/>
    <w:rsid w:val="009836A7"/>
    <w:rsid w:val="009A16DE"/>
    <w:rsid w:val="009A7D90"/>
    <w:rsid w:val="009B1461"/>
    <w:rsid w:val="009B505A"/>
    <w:rsid w:val="009B75E0"/>
    <w:rsid w:val="009B7B1F"/>
    <w:rsid w:val="009C1965"/>
    <w:rsid w:val="009C1DBD"/>
    <w:rsid w:val="009C2244"/>
    <w:rsid w:val="009C3C7B"/>
    <w:rsid w:val="009D1D31"/>
    <w:rsid w:val="009D4D64"/>
    <w:rsid w:val="009E2883"/>
    <w:rsid w:val="009E4604"/>
    <w:rsid w:val="009E499E"/>
    <w:rsid w:val="009F1183"/>
    <w:rsid w:val="009F1514"/>
    <w:rsid w:val="009F2F7B"/>
    <w:rsid w:val="009F44B4"/>
    <w:rsid w:val="009F4CD8"/>
    <w:rsid w:val="009F589F"/>
    <w:rsid w:val="009F7119"/>
    <w:rsid w:val="00A003D9"/>
    <w:rsid w:val="00A00401"/>
    <w:rsid w:val="00A00B43"/>
    <w:rsid w:val="00A01AE0"/>
    <w:rsid w:val="00A035EB"/>
    <w:rsid w:val="00A043DE"/>
    <w:rsid w:val="00A05BAE"/>
    <w:rsid w:val="00A101A0"/>
    <w:rsid w:val="00A11618"/>
    <w:rsid w:val="00A125E3"/>
    <w:rsid w:val="00A14701"/>
    <w:rsid w:val="00A14CF4"/>
    <w:rsid w:val="00A1570C"/>
    <w:rsid w:val="00A15C4F"/>
    <w:rsid w:val="00A16E60"/>
    <w:rsid w:val="00A22C42"/>
    <w:rsid w:val="00A23560"/>
    <w:rsid w:val="00A23637"/>
    <w:rsid w:val="00A238AA"/>
    <w:rsid w:val="00A25B61"/>
    <w:rsid w:val="00A26DC5"/>
    <w:rsid w:val="00A2724A"/>
    <w:rsid w:val="00A30CD5"/>
    <w:rsid w:val="00A37539"/>
    <w:rsid w:val="00A40B4C"/>
    <w:rsid w:val="00A50F8C"/>
    <w:rsid w:val="00A51842"/>
    <w:rsid w:val="00A563ED"/>
    <w:rsid w:val="00A57AD3"/>
    <w:rsid w:val="00A60347"/>
    <w:rsid w:val="00A62487"/>
    <w:rsid w:val="00A63AF0"/>
    <w:rsid w:val="00A67E70"/>
    <w:rsid w:val="00A70534"/>
    <w:rsid w:val="00A73A46"/>
    <w:rsid w:val="00A73C30"/>
    <w:rsid w:val="00A74A2B"/>
    <w:rsid w:val="00A7525C"/>
    <w:rsid w:val="00A77B25"/>
    <w:rsid w:val="00A83153"/>
    <w:rsid w:val="00A8785A"/>
    <w:rsid w:val="00A90432"/>
    <w:rsid w:val="00AA40E1"/>
    <w:rsid w:val="00AB0DB7"/>
    <w:rsid w:val="00AB0E27"/>
    <w:rsid w:val="00AB7308"/>
    <w:rsid w:val="00AC24D4"/>
    <w:rsid w:val="00AC3289"/>
    <w:rsid w:val="00AC46F5"/>
    <w:rsid w:val="00AC4F32"/>
    <w:rsid w:val="00AC72DA"/>
    <w:rsid w:val="00AD1445"/>
    <w:rsid w:val="00AD191A"/>
    <w:rsid w:val="00AD5DDB"/>
    <w:rsid w:val="00AD65F0"/>
    <w:rsid w:val="00AD783C"/>
    <w:rsid w:val="00AE5438"/>
    <w:rsid w:val="00AE5D8C"/>
    <w:rsid w:val="00AE6B9C"/>
    <w:rsid w:val="00AF462B"/>
    <w:rsid w:val="00AF5658"/>
    <w:rsid w:val="00AF62C2"/>
    <w:rsid w:val="00B00D76"/>
    <w:rsid w:val="00B03D10"/>
    <w:rsid w:val="00B05FDA"/>
    <w:rsid w:val="00B13886"/>
    <w:rsid w:val="00B146C0"/>
    <w:rsid w:val="00B17002"/>
    <w:rsid w:val="00B20021"/>
    <w:rsid w:val="00B21ACD"/>
    <w:rsid w:val="00B2224B"/>
    <w:rsid w:val="00B22BBC"/>
    <w:rsid w:val="00B31D9A"/>
    <w:rsid w:val="00B32E4E"/>
    <w:rsid w:val="00B3455E"/>
    <w:rsid w:val="00B36EB3"/>
    <w:rsid w:val="00B43F32"/>
    <w:rsid w:val="00B4456F"/>
    <w:rsid w:val="00B44D9E"/>
    <w:rsid w:val="00B46D43"/>
    <w:rsid w:val="00B6092B"/>
    <w:rsid w:val="00B61F61"/>
    <w:rsid w:val="00B63BBC"/>
    <w:rsid w:val="00B6706E"/>
    <w:rsid w:val="00B7530E"/>
    <w:rsid w:val="00B802A8"/>
    <w:rsid w:val="00B8356C"/>
    <w:rsid w:val="00B838A8"/>
    <w:rsid w:val="00B90CF8"/>
    <w:rsid w:val="00B91986"/>
    <w:rsid w:val="00B92DDB"/>
    <w:rsid w:val="00B96E4F"/>
    <w:rsid w:val="00BA3381"/>
    <w:rsid w:val="00BA688E"/>
    <w:rsid w:val="00BA6991"/>
    <w:rsid w:val="00BB3408"/>
    <w:rsid w:val="00BB4052"/>
    <w:rsid w:val="00BB46BB"/>
    <w:rsid w:val="00BB5DCC"/>
    <w:rsid w:val="00BC7341"/>
    <w:rsid w:val="00BC78DA"/>
    <w:rsid w:val="00BD17E4"/>
    <w:rsid w:val="00BD4333"/>
    <w:rsid w:val="00BE07E2"/>
    <w:rsid w:val="00BE2447"/>
    <w:rsid w:val="00BE2AD6"/>
    <w:rsid w:val="00BE5C64"/>
    <w:rsid w:val="00BE609B"/>
    <w:rsid w:val="00BF00BC"/>
    <w:rsid w:val="00BF10E4"/>
    <w:rsid w:val="00BF20DB"/>
    <w:rsid w:val="00BF2A76"/>
    <w:rsid w:val="00BF4225"/>
    <w:rsid w:val="00C101B2"/>
    <w:rsid w:val="00C11026"/>
    <w:rsid w:val="00C1155E"/>
    <w:rsid w:val="00C1168C"/>
    <w:rsid w:val="00C1324B"/>
    <w:rsid w:val="00C144E4"/>
    <w:rsid w:val="00C2122A"/>
    <w:rsid w:val="00C22372"/>
    <w:rsid w:val="00C2376A"/>
    <w:rsid w:val="00C34D41"/>
    <w:rsid w:val="00C35EB8"/>
    <w:rsid w:val="00C36342"/>
    <w:rsid w:val="00C36F6D"/>
    <w:rsid w:val="00C44705"/>
    <w:rsid w:val="00C44E75"/>
    <w:rsid w:val="00C45804"/>
    <w:rsid w:val="00C472D8"/>
    <w:rsid w:val="00C476E1"/>
    <w:rsid w:val="00C477DF"/>
    <w:rsid w:val="00C56B6D"/>
    <w:rsid w:val="00C61182"/>
    <w:rsid w:val="00C612E0"/>
    <w:rsid w:val="00C62DC1"/>
    <w:rsid w:val="00C67AC4"/>
    <w:rsid w:val="00C67E01"/>
    <w:rsid w:val="00C74AAF"/>
    <w:rsid w:val="00C76706"/>
    <w:rsid w:val="00C87AB5"/>
    <w:rsid w:val="00C90328"/>
    <w:rsid w:val="00C93ED6"/>
    <w:rsid w:val="00C93FA9"/>
    <w:rsid w:val="00C94F6E"/>
    <w:rsid w:val="00CA1B14"/>
    <w:rsid w:val="00CA5E85"/>
    <w:rsid w:val="00CB0A6A"/>
    <w:rsid w:val="00CB0A76"/>
    <w:rsid w:val="00CB0E67"/>
    <w:rsid w:val="00CB7ACB"/>
    <w:rsid w:val="00CB7DEF"/>
    <w:rsid w:val="00CC15B0"/>
    <w:rsid w:val="00CC3107"/>
    <w:rsid w:val="00CC365B"/>
    <w:rsid w:val="00CC3C32"/>
    <w:rsid w:val="00CC4328"/>
    <w:rsid w:val="00CC770F"/>
    <w:rsid w:val="00CD1260"/>
    <w:rsid w:val="00CD47E4"/>
    <w:rsid w:val="00CD67C0"/>
    <w:rsid w:val="00CE13A5"/>
    <w:rsid w:val="00CE39F0"/>
    <w:rsid w:val="00CE45FE"/>
    <w:rsid w:val="00CF2F4A"/>
    <w:rsid w:val="00CF3262"/>
    <w:rsid w:val="00CF38E8"/>
    <w:rsid w:val="00CF6521"/>
    <w:rsid w:val="00D0035F"/>
    <w:rsid w:val="00D012B5"/>
    <w:rsid w:val="00D03576"/>
    <w:rsid w:val="00D046CC"/>
    <w:rsid w:val="00D05EDF"/>
    <w:rsid w:val="00D0761F"/>
    <w:rsid w:val="00D1286C"/>
    <w:rsid w:val="00D1366A"/>
    <w:rsid w:val="00D14669"/>
    <w:rsid w:val="00D155DE"/>
    <w:rsid w:val="00D1644C"/>
    <w:rsid w:val="00D175A9"/>
    <w:rsid w:val="00D17FB2"/>
    <w:rsid w:val="00D20E96"/>
    <w:rsid w:val="00D235C5"/>
    <w:rsid w:val="00D23CA7"/>
    <w:rsid w:val="00D31A6E"/>
    <w:rsid w:val="00D31D7E"/>
    <w:rsid w:val="00D37D9A"/>
    <w:rsid w:val="00D42AF2"/>
    <w:rsid w:val="00D43F87"/>
    <w:rsid w:val="00D46B4D"/>
    <w:rsid w:val="00D47F4C"/>
    <w:rsid w:val="00D62C39"/>
    <w:rsid w:val="00D634F5"/>
    <w:rsid w:val="00D64575"/>
    <w:rsid w:val="00D66F8C"/>
    <w:rsid w:val="00D67DA7"/>
    <w:rsid w:val="00D70797"/>
    <w:rsid w:val="00D73F64"/>
    <w:rsid w:val="00D835EA"/>
    <w:rsid w:val="00D8405E"/>
    <w:rsid w:val="00D9144F"/>
    <w:rsid w:val="00DA5FAE"/>
    <w:rsid w:val="00DA6668"/>
    <w:rsid w:val="00DB37B2"/>
    <w:rsid w:val="00DB67ED"/>
    <w:rsid w:val="00DC034B"/>
    <w:rsid w:val="00DC7903"/>
    <w:rsid w:val="00DD25D7"/>
    <w:rsid w:val="00DD2B74"/>
    <w:rsid w:val="00DD4E9D"/>
    <w:rsid w:val="00DE0986"/>
    <w:rsid w:val="00DE12FA"/>
    <w:rsid w:val="00DE19C3"/>
    <w:rsid w:val="00DE4849"/>
    <w:rsid w:val="00DF1577"/>
    <w:rsid w:val="00DF30DF"/>
    <w:rsid w:val="00DF6DD4"/>
    <w:rsid w:val="00E01413"/>
    <w:rsid w:val="00E01563"/>
    <w:rsid w:val="00E031FB"/>
    <w:rsid w:val="00E0587A"/>
    <w:rsid w:val="00E11EF3"/>
    <w:rsid w:val="00E16953"/>
    <w:rsid w:val="00E205E7"/>
    <w:rsid w:val="00E2118A"/>
    <w:rsid w:val="00E21B3F"/>
    <w:rsid w:val="00E2701F"/>
    <w:rsid w:val="00E3299D"/>
    <w:rsid w:val="00E34F6D"/>
    <w:rsid w:val="00E3576C"/>
    <w:rsid w:val="00E3589F"/>
    <w:rsid w:val="00E36535"/>
    <w:rsid w:val="00E40237"/>
    <w:rsid w:val="00E415CF"/>
    <w:rsid w:val="00E41D64"/>
    <w:rsid w:val="00E45FD8"/>
    <w:rsid w:val="00E472E4"/>
    <w:rsid w:val="00E47AEF"/>
    <w:rsid w:val="00E501DC"/>
    <w:rsid w:val="00E57E7F"/>
    <w:rsid w:val="00E63879"/>
    <w:rsid w:val="00E638A6"/>
    <w:rsid w:val="00E667FB"/>
    <w:rsid w:val="00E70A28"/>
    <w:rsid w:val="00E70E4C"/>
    <w:rsid w:val="00E86D50"/>
    <w:rsid w:val="00EA0044"/>
    <w:rsid w:val="00EA2C08"/>
    <w:rsid w:val="00EA69AC"/>
    <w:rsid w:val="00EB172A"/>
    <w:rsid w:val="00EB3C75"/>
    <w:rsid w:val="00EB5AC9"/>
    <w:rsid w:val="00EB684E"/>
    <w:rsid w:val="00EB7525"/>
    <w:rsid w:val="00EC25CF"/>
    <w:rsid w:val="00EC4694"/>
    <w:rsid w:val="00EE13A9"/>
    <w:rsid w:val="00EE7D55"/>
    <w:rsid w:val="00EF040F"/>
    <w:rsid w:val="00EF1678"/>
    <w:rsid w:val="00EF6C62"/>
    <w:rsid w:val="00F05002"/>
    <w:rsid w:val="00F0631A"/>
    <w:rsid w:val="00F1554E"/>
    <w:rsid w:val="00F17A30"/>
    <w:rsid w:val="00F20625"/>
    <w:rsid w:val="00F20D35"/>
    <w:rsid w:val="00F21CF6"/>
    <w:rsid w:val="00F25D43"/>
    <w:rsid w:val="00F26DE2"/>
    <w:rsid w:val="00F32CCC"/>
    <w:rsid w:val="00F42CD5"/>
    <w:rsid w:val="00F43BA7"/>
    <w:rsid w:val="00F4536C"/>
    <w:rsid w:val="00F525FE"/>
    <w:rsid w:val="00F55531"/>
    <w:rsid w:val="00F5642E"/>
    <w:rsid w:val="00F5781A"/>
    <w:rsid w:val="00F60573"/>
    <w:rsid w:val="00F628F0"/>
    <w:rsid w:val="00F67396"/>
    <w:rsid w:val="00F71C4B"/>
    <w:rsid w:val="00F73EE4"/>
    <w:rsid w:val="00F74068"/>
    <w:rsid w:val="00F7526C"/>
    <w:rsid w:val="00F7526D"/>
    <w:rsid w:val="00F77CC4"/>
    <w:rsid w:val="00F83D3E"/>
    <w:rsid w:val="00F83EDA"/>
    <w:rsid w:val="00F900D1"/>
    <w:rsid w:val="00F90898"/>
    <w:rsid w:val="00F909EF"/>
    <w:rsid w:val="00F92126"/>
    <w:rsid w:val="00F92EA4"/>
    <w:rsid w:val="00F936A7"/>
    <w:rsid w:val="00F969AD"/>
    <w:rsid w:val="00F97CDC"/>
    <w:rsid w:val="00FA28F4"/>
    <w:rsid w:val="00FA4160"/>
    <w:rsid w:val="00FB18A1"/>
    <w:rsid w:val="00FB40CE"/>
    <w:rsid w:val="00FB4EC1"/>
    <w:rsid w:val="00FB5943"/>
    <w:rsid w:val="00FB599B"/>
    <w:rsid w:val="00FB67F2"/>
    <w:rsid w:val="00FB7B59"/>
    <w:rsid w:val="00FC3BCE"/>
    <w:rsid w:val="00FC4679"/>
    <w:rsid w:val="00FC70DC"/>
    <w:rsid w:val="00FC7ACE"/>
    <w:rsid w:val="00FD0BA1"/>
    <w:rsid w:val="00FD131E"/>
    <w:rsid w:val="00FD5A0F"/>
    <w:rsid w:val="00FD65D4"/>
    <w:rsid w:val="00FE44BC"/>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ACD"/>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211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835E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E2118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835EA"/>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D0761F"/>
    <w:rPr>
      <w:i/>
      <w:iCs/>
    </w:rPr>
  </w:style>
  <w:style w:type="character" w:styleId="Hyperlink">
    <w:name w:val="Hyperlink"/>
    <w:basedOn w:val="DefaultParagraphFont"/>
    <w:uiPriority w:val="99"/>
    <w:unhideWhenUsed/>
    <w:rsid w:val="00AF5658"/>
    <w:rPr>
      <w:color w:val="0000FF" w:themeColor="hyperlink"/>
      <w:u w:val="single"/>
    </w:rPr>
  </w:style>
  <w:style w:type="character" w:styleId="UnresolvedMention">
    <w:name w:val="Unresolved Mention"/>
    <w:basedOn w:val="DefaultParagraphFont"/>
    <w:uiPriority w:val="99"/>
    <w:semiHidden/>
    <w:unhideWhenUsed/>
    <w:rsid w:val="00AF5658"/>
    <w:rPr>
      <w:color w:val="605E5C"/>
      <w:shd w:val="clear" w:color="auto" w:fill="E1DFDD"/>
    </w:rPr>
  </w:style>
  <w:style w:type="table" w:styleId="PlainTable4">
    <w:name w:val="Plain Table 4"/>
    <w:basedOn w:val="TableNormal"/>
    <w:uiPriority w:val="44"/>
    <w:rsid w:val="002064B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9A16DE"/>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CA5E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ath-inline">
    <w:name w:val="math-inline"/>
    <w:basedOn w:val="DefaultParagraphFont"/>
    <w:rsid w:val="00F97CDC"/>
  </w:style>
  <w:style w:type="table" w:styleId="PlainTable3">
    <w:name w:val="Plain Table 3"/>
    <w:basedOn w:val="TableNormal"/>
    <w:uiPriority w:val="43"/>
    <w:rsid w:val="00F97CD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5">
    <w:name w:val="Grid Table 2 Accent 5"/>
    <w:basedOn w:val="TableNormal"/>
    <w:uiPriority w:val="47"/>
    <w:rsid w:val="00F97CDC"/>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1">
    <w:name w:val="Plain Table 1"/>
    <w:basedOn w:val="TableNormal"/>
    <w:uiPriority w:val="41"/>
    <w:rsid w:val="002D76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28701">
      <w:bodyDiv w:val="1"/>
      <w:marLeft w:val="0"/>
      <w:marRight w:val="0"/>
      <w:marTop w:val="0"/>
      <w:marBottom w:val="0"/>
      <w:divBdr>
        <w:top w:val="none" w:sz="0" w:space="0" w:color="auto"/>
        <w:left w:val="none" w:sz="0" w:space="0" w:color="auto"/>
        <w:bottom w:val="none" w:sz="0" w:space="0" w:color="auto"/>
        <w:right w:val="none" w:sz="0" w:space="0" w:color="auto"/>
      </w:divBdr>
    </w:div>
    <w:div w:id="143208976">
      <w:bodyDiv w:val="1"/>
      <w:marLeft w:val="0"/>
      <w:marRight w:val="0"/>
      <w:marTop w:val="0"/>
      <w:marBottom w:val="0"/>
      <w:divBdr>
        <w:top w:val="none" w:sz="0" w:space="0" w:color="auto"/>
        <w:left w:val="none" w:sz="0" w:space="0" w:color="auto"/>
        <w:bottom w:val="none" w:sz="0" w:space="0" w:color="auto"/>
        <w:right w:val="none" w:sz="0" w:space="0" w:color="auto"/>
      </w:divBdr>
    </w:div>
    <w:div w:id="163135755">
      <w:bodyDiv w:val="1"/>
      <w:marLeft w:val="0"/>
      <w:marRight w:val="0"/>
      <w:marTop w:val="0"/>
      <w:marBottom w:val="0"/>
      <w:divBdr>
        <w:top w:val="none" w:sz="0" w:space="0" w:color="auto"/>
        <w:left w:val="none" w:sz="0" w:space="0" w:color="auto"/>
        <w:bottom w:val="none" w:sz="0" w:space="0" w:color="auto"/>
        <w:right w:val="none" w:sz="0" w:space="0" w:color="auto"/>
      </w:divBdr>
    </w:div>
    <w:div w:id="180559537">
      <w:bodyDiv w:val="1"/>
      <w:marLeft w:val="0"/>
      <w:marRight w:val="0"/>
      <w:marTop w:val="0"/>
      <w:marBottom w:val="0"/>
      <w:divBdr>
        <w:top w:val="none" w:sz="0" w:space="0" w:color="auto"/>
        <w:left w:val="none" w:sz="0" w:space="0" w:color="auto"/>
        <w:bottom w:val="none" w:sz="0" w:space="0" w:color="auto"/>
        <w:right w:val="none" w:sz="0" w:space="0" w:color="auto"/>
      </w:divBdr>
    </w:div>
    <w:div w:id="218328552">
      <w:bodyDiv w:val="1"/>
      <w:marLeft w:val="0"/>
      <w:marRight w:val="0"/>
      <w:marTop w:val="0"/>
      <w:marBottom w:val="0"/>
      <w:divBdr>
        <w:top w:val="none" w:sz="0" w:space="0" w:color="auto"/>
        <w:left w:val="none" w:sz="0" w:space="0" w:color="auto"/>
        <w:bottom w:val="none" w:sz="0" w:space="0" w:color="auto"/>
        <w:right w:val="none" w:sz="0" w:space="0" w:color="auto"/>
      </w:divBdr>
    </w:div>
    <w:div w:id="258300764">
      <w:bodyDiv w:val="1"/>
      <w:marLeft w:val="0"/>
      <w:marRight w:val="0"/>
      <w:marTop w:val="0"/>
      <w:marBottom w:val="0"/>
      <w:divBdr>
        <w:top w:val="none" w:sz="0" w:space="0" w:color="auto"/>
        <w:left w:val="none" w:sz="0" w:space="0" w:color="auto"/>
        <w:bottom w:val="none" w:sz="0" w:space="0" w:color="auto"/>
        <w:right w:val="none" w:sz="0" w:space="0" w:color="auto"/>
      </w:divBdr>
    </w:div>
    <w:div w:id="373888281">
      <w:bodyDiv w:val="1"/>
      <w:marLeft w:val="0"/>
      <w:marRight w:val="0"/>
      <w:marTop w:val="0"/>
      <w:marBottom w:val="0"/>
      <w:divBdr>
        <w:top w:val="none" w:sz="0" w:space="0" w:color="auto"/>
        <w:left w:val="none" w:sz="0" w:space="0" w:color="auto"/>
        <w:bottom w:val="none" w:sz="0" w:space="0" w:color="auto"/>
        <w:right w:val="none" w:sz="0" w:space="0" w:color="auto"/>
      </w:divBdr>
    </w:div>
    <w:div w:id="398595037">
      <w:bodyDiv w:val="1"/>
      <w:marLeft w:val="0"/>
      <w:marRight w:val="0"/>
      <w:marTop w:val="0"/>
      <w:marBottom w:val="0"/>
      <w:divBdr>
        <w:top w:val="none" w:sz="0" w:space="0" w:color="auto"/>
        <w:left w:val="none" w:sz="0" w:space="0" w:color="auto"/>
        <w:bottom w:val="none" w:sz="0" w:space="0" w:color="auto"/>
        <w:right w:val="none" w:sz="0" w:space="0" w:color="auto"/>
      </w:divBdr>
    </w:div>
    <w:div w:id="400250247">
      <w:bodyDiv w:val="1"/>
      <w:marLeft w:val="0"/>
      <w:marRight w:val="0"/>
      <w:marTop w:val="0"/>
      <w:marBottom w:val="0"/>
      <w:divBdr>
        <w:top w:val="none" w:sz="0" w:space="0" w:color="auto"/>
        <w:left w:val="none" w:sz="0" w:space="0" w:color="auto"/>
        <w:bottom w:val="none" w:sz="0" w:space="0" w:color="auto"/>
        <w:right w:val="none" w:sz="0" w:space="0" w:color="auto"/>
      </w:divBdr>
    </w:div>
    <w:div w:id="460929306">
      <w:bodyDiv w:val="1"/>
      <w:marLeft w:val="0"/>
      <w:marRight w:val="0"/>
      <w:marTop w:val="0"/>
      <w:marBottom w:val="0"/>
      <w:divBdr>
        <w:top w:val="none" w:sz="0" w:space="0" w:color="auto"/>
        <w:left w:val="none" w:sz="0" w:space="0" w:color="auto"/>
        <w:bottom w:val="none" w:sz="0" w:space="0" w:color="auto"/>
        <w:right w:val="none" w:sz="0" w:space="0" w:color="auto"/>
      </w:divBdr>
    </w:div>
    <w:div w:id="591276991">
      <w:bodyDiv w:val="1"/>
      <w:marLeft w:val="0"/>
      <w:marRight w:val="0"/>
      <w:marTop w:val="0"/>
      <w:marBottom w:val="0"/>
      <w:divBdr>
        <w:top w:val="none" w:sz="0" w:space="0" w:color="auto"/>
        <w:left w:val="none" w:sz="0" w:space="0" w:color="auto"/>
        <w:bottom w:val="none" w:sz="0" w:space="0" w:color="auto"/>
        <w:right w:val="none" w:sz="0" w:space="0" w:color="auto"/>
      </w:divBdr>
    </w:div>
    <w:div w:id="792096342">
      <w:bodyDiv w:val="1"/>
      <w:marLeft w:val="0"/>
      <w:marRight w:val="0"/>
      <w:marTop w:val="0"/>
      <w:marBottom w:val="0"/>
      <w:divBdr>
        <w:top w:val="none" w:sz="0" w:space="0" w:color="auto"/>
        <w:left w:val="none" w:sz="0" w:space="0" w:color="auto"/>
        <w:bottom w:val="none" w:sz="0" w:space="0" w:color="auto"/>
        <w:right w:val="none" w:sz="0" w:space="0" w:color="auto"/>
      </w:divBdr>
    </w:div>
    <w:div w:id="913318306">
      <w:bodyDiv w:val="1"/>
      <w:marLeft w:val="0"/>
      <w:marRight w:val="0"/>
      <w:marTop w:val="0"/>
      <w:marBottom w:val="0"/>
      <w:divBdr>
        <w:top w:val="none" w:sz="0" w:space="0" w:color="auto"/>
        <w:left w:val="none" w:sz="0" w:space="0" w:color="auto"/>
        <w:bottom w:val="none" w:sz="0" w:space="0" w:color="auto"/>
        <w:right w:val="none" w:sz="0" w:space="0" w:color="auto"/>
      </w:divBdr>
    </w:div>
    <w:div w:id="95139820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1598373">
      <w:bodyDiv w:val="1"/>
      <w:marLeft w:val="0"/>
      <w:marRight w:val="0"/>
      <w:marTop w:val="0"/>
      <w:marBottom w:val="0"/>
      <w:divBdr>
        <w:top w:val="none" w:sz="0" w:space="0" w:color="auto"/>
        <w:left w:val="none" w:sz="0" w:space="0" w:color="auto"/>
        <w:bottom w:val="none" w:sz="0" w:space="0" w:color="auto"/>
        <w:right w:val="none" w:sz="0" w:space="0" w:color="auto"/>
      </w:divBdr>
    </w:div>
    <w:div w:id="1059089057">
      <w:bodyDiv w:val="1"/>
      <w:marLeft w:val="0"/>
      <w:marRight w:val="0"/>
      <w:marTop w:val="0"/>
      <w:marBottom w:val="0"/>
      <w:divBdr>
        <w:top w:val="none" w:sz="0" w:space="0" w:color="auto"/>
        <w:left w:val="none" w:sz="0" w:space="0" w:color="auto"/>
        <w:bottom w:val="none" w:sz="0" w:space="0" w:color="auto"/>
        <w:right w:val="none" w:sz="0" w:space="0" w:color="auto"/>
      </w:divBdr>
    </w:div>
    <w:div w:id="1105926452">
      <w:bodyDiv w:val="1"/>
      <w:marLeft w:val="0"/>
      <w:marRight w:val="0"/>
      <w:marTop w:val="0"/>
      <w:marBottom w:val="0"/>
      <w:divBdr>
        <w:top w:val="none" w:sz="0" w:space="0" w:color="auto"/>
        <w:left w:val="none" w:sz="0" w:space="0" w:color="auto"/>
        <w:bottom w:val="none" w:sz="0" w:space="0" w:color="auto"/>
        <w:right w:val="none" w:sz="0" w:space="0" w:color="auto"/>
      </w:divBdr>
    </w:div>
    <w:div w:id="1256015296">
      <w:bodyDiv w:val="1"/>
      <w:marLeft w:val="0"/>
      <w:marRight w:val="0"/>
      <w:marTop w:val="0"/>
      <w:marBottom w:val="0"/>
      <w:divBdr>
        <w:top w:val="none" w:sz="0" w:space="0" w:color="auto"/>
        <w:left w:val="none" w:sz="0" w:space="0" w:color="auto"/>
        <w:bottom w:val="none" w:sz="0" w:space="0" w:color="auto"/>
        <w:right w:val="none" w:sz="0" w:space="0" w:color="auto"/>
      </w:divBdr>
    </w:div>
    <w:div w:id="1270431501">
      <w:bodyDiv w:val="1"/>
      <w:marLeft w:val="0"/>
      <w:marRight w:val="0"/>
      <w:marTop w:val="0"/>
      <w:marBottom w:val="0"/>
      <w:divBdr>
        <w:top w:val="none" w:sz="0" w:space="0" w:color="auto"/>
        <w:left w:val="none" w:sz="0" w:space="0" w:color="auto"/>
        <w:bottom w:val="none" w:sz="0" w:space="0" w:color="auto"/>
        <w:right w:val="none" w:sz="0" w:space="0" w:color="auto"/>
      </w:divBdr>
    </w:div>
    <w:div w:id="1393383430">
      <w:bodyDiv w:val="1"/>
      <w:marLeft w:val="0"/>
      <w:marRight w:val="0"/>
      <w:marTop w:val="0"/>
      <w:marBottom w:val="0"/>
      <w:divBdr>
        <w:top w:val="none" w:sz="0" w:space="0" w:color="auto"/>
        <w:left w:val="none" w:sz="0" w:space="0" w:color="auto"/>
        <w:bottom w:val="none" w:sz="0" w:space="0" w:color="auto"/>
        <w:right w:val="none" w:sz="0" w:space="0" w:color="auto"/>
      </w:divBdr>
    </w:div>
    <w:div w:id="1469200275">
      <w:bodyDiv w:val="1"/>
      <w:marLeft w:val="0"/>
      <w:marRight w:val="0"/>
      <w:marTop w:val="0"/>
      <w:marBottom w:val="0"/>
      <w:divBdr>
        <w:top w:val="none" w:sz="0" w:space="0" w:color="auto"/>
        <w:left w:val="none" w:sz="0" w:space="0" w:color="auto"/>
        <w:bottom w:val="none" w:sz="0" w:space="0" w:color="auto"/>
        <w:right w:val="none" w:sz="0" w:space="0" w:color="auto"/>
      </w:divBdr>
    </w:div>
    <w:div w:id="1528635452">
      <w:bodyDiv w:val="1"/>
      <w:marLeft w:val="0"/>
      <w:marRight w:val="0"/>
      <w:marTop w:val="0"/>
      <w:marBottom w:val="0"/>
      <w:divBdr>
        <w:top w:val="none" w:sz="0" w:space="0" w:color="auto"/>
        <w:left w:val="none" w:sz="0" w:space="0" w:color="auto"/>
        <w:bottom w:val="none" w:sz="0" w:space="0" w:color="auto"/>
        <w:right w:val="none" w:sz="0" w:space="0" w:color="auto"/>
      </w:divBdr>
    </w:div>
    <w:div w:id="1596136186">
      <w:bodyDiv w:val="1"/>
      <w:marLeft w:val="0"/>
      <w:marRight w:val="0"/>
      <w:marTop w:val="0"/>
      <w:marBottom w:val="0"/>
      <w:divBdr>
        <w:top w:val="none" w:sz="0" w:space="0" w:color="auto"/>
        <w:left w:val="none" w:sz="0" w:space="0" w:color="auto"/>
        <w:bottom w:val="none" w:sz="0" w:space="0" w:color="auto"/>
        <w:right w:val="none" w:sz="0" w:space="0" w:color="auto"/>
      </w:divBdr>
    </w:div>
    <w:div w:id="1645772591">
      <w:bodyDiv w:val="1"/>
      <w:marLeft w:val="0"/>
      <w:marRight w:val="0"/>
      <w:marTop w:val="0"/>
      <w:marBottom w:val="0"/>
      <w:divBdr>
        <w:top w:val="none" w:sz="0" w:space="0" w:color="auto"/>
        <w:left w:val="none" w:sz="0" w:space="0" w:color="auto"/>
        <w:bottom w:val="none" w:sz="0" w:space="0" w:color="auto"/>
        <w:right w:val="none" w:sz="0" w:space="0" w:color="auto"/>
      </w:divBdr>
    </w:div>
    <w:div w:id="1654139668">
      <w:bodyDiv w:val="1"/>
      <w:marLeft w:val="0"/>
      <w:marRight w:val="0"/>
      <w:marTop w:val="0"/>
      <w:marBottom w:val="0"/>
      <w:divBdr>
        <w:top w:val="none" w:sz="0" w:space="0" w:color="auto"/>
        <w:left w:val="none" w:sz="0" w:space="0" w:color="auto"/>
        <w:bottom w:val="none" w:sz="0" w:space="0" w:color="auto"/>
        <w:right w:val="none" w:sz="0" w:space="0" w:color="auto"/>
      </w:divBdr>
    </w:div>
    <w:div w:id="1806315622">
      <w:bodyDiv w:val="1"/>
      <w:marLeft w:val="0"/>
      <w:marRight w:val="0"/>
      <w:marTop w:val="0"/>
      <w:marBottom w:val="0"/>
      <w:divBdr>
        <w:top w:val="none" w:sz="0" w:space="0" w:color="auto"/>
        <w:left w:val="none" w:sz="0" w:space="0" w:color="auto"/>
        <w:bottom w:val="none" w:sz="0" w:space="0" w:color="auto"/>
        <w:right w:val="none" w:sz="0" w:space="0" w:color="auto"/>
      </w:divBdr>
    </w:div>
    <w:div w:id="20229300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09513570810887893" TargetMode="External"/><Relationship Id="rId18" Type="http://schemas.openxmlformats.org/officeDocument/2006/relationships/hyperlink" Target="https://doi.org/10.1086/467037" TargetMode="External"/><Relationship Id="rId26" Type="http://schemas.openxmlformats.org/officeDocument/2006/relationships/hyperlink" Target="https://doi.org/10.1108/JFC-01-2020-0011" TargetMode="External"/><Relationship Id="rId39" Type="http://schemas.openxmlformats.org/officeDocument/2006/relationships/footer" Target="footer2.xml"/><Relationship Id="rId21" Type="http://schemas.openxmlformats.org/officeDocument/2006/relationships/hyperlink" Target="https://openknowledge.worldbank.org/handle/10986/2598" TargetMode="External"/><Relationship Id="rId34" Type="http://schemas.openxmlformats.org/officeDocument/2006/relationships/hyperlink" Target="https://asjp.cerist.dz/en/article/20159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5465/amr.2003.10196772" TargetMode="External"/><Relationship Id="rId20" Type="http://schemas.openxmlformats.org/officeDocument/2006/relationships/hyperlink" Target="https://doi.org/10.22495/cocv14i3art6" TargetMode="External"/><Relationship Id="rId29" Type="http://schemas.openxmlformats.org/officeDocument/2006/relationships/hyperlink" Target="https://papers.ssrn.com/sol3/papers.cfm?abstract_id=58642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acceco.2006.02.002" TargetMode="External"/><Relationship Id="rId24" Type="http://schemas.openxmlformats.org/officeDocument/2006/relationships/hyperlink" Target="https://doi.org/10.1163/15730255-12341280" TargetMode="External"/><Relationship Id="rId32" Type="http://schemas.openxmlformats.org/officeDocument/2006/relationships/hyperlink" Target="https://doi.org/10.1016/0304-405X(76)90026-X"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08/IJPPM-10-2017-0278" TargetMode="External"/><Relationship Id="rId23" Type="http://schemas.openxmlformats.org/officeDocument/2006/relationships/hyperlink" Target="https://doi.org/10.22495/rgcv10i1art1" TargetMode="External"/><Relationship Id="rId28" Type="http://schemas.openxmlformats.org/officeDocument/2006/relationships/hyperlink" Target="https://doi.org/10.1016/j.jcorpfin.2008.03.006" TargetMode="External"/><Relationship Id="rId36"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doi.org/10.1002/(SICI)1097-0266(199708)18:7%3c509::AID-SMJ882%3e3.0.CO;2-Z" TargetMode="External"/><Relationship Id="rId31" Type="http://schemas.openxmlformats.org/officeDocument/2006/relationships/hyperlink" Target="https://doi.org/10.1186/s43093-021-00093-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1156-008-0093-7" TargetMode="External"/><Relationship Id="rId22" Type="http://schemas.openxmlformats.org/officeDocument/2006/relationships/hyperlink" Target="https://doi.org/10.1108/MBE-12-2019-0128" TargetMode="External"/><Relationship Id="rId27" Type="http://schemas.openxmlformats.org/officeDocument/2006/relationships/hyperlink" Target="https://researchportal.port.ac.uk/files/5315148/Salwa_Alhamoudi_final_CD.pdf" TargetMode="External"/><Relationship Id="rId30" Type="http://schemas.openxmlformats.org/officeDocument/2006/relationships/hyperlink" Target="https://doi.org/10.14453/aabfj.v11i1.6"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3106/jafeb.2023.vol10.no3.0123" TargetMode="External"/><Relationship Id="rId17" Type="http://schemas.openxmlformats.org/officeDocument/2006/relationships/hyperlink" Target="https://doi.org/10.2307/2666999" TargetMode="External"/><Relationship Id="rId25" Type="http://schemas.openxmlformats.org/officeDocument/2006/relationships/hyperlink" Target="https://doi.org/10.21608/JEALEX.2021.155213" TargetMode="External"/><Relationship Id="rId33" Type="http://schemas.openxmlformats.org/officeDocument/2006/relationships/hyperlink" Target="https://doi.org/10.4236/ajibm.2023.139056" TargetMode="External"/><Relationship Id="rId38"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1908</TotalTime>
  <Pages>40</Pages>
  <Words>11249</Words>
  <Characters>64124</Characters>
  <Application>Microsoft Office Word</Application>
  <DocSecurity>0</DocSecurity>
  <Lines>534</Lines>
  <Paragraphs>150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Abeer Omar Alattas</cp:lastModifiedBy>
  <cp:revision>185</cp:revision>
  <cp:lastPrinted>2021-07-12T14:24:00Z</cp:lastPrinted>
  <dcterms:created xsi:type="dcterms:W3CDTF">2025-07-18T08:39:00Z</dcterms:created>
  <dcterms:modified xsi:type="dcterms:W3CDTF">2026-04-04T17:07:00Z</dcterms:modified>
</cp:coreProperties>
</file>