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44643" w:rsidRDefault="00A44643" w:rsidP="00A44643">
      <w:r>
        <w:rPr>
          <w:b/>
          <w:bCs/>
        </w:rPr>
        <w:t>Course Title:</w:t>
      </w:r>
      <w:r>
        <w:t xml:space="preserve"> Research Methodology in Computer Science Course </w:t>
      </w:r>
    </w:p>
    <w:p w:rsidR="00A44643" w:rsidRDefault="00A44643" w:rsidP="00A44643">
      <w:r>
        <w:rPr>
          <w:b/>
          <w:bCs/>
        </w:rPr>
        <w:t>Code:</w:t>
      </w:r>
      <w:r>
        <w:t xml:space="preserve"> AI800 </w:t>
      </w:r>
    </w:p>
    <w:p w:rsidR="00A44643" w:rsidRDefault="00A44643" w:rsidP="00A44643">
      <w:r>
        <w:rPr>
          <w:b/>
          <w:bCs/>
        </w:rPr>
        <w:t>Weighting</w:t>
      </w:r>
      <w:r>
        <w:t>:</w:t>
      </w:r>
      <w:r>
        <w:t>3</w:t>
      </w:r>
      <w:r>
        <w:t xml:space="preserve">0% </w:t>
      </w:r>
    </w:p>
    <w:p w:rsidR="00A44643" w:rsidRDefault="00A44643" w:rsidP="00A44643">
      <w:r>
        <w:rPr>
          <w:b/>
          <w:bCs/>
        </w:rPr>
        <w:t>Student:</w:t>
      </w:r>
      <w:r>
        <w:t xml:space="preserve"> Afnan Naseer </w:t>
      </w:r>
      <w:proofErr w:type="spellStart"/>
      <w:r>
        <w:t>Alhujaili</w:t>
      </w:r>
      <w:proofErr w:type="spellEnd"/>
    </w:p>
    <w:p w:rsidR="00A44643" w:rsidRDefault="00A44643" w:rsidP="00A44643">
      <w:r>
        <w:rPr>
          <w:b/>
          <w:bCs/>
        </w:rPr>
        <w:t>Hand-out Date:</w:t>
      </w:r>
      <w:r>
        <w:rPr>
          <w:rFonts w:ascii="Poppins" w:hAnsi="Poppins" w:cs="Poppins"/>
          <w:color w:val="434343"/>
          <w:sz w:val="18"/>
          <w:szCs w:val="18"/>
          <w:shd w:val="clear" w:color="auto" w:fill="F5F5F5"/>
        </w:rPr>
        <w:t xml:space="preserve"> </w:t>
      </w:r>
      <w:r w:rsidRPr="00A44643">
        <w:t>1 March 2025</w:t>
      </w:r>
    </w:p>
    <w:p w:rsidR="00A44643" w:rsidRDefault="00A44643" w:rsidP="00A44643">
      <w:r>
        <w:rPr>
          <w:b/>
          <w:bCs/>
        </w:rPr>
        <w:t>Hand-in Date:</w:t>
      </w:r>
      <w:r>
        <w:t xml:space="preserve"> </w:t>
      </w:r>
      <w:r w:rsidRPr="00A44643">
        <w:t>15 March 2025</w:t>
      </w:r>
      <w:r>
        <w:t>Hand-in</w:t>
      </w:r>
    </w:p>
    <w:p w:rsidR="00A44643" w:rsidRDefault="00A44643" w:rsidP="00A44643">
      <w:r>
        <w:rPr>
          <w:b/>
          <w:bCs/>
        </w:rPr>
        <w:t xml:space="preserve"> Method:</w:t>
      </w:r>
      <w:r>
        <w:t xml:space="preserve"> Online Submission via E-Learning.</w:t>
      </w:r>
    </w:p>
    <w:p w:rsidR="00A44643" w:rsidRDefault="00A44643" w:rsidP="00A44643"/>
    <w:p w:rsidR="00A44643" w:rsidRDefault="00A44643" w:rsidP="00A44643"/>
    <w:p w:rsidR="00A44643" w:rsidRDefault="00A44643" w:rsidP="00A44643"/>
    <w:p w:rsidR="00A44643" w:rsidRPr="00B56D62" w:rsidRDefault="00A44643" w:rsidP="00A44643">
      <w:r w:rsidRPr="00B56D62">
        <w:rPr>
          <w:b/>
          <w:bCs/>
        </w:rPr>
        <w:t xml:space="preserve"> </w:t>
      </w:r>
      <w:r w:rsidRPr="00B56D62">
        <w:t>Optimizing AI-Driven Personalized Learning Platforms for Enhanced Student Engagement and Academic Outcomes in Diverse Higher Education Contexts: A Multifaceted Approach</w:t>
      </w:r>
    </w:p>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 w:rsidR="00A44643" w:rsidRDefault="00A44643" w:rsidP="00A44643">
      <w:pPr>
        <w:rPr>
          <w:b/>
          <w:bCs/>
          <w:sz w:val="24"/>
          <w:szCs w:val="24"/>
        </w:rPr>
      </w:pPr>
      <w:r>
        <w:rPr>
          <w:b/>
          <w:bCs/>
          <w:sz w:val="24"/>
          <w:szCs w:val="24"/>
        </w:rPr>
        <w:t>Table of contents:</w:t>
      </w:r>
    </w:p>
    <w:p w:rsidR="00A44643" w:rsidRPr="00A44643" w:rsidRDefault="00A44643" w:rsidP="00A44643">
      <w:pPr>
        <w:pStyle w:val="a6"/>
        <w:numPr>
          <w:ilvl w:val="0"/>
          <w:numId w:val="15"/>
        </w:numPr>
        <w:rPr>
          <w:sz w:val="36"/>
          <w:szCs w:val="36"/>
        </w:rPr>
      </w:pPr>
      <w:r w:rsidRPr="00A44643">
        <w:rPr>
          <w:sz w:val="24"/>
          <w:szCs w:val="24"/>
        </w:rPr>
        <w:t>Introduction</w:t>
      </w:r>
    </w:p>
    <w:p w:rsidR="00A44643" w:rsidRPr="00A44643" w:rsidRDefault="00A44643" w:rsidP="00A44643">
      <w:pPr>
        <w:pStyle w:val="a6"/>
        <w:numPr>
          <w:ilvl w:val="0"/>
          <w:numId w:val="15"/>
        </w:numPr>
        <w:rPr>
          <w:sz w:val="32"/>
          <w:szCs w:val="32"/>
        </w:rPr>
      </w:pPr>
      <w:r w:rsidRPr="005900EB">
        <w:rPr>
          <w:sz w:val="24"/>
          <w:szCs w:val="24"/>
        </w:rPr>
        <w:t>Problem Statement</w:t>
      </w:r>
    </w:p>
    <w:p w:rsidR="00A44643" w:rsidRPr="00A44643" w:rsidRDefault="00A44643" w:rsidP="00A44643">
      <w:pPr>
        <w:pStyle w:val="a6"/>
        <w:numPr>
          <w:ilvl w:val="0"/>
          <w:numId w:val="15"/>
        </w:numPr>
        <w:rPr>
          <w:sz w:val="32"/>
          <w:szCs w:val="32"/>
        </w:rPr>
      </w:pPr>
      <w:r w:rsidRPr="002D6871">
        <w:rPr>
          <w:rFonts w:eastAsia="Times New Roman" w:cstheme="minorHAnsi"/>
          <w:kern w:val="0"/>
          <w:sz w:val="24"/>
          <w:szCs w:val="24"/>
          <w:lang w:eastAsia="en-GB"/>
          <w14:ligatures w14:val="none"/>
        </w:rPr>
        <w:t>Research Objectives</w:t>
      </w:r>
    </w:p>
    <w:p w:rsidR="00A44643" w:rsidRPr="00A44643" w:rsidRDefault="00A44643" w:rsidP="00A44643">
      <w:pPr>
        <w:pStyle w:val="a6"/>
        <w:numPr>
          <w:ilvl w:val="0"/>
          <w:numId w:val="15"/>
        </w:numPr>
        <w:rPr>
          <w:sz w:val="32"/>
          <w:szCs w:val="32"/>
        </w:rPr>
      </w:pPr>
      <w:r w:rsidRPr="00A44643">
        <w:rPr>
          <w:sz w:val="24"/>
          <w:szCs w:val="24"/>
        </w:rPr>
        <w:t>Literature Review</w:t>
      </w: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A44643" w:rsidRDefault="00A44643" w:rsidP="00A44643">
      <w:pPr>
        <w:rPr>
          <w:b/>
          <w:bCs/>
          <w:sz w:val="32"/>
          <w:szCs w:val="32"/>
        </w:rPr>
      </w:pPr>
    </w:p>
    <w:p w:rsidR="00B56D62" w:rsidRDefault="00B56D62" w:rsidP="00B56D62">
      <w:pPr>
        <w:rPr>
          <w:b/>
          <w:bCs/>
          <w:sz w:val="24"/>
          <w:szCs w:val="24"/>
        </w:rPr>
      </w:pPr>
      <w:r w:rsidRPr="00B56D62">
        <w:rPr>
          <w:b/>
          <w:bCs/>
          <w:sz w:val="24"/>
          <w:szCs w:val="24"/>
        </w:rPr>
        <w:lastRenderedPageBreak/>
        <w:t>Optimizing AI-Driven Personalized Learning Platforms for Enhanced Student Engagement and Academic Outcomes in Diverse Higher Education Contexts: A Multifaceted Approach</w:t>
      </w:r>
    </w:p>
    <w:p w:rsidR="00A44643" w:rsidRPr="00B56D62" w:rsidRDefault="00A44643" w:rsidP="00B56D62">
      <w:pPr>
        <w:rPr>
          <w:sz w:val="24"/>
          <w:szCs w:val="24"/>
        </w:rPr>
      </w:pPr>
    </w:p>
    <w:p w:rsidR="00B56D62" w:rsidRPr="00B56D62" w:rsidRDefault="00B56D62" w:rsidP="00B56D62">
      <w:pPr>
        <w:rPr>
          <w:sz w:val="24"/>
          <w:szCs w:val="24"/>
        </w:rPr>
      </w:pPr>
      <w:r w:rsidRPr="00B56D62">
        <w:rPr>
          <w:b/>
          <w:bCs/>
          <w:sz w:val="24"/>
          <w:szCs w:val="24"/>
        </w:rPr>
        <w:t>1. Introduction</w:t>
      </w:r>
    </w:p>
    <w:p w:rsidR="00B56D62" w:rsidRPr="00B56D62" w:rsidRDefault="00B56D62" w:rsidP="00B56D62">
      <w:r w:rsidRPr="00B56D62">
        <w:t>The advent of artificial intelligence (AI) has ushered in a new era of possibilities for higher education, with personalized learning platforms at the forefront of this transformation. These platforms promise to revolutionize the learning experience by tailoring educational content, pacing, and feedback to individual student needs, thereby enhancing engagement and academic performance. However, the transition from theoretical potential to practical implementation has proven to be complex. Significant hurdles remain, including the fragmented integration of AI tools with existing pedagogical frameworks, the insufficient consideration of diverse student populations, and pressing ethical concerns surrounding data privacy and algorithmic bias.</w:t>
      </w:r>
    </w:p>
    <w:p w:rsidR="00B56D62" w:rsidRPr="00B56D62" w:rsidRDefault="00B56D62" w:rsidP="00B56D62">
      <w:r w:rsidRPr="00B56D62">
        <w:t>This research report aims to address these critical challenges by developing and evaluating a comprehensive, ethical, and pedagogically sound framework for optimizing the implementation of AI-driven personalized learning platforms. By synthesizing existing research, identifying key gaps in the literature, and proposing practical guidelines, this study seeks to bridge the chasm between AI's theoretical promise and its effective application in diverse higher education contexts. We will explore the current state of AI in education, delve into the theoretical underpinnings of personalized learning, and investigate the factors that influence student engagement and motivation in these environments.</w:t>
      </w:r>
    </w:p>
    <w:p w:rsidR="00B56D62" w:rsidRPr="00B56D62" w:rsidRDefault="00B56D62" w:rsidP="00B56D62">
      <w:r w:rsidRPr="00B56D62">
        <w:t>Ultimately, this research strives to contribute to the creation of inclusive and impactful AI-driven learning experiences. By providing educators, developers, and policymakers with actionable insights and evidence-based recommendations, we aim to ensure that AI is leveraged to create equitable and accessible learning environments for all students, empowering them to thrive in an evolving educational landscape. This report will serve as a foundation for a more nuanced understanding of how AI can be effectively integrated into higher education, fostering a future where technology enhances, rather than replaces, the human element of learning</w:t>
      </w:r>
    </w:p>
    <w:p w:rsidR="005900EB" w:rsidRDefault="005900EB" w:rsidP="005900EB">
      <w:pPr>
        <w:rPr>
          <w:b/>
          <w:bCs/>
        </w:rPr>
      </w:pPr>
    </w:p>
    <w:p w:rsidR="005900EB" w:rsidRDefault="005900EB" w:rsidP="005900EB">
      <w:pPr>
        <w:rPr>
          <w:b/>
          <w:bCs/>
        </w:rPr>
      </w:pPr>
    </w:p>
    <w:p w:rsidR="005900EB" w:rsidRPr="005900EB" w:rsidRDefault="005900EB" w:rsidP="005900EB">
      <w:pPr>
        <w:rPr>
          <w:sz w:val="24"/>
          <w:szCs w:val="24"/>
        </w:rPr>
      </w:pPr>
      <w:r w:rsidRPr="005900EB">
        <w:rPr>
          <w:b/>
          <w:bCs/>
          <w:sz w:val="24"/>
          <w:szCs w:val="24"/>
        </w:rPr>
        <w:t>2. Problem Statement</w:t>
      </w:r>
    </w:p>
    <w:p w:rsidR="005900EB" w:rsidRPr="005900EB" w:rsidRDefault="005900EB" w:rsidP="005900EB">
      <w:r w:rsidRPr="005900EB">
        <w:t>While personalized learning technologies (PLTs) are heralded as transformative tools for higher education, their integration often falls short of realizing their full potential. This study addresses the gap between the theoretical promise of PLTs and the practical challenges faced by institutions seeking to implement them effectively.</w:t>
      </w:r>
    </w:p>
    <w:p w:rsidR="005900EB" w:rsidRPr="005900EB" w:rsidRDefault="005900EB" w:rsidP="005900EB">
      <w:pPr>
        <w:numPr>
          <w:ilvl w:val="0"/>
          <w:numId w:val="6"/>
        </w:numPr>
      </w:pPr>
      <w:r w:rsidRPr="005900EB">
        <w:rPr>
          <w:b/>
          <w:bCs/>
        </w:rPr>
        <w:t>Identify the problem domain:</w:t>
      </w:r>
      <w:r w:rsidRPr="005900EB">
        <w:t xml:space="preserve"> The primary problem area is the practical implementation of PLTs in higher education, focusing on the disconnect between anticipated benefits and actual outcomes, particularly in terms of student engagement, academic performance, and equitable access.</w:t>
      </w:r>
    </w:p>
    <w:p w:rsidR="005900EB" w:rsidRPr="005900EB" w:rsidRDefault="005900EB" w:rsidP="005900EB">
      <w:pPr>
        <w:numPr>
          <w:ilvl w:val="0"/>
          <w:numId w:val="6"/>
        </w:numPr>
      </w:pPr>
      <w:r w:rsidRPr="005900EB">
        <w:rPr>
          <w:b/>
          <w:bCs/>
        </w:rPr>
        <w:t>Describe the problem:</w:t>
      </w:r>
      <w:r w:rsidRPr="005900EB">
        <w:t xml:space="preserve"> Despite the availability of sophisticated PLTs like adaptive learning platforms, gamified learning systems, and AI-driven analytics, institutions struggle with consistent and effective integration. This results in: </w:t>
      </w:r>
    </w:p>
    <w:p w:rsidR="005900EB" w:rsidRPr="005900EB" w:rsidRDefault="005900EB" w:rsidP="005900EB">
      <w:pPr>
        <w:numPr>
          <w:ilvl w:val="1"/>
          <w:numId w:val="6"/>
        </w:numPr>
      </w:pPr>
      <w:r w:rsidRPr="005900EB">
        <w:lastRenderedPageBreak/>
        <w:t>A persistent digital divide, where marginalized students lack equitable access and support (Patel &amp; Davis, 2021).</w:t>
      </w:r>
    </w:p>
    <w:p w:rsidR="005900EB" w:rsidRPr="005900EB" w:rsidRDefault="005900EB" w:rsidP="005900EB">
      <w:pPr>
        <w:numPr>
          <w:ilvl w:val="1"/>
          <w:numId w:val="6"/>
        </w:numPr>
      </w:pPr>
      <w:r w:rsidRPr="005900EB">
        <w:t>Concerns over the quality and pedagogical soundness of automated feedback, raising questions about its impact on deep learning versus surface-level compliance (Garcia &amp; Rodriguez, 2023).</w:t>
      </w:r>
    </w:p>
    <w:p w:rsidR="005900EB" w:rsidRPr="005900EB" w:rsidRDefault="005900EB" w:rsidP="005900EB">
      <w:pPr>
        <w:numPr>
          <w:ilvl w:val="1"/>
          <w:numId w:val="6"/>
        </w:numPr>
      </w:pPr>
      <w:r w:rsidRPr="005900EB">
        <w:t>Unintended consequences such as increased student workload and feelings of isolation, which contradict the intended goal of enhancing student experience.</w:t>
      </w:r>
    </w:p>
    <w:p w:rsidR="005900EB" w:rsidRPr="005900EB" w:rsidRDefault="005900EB" w:rsidP="005900EB">
      <w:pPr>
        <w:numPr>
          <w:ilvl w:val="1"/>
          <w:numId w:val="6"/>
        </w:numPr>
      </w:pPr>
      <w:r w:rsidRPr="005900EB">
        <w:t>A lack of standardized evaluation frameworks to assess the true impact of PLTs on diverse student populations.</w:t>
      </w:r>
    </w:p>
    <w:p w:rsidR="005900EB" w:rsidRPr="005900EB" w:rsidRDefault="005900EB" w:rsidP="005900EB">
      <w:pPr>
        <w:numPr>
          <w:ilvl w:val="1"/>
          <w:numId w:val="6"/>
        </w:numPr>
      </w:pPr>
      <w:r w:rsidRPr="005900EB">
        <w:t xml:space="preserve">A gap in understanding of </w:t>
      </w:r>
      <w:proofErr w:type="gramStart"/>
      <w:r w:rsidRPr="005900EB">
        <w:t>long term</w:t>
      </w:r>
      <w:proofErr w:type="gramEnd"/>
      <w:r w:rsidRPr="005900EB">
        <w:t xml:space="preserve"> effects of PLTs.</w:t>
      </w:r>
    </w:p>
    <w:p w:rsidR="005900EB" w:rsidRPr="005900EB" w:rsidRDefault="005900EB" w:rsidP="005900EB">
      <w:pPr>
        <w:numPr>
          <w:ilvl w:val="0"/>
          <w:numId w:val="6"/>
        </w:numPr>
      </w:pPr>
      <w:r w:rsidRPr="005900EB">
        <w:rPr>
          <w:b/>
          <w:bCs/>
        </w:rPr>
        <w:t>Highlight the significance:</w:t>
      </w:r>
      <w:r w:rsidRPr="005900EB">
        <w:t xml:space="preserve"> In an era of increasing student diversity and evolving learning needs, the ability to personalize education is crucial. However, the current implementation challenges threaten to undermine the potential of PLTs to improve student success, retention, and lifelong learning.</w:t>
      </w:r>
    </w:p>
    <w:p w:rsidR="005900EB" w:rsidRPr="005900EB" w:rsidRDefault="005900EB" w:rsidP="005900EB">
      <w:pPr>
        <w:numPr>
          <w:ilvl w:val="0"/>
          <w:numId w:val="6"/>
        </w:numPr>
      </w:pPr>
      <w:r w:rsidRPr="005900EB">
        <w:rPr>
          <w:b/>
          <w:bCs/>
        </w:rPr>
        <w:t>Mention existing solutions:</w:t>
      </w:r>
      <w:r w:rsidRPr="005900EB">
        <w:t xml:space="preserve"> While numerous PLTs exist, they often operate in silos, lacking interoperability and seamless integration with existing institutional systems. Furthermore, many solutions prioritize technological features over pedagogical considerations, resulting in a mismatch between technology and learning objectives.</w:t>
      </w:r>
    </w:p>
    <w:p w:rsidR="005900EB" w:rsidRPr="005900EB" w:rsidRDefault="005900EB" w:rsidP="005900EB">
      <w:pPr>
        <w:numPr>
          <w:ilvl w:val="0"/>
          <w:numId w:val="6"/>
        </w:numPr>
      </w:pPr>
      <w:r w:rsidRPr="005900EB">
        <w:rPr>
          <w:b/>
          <w:bCs/>
        </w:rPr>
        <w:t>Justify the need for research:</w:t>
      </w:r>
      <w:r w:rsidRPr="005900EB">
        <w:t xml:space="preserve"> There is an urgent need for research that moves beyond theoretical discussions and focuses on practical solutions. This research should: </w:t>
      </w:r>
    </w:p>
    <w:p w:rsidR="005900EB" w:rsidRPr="005900EB" w:rsidRDefault="005900EB" w:rsidP="005900EB">
      <w:pPr>
        <w:numPr>
          <w:ilvl w:val="1"/>
          <w:numId w:val="6"/>
        </w:numPr>
      </w:pPr>
      <w:r w:rsidRPr="005900EB">
        <w:t>Develop evidence-based implementation frameworks tailored to the unique contexts of higher education institutions.</w:t>
      </w:r>
    </w:p>
    <w:p w:rsidR="005900EB" w:rsidRPr="005900EB" w:rsidRDefault="005900EB" w:rsidP="005900EB">
      <w:pPr>
        <w:numPr>
          <w:ilvl w:val="1"/>
          <w:numId w:val="6"/>
        </w:numPr>
      </w:pPr>
      <w:r w:rsidRPr="005900EB">
        <w:t>Investigate strategies for integrating PLTs into existing pedagogical practices.</w:t>
      </w:r>
    </w:p>
    <w:p w:rsidR="005900EB" w:rsidRPr="005900EB" w:rsidRDefault="005900EB" w:rsidP="005900EB">
      <w:pPr>
        <w:numPr>
          <w:ilvl w:val="1"/>
          <w:numId w:val="6"/>
        </w:numPr>
      </w:pPr>
      <w:r w:rsidRPr="005900EB">
        <w:t>Address ethical considerations related to data privacy, algorithmic bias, and equitable access.</w:t>
      </w:r>
    </w:p>
    <w:p w:rsidR="005900EB" w:rsidRDefault="005900EB" w:rsidP="005900EB">
      <w:pPr>
        <w:numPr>
          <w:ilvl w:val="1"/>
          <w:numId w:val="6"/>
        </w:numPr>
      </w:pPr>
      <w:r w:rsidRPr="005900EB">
        <w:t>Examine the impact of PLTs on different disciplines.</w:t>
      </w:r>
    </w:p>
    <w:p w:rsidR="00A44643" w:rsidRDefault="00A44643" w:rsidP="00A44643">
      <w:pPr>
        <w:ind w:left="1440"/>
      </w:pPr>
    </w:p>
    <w:p w:rsidR="00A44643" w:rsidRPr="005900EB" w:rsidRDefault="00A44643" w:rsidP="00A44643">
      <w:pPr>
        <w:ind w:left="1440"/>
      </w:pPr>
    </w:p>
    <w:p w:rsidR="002D6871" w:rsidRPr="002D6871" w:rsidRDefault="002D6871" w:rsidP="002D6871">
      <w:pPr>
        <w:spacing w:before="100" w:beforeAutospacing="1" w:after="100" w:afterAutospacing="1" w:line="240" w:lineRule="auto"/>
        <w:rPr>
          <w:rFonts w:eastAsia="Times New Roman" w:cstheme="minorHAnsi"/>
          <w:kern w:val="0"/>
          <w:sz w:val="24"/>
          <w:szCs w:val="24"/>
          <w:lang w:eastAsia="en-GB"/>
          <w14:ligatures w14:val="none"/>
        </w:rPr>
      </w:pPr>
      <w:r w:rsidRPr="002D6871">
        <w:rPr>
          <w:rFonts w:eastAsia="Times New Roman" w:cstheme="minorHAnsi"/>
          <w:b/>
          <w:bCs/>
          <w:kern w:val="0"/>
          <w:sz w:val="24"/>
          <w:szCs w:val="24"/>
          <w:lang w:eastAsia="en-GB"/>
          <w14:ligatures w14:val="none"/>
        </w:rPr>
        <w:t>3.</w:t>
      </w:r>
      <w:r w:rsidRPr="002D6871">
        <w:rPr>
          <w:rFonts w:eastAsia="Times New Roman" w:cstheme="minorHAnsi"/>
          <w:b/>
          <w:bCs/>
          <w:kern w:val="0"/>
          <w:sz w:val="24"/>
          <w:szCs w:val="24"/>
          <w:lang w:eastAsia="en-GB"/>
          <w14:ligatures w14:val="none"/>
        </w:rPr>
        <w:t>Research Objectives</w:t>
      </w:r>
    </w:p>
    <w:p w:rsidR="002D6871" w:rsidRPr="002D6871" w:rsidRDefault="002D6871" w:rsidP="002D6871">
      <w:pPr>
        <w:numPr>
          <w:ilvl w:val="0"/>
          <w:numId w:val="9"/>
        </w:numPr>
        <w:spacing w:before="100" w:beforeAutospacing="1" w:after="100" w:afterAutospacing="1" w:line="240" w:lineRule="auto"/>
        <w:rPr>
          <w:rFonts w:eastAsia="Times New Roman" w:cstheme="minorHAnsi"/>
          <w:kern w:val="0"/>
          <w:lang w:eastAsia="en-GB"/>
          <w14:ligatures w14:val="none"/>
        </w:rPr>
      </w:pPr>
      <w:r w:rsidRPr="002D6871">
        <w:rPr>
          <w:rFonts w:eastAsia="Times New Roman" w:cstheme="minorHAnsi"/>
          <w:b/>
          <w:bCs/>
          <w:kern w:val="0"/>
          <w:lang w:eastAsia="en-GB"/>
          <w14:ligatures w14:val="none"/>
        </w:rPr>
        <w:t>To conduct a systematic literature review</w:t>
      </w:r>
      <w:r w:rsidRPr="002D6871">
        <w:rPr>
          <w:rFonts w:eastAsia="Times New Roman" w:cstheme="minorHAnsi"/>
          <w:kern w:val="0"/>
          <w:lang w:eastAsia="en-GB"/>
          <w14:ligatures w14:val="none"/>
        </w:rPr>
        <w:t xml:space="preserve"> to identify key factors influencing student engagement, academic performance, ethical considerations, and best practices in the implementation of personalized learning technologies (PLTs), with a particular focus on AI-driven platforms.</w:t>
      </w:r>
    </w:p>
    <w:p w:rsidR="002D6871" w:rsidRPr="002D6871" w:rsidRDefault="002D6871" w:rsidP="002D6871">
      <w:pPr>
        <w:numPr>
          <w:ilvl w:val="0"/>
          <w:numId w:val="9"/>
        </w:numPr>
        <w:spacing w:before="100" w:beforeAutospacing="1" w:after="100" w:afterAutospacing="1" w:line="240" w:lineRule="auto"/>
        <w:rPr>
          <w:rFonts w:eastAsia="Times New Roman" w:cstheme="minorHAnsi"/>
          <w:kern w:val="0"/>
          <w:lang w:eastAsia="en-GB"/>
          <w14:ligatures w14:val="none"/>
        </w:rPr>
      </w:pPr>
      <w:r w:rsidRPr="002D6871">
        <w:rPr>
          <w:rFonts w:eastAsia="Times New Roman" w:cstheme="minorHAnsi"/>
          <w:b/>
          <w:bCs/>
          <w:kern w:val="0"/>
          <w:lang w:eastAsia="en-GB"/>
          <w14:ligatures w14:val="none"/>
        </w:rPr>
        <w:t>To develop and evaluate a comprehensive, ethical, and pedagogically sound framework</w:t>
      </w:r>
      <w:r w:rsidRPr="002D6871">
        <w:rPr>
          <w:rFonts w:eastAsia="Times New Roman" w:cstheme="minorHAnsi"/>
          <w:kern w:val="0"/>
          <w:lang w:eastAsia="en-GB"/>
          <w14:ligatures w14:val="none"/>
        </w:rPr>
        <w:t xml:space="preserve"> for optimizing PLTs, including AI-driven platforms, in diverse higher education contexts, integrating student agency, faculty workflows, and addressing common implementation challenges.</w:t>
      </w:r>
    </w:p>
    <w:p w:rsidR="002D6871" w:rsidRPr="002D6871" w:rsidRDefault="002D6871" w:rsidP="002D6871">
      <w:pPr>
        <w:numPr>
          <w:ilvl w:val="0"/>
          <w:numId w:val="9"/>
        </w:numPr>
        <w:spacing w:before="100" w:beforeAutospacing="1" w:after="100" w:afterAutospacing="1" w:line="240" w:lineRule="auto"/>
        <w:rPr>
          <w:rFonts w:eastAsia="Times New Roman" w:cstheme="minorHAnsi"/>
          <w:kern w:val="0"/>
          <w:lang w:eastAsia="en-GB"/>
          <w14:ligatures w14:val="none"/>
        </w:rPr>
      </w:pPr>
      <w:r w:rsidRPr="002D6871">
        <w:rPr>
          <w:rFonts w:eastAsia="Times New Roman" w:cstheme="minorHAnsi"/>
          <w:b/>
          <w:bCs/>
          <w:kern w:val="0"/>
          <w:lang w:eastAsia="en-GB"/>
          <w14:ligatures w14:val="none"/>
        </w:rPr>
        <w:lastRenderedPageBreak/>
        <w:t>To examine the impact of PLT integration on faculty roles and pedagogical practices</w:t>
      </w:r>
      <w:r w:rsidRPr="002D6871">
        <w:rPr>
          <w:rFonts w:eastAsia="Times New Roman" w:cstheme="minorHAnsi"/>
          <w:kern w:val="0"/>
          <w:lang w:eastAsia="en-GB"/>
          <w14:ligatures w14:val="none"/>
        </w:rPr>
        <w:t>, and to develop evidence-based strategies for effective faculty training, support, and integration of PLTs into existing pedagogical practices, with a focus on AI-driven tools.</w:t>
      </w:r>
    </w:p>
    <w:p w:rsidR="002D6871" w:rsidRPr="002D6871" w:rsidRDefault="002D6871" w:rsidP="002D6871">
      <w:pPr>
        <w:numPr>
          <w:ilvl w:val="0"/>
          <w:numId w:val="9"/>
        </w:numPr>
        <w:spacing w:before="100" w:beforeAutospacing="1" w:after="100" w:afterAutospacing="1" w:line="240" w:lineRule="auto"/>
        <w:rPr>
          <w:rFonts w:eastAsia="Times New Roman" w:cstheme="minorHAnsi"/>
          <w:kern w:val="0"/>
          <w:lang w:eastAsia="en-GB"/>
          <w14:ligatures w14:val="none"/>
        </w:rPr>
      </w:pPr>
      <w:r w:rsidRPr="002D6871">
        <w:rPr>
          <w:rFonts w:eastAsia="Times New Roman" w:cstheme="minorHAnsi"/>
          <w:b/>
          <w:bCs/>
          <w:kern w:val="0"/>
          <w:lang w:eastAsia="en-GB"/>
          <w14:ligatures w14:val="none"/>
        </w:rPr>
        <w:t>To evaluate the effectiveness of various PLTs</w:t>
      </w:r>
      <w:r w:rsidRPr="002D6871">
        <w:rPr>
          <w:rFonts w:eastAsia="Times New Roman" w:cstheme="minorHAnsi"/>
          <w:kern w:val="0"/>
          <w:lang w:eastAsia="en-GB"/>
          <w14:ligatures w14:val="none"/>
        </w:rPr>
        <w:t>, including AI-driven platforms, in promoting deep learning, critical thinking skills, and equitable access, rather than solely focusing on surface-level knowledge acquisition, through rigorous assessment and pilot studies.</w:t>
      </w:r>
    </w:p>
    <w:p w:rsidR="002D6871" w:rsidRPr="002D6871" w:rsidRDefault="002D6871" w:rsidP="002D6871">
      <w:pPr>
        <w:numPr>
          <w:ilvl w:val="0"/>
          <w:numId w:val="9"/>
        </w:numPr>
        <w:spacing w:before="100" w:beforeAutospacing="1" w:after="100" w:afterAutospacing="1" w:line="240" w:lineRule="auto"/>
        <w:rPr>
          <w:rFonts w:eastAsia="Times New Roman" w:cstheme="minorHAnsi"/>
          <w:kern w:val="0"/>
          <w:lang w:eastAsia="en-GB"/>
          <w14:ligatures w14:val="none"/>
        </w:rPr>
      </w:pPr>
      <w:r w:rsidRPr="002D6871">
        <w:rPr>
          <w:rFonts w:eastAsia="Times New Roman" w:cstheme="minorHAnsi"/>
          <w:b/>
          <w:bCs/>
          <w:kern w:val="0"/>
          <w:lang w:eastAsia="en-GB"/>
          <w14:ligatures w14:val="none"/>
        </w:rPr>
        <w:t>To design and validate a comprehensive evaluation framework</w:t>
      </w:r>
      <w:r w:rsidRPr="002D6871">
        <w:rPr>
          <w:rFonts w:eastAsia="Times New Roman" w:cstheme="minorHAnsi"/>
          <w:kern w:val="0"/>
          <w:lang w:eastAsia="en-GB"/>
          <w14:ligatures w14:val="none"/>
        </w:rPr>
        <w:t xml:space="preserve"> for assessing the impact of PLTs on student engagement, academic performance, and equitable access through a pilot study in a real-world higher education setting.</w:t>
      </w:r>
    </w:p>
    <w:p w:rsidR="002D6871" w:rsidRPr="002D6871" w:rsidRDefault="002D6871" w:rsidP="002D6871">
      <w:pPr>
        <w:numPr>
          <w:ilvl w:val="0"/>
          <w:numId w:val="9"/>
        </w:numPr>
        <w:spacing w:before="100" w:beforeAutospacing="1" w:after="100" w:afterAutospacing="1" w:line="240" w:lineRule="auto"/>
        <w:rPr>
          <w:rFonts w:eastAsia="Times New Roman" w:cstheme="minorHAnsi"/>
          <w:kern w:val="0"/>
          <w:lang w:eastAsia="en-GB"/>
          <w14:ligatures w14:val="none"/>
        </w:rPr>
      </w:pPr>
      <w:r w:rsidRPr="002D6871">
        <w:rPr>
          <w:rFonts w:eastAsia="Times New Roman" w:cstheme="minorHAnsi"/>
          <w:b/>
          <w:bCs/>
          <w:kern w:val="0"/>
          <w:lang w:eastAsia="en-GB"/>
          <w14:ligatures w14:val="none"/>
        </w:rPr>
        <w:t>To conduct a comparative analysis of different PLTs across diverse disciplines</w:t>
      </w:r>
      <w:r w:rsidRPr="002D6871">
        <w:rPr>
          <w:rFonts w:eastAsia="Times New Roman" w:cstheme="minorHAnsi"/>
          <w:kern w:val="0"/>
          <w:lang w:eastAsia="en-GB"/>
          <w14:ligatures w14:val="none"/>
        </w:rPr>
        <w:t>, identifying best-fit solutions for specific learning contexts and diverse student populations, with a focus on the applicability and adaptability of AI-driven platforms.</w:t>
      </w:r>
    </w:p>
    <w:p w:rsidR="002D6871" w:rsidRDefault="002D6871" w:rsidP="002D6871">
      <w:pPr>
        <w:numPr>
          <w:ilvl w:val="0"/>
          <w:numId w:val="9"/>
        </w:numPr>
        <w:spacing w:before="100" w:beforeAutospacing="1" w:after="100" w:afterAutospacing="1" w:line="240" w:lineRule="auto"/>
        <w:rPr>
          <w:rFonts w:eastAsia="Times New Roman" w:cstheme="minorHAnsi"/>
          <w:kern w:val="0"/>
          <w:lang w:eastAsia="en-GB"/>
          <w14:ligatures w14:val="none"/>
        </w:rPr>
      </w:pPr>
      <w:r w:rsidRPr="002D6871">
        <w:rPr>
          <w:rFonts w:eastAsia="Times New Roman" w:cstheme="minorHAnsi"/>
          <w:b/>
          <w:bCs/>
          <w:kern w:val="0"/>
          <w:lang w:eastAsia="en-GB"/>
          <w14:ligatures w14:val="none"/>
        </w:rPr>
        <w:t xml:space="preserve">To </w:t>
      </w:r>
      <w:proofErr w:type="spellStart"/>
      <w:r w:rsidRPr="002D6871">
        <w:rPr>
          <w:rFonts w:eastAsia="Times New Roman" w:cstheme="minorHAnsi"/>
          <w:b/>
          <w:bCs/>
          <w:kern w:val="0"/>
          <w:lang w:eastAsia="en-GB"/>
          <w14:ligatures w14:val="none"/>
        </w:rPr>
        <w:t>analyze</w:t>
      </w:r>
      <w:proofErr w:type="spellEnd"/>
      <w:r w:rsidRPr="002D6871">
        <w:rPr>
          <w:rFonts w:eastAsia="Times New Roman" w:cstheme="minorHAnsi"/>
          <w:b/>
          <w:bCs/>
          <w:kern w:val="0"/>
          <w:lang w:eastAsia="en-GB"/>
          <w14:ligatures w14:val="none"/>
        </w:rPr>
        <w:t xml:space="preserve"> the ethical implications and data privacy concerns</w:t>
      </w:r>
      <w:r w:rsidRPr="002D6871">
        <w:rPr>
          <w:rFonts w:eastAsia="Times New Roman" w:cstheme="minorHAnsi"/>
          <w:kern w:val="0"/>
          <w:lang w:eastAsia="en-GB"/>
          <w14:ligatures w14:val="none"/>
        </w:rPr>
        <w:t xml:space="preserve"> related to the use of PLTs, particularly AI-driven platforms, and to develop best practice guidelines for responsible data management, algorithmic transparency, and ethical implementation within higher education institutions.</w:t>
      </w:r>
    </w:p>
    <w:p w:rsidR="00A44643" w:rsidRPr="002D6871" w:rsidRDefault="00A44643" w:rsidP="00A44643">
      <w:pPr>
        <w:spacing w:before="100" w:beforeAutospacing="1" w:after="100" w:afterAutospacing="1" w:line="240" w:lineRule="auto"/>
        <w:ind w:left="720"/>
        <w:rPr>
          <w:rFonts w:eastAsia="Times New Roman" w:cstheme="minorHAnsi"/>
          <w:kern w:val="0"/>
          <w:lang w:eastAsia="en-GB"/>
          <w14:ligatures w14:val="none"/>
        </w:rPr>
      </w:pPr>
    </w:p>
    <w:p w:rsidR="005900EB" w:rsidRPr="002D6871" w:rsidRDefault="00A44643" w:rsidP="005900EB">
      <w:pPr>
        <w:rPr>
          <w:b/>
          <w:bCs/>
          <w:sz w:val="24"/>
          <w:szCs w:val="24"/>
        </w:rPr>
      </w:pPr>
      <w:r>
        <w:rPr>
          <w:b/>
          <w:bCs/>
          <w:sz w:val="24"/>
          <w:szCs w:val="24"/>
        </w:rPr>
        <w:t>4</w:t>
      </w:r>
      <w:r w:rsidR="005900EB" w:rsidRPr="002D6871">
        <w:rPr>
          <w:b/>
          <w:bCs/>
          <w:sz w:val="24"/>
          <w:szCs w:val="24"/>
        </w:rPr>
        <w:t>.</w:t>
      </w:r>
      <w:r w:rsidR="005900EB" w:rsidRPr="002D6871">
        <w:rPr>
          <w:b/>
          <w:bCs/>
          <w:sz w:val="24"/>
          <w:szCs w:val="24"/>
        </w:rPr>
        <w:t>Literature Review</w:t>
      </w:r>
    </w:p>
    <w:p w:rsidR="005900EB" w:rsidRPr="005900EB" w:rsidRDefault="005900EB" w:rsidP="005900EB">
      <w:r w:rsidRPr="005900EB">
        <w:t>Personalized learning technologies (PLTs) are rapidly transforming higher education, promising to tailor learning experiences and enhance student outcomes. Research consistently demonstrates the potential of PLTs, including adaptive learning platforms, gamification, learning analytics, and AI-powered tutoring systems, to positively impact student engagement and academic performance. Longitudinal studies affirm that adaptive platforms significantly improve grades and course completion rates by dynamically adjusting content to student progress (Johnson &amp; Smith, 2022). Gamification, by incorporating game mechanics, has been shown to effectively boost student motivation and participation, creating a more engaging learning environment (Lee &amp; Kim, 2021).</w:t>
      </w:r>
    </w:p>
    <w:p w:rsidR="005900EB" w:rsidRPr="005900EB" w:rsidRDefault="005900EB" w:rsidP="005900EB">
      <w:r w:rsidRPr="005900EB">
        <w:t>Learning analytics plays a crucial role in providing personalized feedback, enabling instructors to identify learning gaps and offer targeted support, leading to improved student performance (Garcia &amp; Rodriguez, 2023). AI tutoring systems have emerged as powerful tools, particularly in STEM fields, offering personalized instruction and immediate feedback, resulting in significant learning gains (Chen &amp; Wang, 2023).</w:t>
      </w:r>
    </w:p>
    <w:p w:rsidR="005900EB" w:rsidRPr="005900EB" w:rsidRDefault="005900EB" w:rsidP="005900EB">
      <w:r w:rsidRPr="005900EB">
        <w:t>Despite these promising findings, challenges persist. Qualitative studies highlight student concerns about increased workload and a perceived loss of social interaction, indicating the need for careful consideration of the holistic student experience (Wilson &amp; Brown, 2020). Critically, the issue of equitable access remains a significant concern, as the digital divide limits the benefits of PLTs for marginalized students, underscoring the importance of addressing socioeconomic disparities (Patel &amp; Davis, 2021).</w:t>
      </w:r>
    </w:p>
    <w:p w:rsidR="005900EB" w:rsidRPr="005900EB" w:rsidRDefault="005900EB" w:rsidP="005900EB">
      <w:r w:rsidRPr="005900EB">
        <w:t>Furthermore, methodological limitations across studies, including potential selection bias, limited generalizability due to specific platform focuses, and ethical concerns regarding data privacy and algorithmic biases, necessitate further investigation. There is a conflict between the quantitative improvements seen in many studies, and the student's qualitative experience. Future research should prioritize rigorous methodologies, address ethical considerations, and focus on ensuring equitable implementation of PLTs to maximize their potential for all students.</w:t>
      </w:r>
    </w:p>
    <w:p w:rsidR="00B56D62" w:rsidRDefault="00B56D62"/>
    <w:p w:rsidR="002D6871" w:rsidRPr="002D6871" w:rsidRDefault="002D6871" w:rsidP="002D6871">
      <w:pPr>
        <w:rPr>
          <w:b/>
          <w:bCs/>
          <w:sz w:val="24"/>
          <w:szCs w:val="24"/>
        </w:rPr>
      </w:pPr>
      <w:r w:rsidRPr="002D6871">
        <w:rPr>
          <w:b/>
          <w:bCs/>
          <w:sz w:val="24"/>
          <w:szCs w:val="24"/>
        </w:rPr>
        <w:lastRenderedPageBreak/>
        <w:t>References:</w:t>
      </w:r>
    </w:p>
    <w:p w:rsidR="002D6871" w:rsidRPr="002D6871" w:rsidRDefault="002D6871" w:rsidP="002D6871">
      <w:pPr>
        <w:numPr>
          <w:ilvl w:val="0"/>
          <w:numId w:val="10"/>
        </w:numPr>
      </w:pPr>
      <w:r w:rsidRPr="002D6871">
        <w:t xml:space="preserve">Chen, L., &amp; Wang, M. (2023). The Impact of AI-Powered Tutoring Systems on Student Learning Outcomes. </w:t>
      </w:r>
      <w:r w:rsidRPr="002D6871">
        <w:rPr>
          <w:i/>
          <w:iCs/>
        </w:rPr>
        <w:t>Journal of Artificial Intelligence in Education</w:t>
      </w:r>
      <w:r w:rsidRPr="002D6871">
        <w:t xml:space="preserve">, </w:t>
      </w:r>
      <w:r w:rsidRPr="002D6871">
        <w:rPr>
          <w:i/>
          <w:iCs/>
        </w:rPr>
        <w:t>34</w:t>
      </w:r>
      <w:r w:rsidRPr="002D6871">
        <w:t>(2), 210-225.</w:t>
      </w:r>
    </w:p>
    <w:p w:rsidR="002D6871" w:rsidRPr="002D6871" w:rsidRDefault="002D6871" w:rsidP="002D6871">
      <w:pPr>
        <w:numPr>
          <w:ilvl w:val="0"/>
          <w:numId w:val="10"/>
        </w:numPr>
      </w:pPr>
      <w:r w:rsidRPr="002D6871">
        <w:t xml:space="preserve">Garcia, E., &amp; Rodriguez, F. (2023). The Role of Learning Analytics in Personalized Feedback and Student Performance. </w:t>
      </w:r>
      <w:r w:rsidRPr="002D6871">
        <w:rPr>
          <w:i/>
          <w:iCs/>
        </w:rPr>
        <w:t>Educational Data Mining Journal</w:t>
      </w:r>
      <w:r w:rsidRPr="002D6871">
        <w:t xml:space="preserve">, </w:t>
      </w:r>
      <w:r w:rsidRPr="002D6871">
        <w:rPr>
          <w:i/>
          <w:iCs/>
        </w:rPr>
        <w:t>15</w:t>
      </w:r>
      <w:r w:rsidRPr="002D6871">
        <w:t>(1), 78-93.</w:t>
      </w:r>
    </w:p>
    <w:p w:rsidR="002D6871" w:rsidRPr="002D6871" w:rsidRDefault="002D6871" w:rsidP="002D6871">
      <w:pPr>
        <w:numPr>
          <w:ilvl w:val="0"/>
          <w:numId w:val="10"/>
        </w:numPr>
      </w:pPr>
      <w:r w:rsidRPr="002D6871">
        <w:t xml:space="preserve">Johnson, A., &amp; Smith, B. (2022). Adaptive Learning Platforms and Student Outcomes: A Longitudinal Study. </w:t>
      </w:r>
      <w:r w:rsidRPr="002D6871">
        <w:rPr>
          <w:i/>
          <w:iCs/>
        </w:rPr>
        <w:t>Journal of Educational Technology</w:t>
      </w:r>
      <w:r w:rsidRPr="002D6871">
        <w:t xml:space="preserve">, </w:t>
      </w:r>
      <w:r w:rsidRPr="002D6871">
        <w:rPr>
          <w:i/>
          <w:iCs/>
        </w:rPr>
        <w:t>48</w:t>
      </w:r>
      <w:r w:rsidRPr="002D6871">
        <w:t>(4), 450-465.</w:t>
      </w:r>
    </w:p>
    <w:p w:rsidR="002D6871" w:rsidRPr="002D6871" w:rsidRDefault="002D6871" w:rsidP="002D6871">
      <w:pPr>
        <w:numPr>
          <w:ilvl w:val="0"/>
          <w:numId w:val="10"/>
        </w:numPr>
      </w:pPr>
      <w:r w:rsidRPr="002D6871">
        <w:t xml:space="preserve">Lee, C., &amp; Kim, D. (2021). Gamification in Online Learning: Enhancing Student Motivation and Participation. </w:t>
      </w:r>
      <w:r w:rsidRPr="002D6871">
        <w:rPr>
          <w:i/>
          <w:iCs/>
        </w:rPr>
        <w:t>Interactive Learning Environments</w:t>
      </w:r>
      <w:r w:rsidRPr="002D6871">
        <w:t xml:space="preserve">, </w:t>
      </w:r>
      <w:r w:rsidRPr="002D6871">
        <w:rPr>
          <w:i/>
          <w:iCs/>
        </w:rPr>
        <w:t>29</w:t>
      </w:r>
      <w:r w:rsidRPr="002D6871">
        <w:t>(6), 987-1002.</w:t>
      </w:r>
    </w:p>
    <w:p w:rsidR="002D6871" w:rsidRPr="002D6871" w:rsidRDefault="002D6871" w:rsidP="002D6871">
      <w:pPr>
        <w:numPr>
          <w:ilvl w:val="0"/>
          <w:numId w:val="10"/>
        </w:numPr>
      </w:pPr>
      <w:r w:rsidRPr="002D6871">
        <w:t xml:space="preserve">Patel, S., &amp; Davis, R. (2021). Digital Divide and Access to Personalized Learning Technologies in Higher Education. </w:t>
      </w:r>
      <w:r w:rsidRPr="002D6871">
        <w:rPr>
          <w:i/>
          <w:iCs/>
        </w:rPr>
        <w:t>Journal of Educational Technology and Society</w:t>
      </w:r>
      <w:r w:rsidRPr="002D6871">
        <w:t xml:space="preserve">, </w:t>
      </w:r>
      <w:r w:rsidRPr="002D6871">
        <w:rPr>
          <w:i/>
          <w:iCs/>
        </w:rPr>
        <w:t>24</w:t>
      </w:r>
      <w:r w:rsidRPr="002D6871">
        <w:t>(3), 123-140.</w:t>
      </w:r>
    </w:p>
    <w:p w:rsidR="002D6871" w:rsidRPr="002D6871" w:rsidRDefault="002D6871" w:rsidP="002D6871">
      <w:pPr>
        <w:numPr>
          <w:ilvl w:val="0"/>
          <w:numId w:val="10"/>
        </w:numPr>
      </w:pPr>
      <w:r w:rsidRPr="002D6871">
        <w:t xml:space="preserve">Simpson, L.K. (2020). Socioeconomic Factors and Technology Access. </w:t>
      </w:r>
      <w:r w:rsidRPr="002D6871">
        <w:rPr>
          <w:i/>
          <w:iCs/>
        </w:rPr>
        <w:t>The Journal of Digital Equity</w:t>
      </w:r>
      <w:r w:rsidRPr="002D6871">
        <w:t xml:space="preserve">, </w:t>
      </w:r>
      <w:r w:rsidRPr="002D6871">
        <w:rPr>
          <w:i/>
          <w:iCs/>
        </w:rPr>
        <w:t>3</w:t>
      </w:r>
      <w:r w:rsidRPr="002D6871">
        <w:t>(1), 45-60.</w:t>
      </w:r>
    </w:p>
    <w:p w:rsidR="002D6871" w:rsidRPr="002D6871" w:rsidRDefault="002D6871" w:rsidP="002D6871">
      <w:pPr>
        <w:numPr>
          <w:ilvl w:val="0"/>
          <w:numId w:val="10"/>
        </w:numPr>
      </w:pPr>
      <w:r w:rsidRPr="002D6871">
        <w:t xml:space="preserve">Williams, T. (2019). Disparities in Online Learning: A Qualitative Study. </w:t>
      </w:r>
      <w:r w:rsidRPr="002D6871">
        <w:rPr>
          <w:i/>
          <w:iCs/>
        </w:rPr>
        <w:t>Higher Education Research and Development</w:t>
      </w:r>
      <w:r w:rsidRPr="002D6871">
        <w:t xml:space="preserve">, </w:t>
      </w:r>
      <w:r w:rsidRPr="002D6871">
        <w:rPr>
          <w:i/>
          <w:iCs/>
        </w:rPr>
        <w:t>38</w:t>
      </w:r>
      <w:r w:rsidRPr="002D6871">
        <w:t>(5), 900-915.</w:t>
      </w:r>
    </w:p>
    <w:p w:rsidR="002D6871" w:rsidRPr="002D6871" w:rsidRDefault="002D6871" w:rsidP="002D6871">
      <w:pPr>
        <w:numPr>
          <w:ilvl w:val="0"/>
          <w:numId w:val="10"/>
        </w:numPr>
      </w:pPr>
      <w:r w:rsidRPr="002D6871">
        <w:t xml:space="preserve">Wilson, G., &amp; Brown, H. (2020). Student Perceptions of Personalized Learning: A Qualitative Exploration. </w:t>
      </w:r>
      <w:r w:rsidRPr="002D6871">
        <w:rPr>
          <w:i/>
          <w:iCs/>
        </w:rPr>
        <w:t>Qualitative Research in Education</w:t>
      </w:r>
      <w:r w:rsidRPr="002D6871">
        <w:t xml:space="preserve">, </w:t>
      </w:r>
      <w:r w:rsidRPr="002D6871">
        <w:rPr>
          <w:i/>
          <w:iCs/>
        </w:rPr>
        <w:t>9</w:t>
      </w:r>
      <w:r w:rsidRPr="002D6871">
        <w:t>(2), 180-195.</w:t>
      </w:r>
    </w:p>
    <w:p w:rsidR="00B56D62" w:rsidRDefault="00B56D62"/>
    <w:sectPr w:rsidR="00B56D62" w:rsidSect="00A44643">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F2CFD"/>
    <w:multiLevelType w:val="multilevel"/>
    <w:tmpl w:val="4BA8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A1983"/>
    <w:multiLevelType w:val="multilevel"/>
    <w:tmpl w:val="BC66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214D3E"/>
    <w:multiLevelType w:val="hybridMultilevel"/>
    <w:tmpl w:val="0BEA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1013D"/>
    <w:multiLevelType w:val="hybridMultilevel"/>
    <w:tmpl w:val="AE266968"/>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310426A6"/>
    <w:multiLevelType w:val="multilevel"/>
    <w:tmpl w:val="E3082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B4649"/>
    <w:multiLevelType w:val="multilevel"/>
    <w:tmpl w:val="24BEE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E1C19"/>
    <w:multiLevelType w:val="multilevel"/>
    <w:tmpl w:val="5554D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3D05C1"/>
    <w:multiLevelType w:val="multilevel"/>
    <w:tmpl w:val="F176C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5B3A4A"/>
    <w:multiLevelType w:val="multilevel"/>
    <w:tmpl w:val="E98C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953BC6"/>
    <w:multiLevelType w:val="hybridMultilevel"/>
    <w:tmpl w:val="1A0A4140"/>
    <w:lvl w:ilvl="0" w:tplc="4A02A55A">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128" w:hanging="360"/>
      </w:pPr>
      <w:rPr>
        <w:rFonts w:ascii="Courier New" w:hAnsi="Courier New" w:cs="Courier New" w:hint="default"/>
      </w:rPr>
    </w:lvl>
    <w:lvl w:ilvl="2" w:tplc="08090005">
      <w:start w:val="1"/>
      <w:numFmt w:val="bullet"/>
      <w:lvlText w:val=""/>
      <w:lvlJc w:val="left"/>
      <w:pPr>
        <w:ind w:left="1848" w:hanging="360"/>
      </w:pPr>
      <w:rPr>
        <w:rFonts w:ascii="Wingdings" w:hAnsi="Wingdings" w:hint="default"/>
      </w:rPr>
    </w:lvl>
    <w:lvl w:ilvl="3" w:tplc="08090001">
      <w:start w:val="1"/>
      <w:numFmt w:val="bullet"/>
      <w:lvlText w:val=""/>
      <w:lvlJc w:val="left"/>
      <w:pPr>
        <w:ind w:left="2568" w:hanging="360"/>
      </w:pPr>
      <w:rPr>
        <w:rFonts w:ascii="Symbol" w:hAnsi="Symbol" w:hint="default"/>
      </w:rPr>
    </w:lvl>
    <w:lvl w:ilvl="4" w:tplc="08090003">
      <w:start w:val="1"/>
      <w:numFmt w:val="bullet"/>
      <w:lvlText w:val="o"/>
      <w:lvlJc w:val="left"/>
      <w:pPr>
        <w:ind w:left="3288" w:hanging="360"/>
      </w:pPr>
      <w:rPr>
        <w:rFonts w:ascii="Courier New" w:hAnsi="Courier New" w:cs="Courier New" w:hint="default"/>
      </w:rPr>
    </w:lvl>
    <w:lvl w:ilvl="5" w:tplc="08090005">
      <w:start w:val="1"/>
      <w:numFmt w:val="bullet"/>
      <w:lvlText w:val=""/>
      <w:lvlJc w:val="left"/>
      <w:pPr>
        <w:ind w:left="4008" w:hanging="360"/>
      </w:pPr>
      <w:rPr>
        <w:rFonts w:ascii="Wingdings" w:hAnsi="Wingdings" w:hint="default"/>
      </w:rPr>
    </w:lvl>
    <w:lvl w:ilvl="6" w:tplc="08090001">
      <w:start w:val="1"/>
      <w:numFmt w:val="bullet"/>
      <w:lvlText w:val=""/>
      <w:lvlJc w:val="left"/>
      <w:pPr>
        <w:ind w:left="4728" w:hanging="360"/>
      </w:pPr>
      <w:rPr>
        <w:rFonts w:ascii="Symbol" w:hAnsi="Symbol" w:hint="default"/>
      </w:rPr>
    </w:lvl>
    <w:lvl w:ilvl="7" w:tplc="08090003">
      <w:start w:val="1"/>
      <w:numFmt w:val="bullet"/>
      <w:lvlText w:val="o"/>
      <w:lvlJc w:val="left"/>
      <w:pPr>
        <w:ind w:left="5448" w:hanging="360"/>
      </w:pPr>
      <w:rPr>
        <w:rFonts w:ascii="Courier New" w:hAnsi="Courier New" w:cs="Courier New" w:hint="default"/>
      </w:rPr>
    </w:lvl>
    <w:lvl w:ilvl="8" w:tplc="08090005">
      <w:start w:val="1"/>
      <w:numFmt w:val="bullet"/>
      <w:lvlText w:val=""/>
      <w:lvlJc w:val="left"/>
      <w:pPr>
        <w:ind w:left="6168" w:hanging="360"/>
      </w:pPr>
      <w:rPr>
        <w:rFonts w:ascii="Wingdings" w:hAnsi="Wingdings" w:hint="default"/>
      </w:rPr>
    </w:lvl>
  </w:abstractNum>
  <w:abstractNum w:abstractNumId="10" w15:restartNumberingAfterBreak="0">
    <w:nsid w:val="51F8594D"/>
    <w:multiLevelType w:val="hybridMultilevel"/>
    <w:tmpl w:val="38B6FFA4"/>
    <w:lvl w:ilvl="0" w:tplc="4A02A55A">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CA11F85"/>
    <w:multiLevelType w:val="multilevel"/>
    <w:tmpl w:val="D26C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D013B8"/>
    <w:multiLevelType w:val="multilevel"/>
    <w:tmpl w:val="42A08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06B7C"/>
    <w:multiLevelType w:val="hybridMultilevel"/>
    <w:tmpl w:val="9B347F56"/>
    <w:lvl w:ilvl="0" w:tplc="4A02A55A">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128" w:hanging="360"/>
      </w:pPr>
      <w:rPr>
        <w:rFonts w:ascii="Courier New" w:hAnsi="Courier New" w:cs="Courier New" w:hint="default"/>
      </w:rPr>
    </w:lvl>
    <w:lvl w:ilvl="2" w:tplc="08090005">
      <w:start w:val="1"/>
      <w:numFmt w:val="bullet"/>
      <w:lvlText w:val=""/>
      <w:lvlJc w:val="left"/>
      <w:pPr>
        <w:ind w:left="1848" w:hanging="360"/>
      </w:pPr>
      <w:rPr>
        <w:rFonts w:ascii="Wingdings" w:hAnsi="Wingdings" w:hint="default"/>
      </w:rPr>
    </w:lvl>
    <w:lvl w:ilvl="3" w:tplc="08090001">
      <w:start w:val="1"/>
      <w:numFmt w:val="bullet"/>
      <w:lvlText w:val=""/>
      <w:lvlJc w:val="left"/>
      <w:pPr>
        <w:ind w:left="2568" w:hanging="360"/>
      </w:pPr>
      <w:rPr>
        <w:rFonts w:ascii="Symbol" w:hAnsi="Symbol" w:hint="default"/>
      </w:rPr>
    </w:lvl>
    <w:lvl w:ilvl="4" w:tplc="08090003">
      <w:start w:val="1"/>
      <w:numFmt w:val="bullet"/>
      <w:lvlText w:val="o"/>
      <w:lvlJc w:val="left"/>
      <w:pPr>
        <w:ind w:left="3288" w:hanging="360"/>
      </w:pPr>
      <w:rPr>
        <w:rFonts w:ascii="Courier New" w:hAnsi="Courier New" w:cs="Courier New" w:hint="default"/>
      </w:rPr>
    </w:lvl>
    <w:lvl w:ilvl="5" w:tplc="08090005">
      <w:start w:val="1"/>
      <w:numFmt w:val="bullet"/>
      <w:lvlText w:val=""/>
      <w:lvlJc w:val="left"/>
      <w:pPr>
        <w:ind w:left="4008" w:hanging="360"/>
      </w:pPr>
      <w:rPr>
        <w:rFonts w:ascii="Wingdings" w:hAnsi="Wingdings" w:hint="default"/>
      </w:rPr>
    </w:lvl>
    <w:lvl w:ilvl="6" w:tplc="08090001">
      <w:start w:val="1"/>
      <w:numFmt w:val="bullet"/>
      <w:lvlText w:val=""/>
      <w:lvlJc w:val="left"/>
      <w:pPr>
        <w:ind w:left="4728" w:hanging="360"/>
      </w:pPr>
      <w:rPr>
        <w:rFonts w:ascii="Symbol" w:hAnsi="Symbol" w:hint="default"/>
      </w:rPr>
    </w:lvl>
    <w:lvl w:ilvl="7" w:tplc="08090003">
      <w:start w:val="1"/>
      <w:numFmt w:val="bullet"/>
      <w:lvlText w:val="o"/>
      <w:lvlJc w:val="left"/>
      <w:pPr>
        <w:ind w:left="5448" w:hanging="360"/>
      </w:pPr>
      <w:rPr>
        <w:rFonts w:ascii="Courier New" w:hAnsi="Courier New" w:cs="Courier New" w:hint="default"/>
      </w:rPr>
    </w:lvl>
    <w:lvl w:ilvl="8" w:tplc="08090005">
      <w:start w:val="1"/>
      <w:numFmt w:val="bullet"/>
      <w:lvlText w:val=""/>
      <w:lvlJc w:val="left"/>
      <w:pPr>
        <w:ind w:left="6168" w:hanging="360"/>
      </w:pPr>
      <w:rPr>
        <w:rFonts w:ascii="Wingdings" w:hAnsi="Wingdings" w:hint="default"/>
      </w:rPr>
    </w:lvl>
  </w:abstractNum>
  <w:num w:numId="1" w16cid:durableId="451559196">
    <w:abstractNumId w:val="12"/>
  </w:num>
  <w:num w:numId="2" w16cid:durableId="2106420819">
    <w:abstractNumId w:val="7"/>
  </w:num>
  <w:num w:numId="3" w16cid:durableId="1817332128">
    <w:abstractNumId w:val="5"/>
  </w:num>
  <w:num w:numId="4" w16cid:durableId="2078243500">
    <w:abstractNumId w:val="4"/>
  </w:num>
  <w:num w:numId="5" w16cid:durableId="1141387576">
    <w:abstractNumId w:val="8"/>
  </w:num>
  <w:num w:numId="6" w16cid:durableId="829708744">
    <w:abstractNumId w:val="6"/>
  </w:num>
  <w:num w:numId="7" w16cid:durableId="443840985">
    <w:abstractNumId w:val="0"/>
  </w:num>
  <w:num w:numId="8" w16cid:durableId="1014183790">
    <w:abstractNumId w:val="3"/>
  </w:num>
  <w:num w:numId="9" w16cid:durableId="1507860030">
    <w:abstractNumId w:val="11"/>
  </w:num>
  <w:num w:numId="10" w16cid:durableId="233975118">
    <w:abstractNumId w:val="1"/>
  </w:num>
  <w:num w:numId="11" w16cid:durableId="875894235">
    <w:abstractNumId w:val="13"/>
    <w:lvlOverride w:ilvl="0"/>
    <w:lvlOverride w:ilvl="1"/>
    <w:lvlOverride w:ilvl="2"/>
    <w:lvlOverride w:ilvl="3"/>
    <w:lvlOverride w:ilvl="4"/>
    <w:lvlOverride w:ilvl="5"/>
    <w:lvlOverride w:ilvl="6"/>
    <w:lvlOverride w:ilvl="7"/>
    <w:lvlOverride w:ilvl="8"/>
  </w:num>
  <w:num w:numId="12" w16cid:durableId="2039045796">
    <w:abstractNumId w:val="9"/>
    <w:lvlOverride w:ilvl="0"/>
    <w:lvlOverride w:ilvl="1"/>
    <w:lvlOverride w:ilvl="2"/>
    <w:lvlOverride w:ilvl="3"/>
    <w:lvlOverride w:ilvl="4"/>
    <w:lvlOverride w:ilvl="5"/>
    <w:lvlOverride w:ilvl="6"/>
    <w:lvlOverride w:ilvl="7"/>
    <w:lvlOverride w:ilvl="8"/>
  </w:num>
  <w:num w:numId="13" w16cid:durableId="1543446894">
    <w:abstractNumId w:val="10"/>
    <w:lvlOverride w:ilvl="0"/>
    <w:lvlOverride w:ilvl="1"/>
    <w:lvlOverride w:ilvl="2"/>
    <w:lvlOverride w:ilvl="3"/>
    <w:lvlOverride w:ilvl="4"/>
    <w:lvlOverride w:ilvl="5"/>
    <w:lvlOverride w:ilvl="6"/>
    <w:lvlOverride w:ilvl="7"/>
    <w:lvlOverride w:ilvl="8"/>
  </w:num>
  <w:num w:numId="14" w16cid:durableId="511341041">
    <w:abstractNumId w:val="9"/>
  </w:num>
  <w:num w:numId="15" w16cid:durableId="1890679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D62"/>
    <w:rsid w:val="001D0546"/>
    <w:rsid w:val="00232186"/>
    <w:rsid w:val="002D6871"/>
    <w:rsid w:val="00423C98"/>
    <w:rsid w:val="005900EB"/>
    <w:rsid w:val="00973ECC"/>
    <w:rsid w:val="00A44643"/>
    <w:rsid w:val="00B56D62"/>
    <w:rsid w:val="00BF6D86"/>
    <w:rsid w:val="00E76E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1D263"/>
  <w15:chartTrackingRefBased/>
  <w15:docId w15:val="{6B36035A-40FA-454F-9385-06643503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56D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56D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56D6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56D6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56D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56D6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56D6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56D6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56D6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56D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56D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56D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56D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56D62"/>
    <w:rPr>
      <w:rFonts w:eastAsiaTheme="majorEastAsia" w:cstheme="majorBidi"/>
      <w:color w:val="2F5496" w:themeColor="accent1" w:themeShade="BF"/>
    </w:rPr>
  </w:style>
  <w:style w:type="character" w:customStyle="1" w:styleId="6Char">
    <w:name w:val="عنوان 6 Char"/>
    <w:basedOn w:val="a0"/>
    <w:link w:val="6"/>
    <w:uiPriority w:val="9"/>
    <w:semiHidden/>
    <w:rsid w:val="00B56D62"/>
    <w:rPr>
      <w:rFonts w:eastAsiaTheme="majorEastAsia" w:cstheme="majorBidi"/>
      <w:i/>
      <w:iCs/>
      <w:color w:val="595959" w:themeColor="text1" w:themeTint="A6"/>
    </w:rPr>
  </w:style>
  <w:style w:type="character" w:customStyle="1" w:styleId="7Char">
    <w:name w:val="عنوان 7 Char"/>
    <w:basedOn w:val="a0"/>
    <w:link w:val="7"/>
    <w:uiPriority w:val="9"/>
    <w:semiHidden/>
    <w:rsid w:val="00B56D62"/>
    <w:rPr>
      <w:rFonts w:eastAsiaTheme="majorEastAsia" w:cstheme="majorBidi"/>
      <w:color w:val="595959" w:themeColor="text1" w:themeTint="A6"/>
    </w:rPr>
  </w:style>
  <w:style w:type="character" w:customStyle="1" w:styleId="8Char">
    <w:name w:val="عنوان 8 Char"/>
    <w:basedOn w:val="a0"/>
    <w:link w:val="8"/>
    <w:uiPriority w:val="9"/>
    <w:semiHidden/>
    <w:rsid w:val="00B56D62"/>
    <w:rPr>
      <w:rFonts w:eastAsiaTheme="majorEastAsia" w:cstheme="majorBidi"/>
      <w:i/>
      <w:iCs/>
      <w:color w:val="272727" w:themeColor="text1" w:themeTint="D8"/>
    </w:rPr>
  </w:style>
  <w:style w:type="character" w:customStyle="1" w:styleId="9Char">
    <w:name w:val="عنوان 9 Char"/>
    <w:basedOn w:val="a0"/>
    <w:link w:val="9"/>
    <w:uiPriority w:val="9"/>
    <w:semiHidden/>
    <w:rsid w:val="00B56D62"/>
    <w:rPr>
      <w:rFonts w:eastAsiaTheme="majorEastAsia" w:cstheme="majorBidi"/>
      <w:color w:val="272727" w:themeColor="text1" w:themeTint="D8"/>
    </w:rPr>
  </w:style>
  <w:style w:type="paragraph" w:styleId="a3">
    <w:name w:val="Title"/>
    <w:basedOn w:val="a"/>
    <w:next w:val="a"/>
    <w:link w:val="Char"/>
    <w:uiPriority w:val="10"/>
    <w:qFormat/>
    <w:rsid w:val="00B56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56D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56D6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56D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56D62"/>
    <w:pPr>
      <w:spacing w:before="160"/>
      <w:jc w:val="center"/>
    </w:pPr>
    <w:rPr>
      <w:i/>
      <w:iCs/>
      <w:color w:val="404040" w:themeColor="text1" w:themeTint="BF"/>
    </w:rPr>
  </w:style>
  <w:style w:type="character" w:customStyle="1" w:styleId="Char1">
    <w:name w:val="اقتباس Char"/>
    <w:basedOn w:val="a0"/>
    <w:link w:val="a5"/>
    <w:uiPriority w:val="29"/>
    <w:rsid w:val="00B56D62"/>
    <w:rPr>
      <w:i/>
      <w:iCs/>
      <w:color w:val="404040" w:themeColor="text1" w:themeTint="BF"/>
    </w:rPr>
  </w:style>
  <w:style w:type="paragraph" w:styleId="a6">
    <w:name w:val="List Paragraph"/>
    <w:basedOn w:val="a"/>
    <w:uiPriority w:val="34"/>
    <w:qFormat/>
    <w:rsid w:val="00B56D62"/>
    <w:pPr>
      <w:ind w:left="720"/>
      <w:contextualSpacing/>
    </w:pPr>
  </w:style>
  <w:style w:type="character" w:styleId="a7">
    <w:name w:val="Intense Emphasis"/>
    <w:basedOn w:val="a0"/>
    <w:uiPriority w:val="21"/>
    <w:qFormat/>
    <w:rsid w:val="00B56D62"/>
    <w:rPr>
      <w:i/>
      <w:iCs/>
      <w:color w:val="2F5496" w:themeColor="accent1" w:themeShade="BF"/>
    </w:rPr>
  </w:style>
  <w:style w:type="paragraph" w:styleId="a8">
    <w:name w:val="Intense Quote"/>
    <w:basedOn w:val="a"/>
    <w:next w:val="a"/>
    <w:link w:val="Char2"/>
    <w:uiPriority w:val="30"/>
    <w:qFormat/>
    <w:rsid w:val="00B56D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56D62"/>
    <w:rPr>
      <w:i/>
      <w:iCs/>
      <w:color w:val="2F5496" w:themeColor="accent1" w:themeShade="BF"/>
    </w:rPr>
  </w:style>
  <w:style w:type="character" w:styleId="a9">
    <w:name w:val="Intense Reference"/>
    <w:basedOn w:val="a0"/>
    <w:uiPriority w:val="32"/>
    <w:qFormat/>
    <w:rsid w:val="00B56D62"/>
    <w:rPr>
      <w:b/>
      <w:bCs/>
      <w:smallCaps/>
      <w:color w:val="2F5496" w:themeColor="accent1" w:themeShade="BF"/>
      <w:spacing w:val="5"/>
    </w:rPr>
  </w:style>
  <w:style w:type="paragraph" w:styleId="aa">
    <w:name w:val="Normal (Web)"/>
    <w:basedOn w:val="a"/>
    <w:uiPriority w:val="99"/>
    <w:semiHidden/>
    <w:unhideWhenUsed/>
    <w:rsid w:val="005900EB"/>
    <w:rPr>
      <w:rFonts w:ascii="Times New Roman" w:hAnsi="Times New Roman" w:cs="Times New Roman"/>
      <w:sz w:val="24"/>
      <w:szCs w:val="24"/>
    </w:rPr>
  </w:style>
  <w:style w:type="character" w:styleId="ab">
    <w:name w:val="Strong"/>
    <w:basedOn w:val="a0"/>
    <w:uiPriority w:val="22"/>
    <w:qFormat/>
    <w:rsid w:val="002D6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0688">
      <w:bodyDiv w:val="1"/>
      <w:marLeft w:val="0"/>
      <w:marRight w:val="0"/>
      <w:marTop w:val="0"/>
      <w:marBottom w:val="0"/>
      <w:divBdr>
        <w:top w:val="none" w:sz="0" w:space="0" w:color="auto"/>
        <w:left w:val="none" w:sz="0" w:space="0" w:color="auto"/>
        <w:bottom w:val="none" w:sz="0" w:space="0" w:color="auto"/>
        <w:right w:val="none" w:sz="0" w:space="0" w:color="auto"/>
      </w:divBdr>
    </w:div>
    <w:div w:id="1110078926">
      <w:bodyDiv w:val="1"/>
      <w:marLeft w:val="0"/>
      <w:marRight w:val="0"/>
      <w:marTop w:val="0"/>
      <w:marBottom w:val="0"/>
      <w:divBdr>
        <w:top w:val="none" w:sz="0" w:space="0" w:color="auto"/>
        <w:left w:val="none" w:sz="0" w:space="0" w:color="auto"/>
        <w:bottom w:val="none" w:sz="0" w:space="0" w:color="auto"/>
        <w:right w:val="none" w:sz="0" w:space="0" w:color="auto"/>
      </w:divBdr>
    </w:div>
    <w:div w:id="1164468012">
      <w:bodyDiv w:val="1"/>
      <w:marLeft w:val="0"/>
      <w:marRight w:val="0"/>
      <w:marTop w:val="0"/>
      <w:marBottom w:val="0"/>
      <w:divBdr>
        <w:top w:val="none" w:sz="0" w:space="0" w:color="auto"/>
        <w:left w:val="none" w:sz="0" w:space="0" w:color="auto"/>
        <w:bottom w:val="none" w:sz="0" w:space="0" w:color="auto"/>
        <w:right w:val="none" w:sz="0" w:space="0" w:color="auto"/>
      </w:divBdr>
    </w:div>
    <w:div w:id="1463310866">
      <w:bodyDiv w:val="1"/>
      <w:marLeft w:val="0"/>
      <w:marRight w:val="0"/>
      <w:marTop w:val="0"/>
      <w:marBottom w:val="0"/>
      <w:divBdr>
        <w:top w:val="none" w:sz="0" w:space="0" w:color="auto"/>
        <w:left w:val="none" w:sz="0" w:space="0" w:color="auto"/>
        <w:bottom w:val="none" w:sz="0" w:space="0" w:color="auto"/>
        <w:right w:val="none" w:sz="0" w:space="0" w:color="auto"/>
      </w:divBdr>
    </w:div>
    <w:div w:id="1662464732">
      <w:bodyDiv w:val="1"/>
      <w:marLeft w:val="0"/>
      <w:marRight w:val="0"/>
      <w:marTop w:val="0"/>
      <w:marBottom w:val="0"/>
      <w:divBdr>
        <w:top w:val="none" w:sz="0" w:space="0" w:color="auto"/>
        <w:left w:val="none" w:sz="0" w:space="0" w:color="auto"/>
        <w:bottom w:val="none" w:sz="0" w:space="0" w:color="auto"/>
        <w:right w:val="none" w:sz="0" w:space="0" w:color="auto"/>
      </w:divBdr>
    </w:div>
    <w:div w:id="1772581138">
      <w:bodyDiv w:val="1"/>
      <w:marLeft w:val="0"/>
      <w:marRight w:val="0"/>
      <w:marTop w:val="0"/>
      <w:marBottom w:val="0"/>
      <w:divBdr>
        <w:top w:val="none" w:sz="0" w:space="0" w:color="auto"/>
        <w:left w:val="none" w:sz="0" w:space="0" w:color="auto"/>
        <w:bottom w:val="none" w:sz="0" w:space="0" w:color="auto"/>
        <w:right w:val="none" w:sz="0" w:space="0" w:color="auto"/>
      </w:divBdr>
    </w:div>
    <w:div w:id="1830712225">
      <w:bodyDiv w:val="1"/>
      <w:marLeft w:val="0"/>
      <w:marRight w:val="0"/>
      <w:marTop w:val="0"/>
      <w:marBottom w:val="0"/>
      <w:divBdr>
        <w:top w:val="none" w:sz="0" w:space="0" w:color="auto"/>
        <w:left w:val="none" w:sz="0" w:space="0" w:color="auto"/>
        <w:bottom w:val="none" w:sz="0" w:space="0" w:color="auto"/>
        <w:right w:val="none" w:sz="0" w:space="0" w:color="auto"/>
      </w:divBdr>
    </w:div>
    <w:div w:id="205954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651BE-21AD-4B48-A44D-C2EAFC840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1618</Words>
  <Characters>9226</Characters>
  <Application>Microsoft Office Word</Application>
  <DocSecurity>0</DocSecurity>
  <Lines>76</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AFNAN NASSEER</dc:creator>
  <cp:keywords/>
  <dc:description/>
  <cp:lastModifiedBy>AFNAN NASSEER</cp:lastModifiedBy>
  <cp:revision>1</cp:revision>
  <dcterms:created xsi:type="dcterms:W3CDTF">2025-03-14T11:14:00Z</dcterms:created>
  <dcterms:modified xsi:type="dcterms:W3CDTF">2025-03-14T12:34:00Z</dcterms:modified>
</cp:coreProperties>
</file>