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B2724" w14:textId="47AA8CFC" w:rsidR="00EF73E8" w:rsidRPr="004C1AE1" w:rsidRDefault="00C91FFD" w:rsidP="00C92A71">
      <w:pPr>
        <w:pStyle w:val="NoSpacing"/>
        <w:rPr>
          <w:noProof/>
        </w:rPr>
      </w:pPr>
      <w:r>
        <w:rPr>
          <w:noProof/>
        </w:rPr>
        <w:drawing>
          <wp:anchor distT="0" distB="0" distL="114300" distR="114300" simplePos="0" relativeHeight="251638784" behindDoc="0" locked="0" layoutInCell="1" allowOverlap="1" wp14:anchorId="374F60BD" wp14:editId="39573968">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Pr>
          <w:rFonts w:ascii="Traditional Arabic" w:hAnsi="Traditional Arabic" w:cs="Traditional Arabic"/>
          <w:b/>
          <w:bCs/>
          <w:sz w:val="28"/>
          <w:szCs w:val="28"/>
        </w:rPr>
        <w:br/>
      </w:r>
      <w:r>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Pr>
          <w:rFonts w:ascii="Traditional Arabic" w:hAnsi="Traditional Arabic" w:cs="Traditional Arabic"/>
          <w:sz w:val="36"/>
          <w:szCs w:val="36"/>
        </w:rPr>
        <w:br/>
      </w:r>
      <w:r>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رسالة مقدمة 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لاستكمال متطلبات نيل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Pr>
          <w:rFonts w:ascii="Traditional Arabic" w:hAnsi="Traditional Arabic" w:cs="Traditional Arabic"/>
          <w:b/>
          <w:bCs/>
          <w:sz w:val="16"/>
          <w:szCs w:val="16"/>
          <w:rtl/>
        </w:rPr>
        <w:t>2026م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Pr>
          <w:rFonts w:ascii="Traditional Arabic" w:hAnsi="Traditional Arabic" w:cs="Traditional Arabic"/>
          <w:b/>
          <w:bCs/>
          <w:rtl/>
        </w:rPr>
        <w:t xml:space="preserve">دكتوراه في </w:t>
      </w:r>
      <w:r>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23FF52E" w14:textId="77777777" w:rsidR="00DD73BF" w:rsidRDefault="00DD73BF" w:rsidP="00953DC2">
      <w:pPr>
        <w:pStyle w:val="NormalWeb"/>
        <w:bidi/>
        <w:spacing w:before="0" w:beforeAutospacing="0" w:after="0" w:afterAutospacing="0"/>
        <w:ind w:right="-270"/>
        <w:rPr>
          <w:rFonts w:asciiTheme="majorBidi" w:hAnsiTheme="majorBidi" w:cstheme="majorBidi"/>
          <w:b/>
          <w:bCs/>
          <w:sz w:val="36"/>
          <w:szCs w:val="40"/>
          <w:rtl/>
        </w:rPr>
      </w:pPr>
    </w:p>
    <w:p w14:paraId="188E7F78" w14:textId="77777777" w:rsidR="00DD73BF" w:rsidRDefault="00DD73BF" w:rsidP="00DD73BF">
      <w:pPr>
        <w:pStyle w:val="NormalWeb"/>
        <w:bidi/>
        <w:spacing w:before="0" w:beforeAutospacing="0" w:after="0" w:afterAutospacing="0"/>
        <w:ind w:right="-270"/>
        <w:rPr>
          <w:rFonts w:asciiTheme="majorBidi" w:hAnsiTheme="majorBidi" w:cstheme="majorBidi"/>
          <w:b/>
          <w:bCs/>
          <w:sz w:val="36"/>
          <w:szCs w:val="40"/>
          <w:rtl/>
        </w:rPr>
      </w:pPr>
    </w:p>
    <w:p w14:paraId="78F2AFA5" w14:textId="1AADCC97" w:rsidR="00C051FB" w:rsidRDefault="00000989" w:rsidP="00DD73BF">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lastRenderedPageBreak/>
        <w:drawing>
          <wp:anchor distT="0" distB="0" distL="114300" distR="114300" simplePos="0" relativeHeight="251639808" behindDoc="0" locked="0" layoutInCell="1" allowOverlap="1" wp14:anchorId="4B25161C" wp14:editId="62421F00">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8"/>
          <w:szCs w:val="32"/>
        </w:rPr>
        <w:t>MIDOCEAN UNIVERSITY</w:t>
      </w:r>
      <w:r>
        <w:rPr>
          <w:rFonts w:asciiTheme="majorBidi" w:eastAsia="Times New Roman" w:hAnsiTheme="majorBidi" w:cstheme="majorBidi"/>
          <w:b/>
          <w:bCs/>
          <w:sz w:val="36"/>
          <w:szCs w:val="40"/>
        </w:rPr>
        <w:br/>
      </w:r>
      <w:r>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36"/>
          <w:szCs w:val="40"/>
        </w:rPr>
        <w:t>A SMART GOVERNANCE MODEL FOR WATER INFRASTRUCTURE ASSETS IN THE KINGDOM OF SAUDI ARABIA</w:t>
      </w:r>
      <w:r>
        <w:rPr>
          <w:rFonts w:asciiTheme="majorBidi" w:eastAsia="Times New Roman" w:hAnsiTheme="majorBidi" w:cstheme="majorBidi"/>
          <w:sz w:val="32"/>
          <w:szCs w:val="36"/>
        </w:rPr>
        <w:br/>
      </w:r>
      <w:r>
        <w:rPr>
          <w:rFonts w:asciiTheme="majorBidi" w:eastAsia="Times New Roman" w:hAnsiTheme="majorBidi" w:cstheme="majorBidi"/>
          <w:sz w:val="28"/>
          <w:szCs w:val="32"/>
        </w:rPr>
        <w:t>(</w:t>
      </w:r>
      <w:r>
        <w:rPr>
          <w:rFonts w:asciiTheme="majorBidi" w:eastAsia="Times New Roman" w:hAnsiTheme="majorBidi" w:cstheme="majorBidi"/>
          <w:sz w:val="28"/>
          <w:szCs w:val="28"/>
        </w:rPr>
        <w:t>Towards the Integration of Sustainability, Digital Transformation, and Institutional Performance Enhancement</w:t>
      </w:r>
      <w:r>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36"/>
          <w:szCs w:val="40"/>
        </w:rPr>
        <w:br/>
      </w:r>
      <w:r>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Pr>
          <w:rFonts w:asciiTheme="majorBidi" w:eastAsia="Times New Roman" w:hAnsiTheme="majorBidi" w:cstheme="majorBidi"/>
          <w:b/>
          <w:bCs/>
          <w:sz w:val="52"/>
          <w:szCs w:val="56"/>
        </w:rPr>
        <w:br/>
      </w:r>
      <w:r>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Pr>
          <w:rFonts w:asciiTheme="majorBidi" w:eastAsia="Times New Roman" w:hAnsiTheme="majorBidi" w:cstheme="majorBidi"/>
          <w:b/>
          <w:bCs/>
          <w:sz w:val="16"/>
          <w:szCs w:val="16"/>
        </w:rPr>
        <w:t>Majed Ali AlHilal</w:t>
      </w:r>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2940E87" w14:textId="77777777" w:rsidR="00DD73BF" w:rsidRDefault="00DD73BF" w:rsidP="00DD73BF">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Pr>
          <w:rFonts w:asciiTheme="majorBidi" w:hAnsiTheme="majorBidi" w:cstheme="majorBidi"/>
          <w:sz w:val="36"/>
          <w:szCs w:val="36"/>
        </w:rPr>
        <w:lastRenderedPageBreak/>
        <w:t>Abstract</w:t>
      </w:r>
    </w:p>
    <w:p w14:paraId="34D642AF"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Pr>
          <w:rFonts w:asciiTheme="majorBidi" w:hAnsiTheme="majorBidi" w:cstheme="majorBidi"/>
          <w:b/>
          <w:bCs/>
          <w:sz w:val="28"/>
          <w:szCs w:val="28"/>
        </w:rPr>
        <w:t>Keywords:</w:t>
      </w:r>
      <w:r>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63DA27A1" w14:textId="77777777" w:rsidR="00DD73BF" w:rsidRDefault="00DD73BF" w:rsidP="00DD73BF">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Pr>
          <w:rFonts w:ascii="Traditional Arabic" w:hAnsi="Traditional Arabic" w:cs="Traditional Arabic"/>
          <w:b/>
          <w:bCs/>
          <w:sz w:val="36"/>
          <w:szCs w:val="36"/>
          <w:rtl/>
        </w:rPr>
        <w:t>﴿ هُوَ أَنْشَأَكُمْ مِنَ الْأَرْضِ وَاسْتَعْمَرَكُمْ فِيهَا فَاسْتَغْفِرُوهُ ثُمَّ تُوبُوا إِلَيْهِ ۚ إِنَّ رَبِّي قَرِيبٌ مُجِيبٌ ﴾</w:t>
      </w:r>
      <w:r>
        <w:rPr>
          <w:rFonts w:ascii="Traditional Arabic" w:hAnsi="Traditional Arabic" w:cs="Traditional Arabic"/>
          <w:sz w:val="36"/>
          <w:szCs w:val="36"/>
        </w:rPr>
        <w:br/>
      </w:r>
      <w:r>
        <w:rPr>
          <w:rFonts w:hint="cs"/>
          <w:sz w:val="24"/>
          <w:szCs w:val="24"/>
          <w:rtl/>
        </w:rPr>
        <w:t>(</w:t>
      </w:r>
      <w:r>
        <w:rPr>
          <w:sz w:val="24"/>
          <w:szCs w:val="24"/>
          <w:rtl/>
        </w:rPr>
        <w:t>سورة هود، الآية 61</w:t>
      </w:r>
      <w:r>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Pr>
          <w:rFonts w:ascii="Sakkal Majalla" w:hAnsi="Sakkal Majalla" w:cs="Sakkal Majalla"/>
          <w:b/>
          <w:bCs/>
          <w:sz w:val="36"/>
          <w:szCs w:val="36"/>
          <w:rtl/>
        </w:rPr>
        <w:lastRenderedPageBreak/>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إلى أمي الحبيبة</w:t>
      </w:r>
      <w:r>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من علّمتني أن الإصرار طريق الحلم، وأن الدعاء الصادق لا يضيع أبدًا</w:t>
      </w:r>
      <w:r>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Pr>
          <w:rFonts w:ascii="Traditional Arabic" w:hAnsi="Traditional Arabic" w:cs="Traditional Arabic"/>
          <w:sz w:val="28"/>
          <w:szCs w:val="28"/>
          <w:rtl/>
        </w:rPr>
        <w:t>إليك يا من حملتِ همي قبل أن أولد، وسهرتِ من أجلي في صغري، ودعوتِ لي في كل مراحل حياتي</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كل خطوة في هذا المشوار كانت ببركة دعائك، وكل نجاح كان صدًى لصبرك وتضحيتك</w:t>
      </w:r>
      <w:r>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Pr>
          <w:rFonts w:ascii="Traditional Arabic" w:hAnsi="Traditional Arabic" w:cs="Traditional Arabic"/>
          <w:sz w:val="28"/>
          <w:szCs w:val="28"/>
          <w:rtl/>
        </w:rPr>
        <w:t>فكل حرف في هذه الرسالة، وكل جهد بُذل فيها، هو امتداد لعطائك الذي لا ينضب</w:t>
      </w:r>
      <w:r>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وإلى زوجتي الغالية</w:t>
      </w:r>
      <w:r>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Pr>
          <w:rFonts w:ascii="Traditional Arabic" w:hAnsi="Traditional Arabic" w:cs="Traditional Arabic"/>
          <w:sz w:val="28"/>
          <w:szCs w:val="28"/>
          <w:rtl/>
        </w:rPr>
        <w:t>رفيقة الدرب، وسند القلب، التي كانت معي في كل لحظة تعب وسهر وتحدٍ</w:t>
      </w:r>
      <w:r>
        <w:rPr>
          <w:rFonts w:ascii="Traditional Arabic" w:hAnsi="Traditional Arabic" w:cs="Traditional Arabic"/>
          <w:sz w:val="28"/>
          <w:szCs w:val="28"/>
        </w:rPr>
        <w:t>.</w:t>
      </w:r>
      <w:r>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ودعاءً أن يبارك الله فيكما كما باركتما في أيامي وأحلامي</w:t>
      </w:r>
      <w:r>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Pr>
          <w:rFonts w:ascii="Traditional Arabic" w:hAnsi="Traditional Arabic" w:cs="Traditional Arabic" w:hint="cs"/>
          <w:b/>
          <w:bCs/>
          <w:sz w:val="36"/>
          <w:szCs w:val="36"/>
          <w:rtl/>
        </w:rPr>
        <w:lastRenderedPageBreak/>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فلكم مني كل التقدير والعرفان، جزاء ما قدمتم من علم وصبر وتوجيه كريم</w:t>
      </w:r>
      <w:r>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أولاً، إلى أمي الغالية، نبع الحنان، ورفيقة الدعاء، ومنبع القوة في كل خطوة من حياتي</w:t>
      </w:r>
      <w:r>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هي من غرست في نفسي الإيمان، ومنحتني الصبر والثقة لأكمل الطريق مهما كانت الصعوبات</w:t>
      </w:r>
      <w:r>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Pr>
          <w:rFonts w:ascii="Traditional Arabic" w:hAnsi="Traditional Arabic" w:cs="Traditional Arabic"/>
          <w:sz w:val="28"/>
          <w:szCs w:val="28"/>
        </w:rPr>
        <w:t>.</w:t>
      </w:r>
      <w:r>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Pr>
          <w:rFonts w:ascii="Traditional Arabic" w:hAnsi="Traditional Arabic" w:cs="Traditional Arabic"/>
          <w:sz w:val="28"/>
          <w:szCs w:val="28"/>
          <w:rtl/>
        </w:rPr>
        <w:t>إلى كل من كان له أثر، بكلمة أو نصيحة أو دعاء</w:t>
      </w:r>
      <w:r>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Pr>
          <w:rFonts w:ascii="Traditional Arabic" w:hAnsi="Traditional Arabic" w:cs="Traditional Arabic"/>
          <w:sz w:val="28"/>
          <w:szCs w:val="28"/>
          <w:rtl/>
        </w:rPr>
        <w:t>أقول: شكرًا من القلب، فأنتم شركاء النجاح ورفقاء هذا الإنجاز الذي أعتز به ما حييت</w:t>
      </w:r>
      <w:r>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0389AFC0" w14:textId="77777777" w:rsidR="00DD73BF" w:rsidRDefault="00DD73BF" w:rsidP="00DD73BF">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r>
        <w:rPr>
          <w:rFonts w:ascii="Traditional Arabic" w:hAnsi="Traditional Arabic" w:cs="Traditional Arabic"/>
          <w:sz w:val="36"/>
          <w:szCs w:val="36"/>
        </w:rPr>
        <w:lastRenderedPageBreak/>
        <w:t>الملخص</w:t>
      </w:r>
    </w:p>
    <w:p w14:paraId="2924E183" w14:textId="77777777" w:rsidR="00732E2D" w:rsidRPr="002B1D5C" w:rsidRDefault="00732E2D" w:rsidP="00732E2D">
      <w:pPr>
        <w:bidi/>
        <w:jc w:val="both"/>
        <w:rPr>
          <w:rFonts w:ascii="Traditional Arabic" w:hAnsi="Traditional Arabic" w:cs="Traditional Arabic"/>
          <w:sz w:val="28"/>
          <w:szCs w:val="28"/>
          <w:rtl/>
        </w:rPr>
      </w:pPr>
      <w:r>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Default="003957AC" w:rsidP="003957AC">
      <w:pPr>
        <w:bidi/>
        <w:rPr>
          <w:sz w:val="24"/>
          <w:szCs w:val="24"/>
          <w:rtl/>
        </w:rPr>
      </w:pPr>
    </w:p>
    <w:p w14:paraId="03D4A24D" w14:textId="77777777" w:rsidR="001142D3" w:rsidRDefault="001142D3" w:rsidP="001142D3">
      <w:pPr>
        <w:bidi/>
        <w:rPr>
          <w:sz w:val="24"/>
          <w:szCs w:val="24"/>
          <w:rtl/>
        </w:rPr>
      </w:pPr>
    </w:p>
    <w:p w14:paraId="6E554773" w14:textId="77777777" w:rsidR="001142D3" w:rsidRPr="006E3F93" w:rsidRDefault="001142D3" w:rsidP="001142D3">
      <w:pPr>
        <w:bidi/>
        <w:rPr>
          <w:sz w:val="24"/>
          <w:szCs w:val="24"/>
          <w:rtl/>
        </w:rPr>
      </w:pPr>
    </w:p>
    <w:sdt>
      <w:sdtPr>
        <w:rPr>
          <w:rFonts w:asciiTheme="minorHAnsi" w:eastAsiaTheme="minorHAnsi" w:hAnsiTheme="minorHAnsi" w:cstheme="minorBidi"/>
          <w:color w:val="auto"/>
          <w:sz w:val="22"/>
          <w:szCs w:val="22"/>
          <w:rtl/>
          <w:lang w:val="ar-SA"/>
        </w:rPr>
        <w:id w:val="123668334"/>
        <w:docPartObj>
          <w:docPartGallery w:val="Table of Contents"/>
          <w:docPartUnique/>
        </w:docPartObj>
      </w:sdtPr>
      <w:sdtEndPr>
        <w:rPr>
          <w:lang w:val="en-US"/>
        </w:rPr>
      </w:sdtEndPr>
      <w:sdtContent>
        <w:p w14:paraId="5DE4ACE7" w14:textId="142FAA94" w:rsidR="00104969" w:rsidRDefault="00104969" w:rsidP="00FE662A">
          <w:pPr>
            <w:pStyle w:val="Heading1"/>
            <w:bidi/>
          </w:pPr>
          <w:r>
            <w:rPr>
              <w:lang w:val="ar-SA"/>
            </w:rPr>
            <w:t>المحتويات</w:t>
          </w:r>
        </w:p>
        <w:p w14:paraId="5D79E775" w14:textId="62CCC7FD" w:rsidR="0020169F"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8160611" w:history="1">
            <w:r>
              <w:rPr>
                <w:rStyle w:val="Hyperlink"/>
                <w:rFonts w:ascii="Traditional Arabic" w:hAnsi="Traditional Arabic" w:cs="Traditional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Toc218160611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8B1530A" w14:textId="4B33238B" w:rsidR="0020169F" w:rsidRDefault="007A1F61">
          <w:pPr>
            <w:pStyle w:val="TOC1"/>
            <w:tabs>
              <w:tab w:val="right" w:leader="dot" w:pos="9204"/>
            </w:tabs>
            <w:bidi/>
            <w:rPr>
              <w:rFonts w:eastAsiaTheme="minorEastAsia"/>
              <w:noProof/>
              <w:rtl/>
            </w:rPr>
          </w:pPr>
          <w:hyperlink w:anchor="_Toc218160612" w:history="1">
            <w:r w:rsidR="0020169F">
              <w:rPr>
                <w:rStyle w:val="Hyperlink"/>
                <w:rFonts w:ascii="Traditional Arabic" w:hAnsi="Traditional Arabic" w:cs="Traditional Arabic"/>
                <w:b/>
                <w:bCs/>
                <w:noProof/>
                <w:rtl/>
              </w:rPr>
              <w:t>مقدمة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9</w:t>
            </w:r>
            <w:r w:rsidR="0020169F">
              <w:rPr>
                <w:noProof/>
                <w:webHidden/>
                <w:rtl/>
              </w:rPr>
              <w:fldChar w:fldCharType="end"/>
            </w:r>
          </w:hyperlink>
        </w:p>
        <w:p w14:paraId="35CB70D0" w14:textId="1C52BBDC" w:rsidR="0020169F" w:rsidRDefault="007A1F61">
          <w:pPr>
            <w:pStyle w:val="TOC1"/>
            <w:tabs>
              <w:tab w:val="right" w:leader="dot" w:pos="9204"/>
            </w:tabs>
            <w:bidi/>
            <w:rPr>
              <w:rFonts w:eastAsiaTheme="minorEastAsia"/>
              <w:noProof/>
              <w:rtl/>
            </w:rPr>
          </w:pPr>
          <w:hyperlink w:anchor="_Toc218160613" w:history="1">
            <w:r w:rsidR="0020169F">
              <w:rPr>
                <w:rStyle w:val="Hyperlink"/>
                <w:rFonts w:ascii="Traditional Arabic" w:hAnsi="Traditional Arabic" w:cs="Traditional Arabic"/>
                <w:b/>
                <w:bCs/>
                <w:noProof/>
                <w:rtl/>
              </w:rPr>
              <w:t>مشكلة الدراسة وأسئلتها:</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10</w:t>
            </w:r>
            <w:r w:rsidR="0020169F">
              <w:rPr>
                <w:noProof/>
                <w:webHidden/>
                <w:rtl/>
              </w:rPr>
              <w:fldChar w:fldCharType="end"/>
            </w:r>
          </w:hyperlink>
        </w:p>
        <w:p w14:paraId="58B3AEA8" w14:textId="5AC09464" w:rsidR="0020169F" w:rsidRDefault="007A1F61">
          <w:pPr>
            <w:pStyle w:val="TOC1"/>
            <w:tabs>
              <w:tab w:val="right" w:leader="dot" w:pos="9204"/>
            </w:tabs>
            <w:bidi/>
            <w:rPr>
              <w:rFonts w:eastAsiaTheme="minorEastAsia"/>
              <w:noProof/>
              <w:rtl/>
            </w:rPr>
          </w:pPr>
          <w:hyperlink w:anchor="_Toc218160614" w:history="1">
            <w:r w:rsidR="0020169F">
              <w:rPr>
                <w:rStyle w:val="Hyperlink"/>
                <w:rFonts w:ascii="Traditional Arabic" w:hAnsi="Traditional Arabic" w:cs="Traditional Arabic"/>
                <w:b/>
                <w:bCs/>
                <w:noProof/>
                <w:rtl/>
              </w:rPr>
              <w:t>أسئلة الدراسة</w:t>
            </w:r>
            <w:r w:rsidR="0020169F">
              <w:rPr>
                <w:rStyle w:val="Hyperlink"/>
                <w:rFonts w:ascii="Traditional Arabic" w:hAnsi="Traditional Arabic" w:cs="Traditional Arabic"/>
                <w:b/>
                <w:bCs/>
                <w:noProof/>
              </w:rPr>
              <w:t>:</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00404DBC" w14:textId="1F648F47" w:rsidR="0020169F" w:rsidRDefault="007A1F61">
          <w:pPr>
            <w:pStyle w:val="TOC2"/>
            <w:tabs>
              <w:tab w:val="right" w:leader="dot" w:pos="9204"/>
            </w:tabs>
            <w:bidi/>
            <w:rPr>
              <w:rFonts w:eastAsiaTheme="minorEastAsia"/>
              <w:noProof/>
              <w:rtl/>
            </w:rPr>
          </w:pPr>
          <w:hyperlink w:anchor="_Toc218160615" w:history="1">
            <w:r w:rsidR="0020169F">
              <w:rPr>
                <w:rStyle w:val="Hyperlink"/>
                <w:rFonts w:ascii="Traditional Arabic" w:hAnsi="Traditional Arabic" w:cs="Traditional Arabic"/>
                <w:b/>
                <w:bCs/>
                <w:noProof/>
                <w:rtl/>
              </w:rPr>
              <w:t>أهمية الدراسة (النظرية والتطبيقية)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11</w:t>
            </w:r>
            <w:r w:rsidR="0020169F">
              <w:rPr>
                <w:noProof/>
                <w:webHidden/>
                <w:rtl/>
              </w:rPr>
              <w:fldChar w:fldCharType="end"/>
            </w:r>
          </w:hyperlink>
        </w:p>
        <w:p w14:paraId="3DF2CB96" w14:textId="361EE0B5" w:rsidR="0020169F" w:rsidRDefault="007A1F61">
          <w:pPr>
            <w:pStyle w:val="TOC2"/>
            <w:tabs>
              <w:tab w:val="right" w:leader="dot" w:pos="9204"/>
            </w:tabs>
            <w:bidi/>
            <w:rPr>
              <w:rFonts w:eastAsiaTheme="minorEastAsia"/>
              <w:noProof/>
              <w:rtl/>
            </w:rPr>
          </w:pPr>
          <w:hyperlink w:anchor="_Toc218160616" w:history="1">
            <w:r w:rsidR="0020169F">
              <w:rPr>
                <w:rStyle w:val="Hyperlink"/>
                <w:rFonts w:ascii="Traditional Arabic" w:eastAsia="Times New Roman" w:hAnsi="Traditional Arabic" w:cs="Traditional Arabic"/>
                <w:b/>
                <w:bCs/>
                <w:noProof/>
                <w:rtl/>
              </w:rPr>
              <w:t>أولًا: الأهمية النظرية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26790C5E" w14:textId="5ABC2923" w:rsidR="0020169F" w:rsidRDefault="007A1F61">
          <w:pPr>
            <w:pStyle w:val="TOC2"/>
            <w:tabs>
              <w:tab w:val="right" w:leader="dot" w:pos="9204"/>
            </w:tabs>
            <w:bidi/>
            <w:rPr>
              <w:rFonts w:eastAsiaTheme="minorEastAsia"/>
              <w:noProof/>
              <w:rtl/>
            </w:rPr>
          </w:pPr>
          <w:hyperlink w:anchor="_Toc218160617" w:history="1">
            <w:r w:rsidR="0020169F">
              <w:rPr>
                <w:rStyle w:val="Hyperlink"/>
                <w:rFonts w:ascii="Traditional Arabic" w:eastAsia="Times New Roman" w:hAnsi="Traditional Arabic" w:cs="Traditional Arabic"/>
                <w:b/>
                <w:bCs/>
                <w:noProof/>
                <w:rtl/>
              </w:rPr>
              <w:t>ثانيًا: الأهمية التطبيقية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12</w:t>
            </w:r>
            <w:r w:rsidR="0020169F">
              <w:rPr>
                <w:noProof/>
                <w:webHidden/>
                <w:rtl/>
              </w:rPr>
              <w:fldChar w:fldCharType="end"/>
            </w:r>
          </w:hyperlink>
        </w:p>
        <w:p w14:paraId="0CDC2FF8" w14:textId="7F9AD34A" w:rsidR="0020169F" w:rsidRDefault="007A1F61">
          <w:pPr>
            <w:pStyle w:val="TOC2"/>
            <w:tabs>
              <w:tab w:val="right" w:leader="dot" w:pos="9204"/>
            </w:tabs>
            <w:bidi/>
            <w:rPr>
              <w:rFonts w:eastAsiaTheme="minorEastAsia"/>
              <w:noProof/>
              <w:rtl/>
            </w:rPr>
          </w:pPr>
          <w:hyperlink w:anchor="_Toc218160618" w:history="1">
            <w:r w:rsidR="0020169F">
              <w:rPr>
                <w:rStyle w:val="Hyperlink"/>
                <w:rFonts w:ascii="Traditional Arabic" w:eastAsia="Times New Roman" w:hAnsi="Traditional Arabic" w:cs="Traditional Arabic"/>
                <w:b/>
                <w:bCs/>
                <w:noProof/>
                <w:rtl/>
              </w:rPr>
              <w:t>القيمة المضافة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7628EAF2" w14:textId="28099962" w:rsidR="0020169F" w:rsidRDefault="007A1F61">
          <w:pPr>
            <w:pStyle w:val="TOC2"/>
            <w:tabs>
              <w:tab w:val="right" w:leader="dot" w:pos="9204"/>
            </w:tabs>
            <w:bidi/>
            <w:rPr>
              <w:rFonts w:eastAsiaTheme="minorEastAsia"/>
              <w:noProof/>
              <w:rtl/>
            </w:rPr>
          </w:pPr>
          <w:hyperlink w:anchor="_Toc218160619" w:history="1">
            <w:r w:rsidR="0020169F">
              <w:rPr>
                <w:rStyle w:val="Hyperlink"/>
                <w:rFonts w:ascii="Traditional Arabic" w:eastAsia="Times New Roman" w:hAnsi="Traditional Arabic" w:cs="Traditional Arabic"/>
                <w:b/>
                <w:bCs/>
                <w:noProof/>
                <w:rtl/>
              </w:rPr>
              <w:t>أهداف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Toc218160619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1ACA4C6A" w14:textId="78AB7B4F" w:rsidR="0020169F" w:rsidRDefault="007A1F61">
          <w:pPr>
            <w:pStyle w:val="TOC2"/>
            <w:tabs>
              <w:tab w:val="right" w:leader="dot" w:pos="9204"/>
            </w:tabs>
            <w:bidi/>
            <w:rPr>
              <w:rFonts w:eastAsiaTheme="minorEastAsia"/>
              <w:noProof/>
              <w:rtl/>
            </w:rPr>
          </w:pPr>
          <w:hyperlink w:anchor="_Toc218160620" w:history="1">
            <w:r w:rsidR="0020169F">
              <w:rPr>
                <w:rStyle w:val="Hyperlink"/>
                <w:rFonts w:ascii="Traditional Arabic" w:hAnsi="Traditional Arabic" w:cs="Traditional Arabic"/>
                <w:b/>
                <w:bCs/>
                <w:noProof/>
                <w:rtl/>
              </w:rPr>
              <w:t>الدراسات السابقة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13</w:t>
            </w:r>
            <w:r w:rsidR="0020169F">
              <w:rPr>
                <w:noProof/>
                <w:webHidden/>
                <w:rtl/>
              </w:rPr>
              <w:fldChar w:fldCharType="end"/>
            </w:r>
          </w:hyperlink>
        </w:p>
        <w:p w14:paraId="5DE233C8" w14:textId="447CE94B" w:rsidR="0020169F" w:rsidRDefault="007A1F61">
          <w:pPr>
            <w:pStyle w:val="TOC1"/>
            <w:tabs>
              <w:tab w:val="right" w:leader="dot" w:pos="9204"/>
            </w:tabs>
            <w:bidi/>
            <w:rPr>
              <w:rFonts w:eastAsiaTheme="minorEastAsia"/>
              <w:noProof/>
              <w:rtl/>
            </w:rPr>
          </w:pPr>
          <w:hyperlink w:anchor="_Toc218160621" w:history="1">
            <w:r w:rsidR="0020169F">
              <w:rPr>
                <w:rStyle w:val="Hyperlink"/>
                <w:rFonts w:ascii="Traditional Arabic" w:hAnsi="Traditional Arabic" w:cs="Traditional Arabic"/>
                <w:b/>
                <w:bCs/>
                <w:noProof/>
                <w:rtl/>
              </w:rPr>
              <w:t>نموذج الدراسة (النموذج المفاهيمي والعلاقات بين المتغيرات)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18</w:t>
            </w:r>
            <w:r w:rsidR="0020169F">
              <w:rPr>
                <w:noProof/>
                <w:webHidden/>
                <w:rtl/>
              </w:rPr>
              <w:fldChar w:fldCharType="end"/>
            </w:r>
          </w:hyperlink>
        </w:p>
        <w:p w14:paraId="49E95F1D" w14:textId="134F51B3" w:rsidR="0020169F" w:rsidRDefault="007A1F61">
          <w:pPr>
            <w:pStyle w:val="TOC2"/>
            <w:tabs>
              <w:tab w:val="right" w:leader="dot" w:pos="9204"/>
            </w:tabs>
            <w:bidi/>
            <w:rPr>
              <w:rFonts w:eastAsiaTheme="minorEastAsia"/>
              <w:noProof/>
              <w:rtl/>
            </w:rPr>
          </w:pPr>
          <w:hyperlink w:anchor="_Toc218160622" w:history="1">
            <w:r w:rsidR="0020169F">
              <w:rPr>
                <w:rStyle w:val="Hyperlink"/>
                <w:rFonts w:ascii="Traditional Arabic" w:eastAsia="Times New Roman" w:hAnsi="Traditional Arabic" w:cs="Traditional Arabic"/>
                <w:b/>
                <w:bCs/>
                <w:noProof/>
                <w:rtl/>
              </w:rPr>
              <w:t>وصف النموذج المفاهيمي للدراسة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Toc218160622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20</w:t>
            </w:r>
            <w:r w:rsidR="0020169F">
              <w:rPr>
                <w:noProof/>
                <w:webHidden/>
                <w:rtl/>
              </w:rPr>
              <w:fldChar w:fldCharType="end"/>
            </w:r>
          </w:hyperlink>
        </w:p>
        <w:p w14:paraId="18F2C51D" w14:textId="54CF1319" w:rsidR="0020169F" w:rsidRDefault="007A1F61">
          <w:pPr>
            <w:pStyle w:val="TOC2"/>
            <w:tabs>
              <w:tab w:val="right" w:leader="dot" w:pos="9204"/>
            </w:tabs>
            <w:bidi/>
            <w:rPr>
              <w:rFonts w:eastAsiaTheme="minorEastAsia"/>
              <w:noProof/>
              <w:rtl/>
            </w:rPr>
          </w:pPr>
          <w:hyperlink w:anchor="_Toc218160623" w:history="1">
            <w:r w:rsidR="0020169F">
              <w:rPr>
                <w:rStyle w:val="Hyperlink"/>
                <w:rFonts w:ascii="Traditional Arabic" w:eastAsia="Times New Roman" w:hAnsi="Traditional Arabic" w:cs="Traditional Arabic"/>
                <w:b/>
                <w:bCs/>
                <w:noProof/>
                <w:rtl/>
              </w:rPr>
              <w:t>فروض الدراسة</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Toc218160623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21</w:t>
            </w:r>
            <w:r w:rsidR="0020169F">
              <w:rPr>
                <w:noProof/>
                <w:webHidden/>
                <w:rtl/>
              </w:rPr>
              <w:fldChar w:fldCharType="end"/>
            </w:r>
          </w:hyperlink>
        </w:p>
        <w:p w14:paraId="34809A64" w14:textId="362413D6" w:rsidR="0020169F" w:rsidRDefault="007A1F61">
          <w:pPr>
            <w:pStyle w:val="TOC2"/>
            <w:tabs>
              <w:tab w:val="right" w:leader="dot" w:pos="9204"/>
            </w:tabs>
            <w:bidi/>
            <w:rPr>
              <w:rFonts w:eastAsiaTheme="minorEastAsia"/>
              <w:noProof/>
              <w:rtl/>
            </w:rPr>
          </w:pPr>
          <w:hyperlink w:anchor="_Toc218160624" w:history="1">
            <w:r w:rsidR="0020169F">
              <w:rPr>
                <w:rStyle w:val="Hyperlink"/>
                <w:rFonts w:ascii="Traditional Arabic" w:eastAsia="Times New Roman" w:hAnsi="Traditional Arabic" w:cs="Traditional Arabic"/>
                <w:b/>
                <w:bCs/>
                <w:noProof/>
                <w:rtl/>
              </w:rPr>
              <w:t>نوع الدراسة وطرق الحصول على البيانات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Toc218160624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22</w:t>
            </w:r>
            <w:r w:rsidR="0020169F">
              <w:rPr>
                <w:noProof/>
                <w:webHidden/>
                <w:rtl/>
              </w:rPr>
              <w:fldChar w:fldCharType="end"/>
            </w:r>
          </w:hyperlink>
        </w:p>
        <w:p w14:paraId="44AFB24A" w14:textId="1542CFA7" w:rsidR="0020169F" w:rsidRDefault="007A1F61">
          <w:pPr>
            <w:pStyle w:val="TOC1"/>
            <w:tabs>
              <w:tab w:val="right" w:leader="dot" w:pos="9204"/>
            </w:tabs>
            <w:bidi/>
            <w:rPr>
              <w:rFonts w:eastAsiaTheme="minorEastAsia"/>
              <w:noProof/>
              <w:rtl/>
            </w:rPr>
          </w:pPr>
          <w:hyperlink w:anchor="_Toc218160625" w:history="1">
            <w:r w:rsidR="0020169F">
              <w:rPr>
                <w:rStyle w:val="Hyperlink"/>
                <w:rFonts w:ascii="Traditional Arabic" w:eastAsia="Times New Roman" w:hAnsi="Traditional Arabic" w:cs="Traditional Arabic"/>
                <w:b/>
                <w:bCs/>
                <w:noProof/>
                <w:rtl/>
              </w:rPr>
              <w:t>الفصل الثاني</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Toc218160625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357910F" w14:textId="770DC56B" w:rsidR="0020169F" w:rsidRDefault="007A1F61">
          <w:pPr>
            <w:pStyle w:val="TOC1"/>
            <w:tabs>
              <w:tab w:val="right" w:leader="dot" w:pos="9204"/>
            </w:tabs>
            <w:bidi/>
            <w:rPr>
              <w:rFonts w:eastAsiaTheme="minorEastAsia"/>
              <w:noProof/>
              <w:rtl/>
            </w:rPr>
          </w:pPr>
          <w:hyperlink w:anchor="_Toc218160626" w:history="1">
            <w:r w:rsidR="0020169F">
              <w:rPr>
                <w:rStyle w:val="Hyperlink"/>
                <w:rFonts w:ascii="Traditional Arabic" w:eastAsia="Times New Roman" w:hAnsi="Traditional Arabic" w:cs="Traditional Arabic"/>
                <w:b/>
                <w:bCs/>
                <w:noProof/>
                <w:rtl/>
              </w:rPr>
              <w:t>الفصل الثالث</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Toc218160626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7164AD8F" w14:textId="38B2B61E" w:rsidR="0020169F" w:rsidRDefault="007A1F61">
          <w:pPr>
            <w:pStyle w:val="TOC1"/>
            <w:tabs>
              <w:tab w:val="right" w:leader="dot" w:pos="9204"/>
            </w:tabs>
            <w:bidi/>
            <w:rPr>
              <w:rFonts w:eastAsiaTheme="minorEastAsia"/>
              <w:noProof/>
              <w:rtl/>
            </w:rPr>
          </w:pPr>
          <w:hyperlink w:anchor="_Toc218160627" w:history="1">
            <w:r w:rsidR="0020169F">
              <w:rPr>
                <w:rStyle w:val="Hyperlink"/>
                <w:rFonts w:ascii="Traditional Arabic" w:eastAsia="Times New Roman" w:hAnsi="Traditional Arabic" w:cs="Traditional Arabic"/>
                <w:b/>
                <w:bCs/>
                <w:noProof/>
                <w:rtl/>
              </w:rPr>
              <w:t>الفصل الرابع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Toc218160627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3E63413C" w14:textId="046300F7" w:rsidR="0020169F" w:rsidRDefault="007A1F61">
          <w:pPr>
            <w:pStyle w:val="TOC1"/>
            <w:tabs>
              <w:tab w:val="right" w:leader="dot" w:pos="9204"/>
            </w:tabs>
            <w:bidi/>
            <w:rPr>
              <w:rFonts w:eastAsiaTheme="minorEastAsia"/>
              <w:noProof/>
              <w:rtl/>
            </w:rPr>
          </w:pPr>
          <w:hyperlink w:anchor="_Toc218160628" w:history="1">
            <w:r w:rsidR="0020169F">
              <w:rPr>
                <w:rStyle w:val="Hyperlink"/>
                <w:rFonts w:ascii="Traditional Arabic" w:eastAsia="Times New Roman" w:hAnsi="Traditional Arabic" w:cs="Traditional Arabic"/>
                <w:b/>
                <w:bCs/>
                <w:noProof/>
                <w:rtl/>
              </w:rPr>
              <w:t>الفصل الخامس</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Toc218160628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00CA5F10" w14:textId="616317CC" w:rsidR="0020169F" w:rsidRDefault="007A1F61">
          <w:pPr>
            <w:pStyle w:val="TOC1"/>
            <w:tabs>
              <w:tab w:val="right" w:leader="dot" w:pos="9204"/>
            </w:tabs>
            <w:bidi/>
            <w:rPr>
              <w:rFonts w:eastAsiaTheme="minorEastAsia"/>
              <w:noProof/>
              <w:rtl/>
            </w:rPr>
          </w:pPr>
          <w:hyperlink w:anchor="_Toc218160629" w:history="1">
            <w:r w:rsidR="0020169F">
              <w:rPr>
                <w:rStyle w:val="Hyperlink"/>
                <w:rFonts w:ascii="Traditional Arabic" w:eastAsia="Times New Roman" w:hAnsi="Traditional Arabic" w:cs="Traditional Arabic"/>
                <w:b/>
                <w:bCs/>
                <w:noProof/>
                <w:rtl/>
              </w:rPr>
              <w:t>المستخلص والتوصيات</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Toc218160629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6EAD8821" w14:textId="166C5916" w:rsidR="0020169F" w:rsidRDefault="007A1F61">
          <w:pPr>
            <w:pStyle w:val="TOC1"/>
            <w:tabs>
              <w:tab w:val="right" w:leader="dot" w:pos="9204"/>
            </w:tabs>
            <w:bidi/>
            <w:rPr>
              <w:rFonts w:eastAsiaTheme="minorEastAsia"/>
              <w:noProof/>
              <w:rtl/>
            </w:rPr>
          </w:pPr>
          <w:hyperlink w:anchor="_Toc218160630" w:history="1">
            <w:r w:rsidR="0020169F">
              <w:rPr>
                <w:rStyle w:val="Hyperlink"/>
                <w:rFonts w:ascii="Traditional Arabic" w:eastAsia="Times New Roman" w:hAnsi="Traditional Arabic" w:cs="Traditional Arabic"/>
                <w:b/>
                <w:bCs/>
                <w:noProof/>
                <w:rtl/>
              </w:rPr>
              <w:t>قائمة المراجع</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Toc218160630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124C5759" w14:textId="46A4F29D" w:rsidR="0020169F" w:rsidRDefault="007A1F61">
          <w:pPr>
            <w:pStyle w:val="TOC1"/>
            <w:tabs>
              <w:tab w:val="right" w:leader="dot" w:pos="9204"/>
            </w:tabs>
            <w:bidi/>
            <w:rPr>
              <w:rFonts w:eastAsiaTheme="minorEastAsia"/>
              <w:noProof/>
              <w:rtl/>
            </w:rPr>
          </w:pPr>
          <w:hyperlink w:anchor="_Toc218160631" w:history="1">
            <w:r w:rsidR="0020169F">
              <w:rPr>
                <w:rStyle w:val="Hyperlink"/>
                <w:rFonts w:ascii="Traditional Arabic" w:eastAsia="Times New Roman" w:hAnsi="Traditional Arabic" w:cs="Traditional Arabic"/>
                <w:b/>
                <w:bCs/>
                <w:noProof/>
                <w:rtl/>
              </w:rPr>
              <w:t>قائمة الملاحق</w:t>
            </w:r>
            <w:r w:rsidR="0020169F">
              <w:rPr>
                <w:noProof/>
                <w:webHidden/>
                <w:rtl/>
              </w:rPr>
              <w:tab/>
            </w:r>
            <w:r w:rsidR="0020169F">
              <w:rPr>
                <w:noProof/>
                <w:webHidden/>
                <w:rtl/>
              </w:rPr>
              <w:fldChar w:fldCharType="begin"/>
            </w:r>
            <w:r w:rsidR="0020169F">
              <w:rPr>
                <w:noProof/>
                <w:webHidden/>
                <w:rtl/>
              </w:rPr>
              <w:instrText xml:space="preserve"> </w:instrText>
            </w:r>
            <w:r w:rsidR="0020169F">
              <w:rPr>
                <w:noProof/>
                <w:webHidden/>
              </w:rPr>
              <w:instrText>PAGEREF</w:instrText>
            </w:r>
            <w:r w:rsidR="0020169F">
              <w:rPr>
                <w:noProof/>
                <w:webHidden/>
                <w:rtl/>
              </w:rPr>
              <w:instrText xml:space="preserve"> _</w:instrText>
            </w:r>
            <w:r w:rsidR="0020169F">
              <w:rPr>
                <w:noProof/>
                <w:webHidden/>
              </w:rPr>
              <w:instrText>Toc218160631 \h</w:instrText>
            </w:r>
            <w:r w:rsidR="0020169F">
              <w:rPr>
                <w:noProof/>
                <w:webHidden/>
                <w:rtl/>
              </w:rPr>
              <w:instrText xml:space="preserve"> </w:instrText>
            </w:r>
            <w:r w:rsidR="0020169F">
              <w:rPr>
                <w:noProof/>
                <w:webHidden/>
                <w:rtl/>
              </w:rPr>
            </w:r>
            <w:r w:rsidR="0020169F">
              <w:rPr>
                <w:noProof/>
                <w:webHidden/>
                <w:rtl/>
              </w:rPr>
              <w:fldChar w:fldCharType="separate"/>
            </w:r>
            <w:r w:rsidR="0020169F">
              <w:rPr>
                <w:noProof/>
                <w:webHidden/>
                <w:rtl/>
              </w:rPr>
              <w:t>24</w:t>
            </w:r>
            <w:r w:rsidR="0020169F">
              <w:rPr>
                <w:noProof/>
                <w:webHidden/>
                <w:rtl/>
              </w:rPr>
              <w:fldChar w:fldCharType="end"/>
            </w:r>
          </w:hyperlink>
        </w:p>
        <w:p w14:paraId="28CA122E" w14:textId="524C8AE9"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0" w:name="_Toc218160611"/>
      <w:r>
        <w:rPr>
          <w:rFonts w:ascii="Traditional Arabic" w:hAnsi="Traditional Arabic" w:cs="Traditional Arabic"/>
          <w:b/>
          <w:bCs/>
          <w:sz w:val="36"/>
          <w:szCs w:val="36"/>
          <w:rtl/>
        </w:rPr>
        <w:lastRenderedPageBreak/>
        <w:t>الفصل الأول: الإطار العام للدراسة</w:t>
      </w:r>
      <w:bookmarkEnd w:id="0"/>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1" w:name="_Toc218160612"/>
      <w:r>
        <w:rPr>
          <w:rFonts w:ascii="Traditional Arabic" w:hAnsi="Traditional Arabic" w:cs="Traditional Arabic"/>
          <w:b/>
          <w:bCs/>
          <w:sz w:val="36"/>
          <w:szCs w:val="36"/>
          <w:rtl/>
        </w:rPr>
        <w:t>مقدمة الدراسة:</w:t>
      </w:r>
      <w:bookmarkEnd w:id="1"/>
    </w:p>
    <w:p w14:paraId="1A9314C6" w14:textId="2768A9F3" w:rsidR="00555593" w:rsidRDefault="00555593" w:rsidP="005555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(Aiyetan, 2025; Zywiec et al., 2024)</w:t>
      </w:r>
    </w:p>
    <w:p w14:paraId="0DE5DCAA" w14:textId="7BB99B98" w:rsidR="00621286" w:rsidRPr="00621286" w:rsidRDefault="00621286" w:rsidP="00555593">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(MEWA, 2023)</w:t>
      </w:r>
      <w:r>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Pr>
          <w:rFonts w:ascii="Traditional Arabic" w:eastAsia="Times New Roman" w:hAnsi="Traditional Arabic" w:cs="Traditional Arabic"/>
          <w:color w:val="000000" w:themeColor="text1"/>
          <w:sz w:val="28"/>
          <w:szCs w:val="28"/>
        </w:rPr>
        <w:t xml:space="preserve"> (ISO 55000, 2021) </w:t>
      </w:r>
      <w:r>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Pr>
          <w:rFonts w:ascii="Traditional Arabic" w:eastAsia="Times New Roman" w:hAnsi="Traditional Arabic" w:cs="Traditional Arabic"/>
          <w:color w:val="000000" w:themeColor="text1"/>
          <w:sz w:val="28"/>
          <w:szCs w:val="28"/>
        </w:rPr>
        <w:t>.</w:t>
      </w:r>
    </w:p>
    <w:p w14:paraId="748124E3" w14:textId="7A09BCE0"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بما في ذلك العدادات الذكية، وأنظمة التحكم</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SCADA</w:t>
      </w:r>
      <w:r>
        <w:rPr>
          <w:rFonts w:ascii="Traditional Arabic" w:eastAsia="Times New Roman" w:hAnsi="Traditional Arabic" w:cs="Traditional Arabic"/>
          <w:color w:val="000000" w:themeColor="text1"/>
          <w:sz w:val="28"/>
          <w:szCs w:val="28"/>
          <w:rtl/>
        </w:rPr>
        <w:t>، والمراقبة الحية للتشغيل</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العديد من المبادرات الرقمية قد تُنفّذ بصورة تقنية جزئية ما لم تُدمج ضمن إطار حوكمة مؤسسي واضح يضمن مواءمتها مع الاستراتيجية العامة وتحقيق قيمة مستدامة. وتشير الأدبيات إلى أن التحول الرقمي لا يحقق كامل أثره المؤسسي إلا عندما يُدار ضمن نموذج حوكمة يدعم اتخاذ القرار القائم على البيانات ويعزز الشفافية والمساءلة</w:t>
      </w:r>
      <w:r>
        <w:rPr>
          <w:rFonts w:ascii="Traditional Arabic" w:eastAsia="Times New Roman" w:hAnsi="Traditional Arabic" w:cs="Traditional Arabic"/>
          <w:color w:val="000000" w:themeColor="text1"/>
          <w:sz w:val="28"/>
          <w:szCs w:val="28"/>
        </w:rPr>
        <w:t xml:space="preserve"> (Vial, 2019; Verhoef et al., 2021; Janssen et al., 2017).</w:t>
      </w:r>
    </w:p>
    <w:p w14:paraId="40502D5C" w14:textId="340665EE" w:rsidR="00227FF9" w:rsidRPr="004A0B64" w:rsidRDefault="00621286"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2" w:name="_Toc218160613"/>
      <w:r>
        <w:rPr>
          <w:rFonts w:ascii="Traditional Arabic" w:hAnsi="Traditional Arabic" w:cs="Traditional Arabic"/>
          <w:b/>
          <w:bCs/>
          <w:sz w:val="36"/>
          <w:szCs w:val="36"/>
          <w:rtl/>
        </w:rPr>
        <w:lastRenderedPageBreak/>
        <w:t>مشكلة الدراسة وأسئلتها:</w:t>
      </w:r>
      <w:bookmarkEnd w:id="2"/>
      <w:r>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4124228C" w14:textId="77777777" w:rsidR="00BB170B" w:rsidRDefault="00BB170B" w:rsidP="00BB170B">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تشير الأدبيات الحديثة في مجال إدارة الأصول والبنية التحتية إلى تزايد الاهتمام بتطبيق مبادئ الحوكمة والرقمنة في تحسين الكفاءة التشغيلية ورفع مستوى الموثوقية، إلا أن معظم الدراسات تناولت هذه الأبعاد بصورة جزئية، سواء من منظور التحول الرقمي أو الاستدامة أو الحوكمة المؤسسية، دون تطوير نموذج تكاملي يجمع بينها ضمن إطار مؤسسي موحد</w:t>
      </w:r>
      <w:r>
        <w:rPr>
          <w:rFonts w:ascii="Traditional Arabic" w:eastAsia="Times New Roman" w:hAnsi="Traditional Arabic" w:cs="Traditional Arabic"/>
          <w:color w:val="000000" w:themeColor="text1"/>
          <w:sz w:val="28"/>
          <w:szCs w:val="28"/>
        </w:rPr>
        <w:t xml:space="preserve"> (El-Akruti et al., 2013; Too &amp; Weaver, 2014; Mergel et al., 2019).</w:t>
      </w:r>
    </w:p>
    <w:p w14:paraId="38FC3D45" w14:textId="77777777" w:rsidR="008F3BF7" w:rsidRDefault="008F3BF7"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تشير تقارير وزارة البيئة والمياه والزراعة إلى استمرار اعتماد جزء من شبكات المياه على أنماط تشغيل وصيانة تقليدية، رغم تبني مبادرات رقمية متقدمة مثل العدادات الذكية وأنظمة المراقبة عن بُعد</w:t>
      </w:r>
      <w:r>
        <w:rPr>
          <w:rFonts w:ascii="Traditional Arabic" w:eastAsia="Times New Roman" w:hAnsi="Traditional Arabic" w:cs="Traditional Arabic"/>
          <w:color w:val="000000" w:themeColor="text1"/>
          <w:sz w:val="28"/>
          <w:szCs w:val="28"/>
        </w:rPr>
        <w:t xml:space="preserve"> (Ministry of Environment, Water and Agriculture [MEWA], 2023). </w:t>
      </w:r>
      <w:r>
        <w:rPr>
          <w:rFonts w:ascii="Traditional Arabic" w:eastAsia="Times New Roman" w:hAnsi="Traditional Arabic" w:cs="Traditional Arabic"/>
          <w:color w:val="000000" w:themeColor="text1"/>
          <w:sz w:val="28"/>
          <w:szCs w:val="28"/>
          <w:rtl/>
        </w:rPr>
        <w:t>ويعكس ذلك وجود فجوة بين إدخال التقنيات الرقمية من جهة، ونضج الأطر الحوكميّة القادرة على تعظيم الاستفادة منها وتحويلها إلى قيمة تشغيلية مستدامة من جهة أخرى</w:t>
      </w:r>
      <w:r>
        <w:rPr>
          <w:rFonts w:ascii="Traditional Arabic" w:eastAsia="Times New Roman" w:hAnsi="Traditional Arabic" w:cs="Traditional Arabic"/>
          <w:color w:val="000000" w:themeColor="text1"/>
          <w:sz w:val="28"/>
          <w:szCs w:val="28"/>
        </w:rPr>
        <w:t>.</w:t>
      </w:r>
    </w:p>
    <w:p w14:paraId="04E33CD6" w14:textId="00AFA883" w:rsidR="00F03AFB" w:rsidRDefault="00F03AFB" w:rsidP="008F3BF7">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وتُظهر مراجعة الأدبيات أن نماذج الحوكمة التقليدية تركز أساسًا على الامتثال الإجرائي ومتابعة الأداء من منظور رقابي، في حين تفتقر غالبًا إلى دمج التحليلات المتقدمة للبيانات واتخاذ القرار الاستباقي القائم على المعلومات في الوقت الحقيقي، وهو ما يمثل سمة جوهرية للحوكمة الذكية في الأدبيات الحديثة</w:t>
      </w:r>
      <w:r>
        <w:rPr>
          <w:rFonts w:ascii="Traditional Arabic" w:eastAsia="Times New Roman" w:hAnsi="Traditional Arabic" w:cs="Traditional Arabic"/>
          <w:color w:val="000000" w:themeColor="text1"/>
          <w:sz w:val="28"/>
          <w:szCs w:val="28"/>
        </w:rPr>
        <w:t xml:space="preserve"> (Meijer &amp; Bolívar, 2016; Gil-Garcia et al., 2018; Janssen et al., 2017).</w:t>
      </w:r>
      <w:r>
        <w:rPr>
          <w:rFonts w:ascii="Traditional Arabic" w:eastAsia="Times New Roman" w:hAnsi="Traditional Arabic" w:cs="Traditional Arabic" w:hint="cs"/>
          <w:color w:val="000000" w:themeColor="text1"/>
          <w:sz w:val="28"/>
          <w:szCs w:val="28"/>
          <w:rtl/>
        </w:rPr>
        <w:t xml:space="preserve"> </w:t>
      </w:r>
    </w:p>
    <w:p w14:paraId="727E4C8F" w14:textId="79531F43" w:rsidR="00F03AFB" w:rsidRDefault="00F03AFB" w:rsidP="00F03AFB">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كما أن الدراسات العربية في هذا المجال ما تزال محدودة، ولم تقدم إطارًا تطبيقيًا تكامليًا يربط بين التحول الرقمي والاستدامة وسلامة الأصول ضمن سياق قطاع المياه السعودي، الأمر الذي يبرز الحاجة إلى تطوير نموذج حوكمي قابل للتطبيق والاختبار</w:t>
      </w:r>
      <w:r>
        <w:rPr>
          <w:rFonts w:ascii="Traditional Arabic" w:eastAsia="Times New Roman" w:hAnsi="Traditional Arabic" w:cs="Traditional Arabic"/>
          <w:color w:val="000000" w:themeColor="text1"/>
          <w:sz w:val="28"/>
          <w:szCs w:val="28"/>
        </w:rPr>
        <w:t>.</w:t>
      </w:r>
    </w:p>
    <w:p w14:paraId="12E78FDF" w14:textId="6F1E24FF" w:rsidR="007234ED" w:rsidRPr="007234ED" w:rsidRDefault="007234ED" w:rsidP="00F03AFB">
      <w:pPr>
        <w:bidi/>
        <w:spacing w:after="200" w:line="276"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3" w:name="_Toc218160614"/>
      <w:r>
        <w:rPr>
          <w:rFonts w:ascii="Traditional Arabic" w:hAnsi="Traditional Arabic" w:cs="Traditional Arabic"/>
          <w:b/>
          <w:bCs/>
          <w:sz w:val="36"/>
          <w:szCs w:val="36"/>
          <w:rtl/>
        </w:rPr>
        <w:lastRenderedPageBreak/>
        <w:t>أسئلة الدراسة</w:t>
      </w:r>
      <w:r>
        <w:rPr>
          <w:rFonts w:ascii="Traditional Arabic" w:hAnsi="Traditional Arabic" w:cs="Traditional Arabic"/>
          <w:b/>
          <w:bCs/>
          <w:sz w:val="36"/>
          <w:szCs w:val="36"/>
        </w:rPr>
        <w:t>:</w:t>
      </w:r>
      <w:bookmarkEnd w:id="3"/>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B7711D">
      <w:pPr>
        <w:pStyle w:val="ListParagraph"/>
        <w:numPr>
          <w:ilvl w:val="0"/>
          <w:numId w:val="1"/>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4" w:name="_Toc218160615"/>
      <w:r>
        <w:rPr>
          <w:rFonts w:ascii="Traditional Arabic" w:hAnsi="Traditional Arabic" w:cs="Traditional Arabic"/>
          <w:b/>
          <w:bCs/>
          <w:sz w:val="36"/>
          <w:szCs w:val="36"/>
          <w:rtl/>
        </w:rPr>
        <w:t>أهمية الدراسة (النظرية والتطبيقية)</w:t>
      </w:r>
      <w:bookmarkEnd w:id="4"/>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5" w:name="_Toc218160616"/>
      <w:r>
        <w:rPr>
          <w:rFonts w:ascii="Traditional Arabic" w:eastAsia="Times New Roman" w:hAnsi="Traditional Arabic" w:cs="Traditional Arabic"/>
          <w:b/>
          <w:bCs/>
          <w:sz w:val="36"/>
          <w:szCs w:val="36"/>
          <w:rtl/>
        </w:rPr>
        <w:t>أولًا: الأهمية النظرية</w:t>
      </w:r>
      <w:bookmarkEnd w:id="5"/>
    </w:p>
    <w:p w14:paraId="00A905E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B7711D">
      <w:pPr>
        <w:numPr>
          <w:ilvl w:val="0"/>
          <w:numId w:val="2"/>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6" w:name="_Toc218160617"/>
      <w:r>
        <w:rPr>
          <w:rFonts w:ascii="Traditional Arabic" w:eastAsia="Times New Roman" w:hAnsi="Traditional Arabic" w:cs="Traditional Arabic"/>
          <w:b/>
          <w:bCs/>
          <w:sz w:val="36"/>
          <w:szCs w:val="36"/>
          <w:rtl/>
        </w:rPr>
        <w:t>ثانيًا: الأهمية التطبيقية</w:t>
      </w:r>
      <w:bookmarkEnd w:id="6"/>
    </w:p>
    <w:p w14:paraId="797E3B28"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B7711D">
      <w:pPr>
        <w:numPr>
          <w:ilvl w:val="0"/>
          <w:numId w:val="3"/>
        </w:num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7" w:name="_Toc218160618"/>
      <w:r>
        <w:rPr>
          <w:rFonts w:ascii="Traditional Arabic" w:eastAsia="Times New Roman" w:hAnsi="Traditional Arabic" w:cs="Traditional Arabic"/>
          <w:b/>
          <w:bCs/>
          <w:sz w:val="36"/>
          <w:szCs w:val="36"/>
          <w:rtl/>
        </w:rPr>
        <w:t>القيمة المضافة للدراسة</w:t>
      </w:r>
      <w:bookmarkEnd w:id="7"/>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Pr>
          <w:rFonts w:ascii="Sakkal Majalla" w:hAnsi="Sakkal Majalla" w:cs="Sakkal Majalla"/>
          <w:b/>
          <w:bCs/>
          <w:color w:val="1F3864" w:themeColor="accent1" w:themeShade="80"/>
          <w:sz w:val="36"/>
          <w:szCs w:val="36"/>
          <w:u w:val="single"/>
          <w:rtl/>
        </w:rPr>
        <w:t xml:space="preserve"> </w:t>
      </w:r>
      <w:r>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8" w:name="_Toc218160619"/>
      <w:r>
        <w:rPr>
          <w:rFonts w:ascii="Traditional Arabic" w:eastAsia="Times New Roman" w:hAnsi="Traditional Arabic" w:cs="Traditional Arabic"/>
          <w:b/>
          <w:bCs/>
          <w:sz w:val="36"/>
          <w:szCs w:val="36"/>
          <w:rtl/>
        </w:rPr>
        <w:lastRenderedPageBreak/>
        <w:t>أهداف الدراسة</w:t>
      </w:r>
      <w:bookmarkEnd w:id="8"/>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B7711D">
      <w:pPr>
        <w:pStyle w:val="ListParagraph"/>
        <w:numPr>
          <w:ilvl w:val="0"/>
          <w:numId w:val="4"/>
        </w:numPr>
        <w:bidi/>
        <w:spacing w:after="200"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Pr>
          <w:rFonts w:asciiTheme="majorBidi" w:eastAsia="Times New Roman" w:hAnsiTheme="majorBidi" w:cstheme="majorBidi"/>
          <w:color w:val="000000" w:themeColor="text1"/>
          <w:sz w:val="24"/>
          <w:szCs w:val="24"/>
          <w:rtl/>
        </w:rPr>
        <w:t>(</w:t>
      </w:r>
      <w:r>
        <w:rPr>
          <w:rFonts w:asciiTheme="majorBidi" w:eastAsia="Times New Roman" w:hAnsiTheme="majorBidi" w:cstheme="majorBidi"/>
          <w:color w:val="000000" w:themeColor="text1"/>
          <w:sz w:val="24"/>
          <w:szCs w:val="24"/>
        </w:rPr>
        <w:t>ISO 55000</w:t>
      </w:r>
      <w:r>
        <w:rPr>
          <w:rFonts w:asciiTheme="majorBidi" w:eastAsia="Times New Roman" w:hAnsiTheme="majorBidi" w:cstheme="majorBidi"/>
          <w:color w:val="000000" w:themeColor="text1"/>
          <w:sz w:val="24"/>
          <w:szCs w:val="24"/>
          <w:rtl/>
        </w:rPr>
        <w:t>)</w:t>
      </w:r>
      <w:r>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2F15C9C0" w14:textId="77777777" w:rsid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heme="majorEastAsia" w:hAnsi="Traditional Arabic" w:cs="Traditional Arabic"/>
          <w:b/>
          <w:bCs/>
          <w:color w:val="2F5496" w:themeColor="accent1" w:themeShade="BF"/>
          <w:sz w:val="36"/>
          <w:szCs w:val="36"/>
          <w:rtl/>
        </w:rPr>
        <w:t>الدراسات ذات الصلة</w:t>
      </w:r>
    </w:p>
    <w:p w14:paraId="3078DED1" w14:textId="255DFB26" w:rsidR="002D46EB" w:rsidRPr="002D46EB" w:rsidRDefault="002D46EB" w:rsidP="001F16AB">
      <w:pPr>
        <w:bidi/>
        <w:spacing w:after="200" w:line="276"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تناولت العديد من الدراسات موضوع حوكمة الأصول والتحول الرقمي والاستدامة في قطاعات البنية التحتية، وأشارت إلى أن دمج التقنيات الرقمية الحديثة مع أطر الحوكمة المؤسسية يسهم في تحسين كفاءة التشغيل وتعزيز موثوقية الأصول. كما بينت بعض</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الدراسات أن استخدام أنظمة المراقبة الذكية والصيانة التنبؤية يمكن أن يقلل من الأعطال ويرفع مستوى الكفاءة التشغيلية في مرافق المياه</w:t>
      </w:r>
      <w:r>
        <w:rPr>
          <w:rFonts w:ascii="Traditional Arabic" w:eastAsia="Times New Roman" w:hAnsi="Traditional Arabic" w:cs="Traditional Arabic"/>
          <w:color w:val="000000" w:themeColor="text1"/>
          <w:sz w:val="28"/>
          <w:szCs w:val="28"/>
        </w:rPr>
        <w:t>.</w:t>
      </w:r>
    </w:p>
    <w:p w14:paraId="2808BAEA"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المقابل، ركزت دراسات أخرى على دور الاستدامة المؤسسية في تحسين إدارة الموارد وتقليل المخاطر التشغيلية، مؤكدة أهمية التكامل بين الأبعاد التقنية والتنظيمية في إدارة الأصول الحيوية</w:t>
      </w:r>
      <w:r>
        <w:rPr>
          <w:rFonts w:ascii="Traditional Arabic" w:eastAsia="Times New Roman" w:hAnsi="Traditional Arabic" w:cs="Traditional Arabic"/>
          <w:color w:val="000000" w:themeColor="text1"/>
          <w:sz w:val="28"/>
          <w:szCs w:val="28"/>
        </w:rPr>
        <w:t>.</w:t>
      </w:r>
    </w:p>
    <w:p w14:paraId="71F76551" w14:textId="77777777"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وعلى الرغم من أهمية هذه الدراسات، إلا أن معظمها تناول هذه المتغيرات بصورة منفصلة، ولم يقدم نموذجًا تكامليًا يربط بين التحول الرقمي والاستدامة والحوكمة المؤسسية في إطار واحد يفسر تأثيرها في سلامة أصول البنية التحتية والأداء المؤسسي في قطاع المياه</w:t>
      </w:r>
      <w:r>
        <w:rPr>
          <w:rFonts w:ascii="Traditional Arabic" w:eastAsia="Times New Roman" w:hAnsi="Traditional Arabic" w:cs="Traditional Arabic"/>
          <w:color w:val="000000" w:themeColor="text1"/>
          <w:sz w:val="28"/>
          <w:szCs w:val="28"/>
        </w:rPr>
        <w:t>.</w:t>
      </w:r>
    </w:p>
    <w:p w14:paraId="71A24AEA" w14:textId="36D23153" w:rsidR="002D46EB" w:rsidRPr="002D46EB" w:rsidRDefault="002D46EB" w:rsidP="002D46EB">
      <w:pPr>
        <w:bidi/>
        <w:spacing w:after="200" w:line="360" w:lineRule="auto"/>
        <w:ind w:left="360"/>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ولذلك تسعى الدراسة الحالية إلى تطوير نموذج حوكمة ذكي يدمج هذه الأبعاد ضمن إطار تحليلي متكامل قابل للاختبار</w:t>
      </w:r>
      <w:r>
        <w:rPr>
          <w:rFonts w:ascii="Traditional Arabic" w:eastAsia="Times New Roman" w:hAnsi="Traditional Arabic" w:cs="Traditional Arabic"/>
          <w:color w:val="000000" w:themeColor="text1"/>
          <w:sz w:val="28"/>
          <w:szCs w:val="28"/>
        </w:rPr>
        <w:t>.</w:t>
      </w:r>
    </w:p>
    <w:p w14:paraId="205532CF" w14:textId="4319EEA8" w:rsidR="00C92A71" w:rsidRPr="001142D3" w:rsidRDefault="00C92A71" w:rsidP="001142D3">
      <w:pPr>
        <w:pStyle w:val="Heading1"/>
        <w:bidi/>
        <w:rPr>
          <w:rFonts w:ascii="Traditional Arabic" w:hAnsi="Traditional Arabic" w:cs="Traditional Arabic"/>
          <w:b/>
          <w:bCs/>
          <w:sz w:val="36"/>
          <w:szCs w:val="36"/>
          <w:rtl/>
        </w:rPr>
      </w:pPr>
      <w:bookmarkStart w:id="9" w:name="_Toc218160621"/>
      <w:r>
        <w:rPr>
          <w:rFonts w:ascii="Traditional Arabic" w:hAnsi="Traditional Arabic" w:cs="Traditional Arabic"/>
          <w:b/>
          <w:bCs/>
          <w:sz w:val="36"/>
          <w:szCs w:val="36"/>
          <w:rtl/>
        </w:rPr>
        <w:lastRenderedPageBreak/>
        <w:t xml:space="preserve">نموذج الدراسة </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النموذج المفاهيمي والعلاقات بين المتغيرات</w:t>
      </w:r>
      <w:r>
        <w:rPr>
          <w:rFonts w:ascii="Traditional Arabic" w:hAnsi="Traditional Arabic" w:cs="Traditional Arabic" w:hint="cs"/>
          <w:b/>
          <w:bCs/>
          <w:sz w:val="36"/>
          <w:szCs w:val="36"/>
          <w:rtl/>
        </w:rPr>
        <w:t>)</w:t>
      </w:r>
      <w:bookmarkEnd w:id="9"/>
    </w:p>
    <w:p w14:paraId="37C6FED6"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يوضح هذا القسم نموذج الدراسة المقترح الذي يبيّن العلاقات بين متغيرات البحث وفق الصيغة النهائية المعتمدة. ويستند النموذج المفاهيمي إلى تفسير كيفية إسهام التحول الرقمي والاستدامة المؤسسية في تحسين سلامة أصول البنية التحتية والأداء المؤسسي في قطاع المياه السعودي، عند توجيههما ضمن إطار حوكمة ذكي</w:t>
      </w:r>
      <w:r>
        <w:rPr>
          <w:rFonts w:ascii="Traditional Arabic" w:hAnsi="Traditional Arabic" w:cs="Traditional Arabic"/>
          <w:sz w:val="28"/>
          <w:szCs w:val="28"/>
        </w:rPr>
        <w:t>.</w:t>
      </w:r>
    </w:p>
    <w:p w14:paraId="682B2969"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وينطلق النموذج من افتراض أساسي مفاده أن التحول الرقمي وممارسات الاستدامة، على الرغم من أهميتهما، لا يحققان أثرًا مؤسسيًا مستدامًا بصورة تلقائية، وإنما تتحدد فاعليتهما بمدى خضوعهما لإطار حوكمة ذكي ينظم عملية اتخاذ القرار، ويضبط الأدوار والمسؤوليات، ويضمن الاتساق بين المبادرات التقنية والاستراتيجية المؤسسية لإدارة الأصول</w:t>
      </w:r>
      <w:r>
        <w:rPr>
          <w:rFonts w:ascii="Traditional Arabic" w:hAnsi="Traditional Arabic" w:cs="Traditional Arabic"/>
          <w:sz w:val="28"/>
          <w:szCs w:val="28"/>
        </w:rPr>
        <w:t>.</w:t>
      </w:r>
    </w:p>
    <w:p w14:paraId="5AE0A0E5" w14:textId="77777777" w:rsidR="0044146F" w:rsidRPr="0044146F" w:rsidRDefault="0044146F" w:rsidP="0044146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وبذلك، لا يُقدَّم النموذج بوصفه علاقة خطية بسيطة بين متغيرات مستقلة ووسيطة وتابعة، بل بوصفه إطارًا تحليليًا يوضح كيف تعمل المتغيرات التقنية والمؤسسية داخل منظومة حوكمة ذكية لإنتاج نتائج تشغيلية ومؤسسية ملموسة</w:t>
      </w:r>
      <w:r>
        <w:rPr>
          <w:rFonts w:ascii="Traditional Arabic" w:hAnsi="Traditional Arabic" w:cs="Traditional Arabic"/>
          <w:sz w:val="28"/>
          <w:szCs w:val="28"/>
        </w:rPr>
        <w:t>.</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w:t>
      </w:r>
    </w:p>
    <w:p w14:paraId="3EEB155D" w14:textId="77777777" w:rsidR="003E662B" w:rsidRPr="003E662B" w:rsidRDefault="001A533E" w:rsidP="00B84459">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يمثل التحول الرقمي أحد المتغيرات المستقلة في الدراسة، ويشير إلى توظيف التقنيات الرقمية ونظم المعلومات والبيانات الذكية في إدارة أصول البنية التحتية المائية. ويُفترض أن يسهم التحول الرقمي في تحسين سلامة الأصول من خلال دعم الصيانة التنبؤية، وتحسين جودة البيانات، وتعزيز القدرة على رصد المخاطر التشغيلية في مراحل مبكرة. إلا أن الأدبيات تشير إلى أن هذا الأثر يظل محدودًا في حال غياب أطر حوكمة واضحة تنظم استخدام التقنيات وتربطها بأهداف إدارة الأصول</w:t>
      </w:r>
      <w:r>
        <w:rPr>
          <w:rFonts w:ascii="Traditional Arabic" w:hAnsi="Traditional Arabic" w:cs="Traditional Arabic"/>
          <w:sz w:val="28"/>
          <w:szCs w:val="28"/>
        </w:rPr>
        <w:t>.</w:t>
      </w:r>
    </w:p>
    <w:p w14:paraId="4E910D31" w14:textId="418FA649" w:rsidR="00537F4D" w:rsidRPr="00537F4D" w:rsidRDefault="00537F4D" w:rsidP="00B7711D">
      <w:pPr>
        <w:pStyle w:val="ListParagraph"/>
        <w:numPr>
          <w:ilvl w:val="0"/>
          <w:numId w:val="7"/>
        </w:num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الاستدامة المؤسسية</w:t>
      </w:r>
      <w:r>
        <w:rPr>
          <w:rFonts w:ascii="Traditional Arabic" w:hAnsi="Traditional Arabic" w:cs="Traditional Arabic" w:hint="cs"/>
          <w:b/>
          <w:bCs/>
          <w:sz w:val="28"/>
          <w:szCs w:val="28"/>
          <w:rtl/>
        </w:rPr>
        <w:t>:</w:t>
      </w:r>
    </w:p>
    <w:p w14:paraId="08091676" w14:textId="77777777" w:rsidR="006B126E" w:rsidRDefault="006B126E" w:rsidP="006B126E">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تمثل الاستدامة المؤسسية المتغير المستقل الثاني، وتشير إلى السياسات والممارسات التي تهدف إلى ضمان استمرارية الخدمات، وتحسين كفاءة استخدام الموارد، وتقليل المخاطر التشغيلية طويلة المدى. ويُفترض أن تسهم الاستدامة المؤسسية في دعم سلامة الأصول من خلال تعزيز جودة القرارات الإدارية والفنية المرتبطة بإدارة دورة حياة الأصول</w:t>
      </w:r>
      <w:r>
        <w:rPr>
          <w:rFonts w:ascii="Traditional Arabic" w:hAnsi="Traditional Arabic" w:cs="Traditional Arabic"/>
          <w:sz w:val="28"/>
          <w:szCs w:val="28"/>
        </w:rPr>
        <w:t>.</w:t>
      </w:r>
    </w:p>
    <w:p w14:paraId="686E9C12" w14:textId="23583FBD" w:rsidR="00537F4D" w:rsidRPr="00537F4D" w:rsidRDefault="00537F4D" w:rsidP="002E6F1E">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ثانيًا: إطار الحوكمة الذكية (</w:t>
      </w:r>
      <w:r>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المتغير الوسيط </w:t>
      </w:r>
      <w:r>
        <w:rPr>
          <w:rFonts w:ascii="Traditional Arabic" w:hAnsi="Traditional Arabic" w:cs="Traditional Arabic"/>
          <w:b/>
          <w:bCs/>
          <w:sz w:val="28"/>
          <w:szCs w:val="28"/>
          <w:rtl/>
        </w:rPr>
        <w:t>)</w:t>
      </w:r>
    </w:p>
    <w:p w14:paraId="6E397B13" w14:textId="77777777" w:rsidR="0020169F" w:rsidRPr="0020169F" w:rsidRDefault="0020169F" w:rsidP="0020169F">
      <w:pPr>
        <w:bidi/>
        <w:ind w:left="360"/>
        <w:jc w:val="both"/>
        <w:rPr>
          <w:rFonts w:ascii="Traditional Arabic" w:hAnsi="Traditional Arabic" w:cs="Traditional Arabic"/>
          <w:sz w:val="28"/>
          <w:szCs w:val="28"/>
          <w:rtl/>
        </w:rPr>
      </w:pPr>
      <w:r>
        <w:rPr>
          <w:rFonts w:ascii="Traditional Arabic" w:hAnsi="Traditional Arabic" w:cs="Traditional Arabic"/>
          <w:sz w:val="28"/>
          <w:szCs w:val="28"/>
          <w:rtl/>
        </w:rPr>
        <w:t>تمثّل الحوكمة الذكية في هذه الدراسة إطارًا حاكمًا ينظّم ويوجّه العلاقة بين التحول الرقمي والاستدامة المؤسسية من جهة، وسلامة أصول البنية التحتية المائية والأداء المؤسسي من جهة أخرى. ويُقصد بالحوكمة الذكية منظومة متكاملة من السياسات، والهياكل التنظيمية، وآليات اتخاذ القرار، التي تضمن توجيه المبادرات الرقمية وممارسات الاستدامة بصورة منهجية تخدم أهداف إدارة الأصول، وتُعزّز الاتساق المؤسسي وكفاءة الأداء</w:t>
      </w:r>
      <w:r>
        <w:rPr>
          <w:rFonts w:ascii="Traditional Arabic" w:hAnsi="Traditional Arabic" w:cs="Traditional Arabic"/>
          <w:sz w:val="28"/>
          <w:szCs w:val="28"/>
        </w:rPr>
        <w:t>.</w:t>
      </w:r>
    </w:p>
    <w:p w14:paraId="2E336989" w14:textId="77777777" w:rsidR="0020169F" w:rsidRPr="0020169F" w:rsidRDefault="0020169F" w:rsidP="0020169F">
      <w:pPr>
        <w:bidi/>
        <w:ind w:left="360"/>
        <w:rPr>
          <w:rFonts w:ascii="Traditional Arabic" w:hAnsi="Traditional Arabic" w:cs="Traditional Arabic"/>
          <w:sz w:val="28"/>
          <w:szCs w:val="28"/>
          <w:rtl/>
        </w:rPr>
      </w:pPr>
    </w:p>
    <w:p w14:paraId="4910246D" w14:textId="77777777" w:rsidR="0020169F" w:rsidRDefault="0020169F" w:rsidP="0020169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لا تُعامَل الحوكمة الذكية في هذه الدراسة كمتغير وسيط تقليدي فحسب، بل كآلية تنظيمية تفسيرية توضّح كيف ولماذا يختلف أثر التحول الرقمي والاستدامة المؤسسية على سلامة الأصول والأداء المؤسسي بين المؤسسات، وذلك تبعًا لمستوى نضج الحوكمة المؤسسية وقدرتها على تحويل المبادرات التقنية من مجرد تطبيقات تشغيلية إلى قيمة مؤسسية مستدامة.</w:t>
      </w:r>
    </w:p>
    <w:p w14:paraId="64676AC4" w14:textId="5512B0A9" w:rsidR="00537F4D" w:rsidRPr="00537F4D" w:rsidRDefault="00537F4D" w:rsidP="0020169F">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سلامة الأصول</w:t>
      </w:r>
    </w:p>
    <w:p w14:paraId="4BCB75AE" w14:textId="77777777" w:rsidR="007B684F" w:rsidRPr="007B684F" w:rsidRDefault="007B684F" w:rsidP="007B684F">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تمثل سلامة الأصول المتغير التابع الأول في النموذج، وتعكس الحالة الفنية والتشغيلية للأصول ومدى موثوقيتها وقدرتها على أداء وظائفها بكفاءة وأمان. ويُفترض أن تتأثر سلامة الأصول بكل من التحول الرقمي والاستدامة المؤسسية عند تطبيقهما ضمن إطار حوكمة ذكية، كما تُعد حلقة وصل رئيسة بين المتغيرات الإدارية والتقنية والنتائج المؤسسية النهائية</w:t>
      </w:r>
      <w:r>
        <w:rPr>
          <w:rFonts w:ascii="Traditional Arabic" w:hAnsi="Traditional Arabic" w:cs="Traditional Arabic"/>
          <w:sz w:val="28"/>
          <w:szCs w:val="28"/>
        </w:rPr>
        <w:t>.</w:t>
      </w:r>
    </w:p>
    <w:p w14:paraId="1D64077C" w14:textId="39AD6369" w:rsidR="00537F4D" w:rsidRPr="00537F4D" w:rsidRDefault="00537F4D" w:rsidP="00B7711D">
      <w:pPr>
        <w:pStyle w:val="ListParagraph"/>
        <w:numPr>
          <w:ilvl w:val="0"/>
          <w:numId w:val="8"/>
        </w:numPr>
        <w:bidi/>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الأداء المؤسسي</w:t>
      </w:r>
    </w:p>
    <w:p w14:paraId="6792E8BF" w14:textId="77777777" w:rsidR="00AF7D89" w:rsidRDefault="00AF7D89" w:rsidP="00AF7D89">
      <w:pPr>
        <w:bidi/>
        <w:ind w:left="360"/>
        <w:jc w:val="both"/>
        <w:rPr>
          <w:rFonts w:ascii="Traditional Arabic" w:hAnsi="Traditional Arabic" w:cs="Traditional Arabic"/>
          <w:b/>
          <w:bCs/>
          <w:sz w:val="28"/>
          <w:szCs w:val="28"/>
          <w:rtl/>
        </w:rPr>
      </w:pPr>
      <w:r>
        <w:rPr>
          <w:rFonts w:ascii="Traditional Arabic" w:hAnsi="Traditional Arabic" w:cs="Traditional Arabic"/>
          <w:sz w:val="28"/>
          <w:szCs w:val="28"/>
          <w:rtl/>
        </w:rPr>
        <w:t>يمثل الأداء المؤسسي المتغير التابع النهائي في النموذج، ويعكس النتائج الشاملة لتكامل المتغيرات السابقة، من حيث كفاءة التشغيل، وجودة الخدمة، واستدامة الأداء. ويُفترض أن يتأثر الأداء المؤسسي بشكل مباشر بمستوى سلامة الأصول، حيث يؤدي تحسن موثوقية الأصول إلى رفع كفاءة العمليات التشغيلية وتحسين مستوى الخدمة المقدمة</w:t>
      </w:r>
      <w:r>
        <w:rPr>
          <w:rFonts w:ascii="Traditional Arabic" w:hAnsi="Traditional Arabic" w:cs="Traditional Arabic"/>
          <w:sz w:val="28"/>
          <w:szCs w:val="28"/>
        </w:rPr>
        <w:t>.</w:t>
      </w:r>
    </w:p>
    <w:p w14:paraId="4451FA45" w14:textId="41D6C6BC" w:rsidR="00537F4D" w:rsidRPr="00537F4D" w:rsidRDefault="00537F4D" w:rsidP="00AF7D89">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رابعًا: العلاقات السببية التي يختبرها النموذج المقترح</w:t>
      </w:r>
    </w:p>
    <w:p w14:paraId="6D80ACD3" w14:textId="77777777" w:rsidR="00777BCB" w:rsidRPr="00777BCB" w:rsidRDefault="00777BCB" w:rsidP="00777BCB">
      <w:pPr>
        <w:bidi/>
        <w:ind w:left="360"/>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الإطار المفاهيمي المقترح، تختبر الدراسة العلاقات السببية الآتية</w:t>
      </w:r>
      <w:r>
        <w:rPr>
          <w:rFonts w:ascii="Traditional Arabic" w:hAnsi="Traditional Arabic" w:cs="Traditional Arabic"/>
          <w:sz w:val="28"/>
          <w:szCs w:val="28"/>
        </w:rPr>
        <w:t>:</w:t>
      </w:r>
    </w:p>
    <w:p w14:paraId="7C72FDC7"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للتحول الرقمي، عند تطبيقه ضمن إطار حوكمة ذكية، على سلامة أصول البنية التحتية المائية</w:t>
      </w:r>
      <w:r>
        <w:rPr>
          <w:rFonts w:ascii="Traditional Arabic" w:hAnsi="Traditional Arabic" w:cs="Traditional Arabic"/>
          <w:sz w:val="28"/>
          <w:szCs w:val="28"/>
        </w:rPr>
        <w:t>.</w:t>
      </w:r>
    </w:p>
    <w:p w14:paraId="627EC77B"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للاستدامة المؤسسية، عند تطبيقها ضمن إطار حوكمة ذكية، على سلامة أصول البنية التحتية المائية</w:t>
      </w:r>
      <w:r>
        <w:rPr>
          <w:rFonts w:ascii="Traditional Arabic" w:hAnsi="Traditional Arabic" w:cs="Traditional Arabic"/>
          <w:sz w:val="28"/>
          <w:szCs w:val="28"/>
        </w:rPr>
        <w:t>.</w:t>
      </w:r>
    </w:p>
    <w:p w14:paraId="34B7B431"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وجود تأثير مباشر ذي دلالة إحصائية لسلامة أصول البنية التحتية المائية على الأداء المؤسسي</w:t>
      </w:r>
      <w:r>
        <w:rPr>
          <w:rFonts w:ascii="Traditional Arabic" w:hAnsi="Traditional Arabic" w:cs="Traditional Arabic"/>
          <w:sz w:val="28"/>
          <w:szCs w:val="28"/>
        </w:rPr>
        <w:t>.</w:t>
      </w:r>
    </w:p>
    <w:p w14:paraId="068894F8" w14:textId="77777777" w:rsidR="00777BCB" w:rsidRPr="00777BCB" w:rsidRDefault="00777BCB" w:rsidP="00B7711D">
      <w:pPr>
        <w:numPr>
          <w:ilvl w:val="0"/>
          <w:numId w:val="9"/>
        </w:numPr>
        <w:bidi/>
        <w:jc w:val="both"/>
        <w:rPr>
          <w:rFonts w:ascii="Traditional Arabic" w:hAnsi="Traditional Arabic" w:cs="Traditional Arabic"/>
          <w:sz w:val="28"/>
          <w:szCs w:val="28"/>
        </w:rPr>
      </w:pPr>
      <w:r>
        <w:rPr>
          <w:rFonts w:ascii="Traditional Arabic" w:hAnsi="Traditional Arabic" w:cs="Traditional Arabic"/>
          <w:sz w:val="28"/>
          <w:szCs w:val="28"/>
          <w:rtl/>
        </w:rPr>
        <w:t>قيام إطار الحوكمة الذكية بدور حاكم في توجيه أثر التحول الرقمي والاستدامة المؤسسية نحو تحسين سلامة الأصول وتحقيق نتائج مؤسسية ملموسة</w:t>
      </w:r>
      <w:r>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خامسًا: موقع النموذج في تصميم الدراسة</w:t>
      </w:r>
    </w:p>
    <w:p w14:paraId="4705F234" w14:textId="65CC4B5E" w:rsidR="00A608AB" w:rsidRPr="00A31AF3" w:rsidRDefault="00A608AB" w:rsidP="00A31AF3">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هذا النموذج المفاهيمي الأساس النظري الذي تُشتق منه فروض الدراسة وأسئلتها البحثية، كما يوجّه اختيار المنهجية الإحصائية المناسبة. وسيتم اختبار العلاقات المقترحة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(SEM)</w:t>
      </w:r>
      <w:r>
        <w:rPr>
          <w:rFonts w:ascii="Traditional Arabic" w:hAnsi="Traditional Arabic" w:cs="Traditional Arabic"/>
          <w:sz w:val="28"/>
          <w:szCs w:val="28"/>
          <w:rtl/>
        </w:rPr>
        <w:t>، بما يسمح بتحليل التأثيرات المباشرة وتفسير طبيعة التفاعل بين المتغيرات ضمن إطار الحوكمة الذكية في سياق قطاع المياه السعودي</w:t>
      </w:r>
      <w:r>
        <w:rPr>
          <w:rFonts w:ascii="Traditional Arabic" w:hAnsi="Traditional Arabic" w:cs="Traditional Arabic"/>
          <w:sz w:val="28"/>
          <w:szCs w:val="28"/>
        </w:rPr>
        <w:t>.</w:t>
      </w:r>
    </w:p>
    <w:p w14:paraId="37C1DC22" w14:textId="4359B2FC" w:rsidR="00537F4D" w:rsidRPr="00537F4D" w:rsidRDefault="00537F4D" w:rsidP="00A608AB">
      <w:pPr>
        <w:pStyle w:val="Heading2"/>
        <w:bidi/>
        <w:rPr>
          <w:rFonts w:ascii="Traditional Arabic" w:eastAsia="Times New Roman" w:hAnsi="Traditional Arabic" w:cs="Traditional Arabic"/>
          <w:b/>
          <w:bCs/>
          <w:sz w:val="36"/>
          <w:szCs w:val="36"/>
          <w:rtl/>
        </w:rPr>
      </w:pPr>
      <w:bookmarkStart w:id="10" w:name="_Toc218160622"/>
      <w:r>
        <w:rPr>
          <w:rFonts w:ascii="Traditional Arabic" w:eastAsia="Times New Roman" w:hAnsi="Traditional Arabic" w:cs="Traditional Arabic"/>
          <w:b/>
          <w:bCs/>
          <w:sz w:val="36"/>
          <w:szCs w:val="36"/>
          <w:rtl/>
        </w:rPr>
        <w:lastRenderedPageBreak/>
        <w:t>وصف النموذج المفاهيمي للدراسة</w:t>
      </w:r>
      <w:bookmarkEnd w:id="10"/>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Pr>
          <w:rFonts w:ascii="Traditional Arabic" w:eastAsia="Times New Roman" w:hAnsi="Traditional Arabic" w:cs="Traditional Arabic"/>
          <w:color w:val="000000" w:themeColor="text1"/>
          <w:sz w:val="28"/>
          <w:szCs w:val="28"/>
        </w:rPr>
        <w:t>.</w:t>
      </w:r>
    </w:p>
    <w:p w14:paraId="01BCBA9A" w14:textId="77777777" w:rsidR="0020169F" w:rsidRDefault="00537F4D" w:rsidP="0020169F">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Pr>
          <w:rFonts w:ascii="Traditional Arabic" w:eastAsia="Times New Roman" w:hAnsi="Traditional Arabic" w:cs="Traditional Arabic"/>
          <w:color w:val="000000" w:themeColor="text1"/>
          <w:sz w:val="28"/>
          <w:szCs w:val="28"/>
        </w:rPr>
        <w:t>SEM</w:t>
      </w:r>
      <w:r>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2B358881" w14:textId="1019541B" w:rsidR="006E72FA" w:rsidRPr="00B550C9" w:rsidRDefault="00591B4C" w:rsidP="00591B4C">
      <w:pPr>
        <w:bidi/>
        <w:spacing w:after="200" w:line="360" w:lineRule="auto"/>
        <w:jc w:val="both"/>
        <w:rPr>
          <w:rFonts w:ascii="Traditional Arabic" w:hAnsi="Traditional Arabic" w:cs="Traditional Arabic"/>
          <w:b/>
          <w:bCs/>
          <w:color w:val="000000" w:themeColor="text1"/>
          <w:kern w:val="24"/>
          <w:sz w:val="28"/>
          <w:szCs w:val="28"/>
          <w:rtl/>
        </w:rPr>
      </w:pPr>
      <w:r>
        <w:rPr>
          <w:rFonts w:ascii="Traditional Arabic" w:hAnsi="Traditional Arabic" w:cs="Traditional Arabic"/>
          <w:b/>
          <w:bCs/>
          <w:color w:val="000000" w:themeColor="text1"/>
          <w:kern w:val="24"/>
          <w:sz w:val="28"/>
          <w:szCs w:val="28"/>
          <w:rtl/>
        </w:rPr>
        <w:lastRenderedPageBreak/>
        <w:t>يوضح الشكل التالي النموذج المفاهيمي للدراسة</w:t>
      </w:r>
      <w:r>
        <w:rPr>
          <w:rFonts w:ascii="Traditional Arabic" w:hAnsi="Traditional Arabic" w:cs="Traditional Arabic"/>
          <w:b/>
          <w:bCs/>
          <w:color w:val="000000" w:themeColor="text1"/>
          <w:kern w:val="24"/>
          <w:sz w:val="28"/>
          <w:szCs w:val="28"/>
        </w:rPr>
        <w:t>:</w:t>
      </w:r>
    </w:p>
    <w:p w14:paraId="3448B68C" w14:textId="0A124542" w:rsidR="00B550C9" w:rsidRDefault="00B550C9" w:rsidP="00B550C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noProof/>
          <w:color w:val="000000" w:themeColor="text1"/>
          <w:sz w:val="28"/>
          <w:szCs w:val="28"/>
          <w:rtl/>
        </w:rPr>
        <w:drawing>
          <wp:anchor distT="0" distB="0" distL="114300" distR="114300" simplePos="0" relativeHeight="251658240" behindDoc="0" locked="0" layoutInCell="1" allowOverlap="1" wp14:anchorId="332989F3" wp14:editId="50C1E44E">
            <wp:simplePos x="0" y="0"/>
            <wp:positionH relativeFrom="margin">
              <wp:posOffset>-317</wp:posOffset>
            </wp:positionH>
            <wp:positionV relativeFrom="paragraph">
              <wp:posOffset>148908</wp:posOffset>
            </wp:positionV>
            <wp:extent cx="5880500" cy="324802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86799" cy="32515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1B6253" w14:textId="75E26A3B" w:rsidR="00323275" w:rsidRDefault="00323275" w:rsidP="0020169F">
      <w:pPr>
        <w:bidi/>
        <w:spacing w:after="200" w:line="360" w:lineRule="auto"/>
        <w:jc w:val="both"/>
        <w:rPr>
          <w:rFonts w:ascii="Traditional Arabic" w:eastAsia="Times New Roman" w:hAnsi="Traditional Arabic" w:cs="Traditional Arabic"/>
          <w:color w:val="000000" w:themeColor="text1"/>
          <w:sz w:val="28"/>
          <w:szCs w:val="28"/>
          <w:rtl/>
        </w:rPr>
      </w:pPr>
    </w:p>
    <w:p w14:paraId="2147CBBA" w14:textId="5E0FEE40"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1AE32E19" w14:textId="186C2351"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Pr>
      </w:pPr>
    </w:p>
    <w:p w14:paraId="079390AD" w14:textId="432203C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AF8D034" w14:textId="1A20280E" w:rsidR="00323275"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p>
    <w:p w14:paraId="0C5E659B" w14:textId="04620D93" w:rsidR="00D82061" w:rsidRDefault="00323275" w:rsidP="00323275">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66432" behindDoc="0" locked="0" layoutInCell="1" allowOverlap="1" wp14:anchorId="45AC3BAB" wp14:editId="35FBB8CE">
                <wp:simplePos x="0" y="0"/>
                <wp:positionH relativeFrom="margin">
                  <wp:align>center</wp:align>
                </wp:positionH>
                <wp:positionV relativeFrom="paragraph">
                  <wp:posOffset>276656</wp:posOffset>
                </wp:positionV>
                <wp:extent cx="2399252" cy="354965"/>
                <wp:effectExtent l="0" t="0" r="0" b="0"/>
                <wp:wrapNone/>
                <wp:docPr id="16" name="مربع نص 15">
                  <a:extLst xmlns:a="http://schemas.openxmlformats.org/drawingml/2006/main">
                    <a:ext uri="{FF2B5EF4-FFF2-40B4-BE49-F238E27FC236}">
                      <a16:creationId xmlns:a16="http://schemas.microsoft.com/office/drawing/2014/main" id="{D041A50F-C6C0-A939-C7FF-2DED02D561D4}"/>
                    </a:ext>
                  </a:extLst>
                </wp:docPr>
                <wp:cNvGraphicFramePr/>
                <a:graphic xmlns:a="http://schemas.openxmlformats.org/drawingml/2006/main">
                  <a:graphicData uri="http://schemas.microsoft.com/office/word/2010/wordprocessingShape">
                    <wps:wsp>
                      <wps:cNvSpPr txBox="1"/>
                      <wps:spPr>
                        <a:xfrm>
                          <a:off x="0" y="0"/>
                          <a:ext cx="2399252" cy="354965"/>
                        </a:xfrm>
                        <a:prstGeom prst="rect">
                          <a:avLst/>
                        </a:prstGeom>
                        <a:noFill/>
                      </wps:spPr>
                      <wps:txb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w:pict>
              <v:shapetype w14:anchorId="45AC3BAB" id="_x0000_t202" coordsize="21600,21600" o:spt="202" path="m,l,21600r21600,l21600,xe">
                <v:stroke joinstyle="miter"/>
                <v:path gradientshapeok="t" o:connecttype="rect"/>
              </v:shapetype>
              <v:shape id="مربع نص 15" o:spid="_x0000_s1026" type="#_x0000_t202" style="position:absolute;left:0;text-align:left;margin-left:0;margin-top:21.8pt;width:188.9pt;height:27.9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" filled="f" stroked="f">
                <v:textbox>
                  <w:txbxContent>
                    <w:p w14:paraId="354C015F" w14:textId="43A09F5C" w:rsidR="0072496D" w:rsidRPr="00323275" w:rsidRDefault="0072496D" w:rsidP="008629C3">
                      <w:pPr>
                        <w:bidi/>
                        <w:jc w:val="center"/>
                        <w:rPr>
                          <w:rFonts w:ascii="Traditional Arabic" w:hAnsi="Traditional Arabic" w:cs="Traditional Arabic"/>
                          <w:b/>
                          <w:bCs/>
                          <w:color w:val="000000" w:themeColor="text1"/>
                          <w:kern w:val="24"/>
                          <w:sz w:val="28"/>
                          <w:szCs w:val="28"/>
                        </w:rPr>
                      </w:pPr>
                      <w:r>
                        <w:rPr>
                          <w:rFonts w:ascii="Traditional Arabic" w:hAnsi="Traditional Arabic" w:cs="Traditional Arabic"/>
                          <w:b/>
                          <w:bCs/>
                          <w:color w:val="000000" w:themeColor="text1"/>
                          <w:kern w:val="24"/>
                          <w:sz w:val="28"/>
                          <w:szCs w:val="28"/>
                          <w:rtl/>
                        </w:rPr>
                        <w:t>شكل (1): النموذج المفاهيمي</w:t>
                      </w:r>
                    </w:p>
                  </w:txbxContent>
                </v:textbox>
                <w10:wrap anchorx="margin"/>
              </v:shape>
            </w:pict>
          </mc:Fallback>
        </mc:AlternateContent>
      </w:r>
    </w:p>
    <w:p w14:paraId="5E622938" w14:textId="777622EC" w:rsidR="00D82061" w:rsidRDefault="00D82061" w:rsidP="00D82061">
      <w:pPr>
        <w:bidi/>
        <w:spacing w:after="200" w:line="360" w:lineRule="auto"/>
        <w:jc w:val="both"/>
        <w:rPr>
          <w:rFonts w:ascii="Traditional Arabic" w:eastAsia="Times New Roman" w:hAnsi="Traditional Arabic" w:cs="Traditional Arabic"/>
          <w:color w:val="000000" w:themeColor="text1"/>
          <w:sz w:val="28"/>
          <w:szCs w:val="28"/>
          <w:rtl/>
        </w:rPr>
      </w:pPr>
    </w:p>
    <w:p w14:paraId="4741F414"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يوضح النموذج المفاهيمي للدراسة العلاقات بين متغيراتها الرئيسة، حيث يمثل التحول الرقمي والاستدامة المؤسسية متغيرين مستقلين يؤثران في كل من سلامة أصول البنية التحتية المائية والأداء المؤسسي، وذلك بشكل مباشر وغير مباشر. ويُفترض أن يسهم التحول الرقمي في تحسين كفاءة العمليات التشغيلية من خلال توظيف التقنيات الحديثة وتحليل البيانات، مما ينعكس إيجابًا على موثوقية الأصول وجودة الأداء المؤسسي. كما تعزز الاستدامة المؤسسية من كفاءة إدارة الموارد وتقليل المخاطر التشغيلية، بما يدعم استمرارية الأصول وتحسين نتائج الأداء</w:t>
      </w:r>
      <w:r>
        <w:rPr>
          <w:rFonts w:ascii="Traditional Arabic" w:eastAsia="Times New Roman" w:hAnsi="Traditional Arabic" w:cs="Traditional Arabic"/>
          <w:color w:val="000000" w:themeColor="text1"/>
          <w:sz w:val="28"/>
          <w:szCs w:val="28"/>
        </w:rPr>
        <w:t>.</w:t>
      </w:r>
    </w:p>
    <w:p w14:paraId="483D8F2A"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هذا السياق، تؤدي الحوكمة الذكية دور المتغير الوسيط الذي ينظم العلاقة بين التحول الرقمي والاستدامة المؤسسية من جهة، وسلامة الأصول والأداء المؤسسي من جهة أخرى، من خلال توفير إطار تنظيمي يوجه استخدام التقنيات الرقمية ويضمن تكامل البيانات وجودة اتخاذ القرار. كما تمثل سلامة أصول البنية التحتية المائية مخرجًا تشغيليًا يعكس كفاءة إدارة الأصول، حيث تسهم في نقل أثر المتغيرات المستقلة إلى الأداء المؤسسي، مما يعزز من تحقيق الأهداف الاستراتيجية للمؤسسة في قطاع المياه</w:t>
      </w:r>
      <w:r>
        <w:rPr>
          <w:rFonts w:ascii="Traditional Arabic" w:eastAsia="Times New Roman" w:hAnsi="Traditional Arabic" w:cs="Traditional Arabic"/>
          <w:color w:val="000000" w:themeColor="text1"/>
          <w:sz w:val="28"/>
          <w:szCs w:val="28"/>
        </w:rPr>
        <w:t>.</w:t>
      </w:r>
    </w:p>
    <w:p w14:paraId="17E8EF02" w14:textId="77777777" w:rsidR="00763AA6" w:rsidRPr="00763AA6" w:rsidRDefault="00763AA6" w:rsidP="00763AA6">
      <w:pPr>
        <w:bidi/>
        <w:spacing w:after="200" w:line="360" w:lineRule="auto"/>
        <w:jc w:val="both"/>
        <w:rPr>
          <w:rFonts w:ascii="Traditional Arabic" w:eastAsia="Times New Roman" w:hAnsi="Traditional Arabic" w:cs="Traditional Arabic"/>
          <w:color w:val="000000" w:themeColor="text1"/>
          <w:sz w:val="28"/>
          <w:szCs w:val="28"/>
        </w:rPr>
      </w:pPr>
    </w:p>
    <w:p w14:paraId="422B899A" w14:textId="358620C7" w:rsidR="008C638A" w:rsidRPr="008C638A" w:rsidRDefault="008C638A" w:rsidP="008C638A">
      <w:pPr>
        <w:pStyle w:val="Heading2"/>
        <w:bidi/>
        <w:rPr>
          <w:rFonts w:ascii="Traditional Arabic" w:eastAsia="Times New Roman" w:hAnsi="Traditional Arabic" w:cs="Traditional Arabic"/>
          <w:b/>
          <w:bCs/>
          <w:sz w:val="36"/>
          <w:szCs w:val="36"/>
        </w:rPr>
      </w:pPr>
      <w:bookmarkStart w:id="11" w:name="_Toc218160623"/>
      <w:r>
        <w:rPr>
          <w:rFonts w:ascii="Traditional Arabic" w:eastAsia="Times New Roman" w:hAnsi="Traditional Arabic" w:cs="Traditional Arabic"/>
          <w:b/>
          <w:bCs/>
          <w:sz w:val="36"/>
          <w:szCs w:val="36"/>
          <w:rtl/>
        </w:rPr>
        <w:lastRenderedPageBreak/>
        <w:t>فروض الدراسة</w:t>
      </w:r>
      <w:bookmarkEnd w:id="11"/>
    </w:p>
    <w:p w14:paraId="5999C8BE" w14:textId="144BEB09" w:rsidR="008D14D9" w:rsidRPr="008D14D9" w:rsidRDefault="008D14D9"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Pr>
          <w:rFonts w:ascii="Traditional Arabic" w:eastAsia="Times New Roman" w:hAnsi="Traditional Arabic" w:cs="Traditional Arabic"/>
          <w:color w:val="000000" w:themeColor="text1"/>
          <w:sz w:val="28"/>
          <w:szCs w:val="28"/>
        </w:rPr>
        <w:t>:</w:t>
      </w:r>
    </w:p>
    <w:p w14:paraId="2A0C8E17" w14:textId="18448233" w:rsidR="003522B4" w:rsidRDefault="008D14D9"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tl/>
        </w:rPr>
        <w:t>الفرض الأول</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للتحول الرقمي، عند تطبيقه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4BD5F33D" w14:textId="15C3A7DC" w:rsidR="003522B4" w:rsidRPr="003522B4" w:rsidRDefault="003522B4" w:rsidP="00527ED7">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الثاني: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يوجد تأثير ذو دلالة إحصائية للاستدامة المؤسسية، عند تطبيقها ضمن إطار حوكمة ذكية، على سلامة أصول البنية التحتية المائية في قطاع المياه السعودي</w:t>
      </w:r>
      <w:r>
        <w:rPr>
          <w:rFonts w:ascii="Traditional Arabic" w:eastAsia="Times New Roman" w:hAnsi="Traditional Arabic" w:cs="Traditional Arabic"/>
          <w:color w:val="000000" w:themeColor="text1"/>
          <w:sz w:val="28"/>
          <w:szCs w:val="28"/>
        </w:rPr>
        <w:t>.</w:t>
      </w:r>
    </w:p>
    <w:p w14:paraId="69E155A2" w14:textId="62F8C47E" w:rsidR="003522B4" w:rsidRPr="003522B4" w:rsidRDefault="003522B4" w:rsidP="003522B4">
      <w:pPr>
        <w:bidi/>
        <w:spacing w:after="200" w:line="360"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b/>
          <w:bCs/>
          <w:color w:val="000000" w:themeColor="text1"/>
          <w:sz w:val="28"/>
          <w:szCs w:val="28"/>
          <w:rtl/>
        </w:rPr>
        <w:t>الفرض الثالث:</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يوجد تأثير ذو دلالة إحصائية لسلامة أصول البنية التحتية المائية على الأداء المؤسسي في قطاع المياه السعودي</w:t>
      </w:r>
      <w:r>
        <w:rPr>
          <w:rFonts w:ascii="Traditional Arabic" w:eastAsia="Times New Roman" w:hAnsi="Traditional Arabic" w:cs="Traditional Arabic"/>
          <w:color w:val="000000" w:themeColor="text1"/>
          <w:sz w:val="28"/>
          <w:szCs w:val="28"/>
        </w:rPr>
        <w:t>.</w:t>
      </w:r>
    </w:p>
    <w:p w14:paraId="5E4195F9" w14:textId="77777777" w:rsidR="00527ED7" w:rsidRDefault="00585840" w:rsidP="00527ED7">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b/>
          <w:bCs/>
          <w:color w:val="000000" w:themeColor="text1"/>
          <w:sz w:val="28"/>
          <w:szCs w:val="28"/>
          <w:rtl/>
        </w:rPr>
        <w:t>الفرض الرابع:</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يمثل إطار الحوكمة الذكية عاملًا حاسمًا في توجيه أثر التحول الرقمي والاستدامة المؤسسية نحو تحقيق سلامة الأصول وتحسين 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p>
    <w:p w14:paraId="3C8757C2" w14:textId="71A18F9F" w:rsidR="00D33E0C" w:rsidRDefault="00D33E0C" w:rsidP="00D33E0C">
      <w:pPr>
        <w:bidi/>
        <w:spacing w:after="200" w:line="360" w:lineRule="auto"/>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وبناءً على ذلك، تفترض الدراسة وجود تأثير ذي دلالة إحصائية للتحول الرقمي على سلامة أصول البنية التحتية المائية في قطاع المياه السعودي، وهو ما سيتم اختباره إحصائيًا في الفصل الرابع باستخدام نمذجة المعادلات الهيكلية</w:t>
      </w:r>
    </w:p>
    <w:p w14:paraId="3B8BF1C2" w14:textId="60FFFF6A" w:rsidR="002E5806" w:rsidRPr="00A67433" w:rsidRDefault="002E5806" w:rsidP="00323275">
      <w:pPr>
        <w:pStyle w:val="Heading2"/>
        <w:bidi/>
        <w:rPr>
          <w:rFonts w:ascii="Traditional Arabic" w:eastAsia="Times New Roman" w:hAnsi="Traditional Arabic" w:cs="Traditional Arabic"/>
          <w:b/>
          <w:bCs/>
          <w:sz w:val="36"/>
          <w:szCs w:val="36"/>
          <w:rtl/>
        </w:rPr>
      </w:pPr>
      <w:bookmarkStart w:id="12" w:name="_Toc218160624"/>
      <w:r>
        <w:rPr>
          <w:rFonts w:ascii="Traditional Arabic" w:eastAsia="Times New Roman" w:hAnsi="Traditional Arabic" w:cs="Traditional Arabic"/>
          <w:b/>
          <w:bCs/>
          <w:sz w:val="36"/>
          <w:szCs w:val="36"/>
          <w:rtl/>
        </w:rPr>
        <w:t>نوع الدراسة وطرق الحصول على البيانات</w:t>
      </w:r>
      <w:bookmarkEnd w:id="12"/>
      <w:r>
        <w:rPr>
          <w:rFonts w:ascii="Traditional Arabic" w:eastAsia="Times New Roman" w:hAnsi="Traditional Arabic" w:cs="Traditional Arabic"/>
          <w:b/>
          <w:bCs/>
          <w:sz w:val="36"/>
          <w:szCs w:val="36"/>
          <w:rtl/>
        </w:rPr>
        <w:t xml:space="preserve"> </w:t>
      </w:r>
    </w:p>
    <w:p w14:paraId="02C6611E" w14:textId="6B909BD1"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Pr>
          <w:rFonts w:ascii="Traditional Arabic" w:eastAsia="Times New Roman" w:hAnsi="Traditional Arabic" w:cs="Traditional Arabic"/>
          <w:color w:val="000000" w:themeColor="text1"/>
          <w:sz w:val="28"/>
          <w:szCs w:val="28"/>
        </w:rPr>
        <w:t>.</w:t>
      </w:r>
    </w:p>
    <w:p w14:paraId="00D1FFCB" w14:textId="0E5D7D5C" w:rsidR="002E5806" w:rsidRPr="002E5806" w:rsidRDefault="002E5806" w:rsidP="00527ED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Pr>
          <w:rFonts w:ascii="Traditional Arabic" w:eastAsia="Times New Roman" w:hAnsi="Traditional Arabic" w:cs="Traditional Arabic"/>
          <w:color w:val="000000" w:themeColor="text1"/>
          <w:sz w:val="28"/>
          <w:szCs w:val="28"/>
        </w:rPr>
        <w:t>.</w:t>
      </w:r>
    </w:p>
    <w:p w14:paraId="504FACF0" w14:textId="15BC5E69"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مجتمع الدراسة</w:t>
      </w:r>
    </w:p>
    <w:p w14:paraId="71EAA9A0" w14:textId="75812171"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يشمل مجتمع الدراسة العاملين والخبراء في مجالات</w:t>
      </w:r>
      <w:r>
        <w:rPr>
          <w:rFonts w:ascii="Traditional Arabic" w:eastAsia="Times New Roman" w:hAnsi="Traditional Arabic" w:cs="Traditional Arabic"/>
          <w:color w:val="000000" w:themeColor="text1"/>
          <w:sz w:val="28"/>
          <w:szCs w:val="28"/>
        </w:rPr>
        <w:t>:</w:t>
      </w:r>
    </w:p>
    <w:p w14:paraId="37ED9633" w14:textId="15AD3F0D"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إدارة الأصول</w:t>
      </w:r>
    </w:p>
    <w:p w14:paraId="36951ED0" w14:textId="7C1020E6"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التحول الرقمي</w:t>
      </w:r>
    </w:p>
    <w:p w14:paraId="57C1F833" w14:textId="6333C8D0"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الاستدامة</w:t>
      </w:r>
    </w:p>
    <w:p w14:paraId="222568FC" w14:textId="74EFF79E"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التشغيل والصيانة</w:t>
      </w:r>
    </w:p>
    <w:p w14:paraId="1039404D" w14:textId="6ED7DEBF" w:rsidR="002E5806" w:rsidRPr="00A67433" w:rsidRDefault="002E5806" w:rsidP="00B7711D">
      <w:pPr>
        <w:pStyle w:val="ListParagraph"/>
        <w:numPr>
          <w:ilvl w:val="0"/>
          <w:numId w:val="5"/>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الجودة</w:t>
      </w:r>
    </w:p>
    <w:p w14:paraId="4C757EBA" w14:textId="729A7127"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مؤسسات قطاع المياه</w:t>
      </w:r>
      <w:r>
        <w:rPr>
          <w:rFonts w:ascii="Traditional Arabic" w:eastAsia="Times New Roman" w:hAnsi="Traditional Arabic" w:cs="Traditional Arabic"/>
          <w:color w:val="000000" w:themeColor="text1"/>
          <w:sz w:val="28"/>
          <w:szCs w:val="28"/>
        </w:rPr>
        <w:t>.</w:t>
      </w:r>
    </w:p>
    <w:p w14:paraId="4BE0399C" w14:textId="4D2C5C5B"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حجم العينة وطريقة اختيارها</w:t>
      </w:r>
    </w:p>
    <w:p w14:paraId="5B615D54" w14:textId="18932214" w:rsidR="002E5806" w:rsidRPr="002E5806" w:rsidRDefault="002C01EA" w:rsidP="002C01EA">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تم تحديد حجم العينة في هذه الدراسة بما يتراوح بين (150–250) مشاركًا استنادًا إلى طبيعة مجتمع الدراسة الذي يضم فئة متخصصة من الخبراء في قطاع المياه، حيث تشير</w:t>
      </w:r>
      <w:r>
        <w:rPr>
          <w:rFonts w:ascii="Traditional Arabic" w:eastAsia="Times New Roman" w:hAnsi="Traditional Arabic" w:cs="Traditional Arabic"/>
          <w:color w:val="000000" w:themeColor="text1"/>
          <w:sz w:val="28"/>
          <w:szCs w:val="28"/>
        </w:rPr>
        <w:t xml:space="preserve"> Sekaran &amp; Bougie (2016) </w:t>
      </w:r>
      <w:r>
        <w:rPr>
          <w:rFonts w:ascii="Traditional Arabic" w:eastAsia="Times New Roman" w:hAnsi="Traditional Arabic" w:cs="Traditional Arabic"/>
          <w:color w:val="000000" w:themeColor="text1"/>
          <w:sz w:val="28"/>
          <w:szCs w:val="28"/>
          <w:rtl/>
        </w:rPr>
        <w:t>إلى أن هذا النطاق يُعد مناسبًا للدراسات التطبيقية ذات المجتمعات المحدودة والمتجانسة نسبيًا. كما يتوافق هذا الحجم مع متطلبات نمذجة المعادلات الهيكلية بطريقة المربعات الصغرى الجزئية</w:t>
      </w:r>
      <w:r>
        <w:rPr>
          <w:rFonts w:ascii="Traditional Arabic" w:eastAsia="Times New Roman" w:hAnsi="Traditional Arabic" w:cs="Traditional Arabic"/>
          <w:color w:val="000000" w:themeColor="text1"/>
          <w:sz w:val="28"/>
          <w:szCs w:val="28"/>
        </w:rPr>
        <w:t xml:space="preserve"> (PLS-SEM) </w:t>
      </w:r>
      <w:r>
        <w:rPr>
          <w:rFonts w:ascii="Traditional Arabic" w:eastAsia="Times New Roman" w:hAnsi="Traditional Arabic" w:cs="Traditional Arabic"/>
          <w:color w:val="000000" w:themeColor="text1"/>
          <w:sz w:val="28"/>
          <w:szCs w:val="28"/>
          <w:rtl/>
        </w:rPr>
        <w:t>وفق توصيات</w:t>
      </w:r>
      <w:r>
        <w:rPr>
          <w:rFonts w:ascii="Traditional Arabic" w:eastAsia="Times New Roman" w:hAnsi="Traditional Arabic" w:cs="Traditional Arabic"/>
          <w:color w:val="000000" w:themeColor="text1"/>
          <w:sz w:val="28"/>
          <w:szCs w:val="28"/>
        </w:rPr>
        <w:t xml:space="preserve"> Hair et al. (2017) </w:t>
      </w:r>
      <w:r>
        <w:rPr>
          <w:rFonts w:ascii="Traditional Arabic" w:eastAsia="Times New Roman" w:hAnsi="Traditional Arabic" w:cs="Traditional Arabic"/>
          <w:color w:val="000000" w:themeColor="text1"/>
          <w:sz w:val="28"/>
          <w:szCs w:val="28"/>
          <w:rtl/>
        </w:rPr>
        <w:t>، مما يعزز موثوقية النتائج ودقتها الإحصائية</w:t>
      </w:r>
      <w:r>
        <w:rPr>
          <w:rFonts w:ascii="Traditional Arabic" w:eastAsia="Times New Roman" w:hAnsi="Traditional Arabic" w:cs="Traditional Arabic"/>
          <w:color w:val="000000" w:themeColor="text1"/>
          <w:sz w:val="28"/>
          <w:szCs w:val="28"/>
        </w:rPr>
        <w:t>.</w:t>
      </w:r>
    </w:p>
    <w:p w14:paraId="3F049EDE" w14:textId="62073F12"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طرق جمع البيانات</w:t>
      </w:r>
    </w:p>
    <w:p w14:paraId="1866C36A" w14:textId="6AA15D1A" w:rsidR="002E5806" w:rsidRPr="00931B85" w:rsidRDefault="00234102" w:rsidP="00931B85">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noProof/>
          <w:color w:val="000000" w:themeColor="text1"/>
          <w:sz w:val="28"/>
          <w:szCs w:val="28"/>
          <w:rtl/>
          <w:lang w:val="ar-SA"/>
          <w14:ligatures w14:val="standardContextual"/>
        </w:rPr>
        <mc:AlternateContent>
          <mc:Choice Requires="wpi">
            <w:drawing>
              <wp:anchor distT="0" distB="0" distL="114300" distR="114300" simplePos="0" relativeHeight="251667456" behindDoc="0" locked="0" layoutInCell="1" allowOverlap="1" wp14:anchorId="4B7DB158" wp14:editId="7992F780">
                <wp:simplePos x="0" y="0"/>
                <wp:positionH relativeFrom="column">
                  <wp:posOffset>6624260</wp:posOffset>
                </wp:positionH>
                <wp:positionV relativeFrom="paragraph">
                  <wp:posOffset>521170</wp:posOffset>
                </wp:positionV>
                <wp:extent cx="360" cy="360"/>
                <wp:effectExtent l="57150" t="57150" r="57150" b="57150"/>
                <wp:wrapNone/>
                <wp:docPr id="369737230" name="حبر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xmlns:w16cei="http://schemas.microsoft.com/office/word/2026/wordml/cei">
            <w:pict>
              <v:shapetype w14:anchorId="0660AE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 o:spid="_x0000_s1026" type="#_x0000_t75" style="position:absolute;margin-left:520.2pt;margin-top:39.65pt;width:2.9pt;height:2.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">
                <v:imagedata r:id="rId11" o:title=""/>
              </v:shape>
            </w:pict>
          </mc:Fallback>
        </mc:AlternateContent>
      </w:r>
      <w:r>
        <w:rPr>
          <w:rFonts w:ascii="Traditional Arabic" w:eastAsia="Times New Roman" w:hAnsi="Traditional Arabic" w:cs="Traditional Arabic"/>
          <w:b/>
          <w:bCs/>
          <w:color w:val="000000" w:themeColor="text1"/>
          <w:sz w:val="28"/>
          <w:szCs w:val="28"/>
          <w:rtl/>
        </w:rPr>
        <w:t>تعتمد الدراسة على طريقتين رئيسيتين</w:t>
      </w:r>
      <w:r>
        <w:rPr>
          <w:rFonts w:ascii="Traditional Arabic" w:eastAsia="Times New Roman" w:hAnsi="Traditional Arabic" w:cs="Traditional Arabic"/>
          <w:b/>
          <w:bCs/>
          <w:color w:val="000000" w:themeColor="text1"/>
          <w:sz w:val="28"/>
          <w:szCs w:val="28"/>
        </w:rPr>
        <w:t>:</w:t>
      </w:r>
    </w:p>
    <w:p w14:paraId="396369FD" w14:textId="5783F28E"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الاستبيان الإلكتروني</w:t>
      </w:r>
      <w:r>
        <w:rPr>
          <w:rFonts w:ascii="Traditional Arabic" w:eastAsia="Times New Roman" w:hAnsi="Traditional Arabic" w:cs="Traditional Arabic"/>
          <w:color w:val="000000" w:themeColor="text1"/>
          <w:sz w:val="28"/>
          <w:szCs w:val="28"/>
        </w:rPr>
        <w:t>:</w:t>
      </w:r>
    </w:p>
    <w:p w14:paraId="4D5E9F1B" w14:textId="61710F25" w:rsidR="002E5806" w:rsidRPr="00931B85" w:rsidRDefault="002E5806" w:rsidP="00B7711D">
      <w:pPr>
        <w:pStyle w:val="ListParagraph"/>
        <w:numPr>
          <w:ilvl w:val="0"/>
          <w:numId w:val="6"/>
        </w:num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Pr>
          <w:rFonts w:ascii="Traditional Arabic" w:eastAsia="Times New Roman" w:hAnsi="Traditional Arabic" w:cs="Traditional Arabic"/>
          <w:color w:val="000000" w:themeColor="text1"/>
          <w:sz w:val="28"/>
          <w:szCs w:val="28"/>
        </w:rPr>
        <w:t>.</w:t>
      </w:r>
    </w:p>
    <w:p w14:paraId="420AB469" w14:textId="693D0194"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المقابلات شبه المهيكلة</w:t>
      </w:r>
      <w:r>
        <w:rPr>
          <w:rFonts w:ascii="Traditional Arabic" w:eastAsia="Times New Roman" w:hAnsi="Traditional Arabic" w:cs="Traditional Arabic"/>
          <w:b/>
          <w:bCs/>
          <w:color w:val="000000" w:themeColor="text1"/>
          <w:sz w:val="28"/>
          <w:szCs w:val="28"/>
        </w:rPr>
        <w:t>:</w:t>
      </w:r>
    </w:p>
    <w:p w14:paraId="41BE760B" w14:textId="2DB8B61A"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Pr>
          <w:rFonts w:ascii="Traditional Arabic" w:eastAsia="Times New Roman" w:hAnsi="Traditional Arabic" w:cs="Traditional Arabic"/>
          <w:color w:val="000000" w:themeColor="text1"/>
          <w:sz w:val="28"/>
          <w:szCs w:val="28"/>
        </w:rPr>
        <w:t>.</w:t>
      </w:r>
    </w:p>
    <w:p w14:paraId="6E7F8091" w14:textId="6E7F809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 xml:space="preserve">وتُجرى المقابلات مع عدد يتراوح بين (8-10) من قادة قطاع المياه وصانعي القرار في مواقع تنفيذية وقيادية عليا (كمدراء عموم ومدراء تنفيذيين)، وذلك لضمان تمثيل خبرة استراتيجية شاملة بممارسات الحوكمة والتحول الرقمي وإدارة الأصول. وتستغرق كل مقابلة نحو (30-45) دقيقة، وتتضمن ما بين (8-10) أسئلة مفتوحة موزعة على محاور النموذج المفاهيمي. وتُوثَّق المقابلات عبر تدوين ملاحظات ميدانية مكتوبة أثناء إجرائها مباشرةً دون تسجيل صوتي، تُراجَع وتُنظَّم فور انتهاء كل مقابلة لضمان دقة التوثيق. ويتولى </w:t>
      </w:r>
      <w:r>
        <w:rPr>
          <w:rFonts w:ascii="Traditional Arabic" w:eastAsia="Times New Roman" w:hAnsi="Traditional Arabic" w:cs="Traditional Arabic"/>
          <w:color w:val="000000" w:themeColor="text1"/>
          <w:sz w:val="28"/>
          <w:szCs w:val="28"/>
          <w:rtl/>
        </w:rPr>
        <w:lastRenderedPageBreak/>
        <w:t>الباحث بمفرده عملية الترميز والتحليل الموضوعي، مع عرض عيّنة من الترميز على المشرف الأكاديمي للتحقق من اتساقه ومصداقيته. ويُعتمَد معيار التشبع النظري</w:t>
      </w:r>
      <w:r>
        <w:rPr>
          <w:rFonts w:ascii="Traditional Arabic" w:eastAsia="Times New Roman" w:hAnsi="Traditional Arabic" w:cs="Traditional Arabic"/>
          <w:color w:val="000000" w:themeColor="text1"/>
          <w:sz w:val="28"/>
          <w:szCs w:val="28"/>
        </w:rPr>
        <w:t xml:space="preserve"> (Theoretical Saturation) </w:t>
      </w:r>
      <w:r>
        <w:rPr>
          <w:rFonts w:ascii="Traditional Arabic" w:eastAsia="Times New Roman" w:hAnsi="Traditional Arabic" w:cs="Traditional Arabic"/>
          <w:color w:val="000000" w:themeColor="text1"/>
          <w:sz w:val="28"/>
          <w:szCs w:val="28"/>
          <w:rtl/>
        </w:rPr>
        <w:t>لتحديد كفاية عدد المقابلات، بحيث يُتوقف عن إجراء مقابلات إضافية عند عدم ظهور محاور أو أنماط تفسيرية جديدة في مقابلتين متتاليتين. وتُدمَج النتائج النوعية مع النتائج الكمية في مرحلة التفسير من خلال مقارنة المحاور الموضوعية المستخلَصة من المقابلات بنتائج اختبار الفروض الكمية، بهدف تعزيز فهم الآليات التفسيرية الكامنة وراء العلاقات الإحصائية الدالة (Triangulation عند التفسير لا عند التحليل).</w:t>
      </w:r>
    </w:p>
    <w:p w14:paraId="5D46DDA1" w14:textId="5D46DDA2"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أسلوب اختيار المشاركين النوعيين: </w:t>
      </w:r>
      <w:r>
        <w:rPr>
          <w:rFonts w:ascii="Traditional Arabic" w:eastAsia="Times New Roman" w:hAnsi="Traditional Arabic" w:cs="Traditional Arabic"/>
          <w:color w:val="000000" w:themeColor="text1"/>
          <w:sz w:val="28"/>
          <w:szCs w:val="28"/>
          <w:rtl/>
        </w:rPr>
        <w:t>يُعتمَد أسلوب العينة القصدية ذات التباين الأقصى</w:t>
      </w:r>
      <w:r>
        <w:rPr>
          <w:rFonts w:ascii="Traditional Arabic" w:eastAsia="Times New Roman" w:hAnsi="Traditional Arabic" w:cs="Traditional Arabic"/>
          <w:color w:val="000000" w:themeColor="text1"/>
          <w:sz w:val="28"/>
          <w:szCs w:val="28"/>
        </w:rPr>
        <w:t xml:space="preserve"> (Purposive Maximum Variation Sampling) </w:t>
      </w:r>
      <w:r>
        <w:rPr>
          <w:rFonts w:ascii="Traditional Arabic" w:eastAsia="Times New Roman" w:hAnsi="Traditional Arabic" w:cs="Traditional Arabic"/>
          <w:color w:val="000000" w:themeColor="text1"/>
          <w:sz w:val="28"/>
          <w:szCs w:val="28"/>
          <w:rtl/>
        </w:rPr>
        <w:t>لاختيار المشاركين النوعيين، بحيث تُغطَّى قطاعات تشغيلية مختلفة من قطاعات شركة المياه الوطنية الست، إضافة إلى تمثيل الهيئة السعودية للمياه وجهة استشارية واحدة على الأقل، بما يضمن تنوعاً في وجهات النظر بدل الاقتصار على قطاع أو جهة بعينها. ويُختار المشاركون من بين المستجيبين على الاستبانة الكمية ممن أبدوا استعداداً للمشاركة في مقابلة لاحقة (عبر سؤال اختياري في نهاية الاستبانة)، أو عبر ترشيح مباشر من المشرف الأكاديمي وشبكة تواصل الباحث المهنية داخل القطاع، على أن يُراعى في الاختيار توافر شرطي الموقع القيادي والخبرة العملية المباشرة (لا تقل عن عشر سنوات) المشار إليهما سابقاً في معايير مجتمع الدراسة.</w:t>
      </w:r>
    </w:p>
    <w:p w14:paraId="5D46DDA3" w14:textId="5D46DDA4"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دليل المقابلة: </w:t>
      </w:r>
      <w:r>
        <w:rPr>
          <w:rFonts w:ascii="Traditional Arabic" w:eastAsia="Times New Roman" w:hAnsi="Traditional Arabic" w:cs="Traditional Arabic"/>
          <w:color w:val="000000" w:themeColor="text1"/>
          <w:sz w:val="28"/>
          <w:szCs w:val="28"/>
          <w:rtl/>
        </w:rPr>
        <w:t>يُصمَّم دليل مقابلة شبه منظم (Semi-Structured Interview Guide) يتضمن ثلاثة أقسام: (1) قسم استهلالي يشرح أهداف الدراسة وطبيعة المشاركة والموافقة المستنيرة؛ (2) قسم أساسي يضم الأسئلة الثمانية إلى العشرة الموزعة على محاور النموذج المفاهيمي الخمسة (سؤال إلى سؤالان لكل محور: التحول الرقمي، الاستدامة المؤسسية، الحوكمة الذكية، سلامة الأصول، الأداء المؤسسي)، تُصاغ بصورة مفتوحة تسمح للمشارك بالتوسع، مع أسئلة استقصائية احتياطية (Probes) لكل سؤال رئيس؛ (3) قسم ختامي يتيح للمشارك إضافة أي ملاحظات لم تُغطَّ في الأسئلة السابقة. ويخضع الدليل للتحكيم ضمن هيئة المحكمين الاثني عشر نفسها المشار إليها في تحكيم الاستبانة الكمية، للتحقق من وضوح الأسئلة ومناسبتها لأهداف الدراسة.</w:t>
      </w:r>
    </w:p>
    <w:p w14:paraId="5D46DDA5" w14:textId="5D46DDA6"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مراحل الترميز والتحليل الموضوعي: </w:t>
      </w:r>
      <w:r>
        <w:rPr>
          <w:rFonts w:ascii="Traditional Arabic" w:eastAsia="Times New Roman" w:hAnsi="Traditional Arabic" w:cs="Traditional Arabic"/>
          <w:color w:val="000000" w:themeColor="text1"/>
          <w:sz w:val="28"/>
          <w:szCs w:val="28"/>
          <w:rtl/>
        </w:rPr>
        <w:t xml:space="preserve">يمر التحليل الموضوعي للملاحظات الميدانية بثلاث مراحل متتابعة وفق منهجية Braun &amp; Clarke (2006): (1) </w:t>
      </w:r>
      <w:r>
        <w:rPr>
          <w:rFonts w:ascii="Traditional Arabic" w:eastAsia="Times New Roman" w:hAnsi="Traditional Arabic" w:cs="Traditional Arabic"/>
          <w:color w:val="000000" w:themeColor="text1"/>
          <w:sz w:val="28"/>
          <w:szCs w:val="28"/>
        </w:rPr>
        <w:t>الترميز المفتوح (Open Coding)</w:t>
      </w:r>
      <w:r>
        <w:rPr>
          <w:rFonts w:ascii="Traditional Arabic" w:eastAsia="Times New Roman" w:hAnsi="Traditional Arabic" w:cs="Traditional Arabic"/>
          <w:color w:val="000000" w:themeColor="text1"/>
          <w:sz w:val="28"/>
          <w:szCs w:val="28"/>
          <w:rtl/>
        </w:rPr>
        <w:t xml:space="preserve">، بقراءة الملاحظات الميدانية سطراً سطراً وتوليد رموز أولية تصف المضمون؛ (2) </w:t>
      </w:r>
      <w:r>
        <w:rPr>
          <w:rFonts w:ascii="Traditional Arabic" w:eastAsia="Times New Roman" w:hAnsi="Traditional Arabic" w:cs="Traditional Arabic"/>
          <w:color w:val="000000" w:themeColor="text1"/>
          <w:sz w:val="28"/>
          <w:szCs w:val="28"/>
        </w:rPr>
        <w:t>الترميز المحوري (Axial Coding)</w:t>
      </w:r>
      <w:r>
        <w:rPr>
          <w:rFonts w:ascii="Traditional Arabic" w:eastAsia="Times New Roman" w:hAnsi="Traditional Arabic" w:cs="Traditional Arabic"/>
          <w:color w:val="000000" w:themeColor="text1"/>
          <w:sz w:val="28"/>
          <w:szCs w:val="28"/>
          <w:rtl/>
        </w:rPr>
        <w:t xml:space="preserve">، بتجميع الرموز الأولية المتقاربة دلالياً في فئات فرعية أوسع؛ (3) </w:t>
      </w:r>
      <w:r>
        <w:rPr>
          <w:rFonts w:ascii="Traditional Arabic" w:eastAsia="Times New Roman" w:hAnsi="Traditional Arabic" w:cs="Traditional Arabic"/>
          <w:color w:val="000000" w:themeColor="text1"/>
          <w:sz w:val="28"/>
          <w:szCs w:val="28"/>
        </w:rPr>
        <w:t>التصنيف الموضوعي الانتقائي (Selective Thematic Categorization)</w:t>
      </w:r>
      <w:r>
        <w:rPr>
          <w:rFonts w:ascii="Traditional Arabic" w:eastAsia="Times New Roman" w:hAnsi="Traditional Arabic" w:cs="Traditional Arabic"/>
          <w:color w:val="000000" w:themeColor="text1"/>
          <w:sz w:val="28"/>
          <w:szCs w:val="28"/>
          <w:rtl/>
        </w:rPr>
        <w:t>، بربط الفئات الفرعية بمحاور النموذج المفاهيمي الخمسة لتشكيل موضوعات نهائية (Themes) قابلة للمقارنة المباشرة بنتائج الاختبار الكمي للفروض. ولضمان موثوقية الترميز رغم انفراد الباحث بتنفيذه، تخضع عيّنة عشوائية (لا تقل عن 20%) من الترميز الأولي لمراجعة مستقلة من المشرف الأكاديمي، ويُحتسب معامل اتفاق نوعي وصفي بين ترميز الباحث ومراجعة المشرف قبل اعتماد المخطط الترميزي النهائي.</w:t>
      </w:r>
    </w:p>
    <w:p w14:paraId="5D46DDA7" w14:textId="5D46DDA8"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معايير الموثوقية النوعية: </w:t>
      </w:r>
      <w:r>
        <w:rPr>
          <w:rFonts w:ascii="Traditional Arabic" w:eastAsia="Times New Roman" w:hAnsi="Traditional Arabic" w:cs="Traditional Arabic"/>
          <w:color w:val="000000" w:themeColor="text1"/>
          <w:sz w:val="28"/>
          <w:szCs w:val="28"/>
          <w:rtl/>
        </w:rPr>
        <w:t xml:space="preserve">تُقيَّم جودة التحليل النوعي وفق محكات Lincoln &amp; Guba (1985) البديلة عن الصدق والثبات التقليديين: </w:t>
      </w:r>
      <w:r>
        <w:rPr>
          <w:rFonts w:ascii="Traditional Arabic" w:eastAsia="Times New Roman" w:hAnsi="Traditional Arabic" w:cs="Traditional Arabic"/>
          <w:b/>
          <w:bCs/>
          <w:color w:val="000000" w:themeColor="text1"/>
          <w:sz w:val="28"/>
          <w:szCs w:val="28"/>
          <w:rtl/>
        </w:rPr>
        <w:t xml:space="preserve">المصداقية </w:t>
      </w:r>
      <w:r>
        <w:rPr>
          <w:rFonts w:ascii="Traditional Arabic" w:eastAsia="Times New Roman" w:hAnsi="Traditional Arabic" w:cs="Traditional Arabic"/>
          <w:color w:val="000000" w:themeColor="text1"/>
          <w:sz w:val="28"/>
          <w:szCs w:val="28"/>
        </w:rPr>
        <w:t xml:space="preserve">(Credibility) </w:t>
      </w:r>
      <w:r>
        <w:rPr>
          <w:rFonts w:ascii="Traditional Arabic" w:eastAsia="Times New Roman" w:hAnsi="Traditional Arabic" w:cs="Traditional Arabic"/>
          <w:color w:val="000000" w:themeColor="text1"/>
          <w:sz w:val="28"/>
          <w:szCs w:val="28"/>
          <w:rtl/>
        </w:rPr>
        <w:t xml:space="preserve">عبر مراجعة المشرف لعيّنة الترميز؛ </w:t>
      </w:r>
      <w:r>
        <w:rPr>
          <w:rFonts w:ascii="Traditional Arabic" w:eastAsia="Times New Roman" w:hAnsi="Traditional Arabic" w:cs="Traditional Arabic"/>
          <w:b/>
          <w:bCs/>
          <w:color w:val="000000" w:themeColor="text1"/>
          <w:sz w:val="28"/>
          <w:szCs w:val="28"/>
          <w:rtl/>
        </w:rPr>
        <w:t xml:space="preserve">إمكانية التتبع </w:t>
      </w:r>
      <w:r>
        <w:rPr>
          <w:rFonts w:ascii="Traditional Arabic" w:eastAsia="Times New Roman" w:hAnsi="Traditional Arabic" w:cs="Traditional Arabic"/>
          <w:color w:val="000000" w:themeColor="text1"/>
          <w:sz w:val="28"/>
          <w:szCs w:val="28"/>
        </w:rPr>
        <w:t xml:space="preserve">(Dependability) </w:t>
      </w:r>
      <w:r>
        <w:rPr>
          <w:rFonts w:ascii="Traditional Arabic" w:eastAsia="Times New Roman" w:hAnsi="Traditional Arabic" w:cs="Traditional Arabic"/>
          <w:color w:val="000000" w:themeColor="text1"/>
          <w:sz w:val="28"/>
          <w:szCs w:val="28"/>
          <w:rtl/>
        </w:rPr>
        <w:t xml:space="preserve">عبر الاحتفاظ </w:t>
      </w:r>
      <w:r>
        <w:rPr>
          <w:rFonts w:ascii="Traditional Arabic" w:eastAsia="Times New Roman" w:hAnsi="Traditional Arabic" w:cs="Traditional Arabic"/>
          <w:color w:val="000000" w:themeColor="text1"/>
          <w:sz w:val="28"/>
          <w:szCs w:val="28"/>
          <w:rtl/>
        </w:rPr>
        <w:lastRenderedPageBreak/>
        <w:t>بسجل تدقيق (Audit Trail) يوثق قرارات الترميز والتصنيف خطوة بخطوة؛ و</w:t>
      </w:r>
      <w:r>
        <w:rPr>
          <w:rFonts w:ascii="Traditional Arabic" w:eastAsia="Times New Roman" w:hAnsi="Traditional Arabic" w:cs="Traditional Arabic"/>
          <w:b/>
          <w:bCs/>
          <w:color w:val="000000" w:themeColor="text1"/>
          <w:sz w:val="28"/>
          <w:szCs w:val="28"/>
          <w:rtl/>
        </w:rPr>
        <w:t xml:space="preserve">قابلية التثبت </w:t>
      </w:r>
      <w:r>
        <w:rPr>
          <w:rFonts w:ascii="Traditional Arabic" w:eastAsia="Times New Roman" w:hAnsi="Traditional Arabic" w:cs="Traditional Arabic"/>
          <w:color w:val="000000" w:themeColor="text1"/>
          <w:sz w:val="28"/>
          <w:szCs w:val="28"/>
        </w:rPr>
        <w:t xml:space="preserve">(Confirmability) </w:t>
      </w:r>
      <w:r>
        <w:rPr>
          <w:rFonts w:ascii="Traditional Arabic" w:eastAsia="Times New Roman" w:hAnsi="Traditional Arabic" w:cs="Traditional Arabic"/>
          <w:color w:val="000000" w:themeColor="text1"/>
          <w:sz w:val="28"/>
          <w:szCs w:val="28"/>
          <w:rtl/>
        </w:rPr>
        <w:t>عبر مراجعة الباحث لافتراضاته المسبقة (Reflexivity) قبل الترميز، للحد من تأثير خبرته المهنية الطويلة في قطاع المياه على تفسير بيانات المقابلات.</w:t>
      </w:r>
    </w:p>
    <w:p w14:paraId="5D46DDA9" w14:textId="5D46DDAA" w:rsidR="002E5806"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b/>
          <w:bCs/>
          <w:color w:val="000000" w:themeColor="text1"/>
          <w:sz w:val="28"/>
          <w:szCs w:val="28"/>
          <w:rtl/>
        </w:rPr>
        <w:t xml:space="preserve">آلية الدمج التفصيلية (Joint Display): </w:t>
      </w:r>
      <w:r>
        <w:rPr>
          <w:rFonts w:ascii="Traditional Arabic" w:eastAsia="Times New Roman" w:hAnsi="Traditional Arabic" w:cs="Traditional Arabic"/>
          <w:color w:val="000000" w:themeColor="text1"/>
          <w:sz w:val="28"/>
          <w:szCs w:val="28"/>
          <w:rtl/>
        </w:rPr>
        <w:t>استكمالاً للوصف العام لدمج النتائج الوارد أعلاه، تُستخدم تقنية "العرض المشترك" (Joint Display) وفق Fetters, Curry &amp; Creswell (2013) بوصفها الأداة التطبيقية لهذا الدمج؛ إذ يُعَدّ جدول مقارنة جنباً إلى جنب (Side-by-Side Comparison) في الفصل الرابع يضع في العمود الأول نتيجة اختبار كل فرض كمي (معامل المسار ودلالته الإحصائية)، وفي العمود الثاني الموضوعات النوعية ذات الصلة المستخلَصة من ترميز المقابلات لهذا المسار تحديداً، وفي عمود ثالث تفسيراً تكاملياً (Meta-Inference) يوضح مدى التقارب (Convergence) أو التباين (Divergence) بين النتيجتين ودلالة ذلك لفهم آلية العلاقة، لا الاكتفاء بمقارنة سردية عامة بين الشقين.</w:t>
      </w:r>
    </w:p>
    <w:p w14:paraId="5D46DD27" w14:textId="7EE49223" w:rsidR="002E5806" w:rsidRPr="00931B85" w:rsidRDefault="002E5806" w:rsidP="0072496D">
      <w:pPr>
        <w:bidi/>
        <w:spacing w:before="240"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مبرر اختيار هذا الأسلوب</w:t>
      </w:r>
    </w:p>
    <w:p w14:paraId="72679B53" w14:textId="67935363" w:rsidR="00566E72" w:rsidRDefault="002E5806" w:rsidP="0072496D">
      <w:pPr>
        <w:bidi/>
        <w:spacing w:before="240" w:after="200"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AB9D612" w14:textId="77777777" w:rsidR="00B266F4" w:rsidRDefault="00B266F4" w:rsidP="00B266F4">
      <w:pPr>
        <w:bidi/>
        <w:spacing w:after="200" w:line="360" w:lineRule="auto"/>
        <w:jc w:val="both"/>
        <w:rPr>
          <w:rFonts w:ascii="Traditional Arabic" w:eastAsia="Times New Roman" w:hAnsi="Traditional Arabic" w:cs="Traditional Arabic"/>
          <w:color w:val="000000" w:themeColor="text1"/>
          <w:sz w:val="28"/>
          <w:szCs w:val="28"/>
          <w:rtl/>
        </w:rPr>
      </w:pPr>
    </w:p>
    <w:p w14:paraId="0ACD3EE2"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الفصل الثاني</w:t>
      </w:r>
    </w:p>
    <w:p w14:paraId="7EF213E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الإطار النظري والدراسات السابقة</w:t>
      </w:r>
    </w:p>
    <w:p w14:paraId="27F280C7" w14:textId="77777777" w:rsidR="00BD0159" w:rsidRPr="00BD0159" w:rsidRDefault="00BD0159" w:rsidP="00B2746E">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مقدمة</w:t>
      </w:r>
    </w:p>
    <w:p w14:paraId="1D430F83" w14:textId="77777777" w:rsidR="00BD0159" w:rsidRP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يُعد هذا الفصل المرتكز الرئيس الذي تقوم عليه الدراسة، إذ يمثل الهيكل النظري الذي يُبنى عليه النموذج المفاهيمي وتُصاغ في ضوئه الفرضيات البحثية. ويعتمد الباحث في هذا الفصل على استعراض وتحليل الأدبيات العلمية ذات الصلة بمتغيرات الدراسة، بما يعكس استيعابًا نقديًا للنظريات والمفاهيم المعتمدة، ويبرر أسباب اختيارها ومدى ملاءمتها لسياق الدراسة وتطبيقها في قطاع المياه</w:t>
      </w:r>
      <w:r>
        <w:rPr>
          <w:rFonts w:ascii="Traditional Arabic" w:eastAsia="Times New Roman" w:hAnsi="Traditional Arabic" w:cs="Traditional Arabic"/>
          <w:color w:val="000000" w:themeColor="text1"/>
          <w:sz w:val="28"/>
          <w:szCs w:val="28"/>
        </w:rPr>
        <w:t>.</w:t>
      </w:r>
    </w:p>
    <w:p w14:paraId="30B6D76D" w14:textId="77777777" w:rsidR="00BD0159" w:rsidRDefault="00BD0159" w:rsidP="00BD0159">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وينقسم هذا الفصل إلى جزئين رئيسين؛ أولهما الإطار النظري الذي يتناول الخلفية العلمية لمتغيرات الدراسة، وثانيهما الدراسات السابقة التي تستعرض البحوث ذات الصلة وتحللها وصولًا إلى تحديد الفجوة البحثية</w:t>
      </w:r>
      <w:r>
        <w:rPr>
          <w:rFonts w:ascii="Traditional Arabic" w:eastAsia="Times New Roman" w:hAnsi="Traditional Arabic" w:cs="Traditional Arabic"/>
          <w:color w:val="000000" w:themeColor="text1"/>
          <w:sz w:val="28"/>
          <w:szCs w:val="28"/>
        </w:rPr>
        <w:t>.</w:t>
      </w:r>
    </w:p>
    <w:p w14:paraId="755E78B8" w14:textId="77777777" w:rsidR="00DC22F6" w:rsidRDefault="00DC22F6"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lastRenderedPageBreak/>
        <w:t>كما تم عرض النموذج المفاهيمي للدراسة بشكل تفصيلي في الفصل الأول، ويُعاد توظيفه في هذا الفصل بوصفه إطارًا مرجعيًا يوجّه تحليل الأدبيات وتفسير العلاقات بين المتغيرات، تمهيدًا لبناء الفروض واختبارها</w:t>
      </w:r>
      <w:r>
        <w:rPr>
          <w:rFonts w:ascii="Traditional Arabic" w:eastAsia="Times New Roman" w:hAnsi="Traditional Arabic" w:cs="Traditional Arabic"/>
          <w:color w:val="000000" w:themeColor="text1"/>
          <w:sz w:val="28"/>
          <w:szCs w:val="28"/>
        </w:rPr>
        <w:t>.</w:t>
      </w:r>
    </w:p>
    <w:p w14:paraId="71734B55" w14:textId="4584091D" w:rsidR="00BD0159" w:rsidRDefault="00BD0159" w:rsidP="00DC22F6">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وانطلاقًا من موضوع الدراسة المتمثل في بناء نموذج حوكمة ذكي لإدارة التفتيش الفني في أصول البنية التحتية المائية من خلال تكامل التحول الرقمي والاستدامة والأداء المؤسسي، سيتم تناول المتغيرات وفق ترتيبها المنطقي، مع مراعاة التوازن في العرض، وعدم الإفراط في تناول متغير على حساب آخر</w:t>
      </w:r>
      <w:r>
        <w:rPr>
          <w:rFonts w:ascii="Traditional Arabic" w:eastAsia="Times New Roman" w:hAnsi="Traditional Arabic" w:cs="Traditional Arabic"/>
          <w:color w:val="000000" w:themeColor="text1"/>
          <w:sz w:val="28"/>
          <w:szCs w:val="28"/>
        </w:rPr>
        <w:t>.</w:t>
      </w:r>
    </w:p>
    <w:p w14:paraId="1BA0485A" w14:textId="77777777" w:rsidR="00ED3AE7" w:rsidRPr="00ED3AE7" w:rsidRDefault="00ED3AE7" w:rsidP="00ED3AE7">
      <w:pPr>
        <w:pStyle w:val="Heading2"/>
        <w:bidi/>
        <w:rPr>
          <w:rFonts w:ascii="Traditional Arabic" w:hAnsi="Traditional Arabic" w:cs="Traditional Arabic"/>
          <w:b/>
          <w:bCs/>
          <w:sz w:val="36"/>
          <w:szCs w:val="36"/>
        </w:rPr>
      </w:pPr>
      <w:r>
        <w:rPr>
          <w:rFonts w:ascii="Traditional Arabic" w:hAnsi="Traditional Arabic" w:cs="Traditional Arabic"/>
          <w:b/>
          <w:bCs/>
          <w:sz w:val="36"/>
          <w:szCs w:val="36"/>
          <w:rtl/>
        </w:rPr>
        <w:t>الأسس النظرية للدراسة</w:t>
      </w:r>
    </w:p>
    <w:p w14:paraId="6F045CD0"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يستند النموذج المفاهيمي المقترح في هذه الدراسة إلى مجموعة من النظريات التنظيمية والإدارية التي تسهم في تفسير العلاقات بين متغيرات الدراسة المتمثلة في التحول الرقمي، والحوكمة الذكية، والاستدامة المؤسسية، وسلامة أصول البنية التحتية، والأداء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وتوفر هذه النظريات إطارًا تفسيرياً لفهم كيفية تفاعل العوامل التقنية والتنظيمية داخل المؤسسات المعتمدة على الأصول والبنية التحتية، خاصة في القطاعات الخدمية كثيفة الاستثمار مثل قطاع المياه</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ومن أبرز النظريات التي تستند إليها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نظرية التحول الرقمي، والنظرية المؤسسية، ونظرية الحوكمة</w:t>
      </w:r>
      <w:r>
        <w:rPr>
          <w:rFonts w:ascii="Traditional Arabic" w:eastAsia="Times New Roman" w:hAnsi="Traditional Arabic" w:cs="Traditional Arabic"/>
          <w:color w:val="000000" w:themeColor="text1"/>
          <w:sz w:val="28"/>
          <w:szCs w:val="28"/>
        </w:rPr>
        <w:t>.</w:t>
      </w:r>
    </w:p>
    <w:p w14:paraId="156999A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أولًا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التحول الرقمي</w:t>
      </w:r>
      <w:r>
        <w:rPr>
          <w:rFonts w:ascii="Traditional Arabic" w:eastAsiaTheme="majorEastAsia" w:hAnsi="Traditional Arabic" w:cs="Traditional Arabic"/>
          <w:b/>
          <w:bCs/>
          <w:color w:val="2F5496" w:themeColor="accent1" w:themeShade="BF"/>
          <w:sz w:val="36"/>
          <w:szCs w:val="36"/>
        </w:rPr>
        <w:t xml:space="preserve"> (Digital Transformation Theory)</w:t>
      </w:r>
    </w:p>
    <w:p w14:paraId="0F37E8A5"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تشير نظرية التحول الرقمي إلى أن التقنيات الرقمية لا تقتصر على تحسين العمليات التشغيلية القائمة، بل تسهم في إحداث تحولات جوهرية في نماذج الأعمال والهياكل التنظيمية وأساليب اتخاذ القرار داخل المؤسسات</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ويشير</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إلى أن التحول الرقمي يمثل عملية مؤسسية متعددة الأبعاد تهدف إلى خلق قيمة استراتيجية من خلال توظيف التقنيات الرقمية وإعادة تصميم العمليات والموارد التنظيمية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وفي سياق إدارة أصول البنية التحتية، يسهم التحول الرقمي في تعزيز موثوقية الأصول وتحسين القدرة على التنبؤ بالأعطال وإدارة المخاطر التشغيلية من خلال استخدام البيانات وتحليلاتها في دعم القرارات التشغيلية والاستراتيجية</w:t>
      </w:r>
      <w:r>
        <w:rPr>
          <w:rFonts w:ascii="Traditional Arabic" w:eastAsia="Times New Roman" w:hAnsi="Traditional Arabic" w:cs="Traditional Arabic"/>
          <w:color w:val="000000" w:themeColor="text1"/>
          <w:sz w:val="28"/>
          <w:szCs w:val="28"/>
        </w:rPr>
        <w:t>.</w:t>
      </w:r>
    </w:p>
    <w:p w14:paraId="6EE4C107"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ثانيًا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النظرية المؤسسية</w:t>
      </w:r>
      <w:r>
        <w:rPr>
          <w:rFonts w:ascii="Traditional Arabic" w:eastAsiaTheme="majorEastAsia" w:hAnsi="Traditional Arabic" w:cs="Traditional Arabic"/>
          <w:b/>
          <w:bCs/>
          <w:color w:val="2F5496" w:themeColor="accent1" w:themeShade="BF"/>
          <w:sz w:val="36"/>
          <w:szCs w:val="36"/>
        </w:rPr>
        <w:t xml:space="preserve"> (Institutional Theory)</w:t>
      </w:r>
    </w:p>
    <w:p w14:paraId="58CE277F" w14:textId="777777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تفسر النظرية المؤسسية سلوك المؤسسات في تبني الممارسات التنظيمية والتقنية الجديدة استجابةً للضغوط التنظيمية والتشريعية والاجتماعية التي تواجهها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 xml:space="preserve">وتشير هذه النظرية إلى أن المؤسسات تسعى إلى تحقيق الشرعية المؤسسية من خلال التوافق مع المعايير </w:t>
      </w:r>
      <w:r>
        <w:rPr>
          <w:rFonts w:ascii="Traditional Arabic" w:eastAsia="Times New Roman" w:hAnsi="Traditional Arabic" w:cs="Traditional Arabic"/>
          <w:color w:val="000000" w:themeColor="text1"/>
          <w:sz w:val="28"/>
          <w:szCs w:val="28"/>
          <w:rtl/>
        </w:rPr>
        <w:lastRenderedPageBreak/>
        <w:t>التنظيمية والبيئية السائدة</w:t>
      </w:r>
      <w:r>
        <w:rPr>
          <w:rFonts w:ascii="Traditional Arabic" w:eastAsia="Times New Roman" w:hAnsi="Traditional Arabic" w:cs="Traditional Arabic"/>
          <w:color w:val="000000" w:themeColor="text1"/>
          <w:sz w:val="28"/>
          <w:szCs w:val="28"/>
        </w:rPr>
        <w:t xml:space="preserve"> (DiMaggio &amp; Powell, 1983). </w:t>
      </w:r>
      <w:r>
        <w:rPr>
          <w:rFonts w:ascii="Traditional Arabic" w:eastAsia="Times New Roman" w:hAnsi="Traditional Arabic" w:cs="Traditional Arabic"/>
          <w:color w:val="000000" w:themeColor="text1"/>
          <w:sz w:val="28"/>
          <w:szCs w:val="28"/>
          <w:rtl/>
        </w:rPr>
        <w:t>وفي سياق التحول الرقمي والحوكمة في قطاع المياه، تساعد هذه النظرية في تفسير توجه المؤسسات نحو تبني ممارسات الحوكمة الرقمية وتعزيز الاستدامة المؤسسية، استجابة للتوجهات العالمية والمتطلبات التنظيمية المرتبطة بإدارة الموارد والبنية التحتية الحيوية</w:t>
      </w:r>
      <w:r>
        <w:rPr>
          <w:rFonts w:ascii="Traditional Arabic" w:eastAsia="Times New Roman" w:hAnsi="Traditional Arabic" w:cs="Traditional Arabic"/>
          <w:color w:val="000000" w:themeColor="text1"/>
          <w:sz w:val="28"/>
          <w:szCs w:val="28"/>
        </w:rPr>
        <w:t>.</w:t>
      </w:r>
    </w:p>
    <w:p w14:paraId="77CE1A03"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ثالثًا</w:t>
      </w:r>
      <w:r>
        <w:rPr>
          <w:rFonts w:ascii="Traditional Arabic" w:eastAsiaTheme="majorEastAsia" w:hAnsi="Traditional Arabic" w:cs="Traditional Arabic"/>
          <w:b/>
          <w:bCs/>
          <w:color w:val="2F5496" w:themeColor="accent1" w:themeShade="BF"/>
          <w:sz w:val="36"/>
          <w:szCs w:val="36"/>
        </w:rPr>
        <w:t xml:space="preserve">: </w:t>
      </w:r>
      <w:r>
        <w:rPr>
          <w:rFonts w:ascii="Traditional Arabic" w:eastAsiaTheme="majorEastAsia" w:hAnsi="Traditional Arabic" w:cs="Traditional Arabic"/>
          <w:b/>
          <w:bCs/>
          <w:color w:val="2F5496" w:themeColor="accent1" w:themeShade="BF"/>
          <w:sz w:val="36"/>
          <w:szCs w:val="36"/>
          <w:rtl/>
        </w:rPr>
        <w:t>نظرية الحوكمة</w:t>
      </w:r>
      <w:r>
        <w:rPr>
          <w:rFonts w:ascii="Traditional Arabic" w:eastAsiaTheme="majorEastAsia" w:hAnsi="Traditional Arabic" w:cs="Traditional Arabic"/>
          <w:b/>
          <w:bCs/>
          <w:color w:val="2F5496" w:themeColor="accent1" w:themeShade="BF"/>
          <w:sz w:val="36"/>
          <w:szCs w:val="36"/>
        </w:rPr>
        <w:t xml:space="preserve"> (Governance Theory)</w:t>
      </w:r>
    </w:p>
    <w:p w14:paraId="38C8CDFD" w14:textId="50B64977" w:rsidR="00ED3AE7" w:rsidRPr="00ED3AE7" w:rsidRDefault="00ED3AE7" w:rsidP="00ED3AE7">
      <w:pPr>
        <w:bidi/>
        <w:spacing w:after="200" w:line="360"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نظرية الحوكمة على أهمية وجود هياكل تنظيمية وآليات رقابية فعالة تضمن توجيه الموارد والقرارات المؤسسية بما يحقق الأهداف الاستراتيجية للمؤسسة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ومع تطور التقنيات الرقمية، برز مفهوم الحوكمة الذكية الذي يجمع بين مبادئ الحوكمة المؤسسية والتقنيات الرقمية وتحليلات البيانات بهدف تعزيز الشفافية وتحسين جودة اتخاذ القرار المؤسسي</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وفي إطار هذه الدراسة، تمثل الحوكمة الذكية آلية تنظيمية تسهم في توجيه استخدام التقنيات الرقمية وممارسات الاستدامة المؤسسية بما يعزز سلامة أصول البنية التحتية ويرفع مستوى الأداء المؤسسي في قطاع المياه</w:t>
      </w:r>
      <w:r>
        <w:rPr>
          <w:rFonts w:ascii="Traditional Arabic" w:eastAsia="Times New Roman" w:hAnsi="Traditional Arabic" w:cs="Traditional Arabic"/>
          <w:color w:val="000000" w:themeColor="text1"/>
          <w:sz w:val="28"/>
          <w:szCs w:val="28"/>
        </w:rPr>
        <w:t>.</w:t>
      </w:r>
    </w:p>
    <w:p w14:paraId="0A934824" w14:textId="77777777" w:rsidR="00ED3AE7" w:rsidRPr="00ED3AE7" w:rsidRDefault="00ED3AE7" w:rsidP="00ED3AE7">
      <w:pPr>
        <w:bidi/>
        <w:spacing w:after="200" w:line="360" w:lineRule="auto"/>
        <w:jc w:val="both"/>
        <w:rPr>
          <w:rFonts w:ascii="Traditional Arabic" w:eastAsiaTheme="majorEastAsia" w:hAnsi="Traditional Arabic" w:cs="Traditional Arabic"/>
          <w:b/>
          <w:bCs/>
          <w:color w:val="2F5496" w:themeColor="accent1" w:themeShade="BF"/>
          <w:sz w:val="36"/>
          <w:szCs w:val="36"/>
        </w:rPr>
      </w:pPr>
      <w:r>
        <w:rPr>
          <w:rFonts w:ascii="Traditional Arabic" w:eastAsiaTheme="majorEastAsia" w:hAnsi="Traditional Arabic" w:cs="Traditional Arabic"/>
          <w:b/>
          <w:bCs/>
          <w:color w:val="2F5496" w:themeColor="accent1" w:themeShade="BF"/>
          <w:sz w:val="36"/>
          <w:szCs w:val="36"/>
          <w:rtl/>
        </w:rPr>
        <w:t>ارتباط الأسس النظرية بالنموذج المفاهيمي للدراسة</w:t>
      </w:r>
    </w:p>
    <w:p w14:paraId="2F464549" w14:textId="6B2ACAB4" w:rsidR="00ED3AE7" w:rsidRPr="00BD0159" w:rsidRDefault="00ED3AE7" w:rsidP="00ED3AE7">
      <w:pPr>
        <w:bidi/>
        <w:spacing w:after="20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هذه الأسس النظرية، يمكن تفسير العلاقات بين متغيرات الدراسة ضمن إطار تكاملي يوضح دور التحول الرقمي والاستدامة المؤسسية في تحسين إدارة أصول البنية التحتية، في حين تؤدي الحوكمة الذكية دورًا تنظيميًا وسيطًا يوجه تأثير هذه المدخلات نحو تعزيز سلامة الأصول وتحسين الأداء المؤسسي</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وبناءً على ذلك، يفترض النموذج المفاهيمي للدراسة أن تكامل التحول الرقمي والاستدامة المؤسسية ضمن إطار حوكمة ذكية يسهم في تعزيز موثوقية أصول البنية التحتية المائية وتحسين كفاءة الأداء المؤسسي في قطاع المياه</w:t>
      </w:r>
      <w:r>
        <w:rPr>
          <w:rFonts w:ascii="Traditional Arabic" w:eastAsia="Times New Roman" w:hAnsi="Traditional Arabic" w:cs="Traditional Arabic"/>
          <w:color w:val="000000" w:themeColor="text1"/>
          <w:sz w:val="28"/>
          <w:szCs w:val="28"/>
        </w:rPr>
        <w:t>.</w:t>
      </w:r>
    </w:p>
    <w:p w14:paraId="2D9864FA" w14:textId="0831BCDC" w:rsidR="00AE77C1" w:rsidRDefault="00BD0159" w:rsidP="00AE77C1">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أولًا: الإطار النظري</w:t>
      </w:r>
    </w:p>
    <w:p w14:paraId="2A417788" w14:textId="77777777" w:rsidR="00FD34FA" w:rsidRPr="00FD34FA" w:rsidRDefault="00FD34FA" w:rsidP="00FD34FA">
      <w:pPr>
        <w:bidi/>
        <w:rPr>
          <w:rtl/>
        </w:rPr>
      </w:pPr>
    </w:p>
    <w:p w14:paraId="03D3A122" w14:textId="2242E9F8" w:rsidR="00BD0159" w:rsidRDefault="00BD0159" w:rsidP="00B7711D">
      <w:pPr>
        <w:pStyle w:val="Heading2"/>
        <w:numPr>
          <w:ilvl w:val="0"/>
          <w:numId w:val="18"/>
        </w:numPr>
        <w:bidi/>
        <w:rPr>
          <w:rFonts w:ascii="Traditional Arabic" w:hAnsi="Traditional Arabic" w:cs="Traditional Arabic"/>
          <w:b/>
          <w:bCs/>
          <w:sz w:val="36"/>
          <w:szCs w:val="36"/>
          <w:rtl/>
        </w:rPr>
      </w:pPr>
      <w:r>
        <w:rPr>
          <w:rFonts w:ascii="Traditional Arabic" w:hAnsi="Traditional Arabic" w:cs="Traditional Arabic"/>
          <w:b/>
          <w:bCs/>
          <w:sz w:val="36"/>
          <w:szCs w:val="36"/>
          <w:rtl/>
        </w:rPr>
        <w:t>التحول الرقمي</w:t>
      </w:r>
    </w:p>
    <w:p w14:paraId="1FE978E6" w14:textId="0F7195A3"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1-1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تعريف التحول الرقمي</w:t>
      </w:r>
    </w:p>
    <w:p w14:paraId="0AEE19B8"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لم يعد التحول الرقمي يُفهم بوصفه “رقمنة” للإجراءات القائمة فحسب، بل أصبح يُنظر إليه كتحول استراتيجي يعيد تشكيل منطق التشغيل، وبنية القرار، ونماذج تقديم الخدمة داخل المؤسسة. ويُعرَّف التحول الرقمي بأنه توظيف التقنيات الرقمية لإحداث تغيير جوهري في العمليات والموارد وآليات العمل بما يولِّد قيمة مستدامة على المدى الطويل</w:t>
      </w:r>
      <w:r>
        <w:rPr>
          <w:rFonts w:ascii="Traditional Arabic" w:eastAsia="Times New Roman" w:hAnsi="Traditional Arabic" w:cs="Traditional Arabic"/>
          <w:color w:val="000000" w:themeColor="text1"/>
          <w:sz w:val="28"/>
          <w:szCs w:val="28"/>
        </w:rPr>
        <w:t xml:space="preserve"> (Vial, 2019). </w:t>
      </w:r>
      <w:r>
        <w:rPr>
          <w:rFonts w:ascii="Traditional Arabic" w:eastAsia="Times New Roman" w:hAnsi="Traditional Arabic" w:cs="Traditional Arabic"/>
          <w:color w:val="000000" w:themeColor="text1"/>
          <w:sz w:val="28"/>
          <w:szCs w:val="28"/>
          <w:rtl/>
        </w:rPr>
        <w:t xml:space="preserve">كما يؤكد منظور التحول المؤسسي </w:t>
      </w:r>
      <w:r>
        <w:rPr>
          <w:rFonts w:ascii="Traditional Arabic" w:eastAsia="Times New Roman" w:hAnsi="Traditional Arabic" w:cs="Traditional Arabic"/>
          <w:color w:val="000000" w:themeColor="text1"/>
          <w:sz w:val="28"/>
          <w:szCs w:val="28"/>
          <w:rtl/>
        </w:rPr>
        <w:lastRenderedPageBreak/>
        <w:t>أن النجاح الرقمي لا يتحقق بمجرد إدخال أنظمة جديدة، بل عبر مواءمة التقنية مع الاستراتيجية وإعادة تصميم العمليات وتشكيل الثقافة التنظيمية بما يضمن “ترجمة” التقنية إلى أثرٍ تشغيلي ومؤسسي ملموس</w:t>
      </w:r>
      <w:r>
        <w:rPr>
          <w:rFonts w:ascii="Traditional Arabic" w:eastAsia="Times New Roman" w:hAnsi="Traditional Arabic" w:cs="Traditional Arabic"/>
          <w:color w:val="000000" w:themeColor="text1"/>
          <w:sz w:val="28"/>
          <w:szCs w:val="28"/>
        </w:rPr>
        <w:t xml:space="preserve"> (Verhoef et al., 2021).</w:t>
      </w:r>
    </w:p>
    <w:p w14:paraId="6B5D5CD1"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تتبنى هذه الدراسة تعريفًا إجرائيًا للتحول الرقمي بوصفه منظومة تكاملية تشمل: (1) بنية رقمية وتقنيات تشغيلية، (2) إعادة هندسة عمليات، (3) تنمية قدرات بشرية وإدارة تغيير، (4) مواءمة استراتيجية وقياس أثر؛ وذلك بما يخدم غاية الدراسة في تعزيز سلامة الأصول والأداء المؤسسي في قطاع المياه</w:t>
      </w:r>
      <w:r>
        <w:rPr>
          <w:rFonts w:ascii="Traditional Arabic" w:eastAsia="Times New Roman" w:hAnsi="Traditional Arabic" w:cs="Traditional Arabic"/>
          <w:color w:val="000000" w:themeColor="text1"/>
          <w:sz w:val="28"/>
          <w:szCs w:val="28"/>
        </w:rPr>
        <w:t>.</w:t>
      </w:r>
    </w:p>
    <w:p w14:paraId="77BEA7DF" w14:textId="2BAFA2DC" w:rsidR="00AE77C1" w:rsidRPr="00AE77C1" w:rsidRDefault="00AE77C1" w:rsidP="00AE77C1">
      <w:pPr>
        <w:bidi/>
        <w:spacing w:after="200" w:line="360" w:lineRule="auto"/>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التحول الرقمي في القطاع العام وقطاع المياه</w:t>
      </w:r>
    </w:p>
    <w:p w14:paraId="683B1038" w14:textId="6F8F0F0C"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تزايد تبني القطاع العام للتحول الرقمي تحت ضغط متطلبات الكفاءة والشفافية وجودة الخدمة، إذ يرتبط التحول الرقمي بتحسين التكامل المعلوماتي، وتسريع الاستجابة، ودعم القرار القائم على البيانات</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كما تشير تقارير دولية إلى أن الحوكمة الرقمية تمثل رافعة لتحسين الأداء الحكومي عبر تعزيز جودة القرار ورفع قدرة المؤسسات على إدارة الموارد والمخاطر</w:t>
      </w:r>
      <w:r>
        <w:rPr>
          <w:rFonts w:ascii="Traditional Arabic" w:eastAsia="Times New Roman" w:hAnsi="Traditional Arabic" w:cs="Traditional Arabic"/>
          <w:color w:val="000000" w:themeColor="text1"/>
          <w:sz w:val="28"/>
          <w:szCs w:val="28"/>
        </w:rPr>
        <w:t xml:space="preserve"> (OECD, 2020).</w:t>
      </w:r>
    </w:p>
    <w:p w14:paraId="3CEA1813"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وفي قطاع المياه تحديدًا، تتضاعف أهمية التحول الرقمي بسبب الطبيعة الشبكية المعقدة للأصول وارتفاع تكلفة الأعطال والفاقد، ما يجعل التقنيات الرقمية أداة داعمة للرقابة الاستباقية، والصيانة التنبؤية، وتحسين موثوقية الخدمة</w:t>
      </w:r>
      <w:r>
        <w:rPr>
          <w:rFonts w:ascii="Traditional Arabic" w:eastAsia="Times New Roman" w:hAnsi="Traditional Arabic" w:cs="Traditional Arabic"/>
          <w:color w:val="000000" w:themeColor="text1"/>
          <w:sz w:val="28"/>
          <w:szCs w:val="28"/>
        </w:rPr>
        <w:t>.</w:t>
      </w:r>
    </w:p>
    <w:p w14:paraId="5D7775D6" w14:textId="2825EF60" w:rsidR="00FD34FA" w:rsidRPr="00AE77C1" w:rsidRDefault="00AE77C1" w:rsidP="00FD34F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المداخل النظرية المفسرة للتحول الرقمي</w:t>
      </w:r>
    </w:p>
    <w:p w14:paraId="5271FC58" w14:textId="77777777" w:rsidR="00AE77C1" w:rsidRPr="00AE77C1" w:rsidRDefault="00AE77C1" w:rsidP="00AE77C1">
      <w:pPr>
        <w:bidi/>
      </w:pPr>
      <w:r>
        <w:rPr>
          <w:rtl/>
        </w:rPr>
        <w:t>يستند تفسير التحول الرقمي في هذه الدراسة إلى ثلاثة مداخل نظرية متكاملة</w:t>
      </w:r>
      <w:r>
        <w:t>:</w:t>
      </w:r>
    </w:p>
    <w:p w14:paraId="79EA955B"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الموارد والقدرات</w:t>
      </w:r>
      <w:r>
        <w:rPr>
          <w:rFonts w:ascii="Traditional Arabic" w:hAnsi="Traditional Arabic" w:cs="Traditional Arabic"/>
          <w:b/>
          <w:bCs/>
          <w:sz w:val="28"/>
          <w:szCs w:val="28"/>
        </w:rPr>
        <w:t xml:space="preserve"> (RBV):</w:t>
      </w:r>
      <w:r>
        <w:rPr>
          <w:rFonts w:ascii="Traditional Arabic" w:hAnsi="Traditional Arabic" w:cs="Traditional Arabic"/>
          <w:sz w:val="28"/>
          <w:szCs w:val="28"/>
        </w:rPr>
        <w:t xml:space="preserve"> </w:t>
      </w:r>
      <w:r>
        <w:rPr>
          <w:rFonts w:ascii="Traditional Arabic" w:hAnsi="Traditional Arabic" w:cs="Traditional Arabic"/>
          <w:sz w:val="28"/>
          <w:szCs w:val="28"/>
          <w:rtl/>
        </w:rPr>
        <w:t>تُفسِّر كيف تتحول الموارد الرقمية إلى قيمة عندما تُدمج داخل قدرات تنظيمية (حَوْكمة، مهارات، عمليات)</w:t>
      </w:r>
      <w:r>
        <w:rPr>
          <w:rFonts w:ascii="Traditional Arabic" w:hAnsi="Traditional Arabic" w:cs="Traditional Arabic"/>
          <w:sz w:val="28"/>
          <w:szCs w:val="28"/>
        </w:rPr>
        <w:t>.</w:t>
      </w:r>
    </w:p>
    <w:p w14:paraId="3770B8A6"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التحول التنظيمي</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تؤكد أن التقنية لا تُنتج أثرًا مستدامًا دون تغييرٍ في الهيكل والثقافة وإدارة التغيير</w:t>
      </w:r>
      <w:r>
        <w:rPr>
          <w:rFonts w:ascii="Traditional Arabic" w:hAnsi="Traditional Arabic" w:cs="Traditional Arabic"/>
          <w:sz w:val="28"/>
          <w:szCs w:val="28"/>
        </w:rPr>
        <w:t>.</w:t>
      </w:r>
    </w:p>
    <w:p w14:paraId="7A68840E" w14:textId="77777777" w:rsidR="00AE77C1" w:rsidRPr="00AE77C1" w:rsidRDefault="00AE77C1" w:rsidP="00B7711D">
      <w:pPr>
        <w:numPr>
          <w:ilvl w:val="0"/>
          <w:numId w:val="11"/>
        </w:numPr>
        <w:bidi/>
        <w:jc w:val="both"/>
        <w:rPr>
          <w:rFonts w:ascii="Traditional Arabic" w:hAnsi="Traditional Arabic" w:cs="Traditional Arabic"/>
          <w:sz w:val="28"/>
          <w:szCs w:val="28"/>
        </w:rPr>
      </w:pPr>
      <w:r>
        <w:rPr>
          <w:rFonts w:ascii="Traditional Arabic" w:hAnsi="Traditional Arabic" w:cs="Traditional Arabic"/>
          <w:b/>
          <w:bCs/>
          <w:sz w:val="28"/>
          <w:szCs w:val="28"/>
          <w:rtl/>
        </w:rPr>
        <w:t>نظرية النظم</w:t>
      </w:r>
      <w:r>
        <w:rPr>
          <w:rFonts w:ascii="Traditional Arabic" w:hAnsi="Traditional Arabic" w:cs="Traditional Arabic"/>
          <w:b/>
          <w:bCs/>
          <w:sz w:val="28"/>
          <w:szCs w:val="28"/>
        </w:rPr>
        <w:t>:</w:t>
      </w:r>
      <w:r>
        <w:rPr>
          <w:rFonts w:ascii="Traditional Arabic" w:hAnsi="Traditional Arabic" w:cs="Traditional Arabic"/>
          <w:sz w:val="28"/>
          <w:szCs w:val="28"/>
        </w:rPr>
        <w:t xml:space="preserve"> </w:t>
      </w:r>
      <w:r>
        <w:rPr>
          <w:rFonts w:ascii="Traditional Arabic" w:hAnsi="Traditional Arabic" w:cs="Traditional Arabic"/>
          <w:sz w:val="28"/>
          <w:szCs w:val="28"/>
          <w:rtl/>
        </w:rPr>
        <w:t>تنظر للمؤسسة كنظام مترابط؛ وقيمة الرقمنة تتشكل من تكامل البيانات والعمليات والقرار لا من التقنية منفردة</w:t>
      </w:r>
      <w:r>
        <w:rPr>
          <w:rFonts w:ascii="Traditional Arabic" w:hAnsi="Traditional Arabic" w:cs="Traditional Arabic"/>
          <w:sz w:val="28"/>
          <w:szCs w:val="28"/>
        </w:rPr>
        <w:t>.</w:t>
      </w:r>
    </w:p>
    <w:p w14:paraId="169EFF6E" w14:textId="77777777"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ويُستفاد من هذه المداخل في دعم منطق الدراسة</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شرطٌ لازم لتحسين سلامة الأصول، لكنه ليس شرطًا كافيًا ما لم يُوجَّه ضمن إطار حوكمة ذكية</w:t>
      </w:r>
      <w:r>
        <w:rPr>
          <w:rFonts w:ascii="Traditional Arabic" w:eastAsia="Times New Roman" w:hAnsi="Traditional Arabic" w:cs="Traditional Arabic"/>
          <w:color w:val="000000" w:themeColor="text1"/>
          <w:sz w:val="28"/>
          <w:szCs w:val="28"/>
        </w:rPr>
        <w:t>.</w:t>
      </w:r>
    </w:p>
    <w:p w14:paraId="6CB9D9A1" w14:textId="7D0A203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1-4 </w:t>
      </w:r>
      <w:r>
        <w:rPr>
          <w:rFonts w:ascii="Traditional Arabic" w:eastAsia="Times New Roman" w:hAnsi="Traditional Arabic" w:cs="Traditional Arabic"/>
          <w:b/>
          <w:bCs/>
          <w:color w:val="000000" w:themeColor="text1"/>
          <w:sz w:val="28"/>
          <w:szCs w:val="28"/>
          <w:rtl/>
        </w:rPr>
        <w:t xml:space="preserve">أبعاد التحول الرقمي </w:t>
      </w:r>
    </w:p>
    <w:p w14:paraId="30DED7F2" w14:textId="77777777" w:rsidR="00AE77C1" w:rsidRPr="00AE77C1" w:rsidRDefault="00AE77C1" w:rsidP="00AE77C1">
      <w:p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استنادًا إلى الأدبيات، يعتمد قياس التحول الرقمي في هذه الدراسة على أبعاد أربعة مترابطة</w:t>
      </w:r>
      <w:r>
        <w:rPr>
          <w:rFonts w:ascii="Traditional Arabic" w:eastAsia="Times New Roman" w:hAnsi="Traditional Arabic" w:cs="Traditional Arabic"/>
          <w:color w:val="000000" w:themeColor="text1"/>
          <w:sz w:val="28"/>
          <w:szCs w:val="28"/>
        </w:rPr>
        <w:t>:</w:t>
      </w:r>
    </w:p>
    <w:p w14:paraId="700F2C76" w14:textId="578FBB5E"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التقني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البنية الرقمية، إنترنت الأشياء، التوأمة الرقمية/المراقبة اللحظية</w:t>
      </w:r>
      <w:r>
        <w:rPr>
          <w:rFonts w:ascii="Traditional Arabic" w:eastAsia="Times New Roman" w:hAnsi="Traditional Arabic" w:cs="Traditional Arabic"/>
          <w:color w:val="000000" w:themeColor="text1"/>
          <w:sz w:val="28"/>
          <w:szCs w:val="28"/>
        </w:rPr>
        <w:t>.</w:t>
      </w:r>
    </w:p>
    <w:p w14:paraId="1129AAFF" w14:textId="4013E189"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التنظيمي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إعادة هندسة الإجراءات، تكامل البيانات، سياسات التشغيل الرقمية</w:t>
      </w:r>
      <w:r>
        <w:rPr>
          <w:rFonts w:ascii="Traditional Arabic" w:eastAsia="Times New Roman" w:hAnsi="Traditional Arabic" w:cs="Traditional Arabic"/>
          <w:color w:val="000000" w:themeColor="text1"/>
          <w:sz w:val="28"/>
          <w:szCs w:val="28"/>
        </w:rPr>
        <w:t>.</w:t>
      </w:r>
    </w:p>
    <w:p w14:paraId="0691C37E" w14:textId="55C01D2F"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lastRenderedPageBreak/>
        <w:t>البعد البشري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المهارات الرقمية، إدارة التغيير، تبنّي المستخدمين</w:t>
      </w:r>
      <w:r>
        <w:rPr>
          <w:rFonts w:ascii="Traditional Arabic" w:eastAsia="Times New Roman" w:hAnsi="Traditional Arabic" w:cs="Traditional Arabic"/>
          <w:color w:val="000000" w:themeColor="text1"/>
          <w:sz w:val="28"/>
          <w:szCs w:val="28"/>
        </w:rPr>
        <w:t>.</w:t>
      </w:r>
    </w:p>
    <w:p w14:paraId="21057DDC" w14:textId="462C7ACD" w:rsidR="00AE77C1" w:rsidRPr="00AE77C1" w:rsidRDefault="00AE77C1" w:rsidP="00B7711D">
      <w:pPr>
        <w:numPr>
          <w:ilvl w:val="0"/>
          <w:numId w:val="12"/>
        </w:numPr>
        <w:bidi/>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البعد الاستراتيجي</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مواءمة المبادرات الرقمية مع أهداف إدارة الأصول ومؤشرات الأداء</w:t>
      </w:r>
      <w:r>
        <w:rPr>
          <w:rFonts w:ascii="Traditional Arabic" w:eastAsia="Times New Roman" w:hAnsi="Traditional Arabic" w:cs="Traditional Arabic"/>
          <w:color w:val="000000" w:themeColor="text1"/>
          <w:sz w:val="28"/>
          <w:szCs w:val="28"/>
        </w:rPr>
        <w:t>.</w:t>
      </w:r>
    </w:p>
    <w:p w14:paraId="6ABA2687" w14:textId="229E457A" w:rsidR="00AE77C1" w:rsidRPr="00AE77C1" w:rsidRDefault="00AE77C1" w:rsidP="00AE77C1">
      <w:pPr>
        <w:bidi/>
        <w:rPr>
          <w:b/>
          <w:bCs/>
          <w:rtl/>
        </w:rPr>
      </w:pPr>
      <w:r>
        <w:rPr>
          <w:rFonts w:ascii="Traditional Arabic" w:eastAsia="Times New Roman" w:hAnsi="Traditional Arabic" w:cs="Traditional Arabic"/>
          <w:b/>
          <w:bCs/>
          <w:color w:val="000000" w:themeColor="text1"/>
          <w:sz w:val="28"/>
          <w:szCs w:val="28"/>
        </w:rPr>
        <w:t>1-5</w:t>
      </w:r>
      <w:r>
        <w:rPr>
          <w:b/>
          <w:bCs/>
        </w:rPr>
        <w:t xml:space="preserve">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التحول الرقمي وإدارة أصول البنية التحتية المائية</w:t>
      </w:r>
    </w:p>
    <w:p w14:paraId="0264FF6F" w14:textId="7AD54572"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أحدثت التقنيات الرقمية تحولًا في فلسفة إدارة الأصول؛ إذ سمحت أنظمة الاستشعار والتحليلات التنبؤية بالانتقال من صيانة تصحيحية تعتمد على الاستجابة إلى صيانة استباقية تعتمد على التنبؤ، ما ينعكس على تقليل الأعطال ورفع الجاهزية وتحسين السلامة التشغيلية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غير أن تحقيق هذا الأثر يظل مرتبطًا بقدرة المؤسسة على “حوكمة” البيانات والقرار، لضمان موثوقية البيانات، وتحديد المسؤوليات، ومنع تضارب المبادرات</w:t>
      </w:r>
      <w:r>
        <w:rPr>
          <w:rFonts w:ascii="Traditional Arabic" w:eastAsia="Times New Roman" w:hAnsi="Traditional Arabic" w:cs="Traditional Arabic"/>
          <w:color w:val="000000" w:themeColor="text1"/>
          <w:sz w:val="28"/>
          <w:szCs w:val="28"/>
        </w:rPr>
        <w:t>.</w:t>
      </w:r>
    </w:p>
    <w:p w14:paraId="77A7F87F" w14:textId="379227B5"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1-6 </w:t>
      </w:r>
      <w:r>
        <w:rPr>
          <w:rFonts w:ascii="Traditional Arabic" w:eastAsia="Times New Roman" w:hAnsi="Traditional Arabic" w:cs="Traditional Arabic"/>
          <w:b/>
          <w:bCs/>
          <w:color w:val="000000" w:themeColor="text1"/>
          <w:sz w:val="28"/>
          <w:szCs w:val="28"/>
          <w:rtl/>
        </w:rPr>
        <w:t xml:space="preserve">العلاقة بين التحول الرقمي والأداء المؤسسي </w:t>
      </w:r>
    </w:p>
    <w:p w14:paraId="01F522AB" w14:textId="62D60F63"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تميل الأدبيات إلى تأييد العلاقة الإيجابية بين النضج الرقمي وتحسن الأداء عبر الكفاءة وتقليل التكاليف وتحسين جودة الخدمات</w:t>
      </w:r>
      <w:r>
        <w:rPr>
          <w:rFonts w:ascii="Traditional Arabic" w:eastAsia="Times New Roman" w:hAnsi="Traditional Arabic" w:cs="Traditional Arabic"/>
          <w:color w:val="000000" w:themeColor="text1"/>
          <w:sz w:val="28"/>
          <w:szCs w:val="28"/>
        </w:rPr>
        <w:t xml:space="preserve"> (Kraus et al., 2021).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إلا أن هذه العلاقة تتفاوت بين المؤسسات؛ وهو تباين تُفسِّره هذه الدراسة عبر إدخال الحوكمة الذكية كإطار يضبط مسار التحول الرقمي ويمنع تحوله إلى “حلول تقنية مجزأة” بلا عائدٍ مؤسسي</w:t>
      </w:r>
      <w:r>
        <w:rPr>
          <w:rFonts w:ascii="Traditional Arabic" w:eastAsia="Times New Roman" w:hAnsi="Traditional Arabic" w:cs="Traditional Arabic"/>
          <w:color w:val="000000" w:themeColor="text1"/>
          <w:sz w:val="28"/>
          <w:szCs w:val="28"/>
        </w:rPr>
        <w:t>.</w:t>
      </w:r>
    </w:p>
    <w:p w14:paraId="0A1056F7" w14:textId="671C2AB1" w:rsidR="00AE77C1" w:rsidRPr="00AE77C1" w:rsidRDefault="00AE77C1" w:rsidP="00AE77C1">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التحول الرقمي في هذه الدراسة يُفهم كتحولٍ مؤسسي شامل، وتُفترض فاعليته على سلامة الأصول والأداء المؤسسي بشرط توجيهه ضمن حوكمة ذكية قادرة على تحويل البيانات إلى قرارٍ مؤسسي رشيد، وهو ما يقود إلى المبحث التالي</w:t>
      </w:r>
      <w:r>
        <w:rPr>
          <w:rFonts w:ascii="Traditional Arabic" w:eastAsia="Times New Roman" w:hAnsi="Traditional Arabic" w:cs="Traditional Arabic"/>
          <w:color w:val="000000" w:themeColor="text1"/>
          <w:sz w:val="28"/>
          <w:szCs w:val="28"/>
        </w:rPr>
        <w:t>.</w:t>
      </w:r>
    </w:p>
    <w:p w14:paraId="2FE508EA" w14:textId="48027DBB" w:rsidR="00AE77C1" w:rsidRPr="00AE77C1" w:rsidRDefault="00AE77C1" w:rsidP="00B7711D">
      <w:pPr>
        <w:pStyle w:val="Heading2"/>
        <w:numPr>
          <w:ilvl w:val="0"/>
          <w:numId w:val="18"/>
        </w:numPr>
        <w:bidi/>
        <w:rPr>
          <w:rFonts w:ascii="Traditional Arabic" w:hAnsi="Traditional Arabic" w:cs="Traditional Arabic"/>
          <w:b/>
          <w:bCs/>
          <w:sz w:val="36"/>
          <w:szCs w:val="36"/>
        </w:rPr>
      </w:pPr>
      <w:r>
        <w:rPr>
          <w:rFonts w:ascii="Traditional Arabic" w:hAnsi="Traditional Arabic" w:cs="Traditional Arabic"/>
          <w:b/>
          <w:bCs/>
          <w:sz w:val="36"/>
          <w:szCs w:val="36"/>
          <w:rtl/>
        </w:rPr>
        <w:t>الحوكمة الذكية</w:t>
      </w:r>
    </w:p>
    <w:p w14:paraId="0093C1EB" w14:textId="188BD5E1"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الحوكمة الذكية وتعريفها في الدراسة</w:t>
      </w:r>
    </w:p>
    <w:p w14:paraId="3F82FDBB" w14:textId="4FF99F39" w:rsidR="00AE77C1" w:rsidRPr="00AE77C1" w:rsidRDefault="00AE77C1" w:rsidP="001D6F1F">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تطور مفهوم الحوكمة من التركيز على الرقابة والامتثال إلى بناء منظومة متكاملة تُحسن الشفافية والمساءلة وجودة القرار. ومع تعاظم دور البيانات والتقنيات، برزت الحوكمة الرقمية ثم الحوكمة الذكية بوصفها امتدادًا يدمج مبادئ الحوكمة المؤسسية مع أدوات التحليل الرقمي لدعم القرار وإدارة المخاطر بصورة استباقية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(OECD, 2020 Janssen et al., 2017</w:t>
      </w:r>
      <w:r>
        <w:rPr>
          <w:rFonts w:ascii="Traditional Arabic" w:eastAsia="Times New Roman" w:hAnsi="Traditional Arabic" w:cs="Traditional Arabic" w:hint="cs"/>
          <w:color w:val="000000" w:themeColor="text1"/>
          <w:sz w:val="28"/>
          <w:szCs w:val="28"/>
          <w:rtl/>
        </w:rPr>
        <w:t>.</w:t>
      </w:r>
    </w:p>
    <w:p w14:paraId="1F4CD2F7" w14:textId="77777777" w:rsidR="00AE77C1" w:rsidRPr="00AE77C1" w:rsidRDefault="00AE77C1" w:rsidP="001D6F1F">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وعليه، تُعرّف الحوكمة الذكية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منظومة سياسات وهياكل ومسؤوليات وآليات قرار تعتمد على البيانات والتقنيات الرقمية لضبط المخاطر، ورفع الشفافية، وتعظيم العائد المؤسسي من التحول الرقمي والاستدامة بما ينعكس على سلامة الأصول والأداء المؤسسي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وتُعالج الحوكمة الذكية هنا ليس بوصفها وسيطًا “إحصائيًا” فقط، بل بوصفها آلية تفسيرية تشرح لماذا تختلف نتائج التحول الرقمي بين مؤسسة وأخرى وفق نضج الحوكمة</w:t>
      </w:r>
      <w:r>
        <w:rPr>
          <w:rFonts w:ascii="Traditional Arabic" w:eastAsia="Times New Roman" w:hAnsi="Traditional Arabic" w:cs="Traditional Arabic"/>
          <w:color w:val="000000" w:themeColor="text1"/>
          <w:sz w:val="28"/>
          <w:szCs w:val="28"/>
        </w:rPr>
        <w:t>.</w:t>
      </w:r>
    </w:p>
    <w:p w14:paraId="61461F7A" w14:textId="2DD3EFD5" w:rsidR="00AE77C1" w:rsidRPr="00AE77C1" w:rsidRDefault="00AE77C1" w:rsidP="00AE77C1">
      <w:pPr>
        <w:bidi/>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Pr>
        <w:t xml:space="preserve">2-2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تطور الحوكمة من التقليدية إلى الذكية</w:t>
      </w:r>
    </w:p>
    <w:p w14:paraId="5A326BAD" w14:textId="77777777" w:rsidR="00AE77C1" w:rsidRPr="00AE77C1" w:rsidRDefault="00AE77C1" w:rsidP="001D6F1F">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يمكن تتبع التطور المفاهيمي للحوكمة عبر أربع مراحل</w:t>
      </w:r>
      <w:r>
        <w:rPr>
          <w:rFonts w:ascii="Traditional Arabic" w:eastAsia="Times New Roman" w:hAnsi="Traditional Arabic" w:cs="Traditional Arabic"/>
          <w:color w:val="000000" w:themeColor="text1"/>
          <w:sz w:val="28"/>
          <w:szCs w:val="28"/>
        </w:rPr>
        <w:t>:</w:t>
      </w:r>
    </w:p>
    <w:p w14:paraId="53DA29EB" w14:textId="7BA5A283"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تقليدية (امتثال/رقابة)</w:t>
      </w:r>
      <w:r>
        <w:rPr>
          <w:rFonts w:ascii="Traditional Arabic" w:eastAsia="Times New Roman" w:hAnsi="Traditional Arabic" w:cs="Traditional Arabic" w:hint="cs"/>
          <w:color w:val="000000" w:themeColor="text1"/>
          <w:sz w:val="28"/>
          <w:szCs w:val="28"/>
          <w:rtl/>
        </w:rPr>
        <w:t>.</w:t>
      </w:r>
    </w:p>
    <w:p w14:paraId="5B59BC50" w14:textId="282384AF" w:rsidR="00AE77C1" w:rsidRPr="00AE77C1"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حوكمة مؤسسية (أصحاب مصلحة/شفافية</w:t>
      </w:r>
      <w:r>
        <w:rPr>
          <w:rFonts w:ascii="Traditional Arabic" w:eastAsia="Times New Roman" w:hAnsi="Traditional Arabic" w:cs="Traditional Arabic" w:hint="cs"/>
          <w:color w:val="000000" w:themeColor="text1"/>
          <w:sz w:val="28"/>
          <w:szCs w:val="28"/>
          <w:rtl/>
        </w:rPr>
        <w:t>).</w:t>
      </w:r>
    </w:p>
    <w:p w14:paraId="3FC04408" w14:textId="77777777" w:rsidR="001D6F1F" w:rsidRDefault="00AE77C1" w:rsidP="00B7711D">
      <w:pPr>
        <w:numPr>
          <w:ilvl w:val="0"/>
          <w:numId w:val="13"/>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رقمية (أتمتة/بيانات)</w:t>
      </w:r>
      <w:r>
        <w:rPr>
          <w:rFonts w:ascii="Traditional Arabic" w:eastAsia="Times New Roman" w:hAnsi="Traditional Arabic" w:cs="Traditional Arabic" w:hint="cs"/>
          <w:color w:val="000000" w:themeColor="text1"/>
          <w:sz w:val="28"/>
          <w:szCs w:val="28"/>
          <w:rtl/>
        </w:rPr>
        <w:t>.</w:t>
      </w:r>
    </w:p>
    <w:p w14:paraId="1C9A3B8E" w14:textId="23EF0889"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حوكمة ذكية (تحليلات متقدمة/قرار استباقي/إدارة مخاطر رقمية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 xml:space="preserve">ويرتبط التحول للحوكمة الذكية بتبني نماذج تشغيل قائمة </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على البيانات بما يعزز المرونة وسرعة الاستجابة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.(Mergel et al., 2019)</w:t>
      </w:r>
      <w:r>
        <w:rPr>
          <w:rFonts w:ascii="Traditional Arabic" w:eastAsia="Times New Roman" w:hAnsi="Traditional Arabic" w:cs="Traditional Arabic" w:hint="cs"/>
          <w:color w:val="000000" w:themeColor="text1"/>
          <w:sz w:val="28"/>
          <w:szCs w:val="28"/>
          <w:rtl/>
        </w:rPr>
        <w:t xml:space="preserve"> </w:t>
      </w:r>
    </w:p>
    <w:p w14:paraId="63EB7F0A" w14:textId="5E44C80D" w:rsidR="00AE77C1" w:rsidRPr="00AE77C1" w:rsidRDefault="001D6F1F"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2-3 </w:t>
      </w:r>
      <w:r>
        <w:rPr>
          <w:rFonts w:ascii="Traditional Arabic" w:eastAsia="Times New Roman" w:hAnsi="Traditional Arabic" w:cs="Traditional Arabic"/>
          <w:b/>
          <w:bCs/>
          <w:color w:val="000000" w:themeColor="text1"/>
          <w:sz w:val="28"/>
          <w:szCs w:val="28"/>
          <w:rtl/>
        </w:rPr>
        <w:t>المرتكزات النظرية للحوكمة الذكية</w:t>
      </w:r>
    </w:p>
    <w:p w14:paraId="5C759546" w14:textId="717A5B7F"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الوكالة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تركز على فجوة المعلومات وتبرر آليات الرقابة والشفافية التي تدعمها البيانات الرقمية</w:t>
      </w:r>
      <w:r>
        <w:rPr>
          <w:rFonts w:ascii="Traditional Arabic" w:eastAsia="Times New Roman" w:hAnsi="Traditional Arabic" w:cs="Traditional Arabic"/>
          <w:color w:val="000000" w:themeColor="text1"/>
          <w:sz w:val="28"/>
          <w:szCs w:val="28"/>
        </w:rPr>
        <w:t>.</w:t>
      </w:r>
    </w:p>
    <w:p w14:paraId="25EC74D3" w14:textId="05EEA73E"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أصحاب المصلحة</w:t>
      </w:r>
      <w:r>
        <w:rPr>
          <w:rFonts w:ascii="Traditional Arabic" w:eastAsia="Times New Roman" w:hAnsi="Traditional Arabic" w:cs="Traditional Arabic"/>
          <w:b/>
          <w:bCs/>
          <w:color w:val="000000" w:themeColor="text1"/>
          <w:sz w:val="28"/>
          <w:szCs w:val="28"/>
        </w:rPr>
        <w:t>:</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tl/>
        </w:rPr>
        <w:t>تعزز شمولية القرار وربطه بمصالح المجتمع والجهات التنظيمية والمستفيدين</w:t>
      </w:r>
      <w:r>
        <w:rPr>
          <w:rFonts w:ascii="Traditional Arabic" w:eastAsia="Times New Roman" w:hAnsi="Traditional Arabic" w:cs="Traditional Arabic"/>
          <w:color w:val="000000" w:themeColor="text1"/>
          <w:sz w:val="28"/>
          <w:szCs w:val="28"/>
        </w:rPr>
        <w:t>.</w:t>
      </w:r>
    </w:p>
    <w:p w14:paraId="7B4A86AF" w14:textId="1CBCA994" w:rsidR="00AE77C1" w:rsidRPr="00AE77C1" w:rsidRDefault="00AE77C1" w:rsidP="00B7711D">
      <w:pPr>
        <w:numPr>
          <w:ilvl w:val="0"/>
          <w:numId w:val="13"/>
        </w:num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b/>
          <w:bCs/>
          <w:color w:val="000000" w:themeColor="text1"/>
          <w:sz w:val="28"/>
          <w:szCs w:val="28"/>
          <w:rtl/>
        </w:rPr>
        <w:t>نظرية الحوكمة المؤسسية/الرقمي</w:t>
      </w:r>
      <w:r>
        <w:rPr>
          <w:rFonts w:ascii="Traditional Arabic" w:eastAsia="Times New Roman" w:hAnsi="Traditional Arabic" w:cs="Traditional Arabic" w:hint="cs"/>
          <w:b/>
          <w:bCs/>
          <w:color w:val="000000" w:themeColor="text1"/>
          <w:sz w:val="28"/>
          <w:szCs w:val="28"/>
          <w:rtl/>
        </w:rPr>
        <w:t>ة:</w:t>
      </w:r>
      <w:r>
        <w:rPr>
          <w:rFonts w:ascii="Traditional Arabic" w:eastAsia="Times New Roman" w:hAnsi="Traditional Arabic" w:cs="Traditional Arabic" w:hint="cs"/>
          <w:color w:val="000000" w:themeColor="text1"/>
          <w:sz w:val="28"/>
          <w:szCs w:val="28"/>
          <w:rtl/>
        </w:rPr>
        <w:t xml:space="preserve"> </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تفسر دور السياسات والهياكل والمعايير في تحويل التقنية إلى قيمة وتقليل المخاطر</w:t>
      </w:r>
      <w:r>
        <w:rPr>
          <w:rFonts w:ascii="Traditional Arabic" w:eastAsia="Times New Roman" w:hAnsi="Traditional Arabic" w:cs="Traditional Arabic"/>
          <w:color w:val="000000" w:themeColor="text1"/>
          <w:sz w:val="28"/>
          <w:szCs w:val="28"/>
        </w:rPr>
        <w:t xml:space="preserve"> (OECD, 2020)</w:t>
      </w:r>
      <w:r>
        <w:rPr>
          <w:rFonts w:ascii="Traditional Arabic" w:eastAsia="Times New Roman" w:hAnsi="Traditional Arabic" w:cs="Traditional Arabic" w:hint="cs"/>
          <w:color w:val="000000" w:themeColor="text1"/>
          <w:sz w:val="28"/>
          <w:szCs w:val="28"/>
          <w:rtl/>
        </w:rPr>
        <w:t xml:space="preserve"> .</w:t>
      </w:r>
    </w:p>
    <w:p w14:paraId="751DE514" w14:textId="02C1C46E" w:rsidR="00AE77C1" w:rsidRPr="00AE77C1" w:rsidRDefault="00AE77C1" w:rsidP="00527ED7">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2-4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أهمية الحوكمة الذكية في إدارة أصول البنية التحتية المائية</w:t>
      </w:r>
    </w:p>
    <w:p w14:paraId="16EA13B3" w14:textId="77777777"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تزداد أهمية الحوكمة الذكية في قطاع المياه لاعتبارات: تعقيد الشبكات، حساسية الخدمة، ضخامة الاستثمارات، وارتفاع المخاطر التشغيلية. وتتمثل القيمة الحقيقية للحوكمة الذكية في</w:t>
      </w:r>
      <w:r>
        <w:rPr>
          <w:rFonts w:ascii="Traditional Arabic" w:eastAsia="Times New Roman" w:hAnsi="Traditional Arabic" w:cs="Traditional Arabic"/>
          <w:color w:val="000000" w:themeColor="text1"/>
          <w:sz w:val="28"/>
          <w:szCs w:val="28"/>
        </w:rPr>
        <w:t>:</w:t>
      </w:r>
    </w:p>
    <w:p w14:paraId="2D026F01"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تنظيم تدفق البيانات وربطها بمسارات قرار واضحة،</w:t>
      </w:r>
    </w:p>
    <w:p w14:paraId="51693CF3"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ضبط المخاطر (التشغيلية والرقمية)،</w:t>
      </w:r>
    </w:p>
    <w:p w14:paraId="4D5409F9"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تعزيز الامتثال والمعايير،</w:t>
      </w:r>
    </w:p>
    <w:p w14:paraId="2C0F6B2D"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رفع موثوقية القرار الاستثماري والتشغيلي</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وبالتالي، فإن غياب الحوكمة الناضجة قد يجعل التحول الرقمي “قوة غير مُنضبطة” تزيد التعقيد بدل خفضه</w:t>
      </w:r>
      <w:r>
        <w:rPr>
          <w:rFonts w:ascii="Traditional Arabic" w:eastAsia="Times New Roman" w:hAnsi="Traditional Arabic" w:cs="Traditional Arabic"/>
          <w:color w:val="000000" w:themeColor="text1"/>
          <w:sz w:val="28"/>
          <w:szCs w:val="28"/>
        </w:rPr>
        <w:t>.</w:t>
      </w:r>
    </w:p>
    <w:p w14:paraId="668F6F64" w14:textId="158F480E" w:rsidR="00AE77C1" w:rsidRPr="00AE77C1" w:rsidRDefault="00AE77C1" w:rsidP="00AE77C1">
      <w:pPr>
        <w:bidi/>
        <w:rPr>
          <w:b/>
          <w:bCs/>
        </w:rPr>
      </w:pPr>
      <w:r>
        <w:rPr>
          <w:rFonts w:ascii="Traditional Arabic" w:eastAsia="Times New Roman" w:hAnsi="Traditional Arabic" w:cs="Traditional Arabic"/>
          <w:b/>
          <w:bCs/>
          <w:color w:val="000000" w:themeColor="text1"/>
          <w:sz w:val="28"/>
          <w:szCs w:val="28"/>
        </w:rPr>
        <w:t xml:space="preserve">2-5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 xml:space="preserve">أبعاد الحوكمة الذكية </w:t>
      </w:r>
    </w:p>
    <w:p w14:paraId="27B14B90"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تعتمد الدراسة الأبعاد الآتية لقياس الحوكمة الذكية بما يلائم إدارة أصول المياه</w:t>
      </w:r>
      <w:r>
        <w:rPr>
          <w:rFonts w:ascii="Traditional Arabic" w:eastAsia="Times New Roman" w:hAnsi="Traditional Arabic" w:cs="Traditional Arabic"/>
          <w:color w:val="000000" w:themeColor="text1"/>
          <w:sz w:val="28"/>
          <w:szCs w:val="28"/>
        </w:rPr>
        <w:t>:</w:t>
      </w:r>
    </w:p>
    <w:p w14:paraId="57AC8CE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وضوح الأدوار والمسؤوليات،</w:t>
      </w:r>
    </w:p>
    <w:p w14:paraId="11A77A74"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تكامل المعلومات في اتخاذ القرار،</w:t>
      </w:r>
    </w:p>
    <w:p w14:paraId="61116E82"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إدارة المخاطر الرقمية،</w:t>
      </w:r>
    </w:p>
    <w:p w14:paraId="74C95E2B"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الشفافية والمساءلة،</w:t>
      </w:r>
    </w:p>
    <w:p w14:paraId="6C2E9BDE" w14:textId="77777777" w:rsidR="00AE77C1" w:rsidRPr="00AE77C1" w:rsidRDefault="00AE77C1" w:rsidP="00B7711D">
      <w:pPr>
        <w:numPr>
          <w:ilvl w:val="0"/>
          <w:numId w:val="14"/>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الامتثال والمعايير التنظيمية</w:t>
      </w:r>
      <w:r>
        <w:rPr>
          <w:rFonts w:ascii="Traditional Arabic" w:eastAsia="Times New Roman" w:hAnsi="Traditional Arabic" w:cs="Traditional Arabic"/>
          <w:color w:val="000000" w:themeColor="text1"/>
          <w:sz w:val="28"/>
          <w:szCs w:val="28"/>
        </w:rPr>
        <w:t>.</w:t>
      </w:r>
    </w:p>
    <w:p w14:paraId="531E846A" w14:textId="0B0ABF8E" w:rsidR="00AE77C1" w:rsidRPr="00AE77C1" w:rsidRDefault="00AE77C1"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2-6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الحوكمة الذكية كمنظم للعلاقة بين التحول الرقمي وسلامة الأصول</w:t>
      </w:r>
    </w:p>
    <w:p w14:paraId="54CABE95" w14:textId="71195AF2"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الأدبيات أن العائد من التحول الرقمي يتوقف على جودة الإطار الحوكمي الذي ينظمه</w:t>
      </w:r>
      <w:r>
        <w:rPr>
          <w:rFonts w:ascii="Traditional Arabic" w:eastAsia="Times New Roman" w:hAnsi="Traditional Arabic" w:cs="Traditional Arabic"/>
          <w:color w:val="000000" w:themeColor="text1"/>
          <w:sz w:val="28"/>
          <w:szCs w:val="28"/>
        </w:rPr>
        <w:t xml:space="preserve"> (Janssen et al., 2017). </w:t>
      </w:r>
      <w:r>
        <w:rPr>
          <w:rFonts w:ascii="Traditional Arabic" w:eastAsia="Times New Roman" w:hAnsi="Traditional Arabic" w:cs="Traditional Arabic"/>
          <w:color w:val="000000" w:themeColor="text1"/>
          <w:sz w:val="28"/>
          <w:szCs w:val="28"/>
          <w:rtl/>
        </w:rPr>
        <w:t>فحين تكون الحوكمة قوية، تُترجم المبادرات الرقمية إلى تحسينات قابلة للقياس في الصيانة، وإدارة المخاطر، وموثوقية الأصول؛ أما عند ضعف الحوكمة فتتشتت المبادرات وتتكرر الأنظمة وتتدهور جودة البيانات، فتضعف سلامة الأصول ويتراجع الأداء المؤسسي</w:t>
      </w:r>
      <w:r>
        <w:rPr>
          <w:rFonts w:ascii="Traditional Arabic" w:eastAsia="Times New Roman" w:hAnsi="Traditional Arabic" w:cs="Traditional Arabic"/>
          <w:color w:val="000000" w:themeColor="text1"/>
          <w:sz w:val="28"/>
          <w:szCs w:val="28"/>
        </w:rPr>
        <w:t>.</w:t>
      </w:r>
    </w:p>
    <w:p w14:paraId="00FE3F70" w14:textId="7F51E733" w:rsidR="00AE77C1" w:rsidRPr="00AE77C1" w:rsidRDefault="00AE77C1" w:rsidP="002F5E16">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خلاصة المبحث</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الحوكمة الذكية ليست “عنصرًا إضافيًا” للنموذج، بل هي الآلية التي تُحوِّل التحول الرقمي والاستدامة من جهودٍ منفصلة إلى قيمةٍ تشغيلية ومؤسسية تُقاس عبر سلامة الأصول والأداء المؤسسي</w:t>
      </w:r>
      <w:r>
        <w:rPr>
          <w:rFonts w:ascii="Traditional Arabic" w:eastAsia="Times New Roman" w:hAnsi="Traditional Arabic" w:cs="Traditional Arabic"/>
          <w:color w:val="000000" w:themeColor="text1"/>
          <w:sz w:val="28"/>
          <w:szCs w:val="28"/>
        </w:rPr>
        <w:t>.</w:t>
      </w:r>
    </w:p>
    <w:p w14:paraId="4FE6BBDD" w14:textId="0A270C34" w:rsidR="00AE77C1" w:rsidRPr="00AE77C1" w:rsidRDefault="00AE77C1" w:rsidP="00B7711D">
      <w:pPr>
        <w:pStyle w:val="Heading2"/>
        <w:numPr>
          <w:ilvl w:val="1"/>
          <w:numId w:val="30"/>
        </w:numPr>
        <w:bidi/>
      </w:pPr>
      <w:r>
        <w:rPr>
          <w:rtl/>
        </w:rPr>
        <w:t>الاستدامة المؤسسية</w:t>
      </w:r>
    </w:p>
    <w:p w14:paraId="61C1F9F8" w14:textId="1F08117B" w:rsidR="00AE77C1" w:rsidRPr="00FE662A" w:rsidRDefault="00FE662A" w:rsidP="00FE662A">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3-1</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الاستدامة المؤسسية وتعريفها في الدراسة</w:t>
      </w:r>
    </w:p>
    <w:p w14:paraId="699F77CE" w14:textId="37E9661E" w:rsidR="00AE77C1" w:rsidRPr="00AE77C1" w:rsidRDefault="00AE77C1" w:rsidP="00527ED7">
      <w:pPr>
        <w:bidi/>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تعبر الاستدامة المؤسسية عن قدرة المؤسسة على تحقيق توازن طويل الأمد بين الأبعاد الاقتصادية والبيئية والاجتماعية، وهو ما يؤسسه مفهوم “المحصلة الثلاثية</w:t>
      </w:r>
      <w:r>
        <w:rPr>
          <w:rFonts w:ascii="Traditional Arabic" w:eastAsia="Times New Roman" w:hAnsi="Traditional Arabic" w:cs="Traditional Arabic"/>
          <w:color w:val="000000" w:themeColor="text1"/>
          <w:sz w:val="28"/>
          <w:szCs w:val="28"/>
        </w:rPr>
        <w:t xml:space="preserve">”. (Elkington, 1997) </w:t>
      </w:r>
      <w:r>
        <w:rPr>
          <w:rFonts w:ascii="Traditional Arabic" w:eastAsia="Times New Roman" w:hAnsi="Traditional Arabic" w:cs="Traditional Arabic"/>
          <w:color w:val="000000" w:themeColor="text1"/>
          <w:sz w:val="28"/>
          <w:szCs w:val="28"/>
          <w:rtl/>
        </w:rPr>
        <w:t>كما تُفهم الاستدامة كمصدر للقيمة المشتركة حين تُدمج في الاستراتيجية المؤسسية وتتحول إلى قرارات تشغيلية واستثمارية رشيدة</w:t>
      </w:r>
      <w:r>
        <w:rPr>
          <w:rFonts w:ascii="Traditional Arabic" w:eastAsia="Times New Roman" w:hAnsi="Traditional Arabic" w:cs="Traditional Arabic"/>
          <w:color w:val="000000" w:themeColor="text1"/>
          <w:sz w:val="28"/>
          <w:szCs w:val="28"/>
        </w:rPr>
        <w:t xml:space="preserve"> (Porter &amp; Kramer, 2011) </w:t>
      </w:r>
      <w:r>
        <w:rPr>
          <w:rFonts w:ascii="Traditional Arabic" w:eastAsia="Times New Roman" w:hAnsi="Traditional Arabic" w:cs="Traditional Arabic" w:hint="cs"/>
          <w:color w:val="000000" w:themeColor="text1"/>
          <w:sz w:val="28"/>
          <w:szCs w:val="28"/>
          <w:rtl/>
        </w:rPr>
        <w:t>.</w:t>
      </w:r>
    </w:p>
    <w:p w14:paraId="25C41C70" w14:textId="77777777" w:rsidR="00AE77C1" w:rsidRPr="00AE77C1" w:rsidRDefault="00AE77C1" w:rsidP="00527ED7">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وبناءً على ذلك، تُعرّف الاستدامة المؤسسية في هذه الدراسة بأنها</w:t>
      </w:r>
      <w:r>
        <w:rPr>
          <w:rFonts w:ascii="Traditional Arabic" w:eastAsia="Times New Roman" w:hAnsi="Traditional Arabic" w:cs="Traditional Arabic"/>
          <w:color w:val="000000" w:themeColor="text1"/>
          <w:sz w:val="28"/>
          <w:szCs w:val="28"/>
        </w:rPr>
        <w:t xml:space="preserve">: </w:t>
      </w:r>
      <w:r>
        <w:rPr>
          <w:rFonts w:ascii="Traditional Arabic" w:eastAsia="Times New Roman" w:hAnsi="Traditional Arabic" w:cs="Traditional Arabic"/>
          <w:color w:val="000000" w:themeColor="text1"/>
          <w:sz w:val="28"/>
          <w:szCs w:val="28"/>
          <w:rtl/>
        </w:rPr>
        <w:t>قدرة مؤسسة المياه على إدارة مواردها وأصولها بكفاءة لتحقيق استمرارية الخدمة وتقليل المخاطر طويلة الأجل، مع الالتزام بالاعتبارات البيئية والاجتماعية، بما يدعم الأداء المؤسسي المستدام</w:t>
      </w:r>
      <w:r>
        <w:rPr>
          <w:rFonts w:ascii="Traditional Arabic" w:eastAsia="Times New Roman" w:hAnsi="Traditional Arabic" w:cs="Traditional Arabic"/>
          <w:color w:val="000000" w:themeColor="text1"/>
          <w:sz w:val="28"/>
          <w:szCs w:val="28"/>
        </w:rPr>
        <w:t>.</w:t>
      </w:r>
    </w:p>
    <w:p w14:paraId="6F83BF2A" w14:textId="71F80B5F" w:rsidR="00AE77C1" w:rsidRPr="00AE77C1" w:rsidRDefault="002F5E16" w:rsidP="00AE77C1">
      <w:pPr>
        <w:bidi/>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3-2 </w:t>
      </w:r>
      <w:r>
        <w:rPr>
          <w:rFonts w:ascii="Traditional Arabic" w:eastAsia="Times New Roman" w:hAnsi="Traditional Arabic" w:cs="Traditional Arabic"/>
          <w:b/>
          <w:bCs/>
          <w:color w:val="000000" w:themeColor="text1"/>
          <w:sz w:val="28"/>
          <w:szCs w:val="28"/>
          <w:rtl/>
        </w:rPr>
        <w:t>الأسس النظرية للاستدامة في قطاع المياه</w:t>
      </w:r>
    </w:p>
    <w:p w14:paraId="180A9EEB" w14:textId="1CDC46F8"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تستند الاستدامة المؤسسية في هذه الدراسة إلى مجموعة من المداخل النظرية التي تفسر كيفية تحقيق التوازن بين الأبعاد الاقتصادية والبيئية والاجتماعية في إدارة الأصول والبنية التحتية. ومن أبرز هذه المداخل:</w:t>
      </w:r>
    </w:p>
    <w:p w14:paraId="6A7F50EB" w14:textId="68F08C34"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أصحاب المصلحة (</w:t>
      </w:r>
      <w:r>
        <w:rPr>
          <w:rFonts w:ascii="Traditional Arabic" w:eastAsia="Times New Roman" w:hAnsi="Traditional Arabic" w:cs="Traditional Arabic"/>
          <w:b/>
          <w:bCs/>
          <w:color w:val="000000" w:themeColor="text1"/>
          <w:sz w:val="28"/>
          <w:szCs w:val="28"/>
        </w:rPr>
        <w:t>Stakeholder Theory</w:t>
      </w:r>
      <w:r>
        <w:rPr>
          <w:rFonts w:ascii="Traditional Arabic" w:eastAsia="Times New Roman" w:hAnsi="Traditional Arabic" w:cs="Traditional Arabic"/>
          <w:b/>
          <w:bCs/>
          <w:color w:val="000000" w:themeColor="text1"/>
          <w:sz w:val="28"/>
          <w:szCs w:val="28"/>
          <w:rtl/>
        </w:rPr>
        <w:t>):</w:t>
      </w:r>
    </w:p>
    <w:p w14:paraId="6FA8A624" w14:textId="6CF3C345"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تؤكد هذه النظرية أن المؤسسات لا تقتصر مسؤولياتها على تحقيق العائد الاقتصادي فقط، بل تشمل تلبية توقعات مختلف الأطراف ذات العلاقة، بما في ذلك المجتمع والجهات التنظيمية والمستفيدين، وهو ما يعزز تبني ممارسات الاستدامة المؤسسية في إدارة الموارد.</w:t>
      </w:r>
    </w:p>
    <w:p w14:paraId="33FAA80B" w14:textId="7708A040" w:rsidR="00FE662A" w:rsidRPr="00FE662A" w:rsidRDefault="00FE662A" w:rsidP="00FE662A">
      <w:pPr>
        <w:bidi/>
        <w:jc w:val="both"/>
      </w:pPr>
      <w:r>
        <w:rPr>
          <w:rFonts w:ascii="Traditional Arabic" w:eastAsia="Times New Roman" w:hAnsi="Traditional Arabic" w:cs="Traditional Arabic"/>
          <w:b/>
          <w:bCs/>
          <w:color w:val="000000" w:themeColor="text1"/>
          <w:sz w:val="28"/>
          <w:szCs w:val="28"/>
        </w:rPr>
        <w:t xml:space="preserve">3-4 </w:t>
      </w:r>
      <w:r>
        <w:rPr>
          <w:rFonts w:hint="cs"/>
          <w:rtl/>
        </w:rPr>
        <w:t xml:space="preserve"> </w:t>
      </w:r>
      <w:r>
        <w:rPr>
          <w:rFonts w:ascii="Traditional Arabic" w:eastAsia="Times New Roman" w:hAnsi="Traditional Arabic" w:cs="Traditional Arabic"/>
          <w:b/>
          <w:bCs/>
          <w:color w:val="000000" w:themeColor="text1"/>
          <w:sz w:val="28"/>
          <w:szCs w:val="28"/>
          <w:rtl/>
        </w:rPr>
        <w:t>نظرية التنمية المستدامة (</w:t>
      </w:r>
      <w:r>
        <w:rPr>
          <w:rFonts w:ascii="Traditional Arabic" w:eastAsia="Times New Roman" w:hAnsi="Traditional Arabic" w:cs="Traditional Arabic"/>
          <w:b/>
          <w:bCs/>
          <w:color w:val="000000" w:themeColor="text1"/>
          <w:sz w:val="28"/>
          <w:szCs w:val="28"/>
        </w:rPr>
        <w:t>Sustainable Development Theory</w:t>
      </w:r>
      <w:r>
        <w:rPr>
          <w:rFonts w:ascii="Traditional Arabic" w:eastAsia="Times New Roman" w:hAnsi="Traditional Arabic" w:cs="Traditional Arabic"/>
          <w:b/>
          <w:bCs/>
          <w:color w:val="000000" w:themeColor="text1"/>
          <w:sz w:val="28"/>
          <w:szCs w:val="28"/>
          <w:rtl/>
        </w:rPr>
        <w:t>):</w:t>
      </w:r>
    </w:p>
    <w:p w14:paraId="49804CAD" w14:textId="4F298EA2"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تقوم هذه النظرية على تحقيق التوازن بين الأبعاد الاقتصادية والبيئية والاجتماعية لضمان استمرارية الموارد والخدمات على المدى الطويل، وهو ما يتوافق مع طبيعة قطاع المياه الذي يتطلب إدارة مستدامة للأصول والموارد.</w:t>
      </w:r>
    </w:p>
    <w:p w14:paraId="5A0A677B" w14:textId="00B9ADDB" w:rsidR="00FE662A" w:rsidRPr="00FE662A" w:rsidRDefault="00FE662A" w:rsidP="00FE662A">
      <w:pPr>
        <w:bidi/>
        <w:jc w:val="both"/>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3-5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نظرية الاقتصاد الدائري (</w:t>
      </w:r>
      <w:r>
        <w:rPr>
          <w:rFonts w:ascii="Traditional Arabic" w:eastAsia="Times New Roman" w:hAnsi="Traditional Arabic" w:cs="Traditional Arabic"/>
          <w:b/>
          <w:bCs/>
          <w:color w:val="000000" w:themeColor="text1"/>
          <w:sz w:val="28"/>
          <w:szCs w:val="28"/>
        </w:rPr>
        <w:t>Circular Economy</w:t>
      </w:r>
      <w:r>
        <w:rPr>
          <w:rFonts w:ascii="Traditional Arabic" w:eastAsia="Times New Roman" w:hAnsi="Traditional Arabic" w:cs="Traditional Arabic"/>
          <w:b/>
          <w:bCs/>
          <w:color w:val="000000" w:themeColor="text1"/>
          <w:sz w:val="28"/>
          <w:szCs w:val="28"/>
          <w:rtl/>
        </w:rPr>
        <w:t>):</w:t>
      </w:r>
    </w:p>
    <w:p w14:paraId="55C27210" w14:textId="1FB3310E"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تركز هذه النظرية على تعظيم كفاءة استخدام الموارد وتقليل الفاقد من خلال إعادة الاستخدام وإطالة دورة حياة الأصول، مما يسهم في تحسين كفاءة إدارة البنية التحتية المائية وتعزيز استدامتها التشغيلية.</w:t>
      </w:r>
    </w:p>
    <w:p w14:paraId="13765106" w14:textId="77777777" w:rsidR="00FE662A" w:rsidRPr="00FE662A" w:rsidRDefault="00FE662A" w:rsidP="00FE662A">
      <w:pPr>
        <w:bidi/>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وفي سياق هذه الدراسة، تُستخدم هذه المداخل النظرية لتفسير دور الاستدامة المؤسسية في تحسين كفاءة إدارة الأصول وتقليل المخاطر التشغيلية، خاصة عند تكاملها مع التحول الرقمي ضمن إطار حوكمة ذكية.</w:t>
      </w:r>
    </w:p>
    <w:p w14:paraId="4D5B3670" w14:textId="5D013C62"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سلامة أصول البنية التحتية المائية</w:t>
      </w:r>
    </w:p>
    <w:p w14:paraId="3F4456EE" w14:textId="0F2244F4"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4-1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مفهوم إدارة الأصول ومفهوم سلامة الأصول</w:t>
      </w:r>
    </w:p>
    <w:p w14:paraId="3BC7C60C" w14:textId="4818FB6B"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تُعرِّف مواصفة</w:t>
      </w:r>
      <w:r>
        <w:rPr>
          <w:rFonts w:ascii="Traditional Arabic" w:eastAsia="Times New Roman" w:hAnsi="Traditional Arabic" w:cs="Traditional Arabic"/>
          <w:color w:val="000000" w:themeColor="text1"/>
          <w:sz w:val="28"/>
          <w:szCs w:val="28"/>
        </w:rPr>
        <w:t xml:space="preserve"> ISO 55000 </w:t>
      </w:r>
      <w:r>
        <w:rPr>
          <w:rFonts w:ascii="Traditional Arabic" w:eastAsia="Times New Roman" w:hAnsi="Traditional Arabic" w:cs="Traditional Arabic"/>
          <w:color w:val="000000" w:themeColor="text1"/>
          <w:sz w:val="28"/>
          <w:szCs w:val="28"/>
          <w:rtl/>
        </w:rPr>
        <w:t>إدارة الأصول بأنها نشاط منظم ومنسق لإدارة الأصول عبر دورة حياتها بما يحقق القيمة</w:t>
      </w:r>
      <w:r>
        <w:rPr>
          <w:rFonts w:ascii="Traditional Arabic" w:eastAsia="Times New Roman" w:hAnsi="Traditional Arabic" w:cs="Traditional Arabic"/>
          <w:color w:val="000000" w:themeColor="text1"/>
          <w:sz w:val="28"/>
          <w:szCs w:val="28"/>
        </w:rPr>
        <w:t xml:space="preserve"> (ISO 55000, 2014) </w:t>
      </w:r>
      <w:r>
        <w:rPr>
          <w:rFonts w:ascii="Traditional Arabic" w:eastAsia="Times New Roman" w:hAnsi="Traditional Arabic" w:cs="Traditional Arabic" w:hint="cs"/>
          <w:color w:val="000000" w:themeColor="text1"/>
          <w:sz w:val="28"/>
          <w:szCs w:val="28"/>
          <w:rtl/>
        </w:rPr>
        <w:t xml:space="preserve"> ، </w:t>
      </w:r>
      <w:r>
        <w:rPr>
          <w:rFonts w:ascii="Traditional Arabic" w:eastAsia="Times New Roman" w:hAnsi="Traditional Arabic" w:cs="Traditional Arabic"/>
          <w:color w:val="000000" w:themeColor="text1"/>
          <w:sz w:val="28"/>
          <w:szCs w:val="28"/>
          <w:rtl/>
        </w:rPr>
        <w:t>وفي سياق المياه، تتسع إدارة الأصول لتشمل التخطيط، التشغيل، الصيانة، وإدارة المخاطر عبر أصول شبكية معقدة</w:t>
      </w:r>
      <w:r>
        <w:rPr>
          <w:rFonts w:ascii="Traditional Arabic" w:eastAsia="Times New Roman" w:hAnsi="Traditional Arabic" w:cs="Traditional Arabic"/>
          <w:color w:val="000000" w:themeColor="text1"/>
          <w:sz w:val="28"/>
          <w:szCs w:val="28"/>
        </w:rPr>
        <w:t>.</w:t>
      </w:r>
    </w:p>
    <w:p w14:paraId="7A058F2D" w14:textId="7F4F7ECF"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أما سلامة الأصول فتُفهم بوصفها قدرة الأصل على أداء وظيفته بكفاءة وأمان وموثوقية، مع تقليل احتمالية الفشل والمخاطر التشغيلية. وتُسهم التقنيات الرقمية في تعزيز السلامة عبر المراقبة المستمرة والتحليلات التنبؤية</w:t>
      </w:r>
      <w:r>
        <w:rPr>
          <w:rFonts w:ascii="Traditional Arabic" w:eastAsia="Times New Roman" w:hAnsi="Traditional Arabic" w:cs="Traditional Arabic"/>
          <w:color w:val="000000" w:themeColor="text1"/>
          <w:sz w:val="28"/>
          <w:szCs w:val="28"/>
        </w:rPr>
        <w:t xml:space="preserve"> (Fuller et al., 2020) </w:t>
      </w:r>
      <w:r>
        <w:rPr>
          <w:rFonts w:ascii="Traditional Arabic" w:eastAsia="Times New Roman" w:hAnsi="Traditional Arabic" w:cs="Traditional Arabic" w:hint="cs"/>
          <w:color w:val="000000" w:themeColor="text1"/>
          <w:sz w:val="28"/>
          <w:szCs w:val="28"/>
          <w:rtl/>
        </w:rPr>
        <w:t>.</w:t>
      </w:r>
    </w:p>
    <w:p w14:paraId="4252A2DD" w14:textId="49D1BC67"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4-2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أبعاد سلامة الأصول (لأغراض القياس)</w:t>
      </w:r>
    </w:p>
    <w:p w14:paraId="391631DD" w14:textId="77777777" w:rsidR="003D0407" w:rsidRDefault="00AE77C1" w:rsidP="00B7711D">
      <w:pPr>
        <w:numPr>
          <w:ilvl w:val="0"/>
          <w:numId w:val="15"/>
        </w:numPr>
        <w:bidi/>
        <w:spacing w:line="276" w:lineRule="auto"/>
      </w:pPr>
      <w:r>
        <w:rPr>
          <w:rtl/>
        </w:rPr>
        <w:t>الموثوقية التشغيلية،</w:t>
      </w:r>
    </w:p>
    <w:p w14:paraId="0A3746A6" w14:textId="77777777" w:rsidR="003D0407" w:rsidRDefault="00AE77C1" w:rsidP="00B7711D">
      <w:pPr>
        <w:numPr>
          <w:ilvl w:val="0"/>
          <w:numId w:val="15"/>
        </w:numPr>
        <w:bidi/>
        <w:spacing w:line="276" w:lineRule="auto"/>
      </w:pPr>
      <w:r>
        <w:rPr>
          <w:rtl/>
        </w:rPr>
        <w:t>الجاهزية واستمرارية الخدمة</w:t>
      </w:r>
    </w:p>
    <w:p w14:paraId="773ED950" w14:textId="04E70637" w:rsidR="00AE77C1" w:rsidRPr="00AE77C1" w:rsidRDefault="00AE77C1" w:rsidP="00B7711D">
      <w:pPr>
        <w:numPr>
          <w:ilvl w:val="0"/>
          <w:numId w:val="15"/>
        </w:numPr>
        <w:bidi/>
        <w:spacing w:line="276" w:lineRule="auto"/>
      </w:pPr>
      <w:r>
        <w:rPr>
          <w:rtl/>
        </w:rPr>
        <w:t>إدارة المخاطر التشغيلية</w:t>
      </w:r>
    </w:p>
    <w:p w14:paraId="2B01F37F" w14:textId="6D7A5DE5" w:rsidR="003D0407" w:rsidRDefault="00AE77C1" w:rsidP="00B7711D">
      <w:pPr>
        <w:numPr>
          <w:ilvl w:val="0"/>
          <w:numId w:val="15"/>
        </w:numPr>
        <w:bidi/>
        <w:spacing w:line="276" w:lineRule="auto"/>
      </w:pPr>
      <w:r>
        <w:rPr>
          <w:rtl/>
        </w:rPr>
        <w:t>كفاءة الصيانة الوقائية</w:t>
      </w:r>
      <w:r>
        <w:rPr>
          <w:rFonts w:hint="cs"/>
          <w:rtl/>
        </w:rPr>
        <w:t xml:space="preserve"> </w:t>
      </w:r>
      <w:r>
        <w:rPr>
          <w:rtl/>
        </w:rPr>
        <w:t>/</w:t>
      </w:r>
      <w:r>
        <w:rPr>
          <w:rFonts w:hint="cs"/>
          <w:rtl/>
        </w:rPr>
        <w:t xml:space="preserve"> </w:t>
      </w:r>
      <w:r>
        <w:rPr>
          <w:rtl/>
        </w:rPr>
        <w:t>التنبؤية</w:t>
      </w:r>
    </w:p>
    <w:p w14:paraId="4123DAE2" w14:textId="7B0C8973" w:rsidR="00AE77C1" w:rsidRPr="00AE77C1" w:rsidRDefault="00AE77C1" w:rsidP="00B7711D">
      <w:pPr>
        <w:numPr>
          <w:ilvl w:val="0"/>
          <w:numId w:val="15"/>
        </w:numPr>
        <w:bidi/>
        <w:spacing w:line="276" w:lineRule="auto"/>
      </w:pPr>
      <w:r>
        <w:rPr>
          <w:rtl/>
        </w:rPr>
        <w:t>تقليل الفاقد المائي</w:t>
      </w:r>
      <w:r>
        <w:t>.</w:t>
      </w:r>
    </w:p>
    <w:p w14:paraId="1790DDA8" w14:textId="22177D2A" w:rsidR="00AE77C1" w:rsidRPr="00AE77C1" w:rsidRDefault="00AE77C1"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4-3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سلامة الأصول كحلقة وصل بين المدخلات والنتائج</w:t>
      </w:r>
    </w:p>
    <w:p w14:paraId="6E065206" w14:textId="06CBA654"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تعالج الدراسة سلامة الأصول بوصفها الحلقة التشغيلية التي تترجم التحول الرقمي والاستدامة—حين تُحكم—إلى نتائج مؤسسية، إذ إن تحسن السلامة يُخفض الأعطال ويزيد الاستمرارية ويعزز الثقة، ما ينعكس مباشرة على الأداء المؤسسي</w:t>
      </w:r>
      <w:r>
        <w:rPr>
          <w:rFonts w:ascii="Traditional Arabic" w:eastAsia="Times New Roman" w:hAnsi="Traditional Arabic" w:cs="Traditional Arabic"/>
          <w:color w:val="000000" w:themeColor="text1"/>
          <w:sz w:val="28"/>
          <w:szCs w:val="28"/>
        </w:rPr>
        <w:t>.</w:t>
      </w:r>
    </w:p>
    <w:p w14:paraId="0385B40F" w14:textId="62E08CC9" w:rsidR="00AE77C1" w:rsidRPr="00AE77C1" w:rsidRDefault="00AE77C1" w:rsidP="00B7711D">
      <w:pPr>
        <w:pStyle w:val="Heading2"/>
        <w:numPr>
          <w:ilvl w:val="0"/>
          <w:numId w:val="31"/>
        </w:numPr>
        <w:bidi/>
        <w:spacing w:line="276" w:lineRule="auto"/>
        <w:rPr>
          <w:rFonts w:ascii="Traditional Arabic" w:hAnsi="Traditional Arabic" w:cs="Traditional Arabic"/>
          <w:b/>
          <w:bCs/>
          <w:sz w:val="36"/>
          <w:szCs w:val="36"/>
        </w:rPr>
      </w:pPr>
      <w:r>
        <w:rPr>
          <w:rFonts w:ascii="Traditional Arabic" w:hAnsi="Traditional Arabic" w:cs="Traditional Arabic"/>
          <w:b/>
          <w:bCs/>
          <w:sz w:val="36"/>
          <w:szCs w:val="36"/>
          <w:rtl/>
        </w:rPr>
        <w:t>الأداء المؤسسي</w:t>
      </w:r>
    </w:p>
    <w:p w14:paraId="3B594AF0" w14:textId="13EC0820"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5-1 </w:t>
      </w:r>
      <w:r>
        <w:rPr>
          <w:rFonts w:ascii="Traditional Arabic" w:eastAsia="Times New Roman" w:hAnsi="Traditional Arabic" w:cs="Traditional Arabic"/>
          <w:b/>
          <w:bCs/>
          <w:color w:val="000000" w:themeColor="text1"/>
          <w:sz w:val="28"/>
          <w:szCs w:val="28"/>
          <w:rtl/>
        </w:rPr>
        <w:t>مفهوم الأداء المؤسسي وقياسه</w:t>
      </w:r>
    </w:p>
    <w:p w14:paraId="6B9CA876" w14:textId="00D742F3" w:rsidR="00AE77C1" w:rsidRPr="00AE77C1" w:rsidRDefault="00AE77C1" w:rsidP="00527ED7">
      <w:pPr>
        <w:bidi/>
        <w:spacing w:line="276" w:lineRule="auto"/>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قدرة المؤسسة على تحقيق أهدافها بكفاءة وفعالية، وقد تطور قياسه من المؤشرات المالية إلى منظور متوازن يشمل الأبعاد التشغيلية ورضا العملاء والتعلم والنمو</w:t>
      </w:r>
      <w:r>
        <w:rPr>
          <w:rFonts w:ascii="Traditional Arabic" w:eastAsia="Times New Roman" w:hAnsi="Traditional Arabic" w:cs="Traditional Arabic"/>
          <w:color w:val="000000" w:themeColor="text1"/>
          <w:sz w:val="28"/>
          <w:szCs w:val="28"/>
        </w:rPr>
        <w:t xml:space="preserve"> (Kaplan &amp; Norton, 1996). </w:t>
      </w:r>
      <w:r>
        <w:rPr>
          <w:rFonts w:ascii="Traditional Arabic" w:eastAsia="Times New Roman" w:hAnsi="Traditional Arabic" w:cs="Traditional Arabic"/>
          <w:color w:val="000000" w:themeColor="text1"/>
          <w:sz w:val="28"/>
          <w:szCs w:val="28"/>
          <w:rtl/>
        </w:rPr>
        <w:t>كما يُعد الأداء مفهومًا متعدد الأبعاد يتضمن الكفاءة التشغيلية والفعالية الاستراتيجية والاستدامة طويلة الأجل</w:t>
      </w:r>
      <w:r>
        <w:rPr>
          <w:rFonts w:ascii="Traditional Arabic" w:eastAsia="Times New Roman" w:hAnsi="Traditional Arabic" w:cs="Traditional Arabic"/>
          <w:color w:val="000000" w:themeColor="text1"/>
          <w:sz w:val="28"/>
          <w:szCs w:val="28"/>
        </w:rPr>
        <w:t xml:space="preserve"> (Richard et al., 2009).</w:t>
      </w:r>
      <w:r>
        <w:rPr>
          <w:rFonts w:ascii="Traditional Arabic" w:eastAsia="Times New Roman" w:hAnsi="Traditional Arabic" w:cs="Traditional Arabic" w:hint="cs"/>
          <w:color w:val="000000" w:themeColor="text1"/>
          <w:sz w:val="28"/>
          <w:szCs w:val="28"/>
          <w:rtl/>
        </w:rPr>
        <w:t>.</w:t>
      </w:r>
    </w:p>
    <w:p w14:paraId="73F79772" w14:textId="565A99B9" w:rsidR="00AE77C1" w:rsidRPr="00AE77C1" w:rsidRDefault="003D0407" w:rsidP="003D0407">
      <w:pPr>
        <w:bidi/>
        <w:spacing w:line="276" w:lineRule="auto"/>
        <w:rPr>
          <w:rFonts w:ascii="Traditional Arabic" w:eastAsia="Times New Roman" w:hAnsi="Traditional Arabic" w:cs="Traditional Arabic"/>
          <w:b/>
          <w:bCs/>
          <w:color w:val="000000" w:themeColor="text1"/>
          <w:sz w:val="28"/>
          <w:szCs w:val="28"/>
        </w:rPr>
      </w:pPr>
      <w:r>
        <w:rPr>
          <w:rFonts w:ascii="Traditional Arabic" w:eastAsia="Times New Roman" w:hAnsi="Traditional Arabic" w:cs="Traditional Arabic"/>
          <w:b/>
          <w:bCs/>
          <w:color w:val="000000" w:themeColor="text1"/>
          <w:sz w:val="28"/>
          <w:szCs w:val="28"/>
        </w:rPr>
        <w:t xml:space="preserve"> 5-2 </w:t>
      </w:r>
      <w:r>
        <w:rPr>
          <w:rFonts w:ascii="Traditional Arabic" w:eastAsia="Times New Roman" w:hAnsi="Traditional Arabic" w:cs="Traditional Arabic"/>
          <w:b/>
          <w:bCs/>
          <w:color w:val="000000" w:themeColor="text1"/>
          <w:sz w:val="28"/>
          <w:szCs w:val="28"/>
          <w:rtl/>
        </w:rPr>
        <w:t>أبعاد الأداء المؤسسي في الدراسة (لأغراض القياس)</w:t>
      </w:r>
    </w:p>
    <w:p w14:paraId="0AF70EF9"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الكفاءة التشغيلية</w:t>
      </w:r>
    </w:p>
    <w:p w14:paraId="4978281D" w14:textId="157E8840"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lastRenderedPageBreak/>
        <w:t>جودة الخدمة واستمراريتها</w:t>
      </w:r>
    </w:p>
    <w:p w14:paraId="7C79F5DC" w14:textId="754AC99E"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رضا المستفيدين</w:t>
      </w:r>
    </w:p>
    <w:p w14:paraId="2E630F17" w14:textId="77777777" w:rsidR="003D0407"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الاستدامة المالية</w:t>
      </w:r>
    </w:p>
    <w:p w14:paraId="6DD9E617" w14:textId="2946A040" w:rsidR="00AE77C1" w:rsidRPr="00AE77C1" w:rsidRDefault="00AE77C1" w:rsidP="00B7711D">
      <w:pPr>
        <w:numPr>
          <w:ilvl w:val="0"/>
          <w:numId w:val="16"/>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القدرة على إدارة المخاطر</w:t>
      </w:r>
      <w:r>
        <w:rPr>
          <w:rFonts w:ascii="Traditional Arabic" w:eastAsia="Times New Roman" w:hAnsi="Traditional Arabic" w:cs="Traditional Arabic"/>
          <w:color w:val="000000" w:themeColor="text1"/>
          <w:sz w:val="28"/>
          <w:szCs w:val="28"/>
        </w:rPr>
        <w:t>.</w:t>
      </w:r>
    </w:p>
    <w:p w14:paraId="5B5CF338" w14:textId="5863518A" w:rsidR="00AE77C1" w:rsidRPr="00AE77C1" w:rsidRDefault="00AE77C1" w:rsidP="003D0407">
      <w:pPr>
        <w:bidi/>
        <w:spacing w:line="276" w:lineRule="auto"/>
        <w:rPr>
          <w:b/>
          <w:bCs/>
        </w:rPr>
      </w:pPr>
      <w:r>
        <w:rPr>
          <w:rFonts w:ascii="Traditional Arabic" w:eastAsia="Times New Roman" w:hAnsi="Traditional Arabic" w:cs="Traditional Arabic"/>
          <w:b/>
          <w:bCs/>
          <w:color w:val="000000" w:themeColor="text1"/>
          <w:sz w:val="28"/>
          <w:szCs w:val="28"/>
        </w:rPr>
        <w:t xml:space="preserve">5-3 </w:t>
      </w:r>
      <w:r>
        <w:rPr>
          <w:rFonts w:ascii="Traditional Arabic" w:eastAsia="Times New Roman" w:hAnsi="Traditional Arabic" w:cs="Traditional Arabic" w:hint="cs"/>
          <w:b/>
          <w:bCs/>
          <w:color w:val="000000" w:themeColor="text1"/>
          <w:sz w:val="28"/>
          <w:szCs w:val="28"/>
          <w:rtl/>
        </w:rPr>
        <w:t xml:space="preserve"> </w:t>
      </w:r>
      <w:r>
        <w:rPr>
          <w:rFonts w:ascii="Traditional Arabic" w:eastAsia="Times New Roman" w:hAnsi="Traditional Arabic" w:cs="Traditional Arabic"/>
          <w:b/>
          <w:bCs/>
          <w:color w:val="000000" w:themeColor="text1"/>
          <w:sz w:val="28"/>
          <w:szCs w:val="28"/>
          <w:rtl/>
        </w:rPr>
        <w:t>موقع الأداء في النموذج</w:t>
      </w:r>
    </w:p>
    <w:p w14:paraId="17EB96B8" w14:textId="77777777" w:rsidR="00AE77C1" w:rsidRPr="00AE77C1" w:rsidRDefault="00AE77C1" w:rsidP="003D0407">
      <w:p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يُمثل الأداء المؤسسي “المحصلة النهائية” لتكامل المتغيرات</w:t>
      </w:r>
      <w:r>
        <w:rPr>
          <w:rFonts w:ascii="Traditional Arabic" w:eastAsia="Times New Roman" w:hAnsi="Traditional Arabic" w:cs="Traditional Arabic"/>
          <w:color w:val="000000" w:themeColor="text1"/>
          <w:sz w:val="28"/>
          <w:szCs w:val="28"/>
        </w:rPr>
        <w:t>:</w:t>
      </w:r>
    </w:p>
    <w:p w14:paraId="4401CF7C" w14:textId="51259D3F"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التحول الرقمي والاستدامة كمدخلات</w:t>
      </w:r>
    </w:p>
    <w:p w14:paraId="14819C32" w14:textId="2B0E54A0"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الحوكمة الذكية كإطار منظم/مفسر</w:t>
      </w:r>
    </w:p>
    <w:p w14:paraId="1E96CF6B" w14:textId="5A3CAC62" w:rsidR="00AE77C1" w:rsidRPr="00AE77C1" w:rsidRDefault="00AE77C1" w:rsidP="00B7711D">
      <w:pPr>
        <w:numPr>
          <w:ilvl w:val="0"/>
          <w:numId w:val="17"/>
        </w:numPr>
        <w:bidi/>
        <w:spacing w:line="276" w:lineRule="auto"/>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color w:val="000000" w:themeColor="text1"/>
          <w:sz w:val="28"/>
          <w:szCs w:val="28"/>
          <w:rtl/>
        </w:rPr>
        <w:t>سلامة الأصول كمخرج تشغيلي وسيط يقود للأداء</w:t>
      </w:r>
      <w:r>
        <w:rPr>
          <w:rFonts w:ascii="Traditional Arabic" w:eastAsia="Times New Roman" w:hAnsi="Traditional Arabic" w:cs="Traditional Arabic"/>
          <w:color w:val="000000" w:themeColor="text1"/>
          <w:sz w:val="28"/>
          <w:szCs w:val="28"/>
        </w:rPr>
        <w:t>.</w:t>
      </w:r>
      <w:r>
        <w:rPr>
          <w:rFonts w:ascii="Traditional Arabic" w:eastAsia="Times New Roman" w:hAnsi="Traditional Arabic" w:cs="Traditional Arabic"/>
          <w:color w:val="000000" w:themeColor="text1"/>
          <w:sz w:val="28"/>
          <w:szCs w:val="28"/>
        </w:rPr>
        <w:br/>
      </w:r>
      <w:r>
        <w:rPr>
          <w:rFonts w:ascii="Traditional Arabic" w:eastAsia="Times New Roman" w:hAnsi="Traditional Arabic" w:cs="Traditional Arabic"/>
          <w:color w:val="000000" w:themeColor="text1"/>
          <w:sz w:val="28"/>
          <w:szCs w:val="28"/>
          <w:rtl/>
        </w:rPr>
        <w:t>وبذلك يصبح اختبار العلاقات بين المتغيرات اختبارًا لمنطق “التحول المنضبط” لا “الرقمنة المجردة</w:t>
      </w:r>
      <w:r>
        <w:rPr>
          <w:rFonts w:ascii="Traditional Arabic" w:eastAsia="Times New Roman" w:hAnsi="Traditional Arabic" w:cs="Traditional Arabic"/>
          <w:color w:val="000000" w:themeColor="text1"/>
          <w:sz w:val="28"/>
          <w:szCs w:val="28"/>
        </w:rPr>
        <w:t>”.</w:t>
      </w:r>
    </w:p>
    <w:p w14:paraId="2A9AD080" w14:textId="04224C6F" w:rsidR="00AE77C1" w:rsidRDefault="00AE77C1" w:rsidP="003D0407">
      <w:pPr>
        <w:bidi/>
        <w:spacing w:line="276"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color w:val="000000" w:themeColor="text1"/>
          <w:sz w:val="28"/>
          <w:szCs w:val="28"/>
          <w:rtl/>
        </w:rPr>
        <w:t>في ضوء العرض السابق، يتبين أن متغيرات الدراسة ليست عناصر منفصلة، بل تمثل منظومة مترابطة: فالتحول الرقمي والاستدامة يوفران أدوات وغايات للتحسين، بينما تقوم الحوكمة الذكية بضبط المسار وتوجيه القرار وإدارة المخاطر، وتظهر سلامة الأصول كترجمة تشغيلية لهذا التكامل، وصولًا إلى الأداء المؤسسي كنتيجة نهائية قابلة للقياس. وانطلاقًا من هذا المنطق النظري، تنتقل الدراسة إلى استعراض الدراسات السابقة وتحليلها نقديًا وفق محاورها المعتمدة؛ بهدف رصد الاتجاهات البحثية، وتحديد أوجه القصور، وصياغة الفجوة البحثية التي تُبنى عليها فروض الدراسة</w:t>
      </w:r>
      <w:r>
        <w:rPr>
          <w:rFonts w:ascii="Traditional Arabic" w:eastAsia="Times New Roman" w:hAnsi="Traditional Arabic" w:cs="Traditional Arabic"/>
          <w:color w:val="000000" w:themeColor="text1"/>
          <w:sz w:val="28"/>
          <w:szCs w:val="28"/>
        </w:rPr>
        <w:t>.</w:t>
      </w:r>
    </w:p>
    <w:p w14:paraId="1632E35C" w14:textId="77777777" w:rsidR="003D0407" w:rsidRPr="00BD0159" w:rsidRDefault="003D0407" w:rsidP="003D0407">
      <w:pPr>
        <w:bidi/>
        <w:jc w:val="both"/>
        <w:rPr>
          <w:rFonts w:ascii="Traditional Arabic" w:eastAsia="Times New Roman" w:hAnsi="Traditional Arabic" w:cs="Traditional Arabic"/>
          <w:color w:val="000000" w:themeColor="text1"/>
          <w:sz w:val="28"/>
          <w:szCs w:val="28"/>
        </w:rPr>
      </w:pPr>
    </w:p>
    <w:p w14:paraId="623AC6BA" w14:textId="77777777" w:rsidR="00E12E59" w:rsidRDefault="00E12E59" w:rsidP="00E12E59">
      <w:pPr>
        <w:pStyle w:val="Heading2"/>
        <w:bidi/>
        <w:rPr>
          <w:rFonts w:ascii="Traditional Arabic" w:hAnsi="Traditional Arabic" w:cs="Traditional Arabic"/>
          <w:b/>
          <w:bCs/>
          <w:sz w:val="36"/>
          <w:szCs w:val="36"/>
          <w:rtl/>
        </w:rPr>
      </w:pPr>
      <w:r>
        <w:rPr>
          <w:rFonts w:ascii="Traditional Arabic" w:hAnsi="Traditional Arabic" w:cs="Traditional Arabic"/>
          <w:b/>
          <w:bCs/>
          <w:sz w:val="36"/>
          <w:szCs w:val="36"/>
          <w:rtl/>
        </w:rPr>
        <w:t>ثانيًا: الدراسات السابقة</w:t>
      </w:r>
    </w:p>
    <w:p w14:paraId="74EEF617" w14:textId="77777777" w:rsidR="00134549" w:rsidRDefault="00E12E59" w:rsidP="003A12BC">
      <w:pPr>
        <w:bidi/>
        <w:spacing w:after="200" w:line="276" w:lineRule="auto"/>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b/>
          <w:bCs/>
          <w:color w:val="000000" w:themeColor="text1"/>
          <w:sz w:val="28"/>
          <w:szCs w:val="28"/>
          <w:rtl/>
        </w:rPr>
        <w:t>تمهيد</w:t>
      </w:r>
    </w:p>
    <w:p w14:paraId="2660E62B" w14:textId="54F26C41" w:rsidR="00134549" w:rsidRPr="00D21B14" w:rsidRDefault="004D47BA" w:rsidP="003A12BC">
      <w:pPr>
        <w:bidi/>
        <w:spacing w:after="200" w:line="276" w:lineRule="auto"/>
        <w:jc w:val="both"/>
        <w:rPr>
          <w:rFonts w:ascii="Traditional Arabic" w:hAnsi="Traditional Arabic" w:cs="Traditional Arabic"/>
          <w:sz w:val="28"/>
          <w:szCs w:val="28"/>
        </w:rPr>
      </w:pPr>
      <w:r>
        <w:rPr>
          <w:rFonts w:ascii="Traditional Arabic" w:hAnsi="Traditional Arabic" w:cs="Traditional Arabic"/>
          <w:sz w:val="28"/>
          <w:szCs w:val="28"/>
          <w:rtl/>
        </w:rPr>
        <w:t>تناول الفصل الأول عرضًا تأسيسيًا موجزًا للدراسات ذات الصلة دعمًا لمشكلة البحث وبناء النموذج المفاهيمي. أما في هذا الفصل، فيتم تحليل الأدبيات بصورة منهجية نقدية مصنفة وفق محاور الدراسة، بهدف تفكيك الاتجاهات البحثية، والكشف عن أوجه القصور المنهجية، وبناء الأساس النظري المتكامل الذي تستند إليه فروض الدراسة</w:t>
      </w:r>
      <w:r>
        <w:rPr>
          <w:rFonts w:ascii="Traditional Arabic" w:hAnsi="Traditional Arabic" w:cs="Traditional Arabic" w:hint="cs"/>
          <w:sz w:val="28"/>
          <w:szCs w:val="28"/>
          <w:rtl/>
        </w:rPr>
        <w:t xml:space="preserve">، حيث </w:t>
      </w:r>
      <w:r>
        <w:rPr>
          <w:rFonts w:ascii="Traditional Arabic" w:hAnsi="Traditional Arabic" w:cs="Traditional Arabic"/>
          <w:sz w:val="28"/>
          <w:szCs w:val="28"/>
          <w:rtl/>
        </w:rPr>
        <w:t>يمثل عرض الدراسات السابقة مرحلة محورية في البناء العلمي للدراسة، إذ لا يقتصر دوره على استعراض ما كُتب في موضوع البحث، بل يتجاوز ذلك إلى تحليل الاتجاهات البحثية، وتقييم المنطلقات النظرية والمنهجية، والكشف عن أوجه الاتفاق والاختلاف، وصولًا إلى تحديد الفجوة العلمية التي تنطلق منها الدراسة الحالية</w:t>
      </w:r>
      <w:r>
        <w:rPr>
          <w:rFonts w:ascii="Traditional Arabic" w:hAnsi="Traditional Arabic" w:cs="Traditional Arabic"/>
          <w:sz w:val="28"/>
          <w:szCs w:val="28"/>
        </w:rPr>
        <w:t>.</w:t>
      </w:r>
    </w:p>
    <w:p w14:paraId="6E6ACE98" w14:textId="77777777" w:rsidR="00134549" w:rsidRPr="00D21B14" w:rsidRDefault="00134549" w:rsidP="00134549">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الطبيعة التكاملية لموضوع الدراسة – الذي يجمع بين الحوكمة الذكية، وإدارة أصول البنية التحتية المائية، والتحول الرقمي، والاستدامة، والأداء المؤسسي – فقد تم تبني منهجية تحليل موضوعي مقارن</w:t>
      </w:r>
      <w:r>
        <w:rPr>
          <w:rFonts w:ascii="Traditional Arabic" w:hAnsi="Traditional Arabic" w:cs="Traditional Arabic"/>
          <w:sz w:val="28"/>
          <w:szCs w:val="28"/>
        </w:rPr>
        <w:t xml:space="preserve"> (Thematic Comparative Analysis)</w:t>
      </w:r>
      <w:r>
        <w:rPr>
          <w:rFonts w:ascii="Traditional Arabic" w:hAnsi="Traditional Arabic" w:cs="Traditional Arabic"/>
          <w:sz w:val="28"/>
          <w:szCs w:val="28"/>
          <w:rtl/>
        </w:rPr>
        <w:t>، بدلاً من العرض الزمني التقليدي. ويهدف هذا الأسلوب إلى تجنب الطابع السردي التجميعي، والتركيز بدلًا من ذلك على تحليل العلاقات بين المتغيرات، واستكشاف مدى تكاملها في الأدبيات القائمة</w:t>
      </w:r>
      <w:r>
        <w:rPr>
          <w:rFonts w:ascii="Traditional Arabic" w:hAnsi="Traditional Arabic" w:cs="Traditional Arabic"/>
          <w:sz w:val="28"/>
          <w:szCs w:val="28"/>
        </w:rPr>
        <w:t>.</w:t>
      </w:r>
    </w:p>
    <w:p w14:paraId="1284884B" w14:textId="77777777" w:rsidR="00134549" w:rsidRPr="00D21B14" w:rsidRDefault="00134549" w:rsidP="00134549">
      <w:pPr>
        <w:bidi/>
        <w:jc w:val="both"/>
        <w:rPr>
          <w:rFonts w:ascii="Traditional Arabic" w:hAnsi="Traditional Arabic" w:cs="Traditional Arabic"/>
          <w:sz w:val="28"/>
          <w:szCs w:val="28"/>
        </w:rPr>
      </w:pPr>
      <w:r>
        <w:rPr>
          <w:rFonts w:ascii="Traditional Arabic" w:hAnsi="Traditional Arabic" w:cs="Traditional Arabic"/>
          <w:sz w:val="28"/>
          <w:szCs w:val="28"/>
          <w:rtl/>
        </w:rPr>
        <w:t>وقد تم تنظيم الدراسات السابقة وفق خمسة محاور رئيسية تمثل أبعاد الدراسة، وهي</w:t>
      </w:r>
      <w:r>
        <w:rPr>
          <w:rFonts w:ascii="Traditional Arabic" w:hAnsi="Traditional Arabic" w:cs="Traditional Arabic"/>
          <w:sz w:val="28"/>
          <w:szCs w:val="28"/>
        </w:rPr>
        <w:t>:</w:t>
      </w:r>
    </w:p>
    <w:p w14:paraId="016D6E7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حوكمة البنية التحتية والحوكمة الذكية،</w:t>
      </w:r>
    </w:p>
    <w:p w14:paraId="5E331D5F"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 xml:space="preserve"> </w:t>
      </w:r>
      <w:r>
        <w:rPr>
          <w:rFonts w:ascii="Traditional Arabic" w:hAnsi="Traditional Arabic" w:cs="Traditional Arabic"/>
          <w:sz w:val="28"/>
          <w:szCs w:val="28"/>
          <w:rtl/>
        </w:rPr>
        <w:t>إدارة أصول البنية التحتية المائية،</w:t>
      </w:r>
    </w:p>
    <w:p w14:paraId="69FABF6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 في قطاع المياه،</w:t>
      </w:r>
    </w:p>
    <w:p w14:paraId="538E657B"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في إدارة الموارد المائية،</w:t>
      </w:r>
    </w:p>
    <w:p w14:paraId="18D7F1F5" w14:textId="77777777" w:rsidR="00134549" w:rsidRDefault="00134549" w:rsidP="00B7711D">
      <w:pPr>
        <w:pStyle w:val="ListParagraph"/>
        <w:numPr>
          <w:ilvl w:val="0"/>
          <w:numId w:val="10"/>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 وقياس الأداء</w:t>
      </w:r>
      <w:r>
        <w:rPr>
          <w:rFonts w:ascii="Traditional Arabic" w:hAnsi="Traditional Arabic" w:cs="Traditional Arabic" w:hint="cs"/>
          <w:sz w:val="28"/>
          <w:szCs w:val="28"/>
          <w:rtl/>
        </w:rPr>
        <w:t>.</w:t>
      </w:r>
    </w:p>
    <w:p w14:paraId="2F6A086A" w14:textId="77777777" w:rsidR="00134549" w:rsidRDefault="00134549" w:rsidP="00134549">
      <w:pPr>
        <w:pStyle w:val="ListParagraph"/>
        <w:bidi/>
        <w:jc w:val="both"/>
        <w:rPr>
          <w:rFonts w:ascii="Traditional Arabic" w:hAnsi="Traditional Arabic" w:cs="Traditional Arabic"/>
          <w:sz w:val="28"/>
          <w:szCs w:val="28"/>
          <w:rtl/>
        </w:rPr>
      </w:pPr>
      <w:r>
        <w:rPr>
          <w:rFonts w:ascii="Traditional Arabic" w:hAnsi="Traditional Arabic" w:cs="Traditional Arabic"/>
          <w:sz w:val="28"/>
          <w:szCs w:val="28"/>
          <w:rtl/>
        </w:rPr>
        <w:t>إضافة إلى (6) الدراسات المرتبطة بالسياق المؤسسي في المملكة العربية السعودية</w:t>
      </w:r>
      <w:r>
        <w:rPr>
          <w:rFonts w:ascii="Traditional Arabic" w:hAnsi="Traditional Arabic" w:cs="Traditional Arabic"/>
          <w:sz w:val="28"/>
          <w:szCs w:val="28"/>
        </w:rPr>
        <w:t>.</w:t>
      </w:r>
    </w:p>
    <w:p w14:paraId="11D19E22" w14:textId="77777777" w:rsidR="00134549" w:rsidRDefault="00134549" w:rsidP="00134549">
      <w:pPr>
        <w:pStyle w:val="ListParagraph"/>
        <w:jc w:val="both"/>
        <w:rPr>
          <w:rFonts w:ascii="Traditional Arabic" w:hAnsi="Traditional Arabic" w:cs="Traditional Arabic"/>
          <w:sz w:val="28"/>
          <w:szCs w:val="28"/>
          <w:rtl/>
        </w:rPr>
      </w:pPr>
    </w:p>
    <w:p w14:paraId="31AC26BD" w14:textId="77777777" w:rsidR="00134549" w:rsidRPr="00027E2A" w:rsidRDefault="00134549" w:rsidP="0013454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b/>
          <w:bCs/>
          <w:sz w:val="28"/>
          <w:szCs w:val="28"/>
          <w:rtl/>
        </w:rPr>
        <w:t>أولًا: حوكمة البنية التحتية والحوكمة الذكية</w:t>
      </w:r>
    </w:p>
    <w:p w14:paraId="1AB051C0" w14:textId="36C33A56" w:rsidR="00FA0E7C" w:rsidRPr="00FA0E7C" w:rsidRDefault="00A44299" w:rsidP="00A4429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(Meijer &amp; Bolívar, 2016)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"Governing the Smart City: A Review of the Literature on Smart Urban Governance"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الأدبيات التي تناولت حوكمة المدن الذكية وتحليل تصوراتها الرئيسة، مع تحديد مرتكزاتها المؤسسية والتكنولوجية. واعتمدت منهج مراجعة أدبية تحليلية لتيارات البحث ذات الصلة في السياقات الأوروبية. وأظهرت النتائج أن الحوكمة الذكية تقوم على تطويع التقنيات الرقمية لتشكيل أنماط تعاون جديدة وتحسين مخرجات الحوكمة ورفع الانفتاح والشفافية، وأن وضوح الأدوار والمسؤوليات يمثل عاملًا حاسمًا في تحسين جودة القرار العام.</w:t>
      </w:r>
    </w:p>
    <w:p w14:paraId="793CEE17"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ومع ذلك، فإن تركيز الدراسة ظل ضمن السياق الحضري/الإداري العام، دون اختبار الحوكمة الذكية في بيئات تشغيلية عالية الحساسية والمخاطر مثل إدارة أصول البنية التحتية المائية، كما لم تربط بين الحوكمة الذكية ومؤشرات تشغيلية محددة مثل سلامة الأصول/موثوقيتها.</w:t>
      </w:r>
    </w:p>
    <w:p w14:paraId="3186E32A"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المفاهيمي، لكنها تتجاوزه عبر إعادة توطين الحوكمة الذكية داخل نموذج سببي يختبر أثرها التفسيري/المنظِّم في قطاع المياه.</w:t>
      </w:r>
    </w:p>
    <w:p w14:paraId="3065FA68"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C58CFE6" w14:textId="4D7FB157"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(Gil-Garcia et al., 2018)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"What Makes a City Smart? Identifying Core Components and Proposing an Integrative Conceptualization"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مراجعة مسار بحوث الحكومة الرقمية وعلاقتها بمجال الإدارة العامة/إدارة القطاع العام، واستكشاف نقاط التقاطع البحثي بين المجتمعين العلميين، وذلك عبر مراجعة منهجية/نقدية للأدبيات الحديثة المنشورة في دوريات الإدارة العامة. وأظهرت النتائج أن تعظيم قيمة التحول الرقمي يتطلب متطلبات مؤسسية متقدمة تشمل: تكامل المعلومات والبيانات عبر الحدود التنظيمية، وضوح السياسات، وآليات التنسيق والتعاون بين الوحدات؛ وأن غياب هذه المكوّنات يؤدي غالبًا إلى تجزئة المبادرات الرقمية وضعف عوائدها المؤسسية.</w:t>
      </w:r>
    </w:p>
    <w:p w14:paraId="162C59B0"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أهمية النتائج، فإن الدراسة لم تختبر الأثر التشغيلي لهذه المتطلبات على إدارة الأصول أو سلامتها، كما لم تقدم نموذجًا كمّيًا سببيًا لقياس قوة العلاقات بين المتغيرات.</w:t>
      </w:r>
    </w:p>
    <w:p w14:paraId="3E797214" w14:textId="77777777"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وعليه، توظف الدراسة الحالية هذه المخرجات لتدعيم إدراج الحوكمة الذكية بوصفها متغيرًا تفسيريًا/منظِّمًا يشرح كيف تُترجم مبادرات التحول الرقمي إلى نتائج تشغيلية (سلامة الأصول) ثم إلى نتائج مؤسسية (الأداء).</w:t>
      </w:r>
    </w:p>
    <w:p w14:paraId="30231300" w14:textId="77777777" w:rsidR="00027E2A" w:rsidRPr="00FA0E7C" w:rsidRDefault="00027E2A" w:rsidP="00557CFB">
      <w:pPr>
        <w:pStyle w:val="ListParagraph"/>
        <w:bidi/>
        <w:spacing w:line="278" w:lineRule="auto"/>
        <w:ind w:left="0"/>
        <w:jc w:val="both"/>
        <w:rPr>
          <w:rFonts w:ascii="Traditional Arabic" w:hAnsi="Traditional Arabic" w:cs="Traditional Arabic"/>
          <w:sz w:val="28"/>
          <w:szCs w:val="28"/>
        </w:rPr>
      </w:pPr>
    </w:p>
    <w:p w14:paraId="1243757C" w14:textId="78BA4AE8" w:rsidR="00557CFB" w:rsidRP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تناولت دراسة</w:t>
      </w:r>
      <w:r>
        <w:rPr>
          <w:rFonts w:ascii="Traditional Arabic" w:hAnsi="Traditional Arabic" w:cs="Traditional Arabic"/>
          <w:sz w:val="28"/>
          <w:szCs w:val="28"/>
        </w:rPr>
        <w:t xml:space="preserve"> (Almulhim &amp; Yigitcanlar, 2025)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“Understanding Smart Governance of Sustainable Cities: A Review and Multidimensional Framework”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مفهوم الحوكمة الذكية في سياق المدن المستدامة، حيث هدفت إلى تقديم مراجعة علمية شاملة وصياغة إطار متعدد الأبعاد يوضح مكونات الحوكمة الذكية وعوامل تمكينها. واعتمدت الدراسة على منهج المراجعة الأدبية المنهجية، وأظهرت نتائجها أن الحوكمة الذكية ترتكز على مجموعة من الأبعاد المتكاملة، تشمل حوكمة البيانات وتكاملها، وتعزيز الشفافية والمساءلة، وبناء القدرات المؤسسية، ومواءمة التقنيات الرقمية مع السياسات العامة لتحقيق التنمية المستدامة</w:t>
      </w:r>
      <w:r>
        <w:rPr>
          <w:rFonts w:ascii="Traditional Arabic" w:hAnsi="Traditional Arabic" w:cs="Traditional Arabic"/>
          <w:sz w:val="28"/>
          <w:szCs w:val="28"/>
        </w:rPr>
        <w:t>.</w:t>
      </w:r>
    </w:p>
    <w:p w14:paraId="7B8280B9" w14:textId="783BFB85" w:rsidR="00557CFB" w:rsidRPr="002D68B0"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وعلى الرغم من أهمية هذه الدراسة في تطوير الفهم النظري للحوكمة الذكية، إلا أنها ركزت على السياق الحضري العام، ولم تتناول إدارة أصول البنية التحتية بوصفها مجالًا تشغيليًا عالي الحساسية، كما لم تدمج الحوكمة الذكية ضمن نموذج سببي يختبر أثرها على نتائج تشغيلية أو مؤسسية قابلة للقياس</w:t>
      </w:r>
      <w:r>
        <w:rPr>
          <w:rFonts w:ascii="Traditional Arabic" w:hAnsi="Traditional Arabic" w:cs="Traditional Arabic"/>
          <w:sz w:val="28"/>
          <w:szCs w:val="28"/>
        </w:rPr>
        <w:t>.</w:t>
      </w:r>
    </w:p>
    <w:p w14:paraId="6E6EB9DB" w14:textId="77777777" w:rsidR="00557CFB" w:rsidRDefault="00557CFB" w:rsidP="002D68B0">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هذا الإطار، تسعى الدراسة الحالية إلى سد هذه الفجوة من خلال اختبار دور الحوكمة الذكية تجريبيًا في قطاع المياه السعودي، ضمن نموذج تكاملي يربط بين التحول الرقمي والاستدامة المؤسسية وسلامة أصول البنية التحتية والأداء المؤسسي.</w:t>
      </w:r>
    </w:p>
    <w:p w14:paraId="5B517189" w14:textId="5B1C7985" w:rsidR="00971831" w:rsidRPr="00971831" w:rsidRDefault="00971831" w:rsidP="00557CFB">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كما تناولت الأدبيات الحديثة دور الحوكمة الرقمية في تحسين كفاءة إدارة الأصول وتعزيز اتخاذ القرار المؤسسي القائم على البيانات، خاصة في القطاعات كثيفة البنية التحتية. حيث تشير دراسة</w:t>
      </w:r>
      <w:r>
        <w:rPr>
          <w:rFonts w:ascii="Traditional Arabic" w:hAnsi="Traditional Arabic" w:cs="Traditional Arabic"/>
          <w:sz w:val="28"/>
          <w:szCs w:val="28"/>
        </w:rPr>
        <w:t xml:space="preserve"> (Janssen et al., 2017) </w:t>
      </w:r>
      <w:r>
        <w:rPr>
          <w:rFonts w:ascii="Traditional Arabic" w:hAnsi="Traditional Arabic" w:cs="Traditional Arabic"/>
          <w:sz w:val="28"/>
          <w:szCs w:val="28"/>
          <w:rtl/>
        </w:rPr>
        <w:t>إلى أن الحوكمة الرقمية تمثل إطارًا تنظيميًا يدمج بين التقنيات الرقمية والهياكل المؤسسية بهدف تحسين الشفافية وجودة القرار وتقليل المخاطر التشغيلية. كما تؤكد دراسة</w:t>
      </w:r>
      <w:r>
        <w:rPr>
          <w:rFonts w:ascii="Traditional Arabic" w:hAnsi="Traditional Arabic" w:cs="Traditional Arabic"/>
          <w:sz w:val="28"/>
          <w:szCs w:val="28"/>
        </w:rPr>
        <w:t xml:space="preserve"> (Verhoef et al., 2021) </w:t>
      </w:r>
      <w:r>
        <w:rPr>
          <w:rFonts w:ascii="Traditional Arabic" w:hAnsi="Traditional Arabic" w:cs="Traditional Arabic"/>
          <w:sz w:val="28"/>
          <w:szCs w:val="28"/>
          <w:rtl/>
        </w:rPr>
        <w:t>أن تحقيق القيمة من التحول الرقمي لا يعتمد فقط على تبني التقنيات، بل يتطلب وجود آليات حوكمة فعالة تضمن مواءمة المبادرات الرقمية مع الأهداف الاستراتيجية للمؤسسة</w:t>
      </w:r>
      <w:r>
        <w:rPr>
          <w:rFonts w:ascii="Traditional Arabic" w:hAnsi="Traditional Arabic" w:cs="Traditional Arabic"/>
          <w:sz w:val="28"/>
          <w:szCs w:val="28"/>
        </w:rPr>
        <w:t>.</w:t>
      </w:r>
    </w:p>
    <w:p w14:paraId="2205A7DC" w14:textId="43716D8C" w:rsidR="00EA641D" w:rsidRDefault="00971831" w:rsidP="007F5CE5">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وفي السياق نفسه، أوضحت دراسة</w:t>
      </w:r>
      <w:r>
        <w:rPr>
          <w:rFonts w:ascii="Traditional Arabic" w:hAnsi="Traditional Arabic" w:cs="Traditional Arabic"/>
          <w:sz w:val="28"/>
          <w:szCs w:val="28"/>
        </w:rPr>
        <w:t xml:space="preserve"> (Kraus et al., 2021) </w:t>
      </w:r>
      <w:r>
        <w:rPr>
          <w:rFonts w:ascii="Traditional Arabic" w:hAnsi="Traditional Arabic" w:cs="Traditional Arabic"/>
          <w:sz w:val="28"/>
          <w:szCs w:val="28"/>
          <w:rtl/>
        </w:rPr>
        <w:t>أن العلاقة بين التحول الرقمي والأداء المؤسسي تتأثر بشكل مباشر بجودة الحوكمة المؤسسية وتكامل البيانات، حيث تسهم الحوكمة الفعالة في تحويل التقنيات الرقمية إلى قيمة تشغيلية ومؤسسية ملموسة. كما تشير الأدبيات الحديثة إلى أن الحوكمة الذكية تمثل أحد أهم محددات نجاح إدارة الأصول، نظرًا لدورها في تنظيم تدفق البيانات وربطها بعمليات التشغيل والصيانة وتحسين إدارة المخاطر التشغيلية</w:t>
      </w:r>
      <w:r>
        <w:rPr>
          <w:rFonts w:ascii="Traditional Arabic" w:hAnsi="Traditional Arabic" w:cs="Traditional Arabic"/>
          <w:sz w:val="28"/>
          <w:szCs w:val="28"/>
        </w:rPr>
        <w:t xml:space="preserve"> (Almulhim &amp; Yigitcanlar, 2025)</w:t>
      </w:r>
      <w:r>
        <w:rPr>
          <w:rFonts w:ascii="Traditional Arabic" w:hAnsi="Traditional Arabic" w:cs="Traditional Arabic" w:hint="cs"/>
          <w:sz w:val="28"/>
          <w:szCs w:val="28"/>
          <w:rtl/>
        </w:rPr>
        <w:t>.</w:t>
      </w:r>
    </w:p>
    <w:p w14:paraId="41FDA89E" w14:textId="77777777" w:rsidR="00EA641D" w:rsidRDefault="00EA641D" w:rsidP="00EA641D">
      <w:pPr>
        <w:pStyle w:val="ListParagraph"/>
        <w:bidi/>
        <w:spacing w:line="278" w:lineRule="auto"/>
        <w:ind w:left="0"/>
        <w:jc w:val="both"/>
        <w:rPr>
          <w:rFonts w:ascii="Traditional Arabic" w:hAnsi="Traditional Arabic" w:cs="Traditional Arabic"/>
          <w:sz w:val="28"/>
          <w:szCs w:val="28"/>
          <w:rtl/>
        </w:rPr>
      </w:pPr>
    </w:p>
    <w:p w14:paraId="347DF976" w14:textId="4E057245" w:rsidR="00FD34FA" w:rsidRPr="00971831" w:rsidRDefault="00971831" w:rsidP="00EA641D">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وبناءً على ذلك، يمكن النظر إلى الحوكمة الذكية بوصفها آلية تنظيمية تربط بين التحول الرقمي وإدارة الأصول، حيث تفسر كيفية انتقال أثر التقنيات الرقمية إلى تحسين كفاءة الأصول وتعزيز الأداء المؤسسي في المؤسسات المعتمدة على البنية التحتية.</w:t>
      </w:r>
    </w:p>
    <w:p w14:paraId="3A032E1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خلاصة نقدية للمحور (استنتاج تحليلي):</w:t>
      </w:r>
    </w:p>
    <w:p w14:paraId="270B2E86" w14:textId="77777777" w:rsidR="00FA0E7C" w:rsidRPr="00FA0E7C" w:rsidRDefault="00FA0E7C" w:rsidP="00FA0E7C">
      <w:p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يتضح من تحليل الدراسات السابقة في هذا المحور أن الأدبيات أسهمت في تأصيل مفهوم الحوكمة الذكية وتحديد مرتكزاته المؤسسية والتكنولوجية، إلا أنها تتسم بثلاث ملاحظات رئيسة:</w:t>
      </w:r>
    </w:p>
    <w:p w14:paraId="7304972E"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غلبة التركيز على السياقات الحضرية/الإدارية العامة دون امتداد كافٍ لبيئات تشغيلية عالية المخاطر مثل أصول المياه.</w:t>
      </w:r>
    </w:p>
    <w:p w14:paraId="1228AB0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Pr>
        <w:t>predominance</w:t>
      </w:r>
      <w:r>
        <w:rPr>
          <w:rFonts w:ascii="Traditional Arabic" w:hAnsi="Traditional Arabic" w:cs="Traditional Arabic"/>
          <w:sz w:val="28"/>
          <w:szCs w:val="28"/>
          <w:rtl/>
        </w:rPr>
        <w:t xml:space="preserve"> الطابع المفاهيمي/المراجعات مقابل محدودية النماذج السببية الكمية التي تختبر العلاقات بين المتغيرات.</w:t>
      </w:r>
    </w:p>
    <w:p w14:paraId="3D3549C3" w14:textId="77777777" w:rsidR="00FA0E7C" w:rsidRP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ضعف الربط المباشر بين الحوكمة الذكية وبين سلامة الأصول كمؤشر تشغيلي وسيط يفسّر انتقال أثر التحول الرقمي إلى الأداء المؤسسي.</w:t>
      </w:r>
    </w:p>
    <w:p w14:paraId="405B961B" w14:textId="77777777" w:rsidR="00FA0E7C" w:rsidRDefault="00FA0E7C" w:rsidP="00B7711D">
      <w:pPr>
        <w:pStyle w:val="ListParagraph"/>
        <w:numPr>
          <w:ilvl w:val="0"/>
          <w:numId w:val="21"/>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ومن ثم، تبرز الحاجة إلى دراسة تطبق الحوكمة الذكية داخل نموذج تكاملي يربطها بالتحول الرقمي والاستدامة وسلامة الأصول والأداء المؤسسي في قطاع المياه.</w:t>
      </w:r>
    </w:p>
    <w:p w14:paraId="01D1052C" w14:textId="77777777" w:rsidR="00EA641D" w:rsidRDefault="00EA641D" w:rsidP="00134549">
      <w:pPr>
        <w:pStyle w:val="ListParagraph"/>
        <w:bidi/>
        <w:spacing w:line="278" w:lineRule="auto"/>
        <w:ind w:left="0"/>
        <w:jc w:val="both"/>
        <w:rPr>
          <w:rFonts w:ascii="Traditional Arabic" w:hAnsi="Traditional Arabic" w:cs="Traditional Arabic"/>
          <w:b/>
          <w:bCs/>
          <w:sz w:val="28"/>
          <w:szCs w:val="28"/>
          <w:rtl/>
        </w:rPr>
      </w:pPr>
    </w:p>
    <w:p w14:paraId="2F732A33" w14:textId="25B091AB" w:rsidR="00134549" w:rsidRPr="004502CF" w:rsidRDefault="00134549" w:rsidP="00EA641D">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ثانيًا: إدارة أصول البنية التحتية المائية</w:t>
      </w:r>
    </w:p>
    <w:p w14:paraId="2830A6C5" w14:textId="4ACBF0AD" w:rsidR="00FA0E7C" w:rsidRPr="00FA0E7C" w:rsidRDefault="00027E2A" w:rsidP="00027E2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(El-Akruti et al., 2013)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بعنوان </w:t>
      </w:r>
      <w:r>
        <w:rPr>
          <w:rFonts w:ascii="Traditional Arabic" w:hAnsi="Traditional Arabic" w:cs="Traditional Arabic"/>
          <w:sz w:val="28"/>
          <w:szCs w:val="28"/>
        </w:rPr>
        <w:t xml:space="preserve">"The Strategic Role of Engineering Asset Management"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الدراسة إلى تحليل الدور الاستراتيجي لإدارة الأصول في المؤسسات الصناعية، وربطها بتحقيق القيمة المؤسسية وتحسين الأداء طويل الأجل. واعتمدت منهج دراسة الحالة المقارنة عبر تحليل تطبيقات صناعية متعددة. وأظهرت النتائج أن إدارة الأصول عندما تُدار ضمن إطار استراتيجي متكامل تسهم في تعظيم القيمة وتقليل المخاطر التشغيلية، كما أن مواءمتها مع الأهداف المؤسسية تمثل عاملًا حاسمًا في تحسين الأداء المستدام.</w:t>
      </w:r>
    </w:p>
    <w:p w14:paraId="6D7A9B32"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القطاع الصناعي ولم تتناول خصوصية البنية التحتية الشبكية مثل قطاع المياه، كما لم تدمج الأبعاد الرقمية الحديثة ضمن نموذج إدارة الأصول، ولم تختبر العلاقات ضمن نموذج سببي كمي.</w:t>
      </w:r>
    </w:p>
    <w:p w14:paraId="18EDF82D" w14:textId="3DC1DB89" w:rsidR="00FA0E7C" w:rsidRDefault="00FA0E7C" w:rsidP="00FA0E7C">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الطرح الاستراتيجي لإدارة الأصول، لكنها تتجاوزه بإدخال التحول الرقمي والحوكمة الذكية ضمن إطار تكاملي موجّه لقطاع المياه.</w:t>
      </w:r>
    </w:p>
    <w:p w14:paraId="12791E01" w14:textId="77777777" w:rsidR="00027E2A" w:rsidRPr="00FA0E7C" w:rsidRDefault="00027E2A" w:rsidP="00027E2A">
      <w:pPr>
        <w:pStyle w:val="ListParagraph"/>
        <w:bidi/>
        <w:spacing w:line="278" w:lineRule="auto"/>
        <w:ind w:left="0"/>
        <w:jc w:val="both"/>
        <w:rPr>
          <w:rFonts w:ascii="Traditional Arabic" w:hAnsi="Traditional Arabic" w:cs="Traditional Arabic"/>
          <w:sz w:val="28"/>
          <w:szCs w:val="28"/>
        </w:rPr>
      </w:pPr>
    </w:p>
    <w:p w14:paraId="13EB2C63" w14:textId="3D1437A0"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تناول </w:t>
      </w:r>
      <w:r>
        <w:rPr>
          <w:rFonts w:ascii="Traditional Arabic" w:hAnsi="Traditional Arabic" w:cs="Traditional Arabic"/>
          <w:sz w:val="28"/>
          <w:szCs w:val="28"/>
        </w:rPr>
        <w:t xml:space="preserve">Hastings (2021)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xml:space="preserve">في كتابه </w:t>
      </w:r>
      <w:r>
        <w:rPr>
          <w:rFonts w:ascii="Traditional Arabic" w:hAnsi="Traditional Arabic" w:cs="Traditional Arabic"/>
          <w:i/>
          <w:iCs/>
          <w:sz w:val="28"/>
          <w:szCs w:val="28"/>
        </w:rPr>
        <w:t>Physical Asset Management</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تطوير إطار متكامل لإدارة الأصول الفيزيائية عبر دورة حياتها الكاملة، مع التركيز على مواءمة القرارات التشغيلية والهندسية مع الأهداف الاستراتيجية للمؤسسات. ويؤكد هذا الإطار على أهمية التكامل بين التخطيط طويل الأجل، وإدارة المخاطر، وإدارة الصيانة، وتحليل دورة حياة الأصول، بما يسهم في تحسين موثوقية الأصول وتعظيم القيمة الاقتصادية المتحققة منها. كما يشير المؤلف إلى الدور المتزايد للبيانات وأنظمة المعلومات في دعم عمليات اتخاذ القرار المرتبطة بإدارة الأصول</w:t>
      </w:r>
      <w:r>
        <w:rPr>
          <w:rFonts w:ascii="Traditional Arabic" w:hAnsi="Traditional Arabic" w:cs="Traditional Arabic"/>
          <w:sz w:val="28"/>
          <w:szCs w:val="28"/>
        </w:rPr>
        <w:t>.</w:t>
      </w:r>
    </w:p>
    <w:p w14:paraId="40128AFC" w14:textId="77777777" w:rsidR="00B33A23" w:rsidRPr="00B33A23" w:rsidRDefault="00B33A23" w:rsidP="00B33A23">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هذا العمل يقدم تأصيلًا مفاهيميًا مهمًا لإدارة الأصول، إلا أنه يركز بدرجة أكبر على الجوانب الفنية والإدارية التقليدية، دون التعمق في الأطر الحوكمية أو التطبيقات المتقدمة للتحول الرقمي في إدارة الأصول والبنية التحتية. ومن هذا المنطلق تستفيد الدراسة الحالية من هذا الأساس النظري في إدارة الأصول، مع توسيعه ليشمل دور التحول الرقمي والحوكمة الذكية في تعزيز سلامة أصول البنية التحتية في قطاع المياه</w:t>
      </w:r>
      <w:r>
        <w:rPr>
          <w:rFonts w:ascii="Traditional Arabic" w:hAnsi="Traditional Arabic" w:cs="Traditional Arabic"/>
          <w:sz w:val="28"/>
          <w:szCs w:val="28"/>
        </w:rPr>
        <w:t>.</w:t>
      </w:r>
    </w:p>
    <w:p w14:paraId="46F902ED" w14:textId="77777777" w:rsidR="00B52231" w:rsidRDefault="00B52231" w:rsidP="00FA0E7C">
      <w:pPr>
        <w:pStyle w:val="ListParagraph"/>
        <w:bidi/>
        <w:spacing w:line="278" w:lineRule="auto"/>
        <w:ind w:left="0"/>
        <w:jc w:val="both"/>
        <w:rPr>
          <w:rFonts w:ascii="Traditional Arabic" w:hAnsi="Traditional Arabic" w:cs="Traditional Arabic"/>
          <w:sz w:val="28"/>
          <w:szCs w:val="28"/>
          <w:rtl/>
        </w:rPr>
      </w:pPr>
    </w:p>
    <w:p w14:paraId="6AD67240" w14:textId="647711F6" w:rsidR="00FA0E7C" w:rsidRPr="00FA0E7C" w:rsidRDefault="00FA0E7C" w:rsidP="00B52231">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في مجال إدارة أصول البنية التحتية ما يلي</w:t>
      </w:r>
      <w:r>
        <w:rPr>
          <w:rFonts w:ascii="Traditional Arabic" w:hAnsi="Traditional Arabic" w:cs="Traditional Arabic"/>
          <w:sz w:val="28"/>
          <w:szCs w:val="28"/>
        </w:rPr>
        <w:t>:</w:t>
      </w:r>
    </w:p>
    <w:p w14:paraId="3FE9F6BD"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ركزت الدراسات المبكرة على البعد الفني وإدارة دورة الحياة وتقليل المخاطر</w:t>
      </w:r>
      <w:r>
        <w:rPr>
          <w:rFonts w:ascii="Traditional Arabic" w:hAnsi="Traditional Arabic" w:cs="Traditional Arabic"/>
          <w:sz w:val="28"/>
          <w:szCs w:val="28"/>
        </w:rPr>
        <w:t>.</w:t>
      </w:r>
    </w:p>
    <w:p w14:paraId="0DAB834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أضافت الدراسات الحديثة البعد الرقمي (مثل التوأم الرقمي)، مما عزز موثوقية الأصول</w:t>
      </w:r>
      <w:r>
        <w:rPr>
          <w:rFonts w:ascii="Traditional Arabic" w:hAnsi="Traditional Arabic" w:cs="Traditional Arabic"/>
          <w:sz w:val="28"/>
          <w:szCs w:val="28"/>
        </w:rPr>
        <w:t>.</w:t>
      </w:r>
    </w:p>
    <w:p w14:paraId="07D92E97"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ظل الربط بين إدارة الأصول والحوكمة الذكية محدودًا</w:t>
      </w:r>
      <w:r>
        <w:rPr>
          <w:rFonts w:ascii="Traditional Arabic" w:hAnsi="Traditional Arabic" w:cs="Traditional Arabic"/>
          <w:sz w:val="28"/>
          <w:szCs w:val="28"/>
        </w:rPr>
        <w:t>.</w:t>
      </w:r>
    </w:p>
    <w:p w14:paraId="31DD15DF"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الاستدامة المؤسسية والتحول الرقمي والحوكمة ضمن نموذج سببي موحد</w:t>
      </w:r>
      <w:r>
        <w:rPr>
          <w:rFonts w:ascii="Traditional Arabic" w:hAnsi="Traditional Arabic" w:cs="Traditional Arabic"/>
          <w:sz w:val="28"/>
          <w:szCs w:val="28"/>
        </w:rPr>
        <w:t>.</w:t>
      </w:r>
    </w:p>
    <w:p w14:paraId="099CDCA3" w14:textId="77777777" w:rsidR="00FA0E7C" w:rsidRPr="00FA0E7C" w:rsidRDefault="00FA0E7C" w:rsidP="00B7711D">
      <w:pPr>
        <w:pStyle w:val="ListParagraph"/>
        <w:numPr>
          <w:ilvl w:val="0"/>
          <w:numId w:val="22"/>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لا تزال الدراسات التطبيقية المتكاملة في قطاع المياه محدودة، خصوصًا في السياقات الإقليمية</w:t>
      </w:r>
      <w:r>
        <w:rPr>
          <w:rFonts w:ascii="Traditional Arabic" w:hAnsi="Traditional Arabic" w:cs="Traditional Arabic"/>
          <w:sz w:val="28"/>
          <w:szCs w:val="28"/>
        </w:rPr>
        <w:t>.</w:t>
      </w:r>
    </w:p>
    <w:p w14:paraId="61C91DC6"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ومن ثم، تظهر فجوة بحثية تتمثل في الحاجة إلى نموذج تكاملي يربط بين</w:t>
      </w:r>
      <w:r>
        <w:rPr>
          <w:rFonts w:ascii="Traditional Arabic" w:hAnsi="Traditional Arabic" w:cs="Traditional Arabic"/>
          <w:sz w:val="28"/>
          <w:szCs w:val="28"/>
        </w:rPr>
        <w:t>:</w:t>
      </w:r>
    </w:p>
    <w:p w14:paraId="7B88167C"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التحول الرقمي</w:t>
      </w:r>
    </w:p>
    <w:p w14:paraId="2ED37FEB"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الحوكمة الذكية</w:t>
      </w:r>
    </w:p>
    <w:p w14:paraId="02DF315E"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الاستدامة المؤسسية</w:t>
      </w:r>
    </w:p>
    <w:p w14:paraId="47759234"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سلامة أصول البنية التحتية</w:t>
      </w:r>
    </w:p>
    <w:p w14:paraId="0476B16F" w14:textId="77777777" w:rsidR="00FA0E7C" w:rsidRPr="00FA0E7C" w:rsidRDefault="00FA0E7C" w:rsidP="00B7711D">
      <w:pPr>
        <w:pStyle w:val="ListParagraph"/>
        <w:numPr>
          <w:ilvl w:val="0"/>
          <w:numId w:val="23"/>
        </w:numPr>
        <w:bidi/>
        <w:spacing w:line="278" w:lineRule="auto"/>
        <w:jc w:val="both"/>
        <w:rPr>
          <w:rFonts w:ascii="Traditional Arabic" w:hAnsi="Traditional Arabic" w:cs="Traditional Arabic"/>
          <w:sz w:val="28"/>
          <w:szCs w:val="28"/>
        </w:rPr>
      </w:pPr>
      <w:r>
        <w:rPr>
          <w:rFonts w:ascii="Traditional Arabic" w:hAnsi="Traditional Arabic" w:cs="Traditional Arabic"/>
          <w:sz w:val="28"/>
          <w:szCs w:val="28"/>
          <w:rtl/>
        </w:rPr>
        <w:t>الأداء المؤسسي</w:t>
      </w:r>
    </w:p>
    <w:p w14:paraId="58819FF4"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وذلك في قطاع المياه بوصفه قطاعًا عالي الحساسية التشغيلية والاستثمارية</w:t>
      </w:r>
      <w:r>
        <w:rPr>
          <w:rFonts w:ascii="Traditional Arabic" w:hAnsi="Traditional Arabic" w:cs="Traditional Arabic"/>
          <w:sz w:val="28"/>
          <w:szCs w:val="28"/>
        </w:rPr>
        <w:t>.</w:t>
      </w:r>
    </w:p>
    <w:p w14:paraId="717AE2C8" w14:textId="77777777" w:rsidR="00FA0E7C" w:rsidRPr="00FA0E7C" w:rsidRDefault="00FA0E7C" w:rsidP="00FA0E7C">
      <w:pPr>
        <w:pStyle w:val="ListParagraph"/>
        <w:bidi/>
        <w:spacing w:line="278" w:lineRule="auto"/>
        <w:ind w:left="0"/>
        <w:jc w:val="both"/>
        <w:rPr>
          <w:rFonts w:ascii="Traditional Arabic" w:hAnsi="Traditional Arabic" w:cs="Traditional Arabic"/>
          <w:sz w:val="28"/>
          <w:szCs w:val="28"/>
          <w:rtl/>
        </w:rPr>
      </w:pPr>
    </w:p>
    <w:p w14:paraId="03E7A5A4" w14:textId="4E9F6FE0" w:rsidR="00134549" w:rsidRPr="004502CF" w:rsidRDefault="00134549" w:rsidP="00FA0E7C">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ثالثًا: التحول الرقمي في قطاع المياه</w:t>
      </w:r>
    </w:p>
    <w:p w14:paraId="381C256B" w14:textId="5C6463D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(Vial</w:t>
      </w:r>
      <w:r>
        <w:rPr>
          <w:rFonts w:ascii="Traditional Arabic" w:hAnsi="Traditional Arabic" w:cs="Traditional Arabic"/>
          <w:sz w:val="28"/>
          <w:szCs w:val="28"/>
          <w:rtl/>
        </w:rPr>
        <w:t>، 2019</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"Understanding Digital Transformation: A Review and a Research Agenda"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شامل يفسر ظاهرة التحول الرقمي في المؤسسات وتحديد آليات خلق القيمة الناتجة عنه. واعتمدت الدراسة على مراجعة تحليلية منهجية للأدبيات في مجالي الإدارة ونظم المعلومات</w:t>
      </w:r>
      <w:r>
        <w:rPr>
          <w:rFonts w:ascii="Traditional Arabic" w:hAnsi="Traditional Arabic" w:cs="Traditional Arabic"/>
          <w:sz w:val="28"/>
          <w:szCs w:val="28"/>
        </w:rPr>
        <w:t>.</w:t>
      </w:r>
    </w:p>
    <w:p w14:paraId="2AD44F24"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التحول الرقمي يمثل عملية مؤسسية متعددة الأبعاد تشمل إعادة تشكيل نماذج الأعمال والعمليات التنظيمية والموارد والثقافة المؤسسية، كما أن القيمة المتحققة منه تتأثر بعوامل حاكمة مثل القيادة التنظيمية، والحوكمة المؤسسية، والقدرات الرقمية للمؤسسات</w:t>
      </w:r>
      <w:r>
        <w:rPr>
          <w:rFonts w:ascii="Traditional Arabic" w:hAnsi="Traditional Arabic" w:cs="Traditional Arabic"/>
          <w:sz w:val="28"/>
          <w:szCs w:val="28"/>
        </w:rPr>
        <w:t>.</w:t>
      </w:r>
    </w:p>
    <w:p w14:paraId="2DECE6A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عابرًا للقطاعات، ولم تختبر التحول الرقمي في قطاعات بنية تحتية شبكية معقدة مثل قطاع المياه، كما لم تربطه بمؤشرات تشغيلية محددة مثل سلامة الأصول أو موثوقية الشبكات</w:t>
      </w:r>
      <w:r>
        <w:rPr>
          <w:rFonts w:ascii="Traditional Arabic" w:hAnsi="Traditional Arabic" w:cs="Traditional Arabic"/>
          <w:sz w:val="28"/>
          <w:szCs w:val="28"/>
        </w:rPr>
        <w:t>.</w:t>
      </w:r>
    </w:p>
    <w:p w14:paraId="745A697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التحول الرقمي بوصفه عملية مؤسسية استراتيجية، مع إعادة توظيفه داخل نموذج سببي يربط الرقمنة بسلامة الأصول والأداء المؤسسي عبر الحوكمة الذكية</w:t>
      </w:r>
      <w:r>
        <w:rPr>
          <w:rFonts w:ascii="Traditional Arabic" w:hAnsi="Traditional Arabic" w:cs="Traditional Arabic"/>
          <w:sz w:val="28"/>
          <w:szCs w:val="28"/>
        </w:rPr>
        <w:t>.</w:t>
      </w:r>
    </w:p>
    <w:p w14:paraId="6B249A6E" w14:textId="77777777" w:rsidR="00B52231" w:rsidRDefault="00B52231" w:rsidP="00B52231">
      <w:pPr>
        <w:bidi/>
        <w:jc w:val="both"/>
        <w:rPr>
          <w:rFonts w:ascii="Traditional Arabic" w:hAnsi="Traditional Arabic" w:cs="Traditional Arabic"/>
          <w:sz w:val="28"/>
          <w:szCs w:val="28"/>
          <w:rtl/>
        </w:rPr>
      </w:pPr>
    </w:p>
    <w:p w14:paraId="129875F8" w14:textId="65AE4F4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دراسة (</w:t>
      </w:r>
      <w:r>
        <w:rPr>
          <w:rFonts w:ascii="Traditional Arabic" w:hAnsi="Traditional Arabic" w:cs="Traditional Arabic"/>
          <w:sz w:val="28"/>
          <w:szCs w:val="28"/>
        </w:rPr>
        <w:t>Kraus et al., 2021</w:t>
      </w:r>
      <w:r>
        <w:rPr>
          <w:rFonts w:ascii="Traditional Arabic" w:hAnsi="Traditional Arabic" w:cs="Traditional Arabic"/>
          <w:sz w:val="28"/>
          <w:szCs w:val="28"/>
          <w:rtl/>
        </w:rPr>
        <w:t>) بعنوان</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w:t>
      </w:r>
      <w:r>
        <w:rPr>
          <w:rFonts w:ascii="Traditional Arabic" w:hAnsi="Traditional Arabic" w:cs="Traditional Arabic"/>
          <w:sz w:val="28"/>
          <w:szCs w:val="28"/>
        </w:rPr>
        <w:t>Digital Transformation in Business and Management Research: An Overview of the Current Status and Future Research Directions</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أثر التحول الرقمي على الأداء المؤسسي وتحديد العوامل المفسرة لتفاوت نتائجه بين المؤسسات.</w:t>
      </w:r>
    </w:p>
    <w:p w14:paraId="574DCB43" w14:textId="0234E3E1"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أدبية منظمة واسعة النطاق في مجال الإدارة والابتكار الرقمي. وأظهرت النتائج وجود علاقة إيجابية بين التحول الرقمي والأداء المؤسسي، إلا أن هذه العلاقة تعتمد على مجموعة من العوامل التنظيمية مثل المواءمة الاستراتيجية، ووجود حوكمة تنظيمية داعمة، وجاهزية الموارد البشرية.</w:t>
      </w:r>
    </w:p>
    <w:p w14:paraId="47277948" w14:textId="0149AB15"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هذا الطرح، فإن الدراسة لم تختبر العلاقة ضمن سياق قطاع المياه، كما لم تتناول سلامة الأصول بوصفها متغيرًا تشغيليًا وسيطًا يفسر انتقال أثر التحول الرقمي إلى الأداء المؤسسي.</w:t>
      </w:r>
    </w:p>
    <w:p w14:paraId="77A8333D"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وتدعم هذه النتائج منطق الدراسة الحالية في أن التحول الرقمي لا يحقق قيمة تلقائيًا، بل يتطلب إطار حوكمة ذكي يترجم الرقمنة إلى نتائج تشغيلية ومؤسسية ملموسة.</w:t>
      </w:r>
    </w:p>
    <w:p w14:paraId="69126215" w14:textId="77777777" w:rsidR="00B52231" w:rsidRDefault="00B52231" w:rsidP="00B52231">
      <w:pPr>
        <w:bidi/>
        <w:jc w:val="both"/>
        <w:rPr>
          <w:rFonts w:ascii="Traditional Arabic" w:hAnsi="Traditional Arabic" w:cs="Traditional Arabic"/>
          <w:sz w:val="28"/>
          <w:szCs w:val="28"/>
          <w:rtl/>
        </w:rPr>
      </w:pPr>
    </w:p>
    <w:p w14:paraId="4AF3B886" w14:textId="0AC2AA78"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(Mergel et al., 2019)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"Defining Digital Transformation: Results from Expert Interviews"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تحديد مفهوم التحول الرقمي في القطاع العام وتحليل متطلبات نجاحه التنظيمي</w:t>
      </w:r>
      <w:r>
        <w:rPr>
          <w:rFonts w:ascii="Traditional Arabic" w:hAnsi="Traditional Arabic" w:cs="Traditional Arabic"/>
          <w:sz w:val="28"/>
          <w:szCs w:val="28"/>
        </w:rPr>
        <w:t>.</w:t>
      </w:r>
    </w:p>
    <w:p w14:paraId="02FAC4E0"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مقابلات معمقة مع خبراء في مجالات الحكومة الرقمية والإدارة العامة. وأظهرت النتائج أن التحول الرقمي يتطلب إعادة هيكلة الحوكمة التنظيمية وتحديد المسؤوليات بوضوح، إضافة إلى تطوير القدرات البشرية الرقمية داخل المؤسسات</w:t>
      </w:r>
      <w:r>
        <w:rPr>
          <w:rFonts w:ascii="Traditional Arabic" w:hAnsi="Traditional Arabic" w:cs="Traditional Arabic"/>
          <w:sz w:val="28"/>
          <w:szCs w:val="28"/>
        </w:rPr>
        <w:t>.</w:t>
      </w:r>
    </w:p>
    <w:p w14:paraId="695F70D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كما أكدت الدراسة أن غياب القيادة المؤسسية والحوكمة الفعالة يؤدي إلى تجزئة المبادرات الرقمية وضعف أثرها المؤسسي</w:t>
      </w:r>
      <w:r>
        <w:rPr>
          <w:rFonts w:ascii="Traditional Arabic" w:hAnsi="Traditional Arabic" w:cs="Traditional Arabic"/>
          <w:sz w:val="28"/>
          <w:szCs w:val="28"/>
        </w:rPr>
        <w:t>.</w:t>
      </w:r>
    </w:p>
    <w:p w14:paraId="0D7882B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وعلى الرغم من أن الدراسة لا تتناول قطاع المياه تحديدًا، فإنها تقدم تفسيرًا تنظيميًا مهمًا لكيفية انتقال التحول الرقمي من مجرد تبني تقني إلى خلق قيمة مؤسسية</w:t>
      </w:r>
      <w:r>
        <w:rPr>
          <w:rFonts w:ascii="Traditional Arabic" w:hAnsi="Traditional Arabic" w:cs="Traditional Arabic"/>
          <w:sz w:val="28"/>
          <w:szCs w:val="28"/>
        </w:rPr>
        <w:t>.</w:t>
      </w:r>
    </w:p>
    <w:p w14:paraId="633B36BD"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وتوظف الدراسة الحالية هذه الرؤية لتبرير إدراج الحوكمة الذكية كمتغير منظم يفسر نجاح أو تعثر مبادرات التحول الرقمي في المؤسسات الخدمية</w:t>
      </w:r>
      <w:r>
        <w:rPr>
          <w:rFonts w:ascii="Traditional Arabic" w:hAnsi="Traditional Arabic" w:cs="Traditional Arabic"/>
          <w:sz w:val="28"/>
          <w:szCs w:val="28"/>
        </w:rPr>
        <w:t>.</w:t>
      </w:r>
    </w:p>
    <w:p w14:paraId="76AC6937" w14:textId="77777777" w:rsidR="00B52231" w:rsidRPr="00B52231" w:rsidRDefault="00B52231" w:rsidP="00B52231">
      <w:pPr>
        <w:bidi/>
        <w:jc w:val="both"/>
        <w:rPr>
          <w:rFonts w:ascii="Traditional Arabic" w:hAnsi="Traditional Arabic" w:cs="Traditional Arabic"/>
          <w:sz w:val="28"/>
          <w:szCs w:val="28"/>
        </w:rPr>
      </w:pPr>
    </w:p>
    <w:p w14:paraId="5390CBE4" w14:textId="5AC75399"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(Quintana et al., 2025)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w:t>
      </w:r>
      <w:r>
        <w:t xml:space="preserve"> </w:t>
      </w:r>
      <w:r>
        <w:rPr>
          <w:rFonts w:ascii="Traditional Arabic" w:hAnsi="Traditional Arabic" w:cs="Traditional Arabic"/>
          <w:sz w:val="28"/>
          <w:szCs w:val="28"/>
        </w:rPr>
        <w:t xml:space="preserve">On Smart Water System Developments: A Systematic Review."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مراجعة منهجية لتطور أنظمة المياه الذكية عالميًا وتحليل التحديات التقنية والمؤسسية المصاحبة لتبني التحول الرقمي في قطاع المياه</w:t>
      </w:r>
      <w:r>
        <w:rPr>
          <w:rFonts w:ascii="Traditional Arabic" w:hAnsi="Traditional Arabic" w:cs="Traditional Arabic"/>
          <w:sz w:val="28"/>
          <w:szCs w:val="28"/>
        </w:rPr>
        <w:t>.</w:t>
      </w:r>
    </w:p>
    <w:p w14:paraId="74EAC516"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تقنيات الاستشعار الذكي والعدادات الرقمية والتحليلات التنبؤية تسهم في تحسين كفاءة التشغيل وتقليل الأعطال وإدارة الفاقد المائي</w:t>
      </w:r>
      <w:r>
        <w:rPr>
          <w:rFonts w:ascii="Traditional Arabic" w:hAnsi="Traditional Arabic" w:cs="Traditional Arabic"/>
          <w:sz w:val="28"/>
          <w:szCs w:val="28"/>
        </w:rPr>
        <w:t>.</w:t>
      </w:r>
    </w:p>
    <w:p w14:paraId="6D97E655"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إلا أن الدراسة أشارت إلى عدد من التحديات، من أبرزها تكامل البيانات، وحوكمة المعلومات، وضعف التنسيق المؤسسي بين الجهات المعنية</w:t>
      </w:r>
      <w:r>
        <w:rPr>
          <w:rFonts w:ascii="Traditional Arabic" w:hAnsi="Traditional Arabic" w:cs="Traditional Arabic"/>
          <w:sz w:val="28"/>
          <w:szCs w:val="28"/>
        </w:rPr>
        <w:t>.</w:t>
      </w:r>
    </w:p>
    <w:p w14:paraId="776C4921"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ورغم أهمية هذه النتائج، فإن الدراسة اتسمت بالطابع الوصفي التحليلي، ولم تقدم نموذجًا سببيًا كميًا يختبر العلاقة بين التحول الرقمي وسلامة الأصول والأداء المؤسسي</w:t>
      </w:r>
      <w:r>
        <w:rPr>
          <w:rFonts w:ascii="Traditional Arabic" w:hAnsi="Traditional Arabic" w:cs="Traditional Arabic"/>
          <w:sz w:val="28"/>
          <w:szCs w:val="28"/>
        </w:rPr>
        <w:t>.</w:t>
      </w:r>
    </w:p>
    <w:p w14:paraId="103E79BE"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وتدعم هذه النتائج أهمية إدراج الحوكمة الذكية بوصفها إطارًا تنظيميًا يحول التقنيات الرقمية إلى قيمة تشغيلية مستدامة</w:t>
      </w:r>
      <w:r>
        <w:rPr>
          <w:rFonts w:ascii="Traditional Arabic" w:hAnsi="Traditional Arabic" w:cs="Traditional Arabic"/>
          <w:sz w:val="28"/>
          <w:szCs w:val="28"/>
        </w:rPr>
        <w:t>.</w:t>
      </w:r>
    </w:p>
    <w:p w14:paraId="7C013907" w14:textId="77777777" w:rsidR="00B52231" w:rsidRPr="00B52231" w:rsidRDefault="00B52231" w:rsidP="00B52231">
      <w:pPr>
        <w:bidi/>
        <w:jc w:val="both"/>
        <w:rPr>
          <w:rFonts w:ascii="Traditional Arabic" w:hAnsi="Traditional Arabic" w:cs="Traditional Arabic"/>
          <w:sz w:val="28"/>
          <w:szCs w:val="28"/>
        </w:rPr>
      </w:pPr>
    </w:p>
    <w:p w14:paraId="4F921473" w14:textId="21D48B15"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(Zhang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"Digital Twin Applications in Smart Water Networks"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قياس أثر تطبيق التوأم الرقمي في شبكات المياه على تحسين موثوقية القرار التشغيلي وتقليل الأعطال</w:t>
      </w:r>
      <w:r>
        <w:rPr>
          <w:rFonts w:ascii="Traditional Arabic" w:hAnsi="Traditional Arabic" w:cs="Traditional Arabic"/>
          <w:sz w:val="28"/>
          <w:szCs w:val="28"/>
        </w:rPr>
        <w:t>.</w:t>
      </w:r>
    </w:p>
    <w:p w14:paraId="32275246"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بيانات تشغيلية قبل وبعد تطبيق التقنية. وأظهرت النتائج تحسنًا في دقة التنبؤ بالأعطال وارتفاع جاهزية الأصول، كما أكدت أن تكامل الأنظمة يمثل شرطًا أساسيًا لفعالية التوأم الرقمي</w:t>
      </w:r>
      <w:r>
        <w:rPr>
          <w:rFonts w:ascii="Traditional Arabic" w:hAnsi="Traditional Arabic" w:cs="Traditional Arabic"/>
          <w:sz w:val="28"/>
          <w:szCs w:val="28"/>
        </w:rPr>
        <w:t>.</w:t>
      </w:r>
    </w:p>
    <w:p w14:paraId="298C20BF" w14:textId="77777777" w:rsidR="00B52231" w:rsidRPr="00B52231" w:rsidRDefault="00B52231" w:rsidP="00B52231">
      <w:pPr>
        <w:pStyle w:val="NoSpacing"/>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البعد التقني دون تحليل دور الحوكمة المؤسسية في إدارة جودة البيانات أو تحويل نتائج التحليل إلى قرارات استراتيجية</w:t>
      </w:r>
      <w:r>
        <w:rPr>
          <w:rFonts w:ascii="Traditional Arabic" w:hAnsi="Traditional Arabic" w:cs="Traditional Arabic"/>
          <w:sz w:val="28"/>
          <w:szCs w:val="28"/>
        </w:rPr>
        <w:t>.</w:t>
      </w:r>
    </w:p>
    <w:p w14:paraId="7FD106A4" w14:textId="77777777" w:rsidR="00B52231" w:rsidRDefault="00B52231" w:rsidP="00B52231">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الطرح في تدعيم العلاقة بين التحول الرقمي وسلامة الأصول، مع إدخال الحوكمة الذكية بوصفها متغيرًا تفسيريًا</w:t>
      </w:r>
      <w:r>
        <w:rPr>
          <w:rFonts w:ascii="Traditional Arabic" w:hAnsi="Traditional Arabic" w:cs="Traditional Arabic"/>
          <w:sz w:val="28"/>
          <w:szCs w:val="28"/>
        </w:rPr>
        <w:t>.</w:t>
      </w:r>
    </w:p>
    <w:p w14:paraId="7A9AB8DC" w14:textId="77777777" w:rsidR="00BC2F7E" w:rsidRDefault="00BC2F7E" w:rsidP="00F80A91">
      <w:pPr>
        <w:pStyle w:val="NoSpacing"/>
        <w:bidi/>
        <w:rPr>
          <w:rFonts w:ascii="Traditional Arabic" w:hAnsi="Traditional Arabic" w:cs="Traditional Arabic"/>
          <w:i/>
          <w:iCs/>
          <w:sz w:val="28"/>
          <w:szCs w:val="28"/>
          <w:rtl/>
        </w:rPr>
      </w:pPr>
    </w:p>
    <w:p w14:paraId="0C3FA843" w14:textId="77777777" w:rsidR="00581E36" w:rsidRDefault="00B52231" w:rsidP="00BC2F7E">
      <w:pPr>
        <w:pStyle w:val="NoSpacing"/>
        <w:bidi/>
        <w:jc w:val="both"/>
        <w:rPr>
          <w:rFonts w:ascii="Traditional Arabic" w:hAnsi="Traditional Arabic" w:cs="Traditional Arabic"/>
          <w:sz w:val="28"/>
          <w:szCs w:val="28"/>
          <w:rtl/>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Dai, Y., Huang, Z., Khan, N., &amp; Labbo, M. S. 2025</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بعنوان</w:t>
      </w:r>
    </w:p>
    <w:p w14:paraId="4D7056FE" w14:textId="0E0581CA" w:rsidR="00B52231" w:rsidRPr="00B52231" w:rsidRDefault="00581E36" w:rsidP="008B7F83">
      <w:pPr>
        <w:pStyle w:val="NoSpacing"/>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Pr>
          <w:rFonts w:ascii="Traditional Arabic" w:hAnsi="Traditional Arabic" w:cs="Traditional Arabic"/>
          <w:sz w:val="28"/>
          <w:szCs w:val="28"/>
        </w:rPr>
        <w:t>" Smart water management: Governance innovation, technological integration, and policy pathways toward economic and ecological sustainability.</w:t>
      </w:r>
      <w:r>
        <w:rPr>
          <w:rFonts w:ascii="Traditional Arabic" w:hAnsi="Traditional Arabic" w:cs="Traditional Arabic"/>
          <w:sz w:val="28"/>
          <w:szCs w:val="28"/>
        </w:rPr>
        <w:br/>
        <w:t>Water, 17(13), 1932.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نموذج متعدد الطبقات لإدارة المياه الذكية يبدأ بالاستشعار وينتهي بدعم القرار التشغيلي</w:t>
      </w:r>
      <w:r>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وأظهرت النتائج أن التكامل بين طبقات الاستشعار والتحليل واتخاذ القرار يسهم في تحسين سرعة الاستجابة وتقليل الأعطال التشغيلية</w:t>
      </w:r>
      <w:r>
        <w:rPr>
          <w:rFonts w:ascii="Traditional Arabic" w:hAnsi="Traditional Arabic" w:cs="Traditional Arabic"/>
          <w:sz w:val="28"/>
          <w:szCs w:val="28"/>
        </w:rPr>
        <w:t>.</w:t>
      </w:r>
    </w:p>
    <w:p w14:paraId="69C62257" w14:textId="77777777" w:rsidR="00B52231" w:rsidRPr="00B52231" w:rsidRDefault="00B52231" w:rsidP="00B52231">
      <w:pPr>
        <w:bidi/>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التكامل التقني أكثر من التكامل المؤسسي، ولم تختبر الحوكمة الذكية كآلية تنظيمية تضبط المخاطر وتوجه الاستثمار الرقمي نحو أهداف سلامة الأصول والأداء المؤسسي</w:t>
      </w:r>
      <w:r>
        <w:rPr>
          <w:rFonts w:ascii="Traditional Arabic" w:hAnsi="Traditional Arabic" w:cs="Traditional Arabic"/>
          <w:sz w:val="28"/>
          <w:szCs w:val="28"/>
        </w:rPr>
        <w:t>.</w:t>
      </w:r>
    </w:p>
    <w:p w14:paraId="71205C2A" w14:textId="77777777" w:rsidR="00B52231" w:rsidRDefault="00B52231" w:rsidP="00B52231">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وتعزز هذه الدراسة الحاجة إلى الجمع بين النموذج التقني والإطار الحوكمي لتحقيق أثر مؤسسي مستدام</w:t>
      </w:r>
      <w:r>
        <w:rPr>
          <w:rFonts w:ascii="Traditional Arabic" w:hAnsi="Traditional Arabic" w:cs="Traditional Arabic"/>
          <w:sz w:val="28"/>
          <w:szCs w:val="28"/>
        </w:rPr>
        <w:t>.</w:t>
      </w:r>
    </w:p>
    <w:p w14:paraId="585AAB0F" w14:textId="3B874371" w:rsidR="00C43319" w:rsidRPr="00C43319" w:rsidRDefault="00C43319" w:rsidP="00C43319">
      <w:pPr>
        <w:bidi/>
        <w:jc w:val="both"/>
        <w:rPr>
          <w:rFonts w:ascii="Traditional Arabic" w:hAnsi="Traditional Arabic" w:cs="Traditional Arabic"/>
          <w:sz w:val="28"/>
          <w:szCs w:val="28"/>
        </w:rPr>
      </w:pPr>
      <w:r>
        <w:rPr>
          <w:rFonts w:ascii="Traditional Arabic" w:hAnsi="Traditional Arabic" w:cs="Traditional Arabic" w:hint="cs"/>
          <w:sz w:val="28"/>
          <w:szCs w:val="28"/>
          <w:rtl/>
        </w:rPr>
        <w:t xml:space="preserve">فيما </w:t>
      </w:r>
      <w:r>
        <w:rPr>
          <w:rFonts w:ascii="Traditional Arabic" w:hAnsi="Traditional Arabic" w:cs="Traditional Arabic"/>
          <w:sz w:val="28"/>
          <w:szCs w:val="28"/>
          <w:rtl/>
        </w:rPr>
        <w:t>تناولت دراسة العابد</w:t>
      </w:r>
      <w:r>
        <w:rPr>
          <w:rFonts w:ascii="Traditional Arabic" w:hAnsi="Traditional Arabic" w:cs="Traditional Arabic"/>
          <w:sz w:val="28"/>
          <w:szCs w:val="28"/>
        </w:rPr>
        <w:t xml:space="preserve"> (2024) </w:t>
      </w:r>
      <w:r>
        <w:rPr>
          <w:rFonts w:ascii="Traditional Arabic" w:hAnsi="Traditional Arabic" w:cs="Traditional Arabic"/>
          <w:sz w:val="28"/>
          <w:szCs w:val="28"/>
          <w:rtl/>
        </w:rPr>
        <w:t>دور التحول الرقمي في تحقيق الاستدامة البيئية، حيث أوضحت أن التقنيات الرقمية تسهم في تحسين تحليل البيانات البيئية وتعزيز كفاءة استخدام الموارد الطبيعية وتقليل الهدر، مما يدعم تحقيق الاستدامة البيئية. كما أظهرت دراسة عبدالراضي</w:t>
      </w:r>
      <w:r>
        <w:rPr>
          <w:rFonts w:ascii="Traditional Arabic" w:hAnsi="Traditional Arabic" w:cs="Traditional Arabic"/>
          <w:sz w:val="28"/>
          <w:szCs w:val="28"/>
        </w:rPr>
        <w:t xml:space="preserve"> (2020) </w:t>
      </w:r>
      <w:r>
        <w:rPr>
          <w:rFonts w:ascii="Traditional Arabic" w:hAnsi="Traditional Arabic" w:cs="Traditional Arabic"/>
          <w:sz w:val="28"/>
          <w:szCs w:val="28"/>
          <w:rtl/>
        </w:rPr>
        <w:t>أن تبني التحول الرقمي داخل المؤسسات يسهم في تحسين كفاءة العمليات الإدارية والتشغيلية وتعزيز الأداء المؤسسي المستدام</w:t>
      </w:r>
      <w:r>
        <w:rPr>
          <w:rFonts w:ascii="Traditional Arabic" w:hAnsi="Traditional Arabic" w:cs="Traditional Arabic"/>
          <w:sz w:val="28"/>
          <w:szCs w:val="28"/>
        </w:rPr>
        <w:t>.</w:t>
      </w:r>
    </w:p>
    <w:p w14:paraId="587DCCD7" w14:textId="77777777" w:rsidR="00FA0E7C" w:rsidRPr="007F45E1" w:rsidRDefault="00FA0E7C" w:rsidP="00FA0E7C">
      <w:pPr>
        <w:bidi/>
        <w:jc w:val="both"/>
        <w:rPr>
          <w:rFonts w:ascii="Traditional Arabic" w:hAnsi="Traditional Arabic" w:cs="Traditional Arabic"/>
          <w:sz w:val="28"/>
          <w:szCs w:val="28"/>
        </w:rPr>
      </w:pPr>
      <w:r>
        <w:rPr>
          <w:rFonts w:ascii="Traditional Arabic" w:hAnsi="Traditional Arabic" w:cs="Traditional Arabic"/>
          <w:sz w:val="28"/>
          <w:szCs w:val="28"/>
          <w:rtl/>
        </w:rPr>
        <w:t>يتضح من الأدبيات المحكّمة في محور التحول الرقمي بقطاع المياه ما يلي:</w:t>
      </w:r>
    </w:p>
    <w:p w14:paraId="6D28335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تؤكد الدراسات فاعلية التقنيات الرقمية في تحسين التشغيل وتقليل الأعطال والفاقد.</w:t>
      </w:r>
    </w:p>
    <w:p w14:paraId="3A466546"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الأدبيات إلى أن العوامل التنظيمية (الحوكمة، تكامل البيانات، وضوح المسؤوليات) تمثل محددًا حاسمًا لنجاح الرقمنة.</w:t>
      </w:r>
    </w:p>
    <w:p w14:paraId="39A81229"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يغلب الطابع الوصفي أو المراجعات المنهجية، مع محدودية واضحة في النماذج الكمية السببية داخل قطاع المياه.</w:t>
      </w:r>
    </w:p>
    <w:p w14:paraId="7FCD7FAA" w14:textId="77777777" w:rsidR="00FA0E7C" w:rsidRPr="00FA0E7C" w:rsidRDefault="00FA0E7C" w:rsidP="00B7711D">
      <w:pPr>
        <w:pStyle w:val="ListParagraph"/>
        <w:numPr>
          <w:ilvl w:val="0"/>
          <w:numId w:val="24"/>
        </w:numPr>
        <w:bidi/>
        <w:jc w:val="both"/>
        <w:rPr>
          <w:rFonts w:ascii="Traditional Arabic" w:hAnsi="Traditional Arabic" w:cs="Traditional Arabic"/>
          <w:sz w:val="28"/>
          <w:szCs w:val="28"/>
        </w:rPr>
      </w:pPr>
      <w:r>
        <w:rPr>
          <w:rFonts w:ascii="Traditional Arabic" w:hAnsi="Traditional Arabic" w:cs="Traditional Arabic"/>
          <w:sz w:val="28"/>
          <w:szCs w:val="28"/>
          <w:rtl/>
        </w:rPr>
        <w:t>لم تُختبر العلاقة بين التحول الرقمي وسلامة الأصول والأداء المؤسسي ضمن نموذج تكاملي يدمج البعد التنظيمي بصورة صريحة.</w:t>
      </w:r>
    </w:p>
    <w:p w14:paraId="09A7959F" w14:textId="77777777" w:rsidR="00FA0E7C" w:rsidRDefault="00FA0E7C" w:rsidP="00FA0E7C">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يتأكد المسوغ العلمي لإدراج الحوكمة الذكية كمتغير منظم/وسيط تفسيري يفسر تباين أثر التحول الرقمي على سلامة الأصول ومن ثم على الأداء المؤسسي في قطاع المياه.</w:t>
      </w:r>
    </w:p>
    <w:p w14:paraId="3F411966" w14:textId="77777777" w:rsidR="00EF1184" w:rsidRPr="007F45E1" w:rsidRDefault="00EF1184" w:rsidP="00EF1184">
      <w:pPr>
        <w:bidi/>
        <w:jc w:val="both"/>
        <w:rPr>
          <w:rFonts w:ascii="Traditional Arabic" w:hAnsi="Traditional Arabic" w:cs="Traditional Arabic"/>
          <w:sz w:val="28"/>
          <w:szCs w:val="28"/>
        </w:rPr>
      </w:pPr>
    </w:p>
    <w:p w14:paraId="1BA23C02"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رابعًا: الاستدامة في إدارة الموارد المائية</w:t>
      </w:r>
    </w:p>
    <w:p w14:paraId="72D2084B" w14:textId="37D8F3C6"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(Geissdoerfer et al., 2017)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Circular Economy – A New Sustainability Paradigm?"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العلاقة بين الاستدامة والاقتصاد الدائري، وبيان كيفية إسهام النماذج الاقتصادية الدائرية في تحقيق الاستدامة المؤسسية في القطاعات المختلفة، بما في ذلك قطاعات الموارد الطبيعية</w:t>
      </w:r>
      <w:r>
        <w:rPr>
          <w:rFonts w:ascii="Traditional Arabic" w:hAnsi="Traditional Arabic" w:cs="Traditional Arabic"/>
          <w:sz w:val="28"/>
          <w:szCs w:val="28"/>
        </w:rPr>
        <w:t>.</w:t>
      </w:r>
    </w:p>
    <w:p w14:paraId="7E9519C2"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مجالات الإدارة والاستدامة. وأظهرت النتائج أن تبني مبادئ الاقتصاد الدائري يسهم في تحسين كفاءة استخدام الموارد وتقليل النفايات وتعزيز الاستدامة طويلة الأجل</w:t>
      </w:r>
      <w:r>
        <w:rPr>
          <w:rFonts w:ascii="Traditional Arabic" w:hAnsi="Traditional Arabic" w:cs="Traditional Arabic"/>
          <w:sz w:val="28"/>
          <w:szCs w:val="28"/>
        </w:rPr>
        <w:t>.</w:t>
      </w:r>
    </w:p>
    <w:p w14:paraId="390A12B3"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تناولت الاستدامة في إطار اقتصادي عام، ولم تربطها بشكل مباشر بإدارة أصول البنية التحتية المائية أو بسلامة الأصول التشغيلية</w:t>
      </w:r>
      <w:r>
        <w:rPr>
          <w:rFonts w:ascii="Traditional Arabic" w:hAnsi="Traditional Arabic" w:cs="Traditional Arabic"/>
          <w:sz w:val="28"/>
          <w:szCs w:val="28"/>
        </w:rPr>
        <w:t>.</w:t>
      </w:r>
    </w:p>
    <w:p w14:paraId="527C342B" w14:textId="77777777" w:rsidR="00EF1184" w:rsidRPr="00EF1184" w:rsidRDefault="00EF1184" w:rsidP="00EF1184">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التأصيل المفاهيمي للاستدامة، مع إعادة توظيفه في سياق إدارة أصول البنية التحتية المائية</w:t>
      </w:r>
      <w:r>
        <w:rPr>
          <w:rFonts w:ascii="Traditional Arabic" w:hAnsi="Traditional Arabic" w:cs="Traditional Arabic"/>
          <w:sz w:val="28"/>
          <w:szCs w:val="28"/>
        </w:rPr>
        <w:t>.</w:t>
      </w:r>
    </w:p>
    <w:p w14:paraId="4F59C7F1" w14:textId="77777777" w:rsidR="00EF1184" w:rsidRPr="0077181F" w:rsidRDefault="00EF1184" w:rsidP="00440B00">
      <w:pPr>
        <w:pStyle w:val="ListParagraph"/>
        <w:bidi/>
        <w:spacing w:line="278" w:lineRule="auto"/>
        <w:ind w:left="0"/>
        <w:jc w:val="both"/>
        <w:rPr>
          <w:rFonts w:ascii="Traditional Arabic" w:hAnsi="Traditional Arabic" w:cs="Traditional Arabic"/>
          <w:sz w:val="28"/>
          <w:szCs w:val="28"/>
        </w:rPr>
      </w:pPr>
    </w:p>
    <w:p w14:paraId="7E8773E0" w14:textId="6F0D7E1D"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sz w:val="28"/>
          <w:szCs w:val="28"/>
        </w:rPr>
        <w:t xml:space="preserve"> (Smol et al., 2020)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"Circular Economy Model Framework in the European Water and Wastewater Sector"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مفاهيمي لتطبيق مبادئ الاقتصاد الدائري في قطاع المياه ومياه الصرف، من خلال تحليل العلاقة بين إدارة الموارد المائية وإدارة النفايات ضمن منظور الاستدامة. واعتمدت الدراسة على مراجعة منهجية للأدبيات العلمية والتقارير الدولية المرتبطة بالاقتصاد الدائري وإدارة المياه، إضافة إلى تحليل السياسات الأوروبية المتعلقة بإدارة الموارد المائية وإعادة استخدام المياه</w:t>
      </w:r>
      <w:r>
        <w:rPr>
          <w:rFonts w:ascii="Traditional Arabic" w:hAnsi="Traditional Arabic" w:cs="Traditional Arabic"/>
          <w:sz w:val="28"/>
          <w:szCs w:val="28"/>
        </w:rPr>
        <w:t>.</w:t>
      </w:r>
    </w:p>
    <w:p w14:paraId="2D756518"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تطبيق مبادئ الاقتصاد الدائري في قطاع المياه يتطلب تبني نموذج متكامل لإدارة المياه ومياه الصرف يقوم على ستة محاور رئيسة تتمثل في: تقليل استهلاك المياه، وإزالة الملوثات من مياه الصرف، وإعادة استخدام المياه المعالجة، وإعادة تدوير المياه، واسترداد الموارد والطاقة من المخلفات المائية، إضافة إلى إعادة التفكير في نماذج إدارة الموارد. كما بينت الدراسة أن تكامل هذه الممارسات يمكن أن يسهم في تعزيز كفاءة استخدام الموارد المائية وتقليل الضغوط البيئية وتحقيق أهداف الاستدامة في قطاع المياه</w:t>
      </w:r>
      <w:r>
        <w:rPr>
          <w:rFonts w:ascii="Traditional Arabic" w:hAnsi="Traditional Arabic" w:cs="Traditional Arabic"/>
          <w:sz w:val="28"/>
          <w:szCs w:val="28"/>
        </w:rPr>
        <w:t xml:space="preserve">. </w:t>
      </w:r>
    </w:p>
    <w:p w14:paraId="13BD3090"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وعلى الرغم من أهمية الإطار المفاهيمي الذي قدمته الدراسة في توضيح آليات تطبيق الاقتصاد الدائري في قطاع المياه، فإنها ركزت بصورة أساسية على البعد البيئي وإدارة الموارد، ولم تتناول بشكل مباشر دور الحوكمة المؤسسية أو التحول الرقمي في إدارة الأصول </w:t>
      </w:r>
      <w:r>
        <w:rPr>
          <w:rFonts w:ascii="Traditional Arabic" w:hAnsi="Traditional Arabic" w:cs="Traditional Arabic"/>
          <w:sz w:val="28"/>
          <w:szCs w:val="28"/>
          <w:rtl/>
        </w:rPr>
        <w:lastRenderedPageBreak/>
        <w:t>والبنية التحتية المائية. كما لم تختبر العلاقات السببية بين هذه المتغيرات ضمن نموذج تحليلي كمي يفسر تأثيرها في الأداء المؤسسي أو سلامة الأصول</w:t>
      </w:r>
      <w:r>
        <w:rPr>
          <w:rFonts w:ascii="Traditional Arabic" w:hAnsi="Traditional Arabic" w:cs="Traditional Arabic"/>
          <w:sz w:val="28"/>
          <w:szCs w:val="28"/>
        </w:rPr>
        <w:t>.</w:t>
      </w:r>
    </w:p>
    <w:p w14:paraId="5BFCBC22" w14:textId="77777777" w:rsidR="00440B00" w:rsidRPr="00440B00" w:rsidRDefault="00440B00" w:rsidP="00440B00">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الإطار المفاهيمي الذي قدمته هذه الدراسة في توضيح مبادئ الاقتصاد الدائري في إدارة المياه، إلا أنها تسعى إلى توسيع هذا الإطار من خلال دمج أبعاد التحول الرقمي والحوكمة الذكية والاستدامة المؤسسية ضمن نموذج تحليلي يفسر تأثيرها في سلامة أصول البنية التحتية المائية والأداء المؤسسي في قطاع المياه</w:t>
      </w:r>
      <w:r>
        <w:rPr>
          <w:rFonts w:ascii="Traditional Arabic" w:hAnsi="Traditional Arabic" w:cs="Traditional Arabic"/>
          <w:sz w:val="28"/>
          <w:szCs w:val="28"/>
        </w:rPr>
        <w:t>.</w:t>
      </w:r>
    </w:p>
    <w:p w14:paraId="12D493CF" w14:textId="77777777" w:rsidR="00C43319" w:rsidRPr="00440B00" w:rsidRDefault="00C43319" w:rsidP="00C43319">
      <w:pPr>
        <w:pStyle w:val="ListParagraph"/>
        <w:bidi/>
        <w:spacing w:line="278" w:lineRule="auto"/>
        <w:ind w:left="0"/>
        <w:jc w:val="both"/>
        <w:rPr>
          <w:rFonts w:ascii="Traditional Arabic" w:hAnsi="Traditional Arabic" w:cs="Traditional Arabic"/>
          <w:sz w:val="28"/>
          <w:szCs w:val="28"/>
        </w:rPr>
      </w:pPr>
    </w:p>
    <w:p w14:paraId="5D82E621" w14:textId="449BC518"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دراسة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(Butler et al., 2017)</w:t>
      </w:r>
      <w:r>
        <w:rPr>
          <w:rFonts w:ascii="Traditional Arabic" w:hAnsi="Traditional Arabic" w:cs="Traditional Arabic" w:hint="cs"/>
          <w:sz w:val="28"/>
          <w:szCs w:val="28"/>
          <w:rtl/>
        </w:rPr>
        <w:t xml:space="preserve">  بعنوان </w:t>
      </w:r>
      <w:r>
        <w:rPr>
          <w:rFonts w:ascii="Traditional Arabic" w:hAnsi="Traditional Arabic" w:cs="Traditional Arabic"/>
          <w:sz w:val="28"/>
          <w:szCs w:val="28"/>
        </w:rPr>
        <w:t>"A new approach to urban water management: Safe and SuRe"</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لإدارة أنظمة المياه الحضرية يركز على تعزيز الاستدامة والمرونة في البنية التحتية المائية. واعتمدت الدراسة على تحليل نماذج إدارة الموارد المائية في المدن وتطوير إطار مفاهيمي يجمع بين إدارة المخاطر والتخطيط طويل الأجل للبنية التحتية</w:t>
      </w:r>
      <w:r>
        <w:rPr>
          <w:rFonts w:ascii="Traditional Arabic" w:hAnsi="Traditional Arabic" w:cs="Traditional Arabic"/>
          <w:sz w:val="28"/>
          <w:szCs w:val="28"/>
        </w:rPr>
        <w:t>.</w:t>
      </w:r>
    </w:p>
    <w:p w14:paraId="01C35B7B"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وأظهرت النتائج أن تحقيق الإدارة المستدامة للمياه يتطلب تكاملًا بين التخطيط الاستراتيجي للبنية التحتية وإدارة المخاطر والحوكمة المؤسسية، إضافة إلى تبني حلول تقنية متقدمة لتعزيز كفاءة الأنظمة المائية. كما أكدت الدراسة أهمية تبني منهجيات تخطيطية متكاملة توازن بين الأبعاد البيئية والاقتصادية والاجتماعية لإدارة الموارد المائية</w:t>
      </w:r>
      <w:r>
        <w:rPr>
          <w:rFonts w:ascii="Traditional Arabic" w:hAnsi="Traditional Arabic" w:cs="Traditional Arabic"/>
          <w:sz w:val="28"/>
          <w:szCs w:val="28"/>
        </w:rPr>
        <w:t>.</w:t>
      </w:r>
    </w:p>
    <w:p w14:paraId="3E9928D8" w14:textId="77777777" w:rsidR="00440B00" w:rsidRPr="00440B00" w:rsidRDefault="00440B00" w:rsidP="00440B00">
      <w:pPr>
        <w:pStyle w:val="ListParagraph"/>
        <w:bidi/>
        <w:spacing w:line="278" w:lineRule="auto"/>
        <w:ind w:left="0"/>
        <w:rPr>
          <w:rFonts w:ascii="Traditional Arabic" w:hAnsi="Traditional Arabic" w:cs="Traditional Arabic"/>
          <w:sz w:val="28"/>
          <w:szCs w:val="28"/>
        </w:rPr>
      </w:pPr>
      <w:r>
        <w:rPr>
          <w:rFonts w:ascii="Traditional Arabic" w:hAnsi="Traditional Arabic" w:cs="Traditional Arabic"/>
          <w:sz w:val="28"/>
          <w:szCs w:val="28"/>
          <w:rtl/>
        </w:rPr>
        <w:t>ورغم أهمية الإطار المفاهيمي الذي قدمته الدراسة في تعزيز استدامة أنظمة المياه الحضرية، فإنها ركزت على التخطيط وإدارة الأنظمة المائية بصورة عامة، ولم تتناول بشكل مباشر إدارة الأصول التشغيلية أو سلامة البنية التحتية ضمن نموذج تحليلي يربط بين التحول الرقمي والحوكمة المؤسسية والأداء المؤسسي في قطاع المياه</w:t>
      </w:r>
      <w:r>
        <w:rPr>
          <w:rFonts w:ascii="Traditional Arabic" w:hAnsi="Traditional Arabic" w:cs="Traditional Arabic"/>
          <w:sz w:val="28"/>
          <w:szCs w:val="28"/>
        </w:rPr>
        <w:t>.</w:t>
      </w:r>
    </w:p>
    <w:p w14:paraId="1B9645FE" w14:textId="77777777" w:rsidR="0004167A" w:rsidRPr="00440B00" w:rsidRDefault="0004167A" w:rsidP="00EF1184">
      <w:pPr>
        <w:pStyle w:val="ListParagraph"/>
        <w:bidi/>
        <w:spacing w:line="278" w:lineRule="auto"/>
        <w:ind w:left="0"/>
        <w:rPr>
          <w:rFonts w:ascii="Traditional Arabic" w:hAnsi="Traditional Arabic" w:cs="Traditional Arabic"/>
          <w:b/>
          <w:bCs/>
          <w:sz w:val="28"/>
          <w:szCs w:val="28"/>
          <w:rtl/>
        </w:rPr>
      </w:pPr>
    </w:p>
    <w:p w14:paraId="0B776BA5" w14:textId="211E1EF4" w:rsidR="0004167A" w:rsidRPr="0004167A" w:rsidRDefault="0004167A" w:rsidP="0004167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الدراسات في محور الاستدامة ما يلي</w:t>
      </w:r>
      <w:r>
        <w:rPr>
          <w:rFonts w:ascii="Traditional Arabic" w:hAnsi="Traditional Arabic" w:cs="Traditional Arabic"/>
          <w:sz w:val="28"/>
          <w:szCs w:val="28"/>
        </w:rPr>
        <w:t>:</w:t>
      </w:r>
    </w:p>
    <w:p w14:paraId="7F693E41"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أهمية دمج الاستدامة في إدارة الموارد المائية لتحقيق استقرار طويل الأجل</w:t>
      </w:r>
      <w:r>
        <w:rPr>
          <w:rFonts w:ascii="Traditional Arabic" w:hAnsi="Traditional Arabic" w:cs="Traditional Arabic"/>
          <w:sz w:val="28"/>
          <w:szCs w:val="28"/>
        </w:rPr>
        <w:t>.</w:t>
      </w:r>
    </w:p>
    <w:p w14:paraId="03862EF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تركز الدراسات الحديثة على الاقتصاد الدائري وتحسين كفاءة الموارد</w:t>
      </w:r>
      <w:r>
        <w:rPr>
          <w:rFonts w:ascii="Traditional Arabic" w:hAnsi="Traditional Arabic" w:cs="Traditional Arabic"/>
          <w:sz w:val="28"/>
          <w:szCs w:val="28"/>
        </w:rPr>
        <w:t>.</w:t>
      </w:r>
    </w:p>
    <w:p w14:paraId="4DC55EA0"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بدأت بعض الدراسات بربط الاستدامة بالرقمنة، إلا أن هذا الربط ظل تقنيًا أكثر منه مؤسسيًا</w:t>
      </w:r>
      <w:r>
        <w:rPr>
          <w:rFonts w:ascii="Traditional Arabic" w:hAnsi="Traditional Arabic" w:cs="Traditional Arabic"/>
          <w:sz w:val="28"/>
          <w:szCs w:val="28"/>
        </w:rPr>
        <w:t>.</w:t>
      </w:r>
    </w:p>
    <w:p w14:paraId="27CBFB3D"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اختبار الاستدامة ضمن نموذج سببي يجمعها مع الحوكمة الذكية وسلامة الأصول</w:t>
      </w:r>
      <w:r>
        <w:rPr>
          <w:rFonts w:ascii="Traditional Arabic" w:hAnsi="Traditional Arabic" w:cs="Traditional Arabic"/>
          <w:sz w:val="28"/>
          <w:szCs w:val="28"/>
        </w:rPr>
        <w:t>.</w:t>
      </w:r>
    </w:p>
    <w:p w14:paraId="57722834" w14:textId="77777777" w:rsidR="0004167A" w:rsidRPr="0004167A" w:rsidRDefault="0004167A" w:rsidP="00B7711D">
      <w:pPr>
        <w:pStyle w:val="ListParagraph"/>
        <w:numPr>
          <w:ilvl w:val="0"/>
          <w:numId w:val="19"/>
        </w:numPr>
        <w:tabs>
          <w:tab w:val="num" w:pos="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الاستدامة والأداء المؤسسي في قطاع المياه بحاجة إلى تحليل كمي تكاملي</w:t>
      </w:r>
      <w:r>
        <w:rPr>
          <w:rFonts w:ascii="Traditional Arabic" w:hAnsi="Traditional Arabic" w:cs="Traditional Arabic"/>
          <w:sz w:val="28"/>
          <w:szCs w:val="28"/>
        </w:rPr>
        <w:t>.</w:t>
      </w:r>
    </w:p>
    <w:p w14:paraId="517D32F3" w14:textId="77777777" w:rsidR="0004167A" w:rsidRDefault="0004167A" w:rsidP="0004167A">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ومن ثم، فإن إدراج الاستدامة في النموذج الحالي لا يتم بوصفها بعدًا بيئيًا فقط، بل كمتغير مؤسسي يؤثر في سلامة الأصول ويعزز الأداء المؤسسي عند توجيهه ضمن إطار حوكمة ذكي</w:t>
      </w:r>
      <w:r>
        <w:rPr>
          <w:rFonts w:ascii="Traditional Arabic" w:hAnsi="Traditional Arabic" w:cs="Traditional Arabic"/>
          <w:sz w:val="28"/>
          <w:szCs w:val="28"/>
        </w:rPr>
        <w:t>.</w:t>
      </w:r>
    </w:p>
    <w:p w14:paraId="09987B29"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p>
    <w:p w14:paraId="1B353416" w14:textId="77777777" w:rsidR="00D335F9" w:rsidRPr="0004167A" w:rsidRDefault="00D335F9" w:rsidP="00D335F9">
      <w:pPr>
        <w:pStyle w:val="ListParagraph"/>
        <w:bidi/>
        <w:spacing w:line="278" w:lineRule="auto"/>
        <w:ind w:left="0"/>
        <w:jc w:val="both"/>
        <w:rPr>
          <w:rFonts w:ascii="Traditional Arabic" w:hAnsi="Traditional Arabic" w:cs="Traditional Arabic"/>
          <w:sz w:val="28"/>
          <w:szCs w:val="28"/>
          <w:rtl/>
        </w:rPr>
      </w:pPr>
    </w:p>
    <w:p w14:paraId="3E9F5CA2" w14:textId="77777777" w:rsidR="00134549" w:rsidRPr="004502CF" w:rsidRDefault="00134549" w:rsidP="005F4901">
      <w:pPr>
        <w:pStyle w:val="ListParagraph"/>
        <w:bidi/>
        <w:spacing w:line="278" w:lineRule="auto"/>
        <w:ind w:left="0"/>
        <w:jc w:val="both"/>
        <w:rPr>
          <w:rFonts w:ascii="Traditional Arabic" w:hAnsi="Traditional Arabic" w:cs="Traditional Arabic"/>
          <w:b/>
          <w:bCs/>
          <w:sz w:val="28"/>
          <w:szCs w:val="28"/>
        </w:rPr>
      </w:pPr>
      <w:r>
        <w:rPr>
          <w:rFonts w:ascii="Traditional Arabic" w:hAnsi="Traditional Arabic" w:cs="Traditional Arabic"/>
          <w:b/>
          <w:bCs/>
          <w:sz w:val="28"/>
          <w:szCs w:val="28"/>
          <w:rtl/>
        </w:rPr>
        <w:t>خامسًا: الأداء المؤسسي وقياس الأداء</w:t>
      </w:r>
    </w:p>
    <w:p w14:paraId="79501B84" w14:textId="132FA68D"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sz w:val="28"/>
          <w:szCs w:val="28"/>
        </w:rPr>
        <w:t>(Kaplan &amp; Norton</w:t>
      </w:r>
      <w:r>
        <w:rPr>
          <w:rFonts w:ascii="Traditional Arabic" w:hAnsi="Traditional Arabic" w:cs="Traditional Arabic"/>
          <w:sz w:val="28"/>
          <w:szCs w:val="28"/>
          <w:rtl/>
        </w:rPr>
        <w:t>، 1992</w:t>
      </w:r>
      <w:r>
        <w:rPr>
          <w:rFonts w:ascii="Traditional Arabic" w:hAnsi="Traditional Arabic" w:cs="Traditional Arabic"/>
          <w:sz w:val="28"/>
          <w:szCs w:val="28"/>
        </w:rPr>
        <w:t xml:space="preserve">)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"The Balanced Scorecard – Measures That Drive Performance"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تطوير إطار متكامل لقياس الأداء المؤسسي يعتمد على مجموعة من المؤشرات المتوازنة التي تجمع بين الأداء المالي وغير المالي</w:t>
      </w:r>
      <w:r>
        <w:rPr>
          <w:rFonts w:ascii="Traditional Arabic" w:hAnsi="Traditional Arabic" w:cs="Traditional Arabic"/>
          <w:sz w:val="28"/>
          <w:szCs w:val="28"/>
        </w:rPr>
        <w:t>.</w:t>
      </w:r>
    </w:p>
    <w:p w14:paraId="113C94E9"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تطبيقي لعدد من المؤسسات التي سعت إلى تطوير أنظمة قياس الأداء الاستراتيجي. وأظهرت النتائج أن الاعتماد على المؤشرات المالية فقط لا يعكس الأداء المؤسسي بصورة شاملة، وأن قياس الأداء يتطلب دمج مؤشرات متعددة تشمل الأداء المالي، وكفاءة العمليات الداخلية، ورضا العملاء، والتعلم التنظيمي</w:t>
      </w:r>
      <w:r>
        <w:rPr>
          <w:rFonts w:ascii="Traditional Arabic" w:hAnsi="Traditional Arabic" w:cs="Traditional Arabic"/>
          <w:sz w:val="28"/>
          <w:szCs w:val="28"/>
        </w:rPr>
        <w:t>.</w:t>
      </w:r>
    </w:p>
    <w:p w14:paraId="5C296F28"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قدمت إطارًا عامًا لقياس الأداء المؤسسي، ولم تربطه بإدارة أصول البنية التحتية أو بسلامة الأصول التشغيلية في القطاعات الخدمية مثل قطاع المياه</w:t>
      </w:r>
      <w:r>
        <w:rPr>
          <w:rFonts w:ascii="Traditional Arabic" w:hAnsi="Traditional Arabic" w:cs="Traditional Arabic"/>
          <w:sz w:val="28"/>
          <w:szCs w:val="28"/>
        </w:rPr>
        <w:t>.</w:t>
      </w:r>
    </w:p>
    <w:p w14:paraId="3C9A3A6E"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الإطار في تأصيل مفهوم الأداء المؤسسي متعدد الأبعاد، مع ربطه بمؤشرات تشغيلية مثل سلامة الأصول وكفاءة التشغيل</w:t>
      </w:r>
      <w:r>
        <w:rPr>
          <w:rFonts w:ascii="Traditional Arabic" w:hAnsi="Traditional Arabic" w:cs="Traditional Arabic"/>
          <w:sz w:val="28"/>
          <w:szCs w:val="28"/>
        </w:rPr>
        <w:t>.</w:t>
      </w:r>
    </w:p>
    <w:p w14:paraId="12BEABC4" w14:textId="77777777" w:rsidR="002D75FA" w:rsidRDefault="002D75FA" w:rsidP="00D335F9">
      <w:pPr>
        <w:pStyle w:val="ListParagraph"/>
        <w:bidi/>
        <w:spacing w:line="278" w:lineRule="auto"/>
        <w:ind w:left="0"/>
        <w:jc w:val="both"/>
        <w:rPr>
          <w:rFonts w:ascii="Traditional Arabic" w:hAnsi="Traditional Arabic" w:cs="Traditional Arabic"/>
          <w:sz w:val="28"/>
          <w:szCs w:val="28"/>
          <w:rtl/>
        </w:rPr>
      </w:pPr>
    </w:p>
    <w:p w14:paraId="1DE947BE" w14:textId="2EAE0B8A"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 (Melnyk et al., 2014) </w:t>
      </w:r>
      <w:r>
        <w:rPr>
          <w:rFonts w:ascii="Traditional Arabic" w:hAnsi="Traditional Arabic" w:cs="Traditional Arabic"/>
          <w:sz w:val="28"/>
          <w:szCs w:val="28"/>
          <w:rtl/>
        </w:rPr>
        <w:t>بعنوان</w:t>
      </w:r>
      <w:r>
        <w:rPr>
          <w:rFonts w:ascii="Traditional Arabic" w:hAnsi="Traditional Arabic" w:cs="Traditional Arabic"/>
          <w:sz w:val="28"/>
          <w:szCs w:val="28"/>
        </w:rPr>
        <w:t>"Is Performance Measurement and Management Fit  for the Future?"</w:t>
      </w:r>
      <w:r>
        <w:rPr>
          <w:rFonts w:ascii="Traditional Arabic" w:hAnsi="Traditional Arabic" w:cs="Traditional Arabic"/>
          <w:sz w:val="28"/>
          <w:szCs w:val="28"/>
          <w:rtl/>
        </w:rPr>
        <w:t xml:space="preserve"> هدفت إلى تحليل تطور نظم قياس وإدارة الأداء في المؤسسات الحديثة، مع التركيز على دور هذه النظم في دعم اتخاذ القرار الاستراتيجي وتعزيز القدرة التنافسية للمؤسسات</w:t>
      </w:r>
      <w:r>
        <w:rPr>
          <w:rFonts w:ascii="Traditional Arabic" w:hAnsi="Traditional Arabic" w:cs="Traditional Arabic"/>
          <w:sz w:val="28"/>
          <w:szCs w:val="28"/>
        </w:rPr>
        <w:t>.</w:t>
      </w:r>
    </w:p>
    <w:p w14:paraId="1971F5C8"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تحليلية للأدبيات في مجالي إدارة العمليات والإدارة الاستراتيجية، بهدف تتبع تطور نظم قياس الأداء المؤسسي وتحليل التحولات التي شهدتها هذه النظم عبر الزمن. وأظهرت النتائج أن نظم قياس الأداء المؤسسي تطورت من التركيز على المؤشرات المالية التقليدية إلى نماذج أكثر شمولية تأخذ في الاعتبار مؤشرات الكفاءة التشغيلية والجودة والابتكار والاستدامة</w:t>
      </w:r>
      <w:r>
        <w:rPr>
          <w:rFonts w:ascii="Traditional Arabic" w:hAnsi="Traditional Arabic" w:cs="Traditional Arabic"/>
          <w:sz w:val="28"/>
          <w:szCs w:val="28"/>
        </w:rPr>
        <w:t>.</w:t>
      </w:r>
    </w:p>
    <w:p w14:paraId="43EEA9A6"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نظم قياس الأداء في المؤسسات بصورة عامة، ولم تتناول بشكل مباشر إدارة أصول البنية التحتية أو دور التحول الرقمي والحوكمة المؤسسية في تحسين الأداء المؤسسي. كما لم تختبر العلاقة بين هذه المتغيرات ضمن نموذج تحليلي سببي يفسر تأثيرها في أداء المؤسسات في القطاعات الخدمية أو البنية التحتية</w:t>
      </w:r>
      <w:r>
        <w:rPr>
          <w:rFonts w:ascii="Traditional Arabic" w:hAnsi="Traditional Arabic" w:cs="Traditional Arabic"/>
          <w:sz w:val="28"/>
          <w:szCs w:val="28"/>
        </w:rPr>
        <w:t>.</w:t>
      </w:r>
    </w:p>
    <w:p w14:paraId="35EF190A" w14:textId="77777777" w:rsidR="0063303B" w:rsidRPr="0063303B" w:rsidRDefault="0063303B"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تأصيل مفهوم الأداء المؤسسي وأهمية نظم قياس الأداء في دعم الكفاءة التشغيلية للأصول وتعزيز فعالية الإدارة المؤسسية</w:t>
      </w:r>
      <w:r>
        <w:rPr>
          <w:rFonts w:ascii="Traditional Arabic" w:hAnsi="Traditional Arabic" w:cs="Traditional Arabic"/>
          <w:sz w:val="28"/>
          <w:szCs w:val="28"/>
        </w:rPr>
        <w:t>.</w:t>
      </w:r>
    </w:p>
    <w:p w14:paraId="773D0F7A" w14:textId="77777777" w:rsidR="0063303B" w:rsidRDefault="0063303B" w:rsidP="00D335F9">
      <w:pPr>
        <w:pStyle w:val="ListParagraph"/>
        <w:bidi/>
        <w:spacing w:line="278" w:lineRule="auto"/>
        <w:ind w:left="0"/>
        <w:jc w:val="both"/>
        <w:rPr>
          <w:rFonts w:ascii="Traditional Arabic" w:hAnsi="Traditional Arabic" w:cs="Traditional Arabic"/>
          <w:sz w:val="28"/>
          <w:szCs w:val="28"/>
          <w:rtl/>
        </w:rPr>
      </w:pPr>
    </w:p>
    <w:p w14:paraId="678B923E" w14:textId="5E0654AD" w:rsidR="00D335F9" w:rsidRPr="00D335F9" w:rsidRDefault="00D335F9" w:rsidP="0063303B">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دراسة (</w:t>
      </w:r>
      <w:r>
        <w:rPr>
          <w:rFonts w:ascii="Traditional Arabic" w:hAnsi="Traditional Arabic" w:cs="Traditional Arabic"/>
          <w:sz w:val="28"/>
          <w:szCs w:val="28"/>
        </w:rPr>
        <w:t>Menghwar &amp; Daood</w:t>
      </w:r>
      <w:r>
        <w:rPr>
          <w:rFonts w:ascii="Traditional Arabic" w:hAnsi="Traditional Arabic" w:cs="Traditional Arabic"/>
          <w:sz w:val="28"/>
          <w:szCs w:val="28"/>
          <w:rtl/>
        </w:rPr>
        <w:t>، 2021) بعنوان"</w:t>
      </w:r>
      <w:r>
        <w:rPr>
          <w:rFonts w:ascii="Traditional Arabic" w:hAnsi="Traditional Arabic" w:cs="Traditional Arabic"/>
          <w:sz w:val="28"/>
          <w:szCs w:val="28"/>
        </w:rPr>
        <w:t xml:space="preserve"> A systematic review, synthesis and integrative perspective</w:t>
      </w:r>
      <w:r>
        <w:rPr>
          <w:rFonts w:ascii="Traditional Arabic" w:hAnsi="Traditional Arabic" w:cs="Traditional Arabic"/>
          <w:sz w:val="28"/>
          <w:szCs w:val="28"/>
          <w:rtl/>
        </w:rPr>
        <w:t xml:space="preserve"> " هدفت إلى تحليل تطور مفهوم القيمة المشتركة وربطه بالأداء المؤسسي والاستدامة من منظور إداري.</w:t>
      </w:r>
    </w:p>
    <w:p w14:paraId="0216C95D"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مراجعة منهجية للأدبيات في مجلات الإدارة الاستراتيجية. وأظهرت النتائج أن دمج الاستدامة في الاستراتيجية المؤسسية يمكن أن يسهم في خلق قيمة طويلة الأجل وتعزيز الأداء المؤسسي، إلا أن تحقيق ذلك يتطلب وجود مواءمة تنظيمية واضحة وآليات حوكمة فعالة.</w:t>
      </w:r>
    </w:p>
    <w:p w14:paraId="56DCD164" w14:textId="77777777" w:rsidR="00D335F9" w:rsidRPr="00D335F9" w:rsidRDefault="00D335F9" w:rsidP="00D335F9">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ورغم قوة التأصيل النظري، فإن الدراسة لم تتناول إدارة أصول البنية التحتية أو سلامة الأصول بصورة مباشرة، كما لم تختبر نموذجًا سببيًا في قطاع خدمي عالي الكثافة الرأسمالية مثل قطاع المياه.</w:t>
      </w:r>
    </w:p>
    <w:p w14:paraId="28C6EBA3" w14:textId="77777777" w:rsidR="00D335F9" w:rsidRDefault="00D335F9" w:rsidP="00D335F9">
      <w:pPr>
        <w:pStyle w:val="ListParagraph"/>
        <w:bidi/>
        <w:spacing w:line="278" w:lineRule="auto"/>
        <w:ind w:left="0"/>
        <w:jc w:val="both"/>
        <w:rPr>
          <w:rFonts w:ascii="Traditional Arabic" w:hAnsi="Traditional Arabic" w:cs="Traditional Arabic"/>
          <w:sz w:val="28"/>
          <w:szCs w:val="28"/>
          <w:rtl/>
        </w:rPr>
      </w:pPr>
      <w:r>
        <w:rPr>
          <w:rFonts w:ascii="Traditional Arabic" w:hAnsi="Traditional Arabic" w:cs="Traditional Arabic"/>
          <w:sz w:val="28"/>
          <w:szCs w:val="28"/>
          <w:rtl/>
        </w:rPr>
        <w:t>وتستفيد الدراسة الحالية من هذا التأصيل الاستراتيجي، مع إعادة توجيهه نحو سياق تشغيلي مرتبط بإدارة أصول البنية التحتية المائية.</w:t>
      </w:r>
    </w:p>
    <w:p w14:paraId="4CA72066" w14:textId="77777777" w:rsidR="00D335F9" w:rsidRDefault="00D335F9" w:rsidP="00D335F9">
      <w:pPr>
        <w:pStyle w:val="ListParagraph"/>
        <w:bidi/>
        <w:spacing w:line="278" w:lineRule="auto"/>
        <w:jc w:val="both"/>
        <w:rPr>
          <w:rFonts w:ascii="Traditional Arabic" w:hAnsi="Traditional Arabic" w:cs="Traditional Arabic"/>
          <w:sz w:val="28"/>
          <w:szCs w:val="28"/>
          <w:rtl/>
        </w:rPr>
      </w:pPr>
    </w:p>
    <w:p w14:paraId="2DC6C20C" w14:textId="77777777" w:rsidR="002D75FA" w:rsidRPr="002D75FA" w:rsidRDefault="002D75FA" w:rsidP="002D75FA">
      <w:pPr>
        <w:pStyle w:val="ListParagraph"/>
        <w:bidi/>
        <w:spacing w:line="278" w:lineRule="auto"/>
        <w:ind w:left="0"/>
        <w:jc w:val="both"/>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المرتبطة بالأداء المؤسسي ما يلي</w:t>
      </w:r>
      <w:r>
        <w:rPr>
          <w:rFonts w:ascii="Traditional Arabic" w:hAnsi="Traditional Arabic" w:cs="Traditional Arabic"/>
          <w:sz w:val="28"/>
          <w:szCs w:val="28"/>
        </w:rPr>
        <w:t>:</w:t>
      </w:r>
    </w:p>
    <w:p w14:paraId="3D0F01A1"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تؤكد الأدبيات أن قياس الأداء المؤسسي يتطلب مؤشرات متعددة الأبعاد تجمع بين المؤشرات المالية والتشغيلية والتنظيمية</w:t>
      </w:r>
      <w:r>
        <w:rPr>
          <w:rFonts w:ascii="Traditional Arabic" w:hAnsi="Traditional Arabic" w:cs="Traditional Arabic"/>
          <w:sz w:val="28"/>
          <w:szCs w:val="28"/>
        </w:rPr>
        <w:t>.</w:t>
      </w:r>
    </w:p>
    <w:p w14:paraId="03BE4AF8"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الحديثة إلى أهمية ربط نظم قياس الأداء بالاستراتيجية المؤسسية لتحقيق قيمة طويلة الأجل</w:t>
      </w:r>
      <w:r>
        <w:rPr>
          <w:rFonts w:ascii="Traditional Arabic" w:hAnsi="Traditional Arabic" w:cs="Traditional Arabic"/>
          <w:sz w:val="28"/>
          <w:szCs w:val="28"/>
        </w:rPr>
        <w:t>.</w:t>
      </w:r>
    </w:p>
    <w:p w14:paraId="364EB887"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لا تزال العلاقة بين الأداء المؤسسي وكفاءة إدارة الأصول محدودة في الأدبيات</w:t>
      </w:r>
      <w:r>
        <w:rPr>
          <w:rFonts w:ascii="Traditional Arabic" w:hAnsi="Traditional Arabic" w:cs="Traditional Arabic"/>
          <w:sz w:val="28"/>
          <w:szCs w:val="28"/>
        </w:rPr>
        <w:t>.</w:t>
      </w:r>
    </w:p>
    <w:p w14:paraId="0509E1DF" w14:textId="77777777" w:rsidR="002D75FA" w:rsidRPr="002D75FA" w:rsidRDefault="002D75FA" w:rsidP="00B7711D">
      <w:pPr>
        <w:pStyle w:val="ListParagraph"/>
        <w:numPr>
          <w:ilvl w:val="0"/>
          <w:numId w:val="26"/>
        </w:numPr>
        <w:tabs>
          <w:tab w:val="num" w:pos="360"/>
        </w:tabs>
        <w:bidi/>
        <w:spacing w:line="278" w:lineRule="auto"/>
        <w:ind w:left="720"/>
        <w:jc w:val="both"/>
        <w:rPr>
          <w:rFonts w:ascii="Traditional Arabic" w:hAnsi="Traditional Arabic" w:cs="Traditional Arabic"/>
          <w:sz w:val="28"/>
          <w:szCs w:val="28"/>
        </w:rPr>
      </w:pPr>
      <w:r>
        <w:rPr>
          <w:rFonts w:ascii="Traditional Arabic" w:hAnsi="Traditional Arabic" w:cs="Traditional Arabic"/>
          <w:sz w:val="28"/>
          <w:szCs w:val="28"/>
          <w:rtl/>
        </w:rPr>
        <w:t>لم يتم دمج التحول الرقمي والحوكمة الذكية والاستدامة ضمن نموذج سببي يفسر تأثيرها في الأداء المؤسسي</w:t>
      </w:r>
      <w:r>
        <w:rPr>
          <w:rFonts w:ascii="Traditional Arabic" w:hAnsi="Traditional Arabic" w:cs="Traditional Arabic"/>
          <w:sz w:val="28"/>
          <w:szCs w:val="28"/>
        </w:rPr>
        <w:t>.</w:t>
      </w:r>
    </w:p>
    <w:p w14:paraId="672ADEC8" w14:textId="77777777" w:rsidR="002D75FA" w:rsidRPr="002D75FA" w:rsidRDefault="002D75FA" w:rsidP="002D75FA">
      <w:pPr>
        <w:pStyle w:val="ListParagraph"/>
        <w:bidi/>
        <w:spacing w:line="278" w:lineRule="auto"/>
        <w:ind w:left="360"/>
        <w:jc w:val="both"/>
        <w:rPr>
          <w:rFonts w:ascii="Traditional Arabic" w:hAnsi="Traditional Arabic" w:cs="Traditional Arabic"/>
          <w:sz w:val="28"/>
          <w:szCs w:val="28"/>
        </w:rPr>
      </w:pPr>
      <w:r>
        <w:rPr>
          <w:rFonts w:ascii="Traditional Arabic" w:hAnsi="Traditional Arabic" w:cs="Traditional Arabic"/>
          <w:sz w:val="28"/>
          <w:szCs w:val="28"/>
          <w:rtl/>
        </w:rPr>
        <w:t>وعليه، تسعى الدراسة الحالية إلى سد هذه الفجوة من خلال تطوير نموذج تكاملي يربط بين التحول الرقمي والحوكمة الذكية والاستدامة المؤسسية وسلامة الأصول بوصفها محددات رئيسة للأداء المؤسسي في قطاع المياه</w:t>
      </w:r>
      <w:r>
        <w:rPr>
          <w:rFonts w:ascii="Traditional Arabic" w:hAnsi="Traditional Arabic" w:cs="Traditional Arabic"/>
          <w:sz w:val="28"/>
          <w:szCs w:val="28"/>
        </w:rPr>
        <w:t>.</w:t>
      </w:r>
    </w:p>
    <w:p w14:paraId="4F0EDB8E" w14:textId="77777777" w:rsidR="00D335F9" w:rsidRPr="005F4901" w:rsidRDefault="00D335F9" w:rsidP="00D335F9">
      <w:pPr>
        <w:pStyle w:val="ListParagraph"/>
        <w:bidi/>
        <w:spacing w:line="278" w:lineRule="auto"/>
        <w:jc w:val="both"/>
        <w:rPr>
          <w:rFonts w:ascii="Traditional Arabic" w:hAnsi="Traditional Arabic" w:cs="Traditional Arabic"/>
          <w:sz w:val="28"/>
          <w:szCs w:val="28"/>
        </w:rPr>
      </w:pPr>
    </w:p>
    <w:p w14:paraId="400455E8" w14:textId="77777777" w:rsidR="00134549" w:rsidRPr="004502CF" w:rsidRDefault="00134549" w:rsidP="00134549">
      <w:pPr>
        <w:pStyle w:val="ListParagraph"/>
        <w:bidi/>
        <w:spacing w:line="278" w:lineRule="auto"/>
        <w:ind w:left="0"/>
        <w:jc w:val="both"/>
        <w:rPr>
          <w:rFonts w:ascii="Traditional Arabic" w:hAnsi="Traditional Arabic" w:cs="Traditional Arabic"/>
          <w:b/>
          <w:bCs/>
          <w:sz w:val="28"/>
          <w:szCs w:val="28"/>
          <w:rtl/>
        </w:rPr>
      </w:pPr>
      <w:r>
        <w:rPr>
          <w:rFonts w:ascii="Traditional Arabic" w:hAnsi="Traditional Arabic" w:cs="Traditional Arabic"/>
          <w:b/>
          <w:bCs/>
          <w:sz w:val="28"/>
          <w:szCs w:val="28"/>
          <w:rtl/>
        </w:rPr>
        <w:t>سادسًا: الدراسات المرتبطة بالسياق المؤسسي في المملكة العربية السعودية</w:t>
      </w:r>
    </w:p>
    <w:p w14:paraId="3263A238" w14:textId="37B3D7E9"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دراسة </w:t>
      </w:r>
      <w:r>
        <w:rPr>
          <w:rFonts w:ascii="Traditional Arabic" w:hAnsi="Traditional Arabic" w:cs="Traditional Arabic"/>
          <w:sz w:val="28"/>
          <w:szCs w:val="28"/>
        </w:rPr>
        <w:t xml:space="preserve">(Alajmi et al., 2023)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بعنوان</w:t>
      </w:r>
      <w:r>
        <w:rPr>
          <w:rFonts w:ascii="Traditional Arabic" w:hAnsi="Traditional Arabic" w:cs="Traditional Arabic"/>
          <w:i/>
          <w:iCs/>
          <w:sz w:val="28"/>
          <w:szCs w:val="28"/>
        </w:rPr>
        <w:t>"</w:t>
      </w:r>
      <w:r>
        <w:rPr>
          <w:rFonts w:ascii="Traditional Arabic" w:hAnsi="Traditional Arabic" w:cs="Traditional Arabic"/>
          <w:sz w:val="28"/>
          <w:szCs w:val="28"/>
        </w:rPr>
        <w:t xml:space="preserve">The Determinants of Smart Government Systems Adoption by Public Sector Organizations in Saudi Arabia"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هدفت إلى تحليل العوامل المؤثرة في تبني أنظمة الحكومة الذكية في الجهات الحكومية في المملكة العربية السعودية، مع التركيز على دور العوامل التنظيمية والتقنية في دعم التحول الرقمي في القطاع العام</w:t>
      </w:r>
      <w:r>
        <w:rPr>
          <w:rFonts w:ascii="Traditional Arabic" w:hAnsi="Traditional Arabic" w:cs="Traditional Arabic"/>
          <w:sz w:val="28"/>
          <w:szCs w:val="28"/>
        </w:rPr>
        <w:t>.</w:t>
      </w:r>
    </w:p>
    <w:p w14:paraId="33530D52"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المنهج الكمي من خلال استبيانات وُزعت على عينة من الموظفين في عدد من الجهات الحكومية السعودية، بهدف قياس مستوى تبني أنظمة الحكومة الذكية وتحليل العوامل المؤثرة في ذلك. وأظهرت النتائج أن الدعم القيادي والاستراتيجية الرقمية والبنية التحتية التقنية والثقة في الأنظمة الرقمية تعد من أهم العوامل التي تؤثر في تبني مبادرات الحكومة الذكية في المؤسسات الحكومية، كما أكدت النتائج أن تبني التقنيات الرقمية يسهم في تحسين كفاءة الخدمات الحكومية وتعزيز فاعلية الأداء المؤسسي</w:t>
      </w:r>
      <w:r>
        <w:rPr>
          <w:rFonts w:ascii="Traditional Arabic" w:hAnsi="Traditional Arabic" w:cs="Traditional Arabic"/>
          <w:sz w:val="28"/>
          <w:szCs w:val="28"/>
        </w:rPr>
        <w:t>.</w:t>
      </w:r>
    </w:p>
    <w:p w14:paraId="1432C78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تحليل العوامل المؤثرة في تبني أنظمة الحكومة الذكية في الجهات الحكومية بصورة عامة، ولم تتناول بشكل مباشر تطبيق الحوكمة الرقمية في القطاعات المعتمدة على الأصول والبنية التحتية مثل قطاع المياه، كما لم تربط بين التحول الرقمي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7B1C42A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هذه النتائج في تأكيد أهمية التحول الرقمي والحوكمة الذكية في تطوير الأداء المؤسسي، مع توسيع نطاق التحليل ليشمل العلاقة بين التحول الرقمي والاستدامة المؤسسية وسلامة الأصول في قطاع المياه</w:t>
      </w:r>
      <w:r>
        <w:rPr>
          <w:rFonts w:ascii="Traditional Arabic" w:hAnsi="Traditional Arabic" w:cs="Traditional Arabic"/>
          <w:sz w:val="28"/>
          <w:szCs w:val="28"/>
        </w:rPr>
        <w:t>.</w:t>
      </w:r>
    </w:p>
    <w:p w14:paraId="279D8F72" w14:textId="77777777" w:rsidR="00B5427B" w:rsidRDefault="00B5427B" w:rsidP="00B5427B">
      <w:pPr>
        <w:bidi/>
        <w:rPr>
          <w:rFonts w:ascii="Traditional Arabic" w:hAnsi="Traditional Arabic" w:cs="Traditional Arabic"/>
          <w:sz w:val="28"/>
          <w:szCs w:val="28"/>
          <w:rtl/>
        </w:rPr>
      </w:pPr>
    </w:p>
    <w:p w14:paraId="3EE51AE5" w14:textId="1E76F814" w:rsidR="006D248B" w:rsidRPr="006D248B" w:rsidRDefault="006D248B" w:rsidP="00A90202">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 xml:space="preserve">دراسة </w:t>
      </w:r>
      <w:r>
        <w:rPr>
          <w:rFonts w:ascii="Traditional Arabic" w:hAnsi="Traditional Arabic" w:cs="Traditional Arabic"/>
          <w:b/>
          <w:bCs/>
          <w:sz w:val="28"/>
          <w:szCs w:val="28"/>
        </w:rPr>
        <w:t xml:space="preserve"> </w:t>
      </w:r>
      <w:r>
        <w:rPr>
          <w:rFonts w:ascii="Traditional Arabic" w:hAnsi="Traditional Arabic" w:cs="Traditional Arabic"/>
          <w:sz w:val="28"/>
          <w:szCs w:val="28"/>
        </w:rPr>
        <w:t xml:space="preserve">(Hujran et al., 2023) </w:t>
      </w:r>
      <w:r>
        <w:rPr>
          <w:rFonts w:ascii="Traditional Arabic" w:hAnsi="Traditional Arabic" w:cs="Traditional Arabic"/>
          <w:sz w:val="28"/>
          <w:szCs w:val="28"/>
          <w:rtl/>
        </w:rPr>
        <w:t>بعنوان</w:t>
      </w:r>
      <w:r>
        <w:rPr>
          <w:rFonts w:ascii="Traditional Arabic" w:hAnsi="Traditional Arabic" w:cs="Traditional Arabic"/>
          <w:sz w:val="28"/>
          <w:szCs w:val="28"/>
        </w:rPr>
        <w:t xml:space="preserve"> "Digitally Transforming Electronic Governments into Smart Governments" </w:t>
      </w:r>
      <w:r>
        <w:rPr>
          <w:rFonts w:ascii="Traditional Arabic" w:hAnsi="Traditional Arabic" w:cs="Traditional Arabic"/>
          <w:sz w:val="28"/>
          <w:szCs w:val="28"/>
          <w:rtl/>
        </w:rPr>
        <w:t>هدفت إلى تحليل التحول من الحكومة الإلكترونية إلى الحكومة الذكية، مع التركيز على دور التقنيات الرقمية والحوكمة الرقمية في تطوير الخدمات الحكومية وتحسين كفاءة الأداء المؤسسي في القطاع العام</w:t>
      </w:r>
      <w:r>
        <w:rPr>
          <w:rFonts w:ascii="Traditional Arabic" w:hAnsi="Traditional Arabic" w:cs="Traditional Arabic"/>
          <w:sz w:val="28"/>
          <w:szCs w:val="28"/>
        </w:rPr>
        <w:t>.</w:t>
      </w:r>
    </w:p>
    <w:p w14:paraId="76459EC0"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واعتمدت الدراسة على تحليل مفاهيمي وإطار نظري يستند إلى مراجعة الأدبيات المرتبطة بالتحول الرقمي والحكومة الذكية، بهدف تحديد العوامل الرئيسة التي تسهم في انتقال الحكومات من نماذج الحكومة الإلكترونية التقليدية إلى نماذج أكثر تكاملًا تعتمد على البيانات والتقنيات الذكية. وأظهرت النتائج أن نجاح التحول نحو الحكومة الذكية يعتمد على تكامل البنية التحتية الرقمية مع الأطر التنظيمية والحوكمية، إضافة إلى أهمية إدارة البيانات والابتكار المؤسسي في تحسين جودة الخدمات العامة</w:t>
      </w:r>
      <w:r>
        <w:rPr>
          <w:rFonts w:ascii="Traditional Arabic" w:hAnsi="Traditional Arabic" w:cs="Traditional Arabic"/>
          <w:sz w:val="28"/>
          <w:szCs w:val="28"/>
        </w:rPr>
        <w:t>.</w:t>
      </w:r>
    </w:p>
    <w:p w14:paraId="67E82A9A"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إلا أن الدراسة ركزت على التحول الرقمي في الحكومات بصورة عامة، ولم تتناول تطبيق هذه المفاهيم في القطاعات الخدمية المعتمدة على الأصول والبنية التحتية مثل قطاع المياه، كما لم تربط بين التحول نحو الحكومة الذكية وسلامة الأصول أو الاستدامة المؤسسية ضمن نموذج تحليلي يفسر تأثيرها في الأداء المؤسسي</w:t>
      </w:r>
      <w:r>
        <w:rPr>
          <w:rFonts w:ascii="Traditional Arabic" w:hAnsi="Traditional Arabic" w:cs="Traditional Arabic"/>
          <w:sz w:val="28"/>
          <w:szCs w:val="28"/>
        </w:rPr>
        <w:t>.</w:t>
      </w:r>
    </w:p>
    <w:p w14:paraId="50B743B7" w14:textId="77777777" w:rsidR="006D248B" w:rsidRPr="006D248B" w:rsidRDefault="006D248B" w:rsidP="006D248B">
      <w:pPr>
        <w:bidi/>
        <w:rPr>
          <w:rFonts w:ascii="Traditional Arabic" w:hAnsi="Traditional Arabic" w:cs="Traditional Arabic"/>
          <w:sz w:val="28"/>
          <w:szCs w:val="28"/>
        </w:rPr>
      </w:pPr>
      <w:r>
        <w:rPr>
          <w:rFonts w:ascii="Traditional Arabic" w:hAnsi="Traditional Arabic" w:cs="Traditional Arabic"/>
          <w:sz w:val="28"/>
          <w:szCs w:val="28"/>
          <w:rtl/>
        </w:rPr>
        <w:t>وتستفيد الدراسة الحالية من هذا الطرح في إبراز دور الحوكمة الرقمية والتحول نحو النماذج الذكية في تطوير الأداء المؤسسي، مع توسيع نطاق التحليل ليشمل العلاقة بين التحول الرقمي والاستدامة المؤسسية وسلامة أصول البنية التحتية في قطاع المياه</w:t>
      </w:r>
      <w:r>
        <w:rPr>
          <w:rFonts w:ascii="Traditional Arabic" w:hAnsi="Traditional Arabic" w:cs="Traditional Arabic"/>
          <w:sz w:val="28"/>
          <w:szCs w:val="28"/>
        </w:rPr>
        <w:t>.</w:t>
      </w:r>
    </w:p>
    <w:p w14:paraId="21ADA14B"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أعلى النموذج</w:t>
      </w:r>
    </w:p>
    <w:p w14:paraId="1D117D9C" w14:textId="77777777" w:rsidR="006D248B" w:rsidRPr="006D248B" w:rsidRDefault="006D248B" w:rsidP="006D248B">
      <w:pPr>
        <w:bidi/>
        <w:rPr>
          <w:rFonts w:ascii="Traditional Arabic" w:hAnsi="Traditional Arabic" w:cs="Traditional Arabic"/>
          <w:vanish/>
          <w:sz w:val="28"/>
          <w:szCs w:val="28"/>
        </w:rPr>
      </w:pPr>
      <w:r>
        <w:rPr>
          <w:rFonts w:ascii="Traditional Arabic" w:hAnsi="Traditional Arabic" w:cs="Traditional Arabic"/>
          <w:vanish/>
          <w:sz w:val="28"/>
          <w:szCs w:val="28"/>
          <w:rtl/>
        </w:rPr>
        <w:t>أسفل النموذج</w:t>
      </w:r>
    </w:p>
    <w:p w14:paraId="2510257B" w14:textId="77777777" w:rsidR="002D75FA" w:rsidRDefault="002D75FA" w:rsidP="002D75FA">
      <w:pPr>
        <w:bidi/>
        <w:rPr>
          <w:rFonts w:ascii="Traditional Arabic" w:hAnsi="Traditional Arabic" w:cs="Traditional Arabic"/>
          <w:sz w:val="28"/>
          <w:szCs w:val="28"/>
          <w:rtl/>
        </w:rPr>
      </w:pPr>
    </w:p>
    <w:p w14:paraId="6CF3658B" w14:textId="58072480" w:rsidR="002D75FA" w:rsidRPr="002D75FA" w:rsidRDefault="002D75FA" w:rsidP="002D75FA">
      <w:pPr>
        <w:bidi/>
        <w:rPr>
          <w:rFonts w:ascii="Traditional Arabic" w:hAnsi="Traditional Arabic" w:cs="Traditional Arabic"/>
          <w:sz w:val="28"/>
          <w:szCs w:val="28"/>
        </w:rPr>
      </w:pPr>
      <w:r>
        <w:rPr>
          <w:rFonts w:ascii="Traditional Arabic" w:hAnsi="Traditional Arabic" w:cs="Traditional Arabic"/>
          <w:sz w:val="28"/>
          <w:szCs w:val="28"/>
          <w:rtl/>
        </w:rPr>
        <w:t>يتضح من تحليل الأدبيات المحكّمة إلى جانب السياق التنظيمي لقطاع المياه في المملكة العربية السعودية ما يلي</w:t>
      </w:r>
      <w:r>
        <w:rPr>
          <w:rFonts w:ascii="Traditional Arabic" w:hAnsi="Traditional Arabic" w:cs="Traditional Arabic"/>
          <w:sz w:val="28"/>
          <w:szCs w:val="28"/>
        </w:rPr>
        <w:t>:</w:t>
      </w:r>
    </w:p>
    <w:p w14:paraId="508B85E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تؤكد التوجهات الاستراتيجية الوطنية أهمية التحول الرقمي وتعزيز الحوكمة بوصفهما ركيزتين أساسيتين لتطوير قطاع المياه ورفع كفاءته التشغيلية والمالية</w:t>
      </w:r>
      <w:r>
        <w:rPr>
          <w:rFonts w:ascii="Traditional Arabic" w:hAnsi="Traditional Arabic" w:cs="Traditional Arabic"/>
          <w:sz w:val="28"/>
          <w:szCs w:val="28"/>
        </w:rPr>
        <w:t>.</w:t>
      </w:r>
    </w:p>
    <w:p w14:paraId="139D9577"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تشير الدراسات التطبيقية المحلية إلى وجود علاقة إيجابية بين مستوى الحوكمة الرقمية وجودة الخدمات المقدمة في الجهات الحكومية، بما يعكس أهمية الأطر التنظيمية في تعظيم أثر المبادرات الرقمية</w:t>
      </w:r>
      <w:r>
        <w:rPr>
          <w:rFonts w:ascii="Traditional Arabic" w:hAnsi="Traditional Arabic" w:cs="Traditional Arabic"/>
          <w:sz w:val="28"/>
          <w:szCs w:val="28"/>
        </w:rPr>
        <w:t>.</w:t>
      </w:r>
    </w:p>
    <w:p w14:paraId="1F7BAAD5"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تكشف المعطيات التنظيمية والتقارير القطاعية عن استمرار تحديات تشغيلية تتعلق بنسبة الفاقد المائي، وتكامل البيانات بين الجهات، وكفاءة إدارة الأصول، وهو ما يشير إلى وجود فجوة بين التبني التقني والنضج المؤسسي</w:t>
      </w:r>
      <w:r>
        <w:rPr>
          <w:rFonts w:ascii="Traditional Arabic" w:hAnsi="Traditional Arabic" w:cs="Traditional Arabic"/>
          <w:sz w:val="28"/>
          <w:szCs w:val="28"/>
        </w:rPr>
        <w:t>.</w:t>
      </w:r>
    </w:p>
    <w:p w14:paraId="6655747C" w14:textId="77777777" w:rsidR="002D75FA"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لا توجد – في حدود علم الباحث – دراسة سعودية جمعت بين التحول الرقمي والحوكمة الذكية والاستدامة المؤسسية وسلامة الأصول والأداء المؤسسي ضمن نموذج سببي كمي متكامل</w:t>
      </w:r>
      <w:r>
        <w:rPr>
          <w:rFonts w:ascii="Traditional Arabic" w:hAnsi="Traditional Arabic" w:cs="Traditional Arabic"/>
          <w:sz w:val="28"/>
          <w:szCs w:val="28"/>
        </w:rPr>
        <w:t>.</w:t>
      </w:r>
    </w:p>
    <w:p w14:paraId="62324F09" w14:textId="731F8D33" w:rsidR="00B5427B" w:rsidRPr="002D75FA" w:rsidRDefault="002D75FA" w:rsidP="00B7711D">
      <w:pPr>
        <w:numPr>
          <w:ilvl w:val="0"/>
          <w:numId w:val="27"/>
        </w:numPr>
        <w:bidi/>
        <w:jc w:val="both"/>
        <w:rPr>
          <w:rFonts w:ascii="Traditional Arabic" w:hAnsi="Traditional Arabic" w:cs="Traditional Arabic"/>
          <w:sz w:val="28"/>
          <w:szCs w:val="28"/>
        </w:rPr>
      </w:pPr>
      <w:r>
        <w:rPr>
          <w:rFonts w:ascii="Traditional Arabic" w:hAnsi="Traditional Arabic" w:cs="Traditional Arabic"/>
          <w:sz w:val="28"/>
          <w:szCs w:val="28"/>
          <w:rtl/>
        </w:rPr>
        <w:t>كما يغيب توظيف نماذج المعادلات الهيكلية</w:t>
      </w:r>
      <w:r>
        <w:rPr>
          <w:rFonts w:ascii="Traditional Arabic" w:hAnsi="Traditional Arabic" w:cs="Traditional Arabic"/>
          <w:sz w:val="28"/>
          <w:szCs w:val="28"/>
        </w:rPr>
        <w:t xml:space="preserve"> (SEM / PLS) </w:t>
      </w:r>
      <w:r>
        <w:rPr>
          <w:rFonts w:ascii="Traditional Arabic" w:hAnsi="Traditional Arabic" w:cs="Traditional Arabic"/>
          <w:sz w:val="28"/>
          <w:szCs w:val="28"/>
          <w:rtl/>
        </w:rPr>
        <w:t>في قطاع المياه السعودي لقياس العلاقات المتداخلة بين هذه المتغيرات واختبار الأثر المباشر وغير المباشر بينها</w:t>
      </w:r>
      <w:r>
        <w:rPr>
          <w:rFonts w:ascii="Traditional Arabic" w:hAnsi="Traditional Arabic" w:cs="Traditional Arabic"/>
          <w:sz w:val="28"/>
          <w:szCs w:val="28"/>
        </w:rPr>
        <w:t>.</w:t>
      </w:r>
    </w:p>
    <w:p w14:paraId="1DD4A72E" w14:textId="77777777" w:rsidR="002D75FA" w:rsidRDefault="002D75FA" w:rsidP="002D75FA">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تمثل الدراسة الحالية إضافة علمية وتطبيقية في السياق الوطني، إذ تقدم نموذجًا تكامليًا قابلًا للاختبار يفسر آليات التأثير المتبادل بين التحول الرقمي والحوكمة الذكية والاستدامة المؤسسية وسلامة الأصول والأداء المؤسسي، بما يدعم التوجه نحو إدارة ذكية ومستدامة لقطاع المياه في المملكة العربية السعودية</w:t>
      </w:r>
      <w:r>
        <w:rPr>
          <w:rFonts w:ascii="Traditional Arabic" w:hAnsi="Traditional Arabic" w:cs="Traditional Arabic"/>
          <w:sz w:val="28"/>
          <w:szCs w:val="28"/>
        </w:rPr>
        <w:t>.</w:t>
      </w:r>
    </w:p>
    <w:p w14:paraId="33676A47" w14:textId="77777777" w:rsidR="00631A3A" w:rsidRDefault="00631A3A" w:rsidP="00631A3A">
      <w:pPr>
        <w:bidi/>
        <w:rPr>
          <w:rFonts w:ascii="Traditional Arabic" w:hAnsi="Traditional Arabic" w:cs="Traditional Arabic"/>
          <w:sz w:val="28"/>
          <w:szCs w:val="28"/>
          <w:rtl/>
        </w:rPr>
      </w:pPr>
    </w:p>
    <w:p w14:paraId="05F9CC41" w14:textId="77777777" w:rsidR="00631A3A" w:rsidRPr="002D75FA" w:rsidRDefault="00631A3A" w:rsidP="00631A3A">
      <w:pPr>
        <w:bidi/>
        <w:rPr>
          <w:rFonts w:ascii="Traditional Arabic" w:hAnsi="Traditional Arabic" w:cs="Traditional Arabic"/>
          <w:sz w:val="28"/>
          <w:szCs w:val="28"/>
        </w:rPr>
      </w:pPr>
      <w:r>
        <w:rPr>
          <w:rFonts w:ascii="Traditional Arabic" w:hAnsi="Traditional Arabic" w:cs="Traditional Arabic"/>
          <w:b/>
          <w:bCs/>
          <w:sz w:val="28"/>
          <w:szCs w:val="28"/>
          <w:rtl/>
        </w:rPr>
        <w:t>جدول ملخص الدراسات السابقة</w:t>
      </w:r>
    </w:p>
    <w:p w14:paraId="6E0CCE87" w14:textId="294ABDFD" w:rsidR="002D75FA" w:rsidRPr="00631A3A" w:rsidRDefault="00631A3A" w:rsidP="00631A3A">
      <w:pPr>
        <w:bidi/>
        <w:rPr>
          <w:rFonts w:ascii="Traditional Arabic" w:hAnsi="Traditional Arabic" w:cs="Traditional Arabic"/>
          <w:sz w:val="28"/>
          <w:szCs w:val="28"/>
          <w:rtl/>
        </w:rPr>
      </w:pPr>
      <w:r>
        <w:rPr>
          <w:rFonts w:ascii="Traditional Arabic" w:hAnsi="Traditional Arabic" w:cs="Traditional Arabic"/>
          <w:sz w:val="28"/>
          <w:szCs w:val="28"/>
          <w:rtl/>
        </w:rPr>
        <w:t>ولتوضيح أبرز الدراسات السابقة المرتبطة بموضوع الدراسة، يعرض الجدول التالي ملخصًا لأهم هذه الدراسات من حيث أهدافها ومنهجياتها ونتائجها، إضافة إلى إبراز الفجوات البحثية التي تسعى الدراسة الحالية إلى معالجتها</w:t>
      </w:r>
      <w:r>
        <w:rPr>
          <w:rFonts w:ascii="Traditional Arabic" w:hAnsi="Traditional Arabic" w:cs="Traditional Arabic"/>
          <w:sz w:val="28"/>
          <w:szCs w:val="28"/>
        </w:rPr>
        <w:t>.</w:t>
      </w:r>
    </w:p>
    <w:tbl>
      <w:tblPr>
        <w:bidiVisual/>
        <w:tblW w:w="9352" w:type="dxa"/>
        <w:tblInd w:w="599" w:type="dxa"/>
        <w:tblLook w:val="04A0" w:firstRow="1" w:lastRow="0" w:firstColumn="1" w:lastColumn="0" w:noHBand="0" w:noVBand="1"/>
      </w:tblPr>
      <w:tblGrid>
        <w:gridCol w:w="1476"/>
        <w:gridCol w:w="1647"/>
        <w:gridCol w:w="1094"/>
        <w:gridCol w:w="1260"/>
        <w:gridCol w:w="1104"/>
        <w:gridCol w:w="1391"/>
        <w:gridCol w:w="1380"/>
      </w:tblGrid>
      <w:tr w:rsidR="004032F1" w:rsidRPr="004032F1" w14:paraId="25C195B2" w14:textId="77777777" w:rsidTr="00F170F1">
        <w:trPr>
          <w:trHeight w:val="417"/>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5239E1A" w14:textId="77777777" w:rsidR="004032F1" w:rsidRPr="004032F1" w:rsidRDefault="004032F1" w:rsidP="00F170F1">
            <w:pPr>
              <w:bidi/>
              <w:spacing w:after="0" w:line="240" w:lineRule="auto"/>
              <w:jc w:val="right"/>
              <w:rPr>
                <w:rFonts w:ascii="Arial" w:eastAsia="Times New Roman" w:hAnsi="Arial" w:cs="Arial"/>
                <w:b/>
                <w:bCs/>
                <w:color w:val="000000"/>
              </w:rPr>
            </w:pPr>
            <w:r>
              <w:rPr>
                <w:rFonts w:ascii="Arial" w:eastAsia="Times New Roman" w:hAnsi="Arial" w:cs="Arial"/>
                <w:b/>
                <w:bCs/>
                <w:color w:val="000000"/>
                <w:rtl/>
              </w:rPr>
              <w:t>الباحث والسنة</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27532FE"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عنوان الدراسة</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15323BAD"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المجال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432829F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هدف الدراسة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76E006C8"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المنهج المستخدم</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B711D1F"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أهم النتائج</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E7E6E6" w:themeFill="background2"/>
            <w:vAlign w:val="center"/>
            <w:hideMark/>
          </w:tcPr>
          <w:p w14:paraId="0D76E87C" w14:textId="77777777" w:rsidR="004032F1" w:rsidRPr="004032F1" w:rsidRDefault="004032F1" w:rsidP="00F170F1">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الفجوة البحثية</w:t>
            </w:r>
          </w:p>
        </w:tc>
      </w:tr>
      <w:tr w:rsidR="004032F1" w:rsidRPr="004032F1" w14:paraId="0A0F74F7"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988D6E"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767E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Governing the Smart City</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E15C3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9B429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مفهوم الحوكمة الذكية في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C55319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B5CCFF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الذكية تعزز الشفافية والتنسيق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2A4098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في إدارة أصول البنية التحتية</w:t>
            </w:r>
          </w:p>
        </w:tc>
      </w:tr>
      <w:tr w:rsidR="004032F1" w:rsidRPr="004032F1" w14:paraId="05714BC3"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06DC2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839B03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What makes a city smart?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2B2B1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B1FFE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مكونات المدن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56A87C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E736D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تكامل البيانات والسياسات أساس نجاح المدن الذكية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30426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الحوكمة بسلامة الأصول</w:t>
            </w:r>
          </w:p>
        </w:tc>
      </w:tr>
      <w:tr w:rsidR="004032F1" w:rsidRPr="004032F1" w14:paraId="671BD2BC"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41B21"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41B00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Smart Governance of Sustainable Cities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0B041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FA8B06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أبعاد الحوكمة الذكية في المدن المستدامة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5838B2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7D173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تعتمد على تكامل البيانات والمسؤوليات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FF1C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تختبر أثرها على الأداء التشغيلي</w:t>
            </w:r>
          </w:p>
        </w:tc>
      </w:tr>
      <w:tr w:rsidR="004032F1" w:rsidRPr="004032F1" w14:paraId="5118905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7055E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9C766E"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Digitally transforming e-government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7828F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AC743E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للحكومة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98497B0"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 + 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EBBF93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يعزز الأداء الحكومي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C54178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إدارة الأصول</w:t>
            </w:r>
          </w:p>
        </w:tc>
      </w:tr>
      <w:tr w:rsidR="004032F1" w:rsidRPr="004032F1" w14:paraId="5CD8C332"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66D0D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167BE6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Determinants of smart government adoption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FF27AB"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(السعودية)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EA186D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عوامل تبني الأنظمة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BEB70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كمي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8067F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القيادة الرقمية والبنية التقنية عوامل حاسمة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921B2E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بسلامة الأصول</w:t>
            </w:r>
          </w:p>
        </w:tc>
      </w:tr>
      <w:tr w:rsidR="004032F1" w:rsidRPr="004032F1" w14:paraId="1A7420DB"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C5445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DC462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Strategic role of engineering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7D147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884F6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الدور الاستراتيجي لإدارة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65B51F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حالة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64AD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الأصول تعزز القيمة المؤسسية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68899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التحول الرقمي</w:t>
            </w:r>
          </w:p>
        </w:tc>
      </w:tr>
      <w:tr w:rsidR="004032F1" w:rsidRPr="004032F1" w14:paraId="1300981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1D3CB5"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Hastings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0AEF31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Physical Asset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2AFFB8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51BC9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منهجيات إدارة دورة حياة الأصول</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EBCD69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تطبيقي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80D0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إدارة دورة الحياة تحسن موثوقية الأصول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1DBA97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الرقمي</w:t>
            </w:r>
          </w:p>
        </w:tc>
      </w:tr>
      <w:tr w:rsidR="004032F1" w:rsidRPr="004032F1" w14:paraId="78F8CFB4"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8D67E3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7B607F5"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Understanding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5C3060"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4B89B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نظري للتحول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93D176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B6C8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يعيد تشكيل العمليات</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A2DC55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يُختبر في قطاع المياه</w:t>
            </w:r>
          </w:p>
        </w:tc>
      </w:tr>
      <w:tr w:rsidR="004032F1" w:rsidRPr="004032F1" w14:paraId="2091C8C9"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452D90"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F1F33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transformation in business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10C28D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A88CD1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التحول الرقمي في الإدارة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0387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F393B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التحول الرقمي يحسن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767C7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يعتمد على الحوكمة التنظيمية</w:t>
            </w:r>
          </w:p>
        </w:tc>
      </w:tr>
      <w:tr w:rsidR="004032F1" w:rsidRPr="004032F1" w14:paraId="0132F6C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3D07B8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206A00"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Defining digital transformation</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68F480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(القطاع العام)</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CC3AE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تحديد متطلبات التحول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2FD308D"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مقابلات خبراء</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63C4945"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الحوكمة شرط لنجاح الرقمنة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D3B0D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147DDD1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30FFC4"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D0B7C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enabling technologies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272DC2"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D13798B"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تقنيات التوأم الرقمي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F2A8BF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أدبية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E48144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E3E3B8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ركزت على الجانب التقني</w:t>
            </w:r>
          </w:p>
        </w:tc>
      </w:tr>
      <w:tr w:rsidR="004032F1" w:rsidRPr="004032F1" w14:paraId="70AE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97A6A7"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Zhang et al. (2023)</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E132B4"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Digital twin in water networks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62FBA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5D34D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التوأم الرقمي في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BC03F7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بيانات</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950B17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الأصول والتنبؤ بالأعطال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7B61E1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البعد الحوكمي</w:t>
            </w:r>
          </w:p>
        </w:tc>
      </w:tr>
      <w:tr w:rsidR="004032F1" w:rsidRPr="004032F1" w14:paraId="0406FDC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730EFC3"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6AF8DC"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systems</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1D9F4C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903C8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أنظمة المياه الذكية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56DDBE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9A323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التقنيات تقلل الفاقد وتحسن التشغيل</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85472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غياب النماذج السببية</w:t>
            </w:r>
          </w:p>
        </w:tc>
      </w:tr>
      <w:tr w:rsidR="004032F1" w:rsidRPr="004032F1" w14:paraId="63BFDDF8"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B42A2FF"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673D3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Smart water management</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4764459"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828AAC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نموذج متكامل للمياه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2C60B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دراسة تطبيقية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87572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يحسن القرار التشغيلي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28152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تدمج الحوكمة</w:t>
            </w:r>
          </w:p>
        </w:tc>
      </w:tr>
      <w:tr w:rsidR="004032F1" w:rsidRPr="004032F1" w14:paraId="2DF8356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2B34F7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3FCFA19"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paradigm</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B1377CF"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4E81B2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الاقتصاد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766E15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0E095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كفاءة الموارد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2C440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تتناول الأصول</w:t>
            </w:r>
          </w:p>
        </w:tc>
      </w:tr>
      <w:tr w:rsidR="004032F1" w:rsidRPr="004032F1" w14:paraId="5DD66BAB"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62553DC"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10EF58B"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Circular economy in water</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EE881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AE70BA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للاقتصاد الدائري</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CB80228"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منهجية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A377A3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تعزيز استدامة الموارد المائية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D5981D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بالأداء المؤسسي</w:t>
            </w:r>
          </w:p>
        </w:tc>
      </w:tr>
      <w:tr w:rsidR="004032F1" w:rsidRPr="004032F1" w14:paraId="68D23B9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5ED6E2B"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A82272"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Safe and SuRe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D3E1314"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16ED1C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إطار لإدارة المياه</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730A6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F63BB7C"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الاستدامة وإدارة المخاطر</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01C4D6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التحول الرقمي بالأصول</w:t>
            </w:r>
          </w:p>
        </w:tc>
      </w:tr>
      <w:tr w:rsidR="004032F1" w:rsidRPr="004032F1" w14:paraId="50D43C00" w14:textId="77777777" w:rsidTr="00F170F1">
        <w:trPr>
          <w:trHeight w:val="202"/>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444DB28"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987C6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Triple Bottom Line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4EA34D8"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7FA14B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الاستدامة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FFA816E"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84452F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التكامل بين الأبعاد الثلاثة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02EDCA9"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يتناول إدارة الأصول</w:t>
            </w:r>
          </w:p>
        </w:tc>
      </w:tr>
      <w:tr w:rsidR="004032F1" w:rsidRPr="004032F1" w14:paraId="46D1F816"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90EA889"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4761F"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Creating shared value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231461E6"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5FFC77D7"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ربط الأداء بالقيمة الاجتماعية</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38E514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مفاهيمي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5D16A1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تحسين الأداء المؤسسي</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3DDF9E8A"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r w:rsidR="004032F1" w:rsidRPr="004032F1" w14:paraId="3038E6BA" w14:textId="77777777" w:rsidTr="00F170F1">
        <w:trPr>
          <w:trHeight w:val="609"/>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02749AD"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E42119D"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Measuring organizational performance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7AAB4D7"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AE86741"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تطوير مفهوم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0CE2FEF"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مراجعة تحليلية</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111BF7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الأداء متعدد الأبعاد</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60EAF15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بالأصول</w:t>
            </w:r>
          </w:p>
        </w:tc>
      </w:tr>
      <w:tr w:rsidR="004032F1" w:rsidRPr="004032F1" w14:paraId="328734B1" w14:textId="77777777" w:rsidTr="00F170F1">
        <w:trPr>
          <w:trHeight w:val="406"/>
        </w:trPr>
        <w:tc>
          <w:tcPr>
            <w:tcW w:w="111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11F844CA" w14:textId="77777777" w:rsidR="004032F1" w:rsidRPr="004032F1" w:rsidRDefault="004032F1" w:rsidP="00F170F1">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64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C73BD57" w14:textId="77777777" w:rsidR="004032F1" w:rsidRPr="004032F1" w:rsidRDefault="004032F1" w:rsidP="00F170F1">
            <w:pPr>
              <w:spacing w:after="0" w:line="240" w:lineRule="auto"/>
              <w:jc w:val="center"/>
              <w:rPr>
                <w:rFonts w:ascii="Arial" w:eastAsia="Times New Roman" w:hAnsi="Arial" w:cs="Arial"/>
                <w:color w:val="000000"/>
              </w:rPr>
            </w:pPr>
            <w:r>
              <w:rPr>
                <w:rFonts w:ascii="Arial" w:eastAsia="Times New Roman" w:hAnsi="Arial" w:cs="Arial"/>
                <w:color w:val="000000"/>
              </w:rPr>
              <w:t>Performance measurement future</w:t>
            </w:r>
          </w:p>
        </w:tc>
        <w:tc>
          <w:tcPr>
            <w:tcW w:w="112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F33A923" w14:textId="77777777" w:rsidR="004032F1" w:rsidRPr="004032F1" w:rsidRDefault="004032F1" w:rsidP="00F170F1">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c>
          <w:tcPr>
            <w:tcW w:w="1313"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BECB1B3"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مستقبل قياس الأداء</w:t>
            </w:r>
          </w:p>
        </w:tc>
        <w:tc>
          <w:tcPr>
            <w:tcW w:w="1165"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426A2852"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تحليل نقدي</w:t>
            </w:r>
          </w:p>
        </w:tc>
        <w:tc>
          <w:tcPr>
            <w:tcW w:w="14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7D99BB36"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أهمية تكامل القياس والإدارة</w:t>
            </w:r>
          </w:p>
        </w:tc>
        <w:tc>
          <w:tcPr>
            <w:tcW w:w="15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vAlign w:val="center"/>
            <w:hideMark/>
          </w:tcPr>
          <w:p w14:paraId="0DAFF644" w14:textId="77777777" w:rsidR="004032F1" w:rsidRPr="004032F1" w:rsidRDefault="004032F1" w:rsidP="00F170F1">
            <w:pPr>
              <w:bidi/>
              <w:spacing w:after="0" w:line="240" w:lineRule="auto"/>
              <w:jc w:val="center"/>
              <w:rPr>
                <w:rFonts w:ascii="Arial" w:eastAsia="Times New Roman" w:hAnsi="Arial" w:cs="Arial"/>
                <w:color w:val="000000"/>
                <w:rtl/>
              </w:rPr>
            </w:pPr>
            <w:r>
              <w:rPr>
                <w:rFonts w:ascii="Arial" w:eastAsia="Times New Roman" w:hAnsi="Arial" w:cs="Arial"/>
                <w:color w:val="000000"/>
                <w:rtl/>
              </w:rPr>
              <w:t>لم تربط بالتحول الرقمي</w:t>
            </w:r>
          </w:p>
        </w:tc>
      </w:tr>
    </w:tbl>
    <w:p w14:paraId="60287CB6" w14:textId="57CAD29D" w:rsidR="00DD73BF" w:rsidRDefault="00DD73BF" w:rsidP="00DD73BF">
      <w:pPr>
        <w:pStyle w:val="ListParagraph"/>
        <w:bidi/>
        <w:spacing w:line="278" w:lineRule="auto"/>
        <w:ind w:left="0"/>
        <w:jc w:val="both"/>
        <w:rPr>
          <w:rFonts w:ascii="Traditional Arabic" w:hAnsi="Traditional Arabic" w:cs="Traditional Arabic"/>
          <w:b/>
          <w:bCs/>
          <w:sz w:val="28"/>
          <w:szCs w:val="28"/>
          <w:rtl/>
        </w:rPr>
      </w:pPr>
    </w:p>
    <w:p w14:paraId="31062DD4" w14:textId="77777777" w:rsidR="00DB2CB7" w:rsidRDefault="00DB2CB7" w:rsidP="00DB2CB7">
      <w:pPr>
        <w:pStyle w:val="ListParagraph"/>
        <w:bidi/>
        <w:spacing w:line="278" w:lineRule="auto"/>
        <w:ind w:left="0"/>
        <w:jc w:val="both"/>
        <w:rPr>
          <w:rFonts w:ascii="Traditional Arabic" w:hAnsi="Traditional Arabic" w:cs="Traditional Arabic"/>
          <w:b/>
          <w:bCs/>
          <w:sz w:val="28"/>
          <w:szCs w:val="28"/>
          <w:rtl/>
        </w:rPr>
      </w:pPr>
    </w:p>
    <w:p w14:paraId="2AAE12A1" w14:textId="77777777" w:rsidR="006D5E08" w:rsidRDefault="006D5E08" w:rsidP="006D5E08">
      <w:pPr>
        <w:pStyle w:val="ListParagraph"/>
        <w:bidi/>
        <w:spacing w:line="278" w:lineRule="auto"/>
        <w:ind w:left="0"/>
        <w:jc w:val="both"/>
        <w:rPr>
          <w:rFonts w:ascii="Traditional Arabic" w:hAnsi="Traditional Arabic" w:cs="Traditional Arabic"/>
          <w:b/>
          <w:bCs/>
          <w:sz w:val="28"/>
          <w:szCs w:val="28"/>
          <w:rtl/>
        </w:rPr>
      </w:pPr>
    </w:p>
    <w:p w14:paraId="63B4E835" w14:textId="77777777" w:rsidR="00540CDD" w:rsidRDefault="00540CDD" w:rsidP="00540CDD">
      <w:pPr>
        <w:pStyle w:val="ListParagraph"/>
        <w:bidi/>
        <w:spacing w:line="278"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مصفوفة الربط بين الدراسات السابقة ومتغيرات الدراسة</w:t>
      </w:r>
    </w:p>
    <w:tbl>
      <w:tblPr>
        <w:bidiVisual/>
        <w:tblW w:w="0" w:type="auto"/>
        <w:tblLayout w:type="fixed"/>
        <w:tblLook w:val="04A0" w:firstRow="1" w:lastRow="0" w:firstColumn="1" w:lastColumn="0" w:noHBand="0" w:noVBand="1"/>
      </w:tblPr>
      <w:tblGrid>
        <w:gridCol w:w="1476"/>
        <w:gridCol w:w="1247"/>
        <w:gridCol w:w="1247"/>
        <w:gridCol w:w="1247"/>
        <w:gridCol w:w="1247"/>
        <w:gridCol w:w="1247"/>
        <w:gridCol w:w="1493"/>
      </w:tblGrid>
      <w:tr w:rsidR="002B52AC" w:rsidRPr="002B52AC" w14:paraId="2170E222" w14:textId="77777777" w:rsidTr="007E0E57">
        <w:trPr>
          <w:trHeight w:val="567"/>
        </w:trPr>
        <w:tc>
          <w:tcPr>
            <w:tcW w:w="1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6E220F" w14:textId="77777777" w:rsidR="002B52AC" w:rsidRPr="002B52AC" w:rsidRDefault="002B52AC" w:rsidP="002B52AC">
            <w:pPr>
              <w:bidi/>
              <w:spacing w:after="0" w:line="240" w:lineRule="auto"/>
              <w:jc w:val="center"/>
              <w:rPr>
                <w:rFonts w:ascii="Arial" w:eastAsia="Times New Roman" w:hAnsi="Arial" w:cs="Arial"/>
                <w:b/>
                <w:bCs/>
                <w:color w:val="000000"/>
              </w:rPr>
            </w:pPr>
            <w:r>
              <w:rPr>
                <w:rFonts w:ascii="Arial" w:eastAsia="Times New Roman" w:hAnsi="Arial" w:cs="Arial"/>
                <w:b/>
                <w:bCs/>
                <w:color w:val="000000"/>
                <w:rtl/>
              </w:rPr>
              <w:t>الدراسة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1D6F3E"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الحوكمة الذكية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41768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التحول الرقمي</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D5DE2"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الاستدامة</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B76119"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سلامة الأصول</w:t>
            </w:r>
          </w:p>
        </w:tc>
        <w:tc>
          <w:tcPr>
            <w:tcW w:w="124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14C62F"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الأداء المؤسسي</w:t>
            </w:r>
          </w:p>
        </w:tc>
        <w:tc>
          <w:tcPr>
            <w:tcW w:w="14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03EB91" w14:textId="77777777" w:rsidR="002B52AC" w:rsidRPr="002B52AC" w:rsidRDefault="002B52AC" w:rsidP="002B52AC">
            <w:pPr>
              <w:bidi/>
              <w:spacing w:after="0" w:line="240" w:lineRule="auto"/>
              <w:jc w:val="center"/>
              <w:rPr>
                <w:rFonts w:ascii="Arial" w:eastAsia="Times New Roman" w:hAnsi="Arial" w:cs="Arial"/>
                <w:b/>
                <w:bCs/>
                <w:color w:val="000000"/>
                <w:rtl/>
              </w:rPr>
            </w:pPr>
            <w:r>
              <w:rPr>
                <w:rFonts w:ascii="Arial" w:eastAsia="Times New Roman" w:hAnsi="Arial" w:cs="Arial"/>
                <w:b/>
                <w:bCs/>
                <w:color w:val="000000"/>
                <w:rtl/>
              </w:rPr>
              <w:t>مجال الدراسة</w:t>
            </w:r>
          </w:p>
        </w:tc>
      </w:tr>
      <w:tr w:rsidR="002B52AC" w:rsidRPr="002B52AC" w14:paraId="3567B984"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29FFEA2"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Meijer &amp; Bolívar (2016)</w:t>
            </w:r>
          </w:p>
        </w:tc>
        <w:tc>
          <w:tcPr>
            <w:tcW w:w="1247" w:type="dxa"/>
            <w:tcBorders>
              <w:top w:val="nil"/>
              <w:left w:val="single" w:sz="4" w:space="0" w:color="auto"/>
              <w:bottom w:val="single" w:sz="4" w:space="0" w:color="auto"/>
              <w:right w:val="single" w:sz="4" w:space="0" w:color="auto"/>
            </w:tcBorders>
            <w:vAlign w:val="center"/>
            <w:hideMark/>
          </w:tcPr>
          <w:p w14:paraId="4EF83CE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446E2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04222D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402C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CE8D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7AC3B3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في المدن الذكية</w:t>
            </w:r>
          </w:p>
        </w:tc>
      </w:tr>
      <w:tr w:rsidR="002B52AC" w:rsidRPr="002B52AC" w14:paraId="413F307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744DA5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Gil-Garcia et al. (2018)</w:t>
            </w:r>
          </w:p>
        </w:tc>
        <w:tc>
          <w:tcPr>
            <w:tcW w:w="1247" w:type="dxa"/>
            <w:tcBorders>
              <w:top w:val="nil"/>
              <w:left w:val="single" w:sz="4" w:space="0" w:color="auto"/>
              <w:bottom w:val="single" w:sz="4" w:space="0" w:color="auto"/>
              <w:right w:val="single" w:sz="4" w:space="0" w:color="auto"/>
            </w:tcBorders>
            <w:vAlign w:val="center"/>
            <w:hideMark/>
          </w:tcPr>
          <w:p w14:paraId="5778155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4D7821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A7BF18"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05AE1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942B8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457395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الرقمية والمدن الذكية</w:t>
            </w:r>
          </w:p>
        </w:tc>
      </w:tr>
      <w:tr w:rsidR="002B52AC" w:rsidRPr="002B52AC" w14:paraId="59105D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032529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Almulhim &amp; Yigitcanlar (2025)</w:t>
            </w:r>
          </w:p>
        </w:tc>
        <w:tc>
          <w:tcPr>
            <w:tcW w:w="1247" w:type="dxa"/>
            <w:tcBorders>
              <w:top w:val="nil"/>
              <w:left w:val="single" w:sz="4" w:space="0" w:color="auto"/>
              <w:bottom w:val="single" w:sz="4" w:space="0" w:color="auto"/>
              <w:right w:val="single" w:sz="4" w:space="0" w:color="auto"/>
            </w:tcBorders>
            <w:vAlign w:val="center"/>
            <w:hideMark/>
          </w:tcPr>
          <w:p w14:paraId="1597482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7B76C6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2C5ED9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E390C6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D9DB4F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635627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الحوكمة الذكية والتنمية المستدامة</w:t>
            </w:r>
          </w:p>
        </w:tc>
      </w:tr>
      <w:tr w:rsidR="002B52AC" w:rsidRPr="002B52AC" w14:paraId="046BD7F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D0ACC6"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Hujran et al. (2023)</w:t>
            </w:r>
          </w:p>
        </w:tc>
        <w:tc>
          <w:tcPr>
            <w:tcW w:w="1247" w:type="dxa"/>
            <w:tcBorders>
              <w:top w:val="nil"/>
              <w:left w:val="single" w:sz="4" w:space="0" w:color="auto"/>
              <w:bottom w:val="single" w:sz="4" w:space="0" w:color="auto"/>
              <w:right w:val="single" w:sz="4" w:space="0" w:color="auto"/>
            </w:tcBorders>
            <w:vAlign w:val="center"/>
            <w:hideMark/>
          </w:tcPr>
          <w:p w14:paraId="57810B3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97E3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107FC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602A6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EA7040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8523298"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نحو الحكومة الذكية</w:t>
            </w:r>
          </w:p>
        </w:tc>
      </w:tr>
      <w:tr w:rsidR="002B52AC" w:rsidRPr="002B52AC" w14:paraId="3BDB330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84839F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Alajmi et al. (2023)</w:t>
            </w:r>
          </w:p>
        </w:tc>
        <w:tc>
          <w:tcPr>
            <w:tcW w:w="1247" w:type="dxa"/>
            <w:tcBorders>
              <w:top w:val="nil"/>
              <w:left w:val="single" w:sz="4" w:space="0" w:color="auto"/>
              <w:bottom w:val="single" w:sz="4" w:space="0" w:color="auto"/>
              <w:right w:val="single" w:sz="4" w:space="0" w:color="auto"/>
            </w:tcBorders>
            <w:vAlign w:val="center"/>
            <w:hideMark/>
          </w:tcPr>
          <w:p w14:paraId="45E413B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D537A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3C5229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CDC12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786A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28E659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الحكومة الذكية في السعودية</w:t>
            </w:r>
          </w:p>
        </w:tc>
      </w:tr>
      <w:tr w:rsidR="002B52AC" w:rsidRPr="002B52AC" w14:paraId="3ADB246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340AA91"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El-Akruti et al. (2013)</w:t>
            </w:r>
          </w:p>
        </w:tc>
        <w:tc>
          <w:tcPr>
            <w:tcW w:w="1247" w:type="dxa"/>
            <w:tcBorders>
              <w:top w:val="nil"/>
              <w:left w:val="single" w:sz="4" w:space="0" w:color="auto"/>
              <w:bottom w:val="single" w:sz="4" w:space="0" w:color="auto"/>
              <w:right w:val="single" w:sz="4" w:space="0" w:color="auto"/>
            </w:tcBorders>
            <w:vAlign w:val="center"/>
            <w:hideMark/>
          </w:tcPr>
          <w:p w14:paraId="42DC6A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CEF551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4A05F5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75B25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46ABF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740C53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الاستراتيجية</w:t>
            </w:r>
          </w:p>
        </w:tc>
      </w:tr>
      <w:tr w:rsidR="002B52AC" w:rsidRPr="002B52AC" w14:paraId="7D665930"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40F5CB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lastRenderedPageBreak/>
              <w:t>Hastings (2021)</w:t>
            </w:r>
          </w:p>
        </w:tc>
        <w:tc>
          <w:tcPr>
            <w:tcW w:w="1247" w:type="dxa"/>
            <w:tcBorders>
              <w:top w:val="nil"/>
              <w:left w:val="single" w:sz="4" w:space="0" w:color="auto"/>
              <w:bottom w:val="single" w:sz="4" w:space="0" w:color="auto"/>
              <w:right w:val="single" w:sz="4" w:space="0" w:color="auto"/>
            </w:tcBorders>
            <w:vAlign w:val="center"/>
            <w:hideMark/>
          </w:tcPr>
          <w:p w14:paraId="5C64397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FD361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0FE79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357023"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21BE3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2F1B2D5"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الأصول الفيزيائية</w:t>
            </w:r>
          </w:p>
        </w:tc>
      </w:tr>
      <w:tr w:rsidR="002B52AC" w:rsidRPr="002B52AC" w14:paraId="31160E1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5A786F0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Vial (2019)</w:t>
            </w:r>
          </w:p>
        </w:tc>
        <w:tc>
          <w:tcPr>
            <w:tcW w:w="1247" w:type="dxa"/>
            <w:tcBorders>
              <w:top w:val="nil"/>
              <w:left w:val="single" w:sz="4" w:space="0" w:color="auto"/>
              <w:bottom w:val="single" w:sz="4" w:space="0" w:color="auto"/>
              <w:right w:val="single" w:sz="4" w:space="0" w:color="auto"/>
            </w:tcBorders>
            <w:vAlign w:val="center"/>
            <w:hideMark/>
          </w:tcPr>
          <w:p w14:paraId="59489BF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950C1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DFD4CE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97D355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374B7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FA8FD9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المؤسسات</w:t>
            </w:r>
          </w:p>
        </w:tc>
      </w:tr>
      <w:tr w:rsidR="002B52AC" w:rsidRPr="002B52AC" w14:paraId="78AFE7A1"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6270F40"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Kraus et al. (2021)</w:t>
            </w:r>
          </w:p>
        </w:tc>
        <w:tc>
          <w:tcPr>
            <w:tcW w:w="1247" w:type="dxa"/>
            <w:tcBorders>
              <w:top w:val="nil"/>
              <w:left w:val="single" w:sz="4" w:space="0" w:color="auto"/>
              <w:bottom w:val="single" w:sz="4" w:space="0" w:color="auto"/>
              <w:right w:val="single" w:sz="4" w:space="0" w:color="auto"/>
            </w:tcBorders>
            <w:vAlign w:val="center"/>
            <w:hideMark/>
          </w:tcPr>
          <w:p w14:paraId="1380D90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111AB2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E0661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4BA4A0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9B743D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B35426"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r w:rsidR="002B52AC" w:rsidRPr="002B52AC" w14:paraId="0C1B7A19"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F5603AD"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Mergel et al. (2019)</w:t>
            </w:r>
          </w:p>
        </w:tc>
        <w:tc>
          <w:tcPr>
            <w:tcW w:w="1247" w:type="dxa"/>
            <w:tcBorders>
              <w:top w:val="nil"/>
              <w:left w:val="single" w:sz="4" w:space="0" w:color="auto"/>
              <w:bottom w:val="single" w:sz="4" w:space="0" w:color="auto"/>
              <w:right w:val="single" w:sz="4" w:space="0" w:color="auto"/>
            </w:tcBorders>
            <w:vAlign w:val="center"/>
            <w:hideMark/>
          </w:tcPr>
          <w:p w14:paraId="71D7C4C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A625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FB38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5B3CC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DBA808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36E1B64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في القطاع العام</w:t>
            </w:r>
          </w:p>
        </w:tc>
      </w:tr>
      <w:tr w:rsidR="002B52AC" w:rsidRPr="002B52AC" w14:paraId="44CE730F"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27C78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Fuller et al. (2020)</w:t>
            </w:r>
          </w:p>
        </w:tc>
        <w:tc>
          <w:tcPr>
            <w:tcW w:w="1247" w:type="dxa"/>
            <w:tcBorders>
              <w:top w:val="nil"/>
              <w:left w:val="single" w:sz="4" w:space="0" w:color="auto"/>
              <w:bottom w:val="single" w:sz="4" w:space="0" w:color="auto"/>
              <w:right w:val="single" w:sz="4" w:space="0" w:color="auto"/>
            </w:tcBorders>
            <w:vAlign w:val="center"/>
            <w:hideMark/>
          </w:tcPr>
          <w:p w14:paraId="321F6E7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ADCFFC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B4D528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062F73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B265A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9F2706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w:t>
            </w:r>
          </w:p>
        </w:tc>
      </w:tr>
      <w:tr w:rsidR="002B52AC" w:rsidRPr="002B52AC" w14:paraId="112C5E8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3F20F245"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Zhang et al. (2023)</w:t>
            </w:r>
          </w:p>
        </w:tc>
        <w:tc>
          <w:tcPr>
            <w:tcW w:w="1247" w:type="dxa"/>
            <w:tcBorders>
              <w:top w:val="nil"/>
              <w:left w:val="single" w:sz="4" w:space="0" w:color="auto"/>
              <w:bottom w:val="single" w:sz="4" w:space="0" w:color="auto"/>
              <w:right w:val="single" w:sz="4" w:space="0" w:color="auto"/>
            </w:tcBorders>
            <w:vAlign w:val="center"/>
            <w:hideMark/>
          </w:tcPr>
          <w:p w14:paraId="6DFB298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7748EB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D949DC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975F98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F314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17784BE"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التوأم الرقمي في المياه</w:t>
            </w:r>
          </w:p>
        </w:tc>
      </w:tr>
      <w:tr w:rsidR="002B52AC" w:rsidRPr="002B52AC" w14:paraId="6B0AA856"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E33B52A"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Quintana et al. (2025)</w:t>
            </w:r>
          </w:p>
        </w:tc>
        <w:tc>
          <w:tcPr>
            <w:tcW w:w="1247" w:type="dxa"/>
            <w:tcBorders>
              <w:top w:val="nil"/>
              <w:left w:val="single" w:sz="4" w:space="0" w:color="auto"/>
              <w:bottom w:val="single" w:sz="4" w:space="0" w:color="auto"/>
              <w:right w:val="single" w:sz="4" w:space="0" w:color="auto"/>
            </w:tcBorders>
            <w:vAlign w:val="center"/>
            <w:hideMark/>
          </w:tcPr>
          <w:p w14:paraId="50B9EEB7"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07B009"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8FCA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0021D30"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C2697F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6FA0132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أنظمة المياه الذكية</w:t>
            </w:r>
          </w:p>
        </w:tc>
      </w:tr>
      <w:tr w:rsidR="002B52AC" w:rsidRPr="002B52AC" w14:paraId="11B2DD2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2E8D2D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Dai et al. (2025)</w:t>
            </w:r>
          </w:p>
        </w:tc>
        <w:tc>
          <w:tcPr>
            <w:tcW w:w="1247" w:type="dxa"/>
            <w:tcBorders>
              <w:top w:val="nil"/>
              <w:left w:val="single" w:sz="4" w:space="0" w:color="auto"/>
              <w:bottom w:val="single" w:sz="4" w:space="0" w:color="auto"/>
              <w:right w:val="single" w:sz="4" w:space="0" w:color="auto"/>
            </w:tcBorders>
            <w:vAlign w:val="center"/>
            <w:hideMark/>
          </w:tcPr>
          <w:p w14:paraId="08EE709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E61C71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208C36"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3AFC3F1"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FCC39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03E8B6A0"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الذكية</w:t>
            </w:r>
          </w:p>
        </w:tc>
      </w:tr>
      <w:tr w:rsidR="002B52AC" w:rsidRPr="002B52AC" w14:paraId="2BFC7B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5DA465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Geissdoerfer et al. (2017)</w:t>
            </w:r>
          </w:p>
        </w:tc>
        <w:tc>
          <w:tcPr>
            <w:tcW w:w="1247" w:type="dxa"/>
            <w:tcBorders>
              <w:top w:val="nil"/>
              <w:left w:val="single" w:sz="4" w:space="0" w:color="auto"/>
              <w:bottom w:val="single" w:sz="4" w:space="0" w:color="auto"/>
              <w:right w:val="single" w:sz="4" w:space="0" w:color="auto"/>
            </w:tcBorders>
            <w:vAlign w:val="center"/>
            <w:hideMark/>
          </w:tcPr>
          <w:p w14:paraId="71C9E53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96AD50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27C59EB"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792726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83C823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45C1774"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الاقتصاد الدائري</w:t>
            </w:r>
          </w:p>
        </w:tc>
      </w:tr>
      <w:tr w:rsidR="002B52AC" w:rsidRPr="002B52AC" w14:paraId="7578A1B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0229BEF"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Smol et al. (2020)</w:t>
            </w:r>
          </w:p>
        </w:tc>
        <w:tc>
          <w:tcPr>
            <w:tcW w:w="1247" w:type="dxa"/>
            <w:tcBorders>
              <w:top w:val="nil"/>
              <w:left w:val="single" w:sz="4" w:space="0" w:color="auto"/>
              <w:bottom w:val="single" w:sz="4" w:space="0" w:color="auto"/>
              <w:right w:val="single" w:sz="4" w:space="0" w:color="auto"/>
            </w:tcBorders>
            <w:vAlign w:val="center"/>
            <w:hideMark/>
          </w:tcPr>
          <w:p w14:paraId="1AC4D6C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C6F3CB3"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278544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D46ED6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50F7E8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E76250F"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 في المياه</w:t>
            </w:r>
          </w:p>
        </w:tc>
      </w:tr>
      <w:tr w:rsidR="002B52AC" w:rsidRPr="002B52AC" w14:paraId="34B95BED"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FE1C214"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Butler et al. (2014)</w:t>
            </w:r>
          </w:p>
        </w:tc>
        <w:tc>
          <w:tcPr>
            <w:tcW w:w="1247" w:type="dxa"/>
            <w:tcBorders>
              <w:top w:val="nil"/>
              <w:left w:val="single" w:sz="4" w:space="0" w:color="auto"/>
              <w:bottom w:val="single" w:sz="4" w:space="0" w:color="auto"/>
              <w:right w:val="single" w:sz="4" w:space="0" w:color="auto"/>
            </w:tcBorders>
            <w:vAlign w:val="center"/>
            <w:hideMark/>
          </w:tcPr>
          <w:p w14:paraId="02DF3AD5"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8E0AE6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E8EB77F"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22886E"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D8E98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B84E7B1"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إدارة المياه المستدامة</w:t>
            </w:r>
          </w:p>
        </w:tc>
      </w:tr>
      <w:tr w:rsidR="002B52AC" w:rsidRPr="002B52AC" w14:paraId="05D625B5"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460858DB"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Elkington (1997)</w:t>
            </w:r>
          </w:p>
        </w:tc>
        <w:tc>
          <w:tcPr>
            <w:tcW w:w="1247" w:type="dxa"/>
            <w:tcBorders>
              <w:top w:val="nil"/>
              <w:left w:val="single" w:sz="4" w:space="0" w:color="auto"/>
              <w:bottom w:val="single" w:sz="4" w:space="0" w:color="auto"/>
              <w:right w:val="single" w:sz="4" w:space="0" w:color="auto"/>
            </w:tcBorders>
            <w:vAlign w:val="center"/>
            <w:hideMark/>
          </w:tcPr>
          <w:p w14:paraId="4945A78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0386A9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F5EE5F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A857BE"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33B04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A1F824A"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الاستدامة</w:t>
            </w:r>
          </w:p>
        </w:tc>
      </w:tr>
      <w:tr w:rsidR="002B52AC" w:rsidRPr="002B52AC" w14:paraId="2EC89652"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0371358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Porter &amp; Kramer (2011)</w:t>
            </w:r>
          </w:p>
        </w:tc>
        <w:tc>
          <w:tcPr>
            <w:tcW w:w="1247" w:type="dxa"/>
            <w:tcBorders>
              <w:top w:val="nil"/>
              <w:left w:val="single" w:sz="4" w:space="0" w:color="auto"/>
              <w:bottom w:val="single" w:sz="4" w:space="0" w:color="auto"/>
              <w:right w:val="single" w:sz="4" w:space="0" w:color="auto"/>
            </w:tcBorders>
            <w:vAlign w:val="center"/>
            <w:hideMark/>
          </w:tcPr>
          <w:p w14:paraId="291FF67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A3E9BA1"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EE5410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1BFBDB8C"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239F7"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441683B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القيمة المشتركة</w:t>
            </w:r>
          </w:p>
        </w:tc>
      </w:tr>
      <w:tr w:rsidR="002B52AC" w:rsidRPr="002B52AC" w14:paraId="53F62F9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03B8527"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Richard et al. (2009)</w:t>
            </w:r>
          </w:p>
        </w:tc>
        <w:tc>
          <w:tcPr>
            <w:tcW w:w="1247" w:type="dxa"/>
            <w:tcBorders>
              <w:top w:val="nil"/>
              <w:left w:val="single" w:sz="4" w:space="0" w:color="auto"/>
              <w:bottom w:val="single" w:sz="4" w:space="0" w:color="auto"/>
              <w:right w:val="single" w:sz="4" w:space="0" w:color="auto"/>
            </w:tcBorders>
            <w:vAlign w:val="center"/>
            <w:hideMark/>
          </w:tcPr>
          <w:p w14:paraId="6670204D"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69422D4"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C091EB2"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4EB59EB"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03E5829D"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16D0666D"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الأداء المؤسسي</w:t>
            </w:r>
          </w:p>
        </w:tc>
      </w:tr>
      <w:tr w:rsidR="002B52AC" w:rsidRPr="002B52AC" w14:paraId="508BD743"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268BFB49"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Melnyk et al. (2014)</w:t>
            </w:r>
          </w:p>
        </w:tc>
        <w:tc>
          <w:tcPr>
            <w:tcW w:w="1247" w:type="dxa"/>
            <w:tcBorders>
              <w:top w:val="nil"/>
              <w:left w:val="single" w:sz="4" w:space="0" w:color="auto"/>
              <w:bottom w:val="single" w:sz="4" w:space="0" w:color="auto"/>
              <w:right w:val="single" w:sz="4" w:space="0" w:color="auto"/>
            </w:tcBorders>
            <w:vAlign w:val="center"/>
            <w:hideMark/>
          </w:tcPr>
          <w:p w14:paraId="6333F409"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B25F946"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AD8E3D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DAABC00"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9FB2B9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23C4D0D2"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قياس الأداء المؤسسي</w:t>
            </w:r>
          </w:p>
        </w:tc>
      </w:tr>
      <w:tr w:rsidR="002B52AC" w:rsidRPr="002B52AC" w14:paraId="6CAAAA7E"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1FCE106A"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العابد (2024)</w:t>
            </w:r>
          </w:p>
        </w:tc>
        <w:tc>
          <w:tcPr>
            <w:tcW w:w="1247" w:type="dxa"/>
            <w:tcBorders>
              <w:top w:val="nil"/>
              <w:left w:val="single" w:sz="4" w:space="0" w:color="auto"/>
              <w:bottom w:val="single" w:sz="4" w:space="0" w:color="auto"/>
              <w:right w:val="single" w:sz="4" w:space="0" w:color="auto"/>
            </w:tcBorders>
            <w:vAlign w:val="center"/>
            <w:hideMark/>
          </w:tcPr>
          <w:p w14:paraId="3F587BA3"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08C00D8"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5609362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3A6EA41F"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419B1712"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75D0F743"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والاستدامة</w:t>
            </w:r>
          </w:p>
        </w:tc>
      </w:tr>
      <w:tr w:rsidR="002B52AC" w:rsidRPr="002B52AC" w14:paraId="17F1A61B" w14:textId="77777777" w:rsidTr="007E0E57">
        <w:trPr>
          <w:trHeight w:val="567"/>
        </w:trPr>
        <w:tc>
          <w:tcPr>
            <w:tcW w:w="1476" w:type="dxa"/>
            <w:tcBorders>
              <w:top w:val="nil"/>
              <w:left w:val="single" w:sz="4" w:space="0" w:color="auto"/>
              <w:bottom w:val="single" w:sz="4" w:space="0" w:color="auto"/>
              <w:right w:val="single" w:sz="4" w:space="0" w:color="auto"/>
            </w:tcBorders>
            <w:vAlign w:val="center"/>
            <w:hideMark/>
          </w:tcPr>
          <w:p w14:paraId="6A5B8601" w14:textId="77777777" w:rsidR="002B52AC" w:rsidRPr="002B52AC" w:rsidRDefault="002B52AC" w:rsidP="002B52AC">
            <w:pPr>
              <w:bidi/>
              <w:spacing w:after="0" w:line="240" w:lineRule="auto"/>
              <w:jc w:val="center"/>
              <w:rPr>
                <w:rFonts w:ascii="Arial" w:eastAsia="Times New Roman" w:hAnsi="Arial" w:cs="Arial"/>
                <w:color w:val="000000"/>
                <w:rtl/>
              </w:rPr>
            </w:pPr>
            <w:r>
              <w:rPr>
                <w:rFonts w:ascii="Arial" w:eastAsia="Times New Roman" w:hAnsi="Arial" w:cs="Arial"/>
                <w:color w:val="000000"/>
                <w:rtl/>
              </w:rPr>
              <w:t>عبدالراضي (2020)</w:t>
            </w:r>
          </w:p>
        </w:tc>
        <w:tc>
          <w:tcPr>
            <w:tcW w:w="1247" w:type="dxa"/>
            <w:tcBorders>
              <w:top w:val="nil"/>
              <w:left w:val="single" w:sz="4" w:space="0" w:color="auto"/>
              <w:bottom w:val="single" w:sz="4" w:space="0" w:color="auto"/>
              <w:right w:val="single" w:sz="4" w:space="0" w:color="auto"/>
            </w:tcBorders>
            <w:vAlign w:val="center"/>
            <w:hideMark/>
          </w:tcPr>
          <w:p w14:paraId="5430B34C" w14:textId="77777777" w:rsidR="002B52AC" w:rsidRPr="002B52AC" w:rsidRDefault="002B52AC" w:rsidP="002B52AC">
            <w:pPr>
              <w:spacing w:after="0" w:line="240" w:lineRule="auto"/>
              <w:jc w:val="center"/>
              <w:rPr>
                <w:rFonts w:ascii="Arial" w:eastAsia="Times New Roman" w:hAnsi="Arial" w:cs="Arial"/>
                <w:color w:val="000000"/>
                <w:rtl/>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B5B49C4"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247" w:type="dxa"/>
            <w:tcBorders>
              <w:top w:val="nil"/>
              <w:left w:val="single" w:sz="4" w:space="0" w:color="auto"/>
              <w:bottom w:val="single" w:sz="4" w:space="0" w:color="auto"/>
              <w:right w:val="single" w:sz="4" w:space="0" w:color="auto"/>
            </w:tcBorders>
            <w:vAlign w:val="center"/>
            <w:hideMark/>
          </w:tcPr>
          <w:p w14:paraId="2829D845"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685A907A" w14:textId="77777777" w:rsidR="002B52AC" w:rsidRPr="002B52AC" w:rsidRDefault="002B52AC" w:rsidP="002B52AC">
            <w:pPr>
              <w:spacing w:after="0" w:line="240" w:lineRule="auto"/>
              <w:jc w:val="center"/>
              <w:rPr>
                <w:rFonts w:ascii="Arial" w:eastAsia="Times New Roman" w:hAnsi="Arial" w:cs="Arial"/>
                <w:color w:val="000000"/>
              </w:rPr>
            </w:pPr>
            <w:r>
              <w:rPr>
                <w:rFonts w:ascii="Arial" w:eastAsia="Times New Roman" w:hAnsi="Arial" w:cs="Arial"/>
                <w:color w:val="000000"/>
              </w:rPr>
              <w:t>–</w:t>
            </w:r>
          </w:p>
        </w:tc>
        <w:tc>
          <w:tcPr>
            <w:tcW w:w="1247" w:type="dxa"/>
            <w:tcBorders>
              <w:top w:val="nil"/>
              <w:left w:val="single" w:sz="4" w:space="0" w:color="auto"/>
              <w:bottom w:val="single" w:sz="4" w:space="0" w:color="auto"/>
              <w:right w:val="single" w:sz="4" w:space="0" w:color="auto"/>
            </w:tcBorders>
            <w:vAlign w:val="center"/>
            <w:hideMark/>
          </w:tcPr>
          <w:p w14:paraId="7565881C" w14:textId="77777777" w:rsidR="002B52AC" w:rsidRPr="002B52AC" w:rsidRDefault="002B52AC" w:rsidP="002B52AC">
            <w:pPr>
              <w:spacing w:after="0" w:line="240" w:lineRule="auto"/>
              <w:jc w:val="center"/>
              <w:rPr>
                <w:rFonts w:ascii="Arial" w:eastAsia="Times New Roman" w:hAnsi="Arial" w:cs="Arial"/>
                <w:color w:val="000000"/>
              </w:rPr>
            </w:pPr>
            <w:r>
              <w:rPr>
                <w:rFonts w:ascii="Segoe UI Symbol" w:eastAsia="Times New Roman" w:hAnsi="Segoe UI Symbol" w:cs="Segoe UI Symbol"/>
                <w:color w:val="000000"/>
              </w:rPr>
              <w:t>✔</w:t>
            </w:r>
          </w:p>
        </w:tc>
        <w:tc>
          <w:tcPr>
            <w:tcW w:w="1493" w:type="dxa"/>
            <w:tcBorders>
              <w:top w:val="nil"/>
              <w:left w:val="single" w:sz="4" w:space="0" w:color="auto"/>
              <w:bottom w:val="single" w:sz="4" w:space="0" w:color="auto"/>
              <w:right w:val="single" w:sz="4" w:space="0" w:color="auto"/>
            </w:tcBorders>
            <w:vAlign w:val="center"/>
            <w:hideMark/>
          </w:tcPr>
          <w:p w14:paraId="53239AAC" w14:textId="77777777" w:rsidR="002B52AC" w:rsidRPr="002B52AC" w:rsidRDefault="002B52AC" w:rsidP="002B52AC">
            <w:pPr>
              <w:bidi/>
              <w:spacing w:after="0" w:line="240" w:lineRule="auto"/>
              <w:jc w:val="center"/>
              <w:rPr>
                <w:rFonts w:ascii="Arial" w:eastAsia="Times New Roman" w:hAnsi="Arial" w:cs="Arial"/>
                <w:color w:val="000000"/>
              </w:rPr>
            </w:pPr>
            <w:r>
              <w:rPr>
                <w:rFonts w:ascii="Arial" w:eastAsia="Times New Roman" w:hAnsi="Arial" w:cs="Arial"/>
                <w:color w:val="000000"/>
                <w:rtl/>
              </w:rPr>
              <w:t>التحول الرقمي والأداء المؤسسي</w:t>
            </w:r>
          </w:p>
        </w:tc>
      </w:tr>
    </w:tbl>
    <w:p w14:paraId="53E4F0E5" w14:textId="77777777" w:rsidR="00540CDD" w:rsidRDefault="00540CDD" w:rsidP="00540CDD">
      <w:pPr>
        <w:pStyle w:val="ListParagraph"/>
        <w:bidi/>
        <w:spacing w:line="278" w:lineRule="auto"/>
        <w:ind w:left="0"/>
        <w:jc w:val="both"/>
        <w:rPr>
          <w:rFonts w:ascii="Traditional Arabic" w:hAnsi="Traditional Arabic" w:cs="Traditional Arabic"/>
          <w:b/>
          <w:bCs/>
          <w:sz w:val="28"/>
          <w:szCs w:val="28"/>
          <w:rtl/>
        </w:rPr>
      </w:pPr>
    </w:p>
    <w:p w14:paraId="249890AF" w14:textId="77777777" w:rsidR="000C19EE" w:rsidRPr="00540CDD" w:rsidRDefault="000C19EE" w:rsidP="000C19EE">
      <w:pPr>
        <w:pStyle w:val="ListParagraph"/>
        <w:bidi/>
        <w:spacing w:line="278" w:lineRule="auto"/>
        <w:jc w:val="both"/>
        <w:rPr>
          <w:rFonts w:ascii="Traditional Arabic" w:hAnsi="Traditional Arabic" w:cs="Traditional Arabic"/>
          <w:b/>
          <w:bCs/>
          <w:sz w:val="28"/>
          <w:szCs w:val="28"/>
        </w:rPr>
      </w:pPr>
      <w:r>
        <w:rPr>
          <w:rFonts w:ascii="Segoe UI Symbol" w:hAnsi="Segoe UI Symbol" w:cs="Segoe UI Symbol"/>
          <w:b/>
          <w:bCs/>
          <w:sz w:val="28"/>
          <w:szCs w:val="28"/>
        </w:rPr>
        <w:t>✔</w:t>
      </w:r>
      <w:r>
        <w:rPr>
          <w:rFonts w:ascii="Traditional Arabic" w:hAnsi="Traditional Arabic" w:cs="Traditional Arabic"/>
          <w:b/>
          <w:bCs/>
          <w:sz w:val="28"/>
          <w:szCs w:val="28"/>
        </w:rPr>
        <w:t xml:space="preserve"> = </w:t>
      </w:r>
      <w:r>
        <w:rPr>
          <w:rFonts w:ascii="Traditional Arabic" w:hAnsi="Traditional Arabic" w:cs="Traditional Arabic"/>
          <w:b/>
          <w:bCs/>
          <w:sz w:val="28"/>
          <w:szCs w:val="28"/>
          <w:rtl/>
        </w:rPr>
        <w:t>تناولت الدراسة المتغير</w:t>
      </w:r>
    </w:p>
    <w:p w14:paraId="2C2891BD" w14:textId="77777777" w:rsidR="006D5E08" w:rsidRPr="00DD73BF" w:rsidRDefault="006D5E08" w:rsidP="006D5E08">
      <w:pPr>
        <w:pStyle w:val="ListParagraph"/>
        <w:bidi/>
        <w:spacing w:line="278" w:lineRule="auto"/>
        <w:ind w:left="0"/>
        <w:jc w:val="both"/>
        <w:rPr>
          <w:rFonts w:ascii="Traditional Arabic" w:hAnsi="Traditional Arabic" w:cs="Traditional Arabic"/>
          <w:b/>
          <w:bCs/>
          <w:sz w:val="28"/>
          <w:szCs w:val="28"/>
        </w:rPr>
      </w:pPr>
    </w:p>
    <w:p w14:paraId="4F4B70EF" w14:textId="6A640FF8" w:rsidR="006D40D0" w:rsidRPr="006D40D0" w:rsidRDefault="00B5427B" w:rsidP="00631A3A">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w:t>
      </w:r>
      <w:r>
        <w:rPr>
          <w:rFonts w:ascii="Traditional Arabic" w:hAnsi="Traditional Arabic" w:cs="Traditional Arabic"/>
          <w:b/>
          <w:bCs/>
          <w:sz w:val="28"/>
          <w:szCs w:val="28"/>
          <w:rtl/>
        </w:rPr>
        <w:t>لتحليل النقدي التكاملـي للأدبيات وتحديد الفجوة البحثية في حوكمة أصول البنية التحتية المائية</w:t>
      </w:r>
    </w:p>
    <w:p w14:paraId="1C38714B"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أولًا: التحليل النقدي التكاملـي للأدبيات</w:t>
      </w:r>
    </w:p>
    <w:p w14:paraId="5EA4347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 xml:space="preserve">تشير مراجعة الأدبيات العلمية المرتبطة بموضوع الدراسة إلى تنامي الاهتمام البحثي بقضايا التحول الرقمي والحوكمة المؤسسية والاستدامة وإدارة الأصول والأداء المؤسسي خلال السنوات الأخيرة، خاصة في القطاعات الخدمية والبنية التحتية. إلا أن هذا الاهتمام البحثي، </w:t>
      </w:r>
      <w:r>
        <w:rPr>
          <w:rFonts w:ascii="Traditional Arabic" w:hAnsi="Traditional Arabic" w:cs="Traditional Arabic"/>
          <w:sz w:val="28"/>
          <w:szCs w:val="28"/>
          <w:rtl/>
        </w:rPr>
        <w:lastRenderedPageBreak/>
        <w:t>على الرغم من اتساعه، اتسم في كثير من الأحيان بالطابع الجزئي أو القطاعي، حيث ركزت معظم الدراسات على تناول هذه المتغيرات بصورة منفصلة أو ضمن نماذج تحليلية محدودة لا تعكس طبيعة التفاعل المعقد بينها في البيئات التشغيلية المعاصرة</w:t>
      </w:r>
      <w:r>
        <w:rPr>
          <w:rFonts w:ascii="Traditional Arabic" w:hAnsi="Traditional Arabic" w:cs="Traditional Arabic"/>
          <w:sz w:val="28"/>
          <w:szCs w:val="28"/>
        </w:rPr>
        <w:t>.</w:t>
      </w:r>
    </w:p>
    <w:p w14:paraId="5C7D5E3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ففيما يتعلق بمحور الحوكمة الذكية، ركزت العديد من الدراسات على تحليل أبعاد الحوكمة الرقمية وأدوارها في تعزيز الشفافية وتحسين كفاءة الإدارة العامة، إلا أن معظم هذه الدراسات تناولت الحوكمة الذكية في سياقات حضرية أو إدارية عامة، دون اختبار دورها في إدارة أصول البنية التحتية أو تحليل أثرها في سلامة الأصول وكفاءة تشغيلها</w:t>
      </w:r>
      <w:r>
        <w:rPr>
          <w:rFonts w:ascii="Traditional Arabic" w:hAnsi="Traditional Arabic" w:cs="Traditional Arabic"/>
          <w:sz w:val="28"/>
          <w:szCs w:val="28"/>
        </w:rPr>
        <w:t>.</w:t>
      </w:r>
    </w:p>
    <w:p w14:paraId="50957D63"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إدارة الأصول، فقد ركزت الأدبيات التقليدية على إدارة دورة حياة الأصول وتقليل المخاطر التشغيلية وتعظيم القيمة الاقتصادية للأصول، بينما بدأت الدراسات الحديثة في إدخال التقنيات الرقمية لتعزيز كفاءة إدارة الأصول وموثوقيتها. ومع ذلك، ظل الربط بين إدارة الأصول والحوكمة الذكية محدودًا، كما لم يتم تناول سلامة الأصول بوصفها متغيرًا وسيطًا يفسر العلاقة بين التحول الرقمي والأداء المؤسسي</w:t>
      </w:r>
      <w:r>
        <w:rPr>
          <w:rFonts w:ascii="Traditional Arabic" w:hAnsi="Traditional Arabic" w:cs="Traditional Arabic"/>
          <w:sz w:val="28"/>
          <w:szCs w:val="28"/>
        </w:rPr>
        <w:t>.</w:t>
      </w:r>
    </w:p>
    <w:p w14:paraId="11F82B64"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التحول الرقمي في قطاع المياه، فقد أكدت العديد من الدراسات فاعلية التقنيات الرقمية مثل أنظمة الاستشعار الذكية والتوأم الرقمي والتحليلات التنبؤية في تحسين كفاءة التشغيل وتقليل الأعطال والفاقد المائي. غير أن هذه الدراسات ركزت في معظمها على البعد التقني للرقمنة، دون تحليل الأطر التنظيمية والحوكمية التي تنظم استخدام البيانات الرقمية وتحولها إلى قرارات تشغيلية واستراتيجية تعزز الأداء المؤسسي</w:t>
      </w:r>
      <w:r>
        <w:rPr>
          <w:rFonts w:ascii="Traditional Arabic" w:hAnsi="Traditional Arabic" w:cs="Traditional Arabic"/>
          <w:sz w:val="28"/>
          <w:szCs w:val="28"/>
        </w:rPr>
        <w:t>.</w:t>
      </w:r>
    </w:p>
    <w:p w14:paraId="78A5486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في محور الاستدامة المؤسسية، فقد أبرزت الأدبيات أهمية دمج الأبعاد البيئية والاقتصادية والاجتماعية في إدارة الموارد المائية لضمان استدامة الخدمات والبنية التحتية على المدى الطويل. ومع ذلك، فإن معظم هذه الدراسات تناولت الاستدامة بوصفها إطارًا معياريًا أو بيئيًا عامًا، دون اختبار علاقتها التشغيلية بسلامة الأصول أو بدورها في تحسين الأداء المؤسسي في المؤسسات كثيفة الأصول</w:t>
      </w:r>
      <w:r>
        <w:rPr>
          <w:rFonts w:ascii="Traditional Arabic" w:hAnsi="Traditional Arabic" w:cs="Traditional Arabic"/>
          <w:sz w:val="28"/>
          <w:szCs w:val="28"/>
        </w:rPr>
        <w:t>.</w:t>
      </w:r>
    </w:p>
    <w:p w14:paraId="77D8B17F"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وفيما يتعلق بمحور الأداء المؤسسي، فقد أكدت الأدبيات أهمية استخدام مؤشرات متعددة الأبعاد لقياس الأداء التنظيمي، تجمع بين المؤشرات المالية والتشغيلية والتنظيمية. إلا أن الربط بين الأداء المؤسسي وكفاءة إدارة الأصول أو التحول الرقمي لا يزال محدودًا في الدراسات التطبيقية، خصوصًا في قطاعات البنية التحتية</w:t>
      </w:r>
      <w:r>
        <w:rPr>
          <w:rFonts w:ascii="Traditional Arabic" w:hAnsi="Traditional Arabic" w:cs="Traditional Arabic"/>
          <w:sz w:val="28"/>
          <w:szCs w:val="28"/>
        </w:rPr>
        <w:t>.</w:t>
      </w:r>
    </w:p>
    <w:p w14:paraId="4F1E59FC"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أما على مستوى السياق المؤسسي في المملكة العربية السعودية، فقد ركزت الدراسات المحلية على تحليل الحوكمة الرقمية وجودة الخدمات الحكومية أو تطبيق التقنيات الذكية في إدارة الموارد المائية. إلا أن هذه الدراسات لم تقدم نموذجًا تحليليًا متكاملًا يفسر العلاقة بين التحول الرقمي والحوكمة الذكية والاستدامة المؤسسية وسلامة الأصول والأداء المؤسسي في قطاع المياه</w:t>
      </w:r>
      <w:r>
        <w:rPr>
          <w:rFonts w:ascii="Traditional Arabic" w:hAnsi="Traditional Arabic" w:cs="Traditional Arabic"/>
          <w:sz w:val="28"/>
          <w:szCs w:val="28"/>
        </w:rPr>
        <w:t>.</w:t>
      </w:r>
    </w:p>
    <w:p w14:paraId="5A6EF455"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ما سبق، يمكن تحديد الفجوة البحثية في غياب نموذج تحليلي كمي متكامل يفسر العلاقات المتبادلة بين التحول الرقمي والحوكمة الذكية والاستدامة المؤسسية وسلامة أصول البنية التحتية والأداء المؤسسي في قطاع المياه، خاصة في السياق المؤسسي في المملكة العربية السعودية</w:t>
      </w:r>
      <w:r>
        <w:rPr>
          <w:rFonts w:ascii="Traditional Arabic" w:hAnsi="Traditional Arabic" w:cs="Traditional Arabic"/>
          <w:sz w:val="28"/>
          <w:szCs w:val="28"/>
        </w:rPr>
        <w:t>.</w:t>
      </w:r>
    </w:p>
    <w:p w14:paraId="6DA04E46" w14:textId="77777777" w:rsidR="00403982" w:rsidRPr="00403982" w:rsidRDefault="00403982" w:rsidP="00403982">
      <w:pPr>
        <w:bidi/>
        <w:jc w:val="both"/>
        <w:rPr>
          <w:rFonts w:ascii="Traditional Arabic" w:hAnsi="Traditional Arabic" w:cs="Traditional Arabic"/>
          <w:sz w:val="28"/>
          <w:szCs w:val="28"/>
        </w:rPr>
      </w:pPr>
      <w:r>
        <w:rPr>
          <w:rFonts w:ascii="Traditional Arabic" w:hAnsi="Traditional Arabic" w:cs="Traditional Arabic"/>
          <w:sz w:val="28"/>
          <w:szCs w:val="28"/>
          <w:rtl/>
        </w:rPr>
        <w:t>ومن ثم، تسعى الدراسة الحالية إلى سد هذه الفجوة من خلال تطوير نموذج حوكمة ذكي لإدارة أصول البنية التحتية المائية يدمج بين التحول الرقمي والاستدامة المؤسسية، ويختبر أثرهما في سلامة الأصول والأداء المؤسسي باستخدام نمذجة المعادلات الهيكلية</w:t>
      </w:r>
      <w:r>
        <w:rPr>
          <w:rFonts w:ascii="Traditional Arabic" w:hAnsi="Traditional Arabic" w:cs="Traditional Arabic"/>
          <w:sz w:val="28"/>
          <w:szCs w:val="28"/>
        </w:rPr>
        <w:t xml:space="preserve"> </w:t>
      </w:r>
      <w:r>
        <w:rPr>
          <w:rFonts w:ascii="Traditional Arabic" w:hAnsi="Traditional Arabic" w:cs="Traditional Arabic"/>
          <w:sz w:val="28"/>
          <w:szCs w:val="28"/>
        </w:rPr>
        <w:lastRenderedPageBreak/>
        <w:t>(SEM/PLS)</w:t>
      </w:r>
      <w:r>
        <w:rPr>
          <w:rFonts w:ascii="Traditional Arabic" w:hAnsi="Traditional Arabic" w:cs="Traditional Arabic"/>
          <w:sz w:val="28"/>
          <w:szCs w:val="28"/>
          <w:rtl/>
        </w:rPr>
        <w:t>، بما يسهم في تقديم إطار تحليلي يدعم تطوير إدارة الأصول في قطاع المياه ويعزز التوجه نحو إدارة أكثر ذكاءً واستدامة للبنية التحتية المائية في المملكة</w:t>
      </w:r>
      <w:r>
        <w:rPr>
          <w:rFonts w:ascii="Traditional Arabic" w:hAnsi="Traditional Arabic" w:cs="Traditional Arabic"/>
          <w:sz w:val="28"/>
          <w:szCs w:val="28"/>
        </w:rPr>
        <w:t>.</w:t>
      </w:r>
    </w:p>
    <w:p w14:paraId="3C6282B0" w14:textId="77777777" w:rsidR="00B5427B" w:rsidRPr="00403982" w:rsidRDefault="00B5427B" w:rsidP="00B5427B">
      <w:pPr>
        <w:bidi/>
        <w:jc w:val="both"/>
        <w:rPr>
          <w:rFonts w:ascii="Traditional Arabic" w:hAnsi="Traditional Arabic" w:cs="Traditional Arabic"/>
          <w:sz w:val="28"/>
          <w:szCs w:val="28"/>
        </w:rPr>
      </w:pPr>
    </w:p>
    <w:p w14:paraId="70D2A7ED"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ثانيًا: أوجه القصور المنهجية في الأدبيات</w:t>
      </w:r>
    </w:p>
    <w:p w14:paraId="5C81330C" w14:textId="77777777" w:rsidR="006D40D0" w:rsidRPr="006D40D0" w:rsidRDefault="006D40D0" w:rsidP="006D40D0">
      <w:pPr>
        <w:bidi/>
        <w:rPr>
          <w:rFonts w:ascii="Traditional Arabic" w:hAnsi="Traditional Arabic" w:cs="Traditional Arabic"/>
          <w:b/>
          <w:bCs/>
          <w:sz w:val="28"/>
          <w:szCs w:val="28"/>
        </w:rPr>
      </w:pPr>
      <w:r>
        <w:rPr>
          <w:rFonts w:ascii="Traditional Arabic" w:hAnsi="Traditional Arabic" w:cs="Traditional Arabic"/>
          <w:b/>
          <w:bCs/>
          <w:sz w:val="28"/>
          <w:szCs w:val="28"/>
          <w:rtl/>
        </w:rPr>
        <w:t>استنادًا إلى التحليل السابق، يمكن تحديد عدد من الملاحظات المنهجية الجوهرية في الأدبيات الحالية:</w:t>
      </w:r>
    </w:p>
    <w:p w14:paraId="63902840"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غلبة الطابع المفاهيمي أو الوصفي، مقابل محدودية الدراسات الكمية السببية.</w:t>
      </w:r>
    </w:p>
    <w:p w14:paraId="2C6517BC"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ضعف توظيف نمذجة المعادلات الهيكلية (</w:t>
      </w:r>
      <w:r>
        <w:rPr>
          <w:rFonts w:ascii="Traditional Arabic" w:hAnsi="Traditional Arabic" w:cs="Traditional Arabic"/>
          <w:sz w:val="28"/>
          <w:szCs w:val="28"/>
        </w:rPr>
        <w:t>SEM/PLS</w:t>
      </w:r>
      <w:r>
        <w:rPr>
          <w:rFonts w:ascii="Traditional Arabic" w:hAnsi="Traditional Arabic" w:cs="Traditional Arabic"/>
          <w:sz w:val="28"/>
          <w:szCs w:val="28"/>
          <w:rtl/>
        </w:rPr>
        <w:t>) لاختبار العلاقات المباشرة وغير المباشرة بين المتغيرات المتداخلة.</w:t>
      </w:r>
    </w:p>
    <w:p w14:paraId="3D4C6422"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معالجة المتغيرات الرئيسة – التحول الرقمي، الحوكمة، الاستدامة، إدارة الأصول، الأداء – بصورة منفصلة دون بناء نموذج تكاملي يفسر تفاعلها البنيوي.</w:t>
      </w:r>
    </w:p>
    <w:p w14:paraId="36AA4837"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محدودية التركيز على قطاع المياه بوصفه قطاعًا عالي الكثافة الرأسمالية وحساسًا تشغيليًا، بما يتطلب مستويات متقدمة من الحوكمة وإدارة المخاطر.</w:t>
      </w:r>
    </w:p>
    <w:p w14:paraId="3DA133FB" w14:textId="77777777" w:rsidR="006D40D0" w:rsidRP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غياب اختبار الحوكمة الذكية كمتغير منظم أو وسيط تفسيري يوضح آلية انتقال أثر الرقمنة والاستدامة إلى النتائج التشغيلية والمؤسسية.</w:t>
      </w:r>
    </w:p>
    <w:p w14:paraId="6C540164" w14:textId="77777777" w:rsidR="006D40D0" w:rsidRDefault="006D40D0" w:rsidP="00B7711D">
      <w:pPr>
        <w:pStyle w:val="ListParagraph"/>
        <w:numPr>
          <w:ilvl w:val="0"/>
          <w:numId w:val="25"/>
        </w:numPr>
        <w:bidi/>
        <w:jc w:val="both"/>
        <w:rPr>
          <w:rFonts w:ascii="Traditional Arabic" w:hAnsi="Traditional Arabic" w:cs="Traditional Arabic"/>
          <w:sz w:val="28"/>
          <w:szCs w:val="28"/>
        </w:rPr>
      </w:pPr>
      <w:r>
        <w:rPr>
          <w:rFonts w:ascii="Traditional Arabic" w:hAnsi="Traditional Arabic" w:cs="Traditional Arabic"/>
          <w:sz w:val="28"/>
          <w:szCs w:val="28"/>
          <w:rtl/>
        </w:rPr>
        <w:t>قلة الدراسات التطبيقية في السياق السعودي التي تجمع بين البعد المؤسسي والتقني ضمن إطار تحليلي قابل للاختبار.</w:t>
      </w:r>
    </w:p>
    <w:p w14:paraId="74E39155" w14:textId="77777777" w:rsidR="00B5427B" w:rsidRPr="006D40D0" w:rsidRDefault="00B5427B" w:rsidP="00B5427B">
      <w:pPr>
        <w:pStyle w:val="ListParagraph"/>
        <w:bidi/>
        <w:jc w:val="both"/>
        <w:rPr>
          <w:rFonts w:ascii="Traditional Arabic" w:hAnsi="Traditional Arabic" w:cs="Traditional Arabic"/>
          <w:sz w:val="28"/>
          <w:szCs w:val="28"/>
        </w:rPr>
      </w:pPr>
    </w:p>
    <w:p w14:paraId="51D84A9E" w14:textId="77777777" w:rsidR="00857EE7" w:rsidRPr="00857EE7" w:rsidRDefault="00857EE7" w:rsidP="00857EE7">
      <w:pPr>
        <w:bidi/>
        <w:rPr>
          <w:rFonts w:ascii="Traditional Arabic" w:hAnsi="Traditional Arabic" w:cs="Traditional Arabic"/>
          <w:b/>
          <w:bCs/>
          <w:sz w:val="28"/>
          <w:szCs w:val="28"/>
          <w:rtl/>
        </w:rPr>
      </w:pPr>
      <w:r>
        <w:rPr>
          <w:rFonts w:ascii="Traditional Arabic" w:hAnsi="Traditional Arabic" w:cs="Traditional Arabic"/>
          <w:b/>
          <w:bCs/>
          <w:sz w:val="28"/>
          <w:szCs w:val="28"/>
          <w:rtl/>
        </w:rPr>
        <w:t>ثالثًا: تحديد الفجوة البحثية</w:t>
      </w:r>
    </w:p>
    <w:p w14:paraId="1F2B68F3" w14:textId="2FEE1306"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hint="cs"/>
          <w:sz w:val="28"/>
          <w:szCs w:val="28"/>
          <w:rtl/>
        </w:rPr>
        <w:t>ع</w:t>
      </w:r>
      <w:r>
        <w:rPr>
          <w:rFonts w:ascii="Traditional Arabic" w:hAnsi="Traditional Arabic" w:cs="Traditional Arabic"/>
          <w:sz w:val="28"/>
          <w:szCs w:val="28"/>
          <w:rtl/>
        </w:rPr>
        <w:t>لى الرغم من التوسع الملحوظ في الأدبيات المتعلقة بالتحول الرقمي، والحوكمة الذكية، وإدارة الأصول، والاستدامة، والأداء المؤسسي، إلا أن التحليل النقدي يكشف عن فجوة بحثية جوهرية تتمثل في غياب نموذج تكاملي يفسر التفاعل البنيوي بين هذه المتغيرات ضمن إطار سببي موحد، خاصة في القطاعات كثيفة الأصول مثل قطاع المياه</w:t>
      </w:r>
      <w:r>
        <w:rPr>
          <w:rFonts w:ascii="Traditional Arabic" w:hAnsi="Traditional Arabic" w:cs="Traditional Arabic"/>
          <w:sz w:val="28"/>
          <w:szCs w:val="28"/>
        </w:rPr>
        <w:t>.</w:t>
      </w:r>
    </w:p>
    <w:p w14:paraId="5F66000D"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فقد عالجت معظم الدراسات هذه المتغيرات بصورة منفصلة أو ثنائية العلاقات، دون اختبار آلية انتقال الأثر من المدخلات الاستراتيجية – كالتحول الرقمي والاستدامة المؤسسية – إلى النتائج المؤسسية النهائية، عبر متغيرات تنظيمية وتشغيلية وسيطة. كما أن الأدبيات لم تختبر بصورة منهجية دور الحوكمة الذكية كآلية تنظيمية تفسيرية تضبط توظيف الرقمنة وتوجهها نحو تعظيم سلامة الأصول وتحسين الأداء المؤسسي</w:t>
      </w:r>
      <w:r>
        <w:rPr>
          <w:rFonts w:ascii="Traditional Arabic" w:hAnsi="Traditional Arabic" w:cs="Traditional Arabic"/>
          <w:sz w:val="28"/>
          <w:szCs w:val="28"/>
        </w:rPr>
        <w:t>.</w:t>
      </w:r>
    </w:p>
    <w:p w14:paraId="671CE164" w14:textId="77777777" w:rsidR="004A560D" w:rsidRPr="004A560D" w:rsidRDefault="004A560D" w:rsidP="004A560D">
      <w:pPr>
        <w:bidi/>
        <w:jc w:val="both"/>
        <w:rPr>
          <w:rFonts w:ascii="Traditional Arabic" w:hAnsi="Traditional Arabic" w:cs="Traditional Arabic"/>
          <w:sz w:val="28"/>
          <w:szCs w:val="28"/>
        </w:rPr>
      </w:pPr>
      <w:r>
        <w:rPr>
          <w:rFonts w:ascii="Traditional Arabic" w:hAnsi="Traditional Arabic" w:cs="Traditional Arabic"/>
          <w:sz w:val="28"/>
          <w:szCs w:val="28"/>
          <w:rtl/>
        </w:rPr>
        <w:t>إضافة إلى ذلك، يلاحظ محدودية الدراسات التي وظفت نمذجة المعادلات الهيكلية</w:t>
      </w:r>
      <w:r>
        <w:rPr>
          <w:rFonts w:ascii="Traditional Arabic" w:hAnsi="Traditional Arabic" w:cs="Traditional Arabic"/>
          <w:sz w:val="28"/>
          <w:szCs w:val="28"/>
        </w:rPr>
        <w:t xml:space="preserve"> (SEM/PLS) </w:t>
      </w:r>
      <w:r>
        <w:rPr>
          <w:rFonts w:ascii="Traditional Arabic" w:hAnsi="Traditional Arabic" w:cs="Traditional Arabic"/>
          <w:sz w:val="28"/>
          <w:szCs w:val="28"/>
          <w:rtl/>
        </w:rPr>
        <w:t>لاختبار العلاقات المباشرة وغير المباشرة بين هذه المتغيرات في قطاع المياه، مع غياب واضح لنماذج تطبيقية في السياق السعودي تعكس خصوصية البيئة المؤسسية والتشغيلية لهذا القطاع الحيوي</w:t>
      </w:r>
      <w:r>
        <w:rPr>
          <w:rFonts w:ascii="Traditional Arabic" w:hAnsi="Traditional Arabic" w:cs="Traditional Arabic"/>
          <w:sz w:val="28"/>
          <w:szCs w:val="28"/>
        </w:rPr>
        <w:t>.</w:t>
      </w:r>
    </w:p>
    <w:p w14:paraId="59FF9E08" w14:textId="77777777" w:rsidR="004A560D" w:rsidRDefault="004A560D" w:rsidP="004A560D">
      <w:pPr>
        <w:bidi/>
        <w:jc w:val="both"/>
        <w:rPr>
          <w:rFonts w:ascii="Traditional Arabic" w:hAnsi="Traditional Arabic" w:cs="Traditional Arabic"/>
          <w:sz w:val="28"/>
          <w:szCs w:val="28"/>
          <w:rtl/>
        </w:rPr>
      </w:pPr>
      <w:r>
        <w:rPr>
          <w:rFonts w:ascii="Traditional Arabic" w:hAnsi="Traditional Arabic" w:cs="Traditional Arabic"/>
          <w:sz w:val="28"/>
          <w:szCs w:val="28"/>
          <w:rtl/>
        </w:rPr>
        <w:t>وعليه، تتمثل الفجوة البحثية في الحاجة إلى تطوير واختبار نموذج حوكمة ذكي متكامل يربط بين التحول الرقمي، والاستدامة المؤسسية، والحوكمة الذكية، وسلامة أصول البنية التحتية المائية، والأداء المؤسسي، ضمن إطار سببي كمي قابل للاختبار في قطاع المياه السعودي</w:t>
      </w:r>
      <w:r>
        <w:rPr>
          <w:rFonts w:ascii="Traditional Arabic" w:hAnsi="Traditional Arabic" w:cs="Traditional Arabic"/>
          <w:sz w:val="28"/>
          <w:szCs w:val="28"/>
        </w:rPr>
        <w:t>.</w:t>
      </w:r>
    </w:p>
    <w:p w14:paraId="6BA5914D" w14:textId="77777777" w:rsidR="00B5427B" w:rsidRPr="004A560D" w:rsidRDefault="00B5427B" w:rsidP="00B5427B">
      <w:pPr>
        <w:bidi/>
        <w:jc w:val="both"/>
        <w:rPr>
          <w:rFonts w:ascii="Traditional Arabic" w:hAnsi="Traditional Arabic" w:cs="Traditional Arabic"/>
          <w:sz w:val="28"/>
          <w:szCs w:val="28"/>
        </w:rPr>
      </w:pPr>
    </w:p>
    <w:p w14:paraId="0AF5B26B" w14:textId="77777777" w:rsidR="00857EE7" w:rsidRPr="00857EE7" w:rsidRDefault="00857EE7" w:rsidP="00857EE7">
      <w:pPr>
        <w:bidi/>
        <w:rPr>
          <w:rFonts w:ascii="Traditional Arabic" w:hAnsi="Traditional Arabic" w:cs="Traditional Arabic"/>
          <w:b/>
          <w:bCs/>
          <w:sz w:val="28"/>
          <w:szCs w:val="28"/>
        </w:rPr>
      </w:pPr>
      <w:r>
        <w:rPr>
          <w:rFonts w:ascii="Traditional Arabic" w:hAnsi="Traditional Arabic" w:cs="Traditional Arabic"/>
          <w:b/>
          <w:bCs/>
          <w:sz w:val="28"/>
          <w:szCs w:val="28"/>
          <w:rtl/>
        </w:rPr>
        <w:t>رابعًا: موقع الدراسة الحالية من الأدبيات</w:t>
      </w:r>
    </w:p>
    <w:p w14:paraId="0ECA787C" w14:textId="77777777" w:rsidR="00857EE7" w:rsidRPr="00857EE7" w:rsidRDefault="00857EE7" w:rsidP="00857EE7">
      <w:pPr>
        <w:bidi/>
        <w:rPr>
          <w:rFonts w:ascii="Traditional Arabic" w:hAnsi="Traditional Arabic" w:cs="Traditional Arabic"/>
          <w:sz w:val="28"/>
          <w:szCs w:val="28"/>
        </w:rPr>
      </w:pPr>
      <w:r>
        <w:rPr>
          <w:rFonts w:ascii="Traditional Arabic" w:hAnsi="Traditional Arabic" w:cs="Traditional Arabic"/>
          <w:sz w:val="28"/>
          <w:szCs w:val="28"/>
          <w:rtl/>
        </w:rPr>
        <w:t>تسعى الدراسة الحالية إلى سد هذه الفجوة من خلال</w:t>
      </w:r>
      <w:r>
        <w:rPr>
          <w:rFonts w:ascii="Traditional Arabic" w:hAnsi="Traditional Arabic" w:cs="Traditional Arabic"/>
          <w:sz w:val="28"/>
          <w:szCs w:val="28"/>
        </w:rPr>
        <w:t>:</w:t>
      </w:r>
    </w:p>
    <w:p w14:paraId="087CD6B6"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تطوير نموذج حوكمة ذكي لإدارة التفتيش الفني في أصول البنية التحتية المائية</w:t>
      </w:r>
      <w:r>
        <w:rPr>
          <w:rFonts w:ascii="Traditional Arabic" w:hAnsi="Traditional Arabic" w:cs="Traditional Arabic"/>
          <w:sz w:val="28"/>
          <w:szCs w:val="28"/>
        </w:rPr>
        <w:t>.</w:t>
      </w:r>
    </w:p>
    <w:p w14:paraId="3845B74B"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إدراج الحوكمة الذكية كآلية تنظيمية تفسيرية</w:t>
      </w:r>
      <w:r>
        <w:rPr>
          <w:rFonts w:ascii="Traditional Arabic" w:hAnsi="Traditional Arabic" w:cs="Traditional Arabic"/>
          <w:sz w:val="28"/>
          <w:szCs w:val="28"/>
        </w:rPr>
        <w:t>.</w:t>
      </w:r>
    </w:p>
    <w:p w14:paraId="65959468" w14:textId="6E527A1A"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اختبار العلاقات السببية باستخدام نمذجة المعادلات الهيكلية</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(SEM/PLS)</w:t>
      </w:r>
      <w:r>
        <w:rPr>
          <w:rFonts w:ascii="Traditional Arabic" w:hAnsi="Traditional Arabic" w:cs="Traditional Arabic" w:hint="cs"/>
          <w:sz w:val="28"/>
          <w:szCs w:val="28"/>
          <w:rtl/>
        </w:rPr>
        <w:t xml:space="preserve"> .</w:t>
      </w:r>
    </w:p>
    <w:p w14:paraId="366B43A8" w14:textId="77777777" w:rsidR="00857EE7" w:rsidRPr="00857EE7" w:rsidRDefault="00857EE7" w:rsidP="00B7711D">
      <w:pPr>
        <w:numPr>
          <w:ilvl w:val="0"/>
          <w:numId w:val="20"/>
        </w:numPr>
        <w:bidi/>
        <w:rPr>
          <w:rFonts w:ascii="Traditional Arabic" w:hAnsi="Traditional Arabic" w:cs="Traditional Arabic"/>
          <w:sz w:val="28"/>
          <w:szCs w:val="28"/>
        </w:rPr>
      </w:pPr>
      <w:r>
        <w:rPr>
          <w:rFonts w:ascii="Traditional Arabic" w:hAnsi="Traditional Arabic" w:cs="Traditional Arabic"/>
          <w:sz w:val="28"/>
          <w:szCs w:val="28"/>
          <w:rtl/>
        </w:rPr>
        <w:t>تطبيق النموذج في قطاع المياه السعودي دعمًا لمستهدفات رؤية 2030</w:t>
      </w:r>
      <w:r>
        <w:rPr>
          <w:rFonts w:ascii="Traditional Arabic" w:hAnsi="Traditional Arabic" w:cs="Traditional Arabic"/>
          <w:sz w:val="28"/>
          <w:szCs w:val="28"/>
        </w:rPr>
        <w:t>.</w:t>
      </w:r>
    </w:p>
    <w:p w14:paraId="3DB58D08" w14:textId="77777777" w:rsidR="00D9031C" w:rsidRDefault="00D9031C" w:rsidP="00527ED7">
      <w:pPr>
        <w:bidi/>
        <w:jc w:val="both"/>
        <w:rPr>
          <w:rFonts w:ascii="Traditional Arabic" w:hAnsi="Traditional Arabic" w:cs="Traditional Arabic"/>
          <w:sz w:val="28"/>
          <w:szCs w:val="28"/>
          <w:rtl/>
        </w:rPr>
      </w:pPr>
    </w:p>
    <w:p w14:paraId="0299FC52" w14:textId="6A5443AF" w:rsidR="00857EE7" w:rsidRPr="00857EE7" w:rsidRDefault="00857EE7" w:rsidP="00D9031C">
      <w:pPr>
        <w:bidi/>
        <w:jc w:val="both"/>
        <w:rPr>
          <w:rFonts w:ascii="Traditional Arabic" w:hAnsi="Traditional Arabic" w:cs="Traditional Arabic"/>
          <w:sz w:val="28"/>
          <w:szCs w:val="28"/>
        </w:rPr>
      </w:pPr>
      <w:r>
        <w:rPr>
          <w:rFonts w:ascii="Traditional Arabic" w:hAnsi="Traditional Arabic" w:cs="Traditional Arabic"/>
          <w:sz w:val="28"/>
          <w:szCs w:val="28"/>
          <w:rtl/>
        </w:rPr>
        <w:t>وبذلك، لا تقتصر الدراسة على إضافة متغير جديد، بل تقدم إطارًا تكامليًا يربط بين البعدين التقني والمؤسسي والتشغيلي والاستراتيجي ضمن نموذج قابل للاختبار</w:t>
      </w:r>
      <w:r>
        <w:rPr>
          <w:rFonts w:ascii="Traditional Arabic" w:hAnsi="Traditional Arabic" w:cs="Traditional Arabic"/>
          <w:sz w:val="28"/>
          <w:szCs w:val="28"/>
        </w:rPr>
        <w:t>.</w:t>
      </w:r>
    </w:p>
    <w:p w14:paraId="44A02DCA" w14:textId="6411EDED" w:rsidR="00862207" w:rsidRDefault="004D47BA" w:rsidP="004D47BA">
      <w:pPr>
        <w:bidi/>
        <w:jc w:val="both"/>
        <w:rPr>
          <w:rtl/>
        </w:rPr>
      </w:pPr>
      <w:r>
        <w:rPr>
          <w:rFonts w:ascii="Traditional Arabic" w:hAnsi="Traditional Arabic" w:cs="Traditional Arabic"/>
          <w:sz w:val="28"/>
          <w:szCs w:val="28"/>
          <w:rtl/>
        </w:rPr>
        <w:t>يكشف التحليل النقدي المقارن للأدبيات عن وجود فجوة منهجية تتمثل في غياب نموذج سببي تكاملي يدمج بين التحول الرقمي والاستدامة المؤسسية والحوكمة الذكية وسلامة الأصول ضمن إطار موحد يفسر انتقال الأثر إلى الأداء المؤسسي في قطاع المياه</w:t>
      </w:r>
      <w:r>
        <w:rPr>
          <w:rFonts w:ascii="Traditional Arabic" w:hAnsi="Traditional Arabic" w:cs="Traditional Arabic"/>
          <w:sz w:val="28"/>
          <w:szCs w:val="28"/>
        </w:rPr>
        <w:t>.</w:t>
      </w:r>
      <w:r>
        <w:rPr>
          <w:rFonts w:ascii="Traditional Arabic" w:hAnsi="Traditional Arabic" w:cs="Traditional Arabic"/>
          <w:sz w:val="28"/>
          <w:szCs w:val="28"/>
        </w:rPr>
        <w:br/>
      </w:r>
      <w:r>
        <w:rPr>
          <w:rFonts w:ascii="Traditional Arabic" w:hAnsi="Traditional Arabic" w:cs="Traditional Arabic"/>
          <w:sz w:val="28"/>
          <w:szCs w:val="28"/>
          <w:rtl/>
        </w:rPr>
        <w:t>ولا تكمن الفجوة في نقص الدراسات حول كل متغير على حدة، بل في غياب الربط البنيوي المنظم بينها، خصوصًا في السياق المؤسسي السعودي</w:t>
      </w:r>
      <w:r>
        <w:rPr>
          <w:rFonts w:ascii="Traditional Arabic" w:hAnsi="Traditional Arabic" w:cs="Traditional Arabic"/>
          <w:sz w:val="28"/>
          <w:szCs w:val="28"/>
        </w:rPr>
        <w:t>.</w:t>
      </w:r>
    </w:p>
    <w:p w14:paraId="03389C8E" w14:textId="77777777" w:rsidR="00B5427B" w:rsidRDefault="00B5427B" w:rsidP="00B5427B">
      <w:pPr>
        <w:bidi/>
        <w:jc w:val="both"/>
        <w:rPr>
          <w:rtl/>
        </w:rPr>
      </w:pPr>
    </w:p>
    <w:p w14:paraId="55649526" w14:textId="77777777" w:rsidR="00122559" w:rsidRPr="00122559" w:rsidRDefault="00122559" w:rsidP="00122559">
      <w:pPr>
        <w:bidi/>
        <w:jc w:val="both"/>
        <w:rPr>
          <w:rFonts w:ascii="Traditional Arabic" w:hAnsi="Traditional Arabic" w:cs="Traditional Arabic"/>
          <w:b/>
          <w:bCs/>
          <w:sz w:val="28"/>
          <w:szCs w:val="28"/>
        </w:rPr>
      </w:pPr>
      <w:r>
        <w:rPr>
          <w:rFonts w:ascii="Traditional Arabic" w:hAnsi="Traditional Arabic" w:cs="Traditional Arabic"/>
          <w:b/>
          <w:bCs/>
          <w:sz w:val="28"/>
          <w:szCs w:val="28"/>
          <w:rtl/>
        </w:rPr>
        <w:t>بناء فروض الدراسة</w:t>
      </w:r>
    </w:p>
    <w:p w14:paraId="0090B29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استنادًا إلى التحليل النظري والنقدي الذي تم عرضه في هذا الفصل، يتضح أن متغيرات الدراسة لا تعمل بصورة مستقلة، بل تتكامل ضمن بنية مؤسسية مترابطة تتقاطع فيها الأبعاد التقنية والتنظيمية والاستراتيجية والتشغيلية. فقد بينت الأدبيات أن التحول الرقمي والاستدامة المؤسسية يمثلان مدخلين استراتيجيين لإعادة تشكيل إدارة أصول البنية التحتية، غير أن تأثيرهما لا يتحقق بصورة مباشرة، وإنما يتوقف على جودة الإطار الحوكمي الذي ينظم توظيفهما داخل المؤسسة</w:t>
      </w:r>
      <w:r>
        <w:rPr>
          <w:rFonts w:ascii="Traditional Arabic" w:hAnsi="Traditional Arabic" w:cs="Traditional Arabic"/>
          <w:sz w:val="28"/>
          <w:szCs w:val="28"/>
        </w:rPr>
        <w:t>.</w:t>
      </w:r>
    </w:p>
    <w:p w14:paraId="4A20B215"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كما أظهر التحليل أن الحوكمة الذكية تمثل آلية تنظيمية قادرة على تحويل المبادرات الرقمية وممارسات الاستدامة إلى قرارات تشغيلية منضبطة قائمة على البيانات، بما يسهم في تعزيز إدارة المخاطر وتحسين سلامة الأصول. ومن ثم، فإن سلامة الأصول لا تُعد متغيرًا تشغيليًا منفصلًا، بل تمثل حلقة انتقالية تنعكس من خلالها آثار الرقمنة والحوكمة والاستدامة على الأداء المؤسسي</w:t>
      </w:r>
      <w:r>
        <w:rPr>
          <w:rFonts w:ascii="Traditional Arabic" w:hAnsi="Traditional Arabic" w:cs="Traditional Arabic"/>
          <w:sz w:val="28"/>
          <w:szCs w:val="28"/>
        </w:rPr>
        <w:t>.</w:t>
      </w:r>
    </w:p>
    <w:p w14:paraId="635CBE4C"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t>وفي ضوء هذا الترابط البنيوي، يقوم النموذج المقترح على افتراض تسلسل سببي يبدأ بالمدخلات الاستراتيجية، ويمر عبر الحوكمة الذكية كمتغير وسيط تنظيمي، ثم ينعكس على سلامة أصول البنية التحتية باعتبارها وسيطًا تشغيليًا، وصولًا إلى الأداء المؤسسي بوصفه النتيجة النهائية للتكامل بين هذه الأبعاد</w:t>
      </w:r>
      <w:r>
        <w:rPr>
          <w:rFonts w:ascii="Traditional Arabic" w:hAnsi="Traditional Arabic" w:cs="Traditional Arabic"/>
          <w:sz w:val="28"/>
          <w:szCs w:val="28"/>
        </w:rPr>
        <w:t>.</w:t>
      </w:r>
    </w:p>
    <w:p w14:paraId="77FD59C6" w14:textId="77777777" w:rsidR="00B57E78" w:rsidRPr="00B57E78" w:rsidRDefault="00B57E78" w:rsidP="00B57E78">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وبناءً على ذلك، تم تطوير فروض الدراسة استنادًا إلى هذا الأساس النظري المتكامل، وقد وردت تفصيلًا في الفصل الأول ضمن الإطار العام للدراسة، تمهيدًا لاختبارها باستخدام نمذجة المعادلات الهيكلية في الفصل الرابع</w:t>
      </w:r>
      <w:r>
        <w:rPr>
          <w:rFonts w:ascii="Traditional Arabic" w:hAnsi="Traditional Arabic" w:cs="Traditional Arabic"/>
          <w:sz w:val="28"/>
          <w:szCs w:val="28"/>
        </w:rPr>
        <w:t>.</w:t>
      </w:r>
    </w:p>
    <w:p w14:paraId="44E8399A" w14:textId="77777777" w:rsidR="00B57E78" w:rsidRDefault="00B57E78" w:rsidP="00B57E78">
      <w:pPr>
        <w:bidi/>
        <w:jc w:val="both"/>
        <w:rPr>
          <w:rFonts w:ascii="Traditional Arabic" w:hAnsi="Traditional Arabic" w:cs="Traditional Arabic"/>
          <w:sz w:val="28"/>
          <w:szCs w:val="28"/>
          <w:rtl/>
        </w:rPr>
      </w:pPr>
    </w:p>
    <w:p w14:paraId="4F3EDC87" w14:textId="77777777" w:rsidR="00540CDD" w:rsidRPr="00540CDD" w:rsidRDefault="00540CDD" w:rsidP="00540CDD">
      <w:pPr>
        <w:bidi/>
        <w:jc w:val="both"/>
        <w:rPr>
          <w:rFonts w:ascii="Traditional Arabic" w:hAnsi="Traditional Arabic" w:cs="Traditional Arabic"/>
          <w:sz w:val="28"/>
          <w:szCs w:val="28"/>
        </w:rPr>
      </w:pPr>
      <w:bookmarkStart w:id="13" w:name="_Toc218160626"/>
      <w:r>
        <w:rPr>
          <w:rFonts w:ascii="Traditional Arabic" w:hAnsi="Traditional Arabic" w:cs="Traditional Arabic"/>
          <w:sz w:val="28"/>
          <w:szCs w:val="28"/>
          <w:rtl/>
        </w:rPr>
        <w:t>خلص هذا الفصل إلى بناء إطار نظري متكامل استند إلى تحليل معمق للأدبيات العلمية المرتبطة بمتغيرات الدراسة، والتي شملت التحول الرقمي، والحوكمة الذكية، والاستدامة المؤسسية، وسلامة أصول البنية التحتية المائية، والأداء المؤسسي. وقد أظهر التحليل النقدي للأدبيات أن هذه المتغيرات تتداخل ضمن منظومة مؤسسية مترابطة، بحيث يتأثر الأداء المؤسسي بدرجة نضج التحول الرقمي وجودة الحوكمة ومستوى تبني ممارسات الاستدامة، وانعكاس ذلك على سلامة الأصول وكفاءة إدارتها</w:t>
      </w:r>
      <w:r>
        <w:rPr>
          <w:rFonts w:ascii="Traditional Arabic" w:hAnsi="Traditional Arabic" w:cs="Traditional Arabic"/>
          <w:sz w:val="28"/>
          <w:szCs w:val="28"/>
        </w:rPr>
        <w:t>.</w:t>
      </w:r>
    </w:p>
    <w:p w14:paraId="399F0681"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كما كشف التحليل المقارن للدراسات السابقة عن وجود فجوة بحثية تتمثل في محدودية الدراسات التي تناولت هذه المتغيرات ضمن نموذج سببي تكاملي يفسر العلاقات المتبادلة بينها، خصوصًا في القطاعات كثيفة الأصول مثل قطاع المياه، وبشكل أكثر تحديدًا في السياق المؤسسي في المملكة العربية السعودية</w:t>
      </w:r>
      <w:r>
        <w:rPr>
          <w:rFonts w:ascii="Traditional Arabic" w:hAnsi="Traditional Arabic" w:cs="Traditional Arabic"/>
          <w:sz w:val="28"/>
          <w:szCs w:val="28"/>
        </w:rPr>
        <w:t>.</w:t>
      </w:r>
    </w:p>
    <w:p w14:paraId="24C94613" w14:textId="77777777" w:rsidR="00540CDD" w:rsidRPr="00540CDD" w:rsidRDefault="00540CDD" w:rsidP="00540CDD">
      <w:pPr>
        <w:bidi/>
        <w:jc w:val="both"/>
        <w:rPr>
          <w:rFonts w:ascii="Traditional Arabic" w:hAnsi="Traditional Arabic" w:cs="Traditional Arabic"/>
          <w:sz w:val="28"/>
          <w:szCs w:val="28"/>
        </w:rPr>
      </w:pPr>
      <w:r>
        <w:rPr>
          <w:rFonts w:ascii="Traditional Arabic" w:hAnsi="Traditional Arabic" w:cs="Traditional Arabic"/>
          <w:sz w:val="28"/>
          <w:szCs w:val="28"/>
          <w:rtl/>
        </w:rPr>
        <w:t>وانطلاقًا من هذه الفجوة البحثية، تم بناء النموذج المفاهيمي للدراسة الذي يربط بين التحول الرقمي والاستدامة المؤسسية وإطار الحوكمة الذكية وسلامة أصول البنية التحتية المائية والأداء المؤسسي. كما تم اشتقاق فروض الدراسة استنادًا إلى الأسس النظرية والنتائج المتكررة في الأدبيات، وذلك تمهيدًا لاختبارها باستخدام منهجية نمذجة المعادلات الهيكلية</w:t>
      </w:r>
      <w:r>
        <w:rPr>
          <w:rFonts w:ascii="Traditional Arabic" w:hAnsi="Traditional Arabic" w:cs="Traditional Arabic"/>
          <w:sz w:val="28"/>
          <w:szCs w:val="28"/>
        </w:rPr>
        <w:t xml:space="preserve"> (SEM / PLS)</w:t>
      </w:r>
      <w:r>
        <w:rPr>
          <w:rFonts w:ascii="Traditional Arabic" w:hAnsi="Traditional Arabic" w:cs="Traditional Arabic"/>
          <w:sz w:val="28"/>
          <w:szCs w:val="28"/>
          <w:rtl/>
        </w:rPr>
        <w:t>، والتي سيتم عرض إجراءاتها بالتفصيل في الفصل الثالث الخاص بمنهجية الدراسة</w:t>
      </w:r>
      <w:r>
        <w:rPr>
          <w:rFonts w:ascii="Traditional Arabic" w:hAnsi="Traditional Arabic" w:cs="Traditional Arabic"/>
          <w:sz w:val="28"/>
          <w:szCs w:val="28"/>
        </w:rPr>
        <w:t>.</w:t>
      </w:r>
    </w:p>
    <w:p w14:paraId="045E36E9" w14:textId="21ADC366" w:rsidR="00631A3A" w:rsidRPr="00540CDD" w:rsidRDefault="00540CDD" w:rsidP="00540CDD">
      <w:pPr>
        <w:bidi/>
        <w:jc w:val="both"/>
        <w:rPr>
          <w:rFonts w:ascii="Traditional Arabic" w:hAnsi="Traditional Arabic" w:cs="Traditional Arabic"/>
          <w:sz w:val="28"/>
          <w:szCs w:val="28"/>
          <w:rtl/>
        </w:rPr>
      </w:pPr>
      <w:r>
        <w:rPr>
          <w:rFonts w:ascii="Traditional Arabic" w:hAnsi="Traditional Arabic" w:cs="Traditional Arabic"/>
          <w:sz w:val="28"/>
          <w:szCs w:val="28"/>
          <w:rtl/>
        </w:rPr>
        <w:t>وبذلك يشكّل هذا الفصل الأساس النظري الذي تستند إليه الدراسة في اختبار نموذج الحوكمة الذكية المقترح لإدارة أصول البنية التحتية المائية في قطاع المياه</w:t>
      </w:r>
    </w:p>
    <w:p w14:paraId="0B8FEF59" w14:textId="77777777" w:rsidR="009536B2" w:rsidRDefault="00CD23D5" w:rsidP="00631A3A">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الفصل الثالث</w:t>
      </w:r>
      <w:bookmarkEnd w:id="13"/>
    </w:p>
    <w:p w14:paraId="71E37D4D" w14:textId="37BC29FA" w:rsidR="009536B2" w:rsidRDefault="00FC4BE6" w:rsidP="009536B2">
      <w:pPr>
        <w:pStyle w:val="Heading1"/>
        <w:bidi/>
        <w:rPr>
          <w:rFonts w:ascii="Traditional Arabic" w:eastAsia="Times New Roman" w:hAnsi="Traditional Arabic" w:cs="Traditional Arabic"/>
          <w:b/>
          <w:bCs/>
        </w:rPr>
      </w:pPr>
      <w:r>
        <w:rPr>
          <w:rFonts w:ascii="Traditional Arabic" w:eastAsia="Times New Roman" w:hAnsi="Traditional Arabic" w:cs="Traditional Arabic"/>
          <w:b/>
          <w:bCs/>
          <w:rtl/>
        </w:rPr>
        <w:t>الطريقة والإجراءات (المنهجية)</w:t>
      </w:r>
    </w:p>
    <w:p w14:paraId="0C95E762" w14:textId="3F4AE83C" w:rsidR="00CD23D5" w:rsidRDefault="009536B2" w:rsidP="009A71C7">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أولاً: مقدمة الفصل</w:t>
      </w:r>
    </w:p>
    <w:p w14:paraId="69847790" w14:textId="77777777" w:rsidR="009536B2" w:rsidRPr="009536B2" w:rsidRDefault="009536B2" w:rsidP="009536B2">
      <w:pPr>
        <w:bidi/>
        <w:jc w:val="both"/>
        <w:rPr>
          <w:rFonts w:ascii="Traditional Arabic" w:hAnsi="Traditional Arabic" w:cs="Traditional Arabic"/>
          <w:sz w:val="28"/>
          <w:szCs w:val="28"/>
          <w:rtl/>
        </w:rPr>
      </w:pPr>
      <w:r>
        <w:rPr>
          <w:rFonts w:ascii="Traditional Arabic" w:hAnsi="Traditional Arabic" w:cs="Traditional Arabic"/>
          <w:sz w:val="28"/>
          <w:szCs w:val="28"/>
          <w:rtl/>
        </w:rPr>
        <w:t>يُعنى هذا الفصل بعرض الإجراءات المنهجية التي اتبعتها الدراسة في جمع البيانات وتحليلها، والتي تمثل الركيزة الأساسية لاختبار النموذج المفاهيمي المقترح واستخلاص النتائج العلمية. وقد جرى اختيار المنهج البحثي المناسب استناداً إلى طبيعة مشكلة الدراسة وأسئلتها وفروضها، وذلك بهدف التحقق من العلاقات السببية بين متغيرات الدراسة المتمثلة في التحول الرقمي، والاستدامة المؤسسية، والحوكمة الذكية، وسلامة أصول البنية التحتية المائية، والأداء المؤسسي في قطاع المياه السعودي</w:t>
      </w:r>
      <w:r>
        <w:rPr>
          <w:rFonts w:ascii="Traditional Arabic" w:hAnsi="Traditional Arabic" w:cs="Traditional Arabic"/>
          <w:sz w:val="28"/>
          <w:szCs w:val="28"/>
        </w:rPr>
        <w:t>.</w:t>
      </w:r>
    </w:p>
    <w:p w14:paraId="7927C5F9" w14:textId="4F75E8C1" w:rsidR="009536B2" w:rsidRPr="00375A8A" w:rsidRDefault="009536B2" w:rsidP="00375A8A">
      <w:pPr>
        <w:bidi/>
        <w:jc w:val="both"/>
        <w:rPr>
          <w:rFonts w:ascii="Traditional Arabic" w:hAnsi="Traditional Arabic" w:cs="Traditional Arabic"/>
          <w:sz w:val="28"/>
          <w:szCs w:val="28"/>
        </w:rPr>
      </w:pPr>
      <w:r>
        <w:rPr>
          <w:rFonts w:ascii="Traditional Arabic" w:hAnsi="Traditional Arabic" w:cs="Traditional Arabic"/>
          <w:sz w:val="28"/>
          <w:szCs w:val="28"/>
          <w:rtl/>
        </w:rPr>
        <w:lastRenderedPageBreak/>
        <w:t>وانطلاقاً من ذلك، يستعرض هذا الفصل منهج البحث المعتمد وطريقة الاستقصاء، ومجتمع الدراسة وأسلوب اختيار العينة، وأدوات جمع البيانات، والأساليب الإحصائية المستخدمة في التحليل، وإجراءات التحقق من الصدق والثبات، وذلك ضماناً لمصداقية الدراسة وموثوقية نتائجها</w:t>
      </w:r>
      <w:r>
        <w:rPr>
          <w:rFonts w:ascii="Traditional Arabic" w:hAnsi="Traditional Arabic" w:cs="Traditional Arabic" w:hint="cs"/>
          <w:sz w:val="28"/>
          <w:szCs w:val="28"/>
          <w:rtl/>
        </w:rPr>
        <w:t>.</w:t>
      </w:r>
    </w:p>
    <w:p w14:paraId="4388848A" w14:textId="77777777" w:rsidR="009A71C7" w:rsidRPr="00943C1C" w:rsidRDefault="009A71C7" w:rsidP="00943C1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ثانياً: منهج البحث</w:t>
      </w:r>
    </w:p>
    <w:p w14:paraId="67517F91" w14:textId="6B37F9C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هذه الدراسة تصميمًا بحثيًا مختلطًا (Mixed-Methods)، يتضمن شقًا كميًا مقطعيًا (Cross-Sectional) يُنفَّذ عبر الاستبانة، وشقًا نوعيًا يُنفَّذ عبر المقابلات شبه المنظمة، وذلك باعتبار هذا التصميم الأكثر ملاءمةً لطبيعة الدراسة، إذ يُتيح وصف الظاهرة موضع الدراسة وتشخيصها، ثم تحليل العلاقات بين متغيراتها واستخلاص الاستنتاجات المنهجية اللازمة</w:t>
      </w:r>
      <w:r>
        <w:rPr>
          <w:rFonts w:ascii="Traditional Arabic" w:hAnsi="Traditional Arabic" w:cs="Traditional Arabic"/>
          <w:sz w:val="28"/>
          <w:szCs w:val="28"/>
        </w:rPr>
        <w:t xml:space="preserve"> (Creswell &amp; Creswell,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2018)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كما يُمكّن هذا المنهج من الجمع بين البعدين الكمي والكيفي في إطار بحثي تكاملي يُعرف في الأدبيات بمنهج التثليث</w:t>
      </w:r>
      <w:r>
        <w:rPr>
          <w:rFonts w:ascii="Traditional Arabic" w:hAnsi="Traditional Arabic" w:cs="Traditional Arabic"/>
          <w:sz w:val="28"/>
          <w:szCs w:val="28"/>
        </w:rPr>
        <w:t xml:space="preserve"> (Mixed-Methods Triangulation)</w:t>
      </w:r>
      <w:r>
        <w:rPr>
          <w:rFonts w:ascii="Traditional Arabic" w:hAnsi="Traditional Arabic" w:cs="Traditional Arabic" w:hint="cs"/>
          <w:sz w:val="28"/>
          <w:szCs w:val="28"/>
          <w:rtl/>
        </w:rPr>
        <w:t>.</w:t>
      </w:r>
    </w:p>
    <w:p w14:paraId="1A2B3C4D" w14:textId="1A2B3C4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واستنادًا إلى ما سبق، تتبنى الدراسة الحالية على وجه التحديد تصميم البحث المختلط المتزامن التقاربي </w:t>
      </w:r>
      <w:r>
        <w:rPr>
          <w:rFonts w:ascii="Traditional Arabic" w:hAnsi="Traditional Arabic" w:cs="Traditional Arabic"/>
          <w:sz w:val="28"/>
          <w:szCs w:val="28"/>
        </w:rPr>
        <w:t xml:space="preserve">(Convergent Parallel Mixed-Methods Design) </w:t>
      </w:r>
      <w:r>
        <w:rPr>
          <w:rFonts w:ascii="Traditional Arabic" w:hAnsi="Traditional Arabic" w:cs="Traditional Arabic"/>
          <w:sz w:val="28"/>
          <w:szCs w:val="28"/>
          <w:rtl/>
        </w:rPr>
        <w:t>وفق تصنيف</w:t>
      </w:r>
      <w:r>
        <w:rPr>
          <w:rFonts w:ascii="Traditional Arabic" w:hAnsi="Traditional Arabic" w:cs="Traditional Arabic"/>
          <w:sz w:val="28"/>
          <w:szCs w:val="28"/>
        </w:rPr>
        <w:t xml:space="preserve"> Creswell &amp; Plano Clark (2018)</w:t>
      </w:r>
      <w:r>
        <w:rPr>
          <w:rFonts w:ascii="Traditional Arabic" w:hAnsi="Traditional Arabic" w:cs="Traditional Arabic"/>
          <w:sz w:val="28"/>
          <w:szCs w:val="28"/>
          <w:rtl/>
        </w:rPr>
        <w:t xml:space="preserve">، إذ يتم جمع البيانات الكمية (عبر الاستبانة الإلكترونية) والبيانات النوعية (عبر المقابلات شبه المنظمة) بالتوازي وخلال الفترة الزمنية نفسها تقريبًا، دون أن يعتمد أحد الشقين على نتائج الآخر في مرحلة الجمع الميداني. ويتم تحليل كل نوع من البيانات بصورة مستقلة باستخدام الأساليب المناسبة له (PLS-SEM للبيانات الكمية، والتحليل الموضوعي للبيانات النوعية)، على أن يتم دمج نتائج الشقين عند مرحلة التفسير والمناقشة؛ حيث تُستخدم النتائج النوعية لتعميق فهم النتائج الكمية والتحقق من اتساقها عبر التثليث المنهجي </w:t>
      </w:r>
      <w:r>
        <w:rPr>
          <w:rFonts w:ascii="Traditional Arabic" w:hAnsi="Traditional Arabic" w:cs="Traditional Arabic"/>
          <w:sz w:val="28"/>
          <w:szCs w:val="28"/>
        </w:rPr>
        <w:t>(Triangulation)</w:t>
      </w:r>
      <w:r>
        <w:rPr>
          <w:rFonts w:ascii="Traditional Arabic" w:hAnsi="Traditional Arabic" w:cs="Traditional Arabic"/>
          <w:sz w:val="28"/>
          <w:szCs w:val="28"/>
          <w:rtl/>
        </w:rPr>
        <w:t>، لا لتوجيه بناء الأداة الكمية أو تعديلها.</w:t>
      </w:r>
    </w:p>
    <w:p w14:paraId="3C97CAEC" w14:textId="5D761CC9"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وتُشير الأدبيات إلى أن هذا التصميم يُوظَّف على نطاق واسع في الدراسات التي تهدف إلى فحص العلاقات الهيكلية والتفسيرية المفترضة بين المتغيرات المعقدة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(Hair et al., 2019)</w:t>
      </w:r>
      <w:r>
        <w:rPr>
          <w:rFonts w:ascii="Traditional Arabic" w:hAnsi="Traditional Arabic" w:cs="Traditional Arabic"/>
          <w:sz w:val="28"/>
          <w:szCs w:val="28"/>
          <w:rtl/>
        </w:rPr>
        <w:t>، وهو ما يتوافق مع طبيعة النموذج المقترح في هذه الدراسة الذي يختبر تأثيرات متشعبة ومتداخلة بين خمسة متغيرات رئيسة</w:t>
      </w:r>
      <w:r>
        <w:rPr>
          <w:rFonts w:ascii="Traditional Arabic" w:hAnsi="Traditional Arabic" w:cs="Traditional Arabic"/>
          <w:sz w:val="28"/>
          <w:szCs w:val="28"/>
        </w:rPr>
        <w:t>.</w:t>
      </w:r>
    </w:p>
    <w:p w14:paraId="26509322" w14:textId="2026F7BB" w:rsidR="009A71C7" w:rsidRPr="00943C1C" w:rsidRDefault="009A71C7" w:rsidP="00375A8A">
      <w:pPr>
        <w:pStyle w:val="Heading2"/>
        <w:bidi/>
        <w:rPr>
          <w:rtl/>
        </w:rPr>
      </w:pPr>
      <w:r>
        <w:rPr>
          <w:rtl/>
        </w:rPr>
        <w:t>التصميم الكمي</w:t>
      </w:r>
    </w:p>
    <w:p w14:paraId="7C293931" w14:textId="0960AF6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يمثل التصميم الكمي الركيزة الأساسية لهذه الدراسة، وقد جرى تطبيقه من خلال استبانة مُقنَّنة وُزِّعت على عينة قصدية من الخبراء والممارسين في قطاع المياه السعودي. ويقوم هذا التصميم على قياس المتغيرات قياساً رقمياً ومعالجتها إحصائياً باستخدام تقنية نمذجة المعادلات الهيكلية بالمربعات الصغرى الجزئية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من خلال برنامج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SmartPLS 4.0</w:t>
      </w:r>
      <w:r>
        <w:rPr>
          <w:rFonts w:ascii="Traditional Arabic" w:hAnsi="Traditional Arabic" w:cs="Traditional Arabic"/>
          <w:sz w:val="28"/>
          <w:szCs w:val="28"/>
          <w:rtl/>
        </w:rPr>
        <w:t>، وذلك لاختبار الفروض وقياس الأثر المباشر وغير المباشر بين المتغيرات</w:t>
      </w:r>
      <w:r>
        <w:rPr>
          <w:rFonts w:ascii="Traditional Arabic" w:hAnsi="Traditional Arabic" w:cs="Traditional Arabic"/>
          <w:sz w:val="28"/>
          <w:szCs w:val="28"/>
        </w:rPr>
        <w:t>.</w:t>
      </w:r>
    </w:p>
    <w:p w14:paraId="548415B2" w14:textId="3C205FA0" w:rsidR="009A71C7" w:rsidRPr="00943C1C" w:rsidRDefault="009A71C7" w:rsidP="00375A8A">
      <w:pPr>
        <w:pStyle w:val="Heading2"/>
        <w:bidi/>
        <w:rPr>
          <w:rFonts w:ascii="Traditional Arabic" w:hAnsi="Traditional Arabic" w:cs="Traditional Arabic"/>
          <w:sz w:val="28"/>
          <w:szCs w:val="28"/>
          <w:rtl/>
        </w:rPr>
      </w:pPr>
      <w:r>
        <w:rPr>
          <w:rtl/>
        </w:rPr>
        <w:t>التصميم النوعي</w:t>
      </w:r>
    </w:p>
    <w:p w14:paraId="5FC65AD8" w14:textId="66712FDF" w:rsidR="009A71C7" w:rsidRPr="00943C1C" w:rsidRDefault="009A71C7" w:rsidP="00C64FE8">
      <w:pPr>
        <w:bidi/>
        <w:jc w:val="both"/>
        <w:rPr>
          <w:rFonts w:ascii="Traditional Arabic" w:hAnsi="Traditional Arabic" w:cs="Traditional Arabic"/>
          <w:sz w:val="28"/>
          <w:szCs w:val="28"/>
          <w:rtl/>
        </w:rPr>
      </w:pPr>
      <w:r>
        <w:rPr>
          <w:rFonts w:ascii="Traditional Arabic" w:hAnsi="Traditional Arabic" w:cs="Traditional Arabic"/>
          <w:sz w:val="28"/>
          <w:szCs w:val="28"/>
          <w:rtl/>
        </w:rPr>
        <w:t>دعماً للنتائج الكمية، وُظِّف التصميم النوعي من خلال إجراء مقابلات شبه منظمة مع عدد من قادة قطاع المياه وصانعي القرار، بهدف استيعاب السياق المؤسسي واستجلاء الأنماط التفسيرية التي لا تعكسها الأرقام وحدها. وقد خضعت هذه المقابلات لأسلوب تحليل المحتوى الموضوعي</w:t>
      </w:r>
      <w:r>
        <w:rPr>
          <w:rFonts w:ascii="Traditional Arabic" w:hAnsi="Traditional Arabic" w:cs="Traditional Arabic"/>
          <w:sz w:val="28"/>
          <w:szCs w:val="28"/>
        </w:rPr>
        <w:t xml:space="preserve"> (Thematic Content Analysis) </w:t>
      </w:r>
      <w:r>
        <w:rPr>
          <w:rFonts w:ascii="Traditional Arabic" w:hAnsi="Traditional Arabic" w:cs="Traditional Arabic"/>
          <w:sz w:val="28"/>
          <w:szCs w:val="28"/>
          <w:rtl/>
        </w:rPr>
        <w:t>للوقوف على المحاور الجوهرية الداعمة للنموذج المقترح</w:t>
      </w:r>
      <w:r>
        <w:rPr>
          <w:rFonts w:ascii="Traditional Arabic" w:hAnsi="Traditional Arabic" w:cs="Traditional Arabic"/>
          <w:sz w:val="28"/>
          <w:szCs w:val="28"/>
        </w:rPr>
        <w:t>.</w:t>
      </w:r>
    </w:p>
    <w:p w14:paraId="2A3B4C5D" w14:textId="2A3B4C5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 xml:space="preserve">وحدة التحليل: </w:t>
      </w:r>
      <w:r>
        <w:rPr>
          <w:rFonts w:ascii="Traditional Arabic" w:hAnsi="Traditional Arabic" w:cs="Traditional Arabic"/>
          <w:sz w:val="28"/>
          <w:szCs w:val="28"/>
          <w:rtl/>
        </w:rPr>
        <w:t>تتمثل وحدة التحليل في هذه الدراسة في الفرد المستجيب بوصفه مُخبِراً رئيساً (Key Informant)، لا في المؤسسة بذاتها. وبعبارة أدق، فإن ما تقيسه الدراسة فعلياً هو الإدراك الفردي لممارسات مؤسسية (Individual Perception of Institutional Practices)؛ فرغم أن متغيرات الدراسة (الحوكمة الذكية، التحول الرقمي، الاستدامة المؤسسية، سلامة الأصول، الأداء المؤسسي) مفاهيم مصاغة أصلاً على المستوى المؤسسي، فإن أداة القياس تلتقطها عملياً من خلال تصورات الأفراد الذين يشغلون مواقع قيادية أو تخصصية داخل مؤسساتهم، بوصفهم informants يُعبّرون عن إدراكهم الشخصي لممارسات وأداء الجهة التي يعملون بها، لا عن آرائهم أو خصائصهم الذاتية المنفصلة عن هذا السياق المؤسسي. وبناءً على هذا التحديد الصريح لوحدة التحليل، فإن كل مسار وكل نتيجة إحصائية سيُعرَض في الفصل الرابع سيُفسَّر بوصفه انعكاساً لتصورات المستجيبين الأفراد عن واقع الحوكمة والتحول الرقمي وسلامة الأصول والأداء في مؤسساتهم، لا حكماً مؤسسياً معيارياً مباشراً. ويتسق هذا التحديد مع طبيعة العينة التي قد تضم أكثر من مستجيب واحد من الجهة نفسها (وبخاصة شركة المياه الوطنية، التي يُتوقَّع أن تسهم بالنصيب الأكبر من العينة نظراً لتعدد قطاعاتها التشغيلية الست وإداراتها)؛ إذ يُعامَل كل مستجيب - بصرف النظر عن انتماء غيره من المستجيبين إلى الجهة نفسها - مصدر إدراك فردي مستقل إحصائياً، يعكس تبايناً طبيعياً ومتوقعاً في الإدراك الفردي للممارسات المؤسسية بين الأقسام والمستويات الإدارية المختلفة داخل الجهة نفسها، لا مشاهدة مكررة لظاهرة مؤسسية واحدة متجانسة. وعليه، فإن نموذج PLS-SEM أحادي المستوى المعتمد في الدراسة يتّسق منهجياً بصورة كاملة مع وحدة التحليل الفردية المعلنة صراحةً هنا، دون أن يستلزم ذلك اللجوء إلى أساليب النمذجة متعددة المستويات (Multilevel/HLM)، التي كانت ستُصبح ضرورة منهجية فقط في حال الادعاء بأن المؤسسة هي وحدة التحليل الرسمية للدراسة - وهو ادعاء لا تتبناه الدراسة بعد هذا التوضيح.</w:t>
      </w:r>
    </w:p>
    <w:p w14:paraId="57980608" w14:textId="77777777" w:rsidR="009A71C7" w:rsidRPr="003C682A" w:rsidRDefault="009A71C7" w:rsidP="003C682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ثالثاً: مجتمع الدراسة وعينة البحث</w:t>
      </w:r>
    </w:p>
    <w:p w14:paraId="7E2C3A84" w14:textId="525C2E20" w:rsidR="009A71C7" w:rsidRPr="00C309A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مجتمع الدراسة</w:t>
      </w:r>
    </w:p>
    <w:p w14:paraId="01CDE37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يتكوّن مجتمع الدراسة الأصلي من الخبراء والممارسين والقياديين العاملين في قطاع المياه والصرف الصحي بالمملكة العربية السعودية، ويشمل ذلك العاملين في الجهات الرقابية والتشغيلية والاستشارية المعنية بإدارة البنية التحتية المائية. وتتمحور صفات مجتمع الدراسة حول امتلاك الخبرة المباشرة أو المعرفة التخصصية في أحد محاور النموذج المقترح: التحول الرقمي، الحوكمة، إدارة الأصول، أو الاستدامة في قطاع المياه</w:t>
      </w:r>
      <w:r>
        <w:rPr>
          <w:rFonts w:ascii="Traditional Arabic" w:hAnsi="Traditional Arabic" w:cs="Traditional Arabic"/>
          <w:sz w:val="28"/>
          <w:szCs w:val="28"/>
        </w:rPr>
        <w:t>.</w:t>
      </w:r>
    </w:p>
    <w:p w14:paraId="529B723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ويتضمن مجتمع الدراسة العاملين في الجهات الحكومية والهيئات الرقابية ذات الصلة بقطاع المياه كهيئة المياه السعودية ووزارة البيئة والمياه والزراعة، إضافة إلى شركة المياه الوطنية</w:t>
      </w:r>
      <w:r>
        <w:rPr>
          <w:rFonts w:ascii="Traditional Arabic" w:hAnsi="Traditional Arabic" w:cs="Traditional Arabic"/>
          <w:sz w:val="28"/>
          <w:szCs w:val="28"/>
        </w:rPr>
        <w:t xml:space="preserve"> (NWC)</w:t>
      </w:r>
      <w:r>
        <w:rPr>
          <w:rFonts w:ascii="Traditional Arabic" w:hAnsi="Traditional Arabic" w:cs="Traditional Arabic"/>
          <w:sz w:val="28"/>
          <w:szCs w:val="28"/>
          <w:rtl/>
        </w:rPr>
        <w:t>، والشركات والمؤسسات العاملة في تشغيل وصيانة شبكات المياه والصرف الصحي، فضلاً عن المتخصصين والمستشارين في مجالات الحوكمة والتحول الرقمي وإدارة الأصول في البيئة السعودية، والأكاديميين والباحثين المتخصصين في إدارة الموارد المائية والحوكمة المؤسسية</w:t>
      </w:r>
      <w:r>
        <w:rPr>
          <w:rFonts w:ascii="Traditional Arabic" w:hAnsi="Traditional Arabic" w:cs="Traditional Arabic"/>
          <w:sz w:val="28"/>
          <w:szCs w:val="28"/>
        </w:rPr>
        <w:t>.</w:t>
      </w:r>
    </w:p>
    <w:p w14:paraId="4F5A6B7C" w14:textId="4F5A6B7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وتجدر الإشارة إلى أن إدراج الأكاديميين والباحثين ضمن مجتمع الدراسة يقتصر على أولئك الذين تتوافر لديهم خبرة تطبيقية مباشرة (استشارية أو تنفيذية سابقة) مع قطاع المياه السعودي، لا الأكاديميين ذوي الخبرة النظرية البحتة الذين لا يمتلكون اطلاعاً مباشراً على الممارسات المؤسسية الداخلية؛ ذلك أن فقرات الاستبانة تقيس ممارسات فعلية (التحول الرقمي، الحوكمة، سلامة الأصول، الأداء المؤسسي) تستلزم دراية ميدانية مباشرة بواقع التطبيق. وبناءً على ذلك، يُشترط في كل مستجيب أكاديمي أن يكون قد مارس دوراً </w:t>
      </w:r>
      <w:r>
        <w:rPr>
          <w:rFonts w:ascii="Traditional Arabic" w:hAnsi="Traditional Arabic" w:cs="Traditional Arabic"/>
          <w:sz w:val="28"/>
          <w:szCs w:val="28"/>
          <w:rtl/>
        </w:rPr>
        <w:lastRenderedPageBreak/>
        <w:t>استشارياً أو تنفيذياً فعلياً في قطاع المياه لا يقل عن خمس سنوات، بما يحقق شرط المعرفة المباشرة بالممارسات المؤسسية أسوةً بباقي فئات المجتمع.</w:t>
      </w:r>
    </w:p>
    <w:p w14:paraId="3B4C5D6E" w14:textId="3B4C5D6F"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لتخصصية مجتمع الدراسة، وعدم توافر سجل موحّد يحصر عدد جميع العاملين في مجالات الحوكمة والتحول الرقمي وإدارة الأصول عبر الجهات المعنية بقطاع المياه، فقد جرى تقدير حجم المجتمع على مستويين متمايزين: المجتمع النظري الدقيق (Theoretical Population)، وهو نطاق الخبراء والقياديين من المستوى الأعلى تخصصاً وخبرة، ويُقدَّر تقريبياً بحدود (150-250) فرداً؛ والمجتمع المتاح (Accessible Population)، وهو النطاق الأوسع الفعلي الذي ستوجَّه إليه الاستبانة عملياً، ويشمل - إضافة إلى الفئة الأولى - المستوى الإداري والتخصصي المساند العامل مباشرة ضمن إدارات الحوكمة والتحول الرقمي وإدارة الأصول والجودة عبر القطاعات التشغيلية الست لشركة المياه الوطنية، والهيئة السعودية للمياه، والجهات الاستشارية ذات الصلة، ويُقدَّر تقريبياً بحدود (450-600) فرداً. وذلك دون الادعاء بدقة إحصائية مطلقة في كلا التقديرين؛ إذ يُستخدمان حصراً لأغراض تحديد كفاية حجم العينة إحصائياً وتخطيط عملية التوزيع، لا بوصفهما رقمين رسميين موثقين. وبناءً على ذلك، ستُوجَّه الاستبانة إلى المجتمع المتاح (450-600 فرداً تقريباً)، على أن يُستهدَف الحصول على (235) استجابة صالحة كحد أدنى - أي بمعدل استجابة متوقع يتراوح بين (39%) و(52%) تقريباً، وهو معدل واقعي ومحقَّق عادةً في الاستبانات المؤسسية الرسمية الموزَّعة عبر قنوات داخلية معتمدة، خلافاً لاستهداف شبه كامل لمجتمع محدود العدد. أما المجتمع النظري الأضيق (150-250 فرداً) فيبقى ذا دلالة مفاهيمية لتوصيف نطاق الخبرة المستهدفة نوعياً، دون أن يُستخدم أساساً لحساب معدل الاستجابة. وتتوزع الفئتان معاً على الجهات الآتية: شركة المياه الوطنية</w:t>
      </w:r>
      <w:r>
        <w:rPr>
          <w:rFonts w:ascii="Traditional Arabic" w:hAnsi="Traditional Arabic" w:cs="Traditional Arabic"/>
          <w:sz w:val="28"/>
          <w:szCs w:val="28"/>
        </w:rPr>
        <w:t xml:space="preserve"> (NWC) </w:t>
      </w:r>
      <w:r>
        <w:rPr>
          <w:rFonts w:ascii="Traditional Arabic" w:hAnsi="Traditional Arabic" w:cs="Traditional Arabic"/>
          <w:sz w:val="28"/>
          <w:szCs w:val="28"/>
          <w:rtl/>
        </w:rPr>
        <w:t>بقطاعاتها التشغيلية الست، والهيئة السعودية للمياه، ووزارة البيئة والمياه والزراعة، إضافة إلى عدد من الشركات المشغِّلة لخدمات المياه والصرف الصحي، والمستشارين المتخصصين في الحوكمة والتحول الرقمي وإدارة الأصول، والأكاديميين المتخصصين في هذه المجالات.</w:t>
      </w:r>
    </w:p>
    <w:p w14:paraId="4C5D6E7F" w14:textId="4C5D6E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النطاق الجغرافي: </w:t>
      </w:r>
      <w:r>
        <w:rPr>
          <w:rFonts w:ascii="Traditional Arabic" w:hAnsi="Traditional Arabic" w:cs="Traditional Arabic"/>
          <w:sz w:val="28"/>
          <w:szCs w:val="28"/>
          <w:rtl/>
        </w:rPr>
        <w:t>تغطي الدراسة النطاق الجغرافي للمملكة العربية السعودية كافةً، إذ تُجمع البيانات من المستجيبين في جميع القطاعات التشغيلية الست لشركة المياه الوطنية (النطاق الجغرافي الذي تغطيه الشركة على مستوى المملكة)، إضافة إلى مقرات الهيئة السعودية للمياه والجهات ذات العلاقة، بما يضمن تمثيلاً جغرافياً شاملاً لمختلف مناطق المملكة بدلاً من الاقتصار على منطقة أو مدينة بعينها.</w:t>
      </w:r>
    </w:p>
    <w:p w14:paraId="307A8899" w14:textId="6284D0CF" w:rsidR="009A71C7" w:rsidRPr="002131A7"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أسلوب اختيار العينة</w:t>
      </w:r>
    </w:p>
    <w:p w14:paraId="67D7186A" w14:textId="7F6EA39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نظراً لتخصصية مجتمع الدراسة وصعوبة الوصول الشامل إلى جميع أفراده، اعتُمد أسلوب العينة القصدية</w:t>
      </w:r>
      <w:r>
        <w:rPr>
          <w:rFonts w:ascii="Traditional Arabic" w:hAnsi="Traditional Arabic" w:cs="Traditional Arabic"/>
          <w:sz w:val="28"/>
          <w:szCs w:val="28"/>
        </w:rPr>
        <w:t xml:space="preserve"> (Purposive Sampling)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بوصفه الأسلوب الأكثر ملاءمةً للوفاء بمتطلبات الدراسة. ويُقصد بالعينة القصدية انتقاء المستجيبين وفق معايير دقيقة تضمن توافر الخبرة والتخصص اللازمين لتقديم استجابات موثوقة وذات دلالة علمية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(Sekaran &amp; Bougie, 2019)</w:t>
      </w:r>
      <w:r>
        <w:rPr>
          <w:rFonts w:ascii="Traditional Arabic" w:hAnsi="Traditional Arabic" w:cs="Traditional Arabic" w:hint="cs"/>
          <w:sz w:val="28"/>
          <w:szCs w:val="28"/>
          <w:rtl/>
        </w:rPr>
        <w:t>.</w:t>
      </w:r>
    </w:p>
    <w:p w14:paraId="41D09B9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وقد اشترطت الدراسة في أفراد العينة توافر المعايير الآتية</w:t>
      </w:r>
      <w:r>
        <w:rPr>
          <w:rFonts w:ascii="Traditional Arabic" w:hAnsi="Traditional Arabic" w:cs="Traditional Arabic"/>
          <w:sz w:val="28"/>
          <w:szCs w:val="28"/>
        </w:rPr>
        <w:t>:</w:t>
      </w:r>
    </w:p>
    <w:p w14:paraId="7AEE883C" w14:textId="4AA46D32"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الخبرة العملية في قطاع المياه أو الصرف الصحي بما لا يقل عن خمس سنوات</w:t>
      </w:r>
      <w:r>
        <w:rPr>
          <w:rFonts w:ascii="Traditional Arabic" w:hAnsi="Traditional Arabic" w:cs="Traditional Arabic"/>
          <w:sz w:val="28"/>
          <w:szCs w:val="28"/>
        </w:rPr>
        <w:t>.</w:t>
      </w:r>
    </w:p>
    <w:p w14:paraId="2BED5A76" w14:textId="665C23E9"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الاطلاع على ممارسات التحول الرقمي أو الحوكمة أو إدارة الأصول</w:t>
      </w:r>
      <w:r>
        <w:rPr>
          <w:rFonts w:ascii="Traditional Arabic" w:hAnsi="Traditional Arabic" w:cs="Traditional Arabic"/>
          <w:sz w:val="28"/>
          <w:szCs w:val="28"/>
        </w:rPr>
        <w:t>.</w:t>
      </w:r>
    </w:p>
    <w:p w14:paraId="4BB433AA" w14:textId="70B9A073" w:rsidR="009A71C7" w:rsidRPr="006A68CE"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العمل في موقع قيادي أو تخصصي يُمكّن من إبداء آراء وثيقة الصلة بمتغيرات الدراسة</w:t>
      </w:r>
      <w:r>
        <w:rPr>
          <w:rFonts w:ascii="Traditional Arabic" w:hAnsi="Traditional Arabic" w:cs="Traditional Arabic"/>
          <w:sz w:val="28"/>
          <w:szCs w:val="28"/>
        </w:rPr>
        <w:t>.</w:t>
      </w:r>
    </w:p>
    <w:p w14:paraId="2DDE6444" w14:textId="5F612A7C" w:rsidR="009A71C7" w:rsidRPr="005053B9" w:rsidRDefault="009A71C7" w:rsidP="00B7711D">
      <w:pPr>
        <w:pStyle w:val="ListParagraph"/>
        <w:numPr>
          <w:ilvl w:val="0"/>
          <w:numId w:val="33"/>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الاستعداد للمشاركة طوعاً في الدراسة وإتمام الاستبانة بصورة كاملة</w:t>
      </w:r>
      <w:r>
        <w:rPr>
          <w:rFonts w:ascii="Traditional Arabic" w:hAnsi="Traditional Arabic" w:cs="Traditional Arabic"/>
          <w:sz w:val="28"/>
          <w:szCs w:val="28"/>
        </w:rPr>
        <w:t>.</w:t>
      </w:r>
    </w:p>
    <w:p w14:paraId="47B95614" w14:textId="2DA7C60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وللتحقق الفعلي من توافر معايير الإدراج المذكورة قبل قبول أي استجابة ضمن العينة، تُدرَج في مستهل الاستبانة الإلكترونية أسئلة فرز (Screening Questions) تتحقق من سنوات الخبرة، والاطلاع على ممارسات القطاع، وطبيعة الموقع الوظيفي؛ بحيث يُصمَّم النظام الإلكتروني (Google Forms) لاستبعاد المستجيب تلقائياً وإنهاء الاستبانة إذا لم تنطبق عليه إحدى هذه المعايير، دون احتساب استجابته ضمن العينة النهائية.</w:t>
      </w:r>
    </w:p>
    <w:p w14:paraId="47B95613" w14:textId="2DA7C604"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وتعتمد الدراسة أساساً على تحليل القوة الإحصائية (Power Analysis) بوصفه الأساس العلمي المحدِّد لحجم العينة، إذ يرتبط الحجم المطلوب فعلياً بمستوى القوة الإحصائية المستهدفة، وعدد المتغيرات المتنبئة، وحجم الأثر المتوقع، وتعقيد النموذج البنائي؛ لا بحدٍّ عام ثابت يُفرَض على جميع نماذج</w:t>
      </w:r>
      <w:r>
        <w:rPr>
          <w:rFonts w:ascii="Traditional Arabic" w:hAnsi="Traditional Arabic" w:cs="Traditional Arabic"/>
          <w:sz w:val="28"/>
          <w:szCs w:val="28"/>
        </w:rPr>
        <w:t xml:space="preserve"> PLS-SEM</w:t>
      </w:r>
      <w:r>
        <w:rPr>
          <w:rFonts w:ascii="Traditional Arabic" w:hAnsi="Traditional Arabic" w:cs="Traditional Arabic"/>
          <w:sz w:val="28"/>
          <w:szCs w:val="28"/>
          <w:rtl/>
        </w:rPr>
        <w:t xml:space="preserve"> بصرف النظر عن خصائصها. وبناءً على ذلك، اعتمدت الدراسة برنامج</w:t>
      </w:r>
      <w:r>
        <w:rPr>
          <w:rFonts w:ascii="Traditional Arabic" w:hAnsi="Traditional Arabic" w:cs="Traditional Arabic"/>
          <w:sz w:val="28"/>
          <w:szCs w:val="28"/>
        </w:rPr>
        <w:t xml:space="preserve"> G*Power</w:t>
      </w:r>
      <w:r>
        <w:rPr>
          <w:rFonts w:ascii="Traditional Arabic" w:hAnsi="Traditional Arabic" w:cs="Traditional Arabic"/>
          <w:sz w:val="28"/>
          <w:szCs w:val="28"/>
          <w:rtl/>
        </w:rPr>
        <w:t xml:space="preserve"> لتحديد الحد الأدنى الفعلي للعينة بحجم أثر متوسط مسوَّغ (f²=0.15) وعدد متنبئات مطابق لأكبر عدد مسارات مباشرة داخلة على متغير كامن واحد في النموذج النهائي (انظر الملاحظة أدناه)، ثم اعتُمد المعيار العلمي الشائع في أدبيات </w:t>
      </w:r>
      <w:r>
        <w:rPr>
          <w:rFonts w:ascii="Traditional Arabic" w:hAnsi="Traditional Arabic" w:cs="Traditional Arabic"/>
          <w:sz w:val="28"/>
          <w:szCs w:val="28"/>
        </w:rPr>
        <w:t>PLS-SEM (Hair et al., 2019; Kline, 2016)</w:t>
      </w:r>
      <w:r>
        <w:rPr>
          <w:rFonts w:ascii="Traditional Arabic" w:hAnsi="Traditional Arabic" w:cs="Traditional Arabic"/>
          <w:sz w:val="28"/>
          <w:szCs w:val="28"/>
          <w:rtl/>
        </w:rPr>
        <w:t xml:space="preserve"> بحد أدنى (200) استجابة معياراً تحفظياً إضافياً يُراد به ضمان القدرة على التحليل الهيكلي وتحقيق متطلبات الصدق والثبات ودرجات الحرية بصرف النظر عن نتيجة تحليل القوة، على أن يُعتمَد الحجم الأكبر من بين نتائج المعيارين ضماناً لأعلى مستوى تحفظ إحصائي</w:t>
      </w:r>
      <w:r>
        <w:rPr>
          <w:rFonts w:ascii="Traditional Arabic" w:hAnsi="Traditional Arabic" w:cs="Traditional Arabic"/>
          <w:sz w:val="28"/>
          <w:szCs w:val="28"/>
        </w:rPr>
        <w:t>.</w:t>
      </w:r>
    </w:p>
    <w:p w14:paraId="768EE269" w14:textId="77777777" w:rsidR="00B33C3D" w:rsidRPr="00943C1C" w:rsidRDefault="00B33C3D" w:rsidP="00B33C3D">
      <w:pPr>
        <w:bidi/>
        <w:jc w:val="both"/>
        <w:rPr>
          <w:rFonts w:ascii="Traditional Arabic" w:hAnsi="Traditional Arabic" w:cs="Traditional Arabic"/>
          <w:sz w:val="28"/>
          <w:szCs w:val="28"/>
          <w:rtl/>
        </w:rPr>
      </w:pPr>
    </w:p>
    <w:p w14:paraId="2C27FAC9" w14:textId="4F7872B1" w:rsidR="009A71C7" w:rsidRPr="008B1E32" w:rsidRDefault="009A71C7" w:rsidP="00B7711D">
      <w:pPr>
        <w:pStyle w:val="ListParagraph"/>
        <w:numPr>
          <w:ilvl w:val="0"/>
          <w:numId w:val="32"/>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حجم العينة المستهدف</w:t>
      </w:r>
    </w:p>
    <w:tbl>
      <w:tblPr>
        <w:tblStyle w:val="GridTable4-Accent3"/>
        <w:bidiVisual/>
        <w:tblW w:w="9026" w:type="dxa"/>
        <w:tblLook w:val="04A0" w:firstRow="1" w:lastRow="0" w:firstColumn="1" w:lastColumn="0" w:noHBand="0" w:noVBand="1"/>
      </w:tblPr>
      <w:tblGrid>
        <w:gridCol w:w="5483"/>
        <w:gridCol w:w="3543"/>
      </w:tblGrid>
      <w:tr w:rsidR="009363AF" w14:paraId="01E0358C" w14:textId="77777777" w:rsidTr="00FE4BF8">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218837EA" w14:textId="77777777" w:rsidR="009363AF" w:rsidRPr="0040691A" w:rsidRDefault="009363AF" w:rsidP="00EA448A">
            <w:pPr>
              <w:bidi/>
              <w:jc w:val="center"/>
              <w:rPr>
                <w:rFonts w:ascii="Traditional Arabic" w:hAnsi="Traditional Arabic" w:cs="Traditional Arabic"/>
                <w:sz w:val="32"/>
                <w:szCs w:val="32"/>
              </w:rPr>
            </w:pPr>
            <w:r>
              <w:rPr>
                <w:rFonts w:ascii="Traditional Arabic" w:hAnsi="Traditional Arabic" w:cs="Traditional Arabic"/>
                <w:color w:val="auto"/>
                <w:sz w:val="32"/>
                <w:szCs w:val="32"/>
                <w:rtl/>
              </w:rPr>
              <w:t>المعيار</w:t>
            </w:r>
          </w:p>
        </w:tc>
        <w:tc>
          <w:tcPr>
            <w:tcW w:w="3543" w:type="dxa"/>
          </w:tcPr>
          <w:p w14:paraId="01D5CB2D" w14:textId="77777777" w:rsidR="009363AF" w:rsidRPr="0040691A" w:rsidRDefault="009363AF" w:rsidP="00EA448A">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Pr>
                <w:rFonts w:ascii="Traditional Arabic" w:hAnsi="Traditional Arabic" w:cs="Traditional Arabic"/>
                <w:color w:val="auto"/>
                <w:sz w:val="32"/>
                <w:szCs w:val="32"/>
                <w:rtl/>
              </w:rPr>
              <w:t>الحجم الموصى به</w:t>
            </w:r>
          </w:p>
        </w:tc>
      </w:tr>
      <w:tr w:rsidR="009363AF" w14:paraId="7AD60ECD"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172F82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المعيار المستخدم</w:t>
            </w:r>
          </w:p>
        </w:tc>
        <w:tc>
          <w:tcPr>
            <w:tcW w:w="3543" w:type="dxa"/>
          </w:tcPr>
          <w:p w14:paraId="02A7CFA8"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الحجم المطلوب</w:t>
            </w:r>
          </w:p>
        </w:tc>
      </w:tr>
      <w:tr w:rsidR="009363AF" w14:paraId="7C42047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102D405"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قاعدة عشرة أمثال (10× لكل مسار في النموذج)</w:t>
            </w:r>
          </w:p>
        </w:tc>
        <w:tc>
          <w:tcPr>
            <w:tcW w:w="3543" w:type="dxa"/>
          </w:tcPr>
          <w:p w14:paraId="648C7A70"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150</w:t>
            </w:r>
          </w:p>
        </w:tc>
      </w:tr>
      <w:tr w:rsidR="009363AF" w14:paraId="50597EB2"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0BB300A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 xml:space="preserve">تحليل القوة الإحصائية (G*Power, </w:t>
            </w:r>
            <w:r>
              <w:rPr>
                <w:rFonts w:ascii="Cambria" w:hAnsi="Cambria" w:cs="Cambria" w:hint="cs"/>
                <w:b w:val="0"/>
                <w:bCs w:val="0"/>
                <w:sz w:val="28"/>
                <w:szCs w:val="28"/>
                <w:rtl/>
              </w:rPr>
              <w:t>α</w:t>
            </w:r>
            <w:r>
              <w:rPr>
                <w:rFonts w:ascii="Traditional Arabic" w:hAnsi="Traditional Arabic" w:cs="Traditional Arabic"/>
                <w:b w:val="0"/>
                <w:bCs w:val="0"/>
                <w:sz w:val="28"/>
                <w:szCs w:val="28"/>
                <w:rtl/>
              </w:rPr>
              <w:t>=0.05, القوة الإحصائية (1-</w:t>
            </w:r>
            <w:r>
              <w:rPr>
                <w:rFonts w:ascii="Cambria" w:hAnsi="Cambria" w:cs="Cambria" w:hint="cs"/>
                <w:b w:val="0"/>
                <w:bCs w:val="0"/>
                <w:sz w:val="28"/>
                <w:szCs w:val="28"/>
                <w:rtl/>
              </w:rPr>
              <w:t>β</w:t>
            </w:r>
            <w:r>
              <w:rPr>
                <w:rFonts w:ascii="Traditional Arabic" w:hAnsi="Traditional Arabic" w:cs="Traditional Arabic"/>
                <w:b w:val="0"/>
                <w:bCs w:val="0"/>
                <w:sz w:val="28"/>
                <w:szCs w:val="28"/>
                <w:rtl/>
              </w:rPr>
              <w:t xml:space="preserve">)=0.80، اختبار الانحدار الخطي المتعدد الثابت </w:t>
            </w:r>
            <w:r>
              <w:rPr>
                <w:rFonts w:ascii="Traditional Arabic" w:hAnsi="Traditional Arabic" w:cs="Traditional Arabic"/>
                <w:b w:val="0"/>
                <w:bCs w:val="0"/>
                <w:sz w:val="28"/>
                <w:szCs w:val="28"/>
              </w:rPr>
              <w:t xml:space="preserve">(F-test: Linear Multiple Regression) </w:t>
            </w:r>
            <w:r>
              <w:rPr>
                <w:rFonts w:ascii="Traditional Arabic" w:hAnsi="Traditional Arabic" w:cs="Traditional Arabic"/>
                <w:b w:val="0"/>
                <w:bCs w:val="0"/>
                <w:sz w:val="28"/>
                <w:szCs w:val="28"/>
                <w:rtl/>
              </w:rPr>
              <w:t xml:space="preserve">بحجم أثر متوسط </w:t>
            </w:r>
            <w:r>
              <w:rPr>
                <w:rFonts w:ascii="Traditional Arabic" w:hAnsi="Traditional Arabic" w:cs="Traditional Arabic"/>
                <w:b w:val="0"/>
                <w:bCs w:val="0"/>
                <w:sz w:val="28"/>
                <w:szCs w:val="28"/>
              </w:rPr>
              <w:t xml:space="preserve">(f²=0.15) </w:t>
            </w:r>
            <w:r>
              <w:rPr>
                <w:rFonts w:ascii="Traditional Arabic" w:hAnsi="Traditional Arabic" w:cs="Traditional Arabic"/>
                <w:b w:val="0"/>
                <w:bCs w:val="0"/>
                <w:sz w:val="28"/>
                <w:szCs w:val="28"/>
                <w:rtl/>
              </w:rPr>
              <w:t>وعدد متغيرات متنبئة يساوي (4)، وفق أكبر عدد فعلي من المسارات المباشرة الداخلة على متغير كامن واحد في النموذج البنائي النهائي المحسوم لهذه الدراسة؛ إذ يتبنى النموذج البنائي نموذج وساطة جزئية (Partial Mediation)، بحيث يستقبل الأداء المؤسسي أربعة مسارات مباشرة محسومة: من التحول الرقمي، ومن الاستدامة المؤسسية، ومن الحوكمة الذكية، ومن سلامة الأصول، إلى جانب المسارات غير المباشرة عبر التسلسل الوسيط. وقد اعتُمد هذا العدد نهائياً في حساب القوة الإحصائية أدناه)</w:t>
            </w:r>
          </w:p>
        </w:tc>
        <w:tc>
          <w:tcPr>
            <w:tcW w:w="3543" w:type="dxa"/>
          </w:tcPr>
          <w:p w14:paraId="6D2C1CCB"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85</w:t>
            </w:r>
          </w:p>
        </w:tc>
      </w:tr>
      <w:tr w:rsidR="009363AF" w14:paraId="0D034ACC" w14:textId="77777777" w:rsidTr="00FE4BF8">
        <w:trPr>
          <w:trHeight w:val="676"/>
        </w:trPr>
        <w:tc>
          <w:tcPr>
            <w:cnfStyle w:val="001000000000" w:firstRow="0" w:lastRow="0" w:firstColumn="1" w:lastColumn="0" w:oddVBand="0" w:evenVBand="0" w:oddHBand="0" w:evenHBand="0" w:firstRowFirstColumn="0" w:firstRowLastColumn="0" w:lastRowFirstColumn="0" w:lastRowLastColumn="0"/>
            <w:tcW w:w="5483" w:type="dxa"/>
          </w:tcPr>
          <w:p w14:paraId="145E62AF"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lastRenderedPageBreak/>
              <w:t>المعيار العلمي المعتمد في PLS-SEM (Hair et al., 2019)</w:t>
            </w:r>
          </w:p>
        </w:tc>
        <w:tc>
          <w:tcPr>
            <w:tcW w:w="3543" w:type="dxa"/>
          </w:tcPr>
          <w:p w14:paraId="03FC9C42" w14:textId="77777777" w:rsidR="009363AF" w:rsidRPr="009363AF" w:rsidRDefault="009363AF" w:rsidP="00EA448A">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Cambria Math" w:hAnsi="Cambria Math" w:cs="Cambria Math" w:hint="cs"/>
                <w:sz w:val="28"/>
                <w:szCs w:val="28"/>
                <w:rtl/>
              </w:rPr>
              <w:t>≥</w:t>
            </w:r>
            <w:r>
              <w:rPr>
                <w:rFonts w:ascii="Traditional Arabic" w:hAnsi="Traditional Arabic" w:cs="Traditional Arabic"/>
                <w:sz w:val="28"/>
                <w:szCs w:val="28"/>
                <w:rtl/>
              </w:rPr>
              <w:t xml:space="preserve"> 200</w:t>
            </w:r>
          </w:p>
        </w:tc>
      </w:tr>
      <w:tr w:rsidR="009363AF" w14:paraId="6FC2E0BC" w14:textId="77777777" w:rsidTr="00FE4B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5483" w:type="dxa"/>
          </w:tcPr>
          <w:p w14:paraId="52593E23" w14:textId="77777777" w:rsidR="009363AF" w:rsidRPr="009363AF" w:rsidRDefault="009363AF" w:rsidP="00EA448A">
            <w:pPr>
              <w:bidi/>
              <w:rPr>
                <w:rFonts w:ascii="Traditional Arabic" w:hAnsi="Traditional Arabic" w:cs="Traditional Arabic"/>
                <w:sz w:val="28"/>
                <w:szCs w:val="28"/>
              </w:rPr>
            </w:pPr>
            <w:r>
              <w:rPr>
                <w:rFonts w:ascii="Traditional Arabic" w:hAnsi="Traditional Arabic" w:cs="Traditional Arabic"/>
                <w:b w:val="0"/>
                <w:bCs w:val="0"/>
                <w:sz w:val="28"/>
                <w:szCs w:val="28"/>
                <w:rtl/>
              </w:rPr>
              <w:t>الحجم المستهدف مع مراعاة الاستبيانات غير المكتملة (15%)</w:t>
            </w:r>
          </w:p>
        </w:tc>
        <w:tc>
          <w:tcPr>
            <w:tcW w:w="3543" w:type="dxa"/>
          </w:tcPr>
          <w:p w14:paraId="44B1B03D" w14:textId="77777777" w:rsidR="009363AF" w:rsidRPr="009363AF" w:rsidRDefault="009363AF" w:rsidP="00EA448A">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235</w:t>
            </w:r>
          </w:p>
        </w:tc>
      </w:tr>
    </w:tbl>
    <w:p w14:paraId="794113DD" w14:textId="77777777" w:rsidR="009A71C7" w:rsidRPr="0035660B" w:rsidRDefault="009A71C7" w:rsidP="0035660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رابعاً: أداة جمع البيانات</w:t>
      </w:r>
    </w:p>
    <w:p w14:paraId="50A3EC76" w14:textId="5A7FD225" w:rsidR="009A71C7" w:rsidRPr="00026ED0"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الاستبانة</w:t>
      </w:r>
    </w:p>
    <w:p w14:paraId="3BB3495A"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اعتمدت الدراسة الاستبانة أداةً رئيسية لجمع البيانات الكمية، وهي الأداة الأكثر شيوعاً في الدراسات ذات المنهج الوصفي التحليلي والمعتمدة على نماذج القياس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جرى تصميم الاستبانة بصورة دقيقة تستوفي متطلبات القياس النفسي، بما في ذلك الوضوح اللغوي والدقة المفاهيمية وتغطية أبعاد النموذج كافة</w:t>
      </w:r>
      <w:r>
        <w:rPr>
          <w:rFonts w:ascii="Traditional Arabic" w:hAnsi="Traditional Arabic" w:cs="Traditional Arabic"/>
          <w:sz w:val="28"/>
          <w:szCs w:val="28"/>
        </w:rPr>
        <w:t>.</w:t>
      </w:r>
    </w:p>
    <w:p w14:paraId="6811DD68"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وتضمنت الاستبانة في نسختها الأولية (ما قبل النهائية) ستة محاور: المحور الأول يختص بالبيانات الشخصية والمهنية للمستجيبين ولا يندرج ضمن فقرات القياس الكامنة، بينما تقيس المحاور الخمسة التالية متغيرات النموذج المفاهيمي (المستقلة والوسيطة والتابعة) مجتمعةً عبر اثنتين وثمانين (82) فقرة كحد أقصى قبل التحكيم والاختبار الاستطلاعي، على أن يُحدَّد العدد النهائي الفعلي للفقرات بعد استكمال إجراءات التحكيم (CVR) والدراسة الاستطلاعية وما قد ينتج عنهما من حذف أو دمج لبعض الفقرات</w:t>
      </w:r>
      <w:r>
        <w:rPr>
          <w:rFonts w:ascii="Traditional Arabic" w:hAnsi="Traditional Arabic" w:cs="Traditional Arabic"/>
          <w:sz w:val="28"/>
          <w:szCs w:val="28"/>
        </w:rPr>
        <w:t>.</w:t>
      </w:r>
    </w:p>
    <w:p w14:paraId="6811DD6A" w14:textId="6811DD6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ونظراً لأن هذا العدد من الفقرات يُعدّ كبيراً نسبياً لاستبانة موجَّهة أساساً لقياديين ومتخصصين ذوي وقت محدود، فإن الزمن المتوقع لإكمال الاستبانة يتراوح بين (15-20) دقيقة، وسيُعرَض تقدير هذا الزمن للمستجيب في مقدمة الاستبانة. كما سيُتحقق أثناء الدراسة الاستطلاعية تحديداً من عدم وجود فقرات متكررة أو متقاربة الدلالة يمكن دمجها أو حذفها دون مساس بالمحتوى النظري لكل بُعد، بما يسهم في تقليص طول الأداة إن أمكن قبل التطبيق النهائي.</w:t>
      </w:r>
    </w:p>
    <w:p w14:paraId="6811DD69" w14:textId="6811DD7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مصادر فقرات القياس وإجراءات الترجمة: </w:t>
      </w:r>
      <w:r>
        <w:rPr>
          <w:rFonts w:ascii="Traditional Arabic" w:hAnsi="Traditional Arabic" w:cs="Traditional Arabic"/>
          <w:sz w:val="28"/>
          <w:szCs w:val="28"/>
          <w:rtl/>
        </w:rPr>
        <w:t>استُمدَّت فقرات القياس الخاصة بكل متغير من مقاييس مؤسسة في الأدبيات الأجنبية ذات الصلة، وتحديداً: فقرات التحول الرقمي مستمدة من مقاييس مستوحاة من إطار</w:t>
      </w:r>
      <w:r>
        <w:rPr>
          <w:rFonts w:ascii="Traditional Arabic" w:hAnsi="Traditional Arabic" w:cs="Traditional Arabic"/>
          <w:sz w:val="28"/>
          <w:szCs w:val="28"/>
        </w:rPr>
        <w:t xml:space="preserve"> Vial (2019) </w:t>
      </w:r>
      <w:r>
        <w:rPr>
          <w:rFonts w:ascii="Traditional Arabic" w:hAnsi="Traditional Arabic" w:cs="Traditional Arabic"/>
          <w:sz w:val="28"/>
          <w:szCs w:val="28"/>
          <w:rtl/>
        </w:rPr>
        <w:t>و</w:t>
      </w:r>
      <w:r>
        <w:rPr>
          <w:rFonts w:ascii="Traditional Arabic" w:hAnsi="Traditional Arabic" w:cs="Traditional Arabic"/>
          <w:sz w:val="28"/>
          <w:szCs w:val="28"/>
        </w:rPr>
        <w:t>Verhoef et al. (2021)</w:t>
      </w:r>
      <w:r>
        <w:rPr>
          <w:rFonts w:ascii="Traditional Arabic" w:hAnsi="Traditional Arabic" w:cs="Traditional Arabic"/>
          <w:sz w:val="28"/>
          <w:szCs w:val="28"/>
          <w:rtl/>
        </w:rPr>
        <w:t xml:space="preserve">؛ وفقرات الحوكمة الذكية من </w:t>
      </w:r>
      <w:r>
        <w:rPr>
          <w:rFonts w:ascii="Traditional Arabic" w:hAnsi="Traditional Arabic" w:cs="Traditional Arabic"/>
          <w:sz w:val="28"/>
          <w:szCs w:val="28"/>
        </w:rPr>
        <w:t xml:space="preserve">Janssen et al. (2017) </w:t>
      </w:r>
      <w:r>
        <w:rPr>
          <w:rFonts w:ascii="Traditional Arabic" w:hAnsi="Traditional Arabic" w:cs="Traditional Arabic"/>
          <w:sz w:val="28"/>
          <w:szCs w:val="28"/>
          <w:rtl/>
        </w:rPr>
        <w:t>و</w:t>
      </w:r>
      <w:r>
        <w:rPr>
          <w:rFonts w:ascii="Traditional Arabic" w:hAnsi="Traditional Arabic" w:cs="Traditional Arabic"/>
          <w:sz w:val="28"/>
          <w:szCs w:val="28"/>
        </w:rPr>
        <w:t>OECD (2020)</w:t>
      </w:r>
      <w:r>
        <w:rPr>
          <w:rFonts w:ascii="Traditional Arabic" w:hAnsi="Traditional Arabic" w:cs="Traditional Arabic"/>
          <w:sz w:val="28"/>
          <w:szCs w:val="28"/>
          <w:rtl/>
        </w:rPr>
        <w:t xml:space="preserve">؛ وفقرات الاستدامة المؤسسية من </w:t>
      </w:r>
      <w:r>
        <w:rPr>
          <w:rFonts w:ascii="Traditional Arabic" w:hAnsi="Traditional Arabic" w:cs="Traditional Arabic"/>
          <w:sz w:val="28"/>
          <w:szCs w:val="28"/>
        </w:rPr>
        <w:t xml:space="preserve">Elkington (1997) </w:t>
      </w:r>
      <w:r>
        <w:rPr>
          <w:rFonts w:ascii="Traditional Arabic" w:hAnsi="Traditional Arabic" w:cs="Traditional Arabic"/>
          <w:sz w:val="28"/>
          <w:szCs w:val="28"/>
          <w:rtl/>
        </w:rPr>
        <w:t>و</w:t>
      </w:r>
      <w:r>
        <w:rPr>
          <w:rFonts w:ascii="Traditional Arabic" w:hAnsi="Traditional Arabic" w:cs="Traditional Arabic"/>
          <w:sz w:val="28"/>
          <w:szCs w:val="28"/>
        </w:rPr>
        <w:t>Porter &amp; Kramer (2011)</w:t>
      </w:r>
      <w:r>
        <w:rPr>
          <w:rFonts w:ascii="Traditional Arabic" w:hAnsi="Traditional Arabic" w:cs="Traditional Arabic"/>
          <w:sz w:val="28"/>
          <w:szCs w:val="28"/>
          <w:rtl/>
        </w:rPr>
        <w:t xml:space="preserve">؛ وفقرات سلامة الأصول من مواصفة </w:t>
      </w:r>
      <w:r>
        <w:rPr>
          <w:rFonts w:ascii="Traditional Arabic" w:hAnsi="Traditional Arabic" w:cs="Traditional Arabic"/>
          <w:sz w:val="28"/>
          <w:szCs w:val="28"/>
        </w:rPr>
        <w:t xml:space="preserve">ISO 55000 </w:t>
      </w:r>
      <w:r>
        <w:rPr>
          <w:rFonts w:ascii="Traditional Arabic" w:hAnsi="Traditional Arabic" w:cs="Traditional Arabic"/>
          <w:sz w:val="28"/>
          <w:szCs w:val="28"/>
          <w:rtl/>
        </w:rPr>
        <w:t xml:space="preserve">ودراسة </w:t>
      </w:r>
      <w:r>
        <w:rPr>
          <w:rFonts w:ascii="Traditional Arabic" w:hAnsi="Traditional Arabic" w:cs="Traditional Arabic"/>
          <w:sz w:val="28"/>
          <w:szCs w:val="28"/>
        </w:rPr>
        <w:t>Fuller et al. (2020)</w:t>
      </w:r>
      <w:r>
        <w:rPr>
          <w:rFonts w:ascii="Traditional Arabic" w:hAnsi="Traditional Arabic" w:cs="Traditional Arabic"/>
          <w:sz w:val="28"/>
          <w:szCs w:val="28"/>
          <w:rtl/>
        </w:rPr>
        <w:t xml:space="preserve">؛ وفقرات الأداء المؤسسي من نموذج بطاقة الأداء المتوازن </w:t>
      </w:r>
      <w:r>
        <w:rPr>
          <w:rFonts w:ascii="Traditional Arabic" w:hAnsi="Traditional Arabic" w:cs="Traditional Arabic"/>
          <w:sz w:val="28"/>
          <w:szCs w:val="28"/>
        </w:rPr>
        <w:t>(Kaplan &amp; Norton, 1996)</w:t>
      </w:r>
      <w:r>
        <w:rPr>
          <w:rFonts w:ascii="Traditional Arabic" w:hAnsi="Traditional Arabic" w:cs="Traditional Arabic"/>
          <w:sz w:val="28"/>
          <w:szCs w:val="28"/>
          <w:rtl/>
        </w:rPr>
        <w:t>. ولمّا كانت هذه المقاييس مصاغة أصلاً باللغة الإنجليزية، فقد اتُّبع أسلوب الترجمة والترجمة العكسية</w:t>
      </w:r>
      <w:r>
        <w:rPr>
          <w:rFonts w:ascii="Traditional Arabic" w:hAnsi="Traditional Arabic" w:cs="Traditional Arabic"/>
          <w:sz w:val="28"/>
          <w:szCs w:val="28"/>
        </w:rPr>
        <w:t xml:space="preserve"> (Translation-Back Translation) </w:t>
      </w:r>
      <w:r>
        <w:rPr>
          <w:rFonts w:ascii="Traditional Arabic" w:hAnsi="Traditional Arabic" w:cs="Traditional Arabic"/>
          <w:sz w:val="28"/>
          <w:szCs w:val="28"/>
          <w:rtl/>
        </w:rPr>
        <w:t>وفق</w:t>
      </w:r>
      <w:r>
        <w:rPr>
          <w:rFonts w:ascii="Traditional Arabic" w:hAnsi="Traditional Arabic" w:cs="Traditional Arabic"/>
          <w:sz w:val="28"/>
          <w:szCs w:val="28"/>
        </w:rPr>
        <w:t xml:space="preserve"> Brislin (1970)</w:t>
      </w:r>
      <w:r>
        <w:rPr>
          <w:rFonts w:ascii="Traditional Arabic" w:hAnsi="Traditional Arabic" w:cs="Traditional Arabic"/>
          <w:sz w:val="28"/>
          <w:szCs w:val="28"/>
          <w:rtl/>
        </w:rPr>
        <w:t>؛ إذ تُرجمت الفقرات من الإنجليزية إلى العربية بواسطة مترجم متخصص، ثم أُعيدت ترجمتها إلى الإنجليزية بواسطة مترجم مستقل آخر لم يطّلع على النسخة الأصلية، وقُورنت النسختان الإنجليزيتان (الأصلية والمعادة) للتحقق من التطابق الدلالي، وحُسمت أي فروق عبر التشاور مع المشرف الأكاديمي.</w:t>
      </w:r>
    </w:p>
    <w:p w14:paraId="780567B5" w14:textId="780567B6"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ولتوضيح دقيق لحالة كل فقرة من حيث مصدرها، سيُدرَج في ملحق الدراسة جدول تفصيلي لكل بُعد فرعي يبيّن: المصدر الأصلي المحدَّد (المرجع والصفحة إن وُجدت)، عدد البنود المقتبسة حرفياً (Adopted) من المقياس الأصلي دون تعديل جوهري، عدد البنود المقتبسة مع تعديل الصياغة لتلائم سياق قطاع المياه السعودي (Adapted)، وعدد البنود التي طوَّرها الباحث استناداً إلى الإطار </w:t>
      </w:r>
      <w:r>
        <w:rPr>
          <w:rFonts w:ascii="Traditional Arabic" w:hAnsi="Traditional Arabic" w:cs="Traditional Arabic"/>
          <w:sz w:val="28"/>
          <w:szCs w:val="28"/>
          <w:rtl/>
        </w:rPr>
        <w:lastRenderedPageBreak/>
        <w:t>النظري للمفهوم دون الاستناد إلى بند بعينه في المقياس الأصلي (Researcher-Developed)؛ وذلك تمييزاً واضحاً بين البنود التي اقتُبست حرفياً من أداة قياس منشورة وتلك التي استُلهمت من الإطار المفاهيمي العام لمصادرها المذكورة (مثل Vial؛ OECD؛ ISO 55000).</w:t>
      </w:r>
    </w:p>
    <w:p w14:paraId="780567B4" w14:textId="19C83507"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هيكل الاستبانة</w:t>
      </w:r>
    </w:p>
    <w:tbl>
      <w:tblPr>
        <w:tblStyle w:val="GridTable4-Accent3"/>
        <w:bidiVisual/>
        <w:tblW w:w="9026" w:type="dxa"/>
        <w:tblInd w:w="10" w:type="dxa"/>
        <w:tblLook w:val="04A0" w:firstRow="1" w:lastRow="0" w:firstColumn="1" w:lastColumn="0" w:noHBand="0" w:noVBand="1"/>
      </w:tblPr>
      <w:tblGrid>
        <w:gridCol w:w="4491"/>
        <w:gridCol w:w="2535"/>
        <w:gridCol w:w="2000"/>
      </w:tblGrid>
      <w:tr w:rsidR="00FE4BF8" w:rsidRPr="0078589F" w14:paraId="072DCC65" w14:textId="77777777" w:rsidTr="00B33C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Pr>
          <w:p w14:paraId="4A0D0451" w14:textId="77777777" w:rsidR="00FE4BF8" w:rsidRPr="0078589F" w:rsidRDefault="00FE4BF8" w:rsidP="00FE4BF8">
            <w:pPr>
              <w:bidi/>
              <w:jc w:val="center"/>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المحور</w:t>
            </w:r>
          </w:p>
        </w:tc>
        <w:tc>
          <w:tcPr>
            <w:tcW w:w="2535" w:type="dxa"/>
          </w:tcPr>
          <w:p w14:paraId="706B7CE0"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المحتوى</w:t>
            </w:r>
          </w:p>
        </w:tc>
        <w:tc>
          <w:tcPr>
            <w:tcW w:w="2000" w:type="dxa"/>
          </w:tcPr>
          <w:p w14:paraId="66A29B54" w14:textId="77777777" w:rsidR="00FE4BF8" w:rsidRPr="0078589F" w:rsidRDefault="00FE4BF8" w:rsidP="00FE4BF8">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Pr>
                <w:rFonts w:ascii="Traditional Arabic" w:hAnsi="Traditional Arabic" w:cs="Traditional Arabic"/>
                <w:color w:val="auto"/>
                <w:sz w:val="32"/>
                <w:szCs w:val="32"/>
                <w:rtl/>
              </w:rPr>
              <w:t>الترقيم</w:t>
            </w:r>
          </w:p>
        </w:tc>
      </w:tr>
      <w:tr w:rsidR="00FE4BF8" w:rsidRPr="0078589F" w14:paraId="06DD9E34"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0307013B"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البيانات الشخصية والمهنية</w:t>
            </w:r>
          </w:p>
        </w:tc>
        <w:tc>
          <w:tcPr>
            <w:tcW w:w="2535" w:type="dxa"/>
            <w:vAlign w:val="center"/>
          </w:tcPr>
          <w:p w14:paraId="3EC6F34D"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الجنس، المؤهل، الخبرة، الجهة، المسمى الوظيفي</w:t>
            </w:r>
          </w:p>
        </w:tc>
        <w:tc>
          <w:tcPr>
            <w:tcW w:w="2000" w:type="dxa"/>
            <w:vAlign w:val="center"/>
          </w:tcPr>
          <w:p w14:paraId="717093A9"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أولاً</w:t>
            </w:r>
          </w:p>
        </w:tc>
      </w:tr>
      <w:tr w:rsidR="00FE4BF8" w:rsidRPr="0078589F" w14:paraId="18F41B8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F0AE24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التحول الرقمي (Digital Transformation)</w:t>
            </w:r>
          </w:p>
        </w:tc>
        <w:tc>
          <w:tcPr>
            <w:tcW w:w="2535" w:type="dxa"/>
            <w:vAlign w:val="center"/>
          </w:tcPr>
          <w:p w14:paraId="5F973F71"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17 فقرة موزعة على 4 أبعاد فرعية</w:t>
            </w:r>
          </w:p>
        </w:tc>
        <w:tc>
          <w:tcPr>
            <w:tcW w:w="2000" w:type="dxa"/>
            <w:vAlign w:val="center"/>
          </w:tcPr>
          <w:p w14:paraId="4869ABE4"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ثانياً</w:t>
            </w:r>
          </w:p>
        </w:tc>
      </w:tr>
      <w:tr w:rsidR="00FE4BF8" w:rsidRPr="0078589F" w14:paraId="3A638715"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7CFD6E3"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الاستدامة المؤسسية (Institutional Sustainability)</w:t>
            </w:r>
          </w:p>
        </w:tc>
        <w:tc>
          <w:tcPr>
            <w:tcW w:w="2535" w:type="dxa"/>
            <w:vAlign w:val="center"/>
          </w:tcPr>
          <w:p w14:paraId="2B73B70E"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3 أبعاد فرعية</w:t>
            </w:r>
          </w:p>
        </w:tc>
        <w:tc>
          <w:tcPr>
            <w:tcW w:w="2000" w:type="dxa"/>
            <w:vAlign w:val="center"/>
          </w:tcPr>
          <w:p w14:paraId="11425FD7"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ثالثاً</w:t>
            </w:r>
          </w:p>
        </w:tc>
      </w:tr>
      <w:tr w:rsidR="00FE4BF8" w:rsidRPr="0078589F" w14:paraId="5992A301"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17421184"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الحوكمة الذكية (Smart Governance) – المتغير الوسيط</w:t>
            </w:r>
          </w:p>
        </w:tc>
        <w:tc>
          <w:tcPr>
            <w:tcW w:w="2535" w:type="dxa"/>
            <w:vAlign w:val="center"/>
          </w:tcPr>
          <w:p w14:paraId="5CA6A31C"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18 فقرة موزعة على 4 أبعاد فرعية</w:t>
            </w:r>
          </w:p>
        </w:tc>
        <w:tc>
          <w:tcPr>
            <w:tcW w:w="2000" w:type="dxa"/>
            <w:vAlign w:val="center"/>
          </w:tcPr>
          <w:p w14:paraId="7FCC3ED0"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رابعاً</w:t>
            </w:r>
          </w:p>
        </w:tc>
      </w:tr>
      <w:tr w:rsidR="00FE4BF8" w:rsidRPr="0078589F" w14:paraId="2DF0306E" w14:textId="77777777" w:rsidTr="00B33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vAlign w:val="center"/>
          </w:tcPr>
          <w:p w14:paraId="69843780" w14:textId="77777777" w:rsidR="00FE4BF8" w:rsidRPr="00B33C3D" w:rsidRDefault="00FE4BF8" w:rsidP="00B33C3D">
            <w:pPr>
              <w:bidi/>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سلامة أصول البنية التحتية (Asset Integrity) – الوسيط الثاني</w:t>
            </w:r>
          </w:p>
        </w:tc>
        <w:tc>
          <w:tcPr>
            <w:tcW w:w="2535" w:type="dxa"/>
            <w:vAlign w:val="center"/>
          </w:tcPr>
          <w:p w14:paraId="1052170C"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15 فقرة موزعة على 3 أبعاد فرعية</w:t>
            </w:r>
          </w:p>
        </w:tc>
        <w:tc>
          <w:tcPr>
            <w:tcW w:w="2000" w:type="dxa"/>
            <w:vAlign w:val="center"/>
          </w:tcPr>
          <w:p w14:paraId="384AF044" w14:textId="77777777" w:rsidR="00FE4BF8" w:rsidRPr="00B33C3D" w:rsidRDefault="00FE4BF8" w:rsidP="00B33C3D">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خامساً</w:t>
            </w:r>
          </w:p>
        </w:tc>
      </w:tr>
      <w:tr w:rsidR="00FE4BF8" w:rsidRPr="0078589F" w14:paraId="6916341B" w14:textId="77777777" w:rsidTr="00B33C3D">
        <w:tc>
          <w:tcPr>
            <w:cnfStyle w:val="001000000000" w:firstRow="0" w:lastRow="0" w:firstColumn="1" w:lastColumn="0" w:oddVBand="0" w:evenVBand="0" w:oddHBand="0" w:evenHBand="0" w:firstRowFirstColumn="0" w:firstRowLastColumn="0" w:lastRowFirstColumn="0" w:lastRowLastColumn="0"/>
            <w:tcW w:w="4491" w:type="dxa"/>
            <w:vAlign w:val="center"/>
          </w:tcPr>
          <w:p w14:paraId="727EA9A0" w14:textId="77777777" w:rsidR="00FE4BF8" w:rsidRPr="00B33C3D" w:rsidRDefault="00FE4BF8" w:rsidP="00B33C3D">
            <w:pPr>
              <w:bidi/>
              <w:jc w:val="center"/>
              <w:rPr>
                <w:rFonts w:ascii="Traditional Arabic" w:hAnsi="Traditional Arabic" w:cs="Traditional Arabic"/>
                <w:b w:val="0"/>
                <w:bCs w:val="0"/>
                <w:sz w:val="28"/>
                <w:szCs w:val="28"/>
              </w:rPr>
            </w:pPr>
            <w:r>
              <w:rPr>
                <w:rFonts w:ascii="Traditional Arabic" w:hAnsi="Traditional Arabic" w:cs="Traditional Arabic"/>
                <w:b w:val="0"/>
                <w:bCs w:val="0"/>
                <w:sz w:val="28"/>
                <w:szCs w:val="28"/>
                <w:rtl/>
              </w:rPr>
              <w:t>الأداء المؤسسي (Institutional Performance) – المتغير التابع</w:t>
            </w:r>
          </w:p>
        </w:tc>
        <w:tc>
          <w:tcPr>
            <w:tcW w:w="2535" w:type="dxa"/>
            <w:vAlign w:val="center"/>
          </w:tcPr>
          <w:p w14:paraId="003E4BC6"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16 فقرة موزعة على 4 أبعاد فرعية</w:t>
            </w:r>
          </w:p>
        </w:tc>
        <w:tc>
          <w:tcPr>
            <w:tcW w:w="2000" w:type="dxa"/>
            <w:vAlign w:val="center"/>
          </w:tcPr>
          <w:p w14:paraId="70EDAD17" w14:textId="77777777" w:rsidR="00FE4BF8" w:rsidRPr="00B33C3D" w:rsidRDefault="00FE4BF8" w:rsidP="00B33C3D">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Pr>
                <w:rFonts w:ascii="Traditional Arabic" w:hAnsi="Traditional Arabic" w:cs="Traditional Arabic"/>
                <w:sz w:val="28"/>
                <w:szCs w:val="28"/>
                <w:rtl/>
              </w:rPr>
              <w:t>سادساً</w:t>
            </w:r>
          </w:p>
        </w:tc>
      </w:tr>
    </w:tbl>
    <w:p w14:paraId="104FCFEF" w14:textId="0B6544FF" w:rsidR="009A71C7" w:rsidRPr="00B33C3D" w:rsidRDefault="009A71C7" w:rsidP="00B33C3D">
      <w:pPr>
        <w:pStyle w:val="ListParagraph"/>
        <w:bidi/>
        <w:jc w:val="both"/>
        <w:rPr>
          <w:rFonts w:asciiTheme="majorHAnsi" w:eastAsiaTheme="majorEastAsia" w:hAnsiTheme="majorHAnsi" w:cstheme="majorBidi"/>
          <w:color w:val="2F5496" w:themeColor="accent1" w:themeShade="BF"/>
          <w:sz w:val="32"/>
          <w:szCs w:val="32"/>
          <w:rtl/>
        </w:rPr>
      </w:pPr>
    </w:p>
    <w:p w14:paraId="60E8D006" w14:textId="7C13FAF0" w:rsidR="009A71C7" w:rsidRPr="00B33C3D" w:rsidRDefault="009A71C7" w:rsidP="00B7711D">
      <w:pPr>
        <w:pStyle w:val="ListParagraph"/>
        <w:numPr>
          <w:ilvl w:val="0"/>
          <w:numId w:val="34"/>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مقياس الإجابة</w:t>
      </w:r>
    </w:p>
    <w:p w14:paraId="5E816BF6" w14:textId="5E816BF8"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ولأغراض التحليل الإحصائي، رُمِّزت فقرات كل متغير وفق نظام ترميز موحَّد يجمع بين اختصار المتغير ورقم البُعد الفرعي ورقم الفقرة داخله؛ فعلى سبيل المثال تُرمَّز فقرات التحول الرقمي بالصيغة</w:t>
      </w:r>
      <w:r>
        <w:rPr>
          <w:rFonts w:ascii="Traditional Arabic" w:hAnsi="Traditional Arabic" w:cs="Traditional Arabic"/>
          <w:sz w:val="28"/>
          <w:szCs w:val="28"/>
        </w:rPr>
        <w:t xml:space="preserve"> DT1.1–DT1.n </w:t>
      </w:r>
      <w:r>
        <w:rPr>
          <w:rFonts w:ascii="Traditional Arabic" w:hAnsi="Traditional Arabic" w:cs="Traditional Arabic"/>
          <w:sz w:val="28"/>
          <w:szCs w:val="28"/>
          <w:rtl/>
        </w:rPr>
        <w:t xml:space="preserve">للبُعد الفرعي الأول وهكذا؛ وتُرمَّز فقرات الاستدامة المؤسسية بالصيغة </w:t>
      </w:r>
      <w:r>
        <w:rPr>
          <w:rFonts w:ascii="Traditional Arabic" w:hAnsi="Traditional Arabic" w:cs="Traditional Arabic"/>
          <w:sz w:val="28"/>
          <w:szCs w:val="28"/>
        </w:rPr>
        <w:t>IS1.1–IS3.n</w:t>
      </w:r>
      <w:r>
        <w:rPr>
          <w:rFonts w:ascii="Traditional Arabic" w:hAnsi="Traditional Arabic" w:cs="Traditional Arabic"/>
          <w:sz w:val="28"/>
          <w:szCs w:val="28"/>
          <w:rtl/>
        </w:rPr>
        <w:t xml:space="preserve">؛ وفقرات الحوكمة الذكية بالصيغة </w:t>
      </w:r>
      <w:r>
        <w:rPr>
          <w:rFonts w:ascii="Traditional Arabic" w:hAnsi="Traditional Arabic" w:cs="Traditional Arabic"/>
          <w:sz w:val="28"/>
          <w:szCs w:val="28"/>
        </w:rPr>
        <w:t>SG1.1–SG4.n</w:t>
      </w:r>
      <w:r>
        <w:rPr>
          <w:rFonts w:ascii="Traditional Arabic" w:hAnsi="Traditional Arabic" w:cs="Traditional Arabic"/>
          <w:sz w:val="28"/>
          <w:szCs w:val="28"/>
          <w:rtl/>
        </w:rPr>
        <w:t xml:space="preserve">؛ وفقرات سلامة الأصول بالصيغة </w:t>
      </w:r>
      <w:r>
        <w:rPr>
          <w:rFonts w:ascii="Traditional Arabic" w:hAnsi="Traditional Arabic" w:cs="Traditional Arabic"/>
          <w:sz w:val="28"/>
          <w:szCs w:val="28"/>
        </w:rPr>
        <w:t>AI1.1–AI3.n</w:t>
      </w:r>
      <w:r>
        <w:rPr>
          <w:rFonts w:ascii="Traditional Arabic" w:hAnsi="Traditional Arabic" w:cs="Traditional Arabic"/>
          <w:sz w:val="28"/>
          <w:szCs w:val="28"/>
          <w:rtl/>
        </w:rPr>
        <w:t xml:space="preserve">؛ وفقرات الأداء المؤسسي بالصيغة </w:t>
      </w:r>
      <w:r>
        <w:rPr>
          <w:rFonts w:ascii="Traditional Arabic" w:hAnsi="Traditional Arabic" w:cs="Traditional Arabic"/>
          <w:sz w:val="28"/>
          <w:szCs w:val="28"/>
        </w:rPr>
        <w:t>IP1.1–IP4.n</w:t>
      </w:r>
      <w:r>
        <w:rPr>
          <w:rFonts w:ascii="Traditional Arabic" w:hAnsi="Traditional Arabic" w:cs="Traditional Arabic"/>
          <w:sz w:val="28"/>
          <w:szCs w:val="28"/>
          <w:rtl/>
        </w:rPr>
        <w:t>. وسيُعرَض الدليل الكامل لترميز الفقرات مع نصوصها الكاملة في ملحق الدراسة.</w:t>
      </w:r>
    </w:p>
    <w:p w14:paraId="5E816BF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مقياس ليكرت الخماسي</w:t>
      </w:r>
      <w:r>
        <w:rPr>
          <w:rFonts w:ascii="Traditional Arabic" w:hAnsi="Traditional Arabic" w:cs="Traditional Arabic"/>
          <w:sz w:val="28"/>
          <w:szCs w:val="28"/>
        </w:rPr>
        <w:t xml:space="preserve"> (Likert Scale) </w:t>
      </w:r>
      <w:r>
        <w:rPr>
          <w:rFonts w:ascii="Traditional Arabic" w:hAnsi="Traditional Arabic" w:cs="Traditional Arabic"/>
          <w:sz w:val="28"/>
          <w:szCs w:val="28"/>
          <w:rtl/>
        </w:rPr>
        <w:t>لقياس استجابات أفراد العينة، وهو المقياس الأكثر شيوعاً وقبولاً في الدراسات الإدارية والاجتماعية التي تعتمد نماذج المعادلات الهيكلية</w:t>
      </w:r>
      <w:r>
        <w:rPr>
          <w:rFonts w:ascii="Traditional Arabic" w:hAnsi="Traditional Arabic" w:cs="Traditional Arabic"/>
          <w:sz w:val="28"/>
          <w:szCs w:val="28"/>
        </w:rPr>
        <w:t xml:space="preserve"> (Hair et al., 2019). </w:t>
      </w:r>
      <w:r>
        <w:rPr>
          <w:rFonts w:ascii="Traditional Arabic" w:hAnsi="Traditional Arabic" w:cs="Traditional Arabic"/>
          <w:sz w:val="28"/>
          <w:szCs w:val="28"/>
          <w:rtl/>
        </w:rPr>
        <w:t>وقد مُنح لكل بديل وزن عددي على النحو الآتي</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4513"/>
        <w:gridCol w:w="4513"/>
      </w:tblGrid>
      <w:tr w:rsidR="00301FBE" w14:paraId="41716E93" w14:textId="77777777" w:rsidTr="00301F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159E2931" w14:textId="77777777" w:rsidR="00301FBE" w:rsidRPr="008A0649" w:rsidRDefault="00301FBE" w:rsidP="00301FBE">
            <w:pPr>
              <w:bidi/>
              <w:jc w:val="center"/>
              <w:rPr>
                <w:sz w:val="32"/>
                <w:szCs w:val="32"/>
              </w:rPr>
            </w:pPr>
            <w:r>
              <w:rPr>
                <w:rFonts w:ascii="Traditional Arabic" w:eastAsia="Traditional Arabic" w:hAnsi="Traditional Arabic" w:cs="Traditional Arabic"/>
                <w:color w:val="FFFFFF"/>
                <w:sz w:val="32"/>
                <w:szCs w:val="32"/>
                <w:rtl/>
              </w:rPr>
              <w:t>التدريج</w:t>
            </w:r>
          </w:p>
        </w:tc>
        <w:tc>
          <w:tcPr>
            <w:tcW w:w="4513" w:type="dxa"/>
            <w:vAlign w:val="center"/>
          </w:tcPr>
          <w:p w14:paraId="6F9EFD89" w14:textId="77777777" w:rsidR="00301FBE" w:rsidRPr="008A0649" w:rsidRDefault="00301FBE" w:rsidP="00301FBE">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الدلالة</w:t>
            </w:r>
          </w:p>
        </w:tc>
      </w:tr>
      <w:tr w:rsidR="00301FBE" w14:paraId="0B9E5BDE"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7ABD658"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1 – لا أوافق بشدة</w:t>
            </w:r>
          </w:p>
        </w:tc>
        <w:tc>
          <w:tcPr>
            <w:tcW w:w="4513" w:type="dxa"/>
            <w:vAlign w:val="center"/>
          </w:tcPr>
          <w:p w14:paraId="564AB8BF"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 جداً</w:t>
            </w:r>
          </w:p>
        </w:tc>
      </w:tr>
      <w:tr w:rsidR="00301FBE" w14:paraId="3EDC9E87"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5371D60"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lastRenderedPageBreak/>
              <w:t>2 – لا أوافق</w:t>
            </w:r>
          </w:p>
        </w:tc>
        <w:tc>
          <w:tcPr>
            <w:tcW w:w="4513" w:type="dxa"/>
            <w:vAlign w:val="center"/>
          </w:tcPr>
          <w:p w14:paraId="3E6EE1E3"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منخفضة</w:t>
            </w:r>
          </w:p>
        </w:tc>
      </w:tr>
      <w:tr w:rsidR="00301FBE" w14:paraId="20ECACD8"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0BA6B7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3 – محايد</w:t>
            </w:r>
          </w:p>
        </w:tc>
        <w:tc>
          <w:tcPr>
            <w:tcW w:w="4513" w:type="dxa"/>
            <w:vAlign w:val="center"/>
          </w:tcPr>
          <w:p w14:paraId="7AB8DC69"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متوسطة</w:t>
            </w:r>
          </w:p>
        </w:tc>
      </w:tr>
      <w:tr w:rsidR="00301FBE" w14:paraId="7FD64364" w14:textId="77777777" w:rsidTr="00301FBE">
        <w:trPr>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32AFA852"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4 – أوافق</w:t>
            </w:r>
          </w:p>
        </w:tc>
        <w:tc>
          <w:tcPr>
            <w:tcW w:w="4513" w:type="dxa"/>
            <w:vAlign w:val="center"/>
          </w:tcPr>
          <w:p w14:paraId="17D92111" w14:textId="77777777" w:rsidR="00301FBE" w:rsidRPr="008A0649" w:rsidRDefault="00301FBE" w:rsidP="00301FBE">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w:t>
            </w:r>
          </w:p>
        </w:tc>
      </w:tr>
      <w:tr w:rsidR="00301FBE" w14:paraId="2F38151D" w14:textId="77777777" w:rsidTr="00301F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vAlign w:val="center"/>
          </w:tcPr>
          <w:p w14:paraId="59E458B3" w14:textId="77777777" w:rsidR="00301FBE" w:rsidRPr="008A0649" w:rsidRDefault="00301FBE" w:rsidP="00301FBE">
            <w:pPr>
              <w:bidi/>
              <w:jc w:val="center"/>
              <w:rPr>
                <w:sz w:val="28"/>
                <w:szCs w:val="28"/>
              </w:rPr>
            </w:pPr>
            <w:r>
              <w:rPr>
                <w:rFonts w:ascii="Traditional Arabic" w:eastAsia="Traditional Arabic" w:hAnsi="Traditional Arabic" w:cs="Traditional Arabic"/>
                <w:b w:val="0"/>
                <w:bCs w:val="0"/>
                <w:color w:val="1B2A4A"/>
                <w:sz w:val="28"/>
                <w:szCs w:val="28"/>
                <w:rtl/>
              </w:rPr>
              <w:t>5 – أوافق بشدة</w:t>
            </w:r>
          </w:p>
        </w:tc>
        <w:tc>
          <w:tcPr>
            <w:tcW w:w="4513" w:type="dxa"/>
            <w:vAlign w:val="center"/>
          </w:tcPr>
          <w:p w14:paraId="282BB128" w14:textId="77777777" w:rsidR="00301FBE" w:rsidRPr="008A0649" w:rsidRDefault="00301FBE" w:rsidP="00301FBE">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درجة موافقة مرتفعة جداً</w:t>
            </w:r>
          </w:p>
        </w:tc>
      </w:tr>
    </w:tbl>
    <w:p w14:paraId="10CB9B9D" w14:textId="77777777" w:rsidR="009A71C7" w:rsidRPr="00695D4D" w:rsidRDefault="009A71C7" w:rsidP="00695D4D">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خامساً: تحديد متغيرات الدراسة</w:t>
      </w:r>
    </w:p>
    <w:p w14:paraId="6E1D92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تنطوي الدراسة على خمسة متغيرات رئيسة تتوزع على ثلاثة مستويات: متغيران مستقلان، ومتغيران وسيطان، ومتغير تابع واحد. وفيما يلي التعريف الإجرائي لكل متغير بما يحدد آليات قياسه في الاستبانة</w:t>
      </w:r>
      <w:r>
        <w:rPr>
          <w:rFonts w:ascii="Traditional Arabic" w:hAnsi="Traditional Arabic" w:cs="Traditional Arabic"/>
          <w:sz w:val="28"/>
          <w:szCs w:val="28"/>
        </w:rPr>
        <w:t>:</w:t>
      </w:r>
    </w:p>
    <w:p w14:paraId="7F8D089C" w14:textId="05B9E883" w:rsidR="009A71C7" w:rsidRPr="0026213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المستقلان</w:t>
      </w:r>
    </w:p>
    <w:p w14:paraId="60904893"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sz w:val="28"/>
          <w:szCs w:val="28"/>
          <w:rtl/>
        </w:rPr>
        <w:t xml:space="preserve"> يُقصد به مدى توظيف المؤسسات المائية للتقنيات الرقمية الحديثة – كأنظمة العدادات الذكية</w:t>
      </w:r>
      <w:r>
        <w:rPr>
          <w:rFonts w:ascii="Traditional Arabic" w:hAnsi="Traditional Arabic" w:cs="Traditional Arabic"/>
          <w:sz w:val="28"/>
          <w:szCs w:val="28"/>
        </w:rPr>
        <w:t xml:space="preserve"> (AMR/AMI) </w:t>
      </w:r>
      <w:r>
        <w:rPr>
          <w:rFonts w:ascii="Traditional Arabic" w:hAnsi="Traditional Arabic" w:cs="Traditional Arabic"/>
          <w:sz w:val="28"/>
          <w:szCs w:val="28"/>
          <w:rtl/>
        </w:rPr>
        <w:t>وأنظمة التحكم الإشرافي</w:t>
      </w:r>
      <w:r>
        <w:rPr>
          <w:rFonts w:ascii="Traditional Arabic" w:hAnsi="Traditional Arabic" w:cs="Traditional Arabic"/>
          <w:sz w:val="28"/>
          <w:szCs w:val="28"/>
        </w:rPr>
        <w:t xml:space="preserve"> (SCADA) </w:t>
      </w:r>
      <w:r>
        <w:rPr>
          <w:rFonts w:ascii="Traditional Arabic" w:hAnsi="Traditional Arabic" w:cs="Traditional Arabic"/>
          <w:sz w:val="28"/>
          <w:szCs w:val="28"/>
          <w:rtl/>
        </w:rPr>
        <w:t>والذكاء الاصطناعي وتحليلات البيانات الضخمة – في إدارة عمليات البنية التحتية المائية واتخاذ القرارات التشغيلية والاستراتيجية. ويُقاس بأربعة أبعاد فرعية: نضج البنية التقنية الرقمية، وجاهزية البيانات وتكاملها، والتكامل التقني بين الأنظمة، وتمكين اتخاذ القرار الرقمي</w:t>
      </w:r>
      <w:r>
        <w:rPr>
          <w:rFonts w:ascii="Traditional Arabic" w:hAnsi="Traditional Arabic" w:cs="Traditional Arabic"/>
          <w:sz w:val="28"/>
          <w:szCs w:val="28"/>
        </w:rPr>
        <w:t>.</w:t>
      </w:r>
    </w:p>
    <w:p w14:paraId="1A3D0BA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الاستدامة المؤسسية:</w:t>
      </w:r>
      <w:r>
        <w:rPr>
          <w:rFonts w:ascii="Traditional Arabic" w:hAnsi="Traditional Arabic" w:cs="Traditional Arabic"/>
          <w:sz w:val="28"/>
          <w:szCs w:val="28"/>
          <w:rtl/>
        </w:rPr>
        <w:t xml:space="preserve"> تُشير إلى منظومة السياسات والممارسات الإدارية التي تكفل استمرارية الخدمات المائية وإدارة دورة حياة الأصول بكفاءة، مع تعزيز الأبعاد البيئية والاقتصادية والمجتمعية في القرارات التشغيلية والمؤسسية. وتُقاس بثلاثة أبعاد: الاستدامة التشغيلية والبيئية، وكفاءة إدارة الموارد، والمرونة المؤسسية والإدارة الوقائية</w:t>
      </w:r>
      <w:r>
        <w:rPr>
          <w:rFonts w:ascii="Traditional Arabic" w:hAnsi="Traditional Arabic" w:cs="Traditional Arabic"/>
          <w:sz w:val="28"/>
          <w:szCs w:val="28"/>
        </w:rPr>
        <w:t>.</w:t>
      </w:r>
    </w:p>
    <w:p w14:paraId="5552FA9F" w14:textId="77777777" w:rsidR="00FB579D" w:rsidRPr="00943C1C" w:rsidRDefault="00FB579D" w:rsidP="00FB579D">
      <w:pPr>
        <w:bidi/>
        <w:jc w:val="both"/>
        <w:rPr>
          <w:rFonts w:ascii="Traditional Arabic" w:hAnsi="Traditional Arabic" w:cs="Traditional Arabic"/>
          <w:sz w:val="28"/>
          <w:szCs w:val="28"/>
          <w:rtl/>
        </w:rPr>
      </w:pPr>
    </w:p>
    <w:p w14:paraId="32F45D0F" w14:textId="6095739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المتغيران الوسيطان</w:t>
      </w:r>
    </w:p>
    <w:p w14:paraId="63A2D10E"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الحوكمة الذكية:</w:t>
      </w:r>
      <w:r>
        <w:rPr>
          <w:rFonts w:ascii="Traditional Arabic" w:hAnsi="Traditional Arabic" w:cs="Traditional Arabic"/>
          <w:sz w:val="28"/>
          <w:szCs w:val="28"/>
          <w:rtl/>
        </w:rPr>
        <w:t xml:space="preserve"> تُمثل منظومة متكاملة من السياسات والهياكل التنظيمية وآليات اتخاذ القرار القائمة على البيانات، التي تضمن توجيه المبادرات الرقمية وممارسات الاستدامة بصورة منهجية تخدم أهداف إدارة الأصول. وتُقاس بأربعة أبعاد: وضوح إطار الحوكمة والأدوار، وجودة حوكمة البيانات، والرقابة والمساءلة المؤسسية، وصنع القرار الاستراتيجي القائم على البيانات</w:t>
      </w:r>
      <w:r>
        <w:rPr>
          <w:rFonts w:ascii="Traditional Arabic" w:hAnsi="Traditional Arabic" w:cs="Traditional Arabic"/>
          <w:sz w:val="28"/>
          <w:szCs w:val="28"/>
        </w:rPr>
        <w:t>.</w:t>
      </w:r>
    </w:p>
    <w:p w14:paraId="783AE04C"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سلامة أصول البنية التحتية:</w:t>
      </w:r>
      <w:r>
        <w:rPr>
          <w:rFonts w:ascii="Traditional Arabic" w:hAnsi="Traditional Arabic" w:cs="Traditional Arabic"/>
          <w:sz w:val="28"/>
          <w:szCs w:val="28"/>
          <w:rtl/>
        </w:rPr>
        <w:t xml:space="preserve"> تعكس الحالة الفنية والتشغيلية للأصول المائية ومدى موثوقيتها وقدرتها على أداء وظائفها بكفاءة وأمان، بما يشمل جودة عمليات التفتيش والصيانة والرصد المستمر. وتُقاس بثلاثة أبعاد: موثوقية الأصول وجاهزيتها، وفاعلية التفتيش والصيانة الوقائية، وإدارة المخاطر التشغيلية للأصول</w:t>
      </w:r>
      <w:r>
        <w:rPr>
          <w:rFonts w:ascii="Traditional Arabic" w:hAnsi="Traditional Arabic" w:cs="Traditional Arabic"/>
          <w:sz w:val="28"/>
          <w:szCs w:val="28"/>
        </w:rPr>
        <w:t>.</w:t>
      </w:r>
    </w:p>
    <w:p w14:paraId="05BBB820" w14:textId="78856BB3" w:rsidR="009A71C7" w:rsidRPr="00110146" w:rsidRDefault="009A71C7" w:rsidP="00B7711D">
      <w:pPr>
        <w:pStyle w:val="ListParagraph"/>
        <w:numPr>
          <w:ilvl w:val="0"/>
          <w:numId w:val="35"/>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المتغير التابع</w:t>
      </w:r>
    </w:p>
    <w:p w14:paraId="0D93687D"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الأداء المؤسسي:</w:t>
      </w:r>
      <w:r>
        <w:rPr>
          <w:rFonts w:ascii="Traditional Arabic" w:hAnsi="Traditional Arabic" w:cs="Traditional Arabic"/>
          <w:sz w:val="28"/>
          <w:szCs w:val="28"/>
          <w:rtl/>
        </w:rPr>
        <w:t xml:space="preserve"> يعكس النتائج الشاملة لتكامل المتغيرات السابقة من حيث كفاءة التشغيل، وجودة الخدمة المقدمة، والاستدامة المالية، والقدرة على الابتكار المؤسسي. ويُقاس بأربعة أبعاد: الكفاءة التشغيلية والإنتاجية، وجودة الخدمة ورضا المستفيدين، والأداء المالي والكفاءة الاقتصادية، والتعلم المؤسسي والابتكار</w:t>
      </w:r>
      <w:r>
        <w:rPr>
          <w:rFonts w:ascii="Traditional Arabic" w:hAnsi="Traditional Arabic" w:cs="Traditional Arabic"/>
          <w:sz w:val="28"/>
          <w:szCs w:val="28"/>
        </w:rPr>
        <w:t>.</w:t>
      </w:r>
    </w:p>
    <w:p w14:paraId="340818EC" w14:textId="77777777" w:rsidR="009A71C7" w:rsidRPr="00BA30BC" w:rsidRDefault="009A71C7" w:rsidP="00BA30BC">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سادساً: تحديد إجراءات تنفيذ الدراسة</w:t>
      </w:r>
    </w:p>
    <w:p w14:paraId="700F742A" w14:textId="179B1799" w:rsidR="009D0DFF" w:rsidRPr="00FB579D"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مراحل تطوير أداة القياس</w:t>
      </w:r>
    </w:p>
    <w:p w14:paraId="5FAFEE6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اتبعت الدراسة منهجاً علمياً متسلسلاً في تطوير أداة القياس يمكن إجماله في المراحل الآتية</w:t>
      </w:r>
      <w:r>
        <w:rPr>
          <w:rFonts w:ascii="Traditional Arabic" w:hAnsi="Traditional Arabic" w:cs="Traditional Arabic"/>
          <w:sz w:val="28"/>
          <w:szCs w:val="28"/>
        </w:rPr>
        <w:t>:</w:t>
      </w:r>
    </w:p>
    <w:tbl>
      <w:tblPr>
        <w:tblStyle w:val="GridTable4-Accent3"/>
        <w:tblpPr w:leftFromText="180" w:rightFromText="180" w:vertAnchor="text" w:tblpXSpec="center" w:tblpY="1"/>
        <w:tblOverlap w:val="never"/>
        <w:bidiVisual/>
        <w:tblW w:w="9026" w:type="dxa"/>
        <w:jc w:val="center"/>
        <w:tblLook w:val="04A0" w:firstRow="1" w:lastRow="0" w:firstColumn="1" w:lastColumn="0" w:noHBand="0" w:noVBand="1"/>
      </w:tblPr>
      <w:tblGrid>
        <w:gridCol w:w="3000"/>
        <w:gridCol w:w="4609"/>
        <w:gridCol w:w="1417"/>
      </w:tblGrid>
      <w:tr w:rsidR="00907B87" w14:paraId="12734751" w14:textId="77777777" w:rsidTr="00FB57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3421015A" w14:textId="77777777" w:rsidR="00907B87" w:rsidRPr="00F64660" w:rsidRDefault="00907B87" w:rsidP="00907B87">
            <w:pPr>
              <w:bidi/>
              <w:jc w:val="center"/>
              <w:rPr>
                <w:sz w:val="32"/>
                <w:szCs w:val="32"/>
              </w:rPr>
            </w:pPr>
            <w:r>
              <w:rPr>
                <w:rFonts w:ascii="Traditional Arabic" w:eastAsia="Traditional Arabic" w:hAnsi="Traditional Arabic" w:cs="Traditional Arabic"/>
                <w:color w:val="FFFFFF"/>
                <w:sz w:val="32"/>
                <w:szCs w:val="32"/>
                <w:rtl/>
              </w:rPr>
              <w:t>الإجراء</w:t>
            </w:r>
          </w:p>
        </w:tc>
        <w:tc>
          <w:tcPr>
            <w:tcW w:w="4609" w:type="dxa"/>
            <w:vAlign w:val="center"/>
          </w:tcPr>
          <w:p w14:paraId="713DB3A5"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الوصف</w:t>
            </w:r>
          </w:p>
        </w:tc>
        <w:tc>
          <w:tcPr>
            <w:tcW w:w="1417" w:type="dxa"/>
            <w:vAlign w:val="center"/>
          </w:tcPr>
          <w:p w14:paraId="6721B03F" w14:textId="77777777" w:rsidR="00907B87" w:rsidRPr="00F64660" w:rsidRDefault="00907B87" w:rsidP="00907B87">
            <w:pPr>
              <w:bidi/>
              <w:jc w:val="center"/>
              <w:cnfStyle w:val="100000000000" w:firstRow="1" w:lastRow="0" w:firstColumn="0" w:lastColumn="0" w:oddVBand="0" w:evenVBand="0" w:oddHBand="0" w:evenHBand="0" w:firstRowFirstColumn="0" w:firstRowLastColumn="0" w:lastRowFirstColumn="0" w:lastRowLastColumn="0"/>
              <w:rPr>
                <w:sz w:val="32"/>
                <w:szCs w:val="32"/>
              </w:rPr>
            </w:pPr>
            <w:r>
              <w:rPr>
                <w:rFonts w:ascii="Traditional Arabic" w:eastAsia="Traditional Arabic" w:hAnsi="Traditional Arabic" w:cs="Traditional Arabic"/>
                <w:color w:val="FFFFFF"/>
                <w:sz w:val="32"/>
                <w:szCs w:val="32"/>
                <w:rtl/>
              </w:rPr>
              <w:t>المرحلة</w:t>
            </w:r>
          </w:p>
        </w:tc>
      </w:tr>
      <w:tr w:rsidR="00907B87" w14:paraId="0AD84C6A"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83AD83"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مراجعة الأدبيات والمقاييس المعتمدة في الدراسات السابقة</w:t>
            </w:r>
          </w:p>
        </w:tc>
        <w:tc>
          <w:tcPr>
            <w:tcW w:w="4609" w:type="dxa"/>
            <w:vAlign w:val="center"/>
          </w:tcPr>
          <w:p w14:paraId="35A4788C"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استخلاص بنود القياس الأولية من المقاييس المعرَّبة والمترجمة المعتمدة في الدراسات العالمية.</w:t>
            </w:r>
          </w:p>
        </w:tc>
        <w:tc>
          <w:tcPr>
            <w:tcW w:w="1417" w:type="dxa"/>
            <w:vAlign w:val="center"/>
          </w:tcPr>
          <w:p w14:paraId="01B15360"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الأولى</w:t>
            </w:r>
          </w:p>
        </w:tc>
      </w:tr>
      <w:tr w:rsidR="00907B87" w14:paraId="28BF3F86"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26F83D6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بناء الاستبانة الأولية وتحكيمها</w:t>
            </w:r>
          </w:p>
        </w:tc>
        <w:tc>
          <w:tcPr>
            <w:tcW w:w="4609" w:type="dxa"/>
            <w:vAlign w:val="center"/>
          </w:tcPr>
          <w:p w14:paraId="1C57658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ستُعرَض الاستبانة على (12) محكماً من أكاديميين ومتخصصين في المجالات ذات الصلة، وستُجرى التعديلات اللازمة في ضوء ملاحظاتهم.</w:t>
            </w:r>
          </w:p>
        </w:tc>
        <w:tc>
          <w:tcPr>
            <w:tcW w:w="1417" w:type="dxa"/>
            <w:vAlign w:val="center"/>
          </w:tcPr>
          <w:p w14:paraId="5FDFD36F"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الثانية</w:t>
            </w:r>
          </w:p>
        </w:tc>
      </w:tr>
      <w:tr w:rsidR="00907B87" w14:paraId="40EE2F0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6BA95F95" w14:textId="77777777" w:rsidR="00F64660" w:rsidRDefault="00907B87" w:rsidP="00F64660">
            <w:pPr>
              <w:bidi/>
              <w:rPr>
                <w:rFonts w:ascii="Traditional Arabic" w:eastAsia="Traditional Arabic" w:hAnsi="Traditional Arabic" w:cs="Traditional Arabic"/>
                <w:color w:val="1B2A4A"/>
                <w:sz w:val="28"/>
                <w:szCs w:val="28"/>
                <w:rtl/>
              </w:rPr>
            </w:pPr>
            <w:r>
              <w:rPr>
                <w:rFonts w:ascii="Traditional Arabic" w:eastAsia="Traditional Arabic" w:hAnsi="Traditional Arabic" w:cs="Traditional Arabic"/>
                <w:b w:val="0"/>
                <w:bCs w:val="0"/>
                <w:color w:val="1B2A4A"/>
                <w:sz w:val="28"/>
                <w:szCs w:val="28"/>
                <w:rtl/>
              </w:rPr>
              <w:t>الاختبار الاستطلاعي</w:t>
            </w:r>
          </w:p>
          <w:p w14:paraId="4BF4D2F1" w14:textId="2191A666"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 xml:space="preserve"> (Pilot Study)</w:t>
            </w:r>
          </w:p>
        </w:tc>
        <w:tc>
          <w:tcPr>
            <w:tcW w:w="4609" w:type="dxa"/>
            <w:vAlign w:val="center"/>
          </w:tcPr>
          <w:p w14:paraId="0A4D4A89" w14:textId="77777777"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تُطبَّق الاستبانة على عينة استطلاعية مؤلفة من (30) مستجيباً للتحقق من وضوح الفقرات وحساب معاملات الثبات الأولية. وستُوثَّق نتائج هذا الاختبار عند اكتماله في تقرير فرعي يتضمن قيم ثبات ألفا كرونباك لكل بُعد، والفقرات التي عُدِّلت أو حُذفت بناءً على تلك النتائج مع تبرير كل تعديل. ولضمان استقلالية العينة النهائية عن العينة الاستطلاعية، سيُستبعَد أفراد العينة الاستطلاعية من المشاركة في العينة النهائية للدراسة، تلافياً لأي تأثير تكراري على نتائج التحليل الرئيسي.</w:t>
            </w:r>
          </w:p>
        </w:tc>
        <w:tc>
          <w:tcPr>
            <w:tcW w:w="1417" w:type="dxa"/>
            <w:vAlign w:val="center"/>
          </w:tcPr>
          <w:p w14:paraId="52311B39"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الثالثة</w:t>
            </w:r>
          </w:p>
        </w:tc>
      </w:tr>
      <w:tr w:rsidR="00907B87" w14:paraId="43573DDB"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C8FDB4B"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تعديل الاستبانة وإخراجها في صورتها النهائية</w:t>
            </w:r>
          </w:p>
        </w:tc>
        <w:tc>
          <w:tcPr>
            <w:tcW w:w="4609" w:type="dxa"/>
            <w:vAlign w:val="center"/>
          </w:tcPr>
          <w:p w14:paraId="05DC905C"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بناءً على نتائج الاختبار الاستطلاعي، ستُجرى التعديلات اللازمة وتُعَدّ النسخة النهائية من الاستبانة.</w:t>
            </w:r>
          </w:p>
        </w:tc>
        <w:tc>
          <w:tcPr>
            <w:tcW w:w="1417" w:type="dxa"/>
            <w:vAlign w:val="center"/>
          </w:tcPr>
          <w:p w14:paraId="799AD12A"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الرابعة</w:t>
            </w:r>
          </w:p>
        </w:tc>
      </w:tr>
      <w:tr w:rsidR="00907B87" w14:paraId="6C89C3CD" w14:textId="77777777" w:rsidTr="00FB57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04ECCF4E"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توزيع الاستبانة وجمع البيانات</w:t>
            </w:r>
          </w:p>
        </w:tc>
        <w:tc>
          <w:tcPr>
            <w:tcW w:w="4609" w:type="dxa"/>
            <w:vAlign w:val="center"/>
          </w:tcPr>
          <w:p w14:paraId="0BD9A786" w14:textId="6506667C" w:rsidR="00907B87" w:rsidRPr="00907B87" w:rsidRDefault="00907B87" w:rsidP="00F64660">
            <w:pPr>
              <w:bidi/>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 xml:space="preserve">تُوزَّع الاستبانة إلكترونياً عبر رابط آمن باستخدام نظام </w:t>
            </w:r>
            <w:r>
              <w:rPr>
                <w:rFonts w:ascii="Traditional Arabic" w:eastAsia="Traditional Arabic" w:hAnsi="Traditional Arabic" w:cs="Traditional Arabic"/>
                <w:color w:val="1B2A4A"/>
                <w:sz w:val="28"/>
                <w:szCs w:val="28"/>
              </w:rPr>
              <w:t xml:space="preserve">  </w:t>
            </w:r>
            <w:r>
              <w:rPr>
                <w:rFonts w:ascii="Traditional Arabic" w:eastAsia="Traditional Arabic" w:hAnsi="Traditional Arabic" w:cs="Traditional Arabic"/>
                <w:color w:val="1B2A4A"/>
                <w:sz w:val="28"/>
                <w:szCs w:val="28"/>
                <w:rtl/>
              </w:rPr>
              <w:t xml:space="preserve">Forms </w:t>
            </w:r>
            <w:r>
              <w:rPr>
                <w:rFonts w:ascii="Traditional Arabic" w:eastAsia="Traditional Arabic" w:hAnsi="Traditional Arabic" w:cs="Traditional Arabic"/>
                <w:color w:val="1B2A4A"/>
                <w:sz w:val="28"/>
                <w:szCs w:val="28"/>
              </w:rPr>
              <w:t xml:space="preserve"> google </w:t>
            </w:r>
            <w:r>
              <w:rPr>
                <w:rFonts w:ascii="Traditional Arabic" w:eastAsia="Traditional Arabic" w:hAnsi="Traditional Arabic" w:cs="Traditional Arabic"/>
                <w:color w:val="1B2A4A"/>
                <w:sz w:val="28"/>
                <w:szCs w:val="28"/>
                <w:rtl/>
              </w:rPr>
              <w:t xml:space="preserve">، ويجري الوصول إلى المشاركين عبر قنوات رسمية تشمل: التواصل المباشر مع الإدارات المعنية في شركة المياه الوطنية عبر خطابات تعريفية موجَّهة من مشرف الدراسة، وقنوات التواصل الداخلية (البريد الإلكتروني المؤسسي) للجهات المشاركة، إضافة إلى التواصل مع جهات الاتصال في الهيئة السعودية للمياه والشركات الاستشارية. وسيُحسب معدل الاستجابة النهائي بقسمة عدد الاستبيانات الصالحة للتحليل على عدد الاستبيانات الموزَّعة، مع توثيق العدد الفعلي للاستبيانات الموزعة والمستلمة والصالحة عند اكتمال الجمع </w:t>
            </w:r>
            <w:r>
              <w:rPr>
                <w:rFonts w:ascii="Traditional Arabic" w:eastAsia="Traditional Arabic" w:hAnsi="Traditional Arabic" w:cs="Traditional Arabic"/>
                <w:color w:val="1B2A4A"/>
                <w:sz w:val="28"/>
                <w:szCs w:val="28"/>
                <w:rtl/>
              </w:rPr>
              <w:lastRenderedPageBreak/>
              <w:t>الميداني، وذلك خلال فترة زمنية مخططة تمتد من ست إلى ثماني أسابيع تبدأ عقب اعتماد النسخة النهائية للاستبانة.</w:t>
            </w:r>
          </w:p>
        </w:tc>
        <w:tc>
          <w:tcPr>
            <w:tcW w:w="1417" w:type="dxa"/>
            <w:vAlign w:val="center"/>
          </w:tcPr>
          <w:p w14:paraId="37FC7E65" w14:textId="77777777" w:rsidR="00907B87" w:rsidRPr="00907B87" w:rsidRDefault="00907B87" w:rsidP="00907B87">
            <w:pPr>
              <w:bidi/>
              <w:jc w:val="center"/>
              <w:cnfStyle w:val="000000100000" w:firstRow="0" w:lastRow="0" w:firstColumn="0" w:lastColumn="0" w:oddVBand="0" w:evenVBand="0" w:oddHBand="1"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lastRenderedPageBreak/>
              <w:t>المرحلة الخامسة</w:t>
            </w:r>
          </w:p>
        </w:tc>
      </w:tr>
      <w:tr w:rsidR="00907B87" w14:paraId="5E086EC3" w14:textId="77777777" w:rsidTr="00FB579D">
        <w:trPr>
          <w:jc w:val="center"/>
        </w:trPr>
        <w:tc>
          <w:tcPr>
            <w:cnfStyle w:val="001000000000" w:firstRow="0" w:lastRow="0" w:firstColumn="1" w:lastColumn="0" w:oddVBand="0" w:evenVBand="0" w:oddHBand="0" w:evenHBand="0" w:firstRowFirstColumn="0" w:firstRowLastColumn="0" w:lastRowFirstColumn="0" w:lastRowLastColumn="0"/>
            <w:tcW w:w="3000" w:type="dxa"/>
            <w:vAlign w:val="center"/>
          </w:tcPr>
          <w:p w14:paraId="7C298AE0" w14:textId="77777777" w:rsidR="00907B87" w:rsidRPr="00907B87" w:rsidRDefault="00907B87" w:rsidP="00F64660">
            <w:pPr>
              <w:bidi/>
              <w:rPr>
                <w:sz w:val="28"/>
                <w:szCs w:val="28"/>
              </w:rPr>
            </w:pPr>
            <w:r>
              <w:rPr>
                <w:rFonts w:ascii="Traditional Arabic" w:eastAsia="Traditional Arabic" w:hAnsi="Traditional Arabic" w:cs="Traditional Arabic"/>
                <w:b w:val="0"/>
                <w:bCs w:val="0"/>
                <w:color w:val="1B2A4A"/>
                <w:sz w:val="28"/>
                <w:szCs w:val="28"/>
                <w:rtl/>
              </w:rPr>
              <w:t>تنقية البيانات وإدخالها وتحليلها</w:t>
            </w:r>
          </w:p>
        </w:tc>
        <w:tc>
          <w:tcPr>
            <w:tcW w:w="4609" w:type="dxa"/>
            <w:vAlign w:val="center"/>
          </w:tcPr>
          <w:p w14:paraId="60C1B9DF" w14:textId="77777777" w:rsidR="00907B87" w:rsidRPr="00907B87" w:rsidRDefault="00907B87" w:rsidP="00F64660">
            <w:pPr>
              <w:bidi/>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فُلترت الاستبانات وأُبعدت الاستجابات غير المكتملة، ثم أُدخلت البيانات في برامج التحليل الإحصائي المعتمدة.</w:t>
            </w:r>
          </w:p>
        </w:tc>
        <w:tc>
          <w:tcPr>
            <w:tcW w:w="1417" w:type="dxa"/>
            <w:vAlign w:val="center"/>
          </w:tcPr>
          <w:p w14:paraId="03047BA7" w14:textId="77777777" w:rsidR="00907B87" w:rsidRPr="00907B87" w:rsidRDefault="00907B87" w:rsidP="00907B87">
            <w:pPr>
              <w:bidi/>
              <w:jc w:val="center"/>
              <w:cnfStyle w:val="000000000000" w:firstRow="0" w:lastRow="0" w:firstColumn="0" w:lastColumn="0" w:oddVBand="0" w:evenVBand="0" w:oddHBand="0" w:evenHBand="0" w:firstRowFirstColumn="0" w:firstRowLastColumn="0" w:lastRowFirstColumn="0" w:lastRowLastColumn="0"/>
              <w:rPr>
                <w:sz w:val="28"/>
                <w:szCs w:val="28"/>
              </w:rPr>
            </w:pPr>
            <w:r>
              <w:rPr>
                <w:rFonts w:ascii="Traditional Arabic" w:eastAsia="Traditional Arabic" w:hAnsi="Traditional Arabic" w:cs="Traditional Arabic"/>
                <w:color w:val="1B2A4A"/>
                <w:sz w:val="28"/>
                <w:szCs w:val="28"/>
                <w:rtl/>
              </w:rPr>
              <w:t>المرحلة السادسة</w:t>
            </w:r>
          </w:p>
        </w:tc>
      </w:tr>
    </w:tbl>
    <w:p w14:paraId="5E763532" w14:textId="77777777" w:rsidR="009A71C7" w:rsidRPr="00943C1C" w:rsidRDefault="009A71C7" w:rsidP="00943C1C">
      <w:pPr>
        <w:bidi/>
        <w:jc w:val="both"/>
        <w:rPr>
          <w:rFonts w:ascii="Traditional Arabic" w:hAnsi="Traditional Arabic" w:cs="Traditional Arabic"/>
          <w:sz w:val="28"/>
          <w:szCs w:val="28"/>
          <w:rtl/>
        </w:rPr>
      </w:pPr>
    </w:p>
    <w:p w14:paraId="77E3B89F" w14:textId="2ACBD3A2" w:rsidR="009A71C7" w:rsidRPr="00D92D3F" w:rsidRDefault="009A71C7" w:rsidP="00B7711D">
      <w:pPr>
        <w:pStyle w:val="ListParagraph"/>
        <w:numPr>
          <w:ilvl w:val="0"/>
          <w:numId w:val="36"/>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إجراءات التحقق من الصدق والثبات</w:t>
      </w:r>
    </w:p>
    <w:p w14:paraId="762E967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أولت الدراسة عناية بالغة بالتحقق من الخصائص السيكومترية لأداة القياس، وذلك على مستويين</w:t>
      </w:r>
      <w:r>
        <w:rPr>
          <w:rFonts w:ascii="Traditional Arabic" w:hAnsi="Traditional Arabic" w:cs="Traditional Arabic"/>
          <w:sz w:val="28"/>
          <w:szCs w:val="28"/>
        </w:rPr>
        <w:t>:</w:t>
      </w:r>
    </w:p>
    <w:p w14:paraId="744EF984" w14:textId="3FC7843F" w:rsidR="009A71C7"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صدق المحتوى</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(Content Validity)</w:t>
      </w:r>
    </w:p>
    <w:p w14:paraId="14C73644" w14:textId="77777777"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سيُتحقق من صدق المحتوى من خلال عرض الاستبانة على هيئة محكمين متخصصين، واحتساب معامل نسبة صدق المحتوى</w:t>
      </w:r>
      <w:r>
        <w:rPr>
          <w:rFonts w:ascii="Traditional Arabic" w:hAnsi="Traditional Arabic" w:cs="Traditional Arabic"/>
          <w:sz w:val="28"/>
          <w:szCs w:val="28"/>
        </w:rPr>
        <w:t xml:space="preserve"> (Content Validity Ratio - CVR) </w:t>
      </w:r>
      <w:r>
        <w:rPr>
          <w:rFonts w:ascii="Traditional Arabic" w:hAnsi="Traditional Arabic" w:cs="Traditional Arabic"/>
          <w:sz w:val="28"/>
          <w:szCs w:val="28"/>
          <w:rtl/>
        </w:rPr>
        <w:t xml:space="preserve">وفق معادلة </w:t>
      </w:r>
      <w:r>
        <w:rPr>
          <w:rFonts w:ascii="Traditional Arabic" w:hAnsi="Traditional Arabic" w:cs="Traditional Arabic"/>
          <w:sz w:val="28"/>
          <w:szCs w:val="28"/>
        </w:rPr>
        <w:t>Lawshe (1975): CVR = (ne − N/2) / (N/2)</w:t>
      </w:r>
      <w:r>
        <w:rPr>
          <w:rFonts w:ascii="Traditional Arabic" w:hAnsi="Traditional Arabic" w:cs="Traditional Arabic"/>
          <w:sz w:val="28"/>
          <w:szCs w:val="28"/>
          <w:rtl/>
        </w:rPr>
        <w:t xml:space="preserve">، حيث تمثل (ne) عدد المحكمين الذين قيّموا الفقرة بأنها "ضرورية"، و(N) العدد الإجمالي للمحكمين. وبالنظر إلى أن عدد المحكمين المخطَّط له يبلغ (12) محكماً، فإن القيمة الحرجة الدنيا المقبولة للفقرة وفق جداول </w:t>
      </w:r>
      <w:r>
        <w:rPr>
          <w:rFonts w:ascii="Traditional Arabic" w:hAnsi="Traditional Arabic" w:cs="Traditional Arabic"/>
          <w:sz w:val="28"/>
          <w:szCs w:val="28"/>
        </w:rPr>
        <w:t xml:space="preserve">Lawshe </w:t>
      </w:r>
      <w:r>
        <w:rPr>
          <w:rFonts w:ascii="Traditional Arabic" w:hAnsi="Traditional Arabic" w:cs="Traditional Arabic"/>
          <w:sz w:val="28"/>
          <w:szCs w:val="28"/>
          <w:rtl/>
        </w:rPr>
        <w:t>تبلغ (0.56) وفقاً لجدول Lawshe (1975) الأصلي؛ مع الإشارة إلى أن دراسات لاحقة (Ayre &amp; Scally, 2014) أعادت حساب القيم الحرجة لجدول Lawshe باستخدام الاختبار الثنائي الدقيق (Exact Binomial Test) بدلاً من تقريب Lawshe الأصلي، وقد ترتب على ذلك تعديل طفيف في بعض القيم الحرجة لأحجام لجان مختلفة؛ ولذلك سيُراجَع الباحث الجدولين معاً (الأصلي والمحدَّث) عند التطبيق الفعلي لاعتماد القيمة الحرجة الأدق والأحدث لعدد المحكمين (12) قبل اعتماد قرار قبول أو استبعاد أي فقرة. وبحيث تُستبعد أو تُعدَّل أي فقرة تقل قيمة معامل صدقها عن الحد الحرج المعتمد. ويُميَّز هذا المعيار الكمي عن نسبة اتفاق المحكمين الوصفية (80%) التي تُستخدم كمؤشر تكميلي منفصل يعكس مدى الإجماع العام على وضوح الفقرة وسلامة صياغتها اللغوية، دون أن يحل أحدهما محل الآخر. وستُجرى التعديلات اللازمة في ضوء الملاحظات التخصصية الواردة من المحكمين، وستُعرَض النتائج الفعلية لكل بند (قيمة CVR المحتسبة، وقرار القبول/التعديل/الحذف) في ملحق الدراسة، إلى جانب ملخص للبنود المحذوفة أو المعدَّلة نتيجة التحكيم، بما يسهم في رفع درجة الوضوح والشمولية</w:t>
      </w:r>
      <w:r>
        <w:rPr>
          <w:rFonts w:ascii="Traditional Arabic" w:hAnsi="Traditional Arabic" w:cs="Traditional Arabic"/>
          <w:sz w:val="28"/>
          <w:szCs w:val="28"/>
        </w:rPr>
        <w:t>.</w:t>
      </w:r>
    </w:p>
    <w:p w14:paraId="1C5464A3" w14:textId="1C5464A4" w:rsidR="005E719B" w:rsidRPr="005E719B" w:rsidRDefault="005E719B"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وتتألف هيئة التحكيم من (12) محكماً، سيتوزَّعون بين أكاديميين متخصصين في الإدارة وإدارة الأعمال ونظم المعلومات وموارد المياه من عدد من الجامعات السعودية، وممارسين وقياديين من ذوي الخبرة التنفيذية المباشرة في مجالات الحوكمة والتحول الرقمي وإدارة الأصول داخل قطاع المياه السعودي، بما لا يقل متوسط سنوات خبرتهم عن عشر سنوات، بما يضمن تغطية الجانبين الأكاديمي والتطبيقي عند تقييم الفقرات.</w:t>
      </w:r>
    </w:p>
    <w:p w14:paraId="1C5464A2" w14:textId="3990924D" w:rsidR="005E719B" w:rsidRPr="005E719B" w:rsidRDefault="005E719B"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الصدق التقاربي والتمايزي  (</w:t>
      </w:r>
      <w:r>
        <w:rPr>
          <w:rFonts w:asciiTheme="majorHAnsi" w:eastAsiaTheme="majorEastAsia" w:hAnsiTheme="majorHAnsi" w:cstheme="majorBidi"/>
          <w:color w:val="2F5496" w:themeColor="accent1" w:themeShade="BF"/>
          <w:sz w:val="32"/>
          <w:szCs w:val="32"/>
        </w:rPr>
        <w:t>Convergent &amp; Discriminant Validity</w:t>
      </w:r>
      <w:r>
        <w:rPr>
          <w:rFonts w:asciiTheme="majorHAnsi" w:eastAsiaTheme="majorEastAsia" w:hAnsiTheme="majorHAnsi" w:cstheme="majorBidi"/>
          <w:color w:val="2F5496" w:themeColor="accent1" w:themeShade="BF"/>
          <w:sz w:val="32"/>
          <w:szCs w:val="32"/>
          <w:rtl/>
        </w:rPr>
        <w:t>)</w:t>
      </w:r>
    </w:p>
    <w:p w14:paraId="05F6EB37"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استُخدم برنامج</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للتحقق من الصدق البنائي للمقاييس، وذلك من خلال قياس متوسط التباين المستخلَص</w:t>
      </w:r>
      <w:r>
        <w:rPr>
          <w:rFonts w:ascii="Traditional Arabic" w:hAnsi="Traditional Arabic" w:cs="Traditional Arabic"/>
          <w:sz w:val="28"/>
          <w:szCs w:val="28"/>
        </w:rPr>
        <w:t xml:space="preserve"> (AVE)</w:t>
      </w:r>
      <w:r>
        <w:rPr>
          <w:rFonts w:ascii="Traditional Arabic" w:hAnsi="Traditional Arabic" w:cs="Traditional Arabic"/>
          <w:sz w:val="28"/>
          <w:szCs w:val="28"/>
          <w:rtl/>
        </w:rPr>
        <w:t>، واشتراط ألا تقل قيمته عن (0.50) لكل متغير كامن. ويُعتمَد معامل</w:t>
      </w:r>
      <w:r>
        <w:rPr>
          <w:rFonts w:ascii="Traditional Arabic" w:hAnsi="Traditional Arabic" w:cs="Traditional Arabic"/>
          <w:sz w:val="28"/>
          <w:szCs w:val="28"/>
        </w:rPr>
        <w:t xml:space="preserve"> HTMT </w:t>
      </w:r>
      <w:r>
        <w:rPr>
          <w:rFonts w:ascii="Traditional Arabic" w:hAnsi="Traditional Arabic" w:cs="Traditional Arabic"/>
          <w:sz w:val="28"/>
          <w:szCs w:val="28"/>
          <w:rtl/>
        </w:rPr>
        <w:t xml:space="preserve">معياراً رئيساً للتحقق من الصدق </w:t>
      </w:r>
      <w:r>
        <w:rPr>
          <w:rFonts w:ascii="Traditional Arabic" w:hAnsi="Traditional Arabic" w:cs="Traditional Arabic"/>
          <w:sz w:val="28"/>
          <w:szCs w:val="28"/>
          <w:rtl/>
        </w:rPr>
        <w:lastRenderedPageBreak/>
        <w:t xml:space="preserve">التمايزي بوصفه أكثر دقة وحساسية إحصائية من المعايير التقليدية </w:t>
      </w:r>
      <w:r>
        <w:rPr>
          <w:rFonts w:ascii="Traditional Arabic" w:hAnsi="Traditional Arabic" w:cs="Traditional Arabic"/>
          <w:sz w:val="28"/>
          <w:szCs w:val="28"/>
        </w:rPr>
        <w:t>(Henseler et al., 2015)</w:t>
      </w:r>
      <w:r>
        <w:rPr>
          <w:rFonts w:ascii="Traditional Arabic" w:hAnsi="Traditional Arabic" w:cs="Traditional Arabic"/>
          <w:sz w:val="28"/>
          <w:szCs w:val="28"/>
          <w:rtl/>
        </w:rPr>
        <w:t>، على أن يُستخدَم معيار فورنيل-لاركر</w:t>
      </w:r>
      <w:r>
        <w:rPr>
          <w:rFonts w:ascii="Traditional Arabic" w:hAnsi="Traditional Arabic" w:cs="Traditional Arabic"/>
          <w:sz w:val="28"/>
          <w:szCs w:val="28"/>
        </w:rPr>
        <w:t xml:space="preserve"> (Fornell-Larcker Criterion)</w:t>
      </w:r>
      <w:r>
        <w:rPr>
          <w:rFonts w:ascii="Traditional Arabic" w:hAnsi="Traditional Arabic" w:cs="Traditional Arabic"/>
          <w:sz w:val="28"/>
          <w:szCs w:val="28"/>
          <w:rtl/>
        </w:rPr>
        <w:t xml:space="preserve"> اختباراً داعماً ومكمِّلاً لنتيجة HTMT، لا بديلاً عنها</w:t>
      </w:r>
      <w:r>
        <w:rPr>
          <w:rFonts w:ascii="Traditional Arabic" w:hAnsi="Traditional Arabic" w:cs="Traditional Arabic"/>
          <w:sz w:val="28"/>
          <w:szCs w:val="28"/>
        </w:rPr>
        <w:t>.</w:t>
      </w:r>
    </w:p>
    <w:p w14:paraId="6CAA449D" w14:textId="30E365E8" w:rsidR="009A71C7" w:rsidRPr="006B5F0B" w:rsidRDefault="009A71C7" w:rsidP="00B7711D">
      <w:pPr>
        <w:pStyle w:val="ListParagraph"/>
        <w:numPr>
          <w:ilvl w:val="0"/>
          <w:numId w:val="37"/>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الثبات</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(Reliability)</w:t>
      </w:r>
    </w:p>
    <w:p w14:paraId="25C9BF04" w14:textId="65CCA5DB" w:rsidR="009A71C7" w:rsidRPr="00943C1C" w:rsidRDefault="009A71C7" w:rsidP="00BF446A">
      <w:pPr>
        <w:bidi/>
        <w:jc w:val="both"/>
        <w:rPr>
          <w:rFonts w:ascii="Traditional Arabic" w:hAnsi="Traditional Arabic" w:cs="Traditional Arabic"/>
          <w:sz w:val="28"/>
          <w:szCs w:val="28"/>
          <w:rtl/>
        </w:rPr>
      </w:pPr>
      <w:r>
        <w:rPr>
          <w:rFonts w:ascii="Traditional Arabic" w:hAnsi="Traditional Arabic" w:cs="Traditional Arabic"/>
          <w:sz w:val="28"/>
          <w:szCs w:val="28"/>
          <w:rtl/>
        </w:rPr>
        <w:t>قُدِّر ثبات المقاييس من خلال معامل ألفا كرونباك</w:t>
      </w:r>
      <w:r>
        <w:rPr>
          <w:rFonts w:ascii="Traditional Arabic" w:hAnsi="Traditional Arabic" w:cs="Traditional Arabic"/>
          <w:sz w:val="28"/>
          <w:szCs w:val="28"/>
        </w:rPr>
        <w:t xml:space="preserve"> (</w:t>
      </w:r>
      <w:r>
        <w:rPr>
          <w:rFonts w:ascii="Cambria" w:hAnsi="Cambria" w:cs="Cambria"/>
          <w:sz w:val="28"/>
          <w:szCs w:val="28"/>
        </w:rPr>
        <w:t>α</w:t>
      </w:r>
      <w:r>
        <w:rPr>
          <w:rFonts w:ascii="Traditional Arabic" w:hAnsi="Traditional Arabic" w:cs="Traditional Arabic"/>
          <w:sz w:val="28"/>
          <w:szCs w:val="28"/>
        </w:rPr>
        <w:t xml:space="preserve"> </w:t>
      </w:r>
      <w:r>
        <w:rPr>
          <w:rFonts w:ascii="Cambria Math" w:hAnsi="Cambria Math" w:cs="Cambria Math"/>
          <w:sz w:val="28"/>
          <w:szCs w:val="28"/>
        </w:rPr>
        <w:t>≥</w:t>
      </w:r>
      <w:r>
        <w:rPr>
          <w:rFonts w:ascii="Traditional Arabic" w:hAnsi="Traditional Arabic" w:cs="Traditional Arabic"/>
          <w:sz w:val="28"/>
          <w:szCs w:val="28"/>
        </w:rPr>
        <w:t xml:space="preserve"> 0.70) </w:t>
      </w:r>
      <w:r>
        <w:rPr>
          <w:rFonts w:ascii="Traditional Arabic" w:hAnsi="Traditional Arabic" w:cs="Traditional Arabic"/>
          <w:sz w:val="28"/>
          <w:szCs w:val="28"/>
          <w:rtl/>
        </w:rPr>
        <w:t>ومعامل الموثوقية المركبة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(CR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 وهما المعياران الأكثر تداولاً في دراسات نمذجة المعادلات الهيكلية</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7B1B5D9" w14:textId="77777777" w:rsidR="009A71C7" w:rsidRPr="00BF446A" w:rsidRDefault="009A71C7" w:rsidP="00BF446A">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سابعاً: تصميم الدراسة والمعالجة الإحصائية</w:t>
      </w:r>
    </w:p>
    <w:p w14:paraId="079A24EB" w14:textId="749DBCF6" w:rsidR="009A71C7" w:rsidRPr="00A56651"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tl/>
        </w:rPr>
      </w:pPr>
      <w:r>
        <w:rPr>
          <w:rFonts w:asciiTheme="majorHAnsi" w:eastAsiaTheme="majorEastAsia" w:hAnsiTheme="majorHAnsi" w:cstheme="majorBidi"/>
          <w:color w:val="2F5496" w:themeColor="accent1" w:themeShade="BF"/>
          <w:sz w:val="32"/>
          <w:szCs w:val="32"/>
          <w:rtl/>
        </w:rPr>
        <w:t>الأساليب الإحصائية الوصفية</w:t>
      </w:r>
    </w:p>
    <w:p w14:paraId="3F87121B"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للإجابة عن تساؤلات الدراسة المتعلقة بوصف خصائص العينة والمتغيرات، استُخدمت الأساليب الإحصائية الوصفية الآتية: التكرارات والنسب المئوية لتصنيف البيانات الديموغرافية، والمتوسطات الحسابية والانحرافات المعيارية لقياس مستوى كل متغير من متغيرات الدراسة، ومعاملات الالتواء والتفرطح للتحقق من الاعتدالية الطبيعية للبيانات</w:t>
      </w:r>
      <w:r>
        <w:rPr>
          <w:rFonts w:ascii="Traditional Arabic" w:hAnsi="Traditional Arabic" w:cs="Traditional Arabic"/>
          <w:sz w:val="28"/>
          <w:szCs w:val="28"/>
        </w:rPr>
        <w:t>.</w:t>
      </w:r>
    </w:p>
    <w:p w14:paraId="6A7B8C9D" w14:textId="6A7B8C9E" w:rsidR="00EF4BBA"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إجراءات تنقية البيانات قبل التحليل</w:t>
      </w:r>
    </w:p>
    <w:p w14:paraId="6A7B8C9F" w14:textId="6A7B8CA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القيم المفقودة: </w:t>
      </w:r>
      <w:r>
        <w:rPr>
          <w:rFonts w:ascii="Traditional Arabic" w:hAnsi="Traditional Arabic" w:cs="Traditional Arabic"/>
          <w:sz w:val="28"/>
          <w:szCs w:val="28"/>
          <w:rtl/>
        </w:rPr>
        <w:t xml:space="preserve">تُستبعد الاستجابات التي تتجاوز فيها نسبة القيم المفقودة (5%) من إجمالي فقرات الاستبانة، أما الاستجابات التي تقل فيها هذه النسبة عن الحد المذكور فتُعالَج بأسلوب استبدال المتوسط </w:t>
      </w:r>
      <w:r>
        <w:rPr>
          <w:rFonts w:ascii="Traditional Arabic" w:hAnsi="Traditional Arabic" w:cs="Traditional Arabic"/>
          <w:sz w:val="28"/>
          <w:szCs w:val="28"/>
        </w:rPr>
        <w:t xml:space="preserve">(Mean Replacement) </w:t>
      </w:r>
      <w:r>
        <w:rPr>
          <w:rFonts w:ascii="Traditional Arabic" w:hAnsi="Traditional Arabic" w:cs="Traditional Arabic"/>
          <w:sz w:val="28"/>
          <w:szCs w:val="28"/>
          <w:rtl/>
        </w:rPr>
        <w:t xml:space="preserve">المتاح ضمن برنامج </w:t>
      </w:r>
      <w:r>
        <w:rPr>
          <w:rFonts w:ascii="Traditional Arabic" w:hAnsi="Traditional Arabic" w:cs="Traditional Arabic"/>
          <w:sz w:val="28"/>
          <w:szCs w:val="28"/>
        </w:rPr>
        <w:t xml:space="preserve">SmartPLS 4.0 (Hair et al., 2019). </w:t>
      </w:r>
      <w:r>
        <w:rPr>
          <w:rFonts w:ascii="Traditional Arabic" w:hAnsi="Traditional Arabic" w:cs="Traditional Arabic"/>
          <w:sz w:val="28"/>
          <w:szCs w:val="28"/>
          <w:rtl/>
        </w:rPr>
        <w:t xml:space="preserve">ويُبرَّر اختيار استبدال المتوسط تحديداً (بدلاً من الحذف الاعتباطي Listwise Deletion، أو أساليب أكثر تعقيداً </w:t>
      </w:r>
      <w:proofErr w:type="gramStart"/>
      <w:r>
        <w:rPr>
          <w:rFonts w:ascii="Traditional Arabic" w:hAnsi="Traditional Arabic" w:cs="Traditional Arabic"/>
          <w:sz w:val="28"/>
          <w:szCs w:val="28"/>
          <w:rtl/>
        </w:rPr>
        <w:t>كـExpectation</w:t>
      </w:r>
      <w:proofErr w:type="gramEnd"/>
      <w:r>
        <w:rPr>
          <w:rFonts w:ascii="Traditional Arabic" w:hAnsi="Traditional Arabic" w:cs="Traditional Arabic"/>
          <w:sz w:val="28"/>
          <w:szCs w:val="28"/>
          <w:rtl/>
        </w:rPr>
        <w:t>-Maximization) بكونه الأسلوب المعتمد افتراضياً ضمن SmartPLS، ولأن نسبة القيم المفقودة المسموح بها محصورة أصلاً بحد أقصى (5%) لكل حالة، وهو مستوى منخفض لا يُتوقَّع أن يُحدث تأثيراً جوهرياً على التباين أو العلاقات بين المتغيرات، خصوصاً في ظل صغر حجم التأثير المحتمل مقارنةً بحجم العينة المستهدف. ومع ذلك، تُفضِّل الدراسة عملياً تصميم الاستبانة الإلكترونية بحيث تكون جميع البنود إلزامية (Mandatory Fields) بما يمنع تقديم الاستبانة دون استكمالها، وهو ما يُنهي مشكلة القيم المفقودة من الأساس ويُغني عن اللجوء إلى الاستبدال الإحصائي أصلاً؛ ولا يُستثنى من هذا الإلزام إلا في حال وجود اعتبار أخلاقي يستوجب ترك أحد البنود اختيارياً (كسؤال حساس يحق للمشارك تجاوزه).</w:t>
      </w:r>
    </w:p>
    <w:p w14:paraId="6A7B8CA1" w14:textId="6A7B8CA2"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الاستجابات غير الجادة: </w:t>
      </w:r>
      <w:r>
        <w:rPr>
          <w:rFonts w:ascii="Traditional Arabic" w:hAnsi="Traditional Arabic" w:cs="Traditional Arabic"/>
          <w:sz w:val="28"/>
          <w:szCs w:val="28"/>
          <w:rtl/>
        </w:rPr>
        <w:t xml:space="preserve">تُستبعد الاستجابات النمطية التي يختار فيها المستجيب البديل نفسه لجميع الفقرات (Straight-Lining)، والاستجابات السريعة التي يقل زمن إكمالها عن الحد الأدنى المنطقي المقدَّر بنحو ثلث متوسط زمن الإكمال الفعلي. أما الاستجابات المكررة، فتُكتشف دون تخزين أي بيانات تعريفية دائمة كعنوان البريد الإلكتروني أو رقم بروتوكول الإنترنت (IP) الفعلي، اتساقاً مع التزام الدراسة بعدم جمع بيانات تعريفية (المُشار إليه في قسم الاعتبارات الأخلاقية)؛ ويتم ذلك عبر تفعيل خاصية "تحديد استجابة واحدة لكل مستخدم" (Limit to 1 Response) المتاحة في نظام Google Forms والمرتبطة بحساب الدخول المؤسسي دون الكشف عن هوية صاحبه للباحث أو ربطها بمحتوى الإجابات، أو عبر توليد معرّف جلسة عشوائي مجهَّل (Anonymous Session Token) لا يحمل أي دلالة تعريفية. </w:t>
      </w:r>
      <w:r>
        <w:rPr>
          <w:rFonts w:ascii="Traditional Arabic" w:hAnsi="Traditional Arabic" w:cs="Traditional Arabic"/>
          <w:b/>
          <w:bCs/>
          <w:sz w:val="28"/>
          <w:szCs w:val="28"/>
          <w:rtl/>
        </w:rPr>
        <w:t xml:space="preserve">القيم المتطرفة: </w:t>
      </w:r>
      <w:r>
        <w:rPr>
          <w:rFonts w:ascii="Traditional Arabic" w:hAnsi="Traditional Arabic" w:cs="Traditional Arabic"/>
          <w:sz w:val="28"/>
          <w:szCs w:val="28"/>
          <w:rtl/>
        </w:rPr>
        <w:t xml:space="preserve">تُكتشف القيم المتطرفة أحادية المتغير </w:t>
      </w:r>
      <w:r>
        <w:rPr>
          <w:rFonts w:ascii="Traditional Arabic" w:hAnsi="Traditional Arabic" w:cs="Traditional Arabic"/>
          <w:sz w:val="28"/>
          <w:szCs w:val="28"/>
          <w:rtl/>
        </w:rPr>
        <w:lastRenderedPageBreak/>
        <w:t xml:space="preserve">باستخدام درجات </w:t>
      </w:r>
      <w:r>
        <w:rPr>
          <w:rFonts w:ascii="Traditional Arabic" w:hAnsi="Traditional Arabic" w:cs="Traditional Arabic"/>
          <w:sz w:val="28"/>
          <w:szCs w:val="28"/>
        </w:rPr>
        <w:t>Z (Z-Scores &gt; ±3)</w:t>
      </w:r>
      <w:r>
        <w:rPr>
          <w:rFonts w:ascii="Traditional Arabic" w:hAnsi="Traditional Arabic" w:cs="Traditional Arabic"/>
          <w:sz w:val="28"/>
          <w:szCs w:val="28"/>
          <w:rtl/>
        </w:rPr>
        <w:t xml:space="preserve">، والقيم المتطرفة متعددة المتغيرات باستخدام مسافة </w:t>
      </w:r>
      <w:r>
        <w:rPr>
          <w:rFonts w:ascii="Traditional Arabic" w:hAnsi="Traditional Arabic" w:cs="Traditional Arabic"/>
          <w:sz w:val="28"/>
          <w:szCs w:val="28"/>
        </w:rPr>
        <w:t>Mahalanobis (p &lt; 0.001)</w:t>
      </w:r>
      <w:r>
        <w:rPr>
          <w:rFonts w:ascii="Traditional Arabic" w:hAnsi="Traditional Arabic" w:cs="Traditional Arabic"/>
          <w:sz w:val="28"/>
          <w:szCs w:val="28"/>
          <w:rtl/>
        </w:rPr>
        <w:t xml:space="preserve">. </w:t>
      </w:r>
      <w:r>
        <w:rPr>
          <w:rFonts w:ascii="Traditional Arabic" w:hAnsi="Traditional Arabic" w:cs="Traditional Arabic"/>
          <w:b/>
          <w:bCs/>
          <w:sz w:val="28"/>
          <w:szCs w:val="28"/>
          <w:rtl/>
        </w:rPr>
        <w:t xml:space="preserve">التعدد الخطي: </w:t>
      </w:r>
      <w:r>
        <w:rPr>
          <w:rFonts w:ascii="Traditional Arabic" w:hAnsi="Traditional Arabic" w:cs="Traditional Arabic"/>
          <w:sz w:val="28"/>
          <w:szCs w:val="28"/>
          <w:rtl/>
        </w:rPr>
        <w:t xml:space="preserve">يُتحقق من عدم وجود تعدد خطي بين المؤشرات والمتغيرات المكنونة باستخدام معامل تضخم التباين </w:t>
      </w:r>
      <w:r>
        <w:rPr>
          <w:rFonts w:ascii="Traditional Arabic" w:hAnsi="Traditional Arabic" w:cs="Traditional Arabic"/>
          <w:sz w:val="28"/>
          <w:szCs w:val="28"/>
        </w:rPr>
        <w:t>(VIF)</w:t>
      </w:r>
      <w:r>
        <w:rPr>
          <w:rFonts w:ascii="Traditional Arabic" w:hAnsi="Traditional Arabic" w:cs="Traditional Arabic"/>
          <w:sz w:val="28"/>
          <w:szCs w:val="28"/>
          <w:rtl/>
        </w:rPr>
        <w:t xml:space="preserve">، على أن تقل قيمته عن (5)، مع تفضيل القيم الأقل من (3.3) بوصفها المؤشر الأكثر تحفظاً وفق </w:t>
      </w:r>
      <w:r>
        <w:rPr>
          <w:rFonts w:ascii="Traditional Arabic" w:hAnsi="Traditional Arabic" w:cs="Traditional Arabic"/>
          <w:sz w:val="28"/>
          <w:szCs w:val="28"/>
        </w:rPr>
        <w:t xml:space="preserve">Hair et al. (2019). </w:t>
      </w:r>
      <w:r>
        <w:rPr>
          <w:rFonts w:ascii="Traditional Arabic" w:hAnsi="Traditional Arabic" w:cs="Traditional Arabic"/>
          <w:b/>
          <w:bCs/>
          <w:sz w:val="28"/>
          <w:szCs w:val="28"/>
          <w:rtl/>
        </w:rPr>
        <w:t xml:space="preserve">الاعتدالية: </w:t>
      </w:r>
      <w:r>
        <w:rPr>
          <w:rFonts w:ascii="Traditional Arabic" w:hAnsi="Traditional Arabic" w:cs="Traditional Arabic"/>
          <w:sz w:val="28"/>
          <w:szCs w:val="28"/>
          <w:rtl/>
        </w:rPr>
        <w:t xml:space="preserve">نظراً لاعتماد الدراسة أسلوب </w:t>
      </w:r>
      <w:r>
        <w:rPr>
          <w:rFonts w:ascii="Traditional Arabic" w:hAnsi="Traditional Arabic" w:cs="Traditional Arabic"/>
          <w:sz w:val="28"/>
          <w:szCs w:val="28"/>
        </w:rPr>
        <w:t xml:space="preserve">PLS-SEM </w:t>
      </w:r>
      <w:r>
        <w:rPr>
          <w:rFonts w:ascii="Traditional Arabic" w:hAnsi="Traditional Arabic" w:cs="Traditional Arabic"/>
          <w:sz w:val="28"/>
          <w:szCs w:val="28"/>
          <w:rtl/>
        </w:rPr>
        <w:t xml:space="preserve">الذي لا يفترض التوزيع الطبيعي للبيانات، فإن فحص معاملي الالتواء والتفرطح يأتي لأغراض وصفية واستكشافية فقط، مع اعتماد الحدود المرجعية (±2) للحكم على مدى قرب البيانات من الاعتدالية </w:t>
      </w:r>
      <w:r>
        <w:rPr>
          <w:rFonts w:ascii="Traditional Arabic" w:hAnsi="Traditional Arabic" w:cs="Traditional Arabic"/>
          <w:sz w:val="28"/>
          <w:szCs w:val="28"/>
        </w:rPr>
        <w:t>(George &amp; Mallery, 2019).</w:t>
      </w:r>
    </w:p>
    <w:p w14:paraId="76902827" w14:textId="76902828" w:rsidR="009A71C7" w:rsidRPr="00943C1C" w:rsidRDefault="009A71C7" w:rsidP="00B7711D">
      <w:pPr>
        <w:pStyle w:val="ListParagraph"/>
        <w:numPr>
          <w:ilvl w:val="0"/>
          <w:numId w:val="3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نمذجة المعادلات الهيكلية بالمربعات الصغرى الجزئية</w:t>
      </w:r>
      <w:r>
        <w:rPr>
          <w:rFonts w:asciiTheme="majorHAnsi" w:eastAsiaTheme="majorEastAsia" w:hAnsiTheme="majorHAnsi" w:cstheme="majorBidi"/>
          <w:color w:val="2F5496" w:themeColor="accent1" w:themeShade="BF"/>
          <w:sz w:val="32"/>
          <w:szCs w:val="32"/>
        </w:rPr>
        <w:t xml:space="preserve"> (PLS-SEM)</w:t>
      </w:r>
    </w:p>
    <w:p w14:paraId="76902826"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يُعدّ أسلوب</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الأداةَ التحليلية المحورية في هذه الدراسة، وذلك للأسباب المنهجية الآتية</w:t>
      </w:r>
      <w:r>
        <w:rPr>
          <w:rFonts w:ascii="Traditional Arabic" w:hAnsi="Traditional Arabic" w:cs="Traditional Arabic"/>
          <w:sz w:val="28"/>
          <w:szCs w:val="28"/>
        </w:rPr>
        <w:t>:</w:t>
      </w:r>
    </w:p>
    <w:p w14:paraId="136141F4" w14:textId="5FE515C0"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ملاءمته للهدف التنبؤي والتفسيري (Predictive-Explanatory) لنموذج الدراسة، بما يتوافق مع طبيعة البحث الذي يسعى إلى تطوير نموذج تطبيقي قابل للتعميم لا إلى اختبار نظرية مؤكَّدة مسبقاً بدقة صارمة كما هو الحال في</w:t>
      </w:r>
      <w:r>
        <w:rPr>
          <w:rFonts w:ascii="Traditional Arabic" w:hAnsi="Traditional Arabic" w:cs="Traditional Arabic"/>
          <w:sz w:val="28"/>
          <w:szCs w:val="28"/>
        </w:rPr>
        <w:t xml:space="preserve"> CB-SEM</w:t>
      </w:r>
      <w:r>
        <w:rPr>
          <w:rFonts w:ascii="Traditional Arabic" w:hAnsi="Traditional Arabic" w:cs="Traditional Arabic"/>
          <w:sz w:val="28"/>
          <w:szCs w:val="28"/>
          <w:rtl/>
        </w:rPr>
        <w:t>، إلى جانب ملاءمته لتعقيد النموذج المقترح من حيث احتوائه على متغيرات متعددة الأبعاد من الرتبة العليا ووساطة متسلسلة، وهي خصائص بنائية تُعدّ عاملاً حاسماً في تفضيل PLS-SEM يفوق في أهميته اعتبار حجم العينة وحده</w:t>
      </w:r>
      <w:r>
        <w:rPr>
          <w:rFonts w:ascii="Traditional Arabic" w:hAnsi="Traditional Arabic" w:cs="Traditional Arabic"/>
          <w:sz w:val="28"/>
          <w:szCs w:val="28"/>
        </w:rPr>
        <w:t>.</w:t>
      </w:r>
    </w:p>
    <w:p w14:paraId="152BE2C5" w14:textId="22769797"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قدرته على اختبار النماذج التكوينية</w:t>
      </w:r>
      <w:r>
        <w:rPr>
          <w:rFonts w:ascii="Traditional Arabic" w:hAnsi="Traditional Arabic" w:cs="Traditional Arabic"/>
          <w:sz w:val="28"/>
          <w:szCs w:val="28"/>
        </w:rPr>
        <w:t xml:space="preserve"> (Formative) </w:t>
      </w:r>
      <w:r>
        <w:rPr>
          <w:rFonts w:ascii="Traditional Arabic" w:hAnsi="Traditional Arabic" w:cs="Traditional Arabic"/>
          <w:sz w:val="28"/>
          <w:szCs w:val="28"/>
          <w:rtl/>
        </w:rPr>
        <w:t>والانعكاسية</w:t>
      </w:r>
      <w:r>
        <w:rPr>
          <w:rFonts w:ascii="Traditional Arabic" w:hAnsi="Traditional Arabic" w:cs="Traditional Arabic"/>
          <w:sz w:val="28"/>
          <w:szCs w:val="28"/>
        </w:rPr>
        <w:t xml:space="preserve"> (Reflective) </w:t>
      </w:r>
      <w:r>
        <w:rPr>
          <w:rFonts w:ascii="Traditional Arabic" w:hAnsi="Traditional Arabic" w:cs="Traditional Arabic"/>
          <w:sz w:val="28"/>
          <w:szCs w:val="28"/>
          <w:rtl/>
        </w:rPr>
        <w:t>وفق منطق النموذج المقترح</w:t>
      </w:r>
      <w:r>
        <w:rPr>
          <w:rFonts w:ascii="Traditional Arabic" w:hAnsi="Traditional Arabic" w:cs="Traditional Arabic"/>
          <w:sz w:val="28"/>
          <w:szCs w:val="28"/>
        </w:rPr>
        <w:t>.</w:t>
      </w:r>
    </w:p>
    <w:p w14:paraId="4FA74AB9" w14:textId="5318F232" w:rsidR="009A71C7" w:rsidRPr="008436D4"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تفوقه في اختبار النماذج المعقدة المتضمنة متغيرات وسيطة متعددة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(Composite Mediation Models)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4430F5A6" w14:textId="2CFEEABB" w:rsidR="009A71C7" w:rsidRPr="00575738" w:rsidRDefault="009A71C7" w:rsidP="00A6475C">
      <w:pPr>
        <w:pStyle w:val="ListParagraph"/>
        <w:numPr>
          <w:ilvl w:val="0"/>
          <w:numId w:val="39"/>
        </w:numPr>
        <w:bidi/>
        <w:jc w:val="both"/>
        <w:rPr>
          <w:rFonts w:ascii="Traditional Arabic" w:hAnsi="Traditional Arabic" w:cs="Traditional Arabic"/>
          <w:sz w:val="28"/>
          <w:szCs w:val="28"/>
          <w:rtl/>
        </w:rPr>
      </w:pPr>
      <w:r>
        <w:rPr>
          <w:rFonts w:ascii="Traditional Arabic" w:hAnsi="Traditional Arabic" w:cs="Traditional Arabic"/>
          <w:sz w:val="28"/>
          <w:szCs w:val="28"/>
          <w:rtl/>
        </w:rPr>
        <w:t>شيوع توظيفه في دراسات قطاع المياه والبنية التحتية ضمن الأدبيات الحديثة</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(Ringle et al., 2015)</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254CAC4F" w14:textId="39D66C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وتبنّت الدراسة في تحليل نموذج</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نهجاً ثنائي المرحلة وفق التوصيات المنهجية لـ</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Hair et al. (2019)</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097B25B9" w14:textId="5489059E"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الأولى –</w:t>
      </w:r>
      <w:r>
        <w:rPr>
          <w:rFonts w:ascii="Traditional Arabic" w:hAnsi="Traditional Arabic" w:cs="Traditional Arabic"/>
          <w:sz w:val="28"/>
          <w:szCs w:val="28"/>
          <w:rtl/>
        </w:rPr>
        <w:t xml:space="preserve"> تقييم نموذج القياس الخارج</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(Outer/Measurement Model)</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يختبر هذا النموذج مدى تمثيل المتغيرات الكامنة من خلال مؤشراتها المُلاحظة، ويشمل تقييم الثبات الفردي للفقرات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(Indicator Reliability)</w:t>
      </w:r>
      <w:r>
        <w:rPr>
          <w:rFonts w:ascii="Traditional Arabic" w:hAnsi="Traditional Arabic" w:cs="Traditional Arabic"/>
          <w:sz w:val="28"/>
          <w:szCs w:val="28"/>
          <w:rtl/>
        </w:rPr>
        <w:t>، ومعاملات التشبع</w:t>
      </w:r>
      <w:r>
        <w:rPr>
          <w:rFonts w:ascii="Traditional Arabic" w:hAnsi="Traditional Arabic" w:cs="Traditional Arabic"/>
          <w:sz w:val="28"/>
          <w:szCs w:val="28"/>
        </w:rPr>
        <w:t xml:space="preserve"> (Loadings </w:t>
      </w:r>
      <w:r>
        <w:rPr>
          <w:rFonts w:ascii="Cambria Math" w:hAnsi="Cambria Math" w:cs="Cambria Math"/>
          <w:sz w:val="28"/>
          <w:szCs w:val="28"/>
        </w:rPr>
        <w:t>≥</w:t>
      </w:r>
      <w:r>
        <w:rPr>
          <w:rFonts w:ascii="Traditional Arabic" w:hAnsi="Traditional Arabic" w:cs="Traditional Arabic"/>
          <w:sz w:val="28"/>
          <w:szCs w:val="28"/>
        </w:rPr>
        <w:t xml:space="preserve"> 0.70)</w:t>
      </w:r>
      <w:r>
        <w:rPr>
          <w:rFonts w:ascii="Traditional Arabic" w:hAnsi="Traditional Arabic" w:cs="Traditional Arabic"/>
          <w:sz w:val="28"/>
          <w:szCs w:val="28"/>
          <w:rtl/>
        </w:rPr>
        <w:t>، والثبات الداخلي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Cambria" w:hAnsi="Cambria" w:cs="Cambria"/>
          <w:sz w:val="28"/>
          <w:szCs w:val="28"/>
        </w:rPr>
        <w:t>α</w:t>
      </w:r>
      <w:r>
        <w:rPr>
          <w:rFonts w:ascii="Cambria" w:hAnsi="Cambria" w:cs="Cambria"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CR</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 والصدق التقاربي</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(AVE)</w:t>
      </w:r>
      <w:r>
        <w:rPr>
          <w:rFonts w:ascii="Traditional Arabic" w:hAnsi="Traditional Arabic" w:cs="Traditional Arabic"/>
          <w:sz w:val="28"/>
          <w:szCs w:val="28"/>
          <w:rtl/>
        </w:rPr>
        <w:t>، والصدق التمايزي</w:t>
      </w:r>
      <w:r>
        <w:rPr>
          <w:rFonts w:ascii="Traditional Arabic" w:hAnsi="Traditional Arabic" w:cs="Traditional Arabic"/>
          <w:sz w:val="28"/>
          <w:szCs w:val="28"/>
        </w:rPr>
        <w:t xml:space="preserve"> (HTMT).</w:t>
      </w:r>
    </w:p>
    <w:p w14:paraId="5A6B7C8D" w14:textId="5A6B7C8E"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وتُعامَل جميع متغيرات النموذج وأبعادها الفرعية بوصفها نماذج قياس </w:t>
      </w:r>
      <w:r>
        <w:rPr>
          <w:rFonts w:ascii="Traditional Arabic" w:hAnsi="Traditional Arabic" w:cs="Traditional Arabic"/>
          <w:b/>
          <w:bCs/>
          <w:sz w:val="28"/>
          <w:szCs w:val="28"/>
          <w:rtl/>
        </w:rPr>
        <w:t>انعكاسية</w:t>
      </w:r>
      <w:r>
        <w:rPr>
          <w:rFonts w:ascii="Traditional Arabic" w:hAnsi="Traditional Arabic" w:cs="Traditional Arabic"/>
          <w:sz w:val="28"/>
          <w:szCs w:val="28"/>
        </w:rPr>
        <w:t xml:space="preserve"> (Reflective-Reflective, Type I) </w:t>
      </w:r>
      <w:r>
        <w:rPr>
          <w:rFonts w:ascii="Traditional Arabic" w:hAnsi="Traditional Arabic" w:cs="Traditional Arabic"/>
          <w:sz w:val="28"/>
          <w:szCs w:val="28"/>
          <w:rtl/>
        </w:rPr>
        <w:t xml:space="preserve">في مستوييها (الأبعاد الفرعية والمتغير الرئيسي)؛ ذلك أن فقرات القياس مقتبسة من مقاييس Likert مؤسسة في الأدبيات، وتُعدّ مؤشرات قابلة للتبادل تعكس المفهوم الكامن ذاته، بحيث لا يُفترض أن يُحدث حذف فقرة واحدة تغييراً جوهرياً في المعنى المفاهيمي للبُعد. وبالنظر إلى أن كل متغير رئيسي (التحول الرقمي، الاستدامة المؤسسية، الحوكمة الذكية، سلامة الأصول، الأداء المؤسسي) يُقاس عبر أبعاد فرعية متعددة، فإنه يُعامَل بوصفه </w:t>
      </w:r>
      <w:r>
        <w:rPr>
          <w:rFonts w:ascii="Traditional Arabic" w:hAnsi="Traditional Arabic" w:cs="Traditional Arabic"/>
          <w:sz w:val="28"/>
          <w:szCs w:val="28"/>
        </w:rPr>
        <w:t>متغيراً من الرتبة العليا (Higher-Order Construct - HOC)</w:t>
      </w:r>
      <w:r>
        <w:rPr>
          <w:rFonts w:ascii="Traditional Arabic" w:hAnsi="Traditional Arabic" w:cs="Traditional Arabic"/>
          <w:sz w:val="28"/>
          <w:szCs w:val="28"/>
          <w:rtl/>
        </w:rPr>
        <w:t xml:space="preserve">، ويُقدَّر باستخدام </w:t>
      </w:r>
      <w:r>
        <w:rPr>
          <w:rFonts w:ascii="Traditional Arabic" w:hAnsi="Traditional Arabic" w:cs="Traditional Arabic"/>
          <w:b/>
          <w:bCs/>
          <w:sz w:val="28"/>
          <w:szCs w:val="28"/>
          <w:rtl/>
        </w:rPr>
        <w:t>أسلوب المرحلتين</w:t>
      </w:r>
      <w:r>
        <w:rPr>
          <w:rFonts w:ascii="Traditional Arabic" w:hAnsi="Traditional Arabic" w:cs="Traditional Arabic"/>
          <w:sz w:val="28"/>
          <w:szCs w:val="28"/>
        </w:rPr>
        <w:t xml:space="preserve"> (Two-Stage Approach)</w:t>
      </w:r>
      <w:r>
        <w:rPr>
          <w:rFonts w:ascii="Traditional Arabic" w:hAnsi="Traditional Arabic" w:cs="Traditional Arabic"/>
          <w:sz w:val="28"/>
          <w:szCs w:val="28"/>
          <w:rtl/>
        </w:rPr>
        <w:t xml:space="preserve">؛ إذ تُستخرج في المرحلة الأولى درجات المتغيرات الكامنة الفرعية (Latent Variable Scores) لكل بُعد، ثم تُستخدم هذه الدرجات في المرحلة الثانية بوصفها مؤشرات للمتغير من الرتبة العليا </w:t>
      </w:r>
      <w:r>
        <w:rPr>
          <w:rFonts w:ascii="Traditional Arabic" w:hAnsi="Traditional Arabic" w:cs="Traditional Arabic"/>
          <w:sz w:val="28"/>
          <w:szCs w:val="28"/>
        </w:rPr>
        <w:t>(Hair et al., 2019)</w:t>
      </w:r>
      <w:r>
        <w:rPr>
          <w:rFonts w:ascii="Traditional Arabic" w:hAnsi="Traditional Arabic" w:cs="Traditional Arabic"/>
          <w:sz w:val="28"/>
          <w:szCs w:val="28"/>
          <w:rtl/>
        </w:rPr>
        <w:t xml:space="preserve">. أما بخصوص معايير قبول تشبعات الفقرات، فتُحذف الفقرة التي يقل معامل تشبعها عن (0.40)، وتُدرَس بعناية الفقرات التي يقع تشبعها بين (0.40-0.70) من حيث أثر حذفها على قيمتي </w:t>
      </w:r>
      <w:r>
        <w:rPr>
          <w:rFonts w:ascii="Traditional Arabic" w:hAnsi="Traditional Arabic" w:cs="Traditional Arabic"/>
          <w:sz w:val="28"/>
          <w:szCs w:val="28"/>
        </w:rPr>
        <w:t xml:space="preserve">AVE </w:t>
      </w:r>
      <w:r>
        <w:rPr>
          <w:rFonts w:ascii="Traditional Arabic" w:hAnsi="Traditional Arabic" w:cs="Traditional Arabic"/>
          <w:sz w:val="28"/>
          <w:szCs w:val="28"/>
          <w:rtl/>
        </w:rPr>
        <w:t xml:space="preserve">والثبات المركب، فلا تُحذف إلا إذا أسهم حذفها في تحسين هاتين القيمتين بما يتجاوز الحدود الدنيا المطلوبة، أما الفقرات ذات التشبع الأعلى من (0.70) فتُبقى دون مراجعة </w:t>
      </w:r>
      <w:r>
        <w:rPr>
          <w:rFonts w:ascii="Traditional Arabic" w:hAnsi="Traditional Arabic" w:cs="Traditional Arabic"/>
          <w:sz w:val="28"/>
          <w:szCs w:val="28"/>
        </w:rPr>
        <w:lastRenderedPageBreak/>
        <w:t>(Hair et al., 2019)</w:t>
      </w:r>
      <w:r>
        <w:rPr>
          <w:rFonts w:ascii="Traditional Arabic" w:hAnsi="Traditional Arabic" w:cs="Traditional Arabic"/>
          <w:sz w:val="28"/>
          <w:szCs w:val="28"/>
          <w:rtl/>
        </w:rPr>
        <w:t>. وتؤكد الدراسة أن قرار حذف أي فقرة لن يُتَّخذ بصورة آلية استناداً إلى التحسّن الإحصائي في AVE أو الثبات المركب وحده، بل سيخضع أيضاً لتقييم نظري مسبق لمدى إسهام الفقرة في التغطية المفاهيمية الشاملة (Content Validity) للبُعد الذي تنتمي إليه؛ فإذا كانت الفقرة تغطي جانباً جوهرياً من المفهوم لا تغطيه فقرات أخرى ضمن البُعد نفسه، يُفضَّل الإبقاء عليها ولو على حساب تحسن هامشي في المؤشرات الإحصائية، صوناً لاكتمال تمثيل المفهوم نظرياً</w:t>
      </w:r>
      <w:r>
        <w:rPr>
          <w:rFonts w:ascii="Traditional Arabic" w:hAnsi="Traditional Arabic" w:cs="Traditional Arabic"/>
          <w:sz w:val="28"/>
          <w:szCs w:val="28"/>
        </w:rPr>
        <w:t>.</w:t>
      </w:r>
    </w:p>
    <w:p w14:paraId="1A1B1C9A" w14:textId="1A1B1C9B"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كما يُستكمَل تقييم الثبات الداخلي بمعامل </w:t>
      </w:r>
      <w:r>
        <w:rPr>
          <w:rFonts w:ascii="Traditional Arabic" w:hAnsi="Traditional Arabic" w:cs="Traditional Arabic"/>
          <w:sz w:val="28"/>
          <w:szCs w:val="28"/>
        </w:rPr>
        <w:t xml:space="preserve">rho_A </w:t>
      </w:r>
      <w:r>
        <w:rPr>
          <w:rFonts w:ascii="Traditional Arabic" w:hAnsi="Traditional Arabic" w:cs="Traditional Arabic"/>
          <w:sz w:val="28"/>
          <w:szCs w:val="28"/>
          <w:rtl/>
        </w:rPr>
        <w:t xml:space="preserve">الذي ينبغي ألا تقل قيمته عن (0.70)، بوصفه مؤشراً أكثر دقة من ألفا كرونباك في نماذج </w:t>
      </w:r>
      <w:r>
        <w:rPr>
          <w:rFonts w:ascii="Traditional Arabic" w:hAnsi="Traditional Arabic" w:cs="Traditional Arabic"/>
          <w:sz w:val="28"/>
          <w:szCs w:val="28"/>
        </w:rPr>
        <w:t>PLS-SEM (Dijkstra &amp; Henseler, 2015).</w:t>
      </w:r>
    </w:p>
    <w:p w14:paraId="5462E794" w14:textId="5462E795"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 xml:space="preserve">التبرير النظري للانعكاسية على مستوى كل متغير: </w:t>
      </w:r>
      <w:r>
        <w:rPr>
          <w:rFonts w:ascii="Traditional Arabic" w:hAnsi="Traditional Arabic" w:cs="Traditional Arabic"/>
          <w:sz w:val="28"/>
          <w:szCs w:val="28"/>
          <w:rtl/>
        </w:rPr>
        <w:t xml:space="preserve">لا يستند اختيار البنية الانعكاسية إلى طبيعة مقياس ليكرت وحدها، بل إلى طبيعة كل مفهوم نظرياً؛ فالتحول الرقمي يُنظَر إليه هنا بوصفه سمة مؤسسية كامنة واحدة (درجة النضج الرقمي العام للمؤسسة) تتجلى بصورة متسقة عبر أبعاده الفرعية (البنية التحتية التقنية، الثقافة الرقمية، العمليات الرقمية)، بحيث يُتوقَّع أن ترتفع هذه الأبعاد أو تنخفض معاً مع تغيّر مستوى النضج الرقمي الكامن، وهو ما يتسق مع معالجة Vial (2019) للمفهوم بوصفه ظاهرة تحوّلية شاملة لا حزمة مكوّنات منفصلة. وبالمثل، تُعامَل الاستدامة المؤسسية بوصفها التزاماً مؤسسياً كامناً واحداً ينعكس عبر أبعادها الثلاثة (البيئي والاجتماعي والاقتصادي) وفق منطق "خط الأساس الثلاثي" (Triple Bottom Line) </w:t>
      </w:r>
      <w:proofErr w:type="gramStart"/>
      <w:r>
        <w:rPr>
          <w:rFonts w:ascii="Traditional Arabic" w:hAnsi="Traditional Arabic" w:cs="Traditional Arabic"/>
          <w:sz w:val="28"/>
          <w:szCs w:val="28"/>
          <w:rtl/>
        </w:rPr>
        <w:t>لـElkington</w:t>
      </w:r>
      <w:proofErr w:type="gramEnd"/>
      <w:r>
        <w:rPr>
          <w:rFonts w:ascii="Traditional Arabic" w:hAnsi="Traditional Arabic" w:cs="Traditional Arabic"/>
          <w:sz w:val="28"/>
          <w:szCs w:val="28"/>
          <w:rtl/>
        </w:rPr>
        <w:t xml:space="preserve"> (1997)، الذي يفترض أساساً أن هذه الأبعاد مظاهر لالتزام استدامة واحد لا مكونات مستقلة تُشكِّله جمعياً. أما الحوكمة الذكية فتُعامَل بوصفها قدرة مؤسسية كامنة تنعكس عبر ممارسات الشفافية والمساءلة والمشاركة الرقمية بوصفها تجليات لجودة الحوكمة الكامنة، تماشياً مع أدبيات الحوكمة الرقمية (Janssen et al., 2017) التي تُعامل هذه الممارسات كمؤشرات مترابطة لظاهرة حوكمية واحدة. ويستند هذا التصنيف الانعكاسي بصورة أساسية إلى محكات Jarvis, MacKenzie &amp; Podsakoff (2003) النظرية الأربعة للتمييز بين البنية الانعكاسية والتكوينية: (1) اتجاه العلاقة السببية من المتغير الكامن إلى مؤشراته لا العكس، بحيث يُنظَر إلى كل بُعد فرعي بوصفه نتيجة لتغيّر المفهوم الكامن لا سبباً مكوِّناً له؛ (2) قابلية تبادل المؤشرات (Interchangeability)، إذ يُفترض نظرياً أن أي بُعد فرعي يمكن حذفه دون أن يفقد المفهوم مضمونه الجوهري؛ (3) توقع تعاون (Covariation) بين الأبعاد الفرعية، بحيث يُتوقع نظرياً أن ترتفع أو تنخفض معاً مع تغيّر المفهوم الكامن؛ (4) اتساق الشبكة النوموثيقية (Nomological Net)، إذ يُفترض أن ترتبط جميع الأبعاد الفرعية بالمتغيرات الأخرى في النموذج بأنماط مماثلة. وقد طُبِّقت هذه المحكات الأربعة نظرياً على كل متغير رئيس في نموذج الدراسة قبل اعتماد التصنيف الانعكاسي، بحيث يستند القرار إلى طبيعة العلاقة المفاهيمية بين البنية وأبعادها بصورة مسبقة (A Priori)، لا إلى نتائج الاتساق الداخلي أو أي مؤشر إحصائي لاحق قد يظهر جيداً أو ضعيفاً؛ ذلك أن الاستدلال بالنتائج الإحصائية اللاحقة على صحة القرار النظري السابق يُعدّ خطأً منهجياً معكوس الاتجاه (Reverse Inference)</w:t>
      </w:r>
      <w:r>
        <w:rPr>
          <w:rFonts w:ascii="Traditional Arabic" w:hAnsi="Traditional Arabic" w:cs="Traditional Arabic"/>
          <w:sz w:val="28"/>
          <w:szCs w:val="28"/>
        </w:rPr>
        <w:t>.</w:t>
      </w:r>
    </w:p>
    <w:p w14:paraId="5462E793" w14:textId="67CF6092" w:rsidR="009A71C7" w:rsidRDefault="009A71C7" w:rsidP="00943C1C">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t>المرحلة الثانية –</w:t>
      </w:r>
      <w:r>
        <w:rPr>
          <w:rFonts w:ascii="Traditional Arabic" w:hAnsi="Traditional Arabic" w:cs="Traditional Arabic"/>
          <w:sz w:val="28"/>
          <w:szCs w:val="28"/>
          <w:rtl/>
        </w:rPr>
        <w:t xml:space="preserve"> تقييم نموذج البنية الداخلية</w:t>
      </w:r>
      <w:r>
        <w:rPr>
          <w:rFonts w:ascii="Traditional Arabic" w:hAnsi="Traditional Arabic" w:cs="Traditional Arabic"/>
          <w:sz w:val="28"/>
          <w:szCs w:val="28"/>
        </w:rPr>
        <w:t xml:space="preserve"> (Inner/Structural Model): </w:t>
      </w:r>
      <w:r>
        <w:rPr>
          <w:rFonts w:ascii="Traditional Arabic" w:hAnsi="Traditional Arabic" w:cs="Traditional Arabic"/>
          <w:sz w:val="28"/>
          <w:szCs w:val="28"/>
          <w:rtl/>
        </w:rPr>
        <w:t>يختبر هذا النموذج العلاقات السببية بين المتغيرات وفق الفروض المحددة، ويشمل حساب معاملات المسار</w:t>
      </w:r>
      <w:r>
        <w:rPr>
          <w:rFonts w:ascii="Traditional Arabic" w:hAnsi="Traditional Arabic" w:cs="Traditional Arabic"/>
          <w:sz w:val="28"/>
          <w:szCs w:val="28"/>
        </w:rPr>
        <w:t xml:space="preserve"> (Path Coefficients) </w:t>
      </w:r>
      <w:r>
        <w:rPr>
          <w:rFonts w:ascii="Traditional Arabic" w:hAnsi="Traditional Arabic" w:cs="Traditional Arabic"/>
          <w:sz w:val="28"/>
          <w:szCs w:val="28"/>
          <w:rtl/>
        </w:rPr>
        <w:t>وقيم</w:t>
      </w:r>
      <w:r>
        <w:rPr>
          <w:rFonts w:ascii="Traditional Arabic" w:hAnsi="Traditional Arabic" w:cs="Traditional Arabic"/>
          <w:sz w:val="28"/>
          <w:szCs w:val="28"/>
        </w:rPr>
        <w:t xml:space="preserve"> (t) </w:t>
      </w:r>
      <w:r>
        <w:rPr>
          <w:rFonts w:ascii="Traditional Arabic" w:hAnsi="Traditional Arabic" w:cs="Traditional Arabic"/>
          <w:sz w:val="28"/>
          <w:szCs w:val="28"/>
          <w:rtl/>
        </w:rPr>
        <w:t>المصاحبة لها عبر أسلوب</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Bootstrap</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(5000 عينة)، ومعامل التحديد</w:t>
      </w:r>
      <w:r>
        <w:rPr>
          <w:rFonts w:ascii="Traditional Arabic" w:hAnsi="Traditional Arabic" w:cs="Traditional Arabic"/>
          <w:sz w:val="28"/>
          <w:szCs w:val="28"/>
        </w:rPr>
        <w:t xml:space="preserve"> (R²) </w:t>
      </w:r>
      <w:r>
        <w:rPr>
          <w:rFonts w:ascii="Traditional Arabic" w:hAnsi="Traditional Arabic" w:cs="Traditional Arabic"/>
          <w:sz w:val="28"/>
          <w:szCs w:val="28"/>
          <w:rtl/>
        </w:rPr>
        <w:t>لكل متغير تابع/وسيط، وحجم الأثر</w:t>
      </w:r>
      <w:r>
        <w:rPr>
          <w:rFonts w:ascii="Traditional Arabic" w:hAnsi="Traditional Arabic" w:cs="Traditional Arabic"/>
          <w:sz w:val="28"/>
          <w:szCs w:val="28"/>
        </w:rPr>
        <w:t xml:space="preserve"> (f²)</w:t>
      </w:r>
      <w:r>
        <w:rPr>
          <w:rFonts w:ascii="Traditional Arabic" w:hAnsi="Traditional Arabic" w:cs="Traditional Arabic"/>
          <w:sz w:val="28"/>
          <w:szCs w:val="28"/>
          <w:rtl/>
        </w:rPr>
        <w:t>، والقدرة التنبؤية</w:t>
      </w:r>
      <w:r>
        <w:rPr>
          <w:rFonts w:ascii="Traditional Arabic" w:hAnsi="Traditional Arabic" w:cs="Traditional Arabic"/>
          <w:sz w:val="28"/>
          <w:szCs w:val="28"/>
        </w:rPr>
        <w:t xml:space="preserve"> (Q²) </w:t>
      </w:r>
      <w:r>
        <w:rPr>
          <w:rFonts w:ascii="Traditional Arabic" w:hAnsi="Traditional Arabic" w:cs="Traditional Arabic"/>
          <w:sz w:val="28"/>
          <w:szCs w:val="28"/>
          <w:rtl/>
        </w:rPr>
        <w:t>عبر إجراء</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Blindfolding</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w:t>
      </w:r>
    </w:p>
    <w:p w14:paraId="77E82481" w14:textId="3FE450FD"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3D4E5F60" w14:textId="3D4E5F61"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 xml:space="preserve">يتبنى نموذج الدراسة نموذج وساطة </w:t>
      </w:r>
      <w:r>
        <w:rPr>
          <w:rFonts w:ascii="Traditional Arabic" w:hAnsi="Traditional Arabic" w:cs="Traditional Arabic"/>
          <w:b/>
          <w:bCs/>
          <w:sz w:val="28"/>
          <w:szCs w:val="28"/>
          <w:rtl/>
        </w:rPr>
        <w:t>متسلسلة</w:t>
      </w:r>
      <w:r>
        <w:rPr>
          <w:rFonts w:ascii="Traditional Arabic" w:hAnsi="Traditional Arabic" w:cs="Traditional Arabic"/>
          <w:sz w:val="28"/>
          <w:szCs w:val="28"/>
        </w:rPr>
        <w:t xml:space="preserve"> (Serial Mediation) </w:t>
      </w:r>
      <w:r>
        <w:rPr>
          <w:rFonts w:ascii="Traditional Arabic" w:hAnsi="Traditional Arabic" w:cs="Traditional Arabic"/>
          <w:sz w:val="28"/>
          <w:szCs w:val="28"/>
          <w:rtl/>
        </w:rPr>
        <w:t xml:space="preserve">لا نموذج وساطة متوازية؛ إذ تفترض الدراسة أن الحوكمة الذكية تؤثر أولاً في سلامة أصول البنية التحتية، ثم تنتقل هذه السلامة بدورها إلى تحسين الأداء المؤسسي، وفق التسلسل السببي الآتي: </w:t>
      </w:r>
      <w:r>
        <w:rPr>
          <w:rFonts w:ascii="Traditional Arabic" w:hAnsi="Traditional Arabic" w:cs="Traditional Arabic"/>
          <w:sz w:val="28"/>
          <w:szCs w:val="28"/>
        </w:rPr>
        <w:t>(التحول الرقمي / الاستدامة المؤسسية) → الحوكمة الذكية → سلامة الأصول → الأداء المؤسسي.</w:t>
      </w:r>
    </w:p>
    <w:p w14:paraId="3D4E5F62" w14:textId="3D4E5F63" w:rsidR="00EF4BBA" w:rsidRPr="00253EFE" w:rsidRDefault="00EF4BBA"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وبناءً على هذا التسلسل، يتم اختبار المسارات غير المباشرة الآتية على وجه التحديد: (1) التحول الرقمي → الحوكمة الذكية → سلامة الأصول → الأداء المؤسسي؛ (2) الاستدامة المؤسسية → الحوكمة الذكية → سلامة الأصول → الأداء المؤسسي؛ إضافة إلى المسارين غير المباشرين الأحاديين: التحول الرقمي/الاستدامة المؤسسية → الحوكمة الذكية → الأداء المؤسسي (دون المرور بسلامة الأصول)، والحوكمة الذكية → سلامة الأصول → الأداء المؤسسي.</w:t>
      </w:r>
    </w:p>
    <w:p w14:paraId="20D7A352" w14:textId="77777777" w:rsidR="00EF4BBA" w:rsidRPr="00253EFE" w:rsidRDefault="00EF4BBA"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معايير اختبار الوساطة  (</w:t>
      </w:r>
      <w:r>
        <w:rPr>
          <w:rFonts w:asciiTheme="majorHAnsi" w:eastAsiaTheme="majorEastAsia" w:hAnsiTheme="majorHAnsi" w:cstheme="majorBidi"/>
          <w:color w:val="2F5496" w:themeColor="accent1" w:themeShade="BF"/>
          <w:sz w:val="32"/>
          <w:szCs w:val="32"/>
        </w:rPr>
        <w:t>Mediation Analysis</w:t>
      </w:r>
      <w:r>
        <w:rPr>
          <w:rFonts w:asciiTheme="majorHAnsi" w:eastAsiaTheme="majorEastAsia" w:hAnsiTheme="majorHAnsi" w:cstheme="majorBidi"/>
          <w:color w:val="2F5496" w:themeColor="accent1" w:themeShade="BF"/>
          <w:sz w:val="32"/>
          <w:szCs w:val="32"/>
          <w:rtl/>
        </w:rPr>
        <w:t>)</w:t>
      </w:r>
    </w:p>
    <w:p w14:paraId="41FE67D8" w14:textId="54C320D2" w:rsidR="009A71C7" w:rsidRPr="00943C1C"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لاختبار التأثير الوسيط لكل من الحوكمة الذكية وسلامة الأصول، اعتمدت الدراسة منهجية حساب التأثير غير المباشر</w:t>
      </w:r>
      <w:r>
        <w:rPr>
          <w:rFonts w:ascii="Traditional Arabic" w:hAnsi="Traditional Arabic" w:cs="Traditional Arabic"/>
          <w:sz w:val="28"/>
          <w:szCs w:val="28"/>
        </w:rPr>
        <w:t xml:space="preserve"> (Indirect Effects) </w:t>
      </w:r>
      <w:r>
        <w:rPr>
          <w:rFonts w:ascii="Traditional Arabic" w:hAnsi="Traditional Arabic" w:cs="Traditional Arabic" w:hint="cs"/>
          <w:sz w:val="28"/>
          <w:szCs w:val="28"/>
          <w:rtl/>
        </w:rPr>
        <w:t xml:space="preserve"> </w:t>
      </w:r>
      <w:r>
        <w:rPr>
          <w:rFonts w:ascii="Traditional Arabic" w:hAnsi="Traditional Arabic" w:cs="Traditional Arabic"/>
          <w:sz w:val="28"/>
          <w:szCs w:val="28"/>
          <w:rtl/>
        </w:rPr>
        <w:t>عبر</w:t>
      </w:r>
      <w:r>
        <w:rPr>
          <w:rFonts w:ascii="Traditional Arabic" w:hAnsi="Traditional Arabic" w:cs="Traditional Arabic"/>
          <w:sz w:val="28"/>
          <w:szCs w:val="28"/>
        </w:rPr>
        <w:t xml:space="preserve"> Bootstrap </w:t>
      </w:r>
      <w:r>
        <w:rPr>
          <w:rFonts w:ascii="Traditional Arabic" w:hAnsi="Traditional Arabic" w:cs="Traditional Arabic"/>
          <w:sz w:val="28"/>
          <w:szCs w:val="28"/>
          <w:rtl/>
        </w:rPr>
        <w:t>بـ (5000) تكرار، واستخراج فترات الثقة</w:t>
      </w:r>
      <w:r>
        <w:rPr>
          <w:rFonts w:ascii="Traditional Arabic" w:hAnsi="Traditional Arabic" w:cs="Traditional Arabic"/>
          <w:sz w:val="28"/>
          <w:szCs w:val="28"/>
        </w:rPr>
        <w:t xml:space="preserve"> (95% Confidence Intervals). </w:t>
      </w:r>
      <w:r>
        <w:rPr>
          <w:rFonts w:ascii="Traditional Arabic" w:hAnsi="Traditional Arabic" w:cs="Traditional Arabic"/>
          <w:sz w:val="28"/>
          <w:szCs w:val="28"/>
          <w:rtl/>
        </w:rPr>
        <w:t>وتُعدّ الوساطة ذات دلالة إحصائية عندما لا تتضمن فترة الثقة القيمة الصفر</w:t>
      </w:r>
      <w:r>
        <w:rPr>
          <w:rFonts w:ascii="Traditional Arabic" w:hAnsi="Traditional Arabic" w:cs="Traditional Arabic"/>
          <w:sz w:val="28"/>
          <w:szCs w:val="28"/>
        </w:rPr>
        <w:t xml:space="preserve"> (Zero)</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وتتوافق هذه المنهجية مع توصيات</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Preacher &amp; Hayes (2008)</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وبرنامج</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PROCESS</w:t>
      </w:r>
      <w:r>
        <w:rPr>
          <w:rFonts w:ascii="Traditional Arabic" w:hAnsi="Traditional Arabic" w:cs="Traditional Arabic" w:hint="cs"/>
          <w:sz w:val="28"/>
          <w:szCs w:val="28"/>
          <w:rtl/>
        </w:rPr>
        <w:t xml:space="preserve"> </w:t>
      </w:r>
      <w:r>
        <w:rPr>
          <w:rFonts w:ascii="Traditional Arabic" w:hAnsi="Traditional Arabic" w:cs="Traditional Arabic"/>
          <w:sz w:val="28"/>
          <w:szCs w:val="28"/>
        </w:rPr>
        <w:t xml:space="preserve"> </w:t>
      </w:r>
      <w:r>
        <w:rPr>
          <w:rFonts w:ascii="Traditional Arabic" w:hAnsi="Traditional Arabic" w:cs="Traditional Arabic"/>
          <w:sz w:val="28"/>
          <w:szCs w:val="28"/>
          <w:rtl/>
        </w:rPr>
        <w:t>من حيث المنطق الإحصائي لتقدير الأثر غير المباشر، مع العلم بأن جميع اختبارات الوساطة في هذه الدراسة تُنفَّذ حصرياً داخل بيئة</w:t>
      </w:r>
      <w:r>
        <w:rPr>
          <w:rFonts w:ascii="Traditional Arabic" w:hAnsi="Traditional Arabic" w:cs="Traditional Arabic"/>
          <w:sz w:val="28"/>
          <w:szCs w:val="28"/>
        </w:rPr>
        <w:t xml:space="preserve"> SmartPLS 4.0 </w:t>
      </w:r>
      <w:r>
        <w:rPr>
          <w:rFonts w:ascii="Traditional Arabic" w:hAnsi="Traditional Arabic" w:cs="Traditional Arabic"/>
          <w:sz w:val="28"/>
          <w:szCs w:val="28"/>
          <w:rtl/>
        </w:rPr>
        <w:t>دون استخدام برنامج</w:t>
      </w:r>
      <w:r>
        <w:rPr>
          <w:rFonts w:ascii="Traditional Arabic" w:hAnsi="Traditional Arabic" w:cs="Traditional Arabic"/>
          <w:sz w:val="28"/>
          <w:szCs w:val="28"/>
        </w:rPr>
        <w:t xml:space="preserve"> PROCESS </w:t>
      </w:r>
      <w:r>
        <w:rPr>
          <w:rFonts w:ascii="Traditional Arabic" w:hAnsi="Traditional Arabic" w:cs="Traditional Arabic"/>
          <w:sz w:val="28"/>
          <w:szCs w:val="28"/>
          <w:rtl/>
        </w:rPr>
        <w:t xml:space="preserve">فعلياً، إذ لا يُستخدم هذا الأخير إلا كمرجع نظري لتوصيف منهجية اختبار الوساطة عبر Bootstrap. وتُصنَّف الوساطة إلى: </w:t>
      </w:r>
      <w:r>
        <w:rPr>
          <w:rFonts w:ascii="Traditional Arabic" w:hAnsi="Traditional Arabic" w:cs="Traditional Arabic"/>
          <w:b/>
          <w:bCs/>
          <w:sz w:val="28"/>
          <w:szCs w:val="28"/>
          <w:rtl/>
        </w:rPr>
        <w:t>وساطة كلية</w:t>
      </w:r>
      <w:r>
        <w:rPr>
          <w:rFonts w:ascii="Traditional Arabic" w:hAnsi="Traditional Arabic" w:cs="Traditional Arabic"/>
          <w:sz w:val="28"/>
          <w:szCs w:val="28"/>
          <w:rtl/>
        </w:rPr>
        <w:t xml:space="preserve"> عندما يكون الأثر غير المباشر دالاً إحصائياً بينما يصبح الأثر المباشر غير دالٍ بعد إدخال الوسيط؛ </w:t>
      </w:r>
      <w:r>
        <w:rPr>
          <w:rFonts w:ascii="Traditional Arabic" w:hAnsi="Traditional Arabic" w:cs="Traditional Arabic"/>
          <w:b/>
          <w:bCs/>
          <w:sz w:val="28"/>
          <w:szCs w:val="28"/>
          <w:rtl/>
        </w:rPr>
        <w:t>وساطة جزئية</w:t>
      </w:r>
      <w:r>
        <w:rPr>
          <w:rFonts w:ascii="Traditional Arabic" w:hAnsi="Traditional Arabic" w:cs="Traditional Arabic"/>
          <w:sz w:val="28"/>
          <w:szCs w:val="28"/>
          <w:rtl/>
        </w:rPr>
        <w:t xml:space="preserve"> عندما يكون كلا الأثرين (المباشر وغير المباشر) دالَّين إحصائياً معاً؛ و</w:t>
      </w:r>
      <w:r>
        <w:rPr>
          <w:rFonts w:ascii="Traditional Arabic" w:hAnsi="Traditional Arabic" w:cs="Traditional Arabic"/>
          <w:b/>
          <w:bCs/>
          <w:sz w:val="28"/>
          <w:szCs w:val="28"/>
          <w:rtl/>
        </w:rPr>
        <w:t>عدم وجود وساطة</w:t>
      </w:r>
      <w:r>
        <w:rPr>
          <w:rFonts w:ascii="Traditional Arabic" w:hAnsi="Traditional Arabic" w:cs="Traditional Arabic"/>
          <w:sz w:val="28"/>
          <w:szCs w:val="28"/>
          <w:rtl/>
        </w:rPr>
        <w:t xml:space="preserve"> عندما يتضمن فترة ثقة الأثر غير المباشر القيمة صفر</w:t>
      </w:r>
      <w:r>
        <w:rPr>
          <w:rFonts w:ascii="Traditional Arabic" w:hAnsi="Traditional Arabic" w:cs="Traditional Arabic"/>
          <w:sz w:val="28"/>
          <w:szCs w:val="28"/>
        </w:rPr>
        <w:t xml:space="preserve"> (Nitzl et al., 2016; Hair et al., 2019).</w:t>
      </w:r>
    </w:p>
    <w:p w14:paraId="1A1B1CAA" w14:textId="1A1B1CAB" w:rsidR="009A71C7" w:rsidRPr="00253EFE" w:rsidRDefault="009A71C7" w:rsidP="00231298">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ولا تكتفي الدراسة بدلالة الأثرين المباشر وغير المباشر إحصائياً فحسب في الحكم على نوع الوساطة، بل تُفسِّر ذلك أيضاً وفق اتجاه الأثرين (نفس الإشارة أو إشارة معاكسة)، استناداً إلى تصنيف </w:t>
      </w:r>
      <w:r>
        <w:rPr>
          <w:rFonts w:ascii="Traditional Arabic" w:hAnsi="Traditional Arabic" w:cs="Traditional Arabic"/>
          <w:sz w:val="28"/>
          <w:szCs w:val="28"/>
        </w:rPr>
        <w:t>Zhao, Lynch &amp; Chang (2010)</w:t>
      </w:r>
      <w:r>
        <w:rPr>
          <w:rFonts w:ascii="Traditional Arabic" w:hAnsi="Traditional Arabic" w:cs="Traditional Arabic"/>
          <w:sz w:val="28"/>
          <w:szCs w:val="28"/>
          <w:rtl/>
        </w:rPr>
        <w:t xml:space="preserve">؛ فتُعدّ الوساطة الجزئية </w:t>
      </w:r>
      <w:r>
        <w:rPr>
          <w:rFonts w:ascii="Traditional Arabic" w:hAnsi="Traditional Arabic" w:cs="Traditional Arabic"/>
          <w:b/>
          <w:bCs/>
          <w:sz w:val="28"/>
          <w:szCs w:val="28"/>
          <w:rtl/>
        </w:rPr>
        <w:t>تكاملية</w:t>
      </w:r>
      <w:r>
        <w:rPr>
          <w:rFonts w:ascii="Traditional Arabic" w:hAnsi="Traditional Arabic" w:cs="Traditional Arabic"/>
          <w:sz w:val="28"/>
          <w:szCs w:val="28"/>
        </w:rPr>
        <w:t xml:space="preserve"> (Complementary) </w:t>
      </w:r>
      <w:r>
        <w:rPr>
          <w:rFonts w:ascii="Traditional Arabic" w:hAnsi="Traditional Arabic" w:cs="Traditional Arabic"/>
          <w:sz w:val="28"/>
          <w:szCs w:val="28"/>
          <w:rtl/>
        </w:rPr>
        <w:t xml:space="preserve">إذا كان الأثران المباشر وغير المباشر في الاتجاه نفسه (كلاهما موجب أو كلاهما سالب)، بينما تُعدّ </w:t>
      </w:r>
      <w:r>
        <w:rPr>
          <w:rFonts w:ascii="Traditional Arabic" w:hAnsi="Traditional Arabic" w:cs="Traditional Arabic"/>
          <w:b/>
          <w:bCs/>
          <w:sz w:val="28"/>
          <w:szCs w:val="28"/>
          <w:rtl/>
        </w:rPr>
        <w:t>تنافسية</w:t>
      </w:r>
      <w:r>
        <w:rPr>
          <w:rFonts w:ascii="Traditional Arabic" w:hAnsi="Traditional Arabic" w:cs="Traditional Arabic"/>
          <w:sz w:val="28"/>
          <w:szCs w:val="28"/>
        </w:rPr>
        <w:t xml:space="preserve"> (Competitive) </w:t>
      </w:r>
      <w:r>
        <w:rPr>
          <w:rFonts w:ascii="Traditional Arabic" w:hAnsi="Traditional Arabic" w:cs="Traditional Arabic"/>
          <w:sz w:val="28"/>
          <w:szCs w:val="28"/>
          <w:rtl/>
        </w:rPr>
        <w:t>إذا كانا في اتجاهين متعاكسين، وهو ما قد يشير إلى وجود متغير كابح (Suppressor) يستحق مزيداً من التفسير النظري بدلاً من الاكتفاء بوصف المسار المباشر بأنه "غير دال" بصورة آلية.</w:t>
      </w:r>
    </w:p>
    <w:p w14:paraId="1A1B1C1D" w14:textId="1A1B1C1E" w:rsidR="009A71C7" w:rsidRPr="00253EFE" w:rsidRDefault="009A71C7" w:rsidP="00B7711D">
      <w:pPr>
        <w:pStyle w:val="ListParagraph"/>
        <w:numPr>
          <w:ilvl w:val="0"/>
          <w:numId w:val="8"/>
        </w:numPr>
        <w:bidi/>
        <w:jc w:val="both"/>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tl/>
        </w:rPr>
        <w:t>معايير إضافية لتقييم جودة النموذج وقدرته التفسيرية والتنبؤية</w:t>
      </w:r>
    </w:p>
    <w:p w14:paraId="1A1B1C1E" w14:textId="1A1B1C1D"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تُنظَّم معايير تقييم جودة النموذج البنائي ضمن محورين متمايزين حتى لا تختلط القدرة التفسيرية بالقدرة التنبؤية: المحور الأول هو </w:t>
      </w:r>
      <w:r>
        <w:rPr>
          <w:rFonts w:ascii="Traditional Arabic" w:hAnsi="Traditional Arabic" w:cs="Traditional Arabic"/>
          <w:sz w:val="28"/>
          <w:szCs w:val="28"/>
        </w:rPr>
        <w:t>التقييم التفسيري داخل العينة (In-Sample Explanatory Assessment)</w:t>
      </w:r>
      <w:r>
        <w:rPr>
          <w:rFonts w:ascii="Traditional Arabic" w:hAnsi="Traditional Arabic" w:cs="Traditional Arabic"/>
          <w:sz w:val="28"/>
          <w:szCs w:val="28"/>
          <w:rtl/>
        </w:rPr>
        <w:t xml:space="preserve">، ويُستخدَم فيه معاملا R² وf² لبيان مدى قدرة النموذج على تفسير التباين ضمن بيانات العينة نفسها؛ والمحور الثاني هو </w:t>
      </w:r>
      <w:r>
        <w:rPr>
          <w:rFonts w:ascii="Traditional Arabic" w:hAnsi="Traditional Arabic" w:cs="Traditional Arabic"/>
          <w:sz w:val="28"/>
          <w:szCs w:val="28"/>
        </w:rPr>
        <w:t>التقييم التنبؤي خارج العينة (Out-of-Sample Predictive Assessment)</w:t>
      </w:r>
      <w:r>
        <w:rPr>
          <w:rFonts w:ascii="Traditional Arabic" w:hAnsi="Traditional Arabic" w:cs="Traditional Arabic"/>
          <w:sz w:val="28"/>
          <w:szCs w:val="28"/>
          <w:rtl/>
        </w:rPr>
        <w:t>، ويُستخدَم فيه إجراء PLSpredict للحكم على قدرة النموذج على التنبؤ ببيانات جديدة لم تُستخدم في تقدير النموذج. وفيما يلي تفصيل معايير كلا المحورين:</w:t>
      </w:r>
    </w:p>
    <w:p w14:paraId="1A1B1C1F" w14:textId="1A1B1C20"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lastRenderedPageBreak/>
        <w:t xml:space="preserve">استكمالاً لمعيار </w:t>
      </w:r>
      <w:r>
        <w:rPr>
          <w:rFonts w:ascii="Traditional Arabic" w:hAnsi="Traditional Arabic" w:cs="Traditional Arabic"/>
          <w:sz w:val="28"/>
          <w:szCs w:val="28"/>
        </w:rPr>
        <w:t xml:space="preserve">HTMT </w:t>
      </w:r>
      <w:r>
        <w:rPr>
          <w:rFonts w:ascii="Traditional Arabic" w:hAnsi="Traditional Arabic" w:cs="Traditional Arabic"/>
          <w:sz w:val="28"/>
          <w:szCs w:val="28"/>
          <w:rtl/>
        </w:rPr>
        <w:t xml:space="preserve">للصدق التمايزي (بحد أقصى 0.85 أو 0.90 وفق سياق النموذج)، تُستخرج فترات الثقة الخاصة به عبر إجراء </w:t>
      </w:r>
      <w:r>
        <w:rPr>
          <w:rFonts w:ascii="Traditional Arabic" w:hAnsi="Traditional Arabic" w:cs="Traditional Arabic"/>
          <w:sz w:val="28"/>
          <w:szCs w:val="28"/>
        </w:rPr>
        <w:t xml:space="preserve">Bootstrap (5000 عينة) </w:t>
      </w:r>
      <w:r>
        <w:rPr>
          <w:rFonts w:ascii="Traditional Arabic" w:hAnsi="Traditional Arabic" w:cs="Traditional Arabic"/>
          <w:sz w:val="28"/>
          <w:szCs w:val="28"/>
          <w:rtl/>
        </w:rPr>
        <w:t xml:space="preserve">بحيث يُعدّ الصدق التمايزي متحققاً إذا لم تتضمن فترة الثقة (95%) القيمة (1). ولتقييم ملاءمة النموذج البنائي إجمالاً، يُحتسب مؤشر </w:t>
      </w:r>
      <w:r>
        <w:rPr>
          <w:rFonts w:ascii="Traditional Arabic" w:hAnsi="Traditional Arabic" w:cs="Traditional Arabic"/>
          <w:sz w:val="28"/>
          <w:szCs w:val="28"/>
        </w:rPr>
        <w:t>SRMR (Standardized Root Mean Square Residual)</w:t>
      </w:r>
      <w:r>
        <w:rPr>
          <w:rFonts w:ascii="Traditional Arabic" w:hAnsi="Traditional Arabic" w:cs="Traditional Arabic"/>
          <w:sz w:val="28"/>
          <w:szCs w:val="28"/>
          <w:rtl/>
        </w:rPr>
        <w:t xml:space="preserve">، على أن تقل قيمته عن (0.08) لاعتبار النموذج ملائماً </w:t>
      </w:r>
      <w:r>
        <w:rPr>
          <w:rFonts w:ascii="Traditional Arabic" w:hAnsi="Traditional Arabic" w:cs="Traditional Arabic"/>
          <w:sz w:val="28"/>
          <w:szCs w:val="28"/>
        </w:rPr>
        <w:t xml:space="preserve">(Henseler et al., 2016). </w:t>
      </w:r>
      <w:r>
        <w:rPr>
          <w:rFonts w:ascii="Traditional Arabic" w:hAnsi="Traditional Arabic" w:cs="Traditional Arabic"/>
          <w:sz w:val="28"/>
          <w:szCs w:val="28"/>
          <w:rtl/>
        </w:rPr>
        <w:t xml:space="preserve">أما القدرة التفسيرية للنموذج فتُقيَّم من خلال معامل التحديد </w:t>
      </w:r>
      <w:r>
        <w:rPr>
          <w:rFonts w:ascii="Traditional Arabic" w:hAnsi="Traditional Arabic" w:cs="Traditional Arabic"/>
          <w:sz w:val="28"/>
          <w:szCs w:val="28"/>
        </w:rPr>
        <w:t>(R²)</w:t>
      </w:r>
      <w:r>
        <w:rPr>
          <w:rFonts w:ascii="Traditional Arabic" w:hAnsi="Traditional Arabic" w:cs="Traditional Arabic"/>
          <w:sz w:val="28"/>
          <w:szCs w:val="28"/>
          <w:rtl/>
        </w:rPr>
        <w:t xml:space="preserve">، الذي تُفسَّر قيمه وفق (Hair et al., 2019) بأنها ضعيفة إذا قلّت عن (0.25)، ومتوسطة إذا تراوحت بين (0.25-0.50)، وقوية إذا تجاوزت (0.50)؛ وحجم الأثر </w:t>
      </w:r>
      <w:r>
        <w:rPr>
          <w:rFonts w:ascii="Traditional Arabic" w:hAnsi="Traditional Arabic" w:cs="Traditional Arabic"/>
          <w:sz w:val="28"/>
          <w:szCs w:val="28"/>
        </w:rPr>
        <w:t xml:space="preserve">(f²) </w:t>
      </w:r>
      <w:r>
        <w:rPr>
          <w:rFonts w:ascii="Traditional Arabic" w:hAnsi="Traditional Arabic" w:cs="Traditional Arabic"/>
          <w:sz w:val="28"/>
          <w:szCs w:val="28"/>
          <w:rtl/>
        </w:rPr>
        <w:t xml:space="preserve">الذي يُصنَّف إلى أثر صغير (0.02)، ومتوسط (0.15)، وكبير (0.35) وفق </w:t>
      </w:r>
      <w:r>
        <w:rPr>
          <w:rFonts w:ascii="Traditional Arabic" w:hAnsi="Traditional Arabic" w:cs="Traditional Arabic"/>
          <w:sz w:val="28"/>
          <w:szCs w:val="28"/>
        </w:rPr>
        <w:t xml:space="preserve">Cohen (1988). </w:t>
      </w:r>
      <w:r>
        <w:rPr>
          <w:rFonts w:ascii="Traditional Arabic" w:hAnsi="Traditional Arabic" w:cs="Traditional Arabic"/>
          <w:sz w:val="28"/>
          <w:szCs w:val="28"/>
          <w:rtl/>
        </w:rPr>
        <w:t xml:space="preserve">وتُختبَر القدرة التنبؤية للنموذج من خلال قيمة </w:t>
      </w:r>
      <w:r>
        <w:rPr>
          <w:rFonts w:ascii="Traditional Arabic" w:hAnsi="Traditional Arabic" w:cs="Traditional Arabic"/>
          <w:sz w:val="28"/>
          <w:szCs w:val="28"/>
        </w:rPr>
        <w:t xml:space="preserve">Q² </w:t>
      </w:r>
      <w:r>
        <w:rPr>
          <w:rFonts w:ascii="Traditional Arabic" w:hAnsi="Traditional Arabic" w:cs="Traditional Arabic"/>
          <w:sz w:val="28"/>
          <w:szCs w:val="28"/>
          <w:rtl/>
        </w:rPr>
        <w:t xml:space="preserve">التي تُحتسب باستخدام إجراء </w:t>
      </w:r>
      <w:r>
        <w:rPr>
          <w:rFonts w:ascii="Traditional Arabic" w:hAnsi="Traditional Arabic" w:cs="Traditional Arabic"/>
          <w:sz w:val="28"/>
          <w:szCs w:val="28"/>
        </w:rPr>
        <w:t xml:space="preserve">Blindfolding </w:t>
      </w:r>
      <w:r>
        <w:rPr>
          <w:rFonts w:ascii="Traditional Arabic" w:hAnsi="Traditional Arabic" w:cs="Traditional Arabic"/>
          <w:sz w:val="28"/>
          <w:szCs w:val="28"/>
          <w:rtl/>
        </w:rPr>
        <w:t xml:space="preserve">(بمسافة إزاحة D=7)، بحيث تشير القيم الأكبر من صفر إلى وجود قدرة تنبؤية، وتُصنَّف إلى ضعيفة (0.02)، ومتوسطة (0.15)، وقوية (0.35). ولتعزيز تقييم القدرة التنبؤية خارج العينة، تُستخدم إضافة إلى ذلك تقنية </w:t>
      </w:r>
      <w:r>
        <w:rPr>
          <w:rFonts w:ascii="Traditional Arabic" w:hAnsi="Traditional Arabic" w:cs="Traditional Arabic"/>
          <w:sz w:val="28"/>
          <w:szCs w:val="28"/>
        </w:rPr>
        <w:t>PLSpredict (Shmueli et al., 2019)</w:t>
      </w:r>
      <w:r>
        <w:rPr>
          <w:rFonts w:ascii="Traditional Arabic" w:hAnsi="Traditional Arabic" w:cs="Traditional Arabic"/>
          <w:sz w:val="28"/>
          <w:szCs w:val="28"/>
          <w:rtl/>
        </w:rPr>
        <w:t xml:space="preserve">، من خلال مقارنة قيم خطأ التنبؤ </w:t>
      </w:r>
      <w:r>
        <w:rPr>
          <w:rFonts w:ascii="Traditional Arabic" w:hAnsi="Traditional Arabic" w:cs="Traditional Arabic"/>
          <w:sz w:val="28"/>
          <w:szCs w:val="28"/>
        </w:rPr>
        <w:t xml:space="preserve">(RMSE) </w:t>
      </w:r>
      <w:r>
        <w:rPr>
          <w:rFonts w:ascii="Traditional Arabic" w:hAnsi="Traditional Arabic" w:cs="Traditional Arabic"/>
          <w:sz w:val="28"/>
          <w:szCs w:val="28"/>
          <w:rtl/>
        </w:rPr>
        <w:t xml:space="preserve">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بنظيرتها للنموذج المرجعي الخطي</w:t>
      </w:r>
      <w:r>
        <w:rPr>
          <w:rFonts w:ascii="Traditional Arabic" w:hAnsi="Traditional Arabic" w:cs="Traditional Arabic"/>
          <w:sz w:val="28"/>
          <w:szCs w:val="28"/>
        </w:rPr>
        <w:t xml:space="preserve"> (Linear Model Benchmark - LM)</w:t>
      </w:r>
      <w:r>
        <w:rPr>
          <w:rFonts w:ascii="Traditional Arabic" w:hAnsi="Traditional Arabic" w:cs="Traditional Arabic"/>
          <w:sz w:val="28"/>
          <w:szCs w:val="28"/>
          <w:rtl/>
        </w:rPr>
        <w:t xml:space="preserve"> الذي يُخرِجه برنامج </w:t>
      </w:r>
      <w:r>
        <w:rPr>
          <w:rFonts w:ascii="Traditional Arabic" w:hAnsi="Traditional Arabic" w:cs="Traditional Arabic"/>
          <w:sz w:val="28"/>
          <w:szCs w:val="28"/>
        </w:rPr>
        <w:t xml:space="preserve">SmartPLS </w:t>
      </w:r>
      <w:r>
        <w:rPr>
          <w:rFonts w:ascii="Traditional Arabic" w:hAnsi="Traditional Arabic" w:cs="Traditional Arabic"/>
          <w:sz w:val="28"/>
          <w:szCs w:val="28"/>
          <w:rtl/>
        </w:rPr>
        <w:t xml:space="preserve">تلقائياً على مستوى كل مؤشر ضمن إجراء PLSpredict نفسه (لا نموذج انحدار خطي بسيط منفصل بالمعنى التقليدي)، بحيث تشير الأفضلية المتكررة لنموذج </w:t>
      </w:r>
      <w:r>
        <w:rPr>
          <w:rFonts w:ascii="Traditional Arabic" w:hAnsi="Traditional Arabic" w:cs="Traditional Arabic"/>
          <w:sz w:val="28"/>
          <w:szCs w:val="28"/>
        </w:rPr>
        <w:t xml:space="preserve">PLS </w:t>
      </w:r>
      <w:r>
        <w:rPr>
          <w:rFonts w:ascii="Traditional Arabic" w:hAnsi="Traditional Arabic" w:cs="Traditional Arabic"/>
          <w:sz w:val="28"/>
          <w:szCs w:val="28"/>
          <w:rtl/>
        </w:rPr>
        <w:t>إلى قدرة تنبؤية مرتفعة. وفي ختام هذا المبحث، سيُعرَض في الفصل الرابع جدول يربط كل فرض من فروض الدراسة بمساره الإحصائي المقابل في النموذج البنائي وأسلوب اختباره (تأثير مباشر عبر معامل المسار وقيمة t، أو تأثير غير مباشر عبر Bootstrap)، بما يضمن تتبعاً واضحاً ومباشراً بين الفروض النظرية ونتائجها الإحصائية.</w:t>
      </w:r>
    </w:p>
    <w:p w14:paraId="57E2A2DB" w14:textId="2F38FF18" w:rsidR="009A71C7" w:rsidRPr="00253EFE" w:rsidRDefault="009A71C7" w:rsidP="00B7711D">
      <w:pPr>
        <w:pStyle w:val="ListParagraph"/>
        <w:numPr>
          <w:ilvl w:val="0"/>
          <w:numId w:val="8"/>
        </w:numPr>
        <w:bidi/>
        <w:jc w:val="both"/>
        <w:rPr>
          <w:rFonts w:ascii="Traditional Arabic" w:hAnsi="Traditional Arabic" w:cs="Traditional Arabic"/>
          <w:sz w:val="28"/>
          <w:szCs w:val="28"/>
          <w:rtl/>
        </w:rPr>
      </w:pPr>
      <w:r>
        <w:rPr>
          <w:rFonts w:asciiTheme="majorHAnsi" w:eastAsiaTheme="majorEastAsia" w:hAnsiTheme="majorHAnsi" w:cstheme="majorBidi"/>
          <w:color w:val="2F5496" w:themeColor="accent1" w:themeShade="BF"/>
          <w:sz w:val="32"/>
          <w:szCs w:val="32"/>
          <w:rtl/>
        </w:rPr>
        <w:t>اختبار الانحياز الشائع للمصدر الواحد</w:t>
      </w:r>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hint="cs"/>
          <w:color w:val="2F5496" w:themeColor="accent1" w:themeShade="BF"/>
          <w:sz w:val="32"/>
          <w:szCs w:val="32"/>
          <w:rtl/>
        </w:rPr>
        <w:t xml:space="preserve"> </w:t>
      </w:r>
      <w:r>
        <w:rPr>
          <w:rFonts w:asciiTheme="majorHAnsi" w:eastAsiaTheme="majorEastAsia" w:hAnsiTheme="majorHAnsi" w:cstheme="majorBidi"/>
          <w:color w:val="2F5496" w:themeColor="accent1" w:themeShade="BF"/>
          <w:sz w:val="32"/>
          <w:szCs w:val="32"/>
        </w:rPr>
        <w:t>(Common Method Bias)</w:t>
      </w:r>
      <w:r>
        <w:rPr>
          <w:rFonts w:ascii="Traditional Arabic" w:hAnsi="Traditional Arabic" w:cs="Traditional Arabic" w:hint="cs"/>
          <w:sz w:val="28"/>
          <w:szCs w:val="28"/>
          <w:rtl/>
        </w:rPr>
        <w:t xml:space="preserve"> </w:t>
      </w:r>
    </w:p>
    <w:p w14:paraId="76A29D8E" w14:textId="57B3CB97" w:rsidR="009A71C7" w:rsidRPr="00943C1C" w:rsidRDefault="009A71C7" w:rsidP="004D466C">
      <w:pPr>
        <w:bidi/>
        <w:jc w:val="both"/>
        <w:rPr>
          <w:rFonts w:ascii="Traditional Arabic" w:hAnsi="Traditional Arabic" w:cs="Traditional Arabic"/>
          <w:sz w:val="28"/>
          <w:szCs w:val="28"/>
          <w:rtl/>
        </w:rPr>
      </w:pPr>
      <w:r>
        <w:rPr>
          <w:rFonts w:ascii="Traditional Arabic" w:hAnsi="Traditional Arabic" w:cs="Traditional Arabic"/>
          <w:sz w:val="28"/>
          <w:szCs w:val="28"/>
          <w:rtl/>
        </w:rPr>
        <w:t>للحدّ من تأثير انحياز المصدر الواحد – وهو مخاطرة منهجية شائعة في الدراسات الاستبانية – اتخذت الدراسة جملةً من الإجراءات الوقائية، أبرزها: التحقق من نتائج اختبار</w:t>
      </w:r>
      <w:r>
        <w:rPr>
          <w:rFonts w:ascii="Traditional Arabic" w:hAnsi="Traditional Arabic" w:cs="Traditional Arabic"/>
          <w:sz w:val="28"/>
          <w:szCs w:val="28"/>
        </w:rPr>
        <w:t xml:space="preserve"> Harman's Single Factor Test</w:t>
      </w:r>
      <w:r>
        <w:rPr>
          <w:rFonts w:ascii="Traditional Arabic" w:hAnsi="Traditional Arabic" w:cs="Traditional Arabic"/>
          <w:sz w:val="28"/>
          <w:szCs w:val="28"/>
          <w:rtl/>
        </w:rPr>
        <w:t>، وإجراء اختبار تضخم التباين</w:t>
      </w:r>
      <w:r>
        <w:rPr>
          <w:rFonts w:ascii="Traditional Arabic" w:hAnsi="Traditional Arabic" w:cs="Traditional Arabic"/>
          <w:sz w:val="28"/>
          <w:szCs w:val="28"/>
        </w:rPr>
        <w:t xml:space="preserve"> (VIF) </w:t>
      </w:r>
      <w:r>
        <w:rPr>
          <w:rFonts w:ascii="Traditional Arabic" w:hAnsi="Traditional Arabic" w:cs="Traditional Arabic"/>
          <w:sz w:val="28"/>
          <w:szCs w:val="28"/>
          <w:rtl/>
        </w:rPr>
        <w:t>للكشف عن حالات التعددية الخطية، واستخدام صيغة ضمان الحياد في صياغة الفقرات، إضافة إلى التمييز الواضح بين الأغراض البحثية والمعلومات التعريفية للمستجيب</w:t>
      </w:r>
      <w:r>
        <w:rPr>
          <w:rFonts w:ascii="Traditional Arabic" w:hAnsi="Traditional Arabic" w:cs="Traditional Arabic"/>
          <w:sz w:val="28"/>
          <w:szCs w:val="28"/>
        </w:rPr>
        <w:t>.</w:t>
      </w:r>
    </w:p>
    <w:p w14:paraId="2E3F4A5B" w14:textId="2E3F4A5C"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 xml:space="preserve">ونظراً لما وُجِّه لاختبار </w:t>
      </w:r>
      <w:r>
        <w:rPr>
          <w:rFonts w:ascii="Traditional Arabic" w:hAnsi="Traditional Arabic" w:cs="Traditional Arabic"/>
          <w:sz w:val="28"/>
          <w:szCs w:val="28"/>
        </w:rPr>
        <w:t xml:space="preserve">Harman's Single Factor Test </w:t>
      </w:r>
      <w:r>
        <w:rPr>
          <w:rFonts w:ascii="Traditional Arabic" w:hAnsi="Traditional Arabic" w:cs="Traditional Arabic"/>
          <w:sz w:val="28"/>
          <w:szCs w:val="28"/>
          <w:rtl/>
        </w:rPr>
        <w:t xml:space="preserve">من انتقادات منهجية بوصفه اختباراً تشخيصياً أولياً غير كافٍ بمفرده، لا تكتفي الدراسة به، بل تستكمله بإجراء اختبار التعددية الخطية الشامل </w:t>
      </w:r>
      <w:r>
        <w:rPr>
          <w:rFonts w:ascii="Traditional Arabic" w:hAnsi="Traditional Arabic" w:cs="Traditional Arabic"/>
          <w:sz w:val="28"/>
          <w:szCs w:val="28"/>
        </w:rPr>
        <w:t xml:space="preserve">(Full Collinearity VIF Test) </w:t>
      </w:r>
      <w:r>
        <w:rPr>
          <w:rFonts w:ascii="Traditional Arabic" w:hAnsi="Traditional Arabic" w:cs="Traditional Arabic"/>
          <w:sz w:val="28"/>
          <w:szCs w:val="28"/>
          <w:rtl/>
        </w:rPr>
        <w:t xml:space="preserve">الذي يتم فيه احتساب معامل تضخم التباين لكل متغير كامن في مواجهة متغير وهمي مشترك، بحيث تشير القيم الأقل من (3.3) إلى مؤشر تشخيصي داعم يقلل احتمالية وجود انحياز جوهري ناتج عن المصدر الواحد أو أي عامل مشترك آخر، لا دليلاً قاطعاً على غيابه بصورة كاملة </w:t>
      </w:r>
      <w:r>
        <w:rPr>
          <w:rFonts w:ascii="Traditional Arabic" w:hAnsi="Traditional Arabic" w:cs="Traditional Arabic"/>
          <w:sz w:val="28"/>
          <w:szCs w:val="28"/>
        </w:rPr>
        <w:t>(Kock, 2015)</w:t>
      </w:r>
      <w:r>
        <w:rPr>
          <w:rFonts w:ascii="Traditional Arabic" w:hAnsi="Traditional Arabic" w:cs="Traditional Arabic"/>
          <w:sz w:val="28"/>
          <w:szCs w:val="28"/>
          <w:rtl/>
        </w:rPr>
        <w:t>؛ وتبقى الإجراءات الوقائية (التصميمية) المتخذة مسبقاً في بناء الأداة - كضمان الحياد في صياغة الفقرات، والتباعد الزمني والمكاني النسبي بين قياس المتغيرات المستقلة والتابعة، والتمييز الواضح بين الأغراض البحثية والمعلومات التعريفية - هي خط الدفاع الأساسي والأكثر فاعلية ضد انحياز الطريقة المشتركة، فيما تبقى الاختبارات الإحصائية اللاحقة (Harman وVIF الشامل) وسيلة تشخيصية مكمِّلة لا بديلاً عنها. وبذلك تجمع الدراسة بين إجراءات وقائية (تصميمية) وإجراءات تشخيصية إحصائية متعددة لمعالجة انحياز الطريقة المشتركة معالجةً متكاملة، بدلاً من الاكتفاء باختبار واحد.</w:t>
      </w:r>
    </w:p>
    <w:p w14:paraId="578342ED" w14:textId="77777777" w:rsidR="009A71C7" w:rsidRPr="00F012EB" w:rsidRDefault="009A71C7" w:rsidP="00F012E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lastRenderedPageBreak/>
        <w:t>ثامناً: الاعتبارات الأخلاقية للبحث</w:t>
      </w:r>
    </w:p>
    <w:p w14:paraId="61AB5F21" w14:textId="77777777" w:rsidR="009A71C7" w:rsidRPr="005C793B" w:rsidRDefault="009A71C7" w:rsidP="005C793B">
      <w:pPr>
        <w:tabs>
          <w:tab w:val="num" w:pos="360"/>
        </w:tabs>
        <w:bidi/>
        <w:jc w:val="both"/>
        <w:rPr>
          <w:rFonts w:ascii="Traditional Arabic" w:hAnsi="Traditional Arabic" w:cs="Traditional Arabic"/>
          <w:sz w:val="28"/>
          <w:szCs w:val="28"/>
          <w:rtl/>
        </w:rPr>
      </w:pPr>
      <w:r>
        <w:rPr>
          <w:rFonts w:ascii="Traditional Arabic" w:hAnsi="Traditional Arabic" w:cs="Traditional Arabic"/>
          <w:sz w:val="28"/>
          <w:szCs w:val="28"/>
          <w:rtl/>
        </w:rPr>
        <w:t>التزمت الدراسة بمنظومة الاعتبارات الأخلاقية التي تحكم البحث العلمي، ومن أبرزها</w:t>
      </w:r>
      <w:r>
        <w:rPr>
          <w:rFonts w:ascii="Traditional Arabic" w:hAnsi="Traditional Arabic" w:cs="Traditional Arabic"/>
          <w:sz w:val="28"/>
          <w:szCs w:val="28"/>
        </w:rPr>
        <w:t>:</w:t>
      </w:r>
    </w:p>
    <w:p w14:paraId="066D5773" w14:textId="57152306"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الطوعية المستنيرة</w:t>
      </w:r>
      <w:r>
        <w:rPr>
          <w:rFonts w:ascii="Traditional Arabic" w:hAnsi="Traditional Arabic" w:cs="Traditional Arabic"/>
          <w:sz w:val="28"/>
          <w:szCs w:val="28"/>
        </w:rPr>
        <w:t xml:space="preserve"> (Informed Consent) </w:t>
      </w:r>
      <w:r>
        <w:rPr>
          <w:rFonts w:ascii="Traditional Arabic" w:hAnsi="Traditional Arabic" w:cs="Traditional Arabic"/>
          <w:sz w:val="28"/>
          <w:szCs w:val="28"/>
          <w:rtl/>
        </w:rPr>
        <w:t>من جميع المشاركين في الدراسة قبل توزيع الاستبانة، وإبلاغهم بأهداف البحث وأحقيتهم في الانسحاب في أي وقت</w:t>
      </w:r>
      <w:r>
        <w:rPr>
          <w:rFonts w:ascii="Traditional Arabic" w:hAnsi="Traditional Arabic" w:cs="Traditional Arabic"/>
          <w:sz w:val="28"/>
          <w:szCs w:val="28"/>
        </w:rPr>
        <w:t>.</w:t>
      </w:r>
    </w:p>
    <w:p w14:paraId="2BC07DD1" w14:textId="6994359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صون سرية المعلومات الشخصية للمستجيبين وعدم الإفصاح عن هوياتهم، والاكتفاء بالبيانات المجمّعة في التحليل والتقرير</w:t>
      </w:r>
      <w:r>
        <w:rPr>
          <w:rFonts w:ascii="Traditional Arabic" w:hAnsi="Traditional Arabic" w:cs="Traditional Arabic"/>
          <w:sz w:val="28"/>
          <w:szCs w:val="28"/>
        </w:rPr>
        <w:t>.</w:t>
      </w:r>
    </w:p>
    <w:p w14:paraId="12A786C2" w14:textId="55F790C5"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التأكد من توظيف البيانات لأغراض بحثية بحتة، بما يتوافق مع معايير النزاهة الأكاديمية المعتمدة في جامعة ميدأوشن</w:t>
      </w:r>
      <w:r>
        <w:rPr>
          <w:rFonts w:ascii="Traditional Arabic" w:hAnsi="Traditional Arabic" w:cs="Traditional Arabic"/>
          <w:sz w:val="28"/>
          <w:szCs w:val="28"/>
        </w:rPr>
        <w:t>.</w:t>
      </w:r>
    </w:p>
    <w:p w14:paraId="3FE96D0F" w14:textId="656C845E"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الإفصاح الأمين عن منهجية البحث وإجراءاته ونتائجه دون تحريف أو تزوير</w:t>
      </w:r>
      <w:r>
        <w:rPr>
          <w:rFonts w:ascii="Traditional Arabic" w:hAnsi="Traditional Arabic" w:cs="Traditional Arabic"/>
          <w:sz w:val="28"/>
          <w:szCs w:val="28"/>
        </w:rPr>
        <w:t>.</w:t>
      </w:r>
    </w:p>
    <w:p w14:paraId="4B024CC9" w14:textId="6B8BEAF3"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التوثيق الكامل للمصادر والمراجع واستخدام أسلوب الإسناد العلمي المتعارف عليه</w:t>
      </w:r>
      <w:r>
        <w:rPr>
          <w:rFonts w:ascii="Traditional Arabic" w:hAnsi="Traditional Arabic" w:cs="Traditional Arabic"/>
          <w:sz w:val="28"/>
          <w:szCs w:val="28"/>
        </w:rPr>
        <w:t>.</w:t>
      </w:r>
    </w:p>
    <w:p w14:paraId="4B024CCA" w14:textId="4B024CCB"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الحصول على الموافقة الأخلاقية اللازمة من لجنة أخلاقيات البحث العلمي بجامعة ميدأوشن قبل الشروع في جمع البيانات الميدانية، على أن يُدرَج رقم الموافقة وتاريخها في هذا الموضع فور صدورها؛ ولا يجوز بأي حال البدء بتوزيع الاستبانة أو إجراء أي مقابلة قبل الحصول على هذه الموافقة الفعلية موقَّعة من اللجنة، إذ يُعدّ ذلك شرطاً مسبقاً وملزماً (Prerequisite) للشروع في أي إجراء ميداني، لا مجرد إجراء موازٍ أو لاحق له.</w:t>
      </w:r>
    </w:p>
    <w:p w14:paraId="4B024CCC" w14:textId="4B024CCD"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تُؤخذ الموافقة المستنيرة إلكترونياً من مستجيبي الاستبانة (كخطوة أولى ضمن نموذج الاستبانة الإلكتروني لا تُتاح المشاركة دونها) ومن المشاركين في المقابلات (شفهياً وإلكترونياً قبل بدء كل مقابلة)، بحيث يُفصح للمشارك عن أهداف الدراسة وطوعية المشاركة وحقه في الانسحاب دون أي التزام.</w:t>
      </w:r>
    </w:p>
    <w:p w14:paraId="4B024CCE" w14:textId="4B024CCF"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تُحفَظ استجابات الاستبانة والملاحظات الميدانية المدوَّنة من المقابلات في ملفات إلكترونية مشفَّرة يقتصر الوصول إليها على الباحث ومشرف الدراسة، وذلك لمدة لا تقل عن خمس سنوات من تاريخ إتمام الدراسة تماشياً مع سياسة جامعة ميدأوشن للنزاهة البحثية، على أن تُحذف بعد ذلك أو تُجرَّد من أي بيانات تعريفية.</w:t>
      </w:r>
    </w:p>
    <w:p w14:paraId="4B024CD0" w14:textId="4B024CD1" w:rsidR="009A71C7" w:rsidRPr="005C793B" w:rsidRDefault="009A71C7" w:rsidP="00B7711D">
      <w:pPr>
        <w:pStyle w:val="ListParagraph"/>
        <w:numPr>
          <w:ilvl w:val="0"/>
          <w:numId w:val="40"/>
        </w:numPr>
        <w:bidi/>
        <w:jc w:val="both"/>
        <w:rPr>
          <w:rFonts w:ascii="Traditional Arabic" w:hAnsi="Traditional Arabic" w:cs="Traditional Arabic"/>
          <w:sz w:val="28"/>
          <w:szCs w:val="28"/>
          <w:rtl/>
        </w:rPr>
      </w:pPr>
      <w:r>
        <w:rPr>
          <w:rFonts w:ascii="Traditional Arabic" w:hAnsi="Traditional Arabic" w:cs="Traditional Arabic"/>
          <w:sz w:val="28"/>
          <w:szCs w:val="28"/>
          <w:rtl/>
        </w:rPr>
        <w:t>حماية البيانات التعريفية للمشاركين في المقابلات، إذ تُدوَّن الملاحظات الميدانية برموز مجهَّلة (مثل: مشارك 1، مشارك 2) دون ربطها بأسماء المشاركين أو مسمياتهم الوظيفية الدقيقة في أي مرحلة من مراحل التحليل أو التقرير النهائي.</w:t>
      </w:r>
    </w:p>
    <w:p w14:paraId="32489ED3" w14:textId="77777777" w:rsidR="009A71C7" w:rsidRPr="005C793B" w:rsidRDefault="009A71C7" w:rsidP="005C793B">
      <w:pPr>
        <w:pStyle w:val="Heading1"/>
        <w:numPr>
          <w:ilvl w:val="0"/>
          <w:numId w:val="0"/>
        </w:numPr>
        <w:bidi/>
        <w:rPr>
          <w:rFonts w:ascii="Traditional Arabic" w:eastAsia="Times New Roman" w:hAnsi="Traditional Arabic" w:cs="Traditional Arabic"/>
          <w:b/>
          <w:bCs/>
          <w:rtl/>
        </w:rPr>
      </w:pPr>
      <w:r>
        <w:rPr>
          <w:rFonts w:ascii="Traditional Arabic" w:eastAsia="Times New Roman" w:hAnsi="Traditional Arabic" w:cs="Traditional Arabic"/>
          <w:b/>
          <w:bCs/>
          <w:rtl/>
        </w:rPr>
        <w:t>تاسعاً: خلاصة الفصل</w:t>
      </w:r>
    </w:p>
    <w:p w14:paraId="2701DC65" w14:textId="77777777" w:rsidR="009A71C7"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استعرض هذا الفصل المنهجية البحثية التي اعتمدتها الدراسة في السعي نحو اختبار نموذج الحوكمة الذكية المقترح لأصول البنية التحتية المائية. وقد كشف هذا العرض عن تصميم بحثي متكامل يُوازن بين الريادة الكمية عبر</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والغنى النوعي عبر المقابلات التخصصية، مما يُعزز موثوقية النتائج وقدرتها التفسيرية</w:t>
      </w:r>
      <w:r>
        <w:rPr>
          <w:rFonts w:ascii="Traditional Arabic" w:hAnsi="Traditional Arabic" w:cs="Traditional Arabic"/>
          <w:sz w:val="28"/>
          <w:szCs w:val="28"/>
        </w:rPr>
        <w:t>.</w:t>
      </w:r>
    </w:p>
    <w:p w14:paraId="228B87F4" w14:textId="0D70DD12" w:rsidR="00BC7588" w:rsidRPr="00943C1C" w:rsidRDefault="009A71C7" w:rsidP="00943C1C">
      <w:pPr>
        <w:bidi/>
        <w:jc w:val="both"/>
        <w:rPr>
          <w:rFonts w:ascii="Traditional Arabic" w:hAnsi="Traditional Arabic" w:cs="Traditional Arabic"/>
          <w:sz w:val="28"/>
          <w:szCs w:val="28"/>
          <w:rtl/>
        </w:rPr>
      </w:pPr>
      <w:r>
        <w:rPr>
          <w:rFonts w:ascii="Traditional Arabic" w:hAnsi="Traditional Arabic" w:cs="Traditional Arabic"/>
          <w:sz w:val="28"/>
          <w:szCs w:val="28"/>
          <w:rtl/>
        </w:rPr>
        <w:t>كما تضمنت إجراءات الدراسة معايير صارمة في اختيار العينة وتطوير أداة القياس والتحقق من خصائصها السيكومترية، فضلاً عن الالتزام بالاعتبارات الأخلاقية الحاكمة للبحث العلمي، وهو ما يُرسي قاعدة منهجية متينة للانتقال نحو مرحلة جمع البيانات الميدانية وتحليلها، التي يتناولها الفصل الرابع بالتفصيل.</w:t>
      </w:r>
    </w:p>
    <w:p w14:paraId="2D029801" w14:textId="2D029802" w:rsidR="00CD23D5" w:rsidRPr="00DB0AFE" w:rsidRDefault="00CD23D5" w:rsidP="00D9499A">
      <w:pPr>
        <w:bidi/>
        <w:jc w:val="both"/>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 xml:space="preserve">تنويه منهجي بشأن طبيعة العلاقات المختبرة: </w:t>
      </w:r>
      <w:r>
        <w:rPr>
          <w:rFonts w:ascii="Traditional Arabic" w:hAnsi="Traditional Arabic" w:cs="Traditional Arabic"/>
          <w:sz w:val="28"/>
          <w:szCs w:val="28"/>
          <w:rtl/>
        </w:rPr>
        <w:t>تجدر الإشارة إلى أن التصميم الكمي المعتمد في هذه الدراسة تصميمٌ مقطعي</w:t>
      </w:r>
      <w:r>
        <w:rPr>
          <w:rFonts w:ascii="Traditional Arabic" w:hAnsi="Traditional Arabic" w:cs="Traditional Arabic"/>
          <w:sz w:val="28"/>
          <w:szCs w:val="28"/>
        </w:rPr>
        <w:t xml:space="preserve"> (Cross-Sectional) </w:t>
      </w:r>
      <w:r>
        <w:rPr>
          <w:rFonts w:ascii="Traditional Arabic" w:hAnsi="Traditional Arabic" w:cs="Traditional Arabic"/>
          <w:sz w:val="28"/>
          <w:szCs w:val="28"/>
          <w:rtl/>
        </w:rPr>
        <w:t>يعتمد على استجابات ذاتية تُجمَع في نقطة زمنية واحدة، وليس تصميماً تجريبياً أو طولياً يسمح بالتحكم في المتغيرات أو تتبع التغير عبر الزمن. وبناءً على ذلك، فإن مصطلحات "الأثر" و"التأثير" و"العلاقة السببية" الواردة في نموذج الدراسة وفروضها تُستخدم بمعناها الإحصائي ضمن منهجية</w:t>
      </w:r>
      <w:r>
        <w:rPr>
          <w:rFonts w:ascii="Traditional Arabic" w:hAnsi="Traditional Arabic" w:cs="Traditional Arabic"/>
          <w:sz w:val="28"/>
          <w:szCs w:val="28"/>
        </w:rPr>
        <w:t xml:space="preserve"> PLS-SEM </w:t>
      </w:r>
      <w:r>
        <w:rPr>
          <w:rFonts w:ascii="Traditional Arabic" w:hAnsi="Traditional Arabic" w:cs="Traditional Arabic"/>
          <w:sz w:val="28"/>
          <w:szCs w:val="28"/>
          <w:rtl/>
        </w:rPr>
        <w:t>(أي دلالة معامل المسار واتجاهه استناداً إلى نموذج نظري مُفترَض مسبقاً)، لا بمعناها التجريبي الصارم الذي يستلزم التحكم الزمني والعشوائية في التعيين. وعليه، ينبغي تفسير نتائج اختبار الفروض في الفصل الرابع بوصفها دعماً إحصائياً للعلاقات النظرية المفترضة ضمن حدود التصميم المقطعي، لا إثباتاً قاطعاً للسببية بين المتغيرات.</w:t>
      </w:r>
    </w:p>
    <w:p w14:paraId="2D029800" w14:textId="188D65DE" w:rsidR="00CD23D5" w:rsidRPr="00DB0AFE" w:rsidRDefault="00CD23D5" w:rsidP="00D9499A">
      <w:pPr>
        <w:pStyle w:val="Heading1"/>
        <w:bidi/>
        <w:rPr>
          <w:rFonts w:ascii="Traditional Arabic" w:eastAsia="Times New Roman" w:hAnsi="Traditional Arabic" w:cs="Traditional Arabic"/>
          <w:b/>
          <w:bCs/>
          <w:rtl/>
        </w:rPr>
      </w:pPr>
      <w:bookmarkStart w:id="14" w:name="_Toc218160627"/>
      <w:r>
        <w:rPr>
          <w:rFonts w:ascii="Traditional Arabic" w:eastAsia="Times New Roman" w:hAnsi="Traditional Arabic" w:cs="Traditional Arabic"/>
          <w:b/>
          <w:bCs/>
          <w:rtl/>
        </w:rPr>
        <w:t>الفصل الرابع</w:t>
      </w:r>
      <w:bookmarkEnd w:id="14"/>
    </w:p>
    <w:p w14:paraId="19E51437" w14:textId="518D18DE" w:rsidR="00CD23D5" w:rsidRPr="00DB0AFE" w:rsidRDefault="00CD23D5" w:rsidP="00D9499A">
      <w:pPr>
        <w:pStyle w:val="Heading1"/>
        <w:bidi/>
        <w:rPr>
          <w:rFonts w:ascii="Traditional Arabic" w:eastAsia="Times New Roman" w:hAnsi="Traditional Arabic" w:cs="Traditional Arabic"/>
          <w:b/>
          <w:bCs/>
          <w:rtl/>
        </w:rPr>
      </w:pPr>
      <w:bookmarkStart w:id="15" w:name="_Toc218160628"/>
      <w:r>
        <w:rPr>
          <w:rFonts w:ascii="Traditional Arabic" w:eastAsia="Times New Roman" w:hAnsi="Traditional Arabic" w:cs="Traditional Arabic"/>
          <w:b/>
          <w:bCs/>
          <w:rtl/>
        </w:rPr>
        <w:t>الفصل الخامس</w:t>
      </w:r>
      <w:bookmarkEnd w:id="15"/>
      <w:r>
        <w:rPr>
          <w:rFonts w:ascii="Traditional Arabic" w:eastAsia="Times New Roman" w:hAnsi="Traditional Arabic" w:cs="Traditional Arabic"/>
          <w:b/>
          <w:bCs/>
          <w:rtl/>
        </w:rPr>
        <w:t xml:space="preserve"> </w:t>
      </w:r>
    </w:p>
    <w:p w14:paraId="12ECF9AE" w14:textId="7F10D28E" w:rsidR="00D9499A" w:rsidRPr="00DB0AFE" w:rsidRDefault="00D9499A" w:rsidP="00D9499A">
      <w:pPr>
        <w:pStyle w:val="Heading1"/>
        <w:bidi/>
        <w:rPr>
          <w:rFonts w:ascii="Traditional Arabic" w:eastAsia="Times New Roman" w:hAnsi="Traditional Arabic" w:cs="Traditional Arabic"/>
          <w:b/>
          <w:bCs/>
          <w:rtl/>
        </w:rPr>
      </w:pPr>
      <w:bookmarkStart w:id="16" w:name="_Toc218160629"/>
      <w:r>
        <w:rPr>
          <w:rFonts w:ascii="Traditional Arabic" w:eastAsia="Times New Roman" w:hAnsi="Traditional Arabic" w:cs="Traditional Arabic"/>
          <w:b/>
          <w:bCs/>
          <w:rtl/>
        </w:rPr>
        <w:t>المستخلص والتوصيات</w:t>
      </w:r>
      <w:bookmarkEnd w:id="16"/>
    </w:p>
    <w:p w14:paraId="5CDFFEA5" w14:textId="22E91782" w:rsidR="00D9499A" w:rsidRPr="00DB0AFE" w:rsidRDefault="00D9499A" w:rsidP="00D9499A">
      <w:pPr>
        <w:pStyle w:val="Heading1"/>
        <w:bidi/>
        <w:rPr>
          <w:rFonts w:ascii="Traditional Arabic" w:eastAsia="Times New Roman" w:hAnsi="Traditional Arabic" w:cs="Traditional Arabic"/>
          <w:b/>
          <w:bCs/>
          <w:rtl/>
        </w:rPr>
      </w:pPr>
      <w:bookmarkStart w:id="17" w:name="_Toc218160630"/>
      <w:r>
        <w:rPr>
          <w:rFonts w:ascii="Traditional Arabic" w:eastAsia="Times New Roman" w:hAnsi="Traditional Arabic" w:cs="Traditional Arabic"/>
          <w:b/>
          <w:bCs/>
          <w:rtl/>
        </w:rPr>
        <w:t>قائمة المراجع</w:t>
      </w:r>
      <w:bookmarkEnd w:id="17"/>
    </w:p>
    <w:p w14:paraId="4E1CE682" w14:textId="22F1CFB3" w:rsidR="00D9499A" w:rsidRDefault="00D9499A" w:rsidP="00D9499A">
      <w:pPr>
        <w:pStyle w:val="Heading1"/>
        <w:bidi/>
        <w:rPr>
          <w:rFonts w:ascii="Traditional Arabic" w:eastAsia="Times New Roman" w:hAnsi="Traditional Arabic" w:cs="Traditional Arabic"/>
          <w:b/>
          <w:bCs/>
          <w:rtl/>
        </w:rPr>
      </w:pPr>
      <w:bookmarkStart w:id="18" w:name="_Toc218160631"/>
      <w:r>
        <w:rPr>
          <w:rFonts w:ascii="Traditional Arabic" w:eastAsia="Times New Roman" w:hAnsi="Traditional Arabic" w:cs="Traditional Arabic"/>
          <w:b/>
          <w:bCs/>
          <w:rtl/>
        </w:rPr>
        <w:t>قائمة الملاحق</w:t>
      </w:r>
      <w:bookmarkEnd w:id="18"/>
      <w:r>
        <w:rPr>
          <w:rFonts w:ascii="Traditional Arabic" w:eastAsia="Times New Roman" w:hAnsi="Traditional Arabic" w:cs="Traditional Arabic"/>
          <w:b/>
          <w:bCs/>
          <w:rtl/>
        </w:rPr>
        <w:t xml:space="preserve"> </w:t>
      </w:r>
    </w:p>
    <w:sectPr w:rsidR="00D9499A" w:rsidSect="00DD73BF">
      <w:headerReference w:type="even" r:id="rId12"/>
      <w:headerReference w:type="default" r:id="rId13"/>
      <w:footerReference w:type="even" r:id="rId14"/>
      <w:footerReference w:type="default" r:id="rId15"/>
      <w:headerReference w:type="first" r:id="rId16"/>
      <w:footerReference w:type="first" r:id="rId17"/>
      <w:pgSz w:w="11906" w:h="16838"/>
      <w:pgMar w:top="1134"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7A9B1" w14:textId="77777777" w:rsidR="007A50B2" w:rsidRDefault="007A50B2" w:rsidP="00EF73E8">
      <w:pPr>
        <w:spacing w:after="0" w:line="240" w:lineRule="auto"/>
      </w:pPr>
      <w:r>
        <w:separator/>
      </w:r>
    </w:p>
  </w:endnote>
  <w:endnote w:type="continuationSeparator" w:id="0">
    <w:p w14:paraId="54BE55D4" w14:textId="77777777" w:rsidR="007A50B2" w:rsidRDefault="007A50B2"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875D3" w14:textId="77777777" w:rsidR="007A1F61" w:rsidRDefault="007A1F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05E3E" w14:textId="77777777" w:rsidR="007A1F61" w:rsidRDefault="007A1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66E33" w14:textId="77777777" w:rsidR="007A50B2" w:rsidRDefault="007A50B2" w:rsidP="00EF73E8">
      <w:pPr>
        <w:spacing w:after="0" w:line="240" w:lineRule="auto"/>
      </w:pPr>
      <w:r>
        <w:separator/>
      </w:r>
    </w:p>
  </w:footnote>
  <w:footnote w:type="continuationSeparator" w:id="0">
    <w:p w14:paraId="4A553DA7" w14:textId="77777777" w:rsidR="007A50B2" w:rsidRDefault="007A50B2"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4BE2" w14:textId="6E568697" w:rsidR="00F76D05" w:rsidRDefault="007A1F61"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E550" w14:textId="1D4E90C6" w:rsidR="007A1F61" w:rsidRDefault="007A1F61" w:rsidP="007A1F61">
    <w:pPr>
      <w:pStyle w:val="Header"/>
      <w:jc w:val="center"/>
    </w:pPr>
    <w:fldSimple w:instr=" DOCPROPERTY SecloreClassificationHeaderTextValue \* MERGEFORMAT ">
      <w:r w:rsidRPr="007A1F61">
        <w:rPr>
          <w:color w:val="91C47D"/>
          <w:sz w:val="24"/>
        </w:rPr>
        <w:t xml:space="preserve">Public / </w:t>
      </w:r>
      <w:r w:rsidRPr="007A1F61">
        <w:rPr>
          <w:color w:val="91C47D"/>
          <w:sz w:val="24"/>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C1178" w14:textId="5987B16D" w:rsidR="00F76D05" w:rsidRDefault="007A1F61"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E14"/>
    <w:multiLevelType w:val="hybridMultilevel"/>
    <w:tmpl w:val="B192A08A"/>
    <w:lvl w:ilvl="0" w:tplc="B7805DE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F2767"/>
    <w:multiLevelType w:val="hybridMultilevel"/>
    <w:tmpl w:val="32460BA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931F1"/>
    <w:multiLevelType w:val="multilevel"/>
    <w:tmpl w:val="371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034EC"/>
    <w:multiLevelType w:val="multilevel"/>
    <w:tmpl w:val="E2CA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E2712"/>
    <w:multiLevelType w:val="multilevel"/>
    <w:tmpl w:val="73AAB9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E57EEF"/>
    <w:multiLevelType w:val="hybridMultilevel"/>
    <w:tmpl w:val="E4E0EE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E25EBA"/>
    <w:multiLevelType w:val="multilevel"/>
    <w:tmpl w:val="B2004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425C4"/>
    <w:multiLevelType w:val="hybridMultilevel"/>
    <w:tmpl w:val="DC1007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57384D"/>
    <w:multiLevelType w:val="hybridMultilevel"/>
    <w:tmpl w:val="AC665A6A"/>
    <w:lvl w:ilvl="0" w:tplc="A8126B84">
      <w:start w:val="1"/>
      <w:numFmt w:val="arabicAlpha"/>
      <w:lvlText w:val="%1-"/>
      <w:lvlJc w:val="center"/>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EA3F73"/>
    <w:multiLevelType w:val="multilevel"/>
    <w:tmpl w:val="CA0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D18F8"/>
    <w:multiLevelType w:val="hybridMultilevel"/>
    <w:tmpl w:val="557A9A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62A3A"/>
    <w:multiLevelType w:val="multilevel"/>
    <w:tmpl w:val="6728FC2E"/>
    <w:lvl w:ilvl="0">
      <w:start w:val="1"/>
      <w:numFmt w:val="decimal"/>
      <w:pStyle w:val="Heading1"/>
      <w:lvlText w:val="%1"/>
      <w:lvlJc w:val="left"/>
      <w:pPr>
        <w:ind w:left="432" w:hanging="432"/>
      </w:pPr>
      <w:rPr>
        <w:rFonts w:hint="default"/>
      </w:rPr>
    </w:lvl>
    <w:lvl w:ilvl="1">
      <w:start w:val="1"/>
      <w:numFmt w:val="decimal"/>
      <w:pStyle w:val="Heading2"/>
      <w:lvlText w:val="%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436687D"/>
    <w:multiLevelType w:val="multilevel"/>
    <w:tmpl w:val="21B68C4C"/>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raditional Arabic" w:eastAsiaTheme="minorHAnsi" w:hAnsi="Traditional Arabic" w:cs="Traditional Arabic"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513AE8"/>
    <w:multiLevelType w:val="hybridMultilevel"/>
    <w:tmpl w:val="F31E4A28"/>
    <w:lvl w:ilvl="0" w:tplc="04090013">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707CDB"/>
    <w:multiLevelType w:val="multilevel"/>
    <w:tmpl w:val="7618D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D86D58"/>
    <w:multiLevelType w:val="multilevel"/>
    <w:tmpl w:val="040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E215BAF"/>
    <w:multiLevelType w:val="multilevel"/>
    <w:tmpl w:val="1BEE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B02E8C"/>
    <w:multiLevelType w:val="multilevel"/>
    <w:tmpl w:val="B42C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6753BE"/>
    <w:multiLevelType w:val="multilevel"/>
    <w:tmpl w:val="D394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52E37"/>
    <w:multiLevelType w:val="multilevel"/>
    <w:tmpl w:val="CD16585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C34B9"/>
    <w:multiLevelType w:val="multilevel"/>
    <w:tmpl w:val="D496408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4CF8148D"/>
    <w:multiLevelType w:val="multilevel"/>
    <w:tmpl w:val="2FFACF1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102D7C"/>
    <w:multiLevelType w:val="hybridMultilevel"/>
    <w:tmpl w:val="499A3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D4496"/>
    <w:multiLevelType w:val="hybridMultilevel"/>
    <w:tmpl w:val="D7AC804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8A7C66"/>
    <w:multiLevelType w:val="hybridMultilevel"/>
    <w:tmpl w:val="66402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240132"/>
    <w:multiLevelType w:val="hybridMultilevel"/>
    <w:tmpl w:val="5A085F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2126B"/>
    <w:multiLevelType w:val="multilevel"/>
    <w:tmpl w:val="B3069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55E12"/>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B22842"/>
    <w:multiLevelType w:val="multilevel"/>
    <w:tmpl w:val="272E9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6C275E"/>
    <w:multiLevelType w:val="hybridMultilevel"/>
    <w:tmpl w:val="C77C5AE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885E77"/>
    <w:multiLevelType w:val="multilevel"/>
    <w:tmpl w:val="BEEE52B0"/>
    <w:lvl w:ilvl="0">
      <w:numFmt w:val="bullet"/>
      <w:lvlText w:val="–"/>
      <w:lvlJc w:val="left"/>
      <w:pPr>
        <w:tabs>
          <w:tab w:val="num" w:pos="720"/>
        </w:tabs>
        <w:ind w:left="720" w:hanging="360"/>
      </w:pPr>
      <w:rPr>
        <w:rFonts w:ascii="Sylfaen" w:eastAsiaTheme="minorHAnsi" w:hAnsi="Sylfaen" w:cs="Sakkal Majalla" w:hint="default"/>
        <w:sz w:val="20"/>
      </w:rPr>
    </w:lvl>
    <w:lvl w:ilvl="1">
      <w:start w:val="1"/>
      <w:numFmt w:val="decimal"/>
      <w:lvlText w:val="%2."/>
      <w:lvlJc w:val="left"/>
      <w:pPr>
        <w:ind w:left="1440" w:hanging="360"/>
      </w:pPr>
      <w:rPr>
        <w:rFonts w:ascii="Traditional Arabic" w:eastAsiaTheme="minorHAnsi" w:hAnsi="Traditional Arabic" w:cs="Traditional Arabic" w:hint="default"/>
        <w:color w:val="auto"/>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2661BA"/>
    <w:multiLevelType w:val="hybridMultilevel"/>
    <w:tmpl w:val="8F067D1A"/>
    <w:lvl w:ilvl="0" w:tplc="FFFFFFFF">
      <w:numFmt w:val="bullet"/>
      <w:lvlText w:val="–"/>
      <w:lvlJc w:val="left"/>
      <w:pPr>
        <w:ind w:left="720" w:hanging="360"/>
      </w:pPr>
      <w:rPr>
        <w:rFonts w:ascii="Sylfaen" w:eastAsiaTheme="minorHAnsi" w:hAnsi="Sylfaen" w:cs="Sakkal Majalla" w:hint="default"/>
      </w:rPr>
    </w:lvl>
    <w:lvl w:ilvl="1" w:tplc="4B30FAEA">
      <w:numFmt w:val="bullet"/>
      <w:lvlText w:val="–"/>
      <w:lvlJc w:val="left"/>
      <w:pPr>
        <w:ind w:left="1440" w:hanging="360"/>
      </w:pPr>
      <w:rPr>
        <w:rFonts w:ascii="Sylfaen" w:eastAsiaTheme="minorHAnsi" w:hAnsi="Sylfaen"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47108820">
    <w:abstractNumId w:val="24"/>
  </w:num>
  <w:num w:numId="2" w16cid:durableId="126900951">
    <w:abstractNumId w:val="1"/>
  </w:num>
  <w:num w:numId="3" w16cid:durableId="2114592938">
    <w:abstractNumId w:val="19"/>
  </w:num>
  <w:num w:numId="4" w16cid:durableId="1529828546">
    <w:abstractNumId w:val="25"/>
  </w:num>
  <w:num w:numId="5" w16cid:durableId="1652633963">
    <w:abstractNumId w:val="35"/>
  </w:num>
  <w:num w:numId="6" w16cid:durableId="1699355716">
    <w:abstractNumId w:val="26"/>
  </w:num>
  <w:num w:numId="7" w16cid:durableId="2113938119">
    <w:abstractNumId w:val="31"/>
  </w:num>
  <w:num w:numId="8" w16cid:durableId="811363593">
    <w:abstractNumId w:val="27"/>
  </w:num>
  <w:num w:numId="9" w16cid:durableId="1863007180">
    <w:abstractNumId w:val="18"/>
  </w:num>
  <w:num w:numId="10" w16cid:durableId="507643064">
    <w:abstractNumId w:val="29"/>
  </w:num>
  <w:num w:numId="11" w16cid:durableId="191647878">
    <w:abstractNumId w:val="10"/>
  </w:num>
  <w:num w:numId="12" w16cid:durableId="702901853">
    <w:abstractNumId w:val="34"/>
  </w:num>
  <w:num w:numId="13" w16cid:durableId="1599367279">
    <w:abstractNumId w:val="15"/>
  </w:num>
  <w:num w:numId="14" w16cid:durableId="823356172">
    <w:abstractNumId w:val="20"/>
  </w:num>
  <w:num w:numId="15" w16cid:durableId="125658519">
    <w:abstractNumId w:val="7"/>
  </w:num>
  <w:num w:numId="16" w16cid:durableId="1908370989">
    <w:abstractNumId w:val="4"/>
  </w:num>
  <w:num w:numId="17" w16cid:durableId="2081367228">
    <w:abstractNumId w:val="5"/>
  </w:num>
  <w:num w:numId="18" w16cid:durableId="451244796">
    <w:abstractNumId w:val="36"/>
  </w:num>
  <w:num w:numId="19" w16cid:durableId="958754070">
    <w:abstractNumId w:val="23"/>
  </w:num>
  <w:num w:numId="20" w16cid:durableId="365526145">
    <w:abstractNumId w:val="32"/>
  </w:num>
  <w:num w:numId="21" w16cid:durableId="28459838">
    <w:abstractNumId w:val="30"/>
  </w:num>
  <w:num w:numId="22" w16cid:durableId="1463038075">
    <w:abstractNumId w:val="13"/>
  </w:num>
  <w:num w:numId="23" w16cid:durableId="975835289">
    <w:abstractNumId w:val="17"/>
  </w:num>
  <w:num w:numId="24" w16cid:durableId="733551609">
    <w:abstractNumId w:val="28"/>
  </w:num>
  <w:num w:numId="25" w16cid:durableId="77674536">
    <w:abstractNumId w:val="11"/>
  </w:num>
  <w:num w:numId="26" w16cid:durableId="507135936">
    <w:abstractNumId w:val="22"/>
  </w:num>
  <w:num w:numId="27" w16cid:durableId="1410421017">
    <w:abstractNumId w:val="3"/>
  </w:num>
  <w:num w:numId="28" w16cid:durableId="534343534">
    <w:abstractNumId w:val="16"/>
  </w:num>
  <w:num w:numId="29" w16cid:durableId="1429277186">
    <w:abstractNumId w:val="12"/>
  </w:num>
  <w:num w:numId="30" w16cid:durableId="1418744259">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2222291">
    <w:abstractNumId w:val="0"/>
  </w:num>
  <w:num w:numId="32" w16cid:durableId="1425220586">
    <w:abstractNumId w:val="2"/>
  </w:num>
  <w:num w:numId="33" w16cid:durableId="1800994977">
    <w:abstractNumId w:val="38"/>
  </w:num>
  <w:num w:numId="34" w16cid:durableId="1569878640">
    <w:abstractNumId w:val="6"/>
  </w:num>
  <w:num w:numId="35" w16cid:durableId="670372076">
    <w:abstractNumId w:val="14"/>
  </w:num>
  <w:num w:numId="36" w16cid:durableId="460271349">
    <w:abstractNumId w:val="8"/>
  </w:num>
  <w:num w:numId="37" w16cid:durableId="1460955593">
    <w:abstractNumId w:val="9"/>
  </w:num>
  <w:num w:numId="38" w16cid:durableId="1020397263">
    <w:abstractNumId w:val="21"/>
  </w:num>
  <w:num w:numId="39" w16cid:durableId="1018852628">
    <w:abstractNumId w:val="37"/>
  </w:num>
  <w:num w:numId="40" w16cid:durableId="45896030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26FC"/>
    <w:rsid w:val="00015D0D"/>
    <w:rsid w:val="00016ACC"/>
    <w:rsid w:val="00026ED0"/>
    <w:rsid w:val="00027E2A"/>
    <w:rsid w:val="0003047E"/>
    <w:rsid w:val="000328B8"/>
    <w:rsid w:val="00035E5B"/>
    <w:rsid w:val="0003624C"/>
    <w:rsid w:val="00036805"/>
    <w:rsid w:val="00037D3C"/>
    <w:rsid w:val="0004167A"/>
    <w:rsid w:val="00044D93"/>
    <w:rsid w:val="00051D74"/>
    <w:rsid w:val="000522C0"/>
    <w:rsid w:val="00052915"/>
    <w:rsid w:val="00055954"/>
    <w:rsid w:val="00056C52"/>
    <w:rsid w:val="00061628"/>
    <w:rsid w:val="000801CF"/>
    <w:rsid w:val="000812A1"/>
    <w:rsid w:val="00082BF2"/>
    <w:rsid w:val="00084EB7"/>
    <w:rsid w:val="00086E9B"/>
    <w:rsid w:val="000916B0"/>
    <w:rsid w:val="00092BEE"/>
    <w:rsid w:val="000A2386"/>
    <w:rsid w:val="000B4BB8"/>
    <w:rsid w:val="000C19EE"/>
    <w:rsid w:val="000C69AA"/>
    <w:rsid w:val="000C7B64"/>
    <w:rsid w:val="000D327A"/>
    <w:rsid w:val="000D59F9"/>
    <w:rsid w:val="000E07B7"/>
    <w:rsid w:val="000E60AF"/>
    <w:rsid w:val="000E723C"/>
    <w:rsid w:val="001009FB"/>
    <w:rsid w:val="00100C7F"/>
    <w:rsid w:val="00104969"/>
    <w:rsid w:val="00110146"/>
    <w:rsid w:val="00113560"/>
    <w:rsid w:val="001142D3"/>
    <w:rsid w:val="00115DA5"/>
    <w:rsid w:val="0011627E"/>
    <w:rsid w:val="00122395"/>
    <w:rsid w:val="00122559"/>
    <w:rsid w:val="00125BA7"/>
    <w:rsid w:val="00132504"/>
    <w:rsid w:val="001334B2"/>
    <w:rsid w:val="00134549"/>
    <w:rsid w:val="00135343"/>
    <w:rsid w:val="00136BB7"/>
    <w:rsid w:val="001444C5"/>
    <w:rsid w:val="00152648"/>
    <w:rsid w:val="0016669C"/>
    <w:rsid w:val="001701AC"/>
    <w:rsid w:val="00181424"/>
    <w:rsid w:val="00184E6C"/>
    <w:rsid w:val="00185576"/>
    <w:rsid w:val="001858F4"/>
    <w:rsid w:val="0018654C"/>
    <w:rsid w:val="00190DCA"/>
    <w:rsid w:val="001A533E"/>
    <w:rsid w:val="001A5D3B"/>
    <w:rsid w:val="001C0636"/>
    <w:rsid w:val="001C1505"/>
    <w:rsid w:val="001D3C9C"/>
    <w:rsid w:val="001D4365"/>
    <w:rsid w:val="001D6F1F"/>
    <w:rsid w:val="001F0E67"/>
    <w:rsid w:val="001F16AB"/>
    <w:rsid w:val="001F60F6"/>
    <w:rsid w:val="0020169F"/>
    <w:rsid w:val="00212302"/>
    <w:rsid w:val="00212752"/>
    <w:rsid w:val="002131A7"/>
    <w:rsid w:val="00222585"/>
    <w:rsid w:val="00224153"/>
    <w:rsid w:val="00227FF9"/>
    <w:rsid w:val="0023028C"/>
    <w:rsid w:val="00231298"/>
    <w:rsid w:val="00234102"/>
    <w:rsid w:val="002372BE"/>
    <w:rsid w:val="0024230D"/>
    <w:rsid w:val="00253EFE"/>
    <w:rsid w:val="00254612"/>
    <w:rsid w:val="002571A9"/>
    <w:rsid w:val="00262136"/>
    <w:rsid w:val="002631F0"/>
    <w:rsid w:val="002632AC"/>
    <w:rsid w:val="00263629"/>
    <w:rsid w:val="002660A5"/>
    <w:rsid w:val="00275261"/>
    <w:rsid w:val="00275777"/>
    <w:rsid w:val="00282B19"/>
    <w:rsid w:val="00292014"/>
    <w:rsid w:val="00297EE6"/>
    <w:rsid w:val="002A3636"/>
    <w:rsid w:val="002A50DB"/>
    <w:rsid w:val="002A65EE"/>
    <w:rsid w:val="002B1505"/>
    <w:rsid w:val="002B1D5C"/>
    <w:rsid w:val="002B52AC"/>
    <w:rsid w:val="002B6D88"/>
    <w:rsid w:val="002C01EA"/>
    <w:rsid w:val="002C64F5"/>
    <w:rsid w:val="002C76FA"/>
    <w:rsid w:val="002D227D"/>
    <w:rsid w:val="002D46EB"/>
    <w:rsid w:val="002D68B0"/>
    <w:rsid w:val="002D75FA"/>
    <w:rsid w:val="002E16C1"/>
    <w:rsid w:val="002E2B29"/>
    <w:rsid w:val="002E5806"/>
    <w:rsid w:val="002E6F1E"/>
    <w:rsid w:val="002F56A4"/>
    <w:rsid w:val="002F5E16"/>
    <w:rsid w:val="00301E61"/>
    <w:rsid w:val="00301FBE"/>
    <w:rsid w:val="0030528A"/>
    <w:rsid w:val="003076A6"/>
    <w:rsid w:val="00307F25"/>
    <w:rsid w:val="0031602B"/>
    <w:rsid w:val="00323275"/>
    <w:rsid w:val="00332C9C"/>
    <w:rsid w:val="003347EB"/>
    <w:rsid w:val="00336846"/>
    <w:rsid w:val="00344896"/>
    <w:rsid w:val="003522B4"/>
    <w:rsid w:val="0035660B"/>
    <w:rsid w:val="0035694D"/>
    <w:rsid w:val="00362B79"/>
    <w:rsid w:val="00367AE5"/>
    <w:rsid w:val="00370642"/>
    <w:rsid w:val="00373669"/>
    <w:rsid w:val="00375A8A"/>
    <w:rsid w:val="00377089"/>
    <w:rsid w:val="003819F3"/>
    <w:rsid w:val="003915EA"/>
    <w:rsid w:val="00391CE1"/>
    <w:rsid w:val="003957AC"/>
    <w:rsid w:val="003A12BC"/>
    <w:rsid w:val="003A27DC"/>
    <w:rsid w:val="003A4369"/>
    <w:rsid w:val="003A69C7"/>
    <w:rsid w:val="003A72FB"/>
    <w:rsid w:val="003B182E"/>
    <w:rsid w:val="003C682A"/>
    <w:rsid w:val="003D0407"/>
    <w:rsid w:val="003D13A5"/>
    <w:rsid w:val="003D3191"/>
    <w:rsid w:val="003D4320"/>
    <w:rsid w:val="003D75CD"/>
    <w:rsid w:val="003E662B"/>
    <w:rsid w:val="003F2C26"/>
    <w:rsid w:val="003F3C0F"/>
    <w:rsid w:val="004024BF"/>
    <w:rsid w:val="00402BDA"/>
    <w:rsid w:val="004032F1"/>
    <w:rsid w:val="00403982"/>
    <w:rsid w:val="00405DF3"/>
    <w:rsid w:val="004065A4"/>
    <w:rsid w:val="0040691A"/>
    <w:rsid w:val="00410DBD"/>
    <w:rsid w:val="00423B77"/>
    <w:rsid w:val="00423F99"/>
    <w:rsid w:val="00424547"/>
    <w:rsid w:val="00425A77"/>
    <w:rsid w:val="004369B6"/>
    <w:rsid w:val="00436AC6"/>
    <w:rsid w:val="00440B00"/>
    <w:rsid w:val="0044146F"/>
    <w:rsid w:val="00451E1C"/>
    <w:rsid w:val="0045639B"/>
    <w:rsid w:val="00461A4C"/>
    <w:rsid w:val="0046351E"/>
    <w:rsid w:val="00465637"/>
    <w:rsid w:val="00480692"/>
    <w:rsid w:val="0049314B"/>
    <w:rsid w:val="00496360"/>
    <w:rsid w:val="004A0B64"/>
    <w:rsid w:val="004A20AA"/>
    <w:rsid w:val="004A560D"/>
    <w:rsid w:val="004A6747"/>
    <w:rsid w:val="004C0229"/>
    <w:rsid w:val="004D466C"/>
    <w:rsid w:val="004D47BA"/>
    <w:rsid w:val="004D57BD"/>
    <w:rsid w:val="004F072C"/>
    <w:rsid w:val="004F591B"/>
    <w:rsid w:val="00502782"/>
    <w:rsid w:val="005053B9"/>
    <w:rsid w:val="00505758"/>
    <w:rsid w:val="005066DC"/>
    <w:rsid w:val="005076B2"/>
    <w:rsid w:val="005077C6"/>
    <w:rsid w:val="005118E5"/>
    <w:rsid w:val="00512E63"/>
    <w:rsid w:val="00513408"/>
    <w:rsid w:val="00520F03"/>
    <w:rsid w:val="00527ED7"/>
    <w:rsid w:val="00530788"/>
    <w:rsid w:val="00536951"/>
    <w:rsid w:val="00537466"/>
    <w:rsid w:val="00537F4D"/>
    <w:rsid w:val="00540CDD"/>
    <w:rsid w:val="00542366"/>
    <w:rsid w:val="00542C8C"/>
    <w:rsid w:val="00544C98"/>
    <w:rsid w:val="005503DE"/>
    <w:rsid w:val="005506F9"/>
    <w:rsid w:val="005518CA"/>
    <w:rsid w:val="00555593"/>
    <w:rsid w:val="00557CFB"/>
    <w:rsid w:val="00564AAF"/>
    <w:rsid w:val="00566E72"/>
    <w:rsid w:val="00571520"/>
    <w:rsid w:val="0057361B"/>
    <w:rsid w:val="005751CE"/>
    <w:rsid w:val="00575738"/>
    <w:rsid w:val="005803B1"/>
    <w:rsid w:val="00581E36"/>
    <w:rsid w:val="00585840"/>
    <w:rsid w:val="00585FAC"/>
    <w:rsid w:val="00591B4C"/>
    <w:rsid w:val="00592810"/>
    <w:rsid w:val="00592A30"/>
    <w:rsid w:val="005A0643"/>
    <w:rsid w:val="005A1C25"/>
    <w:rsid w:val="005A4F05"/>
    <w:rsid w:val="005B62C3"/>
    <w:rsid w:val="005C793B"/>
    <w:rsid w:val="005D62DF"/>
    <w:rsid w:val="005E719B"/>
    <w:rsid w:val="005E771F"/>
    <w:rsid w:val="005F471F"/>
    <w:rsid w:val="005F4901"/>
    <w:rsid w:val="005F5D84"/>
    <w:rsid w:val="005F63F8"/>
    <w:rsid w:val="006049B7"/>
    <w:rsid w:val="006053B6"/>
    <w:rsid w:val="00607073"/>
    <w:rsid w:val="006125C5"/>
    <w:rsid w:val="00615194"/>
    <w:rsid w:val="00615351"/>
    <w:rsid w:val="00617052"/>
    <w:rsid w:val="00621286"/>
    <w:rsid w:val="00631A3A"/>
    <w:rsid w:val="0063303B"/>
    <w:rsid w:val="0063343A"/>
    <w:rsid w:val="006368A1"/>
    <w:rsid w:val="00650C8F"/>
    <w:rsid w:val="0065423A"/>
    <w:rsid w:val="00656F4C"/>
    <w:rsid w:val="00662631"/>
    <w:rsid w:val="00663A7E"/>
    <w:rsid w:val="00665FBA"/>
    <w:rsid w:val="00695D4D"/>
    <w:rsid w:val="006A3219"/>
    <w:rsid w:val="006A68CE"/>
    <w:rsid w:val="006A7286"/>
    <w:rsid w:val="006A7BEC"/>
    <w:rsid w:val="006B126E"/>
    <w:rsid w:val="006B5F0B"/>
    <w:rsid w:val="006B7903"/>
    <w:rsid w:val="006D0A9E"/>
    <w:rsid w:val="006D248B"/>
    <w:rsid w:val="006D40D0"/>
    <w:rsid w:val="006D5E08"/>
    <w:rsid w:val="006D6AD0"/>
    <w:rsid w:val="006E28E3"/>
    <w:rsid w:val="006E3F93"/>
    <w:rsid w:val="006E62F4"/>
    <w:rsid w:val="006E72FA"/>
    <w:rsid w:val="006F0770"/>
    <w:rsid w:val="006F2EF6"/>
    <w:rsid w:val="00701F8E"/>
    <w:rsid w:val="00703104"/>
    <w:rsid w:val="00707F16"/>
    <w:rsid w:val="0071100C"/>
    <w:rsid w:val="007234ED"/>
    <w:rsid w:val="0072496D"/>
    <w:rsid w:val="00732E2D"/>
    <w:rsid w:val="00733581"/>
    <w:rsid w:val="00736AE0"/>
    <w:rsid w:val="00750FF7"/>
    <w:rsid w:val="0076029F"/>
    <w:rsid w:val="00763AA6"/>
    <w:rsid w:val="00766D67"/>
    <w:rsid w:val="0077181F"/>
    <w:rsid w:val="00772D35"/>
    <w:rsid w:val="00772D4B"/>
    <w:rsid w:val="00775202"/>
    <w:rsid w:val="00776611"/>
    <w:rsid w:val="007768AC"/>
    <w:rsid w:val="00777BCB"/>
    <w:rsid w:val="007847A8"/>
    <w:rsid w:val="0078589F"/>
    <w:rsid w:val="00793489"/>
    <w:rsid w:val="007A1F61"/>
    <w:rsid w:val="007A50B2"/>
    <w:rsid w:val="007B1873"/>
    <w:rsid w:val="007B5969"/>
    <w:rsid w:val="007B684F"/>
    <w:rsid w:val="007B6D22"/>
    <w:rsid w:val="007C08A5"/>
    <w:rsid w:val="007C43D1"/>
    <w:rsid w:val="007C63F8"/>
    <w:rsid w:val="007E0E57"/>
    <w:rsid w:val="007E17FC"/>
    <w:rsid w:val="007E3D13"/>
    <w:rsid w:val="007E62E7"/>
    <w:rsid w:val="007E6F2B"/>
    <w:rsid w:val="007F1EFC"/>
    <w:rsid w:val="007F2B50"/>
    <w:rsid w:val="007F2C3C"/>
    <w:rsid w:val="007F5CE5"/>
    <w:rsid w:val="007F662A"/>
    <w:rsid w:val="007F6C80"/>
    <w:rsid w:val="00800E05"/>
    <w:rsid w:val="00810C30"/>
    <w:rsid w:val="008120ED"/>
    <w:rsid w:val="00812B2C"/>
    <w:rsid w:val="0081362E"/>
    <w:rsid w:val="00825F9B"/>
    <w:rsid w:val="00832627"/>
    <w:rsid w:val="0083463A"/>
    <w:rsid w:val="008436D4"/>
    <w:rsid w:val="00845959"/>
    <w:rsid w:val="00857EE7"/>
    <w:rsid w:val="00861030"/>
    <w:rsid w:val="00862207"/>
    <w:rsid w:val="008629C3"/>
    <w:rsid w:val="0086791C"/>
    <w:rsid w:val="0088680E"/>
    <w:rsid w:val="0089262F"/>
    <w:rsid w:val="00892E48"/>
    <w:rsid w:val="008A0649"/>
    <w:rsid w:val="008A0930"/>
    <w:rsid w:val="008A2DDF"/>
    <w:rsid w:val="008A30BC"/>
    <w:rsid w:val="008A656A"/>
    <w:rsid w:val="008B06A9"/>
    <w:rsid w:val="008B1E32"/>
    <w:rsid w:val="008B7F83"/>
    <w:rsid w:val="008C3BC4"/>
    <w:rsid w:val="008C3C6D"/>
    <w:rsid w:val="008C638A"/>
    <w:rsid w:val="008C6A58"/>
    <w:rsid w:val="008D14D9"/>
    <w:rsid w:val="008D16F8"/>
    <w:rsid w:val="008D3F34"/>
    <w:rsid w:val="008D42EB"/>
    <w:rsid w:val="008D7BB9"/>
    <w:rsid w:val="008E1285"/>
    <w:rsid w:val="008E25EB"/>
    <w:rsid w:val="008E2FD1"/>
    <w:rsid w:val="008E35A9"/>
    <w:rsid w:val="008F09A6"/>
    <w:rsid w:val="008F3BF7"/>
    <w:rsid w:val="00906D56"/>
    <w:rsid w:val="00907B87"/>
    <w:rsid w:val="009144C4"/>
    <w:rsid w:val="0091491C"/>
    <w:rsid w:val="00923BEC"/>
    <w:rsid w:val="00931B85"/>
    <w:rsid w:val="009363AF"/>
    <w:rsid w:val="00937DC0"/>
    <w:rsid w:val="00937F3C"/>
    <w:rsid w:val="00943C1C"/>
    <w:rsid w:val="00946977"/>
    <w:rsid w:val="009536B2"/>
    <w:rsid w:val="00953DC2"/>
    <w:rsid w:val="00954DA1"/>
    <w:rsid w:val="00957446"/>
    <w:rsid w:val="009633D5"/>
    <w:rsid w:val="00971831"/>
    <w:rsid w:val="00974EEC"/>
    <w:rsid w:val="00983D21"/>
    <w:rsid w:val="00984B1D"/>
    <w:rsid w:val="00993C30"/>
    <w:rsid w:val="00995143"/>
    <w:rsid w:val="00995A70"/>
    <w:rsid w:val="00997171"/>
    <w:rsid w:val="009A00A3"/>
    <w:rsid w:val="009A4EC4"/>
    <w:rsid w:val="009A6C58"/>
    <w:rsid w:val="009A71C7"/>
    <w:rsid w:val="009B16D8"/>
    <w:rsid w:val="009B2799"/>
    <w:rsid w:val="009B3E68"/>
    <w:rsid w:val="009D0DFF"/>
    <w:rsid w:val="009D2494"/>
    <w:rsid w:val="009D2C37"/>
    <w:rsid w:val="009E5F19"/>
    <w:rsid w:val="009F6631"/>
    <w:rsid w:val="00A00986"/>
    <w:rsid w:val="00A018C5"/>
    <w:rsid w:val="00A06CDC"/>
    <w:rsid w:val="00A14B18"/>
    <w:rsid w:val="00A16743"/>
    <w:rsid w:val="00A31AF3"/>
    <w:rsid w:val="00A33B26"/>
    <w:rsid w:val="00A44299"/>
    <w:rsid w:val="00A474D1"/>
    <w:rsid w:val="00A52F2C"/>
    <w:rsid w:val="00A54FCB"/>
    <w:rsid w:val="00A56651"/>
    <w:rsid w:val="00A60779"/>
    <w:rsid w:val="00A608AB"/>
    <w:rsid w:val="00A6475C"/>
    <w:rsid w:val="00A6709E"/>
    <w:rsid w:val="00A67433"/>
    <w:rsid w:val="00A70842"/>
    <w:rsid w:val="00A710A7"/>
    <w:rsid w:val="00A710CF"/>
    <w:rsid w:val="00A74B5B"/>
    <w:rsid w:val="00A90202"/>
    <w:rsid w:val="00A92274"/>
    <w:rsid w:val="00A92551"/>
    <w:rsid w:val="00A93633"/>
    <w:rsid w:val="00A96871"/>
    <w:rsid w:val="00AA4B37"/>
    <w:rsid w:val="00AB32EA"/>
    <w:rsid w:val="00AC7DC8"/>
    <w:rsid w:val="00AD5436"/>
    <w:rsid w:val="00AE77C1"/>
    <w:rsid w:val="00AF7D89"/>
    <w:rsid w:val="00B003EE"/>
    <w:rsid w:val="00B03973"/>
    <w:rsid w:val="00B1170F"/>
    <w:rsid w:val="00B15BC1"/>
    <w:rsid w:val="00B16C38"/>
    <w:rsid w:val="00B21B9F"/>
    <w:rsid w:val="00B23D4A"/>
    <w:rsid w:val="00B242CC"/>
    <w:rsid w:val="00B266F4"/>
    <w:rsid w:val="00B2746E"/>
    <w:rsid w:val="00B30BBD"/>
    <w:rsid w:val="00B33A23"/>
    <w:rsid w:val="00B33C3D"/>
    <w:rsid w:val="00B40111"/>
    <w:rsid w:val="00B427D5"/>
    <w:rsid w:val="00B52231"/>
    <w:rsid w:val="00B5427B"/>
    <w:rsid w:val="00B550C9"/>
    <w:rsid w:val="00B57E78"/>
    <w:rsid w:val="00B643A0"/>
    <w:rsid w:val="00B66E70"/>
    <w:rsid w:val="00B7074C"/>
    <w:rsid w:val="00B70862"/>
    <w:rsid w:val="00B7711D"/>
    <w:rsid w:val="00B8172A"/>
    <w:rsid w:val="00B84459"/>
    <w:rsid w:val="00B87FC5"/>
    <w:rsid w:val="00B91292"/>
    <w:rsid w:val="00BA30BC"/>
    <w:rsid w:val="00BA6649"/>
    <w:rsid w:val="00BB170B"/>
    <w:rsid w:val="00BC2F7E"/>
    <w:rsid w:val="00BC7588"/>
    <w:rsid w:val="00BD0159"/>
    <w:rsid w:val="00BD6E01"/>
    <w:rsid w:val="00BE29E9"/>
    <w:rsid w:val="00BE66EA"/>
    <w:rsid w:val="00BF446A"/>
    <w:rsid w:val="00C032AC"/>
    <w:rsid w:val="00C04D40"/>
    <w:rsid w:val="00C051FB"/>
    <w:rsid w:val="00C20469"/>
    <w:rsid w:val="00C309A2"/>
    <w:rsid w:val="00C371FE"/>
    <w:rsid w:val="00C4146C"/>
    <w:rsid w:val="00C43319"/>
    <w:rsid w:val="00C4783E"/>
    <w:rsid w:val="00C519C5"/>
    <w:rsid w:val="00C52A77"/>
    <w:rsid w:val="00C616F2"/>
    <w:rsid w:val="00C61B83"/>
    <w:rsid w:val="00C64FE8"/>
    <w:rsid w:val="00C74A59"/>
    <w:rsid w:val="00C77D3D"/>
    <w:rsid w:val="00C77FD7"/>
    <w:rsid w:val="00C85DB8"/>
    <w:rsid w:val="00C91B56"/>
    <w:rsid w:val="00C91FFD"/>
    <w:rsid w:val="00C92A71"/>
    <w:rsid w:val="00C96023"/>
    <w:rsid w:val="00C969B5"/>
    <w:rsid w:val="00CA369B"/>
    <w:rsid w:val="00CB01E1"/>
    <w:rsid w:val="00CB4143"/>
    <w:rsid w:val="00CB478E"/>
    <w:rsid w:val="00CB4F86"/>
    <w:rsid w:val="00CC033C"/>
    <w:rsid w:val="00CC1672"/>
    <w:rsid w:val="00CC191F"/>
    <w:rsid w:val="00CC496D"/>
    <w:rsid w:val="00CD06EC"/>
    <w:rsid w:val="00CD23D5"/>
    <w:rsid w:val="00CE2E9F"/>
    <w:rsid w:val="00CF277B"/>
    <w:rsid w:val="00D01C15"/>
    <w:rsid w:val="00D027C3"/>
    <w:rsid w:val="00D03D8F"/>
    <w:rsid w:val="00D13C14"/>
    <w:rsid w:val="00D156E7"/>
    <w:rsid w:val="00D25CFE"/>
    <w:rsid w:val="00D27B1C"/>
    <w:rsid w:val="00D32493"/>
    <w:rsid w:val="00D335F9"/>
    <w:rsid w:val="00D33E0C"/>
    <w:rsid w:val="00D379F7"/>
    <w:rsid w:val="00D428A0"/>
    <w:rsid w:val="00D46654"/>
    <w:rsid w:val="00D468BB"/>
    <w:rsid w:val="00D55B89"/>
    <w:rsid w:val="00D624D0"/>
    <w:rsid w:val="00D62744"/>
    <w:rsid w:val="00D636D6"/>
    <w:rsid w:val="00D73E7F"/>
    <w:rsid w:val="00D7774B"/>
    <w:rsid w:val="00D82061"/>
    <w:rsid w:val="00D851F3"/>
    <w:rsid w:val="00D854CD"/>
    <w:rsid w:val="00D85987"/>
    <w:rsid w:val="00D867DB"/>
    <w:rsid w:val="00D9031C"/>
    <w:rsid w:val="00D92373"/>
    <w:rsid w:val="00D92D3F"/>
    <w:rsid w:val="00D9499A"/>
    <w:rsid w:val="00D96D9E"/>
    <w:rsid w:val="00D971D0"/>
    <w:rsid w:val="00DB0AFE"/>
    <w:rsid w:val="00DB268D"/>
    <w:rsid w:val="00DB2CB7"/>
    <w:rsid w:val="00DB545C"/>
    <w:rsid w:val="00DC22F6"/>
    <w:rsid w:val="00DD4365"/>
    <w:rsid w:val="00DD45AE"/>
    <w:rsid w:val="00DD46C0"/>
    <w:rsid w:val="00DD583E"/>
    <w:rsid w:val="00DD73BF"/>
    <w:rsid w:val="00DE5729"/>
    <w:rsid w:val="00DE6E24"/>
    <w:rsid w:val="00DF1BC3"/>
    <w:rsid w:val="00E07731"/>
    <w:rsid w:val="00E109DE"/>
    <w:rsid w:val="00E12E59"/>
    <w:rsid w:val="00E37040"/>
    <w:rsid w:val="00E63B00"/>
    <w:rsid w:val="00E72D63"/>
    <w:rsid w:val="00E73146"/>
    <w:rsid w:val="00E75829"/>
    <w:rsid w:val="00E97F92"/>
    <w:rsid w:val="00EA2C91"/>
    <w:rsid w:val="00EA448A"/>
    <w:rsid w:val="00EA641D"/>
    <w:rsid w:val="00EA6995"/>
    <w:rsid w:val="00EC449C"/>
    <w:rsid w:val="00EC6AA2"/>
    <w:rsid w:val="00ED2595"/>
    <w:rsid w:val="00ED3AE7"/>
    <w:rsid w:val="00ED4D67"/>
    <w:rsid w:val="00EF1184"/>
    <w:rsid w:val="00EF4BBA"/>
    <w:rsid w:val="00EF512C"/>
    <w:rsid w:val="00EF73E8"/>
    <w:rsid w:val="00EF7CD9"/>
    <w:rsid w:val="00EF7E49"/>
    <w:rsid w:val="00F0024A"/>
    <w:rsid w:val="00F012EB"/>
    <w:rsid w:val="00F03AFB"/>
    <w:rsid w:val="00F03CDB"/>
    <w:rsid w:val="00F170F1"/>
    <w:rsid w:val="00F37A72"/>
    <w:rsid w:val="00F45F21"/>
    <w:rsid w:val="00F53103"/>
    <w:rsid w:val="00F61CE6"/>
    <w:rsid w:val="00F64660"/>
    <w:rsid w:val="00F65659"/>
    <w:rsid w:val="00F66946"/>
    <w:rsid w:val="00F672E5"/>
    <w:rsid w:val="00F72111"/>
    <w:rsid w:val="00F76D05"/>
    <w:rsid w:val="00F80A91"/>
    <w:rsid w:val="00F80FB9"/>
    <w:rsid w:val="00F9026C"/>
    <w:rsid w:val="00FA0722"/>
    <w:rsid w:val="00FA0E7C"/>
    <w:rsid w:val="00FA1C9B"/>
    <w:rsid w:val="00FA29AE"/>
    <w:rsid w:val="00FA3D30"/>
    <w:rsid w:val="00FB579D"/>
    <w:rsid w:val="00FC2A64"/>
    <w:rsid w:val="00FC4BE6"/>
    <w:rsid w:val="00FD21D6"/>
    <w:rsid w:val="00FD34FA"/>
    <w:rsid w:val="00FD4017"/>
    <w:rsid w:val="00FE11CA"/>
    <w:rsid w:val="00FE1F42"/>
    <w:rsid w:val="00FE4BF8"/>
    <w:rsid w:val="00FE594F"/>
    <w:rsid w:val="00FE5CFE"/>
    <w:rsid w:val="00FE662A"/>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899D001E-BDE7-4956-A913-29945CB07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numPr>
        <w:numId w:val="29"/>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numPr>
        <w:ilvl w:val="1"/>
        <w:numId w:val="29"/>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F73E8"/>
    <w:pPr>
      <w:keepNext/>
      <w:keepLines/>
      <w:numPr>
        <w:ilvl w:val="2"/>
        <w:numId w:val="29"/>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numPr>
        <w:ilvl w:val="3"/>
        <w:numId w:val="29"/>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numPr>
        <w:ilvl w:val="4"/>
        <w:numId w:val="29"/>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EF73E8"/>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kern w:val="0"/>
      <w:sz w:val="22"/>
      <w:szCs w:val="22"/>
      <w14:ligatures w14:val="none"/>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kern w:val="0"/>
      <w:sz w:val="22"/>
      <w:szCs w:val="22"/>
      <w14:ligatures w14:val="none"/>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kern w:val="0"/>
      <w:sz w:val="22"/>
      <w:szCs w:val="22"/>
      <w14:ligatures w14:val="none"/>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kern w:val="0"/>
      <w:sz w:val="22"/>
      <w:szCs w:val="22"/>
      <w14:ligatures w14:val="none"/>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kern w:val="0"/>
      <w:sz w:val="22"/>
      <w:szCs w:val="22"/>
      <w14:ligatures w14:val="none"/>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 w:type="paragraph" w:styleId="NoSpacing">
    <w:name w:val="No Spacing"/>
    <w:uiPriority w:val="1"/>
    <w:qFormat/>
    <w:rsid w:val="00C92A71"/>
    <w:pPr>
      <w:spacing w:after="0" w:line="240" w:lineRule="auto"/>
    </w:pPr>
    <w:rPr>
      <w:kern w:val="0"/>
      <w:sz w:val="22"/>
      <w:szCs w:val="22"/>
      <w14:ligatures w14:val="none"/>
    </w:rPr>
  </w:style>
  <w:style w:type="numbering" w:customStyle="1" w:styleId="1">
    <w:name w:val="نمط1"/>
    <w:uiPriority w:val="99"/>
    <w:rsid w:val="00FE662A"/>
    <w:pPr>
      <w:numPr>
        <w:numId w:val="28"/>
      </w:numPr>
    </w:pPr>
  </w:style>
  <w:style w:type="table" w:styleId="GridTable4-Accent3">
    <w:name w:val="Grid Table 4 Accent 3"/>
    <w:basedOn w:val="TableNormal"/>
    <w:uiPriority w:val="49"/>
    <w:rsid w:val="00FE4BF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C969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 w:id="1917090549">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2712616">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9T19:59:18.873"/>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5DF0-A693-4F28-B4E1-577134578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19052</Words>
  <Characters>106121</Characters>
  <Application>Microsoft Office Word</Application>
  <DocSecurity>0</DocSecurity>
  <Lines>2210</Lines>
  <Paragraphs>1098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2</cp:revision>
  <dcterms:created xsi:type="dcterms:W3CDTF">2026-08-19T13:46:00Z</dcterms:created>
  <dcterms:modified xsi:type="dcterms:W3CDTF">2026-08-19T13:46:00Z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