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0C440" w14:textId="77777777" w:rsidR="00316363" w:rsidRDefault="00316363" w:rsidP="00C01976">
      <w:pPr>
        <w:bidi/>
        <w:jc w:val="both"/>
        <w:rPr>
          <w:rFonts w:ascii="Simplified Arabic" w:hAnsi="Simplified Arabic" w:cs="Simplified Arabic"/>
          <w:b/>
          <w:bCs/>
          <w:sz w:val="28"/>
          <w:szCs w:val="28"/>
          <w:rtl/>
        </w:rPr>
      </w:pPr>
    </w:p>
    <w:p w14:paraId="17EDFE45" w14:textId="77777777" w:rsidR="00316363" w:rsidRDefault="00316363" w:rsidP="00316363">
      <w:pPr>
        <w:bidi/>
        <w:jc w:val="both"/>
        <w:rPr>
          <w:rFonts w:ascii="Simplified Arabic" w:hAnsi="Simplified Arabic" w:cs="Simplified Arabic"/>
          <w:b/>
          <w:bCs/>
          <w:sz w:val="28"/>
          <w:szCs w:val="28"/>
          <w:rtl/>
        </w:rPr>
      </w:pPr>
    </w:p>
    <w:p w14:paraId="61F3ACE9" w14:textId="77777777" w:rsidR="00316363" w:rsidRDefault="00316363" w:rsidP="00316363">
      <w:pPr>
        <w:bidi/>
        <w:jc w:val="both"/>
        <w:rPr>
          <w:rFonts w:ascii="Simplified Arabic" w:hAnsi="Simplified Arabic" w:cs="Simplified Arabic"/>
          <w:b/>
          <w:bCs/>
          <w:sz w:val="28"/>
          <w:szCs w:val="28"/>
          <w:rtl/>
        </w:rPr>
      </w:pPr>
    </w:p>
    <w:p w14:paraId="39045700" w14:textId="77777777" w:rsidR="00316363" w:rsidRDefault="00316363" w:rsidP="00316363">
      <w:pPr>
        <w:bidi/>
        <w:jc w:val="both"/>
        <w:rPr>
          <w:rFonts w:ascii="Simplified Arabic" w:hAnsi="Simplified Arabic" w:cs="Simplified Arabic"/>
          <w:b/>
          <w:bCs/>
          <w:sz w:val="28"/>
          <w:szCs w:val="28"/>
          <w:rtl/>
        </w:rPr>
      </w:pPr>
    </w:p>
    <w:p w14:paraId="34F3F8D8" w14:textId="77777777" w:rsidR="00316363" w:rsidRPr="00F370DE" w:rsidRDefault="00316363" w:rsidP="00316363">
      <w:pPr>
        <w:bidi/>
        <w:jc w:val="both"/>
        <w:rPr>
          <w:rFonts w:ascii="Simplified Arabic" w:hAnsi="Simplified Arabic" w:cs="Simplified Arabic"/>
          <w:b/>
          <w:bCs/>
          <w:sz w:val="2"/>
          <w:szCs w:val="2"/>
          <w:rtl/>
        </w:rPr>
      </w:pPr>
    </w:p>
    <w:p w14:paraId="691D0826" w14:textId="77777777" w:rsidR="00316363" w:rsidRDefault="00316363" w:rsidP="00316363">
      <w:pPr>
        <w:bidi/>
        <w:jc w:val="both"/>
        <w:rPr>
          <w:rFonts w:ascii="Simplified Arabic" w:hAnsi="Simplified Arabic" w:cs="Simplified Arabic"/>
          <w:b/>
          <w:bCs/>
          <w:sz w:val="28"/>
          <w:szCs w:val="28"/>
          <w:rtl/>
        </w:rPr>
      </w:pPr>
    </w:p>
    <w:p w14:paraId="20C14C68" w14:textId="77777777" w:rsidR="00316363" w:rsidRPr="00F370DE" w:rsidRDefault="00316363" w:rsidP="00316363">
      <w:pPr>
        <w:bidi/>
        <w:jc w:val="both"/>
        <w:rPr>
          <w:rFonts w:ascii="Simplified Arabic" w:hAnsi="Simplified Arabic" w:cs="Simplified Arabic"/>
          <w:b/>
          <w:bCs/>
          <w:sz w:val="2"/>
          <w:szCs w:val="2"/>
          <w:rtl/>
        </w:rPr>
      </w:pPr>
    </w:p>
    <w:p w14:paraId="4CDC6F8E" w14:textId="77777777" w:rsidR="00316363" w:rsidRPr="00F370DE" w:rsidRDefault="00316363" w:rsidP="00316363">
      <w:pPr>
        <w:bidi/>
        <w:jc w:val="both"/>
        <w:rPr>
          <w:rFonts w:ascii="Simplified Arabic" w:hAnsi="Simplified Arabic" w:cs="Simplified Arabic"/>
          <w:b/>
          <w:bCs/>
          <w:sz w:val="6"/>
          <w:szCs w:val="6"/>
          <w:rtl/>
        </w:rPr>
      </w:pPr>
    </w:p>
    <w:p w14:paraId="3327C6A3" w14:textId="77777777" w:rsidR="00316363" w:rsidRDefault="00316363" w:rsidP="00316363">
      <w:pPr>
        <w:bidi/>
        <w:jc w:val="center"/>
        <w:rPr>
          <w:rFonts w:ascii="Simplified Arabic" w:eastAsia="Aptos" w:hAnsi="Simplified Arabic" w:cs="Simplified Arabic"/>
          <w:b/>
          <w:bCs/>
          <w:sz w:val="44"/>
          <w:szCs w:val="44"/>
          <w:rtl/>
        </w:rPr>
      </w:pPr>
      <w:bookmarkStart w:id="0" w:name="OLE_LINK2"/>
      <w:r w:rsidRPr="00316363">
        <w:rPr>
          <w:rFonts w:ascii="Simplified Arabic" w:eastAsia="Aptos" w:hAnsi="Simplified Arabic" w:cs="Simplified Arabic"/>
          <w:b/>
          <w:bCs/>
          <w:sz w:val="44"/>
          <w:szCs w:val="44"/>
          <w:rtl/>
        </w:rPr>
        <w:t>إعادة هندسة العمليات الإدارية في ظل الأزمات</w:t>
      </w:r>
      <w:bookmarkEnd w:id="0"/>
      <w:r w:rsidRPr="00316363">
        <w:rPr>
          <w:rFonts w:ascii="Simplified Arabic" w:eastAsia="Aptos" w:hAnsi="Simplified Arabic" w:cs="Simplified Arabic"/>
          <w:b/>
          <w:bCs/>
          <w:sz w:val="44"/>
          <w:szCs w:val="44"/>
          <w:rtl/>
        </w:rPr>
        <w:t>: دراسة مقارنة بين الأساليب التقليدية وأساليب المرونة التنظيمية</w:t>
      </w:r>
    </w:p>
    <w:p w14:paraId="61B74D5D" w14:textId="77777777" w:rsidR="00F370DE" w:rsidRDefault="00F370DE" w:rsidP="00F370DE">
      <w:pPr>
        <w:bidi/>
        <w:jc w:val="center"/>
        <w:rPr>
          <w:rFonts w:asciiTheme="majorBidi" w:hAnsiTheme="majorBidi" w:cstheme="majorBidi"/>
          <w:i/>
          <w:iCs/>
          <w:sz w:val="40"/>
          <w:szCs w:val="40"/>
          <w:rtl/>
        </w:rPr>
      </w:pPr>
      <w:bookmarkStart w:id="1" w:name="_Hlk20532707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1"/>
    </w:p>
    <w:p w14:paraId="501FC685" w14:textId="77777777" w:rsidR="00F370DE" w:rsidRDefault="00F370DE" w:rsidP="00F370DE">
      <w:pPr>
        <w:bidi/>
        <w:jc w:val="center"/>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F370DE" w14:paraId="4C395358" w14:textId="77777777" w:rsidTr="002C1085">
        <w:trPr>
          <w:jc w:val="center"/>
        </w:trPr>
        <w:tc>
          <w:tcPr>
            <w:tcW w:w="2120" w:type="dxa"/>
          </w:tcPr>
          <w:p w14:paraId="6E0FBF12"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6D21FED0"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يوسف بن بلغيث بن مديني الحسني</w:t>
            </w:r>
          </w:p>
        </w:tc>
      </w:tr>
      <w:tr w:rsidR="00F370DE" w14:paraId="5BF8CBFF" w14:textId="77777777" w:rsidTr="002C1085">
        <w:trPr>
          <w:jc w:val="center"/>
        </w:trPr>
        <w:tc>
          <w:tcPr>
            <w:tcW w:w="2120" w:type="dxa"/>
          </w:tcPr>
          <w:p w14:paraId="4E3F3275"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697F8406" w14:textId="77777777" w:rsidR="00F370DE" w:rsidRDefault="00F370DE" w:rsidP="002C1085">
            <w:pPr>
              <w:pStyle w:val="NormalWeb"/>
              <w:bidi/>
              <w:spacing w:before="0" w:after="0"/>
              <w:ind w:right="-270"/>
              <w:jc w:val="center"/>
              <w:rPr>
                <w:rFonts w:ascii="Simplified Arabic" w:hAnsi="Simplified Arabic" w:cs="Simplified Arabic"/>
                <w:b/>
                <w:bCs/>
                <w:color w:val="0000FF"/>
                <w:sz w:val="32"/>
                <w:szCs w:val="32"/>
                <w:rtl/>
              </w:rPr>
            </w:pPr>
            <w:hyperlink r:id="rId7" w:history="1">
              <w:r>
                <w:rPr>
                  <w:rStyle w:val="Hyperlink"/>
                  <w:rFonts w:ascii="Simplified Arabic" w:eastAsiaTheme="majorEastAsia" w:hAnsi="Simplified Arabic" w:cs="Simplified Arabic"/>
                  <w:b/>
                  <w:bCs/>
                  <w:sz w:val="32"/>
                  <w:szCs w:val="32"/>
                </w:rPr>
                <w:t>2021201824</w:t>
              </w:r>
            </w:hyperlink>
          </w:p>
        </w:tc>
      </w:tr>
      <w:tr w:rsidR="00F370DE" w14:paraId="2A2FE8A9" w14:textId="77777777" w:rsidTr="002C1085">
        <w:trPr>
          <w:jc w:val="center"/>
        </w:trPr>
        <w:tc>
          <w:tcPr>
            <w:tcW w:w="2120" w:type="dxa"/>
          </w:tcPr>
          <w:p w14:paraId="72B6CC1A"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69C0F2CF"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F370DE" w14:paraId="19362E5E" w14:textId="77777777" w:rsidTr="002C1085">
        <w:trPr>
          <w:jc w:val="center"/>
        </w:trPr>
        <w:tc>
          <w:tcPr>
            <w:tcW w:w="2120" w:type="dxa"/>
          </w:tcPr>
          <w:p w14:paraId="0AFD5FBC"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p>
        </w:tc>
        <w:tc>
          <w:tcPr>
            <w:tcW w:w="6388" w:type="dxa"/>
          </w:tcPr>
          <w:p w14:paraId="354E5596" w14:textId="76C88AC6" w:rsidR="00F370DE" w:rsidRDefault="00CD79D9" w:rsidP="002C1085">
            <w:pPr>
              <w:pStyle w:val="NormalWeb"/>
              <w:bidi/>
              <w:spacing w:before="0" w:beforeAutospacing="0" w:after="0" w:afterAutospacing="0"/>
              <w:ind w:right="-270"/>
              <w:jc w:val="center"/>
              <w:rPr>
                <w:rFonts w:ascii="Simplified Arabic" w:hAnsi="Simplified Arabic" w:cs="Simplified Arabic"/>
                <w:b/>
                <w:bCs/>
                <w:color w:val="0000FF"/>
                <w:sz w:val="36"/>
                <w:szCs w:val="36"/>
                <w:rtl/>
              </w:rPr>
            </w:pPr>
            <w:r>
              <w:rPr>
                <w:rFonts w:ascii="Simplified Arabic" w:hAnsi="Simplified Arabic" w:cs="Simplified Arabic" w:hint="cs"/>
                <w:b/>
                <w:bCs/>
                <w:color w:val="0000FF"/>
                <w:sz w:val="36"/>
                <w:szCs w:val="36"/>
                <w:rtl/>
              </w:rPr>
              <w:t>الفصل السادس- الفصل الدراسي الأول</w:t>
            </w:r>
          </w:p>
        </w:tc>
      </w:tr>
    </w:tbl>
    <w:p w14:paraId="4E9D7B94" w14:textId="77777777" w:rsidR="00F370DE" w:rsidRDefault="00F370DE" w:rsidP="00F370DE">
      <w:pPr>
        <w:bidi/>
        <w:jc w:val="both"/>
        <w:rPr>
          <w:rFonts w:ascii="Simplified Arabic" w:hAnsi="Simplified Arabic" w:cs="Simplified Arabic"/>
          <w:sz w:val="28"/>
          <w:szCs w:val="28"/>
          <w:rtl/>
        </w:rPr>
      </w:pPr>
    </w:p>
    <w:p w14:paraId="0A9AB5C9" w14:textId="0B69CF8A" w:rsidR="00F370DE" w:rsidRDefault="00F370DE" w:rsidP="00F370DE">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1447</w:t>
      </w:r>
      <w:r>
        <w:rPr>
          <w:rFonts w:ascii="Simplified Arabic" w:hAnsi="Simplified Arabic" w:cs="Simplified Arabic" w:hint="cs"/>
          <w:b/>
          <w:bCs/>
          <w:color w:val="FF0000"/>
          <w:sz w:val="28"/>
          <w:szCs w:val="28"/>
          <w:rtl/>
        </w:rPr>
        <w:t xml:space="preserve">ه - </w:t>
      </w:r>
      <w:r w:rsidR="00163ADA">
        <w:rPr>
          <w:rFonts w:ascii="Simplified Arabic" w:hAnsi="Simplified Arabic" w:cs="Simplified Arabic" w:hint="cs"/>
          <w:b/>
          <w:bCs/>
          <w:color w:val="FF0000"/>
          <w:sz w:val="28"/>
          <w:szCs w:val="28"/>
          <w:rtl/>
        </w:rPr>
        <w:t>2026</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122C5D46" w14:textId="77777777" w:rsidR="00316363" w:rsidRDefault="00316363" w:rsidP="00316363">
      <w:pPr>
        <w:bidi/>
        <w:jc w:val="both"/>
        <w:rPr>
          <w:rFonts w:ascii="Simplified Arabic" w:hAnsi="Simplified Arabic" w:cs="Simplified Arabic"/>
          <w:b/>
          <w:bCs/>
          <w:sz w:val="28"/>
          <w:szCs w:val="28"/>
          <w:rtl/>
        </w:rPr>
      </w:pPr>
    </w:p>
    <w:p w14:paraId="712939AD" w14:textId="77777777" w:rsidR="00316363" w:rsidRDefault="00316363" w:rsidP="00316363">
      <w:pPr>
        <w:bidi/>
        <w:jc w:val="both"/>
        <w:rPr>
          <w:rFonts w:ascii="Simplified Arabic" w:hAnsi="Simplified Arabic" w:cs="Simplified Arabic"/>
          <w:b/>
          <w:bCs/>
          <w:sz w:val="28"/>
          <w:szCs w:val="28"/>
          <w:rtl/>
        </w:rPr>
      </w:pPr>
    </w:p>
    <w:p w14:paraId="10FDFA06" w14:textId="5FB9ACDB" w:rsidR="00A97916" w:rsidRPr="00316363" w:rsidRDefault="00C01976" w:rsidP="00316363">
      <w:pPr>
        <w:bidi/>
        <w:jc w:val="both"/>
        <w:rPr>
          <w:rFonts w:ascii="Simplified Arabic" w:hAnsi="Simplified Arabic" w:cs="Simplified Arabic"/>
          <w:b/>
          <w:bCs/>
          <w:sz w:val="28"/>
          <w:szCs w:val="28"/>
          <w:rtl/>
        </w:rPr>
      </w:pPr>
      <w:r w:rsidRPr="00316363">
        <w:rPr>
          <w:rFonts w:ascii="Simplified Arabic" w:hAnsi="Simplified Arabic" w:cs="Simplified Arabic" w:hint="cs"/>
          <w:b/>
          <w:bCs/>
          <w:sz w:val="28"/>
          <w:szCs w:val="28"/>
          <w:rtl/>
        </w:rPr>
        <w:t>أولاً: الاطار النظري</w:t>
      </w:r>
    </w:p>
    <w:p w14:paraId="01E5A7DC" w14:textId="77777777" w:rsidR="00316363" w:rsidRPr="00316363" w:rsidRDefault="00316363" w:rsidP="00316363">
      <w:pPr>
        <w:bidi/>
        <w:ind w:firstLine="720"/>
        <w:jc w:val="both"/>
        <w:rPr>
          <w:rFonts w:ascii="Simplified Arabic" w:hAnsi="Simplified Arabic" w:cs="Simplified Arabic"/>
          <w:sz w:val="28"/>
          <w:szCs w:val="28"/>
        </w:rPr>
      </w:pPr>
      <w:r w:rsidRPr="00316363">
        <w:rPr>
          <w:rFonts w:ascii="Simplified Arabic" w:hAnsi="Simplified Arabic" w:cs="Simplified Arabic"/>
          <w:sz w:val="28"/>
          <w:szCs w:val="28"/>
          <w:rtl/>
        </w:rPr>
        <w:t>تُعَدُّ إعادة هندسة العمليات الإدارية من المفاهيم الإدارية الحديثة التي برزت استجابةً للتحولات التنظيمية والتكنولوجية المتسارعة، خاصة في ظل الأزمات التي تواجه المؤسسات العامة والخاصة على حد سواء. فقد أظهرت التجارب الإدارية المعاصرة أن الاعتماد على الأساليب التقليدية لم يعد كافيًا لمواجهة تحديات بيئة العمل المتغيرة، مما استدعى تبنّي منهجيات أكثر مرونة وابتكارًا تُمكِّن المنظمات من إعادة تصميم عملياتها، وتحقيق كفاءة تشغيلية أعلى، وضمان استمرارية الأعمال في أوقات عدم اليقين</w:t>
      </w:r>
      <w:r w:rsidRPr="00316363">
        <w:rPr>
          <w:rFonts w:ascii="Simplified Arabic" w:hAnsi="Simplified Arabic" w:cs="Simplified Arabic"/>
          <w:sz w:val="28"/>
          <w:szCs w:val="28"/>
        </w:rPr>
        <w:t>.</w:t>
      </w:r>
    </w:p>
    <w:p w14:paraId="62654E88" w14:textId="77777777" w:rsidR="00316363" w:rsidRPr="00316363" w:rsidRDefault="00316363" w:rsidP="00316363">
      <w:pPr>
        <w:bidi/>
        <w:ind w:firstLine="720"/>
        <w:jc w:val="both"/>
        <w:rPr>
          <w:rFonts w:ascii="Simplified Arabic" w:hAnsi="Simplified Arabic" w:cs="Simplified Arabic"/>
          <w:sz w:val="28"/>
          <w:szCs w:val="28"/>
        </w:rPr>
      </w:pPr>
      <w:r w:rsidRPr="00316363">
        <w:rPr>
          <w:rFonts w:ascii="Simplified Arabic" w:hAnsi="Simplified Arabic" w:cs="Simplified Arabic"/>
          <w:sz w:val="28"/>
          <w:szCs w:val="28"/>
          <w:rtl/>
        </w:rPr>
        <w:t>ينطلق هذا الإطار النظري من ضرورة فهم الأسس الفكرية والمنهجية التي تستند إليها إعادة هندسة العمليات الإدارية، ويستعرض التحول من النماذج التقليدية في الإدارة إلى النماذج القائمة على المرونة التنظيمية التي تمثل أحد أهم متطلبات الاستدامة المؤسسية في بيئات العمل الديناميكية</w:t>
      </w:r>
      <w:r w:rsidRPr="00316363">
        <w:rPr>
          <w:rFonts w:ascii="Simplified Arabic" w:hAnsi="Simplified Arabic" w:cs="Simplified Arabic"/>
          <w:sz w:val="28"/>
          <w:szCs w:val="28"/>
        </w:rPr>
        <w:t>.</w:t>
      </w:r>
    </w:p>
    <w:p w14:paraId="638291CE" w14:textId="77777777" w:rsidR="00316363" w:rsidRPr="00316363" w:rsidRDefault="00316363" w:rsidP="00316363">
      <w:pPr>
        <w:bidi/>
        <w:jc w:val="both"/>
        <w:rPr>
          <w:rFonts w:ascii="Simplified Arabic" w:hAnsi="Simplified Arabic" w:cs="Simplified Arabic"/>
          <w:sz w:val="28"/>
          <w:szCs w:val="28"/>
        </w:rPr>
      </w:pPr>
      <w:r w:rsidRPr="00316363">
        <w:rPr>
          <w:rFonts w:ascii="Simplified Arabic" w:hAnsi="Simplified Arabic" w:cs="Simplified Arabic"/>
          <w:sz w:val="28"/>
          <w:szCs w:val="28"/>
          <w:rtl/>
        </w:rPr>
        <w:t>وسيتناول الإطار النظري ثلاثة محاور رئيسية مترابطة</w:t>
      </w:r>
      <w:r w:rsidRPr="00316363">
        <w:rPr>
          <w:rFonts w:ascii="Simplified Arabic" w:hAnsi="Simplified Arabic" w:cs="Simplified Arabic"/>
          <w:sz w:val="28"/>
          <w:szCs w:val="28"/>
        </w:rPr>
        <w:t>:</w:t>
      </w:r>
    </w:p>
    <w:p w14:paraId="232067A0" w14:textId="6A026AC0" w:rsidR="00316363" w:rsidRPr="00316363" w:rsidRDefault="00316363" w:rsidP="00316363">
      <w:pPr>
        <w:numPr>
          <w:ilvl w:val="0"/>
          <w:numId w:val="3"/>
        </w:numPr>
        <w:bidi/>
        <w:spacing w:after="0"/>
        <w:jc w:val="both"/>
        <w:rPr>
          <w:rFonts w:ascii="Simplified Arabic" w:hAnsi="Simplified Arabic" w:cs="Simplified Arabic"/>
          <w:sz w:val="28"/>
          <w:szCs w:val="28"/>
        </w:rPr>
      </w:pPr>
      <w:r w:rsidRPr="00316363">
        <w:rPr>
          <w:rFonts w:ascii="Simplified Arabic" w:hAnsi="Simplified Arabic" w:cs="Simplified Arabic"/>
          <w:b/>
          <w:bCs/>
          <w:sz w:val="28"/>
          <w:szCs w:val="28"/>
          <w:rtl/>
        </w:rPr>
        <w:t>المحور الأول</w:t>
      </w:r>
      <w:r>
        <w:rPr>
          <w:rFonts w:ascii="Simplified Arabic" w:hAnsi="Simplified Arabic" w:cs="Simplified Arabic" w:hint="cs"/>
          <w:sz w:val="28"/>
          <w:szCs w:val="28"/>
          <w:rtl/>
        </w:rPr>
        <w:t>:</w:t>
      </w:r>
      <w:r w:rsidRPr="00316363">
        <w:rPr>
          <w:rFonts w:ascii="Simplified Arabic" w:hAnsi="Simplified Arabic" w:cs="Simplified Arabic"/>
          <w:sz w:val="28"/>
          <w:szCs w:val="28"/>
        </w:rPr>
        <w:t xml:space="preserve"> </w:t>
      </w:r>
      <w:r w:rsidRPr="00316363">
        <w:rPr>
          <w:rFonts w:ascii="Simplified Arabic" w:hAnsi="Simplified Arabic" w:cs="Simplified Arabic"/>
          <w:sz w:val="28"/>
          <w:szCs w:val="28"/>
          <w:rtl/>
        </w:rPr>
        <w:t xml:space="preserve">يركز على </w:t>
      </w:r>
      <w:r w:rsidRPr="00316363">
        <w:rPr>
          <w:rFonts w:ascii="Simplified Arabic" w:hAnsi="Simplified Arabic" w:cs="Simplified Arabic"/>
          <w:b/>
          <w:bCs/>
          <w:sz w:val="28"/>
          <w:szCs w:val="28"/>
          <w:rtl/>
        </w:rPr>
        <w:t>الإطار المفاهيمي لإعادة هندسة العمليات الإدارية</w:t>
      </w:r>
      <w:r w:rsidRPr="00316363">
        <w:rPr>
          <w:rFonts w:ascii="Simplified Arabic" w:hAnsi="Simplified Arabic" w:cs="Simplified Arabic"/>
          <w:sz w:val="28"/>
          <w:szCs w:val="28"/>
          <w:rtl/>
        </w:rPr>
        <w:t>، من حيث المفهوم والنشأة والمبادئ الأساسية والمراحل التي تمر بها عملية إعادة الهندسة، إضافة إلى متطلبات نجاحها والتحديات التي تواجهها المؤسسات أثناء التطبيق</w:t>
      </w:r>
      <w:r w:rsidRPr="00316363">
        <w:rPr>
          <w:rFonts w:ascii="Simplified Arabic" w:hAnsi="Simplified Arabic" w:cs="Simplified Arabic"/>
          <w:sz w:val="28"/>
          <w:szCs w:val="28"/>
        </w:rPr>
        <w:t>.</w:t>
      </w:r>
    </w:p>
    <w:p w14:paraId="2D342C29" w14:textId="45505DFF" w:rsidR="00316363" w:rsidRPr="00316363" w:rsidRDefault="00316363" w:rsidP="00316363">
      <w:pPr>
        <w:numPr>
          <w:ilvl w:val="0"/>
          <w:numId w:val="3"/>
        </w:numPr>
        <w:bidi/>
        <w:spacing w:after="0"/>
        <w:jc w:val="both"/>
        <w:rPr>
          <w:rFonts w:ascii="Simplified Arabic" w:hAnsi="Simplified Arabic" w:cs="Simplified Arabic"/>
          <w:sz w:val="28"/>
          <w:szCs w:val="28"/>
        </w:rPr>
      </w:pPr>
      <w:r w:rsidRPr="00316363">
        <w:rPr>
          <w:rFonts w:ascii="Simplified Arabic" w:hAnsi="Simplified Arabic" w:cs="Simplified Arabic"/>
          <w:b/>
          <w:bCs/>
          <w:sz w:val="28"/>
          <w:szCs w:val="28"/>
          <w:rtl/>
        </w:rPr>
        <w:t>المحور الثاني</w:t>
      </w:r>
      <w:r>
        <w:rPr>
          <w:rFonts w:ascii="Simplified Arabic" w:hAnsi="Simplified Arabic" w:cs="Simplified Arabic" w:hint="cs"/>
          <w:sz w:val="28"/>
          <w:szCs w:val="28"/>
          <w:rtl/>
        </w:rPr>
        <w:t>:</w:t>
      </w:r>
      <w:r w:rsidRPr="00316363">
        <w:rPr>
          <w:rFonts w:ascii="Simplified Arabic" w:hAnsi="Simplified Arabic" w:cs="Simplified Arabic"/>
          <w:sz w:val="28"/>
          <w:szCs w:val="28"/>
        </w:rPr>
        <w:t xml:space="preserve"> </w:t>
      </w:r>
      <w:r w:rsidRPr="00316363">
        <w:rPr>
          <w:rFonts w:ascii="Simplified Arabic" w:hAnsi="Simplified Arabic" w:cs="Simplified Arabic"/>
          <w:sz w:val="28"/>
          <w:szCs w:val="28"/>
          <w:rtl/>
        </w:rPr>
        <w:t xml:space="preserve">يتناول </w:t>
      </w:r>
      <w:r w:rsidRPr="00316363">
        <w:rPr>
          <w:rFonts w:ascii="Simplified Arabic" w:hAnsi="Simplified Arabic" w:cs="Simplified Arabic"/>
          <w:b/>
          <w:bCs/>
          <w:sz w:val="28"/>
          <w:szCs w:val="28"/>
          <w:rtl/>
        </w:rPr>
        <w:t>الأساليب التقليدية في إدارة العمليات</w:t>
      </w:r>
      <w:r w:rsidRPr="00316363">
        <w:rPr>
          <w:rFonts w:ascii="Simplified Arabic" w:hAnsi="Simplified Arabic" w:cs="Simplified Arabic"/>
          <w:sz w:val="28"/>
          <w:szCs w:val="28"/>
          <w:rtl/>
        </w:rPr>
        <w:t>، موضحًا خصائصها وبنيتها الهرمية ودور البيروقراطية في تشكيلها، وآليات اتخاذ القرار فيها، مع تحليل مكامن القصور التي تحد من قدرتها على مواجهة الأزمات</w:t>
      </w:r>
      <w:r w:rsidRPr="00316363">
        <w:rPr>
          <w:rFonts w:ascii="Simplified Arabic" w:hAnsi="Simplified Arabic" w:cs="Simplified Arabic"/>
          <w:sz w:val="28"/>
          <w:szCs w:val="28"/>
        </w:rPr>
        <w:t>.</w:t>
      </w:r>
    </w:p>
    <w:p w14:paraId="458EDBDD" w14:textId="33EDB915" w:rsidR="00316363" w:rsidRPr="00316363" w:rsidRDefault="00316363" w:rsidP="00316363">
      <w:pPr>
        <w:numPr>
          <w:ilvl w:val="0"/>
          <w:numId w:val="3"/>
        </w:numPr>
        <w:bidi/>
        <w:spacing w:after="0"/>
        <w:jc w:val="both"/>
        <w:rPr>
          <w:rFonts w:ascii="Simplified Arabic" w:hAnsi="Simplified Arabic" w:cs="Simplified Arabic"/>
          <w:sz w:val="28"/>
          <w:szCs w:val="28"/>
        </w:rPr>
      </w:pPr>
      <w:r w:rsidRPr="00316363">
        <w:rPr>
          <w:rFonts w:ascii="Simplified Arabic" w:hAnsi="Simplified Arabic" w:cs="Simplified Arabic"/>
          <w:b/>
          <w:bCs/>
          <w:sz w:val="28"/>
          <w:szCs w:val="28"/>
          <w:rtl/>
        </w:rPr>
        <w:t>المحور الثالث</w:t>
      </w:r>
      <w:r>
        <w:rPr>
          <w:rFonts w:ascii="Simplified Arabic" w:hAnsi="Simplified Arabic" w:cs="Simplified Arabic" w:hint="cs"/>
          <w:sz w:val="28"/>
          <w:szCs w:val="28"/>
          <w:rtl/>
        </w:rPr>
        <w:t>:</w:t>
      </w:r>
      <w:r w:rsidRPr="00316363">
        <w:rPr>
          <w:rFonts w:ascii="Simplified Arabic" w:hAnsi="Simplified Arabic" w:cs="Simplified Arabic"/>
          <w:sz w:val="28"/>
          <w:szCs w:val="28"/>
        </w:rPr>
        <w:t xml:space="preserve"> </w:t>
      </w:r>
      <w:r w:rsidRPr="00316363">
        <w:rPr>
          <w:rFonts w:ascii="Simplified Arabic" w:hAnsi="Simplified Arabic" w:cs="Simplified Arabic"/>
          <w:sz w:val="28"/>
          <w:szCs w:val="28"/>
          <w:rtl/>
        </w:rPr>
        <w:t xml:space="preserve">يعرض </w:t>
      </w:r>
      <w:r w:rsidRPr="00316363">
        <w:rPr>
          <w:rFonts w:ascii="Simplified Arabic" w:hAnsi="Simplified Arabic" w:cs="Simplified Arabic"/>
          <w:b/>
          <w:bCs/>
          <w:sz w:val="28"/>
          <w:szCs w:val="28"/>
          <w:rtl/>
        </w:rPr>
        <w:t>المرونة التنظيمية كأسلوب إداري حديث</w:t>
      </w:r>
      <w:r w:rsidRPr="00316363">
        <w:rPr>
          <w:rFonts w:ascii="Simplified Arabic" w:hAnsi="Simplified Arabic" w:cs="Simplified Arabic"/>
          <w:sz w:val="28"/>
          <w:szCs w:val="28"/>
          <w:rtl/>
        </w:rPr>
        <w:t>، موضحًا مفهومها وأبعادها، وخصائص المنظمات المرنة، والاستراتيجيات التي تعزز من قدرتها على الاستجابة والتكيف، إضافة إلى دور القيادة والتحول الرقمي في ترسيخ ثقافة المرونة داخل المؤسسات</w:t>
      </w:r>
      <w:r w:rsidRPr="00316363">
        <w:rPr>
          <w:rFonts w:ascii="Simplified Arabic" w:hAnsi="Simplified Arabic" w:cs="Simplified Arabic"/>
          <w:sz w:val="28"/>
          <w:szCs w:val="28"/>
        </w:rPr>
        <w:t>.</w:t>
      </w:r>
    </w:p>
    <w:p w14:paraId="14958541" w14:textId="77777777" w:rsidR="00316363" w:rsidRPr="00316363" w:rsidRDefault="00316363" w:rsidP="00316363">
      <w:pPr>
        <w:bidi/>
        <w:ind w:firstLine="720"/>
        <w:jc w:val="both"/>
        <w:rPr>
          <w:rFonts w:ascii="Simplified Arabic" w:hAnsi="Simplified Arabic" w:cs="Simplified Arabic"/>
          <w:sz w:val="28"/>
          <w:szCs w:val="28"/>
        </w:rPr>
      </w:pPr>
      <w:r w:rsidRPr="00316363">
        <w:rPr>
          <w:rFonts w:ascii="Simplified Arabic" w:hAnsi="Simplified Arabic" w:cs="Simplified Arabic"/>
          <w:sz w:val="28"/>
          <w:szCs w:val="28"/>
          <w:rtl/>
        </w:rPr>
        <w:lastRenderedPageBreak/>
        <w:t>ومن خلال الربط بين هذه المحاور، يسعى الإطار إلى بناء تصور نظري متكامل يوضح كيف يمكن للمؤسسات الانتقال من الأساليب التقليدية إلى نموذج أكثر مرونة وكفاءة من خلال إعادة هندسة عملياتها بما يتناسب مع متطلبات الأزمات والتغيرات المعاصرة</w:t>
      </w:r>
      <w:r w:rsidRPr="00316363">
        <w:rPr>
          <w:rFonts w:ascii="Simplified Arabic" w:hAnsi="Simplified Arabic" w:cs="Simplified Arabic"/>
          <w:sz w:val="28"/>
          <w:szCs w:val="28"/>
        </w:rPr>
        <w:t>.</w:t>
      </w:r>
    </w:p>
    <w:p w14:paraId="7A8B9AFC"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المحور الأول: الإطار المفاهيمي لإعادة هندسة العمليات الإدارية</w:t>
      </w:r>
    </w:p>
    <w:p w14:paraId="327BA847"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تواجه المؤسسات المعاصرة في ظل بيئة الأعمال المتغيرة والمتسارعة تحديات متعددة تتطلب منها إعادة النظر في أساليب عملها التقليدية والبحث عن مداخل إدارية حديثة تمكنها من تحسين أدائها وتعزيز قدرتها التنافسية. ومن بين المداخل الإدارية المعاصرة التي حظيت باهتمام واسع من الباحثين والممارسين، يبرز مفهوم إعادة هندسة العمليات الإدارية كأحد الأساليب الجذرية لإحداث التغيير والتطوير المؤسسي. وقد أثبت هذا المدخل فعاليته في تحقيق تحسينات جوهرية في الأداء المؤسسي عبر إعادة التفكير الجذري في العمليات الإدارية وتصميمها من جديد بما يحقق قفزات نوعية في مؤشرات الأداء الرئيسية</w:t>
      </w:r>
      <w:r w:rsidRPr="00C12376">
        <w:rPr>
          <w:rFonts w:ascii="Simplified Arabic" w:hAnsi="Simplified Arabic" w:cs="Simplified Arabic"/>
          <w:sz w:val="28"/>
          <w:szCs w:val="28"/>
        </w:rPr>
        <w:t>.</w:t>
      </w:r>
    </w:p>
    <w:p w14:paraId="4CF369D5" w14:textId="20D3F544" w:rsidR="00C12376" w:rsidRPr="00C12376" w:rsidRDefault="00C12376" w:rsidP="00F17154">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مفهوم إعادة هندسة العمليات الإدارية</w:t>
      </w:r>
      <w:r w:rsidRPr="00C12376">
        <w:rPr>
          <w:rFonts w:ascii="Simplified Arabic" w:hAnsi="Simplified Arabic" w:cs="Simplified Arabic"/>
          <w:b/>
          <w:bCs/>
          <w:sz w:val="28"/>
          <w:szCs w:val="28"/>
        </w:rPr>
        <w:t xml:space="preserve"> (Business Process Reengineering - BPR)</w:t>
      </w:r>
    </w:p>
    <w:p w14:paraId="312FF981"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تعد إعادة هندسة العمليات الإدارية من المفاهيم الإدارية الحديثة التي ظهرت استجابة للحاجة الملحة للمؤسسات لإحداث تغييرات جذرية وجوهرية في طرق أداء أعمالها، بدلاً من الاكتفاء بالتحسينات الجزئية والتدريجية. ويشير هذا المفهوم إلى إعادة التفكير الأساسي والجذري في تصميم العمليات الإدارية بهدف تحقيق تحسينات كبيرة وملموسة في مؤشرات الأداء الحرجة مثل الجودة، والتكلفة، والسرعة، والخدمة (سعال، 2023)</w:t>
      </w:r>
      <w:r w:rsidRPr="00C12376">
        <w:rPr>
          <w:rFonts w:ascii="Simplified Arabic" w:hAnsi="Simplified Arabic" w:cs="Simplified Arabic"/>
          <w:sz w:val="28"/>
          <w:szCs w:val="28"/>
        </w:rPr>
        <w:t>.</w:t>
      </w:r>
    </w:p>
    <w:p w14:paraId="18839DA3"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وتمثل إعادة الهندسة الإدارية منهجاً شاملاً يقوم على إعادة التصميم الكامل للعمليات التنظيمية بصورة جذرية، بحيث يتم التخلي عن الطرق التقليدية في إنجاز الأعمال والانتقال إلى أساليب جديدة ومبتكرة تستفيد من التقنيات الحديثة والممارسات الإدارية المتطورة. وفي هذا السياق، يؤكد بن يوسف </w:t>
      </w:r>
      <w:r w:rsidRPr="00C12376">
        <w:rPr>
          <w:rFonts w:ascii="Simplified Arabic" w:hAnsi="Simplified Arabic" w:cs="Simplified Arabic"/>
          <w:sz w:val="28"/>
          <w:szCs w:val="28"/>
          <w:rtl/>
        </w:rPr>
        <w:lastRenderedPageBreak/>
        <w:t>وعياش (2021) على أن إعادة هندسة العمليات تعني إعادة التفكير الجوهري والتصميم الجذري للعمليات الإدارية بهدف تحقيق تحسينات درامية في الأداء المؤسسي</w:t>
      </w:r>
      <w:r w:rsidRPr="00C12376">
        <w:rPr>
          <w:rFonts w:ascii="Simplified Arabic" w:hAnsi="Simplified Arabic" w:cs="Simplified Arabic"/>
          <w:sz w:val="28"/>
          <w:szCs w:val="28"/>
        </w:rPr>
        <w:t>.</w:t>
      </w:r>
    </w:p>
    <w:p w14:paraId="0C432C8B"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ومن المنظور التطبيقي، تركز إعادة الهندسة على العمليات وليس على الوظائف أو الأقسام الإدارية، حيث تنظر إلى المؤسسة على أنها مجموعة من العمليات المترابطة التي تبدأ بمدخلات وتنتهي بمخرجات تضيف قيمة للعملاء. وقد أشارت جاد الرب (2025) إلى أن إعادة هندسة العمليات تهدف إلى تحسين جودة الخدمات المقدمة للعملاء من خلال إعادة تصميم العمليات بشكل يحقق السرعة والدقة والكفاءة في تقديم الخدمات</w:t>
      </w:r>
      <w:r w:rsidRPr="00C12376">
        <w:rPr>
          <w:rFonts w:ascii="Simplified Arabic" w:hAnsi="Simplified Arabic" w:cs="Simplified Arabic"/>
          <w:sz w:val="28"/>
          <w:szCs w:val="28"/>
        </w:rPr>
        <w:t>.</w:t>
      </w:r>
    </w:p>
    <w:p w14:paraId="08107810"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ويرى السدمي (2022) أن إعادة الهندسة الإدارية تمثل استراتيجية شاملة لإعادة بناء المؤسسة من الصفر، حيث يتم التساؤل عن كل إجراء وعملية: لماذا نقوم بها؟ ولماذا نقوم بها بهذه الطريقة؟ وهل هناك طريقة أفضل لإنجازها؟ وهذا النهج الاستقصائي يدفع المؤسسات إلى التحرر من القيود والافتراضات التقليدية والبحث عن حلول إبداعية جديدة</w:t>
      </w:r>
      <w:r w:rsidRPr="00C12376">
        <w:rPr>
          <w:rFonts w:ascii="Simplified Arabic" w:hAnsi="Simplified Arabic" w:cs="Simplified Arabic"/>
          <w:sz w:val="28"/>
          <w:szCs w:val="28"/>
        </w:rPr>
        <w:t>.</w:t>
      </w:r>
    </w:p>
    <w:p w14:paraId="7ADAADB0"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تشير حسن (2022) إلى أن إعادة هندسة العمليات الإدارية تنطوي على إعادة التصميم السريع والجذري للعمليات الإستراتيجية ذات القيمة المضافة، وما يرتبط بها من نظم وسياسات وهياكل تنظيمية، بهدف تحقيق أقصى تحسين في تدفق العمل وزيادة الإنتاجية. وهذا يعني أن إعادة الهندسة لا تقتصر على تحسين العمليات فحسب، بل تمتد لتشمل إعادة النظر في الهيكل التنظيمي والسياسات والإجراءات والنظم الداعمة</w:t>
      </w:r>
      <w:r w:rsidRPr="00C12376">
        <w:rPr>
          <w:rFonts w:ascii="Simplified Arabic" w:hAnsi="Simplified Arabic" w:cs="Simplified Arabic"/>
          <w:sz w:val="28"/>
          <w:szCs w:val="28"/>
        </w:rPr>
        <w:t>.</w:t>
      </w:r>
    </w:p>
    <w:p w14:paraId="32463BC3"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السياق نفسه، توضح زهران (2020) أن إعادة الهندسة تعد بمثابة ثورة إدارية تهدف إلى إحداث تغيير شامل في طريقة التفكير والعمل داخل المؤسسة، وذلك من خلال إعادة تصميم العمليات الإدارية بشكل يحقق تحسينات جذرية في الأداء وليس مجرد تحسينات تدريجية. وهذا ما يميز إعادة الهندسة عن مداخل التحسين المستمر الأخرى التي تركز على التطوير التدريجي</w:t>
      </w:r>
      <w:r w:rsidRPr="00C12376">
        <w:rPr>
          <w:rFonts w:ascii="Simplified Arabic" w:hAnsi="Simplified Arabic" w:cs="Simplified Arabic"/>
          <w:sz w:val="28"/>
          <w:szCs w:val="28"/>
        </w:rPr>
        <w:t>.</w:t>
      </w:r>
    </w:p>
    <w:p w14:paraId="4B6F875F"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ويؤكد الحطامي والأشول (2024) على أن إعادة هندسة العمليات الإدارية تمثل إعادة تصميم أساسية وجذرية للعمليات الإدارية بهدف تحقيق تحسينات جوهرية وقابلة للقياس في مؤشرات الأداء </w:t>
      </w:r>
      <w:r w:rsidRPr="00C12376">
        <w:rPr>
          <w:rFonts w:ascii="Simplified Arabic" w:hAnsi="Simplified Arabic" w:cs="Simplified Arabic"/>
          <w:sz w:val="28"/>
          <w:szCs w:val="28"/>
          <w:rtl/>
        </w:rPr>
        <w:lastRenderedPageBreak/>
        <w:t>المؤسسي مثل الكلفة والجودة والخدمة والسرعة، مما يعزز القدرة التنافسية للمؤسسة ويحقق التميز المؤسسي</w:t>
      </w:r>
      <w:r w:rsidRPr="00C12376">
        <w:rPr>
          <w:rFonts w:ascii="Simplified Arabic" w:hAnsi="Simplified Arabic" w:cs="Simplified Arabic"/>
          <w:sz w:val="28"/>
          <w:szCs w:val="28"/>
        </w:rPr>
        <w:t>.</w:t>
      </w:r>
    </w:p>
    <w:p w14:paraId="10A9380F"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من جانب آخر، تشير محمد (2022) إلى أن إعادة هندسة العمليات الإدارية تقوم على مجموعة من المبادئ الأساسية، أهمها: التركيز على العملاء وتلبية احتياجاتهم، وإعادة تصميم العمليات من منظور شامل، والاعتماد على التكنولوجيا الحديثة، وتمكين العاملين ومنحهم الصلاحيات، والتوجه نحو النتائج وليس الأنشطة</w:t>
      </w:r>
      <w:r w:rsidRPr="00C12376">
        <w:rPr>
          <w:rFonts w:ascii="Simplified Arabic" w:hAnsi="Simplified Arabic" w:cs="Simplified Arabic"/>
          <w:sz w:val="28"/>
          <w:szCs w:val="28"/>
        </w:rPr>
        <w:t>.</w:t>
      </w:r>
    </w:p>
    <w:p w14:paraId="46D8442E"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وعلى المستوى الدولي، يعرف</w:t>
      </w:r>
      <w:r w:rsidRPr="00C12376">
        <w:rPr>
          <w:rFonts w:ascii="Simplified Arabic" w:hAnsi="Simplified Arabic" w:cs="Simplified Arabic"/>
          <w:sz w:val="28"/>
          <w:szCs w:val="28"/>
        </w:rPr>
        <w:t xml:space="preserve"> Ahmes Bayomy et al. (2021) </w:t>
      </w:r>
      <w:r w:rsidRPr="00C12376">
        <w:rPr>
          <w:rFonts w:ascii="Simplified Arabic" w:hAnsi="Simplified Arabic" w:cs="Simplified Arabic"/>
          <w:sz w:val="28"/>
          <w:szCs w:val="28"/>
          <w:rtl/>
        </w:rPr>
        <w:t>إعادة هندسة العمليات الإدارية بأنها إعادة التفكير الأساسي والتصميم الجذري لعمليات الأعمال لتحقيق تحسينات كبيرة في مقاييس الأداء الحاسمة والمعاصرة. كما يشير</w:t>
      </w:r>
      <w:r w:rsidRPr="00C12376">
        <w:rPr>
          <w:rFonts w:ascii="Simplified Arabic" w:hAnsi="Simplified Arabic" w:cs="Simplified Arabic"/>
          <w:sz w:val="28"/>
          <w:szCs w:val="28"/>
        </w:rPr>
        <w:t xml:space="preserve"> Al-Anqoudi et al. (2021) </w:t>
      </w:r>
      <w:r w:rsidRPr="00C12376">
        <w:rPr>
          <w:rFonts w:ascii="Simplified Arabic" w:hAnsi="Simplified Arabic" w:cs="Simplified Arabic"/>
          <w:sz w:val="28"/>
          <w:szCs w:val="28"/>
          <w:rtl/>
        </w:rPr>
        <w:t>إلى أن إعادة الهندسة تمثل نهجاً استراتيجياً يهدف إلى إعادة تصميم العمليات الأساسية لتحقيق قفزات نوعية في الأداء</w:t>
      </w:r>
      <w:r w:rsidRPr="00C12376">
        <w:rPr>
          <w:rFonts w:ascii="Simplified Arabic" w:hAnsi="Simplified Arabic" w:cs="Simplified Arabic"/>
          <w:sz w:val="28"/>
          <w:szCs w:val="28"/>
        </w:rPr>
        <w:t>.</w:t>
      </w:r>
    </w:p>
    <w:p w14:paraId="71BC8368" w14:textId="75716B3A"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النشأة والتطور التاريخي لمفهوم إعادة الهندسة</w:t>
      </w:r>
    </w:p>
    <w:p w14:paraId="680A1FCB"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ظهر مفهوم إعادة هندسة العمليات الإدارية في أوائل التسعينيات من القرن الماضي كاستجابة للتحديات الكبيرة التي واجهتها المؤسسات في ظل التغيرات السريعة في بيئة الأعمال العالمية. وقد ارتبط ظهور هذا المفهوم بالثورة التكنولوجية وظهور تقنيات المعلومات والاتصالات التي أتاحت فرصاً جديدة لإعادة التفكير في طرق إنجاز الأعمال (جبريل، 2020)</w:t>
      </w:r>
      <w:r w:rsidRPr="00C12376">
        <w:rPr>
          <w:rFonts w:ascii="Simplified Arabic" w:hAnsi="Simplified Arabic" w:cs="Simplified Arabic"/>
          <w:sz w:val="28"/>
          <w:szCs w:val="28"/>
        </w:rPr>
        <w:t>.</w:t>
      </w:r>
    </w:p>
    <w:p w14:paraId="6772A80E"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وقد شكلت أعمال الباحثين الأمريكيين في مطلع التسعينيات الأساس النظري لمفهوم إعادة الهندسة، حيث قدموا إطاراً منهجياً لإعادة التفكير الجذري في العمليات التنظيمية. وقد انتشر هذا المفهوم بسرعة في الأوساط الأكاديمية والعملية نظراً للنتائج الإيجابية التي حققتها المؤسسات الرائدة التي تبنت هذا المدخل (زخروف وخليفة، 2022)</w:t>
      </w:r>
      <w:r w:rsidRPr="00C12376">
        <w:rPr>
          <w:rFonts w:ascii="Simplified Arabic" w:hAnsi="Simplified Arabic" w:cs="Simplified Arabic"/>
          <w:sz w:val="28"/>
          <w:szCs w:val="28"/>
        </w:rPr>
        <w:t>.</w:t>
      </w:r>
    </w:p>
    <w:p w14:paraId="34A5FDD9"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وفي العالم العربي، بدأ الاهتمام بمفهوم إعادة الهندسة في منتصف التسعينيات، حيث سعت العديد من المؤسسات العربية إلى تطبيق هذا المدخل لتحسين أدائها ومواكبة التطورات العالمية. وقد </w:t>
      </w:r>
      <w:r w:rsidRPr="00C12376">
        <w:rPr>
          <w:rFonts w:ascii="Simplified Arabic" w:hAnsi="Simplified Arabic" w:cs="Simplified Arabic"/>
          <w:sz w:val="28"/>
          <w:szCs w:val="28"/>
          <w:rtl/>
        </w:rPr>
        <w:lastRenderedPageBreak/>
        <w:t>تزايد الاهتمام بهذا المفهوم خاصة في القطاعات الخدمية والحكومية التي كانت بحاجة ماسة إلى تطوير عملياتها وتحسين جودة خدماتها (شيخ ديب وناطور، 2022)</w:t>
      </w:r>
      <w:r w:rsidRPr="00C12376">
        <w:rPr>
          <w:rFonts w:ascii="Simplified Arabic" w:hAnsi="Simplified Arabic" w:cs="Simplified Arabic"/>
          <w:sz w:val="28"/>
          <w:szCs w:val="28"/>
        </w:rPr>
        <w:t>.</w:t>
      </w:r>
    </w:p>
    <w:p w14:paraId="5F0842B9"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ويلاحظ علوان وطلوش (2020) أن مفهوم إعادة الهندسة قد تطور عبر الزمن ليشمل مجالات متعددة، حيث لم يعد مقتصراً على القطاع الخاص وإنما امتد ليشمل المؤسسات الحكومية والتعليمية والصحية وغيرها. كما تطور المفهوم ليركز ليس فقط على تحسين الكفاءة التشغيلية، وإنما أيضاً على تحقيق الميزة التنافسية والابتكار والاستدامة</w:t>
      </w:r>
      <w:r w:rsidRPr="00C12376">
        <w:rPr>
          <w:rFonts w:ascii="Simplified Arabic" w:hAnsi="Simplified Arabic" w:cs="Simplified Arabic"/>
          <w:sz w:val="28"/>
          <w:szCs w:val="28"/>
        </w:rPr>
        <w:t>.</w:t>
      </w:r>
    </w:p>
    <w:p w14:paraId="5AF4ABB1"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وقد أشار اسحق (2020) إلى أن التطور التكنولوجي المتسارع، خاصة في مجال تكنولوجيا المعلومات والاتصالات، ساهم بشكل كبير في تطور مفهوم إعادة الهندسة وتوسيع نطاق تطبيقاته. فالتقنيات الحديثة مثل الحوسبة السحابية، والذكاء الاصطناعي، وإنترنت الأشياء، والبيانات الضخمة، أتاحت فرصاً غير مسبوقة لإعادة تصميم العمليات بطرق أكثر كفاءة وفعالية</w:t>
      </w:r>
      <w:r w:rsidRPr="00C12376">
        <w:rPr>
          <w:rFonts w:ascii="Simplified Arabic" w:hAnsi="Simplified Arabic" w:cs="Simplified Arabic"/>
          <w:sz w:val="28"/>
          <w:szCs w:val="28"/>
        </w:rPr>
        <w:t>.</w:t>
      </w:r>
    </w:p>
    <w:p w14:paraId="776B8222"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ويذكر صلاح الدين (2020) أن مفهوم إعادة الهندسة مر بعدة مراحل تطورية، بدءاً من المرحلة الأولى التي ركزت على تخفيض التكاليف وتحسين الكفاءة التشغيلية، مروراً بالمرحلة الثانية التي اهتمت بتحسين جودة الخدمات ورضا العملاء، وصولاً إلى المرحلة الحالية التي تركز على الابتكار والتحول الرقمي والتنمية المستدامة</w:t>
      </w:r>
      <w:r w:rsidRPr="00C12376">
        <w:rPr>
          <w:rFonts w:ascii="Simplified Arabic" w:hAnsi="Simplified Arabic" w:cs="Simplified Arabic"/>
          <w:sz w:val="28"/>
          <w:szCs w:val="28"/>
        </w:rPr>
        <w:t>.</w:t>
      </w:r>
    </w:p>
    <w:p w14:paraId="726C5493"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أشارت عليو (2020) إلى أن الممارسات العالمية في مجال إعادة الهندسة أظهرت تطوراً ملحوظاً في المداخل والأساليب المستخدمة، حيث انتقلت المؤسسات من التطبيق الجزئي لإعادة الهندسة إلى التطبيق الشامل الذي يغطي جميع جوانب العمل المؤسسي. كما تطورت الأدوات والتقنيات المستخدمة في إعادة الهندسة لتشمل أدوات النمذجة والمحاكاة والتحليل المتقدم</w:t>
      </w:r>
      <w:r w:rsidRPr="00C12376">
        <w:rPr>
          <w:rFonts w:ascii="Simplified Arabic" w:hAnsi="Simplified Arabic" w:cs="Simplified Arabic"/>
          <w:sz w:val="28"/>
          <w:szCs w:val="28"/>
        </w:rPr>
        <w:t>.</w:t>
      </w:r>
    </w:p>
    <w:p w14:paraId="40F57FEB"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السياق الدولي، يشير</w:t>
      </w:r>
      <w:r w:rsidRPr="00C12376">
        <w:rPr>
          <w:rFonts w:ascii="Simplified Arabic" w:hAnsi="Simplified Arabic" w:cs="Simplified Arabic"/>
          <w:sz w:val="28"/>
          <w:szCs w:val="28"/>
        </w:rPr>
        <w:t xml:space="preserve"> Al-Mawdieh (2020) </w:t>
      </w:r>
      <w:r w:rsidRPr="00C12376">
        <w:rPr>
          <w:rFonts w:ascii="Simplified Arabic" w:hAnsi="Simplified Arabic" w:cs="Simplified Arabic"/>
          <w:sz w:val="28"/>
          <w:szCs w:val="28"/>
          <w:rtl/>
        </w:rPr>
        <w:t>إلى أن مفهوم إعادة هندسة العمليات شهد تطوراً كبيراً في السنوات الأخيرة، حيث أصبح يركز بشكل أكبر على البعد الإنساني والتنظيمي بالإضافة إلى البعد التقني. كما يؤكد</w:t>
      </w:r>
      <w:r w:rsidRPr="00C12376">
        <w:rPr>
          <w:rFonts w:ascii="Simplified Arabic" w:hAnsi="Simplified Arabic" w:cs="Simplified Arabic"/>
          <w:sz w:val="28"/>
          <w:szCs w:val="28"/>
        </w:rPr>
        <w:t xml:space="preserve"> </w:t>
      </w:r>
      <w:bookmarkStart w:id="2" w:name="_Hlk213808284"/>
      <w:r w:rsidRPr="00C12376">
        <w:rPr>
          <w:rFonts w:ascii="Simplified Arabic" w:hAnsi="Simplified Arabic" w:cs="Simplified Arabic"/>
          <w:sz w:val="28"/>
          <w:szCs w:val="28"/>
        </w:rPr>
        <w:t>Battilani et al. (2022)</w:t>
      </w:r>
      <w:bookmarkEnd w:id="2"/>
      <w:r w:rsidRPr="00C12376">
        <w:rPr>
          <w:rFonts w:ascii="Simplified Arabic" w:hAnsi="Simplified Arabic" w:cs="Simplified Arabic"/>
          <w:sz w:val="28"/>
          <w:szCs w:val="28"/>
        </w:rPr>
        <w:t xml:space="preserve"> </w:t>
      </w:r>
      <w:r w:rsidRPr="00C12376">
        <w:rPr>
          <w:rFonts w:ascii="Simplified Arabic" w:hAnsi="Simplified Arabic" w:cs="Simplified Arabic"/>
          <w:sz w:val="28"/>
          <w:szCs w:val="28"/>
          <w:rtl/>
        </w:rPr>
        <w:t xml:space="preserve">على أن تطبيق إعادة الهندسة في </w:t>
      </w:r>
      <w:r w:rsidRPr="00C12376">
        <w:rPr>
          <w:rFonts w:ascii="Simplified Arabic" w:hAnsi="Simplified Arabic" w:cs="Simplified Arabic"/>
          <w:sz w:val="28"/>
          <w:szCs w:val="28"/>
          <w:rtl/>
        </w:rPr>
        <w:lastRenderedPageBreak/>
        <w:t>القطاع العام شهد نمواً ملحوظاً في السنوات الأخيرة، خاصة في ظل التوجه نحو الحكومة الإلكترونية وتحسين جودة الخدمات العامة</w:t>
      </w:r>
      <w:r w:rsidRPr="00C12376">
        <w:rPr>
          <w:rFonts w:ascii="Simplified Arabic" w:hAnsi="Simplified Arabic" w:cs="Simplified Arabic"/>
          <w:sz w:val="28"/>
          <w:szCs w:val="28"/>
        </w:rPr>
        <w:t>.</w:t>
      </w:r>
    </w:p>
    <w:p w14:paraId="25391F3B" w14:textId="0A156400"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أهداف إعادة الهندسة الإدارية ومبادئها الأساسية</w:t>
      </w:r>
    </w:p>
    <w:p w14:paraId="361FB7E2" w14:textId="52ED13E9"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تسعى المؤسسات من خلال تطبيق إعادة هندسة العمليات الإدارية إلى تحقيق مجموعة من الأهداف الإستراتيجية التي تعزز من قدرتها التنافسية وتحسن من أدائها المؤسسي. ويشير أبو جهين (2020) إلى أن الهدف الرئيسي من إعادة الهندسة هو تحقيق تحسينات جذرية وجوهرية في الأداء التنظيمي، وليس مجرد تحسينات تدريجية أو هامشية</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ومن أبرز أهداف إعادة الهندسة الإدارية ما يلي</w:t>
      </w:r>
      <w:r w:rsidRPr="00C12376">
        <w:rPr>
          <w:rFonts w:ascii="Simplified Arabic" w:hAnsi="Simplified Arabic" w:cs="Simplified Arabic"/>
          <w:sz w:val="28"/>
          <w:szCs w:val="28"/>
        </w:rPr>
        <w:t>:</w:t>
      </w:r>
    </w:p>
    <w:p w14:paraId="79DE1976" w14:textId="4919D533"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تخفيض التكاليف التشغيلية، حيث تهدف إعادة الهندسة إلى إلغاء الأنشطة غير الضرورية والمكررة، وتبسيط الإجراءات، وتقليل الهدر في الموارد، مما يؤدي إلى تخفيض التكاليف بشكل ملموس. وفي هذا الصدد، يؤكد العرادة (2024) على أن إعادة هندسة العمليات تساهم بشكل فعال في تحقيق التحسين المستمر وتخفيض التكاليف من خلال إعادة تصميم العمليات بشكل أكثر كفاءة</w:t>
      </w:r>
      <w:r w:rsidRPr="00C12376">
        <w:rPr>
          <w:rFonts w:ascii="Simplified Arabic" w:hAnsi="Simplified Arabic" w:cs="Simplified Arabic"/>
          <w:sz w:val="28"/>
          <w:szCs w:val="28"/>
        </w:rPr>
        <w:t>.</w:t>
      </w:r>
    </w:p>
    <w:p w14:paraId="5883C531" w14:textId="7F14D493"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تحسين جودة المنتجات والخدمات المقدمة للعملاء، وذلك من خلال إعادة تصميم العمليات بما يضمن تحقيق معايير الجودة العالية وتلبية توقعات العملاء بل وتجاوزها. وقد أوضح خضر (2022) أن إعادة الهندسة تساهم في تحقيق استراتيجيات التسويق الأخضر من خلال تحسين جودة المنتجات وتطوير منتجات صديقة للبيئة</w:t>
      </w:r>
      <w:r w:rsidRPr="00C12376">
        <w:rPr>
          <w:rFonts w:ascii="Simplified Arabic" w:hAnsi="Simplified Arabic" w:cs="Simplified Arabic"/>
          <w:sz w:val="28"/>
          <w:szCs w:val="28"/>
        </w:rPr>
        <w:t>.</w:t>
      </w:r>
    </w:p>
    <w:p w14:paraId="5230D66C" w14:textId="5D2BFD71"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تسريع وقت إنجاز الخدمات والعمليات، حيث تهدف إعادة الهندسة إلى تقليص دورة الوقت اللازمة لإتمام العمليات من خلال إلغاء الخطوات غير الضرورية ودمج الأنشطة وتطبيق التكنولوجيا الحديثة. ويشير القرشي والسلمي (2022) إلى أن تطبيق إعادة الهندسة في المنظمات الحكومية يساهم في تسريع إنجاز المعاملات وتحسين مستوى الخدمات المقدمة للمواطنين</w:t>
      </w:r>
      <w:r w:rsidRPr="00C12376">
        <w:rPr>
          <w:rFonts w:ascii="Simplified Arabic" w:hAnsi="Simplified Arabic" w:cs="Simplified Arabic"/>
          <w:sz w:val="28"/>
          <w:szCs w:val="28"/>
        </w:rPr>
        <w:t>.</w:t>
      </w:r>
    </w:p>
    <w:p w14:paraId="369EBD1C" w14:textId="7BA6C392"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تعزيز رضا العملاء من خلال تقديم خدمات أفضل وأسرع وأكثر دقة، مما يؤدي إلى زيادة ولاء العملاء وتحسين سمعة المؤسسة. وقد أكدت الدراسات على أهمية التركيز على احتياجات العملاء كهدف أساسي من أهداف إعادة الهندسة</w:t>
      </w:r>
      <w:r w:rsidRPr="00C12376">
        <w:rPr>
          <w:rFonts w:ascii="Simplified Arabic" w:hAnsi="Simplified Arabic" w:cs="Simplified Arabic"/>
          <w:sz w:val="28"/>
          <w:szCs w:val="28"/>
        </w:rPr>
        <w:t>.</w:t>
      </w:r>
    </w:p>
    <w:p w14:paraId="02C9A6C7" w14:textId="47A9AAFB"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تحقيق الميزة التنافسية المستدامة من خلال تطوير قدرات المؤسسة وتحسين مرونتها وسرعة استجابتها للتغيرات في بيئة الأعمال. ويؤكد السماك (2021) على أن إعادة هندسة العمليات تساهم في تبني أبعاد الابتكار الأخضر وتحقيق التميز التنافسي</w:t>
      </w:r>
      <w:r w:rsidRPr="00C12376">
        <w:rPr>
          <w:rFonts w:ascii="Simplified Arabic" w:hAnsi="Simplified Arabic" w:cs="Simplified Arabic"/>
          <w:sz w:val="28"/>
          <w:szCs w:val="28"/>
        </w:rPr>
        <w:t>.</w:t>
      </w:r>
    </w:p>
    <w:p w14:paraId="0D0FDE56" w14:textId="53112B3C"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تحسين استغلال الموارد البشرية والمادية والمالية، وذلك من خلال إعادة توزيع الموارد بشكل أمثل يتناسب مع متطلبات العمليات المعاد هندستها. وهذا يساهم في تعظيم العائد على الاستثمار في الموارد المتاحة</w:t>
      </w:r>
      <w:r w:rsidRPr="00C12376">
        <w:rPr>
          <w:rFonts w:ascii="Simplified Arabic" w:hAnsi="Simplified Arabic" w:cs="Simplified Arabic"/>
          <w:sz w:val="28"/>
          <w:szCs w:val="28"/>
        </w:rPr>
        <w:t>.</w:t>
      </w:r>
    </w:p>
    <w:p w14:paraId="34D14C02" w14:textId="54B484A6" w:rsidR="00C12376" w:rsidRPr="00C12376" w:rsidRDefault="00C12376" w:rsidP="00C12376">
      <w:pPr>
        <w:pStyle w:val="ListParagraph"/>
        <w:numPr>
          <w:ilvl w:val="0"/>
          <w:numId w:val="5"/>
        </w:numPr>
        <w:tabs>
          <w:tab w:val="right" w:pos="1260"/>
        </w:tabs>
        <w:bidi/>
        <w:spacing w:after="0"/>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تطوير قدرات العاملين ومهاراتهم من خلال تدريبهم على الأساليب والتقنيات الجديدة، وتمكينهم من المشاركة الفعالة في عمليات التحسين والتطوير. وهذا يساهم في بناء ثقافة مؤسسية تدعم التميز والابتكار</w:t>
      </w:r>
      <w:r w:rsidRPr="00C12376">
        <w:rPr>
          <w:rFonts w:ascii="Simplified Arabic" w:hAnsi="Simplified Arabic" w:cs="Simplified Arabic"/>
          <w:sz w:val="28"/>
          <w:szCs w:val="28"/>
        </w:rPr>
        <w:t>.</w:t>
      </w:r>
    </w:p>
    <w:p w14:paraId="5C5DAD20" w14:textId="482E759D" w:rsidR="00C12376" w:rsidRPr="00C12376" w:rsidRDefault="00C12376" w:rsidP="00C12376">
      <w:pPr>
        <w:pStyle w:val="ListParagraph"/>
        <w:numPr>
          <w:ilvl w:val="0"/>
          <w:numId w:val="4"/>
        </w:numPr>
        <w:bidi/>
        <w:spacing w:before="240"/>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المبادئ الأساسية لإعادة الهندسة الإدارية</w:t>
      </w:r>
    </w:p>
    <w:p w14:paraId="10C78F5D" w14:textId="06163984" w:rsidR="00C12376" w:rsidRPr="00C12376" w:rsidRDefault="00C12376" w:rsidP="00C12376">
      <w:pPr>
        <w:bidi/>
        <w:ind w:firstLine="720"/>
        <w:jc w:val="both"/>
        <w:rPr>
          <w:rFonts w:ascii="Simplified Arabic" w:hAnsi="Simplified Arabic" w:cs="Simplified Arabic"/>
          <w:sz w:val="28"/>
          <w:szCs w:val="28"/>
          <w:lang w:bidi="ar-EG"/>
        </w:rPr>
      </w:pPr>
      <w:r w:rsidRPr="00C12376">
        <w:rPr>
          <w:rFonts w:ascii="Simplified Arabic" w:hAnsi="Simplified Arabic" w:cs="Simplified Arabic"/>
          <w:sz w:val="28"/>
          <w:szCs w:val="28"/>
          <w:rtl/>
        </w:rPr>
        <w:t>تقوم إعادة هندسة العمليات الإدارية على مجموعة من المبادئ الأساسية التي توجه عملية التصميم والتنفيذ. ويمكن تلخيص أهم هذه المبادئ كما يلي</w:t>
      </w:r>
      <w:r w:rsidRPr="00C12376">
        <w:rPr>
          <w:rFonts w:ascii="Simplified Arabic" w:hAnsi="Simplified Arabic" w:cs="Simplified Arabic"/>
          <w:sz w:val="28"/>
          <w:szCs w:val="28"/>
        </w:rPr>
        <w:t>Battilani et al.</w:t>
      </w:r>
      <w:r>
        <w:rPr>
          <w:rFonts w:ascii="Simplified Arabic" w:hAnsi="Simplified Arabic" w:cs="Simplified Arabic"/>
          <w:sz w:val="28"/>
          <w:szCs w:val="28"/>
        </w:rPr>
        <w:t>,</w:t>
      </w:r>
      <w:r w:rsidRPr="00C12376">
        <w:rPr>
          <w:rFonts w:ascii="Simplified Arabic" w:hAnsi="Simplified Arabic" w:cs="Simplified Arabic"/>
          <w:sz w:val="28"/>
          <w:szCs w:val="28"/>
        </w:rPr>
        <w:t>2022)</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w:t>
      </w:r>
    </w:p>
    <w:p w14:paraId="52D39FC7" w14:textId="4F28549F"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التفكير الجذري والشامل، حيث تتطلب إعادة الهندسة الاستعداد للتخلي عن الافتراضات والممارسات التقليدية والبدء من نقطة الصفر في التفكير حول كيفية إنجاز العمل. وهذا يعني التحرر من القيود الذهنية والتنظيمية التقليدية والبحث عن حلول إبداعية جديدة</w:t>
      </w:r>
      <w:r w:rsidRPr="00C12376">
        <w:rPr>
          <w:rFonts w:ascii="Simplified Arabic" w:hAnsi="Simplified Arabic" w:cs="Simplified Arabic"/>
          <w:sz w:val="28"/>
          <w:szCs w:val="28"/>
        </w:rPr>
        <w:t>.</w:t>
      </w:r>
    </w:p>
    <w:p w14:paraId="1BA56997" w14:textId="594347C7"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التركيز على العمليات وليس على الوظائف، حيث تنظر إعادة الهندسة إلى المؤسسة على أنها مجموعة من العمليات المترابطة التي تحقق قيمة للعملاء، وليس مجرد مجموعة من الأقسام والوظائف المنفصلة. وهذا يتطلب إعادة تصميم العمليات بشكل أفقي عبر الحدود التنظيمية التقليدية</w:t>
      </w:r>
      <w:r w:rsidRPr="00C12376">
        <w:rPr>
          <w:rFonts w:ascii="Simplified Arabic" w:hAnsi="Simplified Arabic" w:cs="Simplified Arabic"/>
          <w:sz w:val="28"/>
          <w:szCs w:val="28"/>
        </w:rPr>
        <w:t>.</w:t>
      </w:r>
    </w:p>
    <w:p w14:paraId="33D08698" w14:textId="05258C57"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التوجه نحو العملاء، حيث يجب أن تبدأ إعادة الهندسة من فهم عميق لاحتياجات العملاء وتوقعاتهم، وأن تكون جميع العمليات موجهة نحو تحقيق قيمة مضافة للعملاء. وهذا يتطلب إشراك العملاء في عملية تصميم العمليات الجديدة</w:t>
      </w:r>
      <w:r w:rsidRPr="00C12376">
        <w:rPr>
          <w:rFonts w:ascii="Simplified Arabic" w:hAnsi="Simplified Arabic" w:cs="Simplified Arabic"/>
          <w:sz w:val="28"/>
          <w:szCs w:val="28"/>
        </w:rPr>
        <w:t>.</w:t>
      </w:r>
    </w:p>
    <w:p w14:paraId="61C84CA9" w14:textId="0C85A06D"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الاستفادة من التكنولوجيا الحديثة، حيث تعتبر التكنولوجيا أداة أساسية لتمكين إعادة تصميم العمليات بطرق جديدة لم تكن ممكنة في السابق. ويجب استخدام التكنولوجيا كمحرك للابتكار وليس فقط لأتمتة العمليات القائمة. ويشير</w:t>
      </w:r>
      <w:r w:rsidRPr="00C12376">
        <w:rPr>
          <w:rFonts w:ascii="Simplified Arabic" w:hAnsi="Simplified Arabic" w:cs="Simplified Arabic"/>
          <w:sz w:val="28"/>
          <w:szCs w:val="28"/>
        </w:rPr>
        <w:t xml:space="preserve"> Kumar (2024) </w:t>
      </w:r>
      <w:r w:rsidRPr="00C12376">
        <w:rPr>
          <w:rFonts w:ascii="Simplified Arabic" w:hAnsi="Simplified Arabic" w:cs="Simplified Arabic"/>
          <w:sz w:val="28"/>
          <w:szCs w:val="28"/>
          <w:rtl/>
        </w:rPr>
        <w:t>إلى أهمية الأتمتة المدفوعة بالذكاء الاصطناعي في تعزيز كفاءة ودقة العمليات الإدارية</w:t>
      </w:r>
      <w:r w:rsidRPr="00C12376">
        <w:rPr>
          <w:rFonts w:ascii="Simplified Arabic" w:hAnsi="Simplified Arabic" w:cs="Simplified Arabic"/>
          <w:sz w:val="28"/>
          <w:szCs w:val="28"/>
        </w:rPr>
        <w:t>.</w:t>
      </w:r>
    </w:p>
    <w:p w14:paraId="5C31C842" w14:textId="7D683FA0"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التمكين والمشاركة، حيث يتطلب نجاح إعادة الهندسة تمكين العاملين ومنحهم الصلاحيات اللازمة لاتخاذ القرارات وحل المشكلات. كما يتطلب إشراكهم في عملية التصميم والتنفيذ لضمان التزامهم ودعمهم للتغيير</w:t>
      </w:r>
      <w:r w:rsidRPr="00C12376">
        <w:rPr>
          <w:rFonts w:ascii="Simplified Arabic" w:hAnsi="Simplified Arabic" w:cs="Simplified Arabic"/>
          <w:sz w:val="28"/>
          <w:szCs w:val="28"/>
        </w:rPr>
        <w:t>.</w:t>
      </w:r>
    </w:p>
    <w:p w14:paraId="7CDC7626" w14:textId="235DC8A6"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القياس والتقييم المستمر، حيث يجب وضع مؤشرات أداء واضحة وقابلة للقياس لتقييم نتائج إعادة الهندسة ومتابعة التقدم المحرز. وهذا يساعد في تحديد المشكلات مبكراً واتخاذ الإجراءات التصحيحية اللازمة</w:t>
      </w:r>
      <w:r w:rsidRPr="00C12376">
        <w:rPr>
          <w:rFonts w:ascii="Simplified Arabic" w:hAnsi="Simplified Arabic" w:cs="Simplified Arabic"/>
          <w:sz w:val="28"/>
          <w:szCs w:val="28"/>
        </w:rPr>
        <w:t>.</w:t>
      </w:r>
    </w:p>
    <w:p w14:paraId="30AD7868" w14:textId="5FE754F4"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التحسين المستمر، حيث لا تنتهي إعادة الهندسة بمجرد تنفيذ التصميم الجديد، وإنما تتطلب متابعة مستمرة وتحسينات إضافية بناءً على التغذية الراجعة والتعلم من التجربة</w:t>
      </w:r>
      <w:r w:rsidRPr="00C12376">
        <w:rPr>
          <w:rFonts w:ascii="Simplified Arabic" w:hAnsi="Simplified Arabic" w:cs="Simplified Arabic"/>
          <w:sz w:val="28"/>
          <w:szCs w:val="28"/>
        </w:rPr>
        <w:t>.</w:t>
      </w:r>
    </w:p>
    <w:p w14:paraId="09F0F724" w14:textId="4DE80C92"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مراحل إعادة الهندسة الإدارية</w:t>
      </w:r>
    </w:p>
    <w:p w14:paraId="7C45CCE2"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يتطلب تطبيق إعادة هندسة العمليات الإدارية المرور بمجموعة من المراحل المنهجية والمترابطة لضمان نجاح عملية التغيير وتحقيق الأهداف المرجوة. وقد حدد الباحثون عدة نماذج لمراحل إعادة الهندسة، وإن كانت جميعها تتفق في الخطوط العريضة</w:t>
      </w:r>
      <w:r w:rsidRPr="00C12376">
        <w:rPr>
          <w:rFonts w:ascii="Simplified Arabic" w:hAnsi="Simplified Arabic" w:cs="Simplified Arabic"/>
          <w:sz w:val="28"/>
          <w:szCs w:val="28"/>
        </w:rPr>
        <w:t>.</w:t>
      </w:r>
    </w:p>
    <w:p w14:paraId="1CD1EBC5"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الأولى: مرحلة التحليل والتشخيص</w:t>
      </w:r>
    </w:p>
    <w:p w14:paraId="31564B33" w14:textId="38209714"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تمثل هذه المرحلة نقطة البداية في عملية إعادة الهندسة، حيث يتم فيها إجراء تحليل شامل للوضع الحالي للمؤسسة وعملياتها. ويشير</w:t>
      </w:r>
      <w:r w:rsidRPr="00C12376">
        <w:rPr>
          <w:rFonts w:ascii="Simplified Arabic" w:hAnsi="Simplified Arabic" w:cs="Simplified Arabic"/>
          <w:sz w:val="28"/>
          <w:szCs w:val="28"/>
        </w:rPr>
        <w:t xml:space="preserve"> Catursari et al. (2023) </w:t>
      </w:r>
      <w:r w:rsidRPr="00C12376">
        <w:rPr>
          <w:rFonts w:ascii="Simplified Arabic" w:hAnsi="Simplified Arabic" w:cs="Simplified Arabic"/>
          <w:sz w:val="28"/>
          <w:szCs w:val="28"/>
          <w:rtl/>
        </w:rPr>
        <w:t xml:space="preserve">إلى أن هذه المرحلة تتضمن </w:t>
      </w:r>
      <w:r w:rsidRPr="00C12376">
        <w:rPr>
          <w:rFonts w:ascii="Simplified Arabic" w:hAnsi="Simplified Arabic" w:cs="Simplified Arabic"/>
          <w:sz w:val="28"/>
          <w:szCs w:val="28"/>
          <w:rtl/>
        </w:rPr>
        <w:lastRenderedPageBreak/>
        <w:t>تحديد العمليات الحرجة التي تحتاج إلى إعادة هندسة، وفهم المشكلات والتحديات القائمة، وتحليل الأداء الحالي</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وتشمل هذه المرحلة عدة خطوات أساسية</w:t>
      </w:r>
      <w:r w:rsidRPr="00C12376">
        <w:rPr>
          <w:rFonts w:ascii="Simplified Arabic" w:hAnsi="Simplified Arabic" w:cs="Simplified Arabic"/>
          <w:sz w:val="28"/>
          <w:szCs w:val="28"/>
        </w:rPr>
        <w:t>:</w:t>
      </w:r>
    </w:p>
    <w:p w14:paraId="6345F37D" w14:textId="77777777" w:rsidR="009D77E8"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تحديد الرؤية والأهداف الإستراتيجية لإعادة الهندسة، حيث يجب أن تكون هناك رؤية واضحة لما تريد المؤسسة تحقيقه من خلال إعادة الهندسة. </w:t>
      </w:r>
    </w:p>
    <w:p w14:paraId="568FB1AD" w14:textId="30666538" w:rsidR="00C12376" w:rsidRPr="00C12376" w:rsidRDefault="00C12376" w:rsidP="009D77E8">
      <w:pPr>
        <w:pStyle w:val="ListParagraph"/>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ويؤكد</w:t>
      </w:r>
      <w:r w:rsidRPr="00C12376">
        <w:rPr>
          <w:rFonts w:ascii="Simplified Arabic" w:hAnsi="Simplified Arabic" w:cs="Simplified Arabic"/>
          <w:sz w:val="28"/>
          <w:szCs w:val="28"/>
        </w:rPr>
        <w:t xml:space="preserve"> Chandra Puspita &amp; Unisri (2022) </w:t>
      </w:r>
      <w:r w:rsidRPr="00C12376">
        <w:rPr>
          <w:rFonts w:ascii="Simplified Arabic" w:hAnsi="Simplified Arabic" w:cs="Simplified Arabic"/>
          <w:sz w:val="28"/>
          <w:szCs w:val="28"/>
          <w:rtl/>
        </w:rPr>
        <w:t>على أهمية ربط مشروع إعادة الهندسة بالأهداف الإستراتيجية للمؤسسة</w:t>
      </w:r>
      <w:r w:rsidRPr="00C12376">
        <w:rPr>
          <w:rFonts w:ascii="Simplified Arabic" w:hAnsi="Simplified Arabic" w:cs="Simplified Arabic"/>
          <w:sz w:val="28"/>
          <w:szCs w:val="28"/>
        </w:rPr>
        <w:t>.</w:t>
      </w:r>
    </w:p>
    <w:p w14:paraId="61A024FE" w14:textId="110C64A9"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تحديد العمليات المراد إعادة هندستها، حيث لا يمكن عملياً إعادة هندسة جميع العمليات في وقت واحد، لذلك يجب تحديد العمليات ذات الأولوية بناءً على معايير محددة مثل التأثير على رضا العملاء، وإمكانية التحسين، والأهمية الإستراتيجية</w:t>
      </w:r>
      <w:r w:rsidRPr="00C12376">
        <w:rPr>
          <w:rFonts w:ascii="Simplified Arabic" w:hAnsi="Simplified Arabic" w:cs="Simplified Arabic"/>
          <w:sz w:val="28"/>
          <w:szCs w:val="28"/>
        </w:rPr>
        <w:t>.</w:t>
      </w:r>
    </w:p>
    <w:p w14:paraId="57B81ABC" w14:textId="237E62D1"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توثيق العمليات الحالية وفهم كيفية عملها، وذلك من خلال رسم خرائط العمليات وتحديد الأنشطة والمهام والمسؤوليات والتدفقات. ويساعد هذا في فهم المشكلات والاختناقات الموجودة</w:t>
      </w:r>
      <w:r w:rsidRPr="00C12376">
        <w:rPr>
          <w:rFonts w:ascii="Simplified Arabic" w:hAnsi="Simplified Arabic" w:cs="Simplified Arabic"/>
          <w:sz w:val="28"/>
          <w:szCs w:val="28"/>
        </w:rPr>
        <w:t>.</w:t>
      </w:r>
    </w:p>
    <w:p w14:paraId="4CE67ECE" w14:textId="42A1A0FA"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تحليل الأداء الحالي للعمليات من حيث الوقت والتكلفة والجودة ورضا العملاء، وذلك لتحديد الفجوات والمجالات التي تحتاج إلى تحسين. ويتطلب ذلك جمع البيانات وإجراء القياسات اللازمة</w:t>
      </w:r>
      <w:r w:rsidRPr="00C12376">
        <w:rPr>
          <w:rFonts w:ascii="Simplified Arabic" w:hAnsi="Simplified Arabic" w:cs="Simplified Arabic"/>
          <w:sz w:val="28"/>
          <w:szCs w:val="28"/>
        </w:rPr>
        <w:t>.</w:t>
      </w:r>
    </w:p>
    <w:p w14:paraId="419B7CE0" w14:textId="4DA96160"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تحديد الأسباب الجذرية للمشكلات والقيود الموجودة، سواء كانت تنظيمية أو تقنية أو ثقافية. ويساعد هذا في تصميم حلول تعالج الأسباب وليس فقط الأعراض</w:t>
      </w:r>
      <w:r w:rsidRPr="00C12376">
        <w:rPr>
          <w:rFonts w:ascii="Simplified Arabic" w:hAnsi="Simplified Arabic" w:cs="Simplified Arabic"/>
          <w:sz w:val="28"/>
          <w:szCs w:val="28"/>
        </w:rPr>
        <w:t>.</w:t>
      </w:r>
    </w:p>
    <w:p w14:paraId="051287A1"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الثانية: مرحلة التصميم</w:t>
      </w:r>
    </w:p>
    <w:p w14:paraId="4E9D581D" w14:textId="4F8DBA15"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بعد إتمام التحليل والتشخيص، تبدأ مرحلة التصميم التي تعد القلب النابض لعملية إعادة الهندسة. وفي هذه المرحلة، يتم إعادة تصميم العمليات من الصفر بطريقة جذرية تحقق الأهداف المنشودة. ويشير</w:t>
      </w:r>
      <w:r w:rsidRPr="00C12376">
        <w:rPr>
          <w:rFonts w:ascii="Simplified Arabic" w:hAnsi="Simplified Arabic" w:cs="Simplified Arabic"/>
          <w:sz w:val="28"/>
          <w:szCs w:val="28"/>
        </w:rPr>
        <w:t xml:space="preserve"> Elapatha &amp; Jehan (2020) </w:t>
      </w:r>
      <w:r w:rsidRPr="00C12376">
        <w:rPr>
          <w:rFonts w:ascii="Simplified Arabic" w:hAnsi="Simplified Arabic" w:cs="Simplified Arabic"/>
          <w:sz w:val="28"/>
          <w:szCs w:val="28"/>
          <w:rtl/>
        </w:rPr>
        <w:t>إلى أن هذه المرحلة تتطلب إبداعاً وتفكيراً خارج الصندوق للوصول إلى تصاميم مبتكرة</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وتتضمن هذه المرحلة الخطوات التالية</w:t>
      </w:r>
      <w:r w:rsidRPr="00C12376">
        <w:rPr>
          <w:rFonts w:ascii="Simplified Arabic" w:hAnsi="Simplified Arabic" w:cs="Simplified Arabic"/>
          <w:sz w:val="28"/>
          <w:szCs w:val="28"/>
        </w:rPr>
        <w:t>:</w:t>
      </w:r>
    </w:p>
    <w:p w14:paraId="054A2416" w14:textId="0B28A554"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وضع رؤية للعمليات الجديدة، حيث يتم تصور كيف يجب أن تكون العمليات في حالتها المثالية لتحقيق الأهداف الإستراتيجية وتلبية احتياجات العملاء. ويتطلب ذلك تحديد المخرجات المطلوبة ومعايير الأداء المستهدفة</w:t>
      </w:r>
      <w:r w:rsidRPr="00C12376">
        <w:rPr>
          <w:rFonts w:ascii="Simplified Arabic" w:hAnsi="Simplified Arabic" w:cs="Simplified Arabic"/>
          <w:sz w:val="28"/>
          <w:szCs w:val="28"/>
        </w:rPr>
        <w:t>.</w:t>
      </w:r>
    </w:p>
    <w:p w14:paraId="0857016A" w14:textId="315B37FF"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توليد الأفكار والبدائل المختلفة لتصميم العمليات الجديدة، وذلك من خلال جلسات العصف الذهني والاستفادة من أفضل الممارسات والمقارنات المرجعية. ويجب التركيز على الابتكار والإبداع وعدم الاكتفاء بالحلول التقليدية</w:t>
      </w:r>
      <w:r w:rsidRPr="00C12376">
        <w:rPr>
          <w:rFonts w:ascii="Simplified Arabic" w:hAnsi="Simplified Arabic" w:cs="Simplified Arabic"/>
          <w:sz w:val="28"/>
          <w:szCs w:val="28"/>
        </w:rPr>
        <w:t>.</w:t>
      </w:r>
    </w:p>
    <w:p w14:paraId="0CDDF370" w14:textId="137FF91F"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تقييم البدائل واختيار التصميم الأنسب بناءً على معايير محددة مثل التكلفة، والجدوى، والأثر المتوقع، وسهولة التنفيذ، والمخاطر المرتبطة</w:t>
      </w:r>
      <w:r w:rsidRPr="00C12376">
        <w:rPr>
          <w:rFonts w:ascii="Simplified Arabic" w:hAnsi="Simplified Arabic" w:cs="Simplified Arabic"/>
          <w:sz w:val="28"/>
          <w:szCs w:val="28"/>
        </w:rPr>
        <w:t>.</w:t>
      </w:r>
    </w:p>
    <w:p w14:paraId="39D0BE72" w14:textId="2F84D8AE"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تطوير التصميم التفصيلي للعمليات الجديدة، بما في ذلك تحديد الأنشطة والمهام والأدوار والمسؤوليات، ورسم خرائط العمليات الجديدة، وتحديد التدفقات ونقاط اتخاذ القرار</w:t>
      </w:r>
      <w:r w:rsidRPr="00C12376">
        <w:rPr>
          <w:rFonts w:ascii="Simplified Arabic" w:hAnsi="Simplified Arabic" w:cs="Simplified Arabic"/>
          <w:sz w:val="28"/>
          <w:szCs w:val="28"/>
        </w:rPr>
        <w:t>.</w:t>
      </w:r>
    </w:p>
    <w:p w14:paraId="1826DC14" w14:textId="16794A74"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تصميم البنية التحتية الداعمة، بما في ذلك النظم التقنية، والهيكل التنظيمي، والسياسات والإجراءات، ونظم القياس والحوافز. ويشير</w:t>
      </w:r>
      <w:r w:rsidRPr="00C12376">
        <w:rPr>
          <w:rFonts w:ascii="Simplified Arabic" w:hAnsi="Simplified Arabic" w:cs="Simplified Arabic"/>
          <w:sz w:val="28"/>
          <w:szCs w:val="28"/>
        </w:rPr>
        <w:t xml:space="preserve"> Fatile et al. (2020) </w:t>
      </w:r>
      <w:r w:rsidRPr="00C12376">
        <w:rPr>
          <w:rFonts w:ascii="Simplified Arabic" w:hAnsi="Simplified Arabic" w:cs="Simplified Arabic"/>
          <w:sz w:val="28"/>
          <w:szCs w:val="28"/>
          <w:rtl/>
        </w:rPr>
        <w:t>إلى أهمية التكامل بين جميع هذه العناصر لضمان نجاح التنفيذ</w:t>
      </w:r>
      <w:r w:rsidRPr="00C12376">
        <w:rPr>
          <w:rFonts w:ascii="Simplified Arabic" w:hAnsi="Simplified Arabic" w:cs="Simplified Arabic"/>
          <w:sz w:val="28"/>
          <w:szCs w:val="28"/>
        </w:rPr>
        <w:t>.</w:t>
      </w:r>
    </w:p>
    <w:p w14:paraId="25D5BBBE" w14:textId="462A034E"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إعداد خطط التدريب وإدارة التغيير، حيث يتطلب التصميم الجديد عادة تطوير مهارات جديدة لدى العاملين وتغيير في طريقة عملهم. لذلك يجب وضع خطط شاملة للتدريب والتطوير</w:t>
      </w:r>
      <w:r w:rsidRPr="00C12376">
        <w:rPr>
          <w:rFonts w:ascii="Simplified Arabic" w:hAnsi="Simplified Arabic" w:cs="Simplified Arabic"/>
          <w:sz w:val="28"/>
          <w:szCs w:val="28"/>
        </w:rPr>
        <w:t>.</w:t>
      </w:r>
    </w:p>
    <w:p w14:paraId="13901EA6"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الثالثة: مرحلة التنفيذ</w:t>
      </w:r>
    </w:p>
    <w:p w14:paraId="325503C8" w14:textId="6DAB8694"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تمثل هذه المرحلة تحويل التصميم النظري إلى واقع عملي، وهي مرحلة حرجة تتطلب إدارة دقيقة وعناية فائقة. ويؤكد</w:t>
      </w:r>
      <w:r w:rsidRPr="00C12376">
        <w:rPr>
          <w:rFonts w:ascii="Simplified Arabic" w:hAnsi="Simplified Arabic" w:cs="Simplified Arabic"/>
          <w:sz w:val="28"/>
          <w:szCs w:val="28"/>
        </w:rPr>
        <w:t xml:space="preserve"> Hooda &amp; Singla (2020) </w:t>
      </w:r>
      <w:r w:rsidRPr="00C12376">
        <w:rPr>
          <w:rFonts w:ascii="Simplified Arabic" w:hAnsi="Simplified Arabic" w:cs="Simplified Arabic"/>
          <w:sz w:val="28"/>
          <w:szCs w:val="28"/>
          <w:rtl/>
        </w:rPr>
        <w:t>على أن نجاح التنفيذ يعتمد على التخطيط الجيد والقيادة الفعالة والمتابعة المستمرة</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وتشمل هذه المرحلة الخطوات التالية</w:t>
      </w:r>
      <w:r w:rsidRPr="00C12376">
        <w:rPr>
          <w:rFonts w:ascii="Simplified Arabic" w:hAnsi="Simplified Arabic" w:cs="Simplified Arabic"/>
          <w:sz w:val="28"/>
          <w:szCs w:val="28"/>
        </w:rPr>
        <w:t>:</w:t>
      </w:r>
    </w:p>
    <w:p w14:paraId="027EED9F" w14:textId="6856C38A"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إعداد خطة تنفيذ تفصيلية تحدد الأنشطة والمهام والمسؤوليات والجداول الزمنية والموارد المطلوبة. ويجب أن تكون الخطة واقعية وقابلة للتنفيذ ومرنة بما يكفي للتكيف مع المتغيرات</w:t>
      </w:r>
      <w:r w:rsidRPr="00C12376">
        <w:rPr>
          <w:rFonts w:ascii="Simplified Arabic" w:hAnsi="Simplified Arabic" w:cs="Simplified Arabic"/>
          <w:sz w:val="28"/>
          <w:szCs w:val="28"/>
        </w:rPr>
        <w:t>.</w:t>
      </w:r>
    </w:p>
    <w:p w14:paraId="5A6E97B2" w14:textId="63987500"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تجهيز البنية التحتية اللازمة، بما في ذلك تطوير أو شراء النظم التقنية، وإعداد المرافق، وتوفير المعدات والأدوات اللازمة</w:t>
      </w:r>
      <w:r w:rsidRPr="00C12376">
        <w:rPr>
          <w:rFonts w:ascii="Simplified Arabic" w:hAnsi="Simplified Arabic" w:cs="Simplified Arabic"/>
          <w:sz w:val="28"/>
          <w:szCs w:val="28"/>
        </w:rPr>
        <w:t>.</w:t>
      </w:r>
    </w:p>
    <w:p w14:paraId="5FBE6493" w14:textId="6ACD621B"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تنفيذ برامج التدريب للعاملين لإكسابهم المعارف والمهارات اللازمة للعمل بالعمليات الجديدة. ويجب أن يشمل التدريب الجوانب الفنية والسلوكية</w:t>
      </w:r>
      <w:r w:rsidRPr="00C12376">
        <w:rPr>
          <w:rFonts w:ascii="Simplified Arabic" w:hAnsi="Simplified Arabic" w:cs="Simplified Arabic"/>
          <w:sz w:val="28"/>
          <w:szCs w:val="28"/>
        </w:rPr>
        <w:t>.</w:t>
      </w:r>
    </w:p>
    <w:p w14:paraId="531DCF59" w14:textId="77777777" w:rsidR="00B142CD"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التنفيذ التدريجي أو التجريبي، حيث يفضل البدء بتطبيق تجريبي على نطاق محدود لاختبار التصميم الجديد وتحديد المشكلات قبل التوسع في التطبيق. </w:t>
      </w:r>
    </w:p>
    <w:p w14:paraId="2625553D" w14:textId="69112DFA" w:rsidR="00C12376" w:rsidRPr="00C12376" w:rsidRDefault="00C12376" w:rsidP="00B142CD">
      <w:pPr>
        <w:pStyle w:val="ListParagraph"/>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ويشير</w:t>
      </w:r>
      <w:r w:rsidRPr="00C12376">
        <w:rPr>
          <w:rFonts w:ascii="Simplified Arabic" w:hAnsi="Simplified Arabic" w:cs="Simplified Arabic"/>
          <w:sz w:val="28"/>
          <w:szCs w:val="28"/>
        </w:rPr>
        <w:t xml:space="preserve"> Massaro &amp; Galiano (2020) </w:t>
      </w:r>
      <w:r w:rsidRPr="00C12376">
        <w:rPr>
          <w:rFonts w:ascii="Simplified Arabic" w:hAnsi="Simplified Arabic" w:cs="Simplified Arabic"/>
          <w:sz w:val="28"/>
          <w:szCs w:val="28"/>
          <w:rtl/>
        </w:rPr>
        <w:t>إلى أهمية التطبيق التجريبي في تقليل المخاطر</w:t>
      </w:r>
      <w:r w:rsidRPr="00C12376">
        <w:rPr>
          <w:rFonts w:ascii="Simplified Arabic" w:hAnsi="Simplified Arabic" w:cs="Simplified Arabic"/>
          <w:sz w:val="28"/>
          <w:szCs w:val="28"/>
        </w:rPr>
        <w:t>.</w:t>
      </w:r>
    </w:p>
    <w:p w14:paraId="0143C5FA" w14:textId="0F38BA28"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التعامل مع مقاومة التغيير من خلال التواصل الفعال، وإشراك العاملين، ومعالجة مخاوفهم، وإظهار الفوائد المتوقعة من التغيير</w:t>
      </w:r>
      <w:r w:rsidRPr="00C12376">
        <w:rPr>
          <w:rFonts w:ascii="Simplified Arabic" w:hAnsi="Simplified Arabic" w:cs="Simplified Arabic"/>
          <w:sz w:val="28"/>
          <w:szCs w:val="28"/>
        </w:rPr>
        <w:t>.</w:t>
      </w:r>
    </w:p>
    <w:p w14:paraId="200EBFDE" w14:textId="0E4A3D57"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المتابعة الدقيقة للتنفيذ وحل المشكلات التي تظهر بسرعة وفعالية. ويتطلب ذلك وجود فريق متابعة مخصص وقنوات اتصال مفتوحة</w:t>
      </w:r>
      <w:r w:rsidRPr="00C12376">
        <w:rPr>
          <w:rFonts w:ascii="Simplified Arabic" w:hAnsi="Simplified Arabic" w:cs="Simplified Arabic"/>
          <w:sz w:val="28"/>
          <w:szCs w:val="28"/>
        </w:rPr>
        <w:t>.</w:t>
      </w:r>
    </w:p>
    <w:p w14:paraId="70E37C64"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الرابعة: مرحلة المتابعة والتقييم</w:t>
      </w:r>
    </w:p>
    <w:p w14:paraId="0CD19692" w14:textId="77777777" w:rsidR="00B142CD"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لا تنتهي عملية إعادة الهندسة بمجرد تنفيذ التصميم الجديد، بل تتطلب متابعة مستمرة وتقييماً دورياً لضمان تحقيق الأهداف المرجوة والاستمرار في التحسين.</w:t>
      </w:r>
    </w:p>
    <w:p w14:paraId="33569CA4" w14:textId="39A86904" w:rsidR="00C12376" w:rsidRPr="00C12376" w:rsidRDefault="00C12376" w:rsidP="00B142C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 ويؤكد</w:t>
      </w:r>
      <w:r w:rsidRPr="00C12376">
        <w:rPr>
          <w:rFonts w:ascii="Simplified Arabic" w:hAnsi="Simplified Arabic" w:cs="Simplified Arabic"/>
          <w:sz w:val="28"/>
          <w:szCs w:val="28"/>
        </w:rPr>
        <w:t xml:space="preserve"> Muhammad Arip Islahudin &amp; Hadikurniawati (2022)</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على أهمية هذه المرحلة في ضمان استدامة النتائج</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وتتضمن هذه المرحلة الخطوات التالية</w:t>
      </w:r>
      <w:r w:rsidRPr="00C12376">
        <w:rPr>
          <w:rFonts w:ascii="Simplified Arabic" w:hAnsi="Simplified Arabic" w:cs="Simplified Arabic"/>
          <w:sz w:val="28"/>
          <w:szCs w:val="28"/>
        </w:rPr>
        <w:t>:</w:t>
      </w:r>
    </w:p>
    <w:p w14:paraId="1CC40B68" w14:textId="6527DD88"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قياس الأداء الفعلي للعمليات الجديدة باستخدام مؤشرات الأداء المحددة مسبقاً، ومقارنتها بالأهداف المستهدفة لتحديد مدى النجاح في تحقيق التحسينات المطلوبة</w:t>
      </w:r>
      <w:r w:rsidRPr="00C12376">
        <w:rPr>
          <w:rFonts w:ascii="Simplified Arabic" w:hAnsi="Simplified Arabic" w:cs="Simplified Arabic"/>
          <w:sz w:val="28"/>
          <w:szCs w:val="28"/>
        </w:rPr>
        <w:t>.</w:t>
      </w:r>
    </w:p>
    <w:p w14:paraId="27F667BB" w14:textId="456A8EC6"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جمع التغذية الراجعة من العملاء والعاملين وأصحاب المصلحة الآخرين حول العمليات الجديدة، وذلك لفهم تجربتهم وتحديد المجالات التي تحتاج إلى تحسين</w:t>
      </w:r>
      <w:r w:rsidRPr="00C12376">
        <w:rPr>
          <w:rFonts w:ascii="Simplified Arabic" w:hAnsi="Simplified Arabic" w:cs="Simplified Arabic"/>
          <w:sz w:val="28"/>
          <w:szCs w:val="28"/>
        </w:rPr>
        <w:t>.</w:t>
      </w:r>
    </w:p>
    <w:p w14:paraId="32F62755" w14:textId="23F4145A"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تحليل الانحرافات بين الأداء الفعلي والمستهدف، وتحديد الأسباب الجذرية لهذه الانحرافات، سواء كانت تتعلق بالتصميم أو التنفيذ أو العوامل الخارجية</w:t>
      </w:r>
      <w:r w:rsidRPr="00C12376">
        <w:rPr>
          <w:rFonts w:ascii="Simplified Arabic" w:hAnsi="Simplified Arabic" w:cs="Simplified Arabic"/>
          <w:sz w:val="28"/>
          <w:szCs w:val="28"/>
        </w:rPr>
        <w:t>.</w:t>
      </w:r>
    </w:p>
    <w:p w14:paraId="284FBCC6" w14:textId="65BD930A"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إجراء التحسينات والتعديلات اللازمة على العمليات بناءً على نتائج القياس والتغذية الراجعة. ويشير</w:t>
      </w:r>
      <w:r w:rsidRPr="00C12376">
        <w:rPr>
          <w:rFonts w:ascii="Simplified Arabic" w:hAnsi="Simplified Arabic" w:cs="Simplified Arabic"/>
          <w:sz w:val="28"/>
          <w:szCs w:val="28"/>
        </w:rPr>
        <w:t xml:space="preserve"> Nachev et al. (2020) </w:t>
      </w:r>
      <w:r w:rsidRPr="00C12376">
        <w:rPr>
          <w:rFonts w:ascii="Simplified Arabic" w:hAnsi="Simplified Arabic" w:cs="Simplified Arabic"/>
          <w:sz w:val="28"/>
          <w:szCs w:val="28"/>
          <w:rtl/>
        </w:rPr>
        <w:t>إلى أن إعادة الهندسة هي عملية مستمرة تتطلب تحسينات دورية</w:t>
      </w:r>
      <w:r w:rsidRPr="00C12376">
        <w:rPr>
          <w:rFonts w:ascii="Simplified Arabic" w:hAnsi="Simplified Arabic" w:cs="Simplified Arabic"/>
          <w:sz w:val="28"/>
          <w:szCs w:val="28"/>
        </w:rPr>
        <w:t>.</w:t>
      </w:r>
    </w:p>
    <w:p w14:paraId="1609CA0E" w14:textId="34BED860"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توثيق الدروس المستفادة من التجربة، سواء كانت إيجابية أو سلبية، واستخدامها في تطوير العمليات الأخرى أو في مشاريع إعادة الهندسة المستقبلية</w:t>
      </w:r>
      <w:r w:rsidRPr="00C12376">
        <w:rPr>
          <w:rFonts w:ascii="Simplified Arabic" w:hAnsi="Simplified Arabic" w:cs="Simplified Arabic"/>
          <w:sz w:val="28"/>
          <w:szCs w:val="28"/>
        </w:rPr>
        <w:t>.</w:t>
      </w:r>
    </w:p>
    <w:p w14:paraId="10993190" w14:textId="187FAA60"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المتابعة طويلة الأمد لضمان استدامة التحسينات وعدم الانزلاق إلى الممارسات القديمة. ويتطلب ذلك بناء ثقافة مؤسسية تدعم التحسين المستمر والابتكار</w:t>
      </w:r>
      <w:r w:rsidRPr="00C12376">
        <w:rPr>
          <w:rFonts w:ascii="Simplified Arabic" w:hAnsi="Simplified Arabic" w:cs="Simplified Arabic"/>
          <w:sz w:val="28"/>
          <w:szCs w:val="28"/>
        </w:rPr>
        <w:t>.</w:t>
      </w:r>
    </w:p>
    <w:p w14:paraId="600F16CF" w14:textId="0971DEE3"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متطلبات نجاح إعادة هندسة العمليات الإدارية</w:t>
      </w:r>
    </w:p>
    <w:p w14:paraId="3DEAF790"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يتطلب نجاح تطبيق إعادة هندسة العمليات الإدارية توفر مجموعة من المتطلبات الأساسية التي تمثل البيئة الممكنة لإحداث التغيير المطلوب. وقد حددت الدراسات والتجارب العملية عدداً من المتطلبات الحرجة التي يجب توفرها لضمان نجاح إعادة الهندسة</w:t>
      </w:r>
      <w:r w:rsidRPr="00C12376">
        <w:rPr>
          <w:rFonts w:ascii="Simplified Arabic" w:hAnsi="Simplified Arabic" w:cs="Simplified Arabic"/>
          <w:sz w:val="28"/>
          <w:szCs w:val="28"/>
        </w:rPr>
        <w:t>.</w:t>
      </w:r>
    </w:p>
    <w:p w14:paraId="7A282C85" w14:textId="7468E762"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دعم والتزام الإدارة العليا، حيث يعتبر هذا العامل الأكثر أهمية في نجاح إعادة الهندسة. ويشير</w:t>
      </w:r>
      <w:r w:rsidRPr="00C12376">
        <w:rPr>
          <w:rFonts w:ascii="Simplified Arabic" w:hAnsi="Simplified Arabic" w:cs="Simplified Arabic"/>
          <w:sz w:val="28"/>
          <w:szCs w:val="28"/>
        </w:rPr>
        <w:t xml:space="preserve"> Nwankwo et al. (2020) </w:t>
      </w:r>
      <w:r w:rsidRPr="00C12376">
        <w:rPr>
          <w:rFonts w:ascii="Simplified Arabic" w:hAnsi="Simplified Arabic" w:cs="Simplified Arabic"/>
          <w:sz w:val="28"/>
          <w:szCs w:val="28"/>
          <w:rtl/>
        </w:rPr>
        <w:t>إلى أن دعم القيادة العليا يوفر الموارد اللازمة ويزيل العوائق ويعطي المشروع الأولوية والأهمية المطلوبة. كما أن التزام القيادة يرسل رسالة قوية لجميع المستويات التنظيمية حول جدية التغيير</w:t>
      </w:r>
      <w:r w:rsidRPr="00C12376">
        <w:rPr>
          <w:rFonts w:ascii="Simplified Arabic" w:hAnsi="Simplified Arabic" w:cs="Simplified Arabic"/>
          <w:sz w:val="28"/>
          <w:szCs w:val="28"/>
        </w:rPr>
        <w:t>.</w:t>
      </w:r>
    </w:p>
    <w:p w14:paraId="7240E904" w14:textId="7781A37E"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توفر الموارد المالية والبشرية والتقنية الكافية لتنفيذ مشروع إعادة الهندسة. فالتطبيق الناجح يتطلب استثمارات كبيرة في التكنولوجيا، والتدريب، والاستشارات، وإدارة التغيير. ويؤكد</w:t>
      </w:r>
      <w:r w:rsidRPr="00C12376">
        <w:rPr>
          <w:rFonts w:ascii="Simplified Arabic" w:hAnsi="Simplified Arabic" w:cs="Simplified Arabic"/>
          <w:sz w:val="28"/>
          <w:szCs w:val="28"/>
        </w:rPr>
        <w:t xml:space="preserve"> Pramartha &amp; Mimba (2020) </w:t>
      </w:r>
      <w:r w:rsidRPr="00C12376">
        <w:rPr>
          <w:rFonts w:ascii="Simplified Arabic" w:hAnsi="Simplified Arabic" w:cs="Simplified Arabic"/>
          <w:sz w:val="28"/>
          <w:szCs w:val="28"/>
          <w:rtl/>
        </w:rPr>
        <w:t>على أهمية التخطيط الجيد للموارد المطلوبة وضمان استدامة توفرها طوال فترة المشروع</w:t>
      </w:r>
      <w:r w:rsidRPr="00C12376">
        <w:rPr>
          <w:rFonts w:ascii="Simplified Arabic" w:hAnsi="Simplified Arabic" w:cs="Simplified Arabic"/>
          <w:sz w:val="28"/>
          <w:szCs w:val="28"/>
        </w:rPr>
        <w:t>.</w:t>
      </w:r>
    </w:p>
    <w:p w14:paraId="3F3844A6" w14:textId="436A1395"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وجود رؤية واضحة وأهداف محددة وقابلة للقياس، حيث يجب أن تعرف المؤسسة بوضوح ما تريد تحقيقه من خلال إعادة الهندسة وكيف ستقيس النجاح. وهذا يساعد في توجيه الجهود والحفاظ على التركيز خلال عملية التنفيذ</w:t>
      </w:r>
      <w:r w:rsidRPr="00C12376">
        <w:rPr>
          <w:rFonts w:ascii="Simplified Arabic" w:hAnsi="Simplified Arabic" w:cs="Simplified Arabic"/>
          <w:sz w:val="28"/>
          <w:szCs w:val="28"/>
        </w:rPr>
        <w:t>.</w:t>
      </w:r>
    </w:p>
    <w:p w14:paraId="6CAE7A6E" w14:textId="577E09E1"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التواصل الفعال مع جميع أصحاب المصلحة، حيث يجب أن تكون هناك استراتيجية تواصل شاملة تشرح أسباب التغيير، والفوائد المتوقعة، والأدوار المطلوبة من كل طرف. ويساعد التواصل الجيد في بناء الثقة وتقليل المقاومة</w:t>
      </w:r>
      <w:r w:rsidRPr="00C12376">
        <w:rPr>
          <w:rFonts w:ascii="Simplified Arabic" w:hAnsi="Simplified Arabic" w:cs="Simplified Arabic"/>
          <w:sz w:val="28"/>
          <w:szCs w:val="28"/>
        </w:rPr>
        <w:t>.</w:t>
      </w:r>
    </w:p>
    <w:p w14:paraId="7C9BBDE7" w14:textId="194DD2E9"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مشاركة وتمكين العاملين في جميع مراحل المشروع، من التحليل إلى التصميم والتنفيذ. فالعاملون هم الأكثر معرفة بتفاصيل العمليات الحالية ومشكلاتها، كما أنهم المسؤولون عن تنفيذ العمليات الجديدة. ولذلك فإن إشراكهم يضمن واقعية التصميم وقبولهم للتغيير</w:t>
      </w:r>
      <w:r w:rsidRPr="00C12376">
        <w:rPr>
          <w:rFonts w:ascii="Simplified Arabic" w:hAnsi="Simplified Arabic" w:cs="Simplified Arabic"/>
          <w:sz w:val="28"/>
          <w:szCs w:val="28"/>
        </w:rPr>
        <w:t>.</w:t>
      </w:r>
    </w:p>
    <w:p w14:paraId="7DD12F24" w14:textId="59A0E3C6"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الاستثمار في تطوير الموارد البشرية وبناء القدرات، حيث تتطلب العمليات الجديدة عادة مهارات ومعارف جديدة. ويجب توفير برامج تدريبية شاملة ومستمرة تغطي الجوانب الفنية والسلوكية</w:t>
      </w:r>
      <w:r w:rsidRPr="00C12376">
        <w:rPr>
          <w:rFonts w:ascii="Simplified Arabic" w:hAnsi="Simplified Arabic" w:cs="Simplified Arabic"/>
          <w:sz w:val="28"/>
          <w:szCs w:val="28"/>
        </w:rPr>
        <w:t>.</w:t>
      </w:r>
    </w:p>
    <w:p w14:paraId="5D0A6B64" w14:textId="0C4F0670"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استخدام التكنولوجيا المناسبة كممكن للتغيير، حيث تلعب تكنولوجيا المعلومات دوراً محورياً في تمكين تصميمات العمليات الجديدة. ويجب اختيار التكنولوجيا المناسبة التي تلبي احتياجات المؤسسة وإمكانياتها</w:t>
      </w:r>
      <w:r w:rsidRPr="00C12376">
        <w:rPr>
          <w:rFonts w:ascii="Simplified Arabic" w:hAnsi="Simplified Arabic" w:cs="Simplified Arabic"/>
          <w:sz w:val="28"/>
          <w:szCs w:val="28"/>
        </w:rPr>
        <w:t>.</w:t>
      </w:r>
    </w:p>
    <w:p w14:paraId="73C6CA25" w14:textId="4EB6B28E"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وجود فريق متخصص لقيادة مشروع إعادة الهندسة، يضم خبرات متنوعة في مجالات العمليات، والتكنولوجيا، وإدارة التغيير، والموارد البشرية. ويجب أن يتمتع هذا الفريق بالصلاحيات والموارد الكافية</w:t>
      </w:r>
      <w:r w:rsidRPr="00C12376">
        <w:rPr>
          <w:rFonts w:ascii="Simplified Arabic" w:hAnsi="Simplified Arabic" w:cs="Simplified Arabic"/>
          <w:sz w:val="28"/>
          <w:szCs w:val="28"/>
        </w:rPr>
        <w:t>.</w:t>
      </w:r>
    </w:p>
    <w:p w14:paraId="2C45E015" w14:textId="51ECD072"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بناء ثقافة تنظيمية تدعم التغيير والابتكار، حيث أن إعادة الهندسة لا تقتصر على تغيير العمليات والنظم، بل تمتد لتشمل تغيير القيم والمعتقدات والسلوكيات. ويتطلب ذلك جهوداً طويلة الأمد في إدارة التغيير الثقافي</w:t>
      </w:r>
      <w:r w:rsidRPr="00C12376">
        <w:rPr>
          <w:rFonts w:ascii="Simplified Arabic" w:hAnsi="Simplified Arabic" w:cs="Simplified Arabic"/>
          <w:sz w:val="28"/>
          <w:szCs w:val="28"/>
        </w:rPr>
        <w:t>.</w:t>
      </w:r>
    </w:p>
    <w:p w14:paraId="0FB25C2D" w14:textId="05057D9C" w:rsid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المرونة والقدرة على التكيف مع المتغيرات، حيث نادراً ما تسير مشاريع إعادة الهندسة كما هو مخطط لها تماماً. لذلك يجب أن تكون المؤسسة مرنة وقادرة على التعديل والتكيف مع التحديات والفرص الجديدة</w:t>
      </w:r>
      <w:r w:rsidRPr="00C12376">
        <w:rPr>
          <w:rFonts w:ascii="Simplified Arabic" w:hAnsi="Simplified Arabic" w:cs="Simplified Arabic"/>
          <w:sz w:val="28"/>
          <w:szCs w:val="28"/>
        </w:rPr>
        <w:t>.</w:t>
      </w:r>
    </w:p>
    <w:p w14:paraId="55FC3315" w14:textId="77777777" w:rsidR="00396B74" w:rsidRDefault="00396B74" w:rsidP="00396B74">
      <w:pPr>
        <w:bidi/>
        <w:jc w:val="both"/>
        <w:rPr>
          <w:rFonts w:ascii="Simplified Arabic" w:hAnsi="Simplified Arabic" w:cs="Simplified Arabic"/>
          <w:sz w:val="28"/>
          <w:szCs w:val="28"/>
        </w:rPr>
      </w:pPr>
    </w:p>
    <w:p w14:paraId="7B1C541A" w14:textId="77777777" w:rsidR="00396B74" w:rsidRPr="00396B74" w:rsidRDefault="00396B74" w:rsidP="00396B74">
      <w:pPr>
        <w:bidi/>
        <w:jc w:val="both"/>
        <w:rPr>
          <w:rFonts w:ascii="Simplified Arabic" w:hAnsi="Simplified Arabic" w:cs="Simplified Arabic"/>
          <w:sz w:val="28"/>
          <w:szCs w:val="28"/>
        </w:rPr>
      </w:pPr>
    </w:p>
    <w:p w14:paraId="4886D5F5" w14:textId="2FB37BBF"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lastRenderedPageBreak/>
        <w:t>التحديات والمخاطر المرتبطة بتطبيق إعادة الهندسة في المؤسسات</w:t>
      </w:r>
    </w:p>
    <w:p w14:paraId="77CAE6E6"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على الرغم من الفوائد الكبيرة المحتملة لإعادة هندسة العمليات الإدارية، إلا أن تطبيقها يواجه العديد من التحديات والمخاطر التي قد تعيق النجاح أو تقلل من العوائد المتوقعة. ويشير</w:t>
      </w:r>
      <w:r w:rsidRPr="00C12376">
        <w:rPr>
          <w:rFonts w:ascii="Simplified Arabic" w:hAnsi="Simplified Arabic" w:cs="Simplified Arabic"/>
          <w:sz w:val="28"/>
          <w:szCs w:val="28"/>
        </w:rPr>
        <w:t xml:space="preserve"> Weerakkody et al. (2021) </w:t>
      </w:r>
      <w:r w:rsidRPr="00C12376">
        <w:rPr>
          <w:rFonts w:ascii="Simplified Arabic" w:hAnsi="Simplified Arabic" w:cs="Simplified Arabic"/>
          <w:sz w:val="28"/>
          <w:szCs w:val="28"/>
          <w:rtl/>
        </w:rPr>
        <w:t>إلى أن معدلات الفشل في مشاريع إعادة الهندسة لا تزال مرتفعة، مما يستدعي فهماً عميقاً للتحديات والمخاطر المرتبطة</w:t>
      </w:r>
      <w:r w:rsidRPr="00C12376">
        <w:rPr>
          <w:rFonts w:ascii="Simplified Arabic" w:hAnsi="Simplified Arabic" w:cs="Simplified Arabic"/>
          <w:sz w:val="28"/>
          <w:szCs w:val="28"/>
        </w:rPr>
        <w:t>.</w:t>
      </w:r>
    </w:p>
    <w:p w14:paraId="3E091006" w14:textId="3A94A34C"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مقاومة التغيير من قبل العاملين، والتي تعد من أكبر التحديات التي تواجه تطبيق إعادة الهندسة. فالتغيير الجذري في طرق العمل يثير مخاوف العاملين حول وظائفهم ومكانتهم وقدرتهم على التكيف مع المتطلبات الجديدة. وقد تظهر المقاومة بأشكال مختلفة، من الرفض الصريح إلى المقاومة السلبية والتباطؤ في التنفيذ</w:t>
      </w:r>
      <w:r w:rsidRPr="00C12376">
        <w:rPr>
          <w:rFonts w:ascii="Simplified Arabic" w:hAnsi="Simplified Arabic" w:cs="Simplified Arabic"/>
          <w:sz w:val="28"/>
          <w:szCs w:val="28"/>
        </w:rPr>
        <w:t>.</w:t>
      </w:r>
    </w:p>
    <w:p w14:paraId="7CB8836D" w14:textId="7349798A"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ضعف دعم والتزام الإدارة العليا، حيث أن بعض القيادات قد تبدي دعماً شكلياً للمشروع دون التزام حقيقي بتوفير الموارد وإزالة العوائق واتخاذ القرارات الصعبة. وهذا يؤدي إلى فقدان الزخم والفشل في تحقيق الأهداف</w:t>
      </w:r>
      <w:r w:rsidRPr="00C12376">
        <w:rPr>
          <w:rFonts w:ascii="Simplified Arabic" w:hAnsi="Simplified Arabic" w:cs="Simplified Arabic"/>
          <w:sz w:val="28"/>
          <w:szCs w:val="28"/>
        </w:rPr>
        <w:t>.</w:t>
      </w:r>
    </w:p>
    <w:p w14:paraId="4D96F737" w14:textId="64C8A8A7"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عدم وضوح الرؤية والأهداف، حيث أن بعض المؤسسات تبدأ في إعادة الهندسة دون تحديد واضح لما تريد تحقيقه، مما يؤدي إلى تشتت الجهود وصعوبة قياس النجاح</w:t>
      </w:r>
      <w:r w:rsidRPr="00C12376">
        <w:rPr>
          <w:rFonts w:ascii="Simplified Arabic" w:hAnsi="Simplified Arabic" w:cs="Simplified Arabic"/>
          <w:sz w:val="28"/>
          <w:szCs w:val="28"/>
        </w:rPr>
        <w:t>.</w:t>
      </w:r>
    </w:p>
    <w:p w14:paraId="3396D452" w14:textId="00FB02E3"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عدم كفاية الموارد المالية والبشرية، حيث أن بعض المؤسسات تقلل من تقدير التكاليف والموارد المطلوبة لمشروع إعادة الهندسة، مما يؤدي إلى نقص التمويل وعدم القدرة على إكمال المشروع</w:t>
      </w:r>
      <w:r w:rsidRPr="00C12376">
        <w:rPr>
          <w:rFonts w:ascii="Simplified Arabic" w:hAnsi="Simplified Arabic" w:cs="Simplified Arabic"/>
          <w:sz w:val="28"/>
          <w:szCs w:val="28"/>
        </w:rPr>
        <w:t>.</w:t>
      </w:r>
    </w:p>
    <w:p w14:paraId="3C5C1160" w14:textId="38AA6760"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التركيز على التكنولوجيا دون الاهتمام الكافي بالعنصر البشري والثقافي، حيث أن بعض المؤسسات تعتقد خطأً أن مجرد تطبيق تقنيات جديدة سيحقق التحسينات المطلوبة، متجاهلة أهمية تطوير مهارات العاملين وتغيير الثقافة التنظيمية</w:t>
      </w:r>
      <w:r w:rsidRPr="00C12376">
        <w:rPr>
          <w:rFonts w:ascii="Simplified Arabic" w:hAnsi="Simplified Arabic" w:cs="Simplified Arabic"/>
          <w:sz w:val="28"/>
          <w:szCs w:val="28"/>
        </w:rPr>
        <w:t>.</w:t>
      </w:r>
    </w:p>
    <w:p w14:paraId="33136392" w14:textId="7C4CAE75"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ضعف التواصل وعدم إشراك أصحاب المصلحة، مما يؤدي إلى سوء فهم للتغيير ومقاومة له. فكلما كان التواصل أفضل والإشراك أوسع، كانت فرص النجاح أكبر</w:t>
      </w:r>
      <w:r w:rsidRPr="00C12376">
        <w:rPr>
          <w:rFonts w:ascii="Simplified Arabic" w:hAnsi="Simplified Arabic" w:cs="Simplified Arabic"/>
          <w:sz w:val="28"/>
          <w:szCs w:val="28"/>
        </w:rPr>
        <w:t>.</w:t>
      </w:r>
    </w:p>
    <w:p w14:paraId="09DFADC3" w14:textId="24CDA8FB"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عدم واقعية التوقعات، حيث أن بعض المؤسسات تتوقع نتائج سريعة ومبهرة دون إدراك أن إعادة الهندسة تتطلب وقتاً وجهداً كبيرين. وهذا قد يؤدي إلى خيبة الأمل والتخلي عن المشروع قبل أن تظهر النتائج</w:t>
      </w:r>
      <w:r w:rsidRPr="00C12376">
        <w:rPr>
          <w:rFonts w:ascii="Simplified Arabic" w:hAnsi="Simplified Arabic" w:cs="Simplified Arabic"/>
          <w:sz w:val="28"/>
          <w:szCs w:val="28"/>
        </w:rPr>
        <w:t>.</w:t>
      </w:r>
    </w:p>
    <w:p w14:paraId="6519BD85" w14:textId="00D85D02"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ضعف القدرة على إدارة المشروع، حيث أن إعادة الهندسة مشروع معقد يتطلب مهارات عالية في إدارة المشاريع والتغيير. وعدم توفر هذه المهارات قد يؤدي إلى تأخيرات وتجاوزات في الميزانية وفشل في التنسيق</w:t>
      </w:r>
      <w:r w:rsidRPr="00C12376">
        <w:rPr>
          <w:rFonts w:ascii="Simplified Arabic" w:hAnsi="Simplified Arabic" w:cs="Simplified Arabic"/>
          <w:sz w:val="28"/>
          <w:szCs w:val="28"/>
        </w:rPr>
        <w:t>.</w:t>
      </w:r>
    </w:p>
    <w:p w14:paraId="2788938D" w14:textId="0774D592"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مخاطر فقدان المعرفة والخبرة، حيث أن التغيير الجذري قد يؤدي إلى فقدان بعض المعارف الضمنية والخبرات المتراكمة لدى العاملين. ويجب التخطيط لتوثيق ونقل هذه المعارف قبل التنفيذ</w:t>
      </w:r>
      <w:r w:rsidRPr="00C12376">
        <w:rPr>
          <w:rFonts w:ascii="Simplified Arabic" w:hAnsi="Simplified Arabic" w:cs="Simplified Arabic"/>
          <w:sz w:val="28"/>
          <w:szCs w:val="28"/>
        </w:rPr>
        <w:t>.</w:t>
      </w:r>
    </w:p>
    <w:p w14:paraId="3D9141D8" w14:textId="2831EC3A"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صعوبة قياس العائد على الاستثمار في الأجل القصير، حيث أن فوائد إعادة الهندسة قد لا تظهر بوضوح في البداية، بينما تكون التكاليف والتحديات واضحة ومباشرة. وهذا قد يؤثر على استمرار الدعم للمشروع</w:t>
      </w:r>
      <w:r w:rsidRPr="00C12376">
        <w:rPr>
          <w:rFonts w:ascii="Simplified Arabic" w:hAnsi="Simplified Arabic" w:cs="Simplified Arabic"/>
          <w:sz w:val="28"/>
          <w:szCs w:val="28"/>
        </w:rPr>
        <w:t>.</w:t>
      </w:r>
    </w:p>
    <w:p w14:paraId="0897C919" w14:textId="39602D6D"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خلاصة</w:t>
      </w:r>
      <w:r>
        <w:rPr>
          <w:rFonts w:ascii="Simplified Arabic" w:hAnsi="Simplified Arabic" w:cs="Simplified Arabic" w:hint="cs"/>
          <w:b/>
          <w:bCs/>
          <w:sz w:val="28"/>
          <w:szCs w:val="28"/>
          <w:rtl/>
        </w:rPr>
        <w:t xml:space="preserve"> المحور</w:t>
      </w:r>
    </w:p>
    <w:p w14:paraId="420A7E74"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يتضح من العرض السابق أن إعادة هندسة العمليات الإدارية تمثل مدخلاً إدارياً متطوراً وشاملاً لإحداث تغيير جذري وجوهري في أداء المؤسسات. فهي تتجاوز مفهوم التحسين التدريجي إلى التفكير الجذري في إعادة تصميم العمليات من الصفر بما يحقق قفزات نوعية في الأداء. وقد أظهرت التجارب العالمية والعربية أن المؤسسات التي نجحت في تطبيق إعادة الهندسة حققت تحسينات كبيرة في الجودة والتكلفة والسرعة ورضا العملاء</w:t>
      </w:r>
      <w:r w:rsidRPr="00C12376">
        <w:rPr>
          <w:rFonts w:ascii="Simplified Arabic" w:hAnsi="Simplified Arabic" w:cs="Simplified Arabic"/>
          <w:sz w:val="28"/>
          <w:szCs w:val="28"/>
        </w:rPr>
        <w:t>.</w:t>
      </w:r>
    </w:p>
    <w:p w14:paraId="27A1EEBA"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إلا أن النجاح في تطبيق إعادة الهندسة يتطلب فهماً عميقاً لمفهومها ومبادئها ومراحلها، وتوفير المتطلبات الأساسية للتطبيق، والوعي بالتحديات والمخاطر المحتملة والاستعداد للتعامل معها. كما يتطلب قيادة واعية وملتزمة، ومشاركة فعالة من العاملين، واستخدام حكيم للتكنولوجيا، وإدارة محترفة للتغيير</w:t>
      </w:r>
      <w:r w:rsidRPr="00C12376">
        <w:rPr>
          <w:rFonts w:ascii="Simplified Arabic" w:hAnsi="Simplified Arabic" w:cs="Simplified Arabic"/>
          <w:sz w:val="28"/>
          <w:szCs w:val="28"/>
        </w:rPr>
        <w:t>.</w:t>
      </w:r>
    </w:p>
    <w:p w14:paraId="29161324" w14:textId="05E19960" w:rsidR="00C12376" w:rsidRDefault="00C12376" w:rsidP="00396B74">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وفي ظل التحولات المتسارعة في بيئة الأعمال المعاصرة، والتقدم التكنولوجي الهائل، وارتفاع توقعات العملاء، تصبح إعادة هندسة العمليات الإدارية ضرورة استراتيجية وليست مجرد خيار، خاصة للمؤسسات التي تسعى للتميز والريادة في مجالاتها. ويتطلب ذلك بناء قدرات مؤسسية في مجال إدارة التغيير وإعادة الهندسة، وتطوير ثقافة تنظيمية تدعم الابتكار والتحسين المستمر</w:t>
      </w:r>
      <w:r w:rsidRPr="00C12376">
        <w:rPr>
          <w:rFonts w:ascii="Simplified Arabic" w:hAnsi="Simplified Arabic" w:cs="Simplified Arabic"/>
          <w:sz w:val="28"/>
          <w:szCs w:val="28"/>
        </w:rPr>
        <w:t>.</w:t>
      </w:r>
    </w:p>
    <w:p w14:paraId="25D65A33" w14:textId="04E2E670" w:rsidR="00C12376" w:rsidRPr="00C12376" w:rsidRDefault="00C12376" w:rsidP="00A04C32">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المحور الثاني: الأساليب التقليدية في إدارة العمليات</w:t>
      </w:r>
    </w:p>
    <w:p w14:paraId="2B4F1ACA"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شهدت الإدارة التقليدية سيطرة واسعة على معظم المؤسسات لعقود طويلة، حيث اعتمدت على مبادئ ونظريات إدارية تطورت خلال القرنين التاسع عشر والعشرين. وقد نجحت هذه الأساليب التقليدية في تحقيق الاستقرار والنظام والكفاءة في بيئة أعمال كانت أكثر استقراراً وأبطأ تغيراً. إلا أن التحولات الجذرية في بيئة الأعمال المعاصرة، من حيث السرعة والتعقيد والتنافسية، أظهرت محدودية هذه الأساليب وقصورها في التعامل مع متطلبات العصر الحديث. وقد جاء ظهور مفهوم إعادة هندسة العمليات الإدارية كاستجابة مباشرة لأوجه القصور في الأساليب التقليدية، حيث يسعى إلى تجاوز القيود البيروقراطية والهرمية التي تميز الإدارة التقليدية، والانتقال إلى نماذج إدارية أكثر مرونة وسرعة واستجابة لاحتياجات العملاء والتغيرات البيئية</w:t>
      </w:r>
      <w:r w:rsidRPr="00C12376">
        <w:rPr>
          <w:rFonts w:ascii="Simplified Arabic" w:hAnsi="Simplified Arabic" w:cs="Simplified Arabic"/>
          <w:sz w:val="28"/>
          <w:szCs w:val="28"/>
        </w:rPr>
        <w:t>.</w:t>
      </w:r>
    </w:p>
    <w:p w14:paraId="14C37D12" w14:textId="1F6CF4D8" w:rsidR="00C12376" w:rsidRPr="00A04C32" w:rsidRDefault="00C12376" w:rsidP="00A04C32">
      <w:pPr>
        <w:pStyle w:val="ListParagraph"/>
        <w:numPr>
          <w:ilvl w:val="0"/>
          <w:numId w:val="4"/>
        </w:numPr>
        <w:bidi/>
        <w:jc w:val="both"/>
        <w:rPr>
          <w:rFonts w:ascii="Simplified Arabic" w:hAnsi="Simplified Arabic" w:cs="Simplified Arabic"/>
          <w:b/>
          <w:bCs/>
          <w:sz w:val="28"/>
          <w:szCs w:val="28"/>
        </w:rPr>
      </w:pPr>
      <w:r w:rsidRPr="00A04C32">
        <w:rPr>
          <w:rFonts w:ascii="Simplified Arabic" w:hAnsi="Simplified Arabic" w:cs="Simplified Arabic"/>
          <w:b/>
          <w:bCs/>
          <w:sz w:val="28"/>
          <w:szCs w:val="28"/>
          <w:rtl/>
        </w:rPr>
        <w:t>مفهوم الأساليب التقليدية في الإدارة</w:t>
      </w:r>
    </w:p>
    <w:p w14:paraId="2AA1CC2B"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تشير الأساليب التقليدية في الإدارة إلى مجموعة من الممارسات والإجراءات والهياكل التنظيمية التي سادت في المؤسسات منذ بدايات الثورة الصناعية وحتى أواخر القرن العشرين. وقد بنيت هذه الأساليب على افتراضات ومبادئ أساسية تتعلق بطبيعة العمل والعاملين والتنظيم، والتي كانت مناسبة لبيئة أعمال كانت تتسم بالاستقرار النسبي والتنافسية المحدودة (سعال، 2023)</w:t>
      </w:r>
      <w:r w:rsidRPr="00C12376">
        <w:rPr>
          <w:rFonts w:ascii="Simplified Arabic" w:hAnsi="Simplified Arabic" w:cs="Simplified Arabic"/>
          <w:sz w:val="28"/>
          <w:szCs w:val="28"/>
        </w:rPr>
        <w:t>.</w:t>
      </w:r>
    </w:p>
    <w:p w14:paraId="4CC9E7AD" w14:textId="77777777" w:rsidR="00396B74"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وتقوم الإدارة التقليدية على مبدأ التخصص الوظيفي الدقيق، حيث يتم تقسيم العمل إلى وظائف ومهام محددة وضيقة، يؤديها العاملون بشكل متكرر وفقاً لإجراءات موحدة ومحددة سلفاً. وقد هدف هذا التخصص إلى زيادة الكفاءة من خلال التكرار وتطوير المهارات الدقيقة في مهام محددة. </w:t>
      </w:r>
    </w:p>
    <w:p w14:paraId="1C22630B" w14:textId="3AC5AEA6" w:rsidR="00C12376" w:rsidRPr="00C12376" w:rsidRDefault="00C12376" w:rsidP="00396B74">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إلا أن هذا النهج أدى إلى تجزئة العمليات وفقدان الرؤية الشاملة للعملية الكلية، وهو ما تسعى إعادة الهندسة إلى معالجته (بن يوسف وعياش، 2021)</w:t>
      </w:r>
      <w:r w:rsidRPr="00C12376">
        <w:rPr>
          <w:rFonts w:ascii="Simplified Arabic" w:hAnsi="Simplified Arabic" w:cs="Simplified Arabic"/>
          <w:sz w:val="28"/>
          <w:szCs w:val="28"/>
        </w:rPr>
        <w:t>.</w:t>
      </w:r>
    </w:p>
    <w:p w14:paraId="6E3E532B"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تركز الإدارة التقليدية على الوظائف والأقسام الإدارية بدلاً من العمليات، حيث يتم تنظيم المؤسسة في شكل أقسام وظيفية متخصصة (المبيعات، الإنتاج، المالية، الموارد البشرية، وغيرها)، يعمل كل منها بشكل منفصل نسبياً عن الآخر. وهذا التنظيم الوظيفي يخلق حواجز وفواصل بين الأقسام، ويعيق التنسيق والتكامل في إنجاز العمليات التي تتطلب تعاوناً عبر الأقسام المختلفة. وفي المقابل، تركز إعادة هندسة العمليات الإدارية على العمليات الأفقية التي تعبر الحدود الوظيفية لتحقيق قيمة للعملاء (جاد الرب، 2025)</w:t>
      </w:r>
      <w:r w:rsidRPr="00C12376">
        <w:rPr>
          <w:rFonts w:ascii="Simplified Arabic" w:hAnsi="Simplified Arabic" w:cs="Simplified Arabic"/>
          <w:sz w:val="28"/>
          <w:szCs w:val="28"/>
        </w:rPr>
        <w:t>.</w:t>
      </w:r>
    </w:p>
    <w:p w14:paraId="68097EF9"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ويشير السدمي (2022) إلى أن الأساليب التقليدية تتسم بالتركيز على الرقابة والسيطرة المركزية، حيث تتركز السلطة في أيدي الإدارة العليا، ويتم اتخاذ القرارات من أعلى الهرم التنظيمي ثم تنقل إلى المستويات الأدنى للتنفيذ. وتقتصر مهمة العاملين في المستويات الدنيا على تنفيذ الأوامر والتعليمات دون مشاركة في التخطيط أو اتخاذ القرار. وهذا النهج يحد من الإبداع والمبادرة لدى العاملين، ويبطئ من سرعة الاستجابة للمتغيرات</w:t>
      </w:r>
      <w:r w:rsidRPr="00C12376">
        <w:rPr>
          <w:rFonts w:ascii="Simplified Arabic" w:hAnsi="Simplified Arabic" w:cs="Simplified Arabic"/>
          <w:sz w:val="28"/>
          <w:szCs w:val="28"/>
        </w:rPr>
        <w:t>.</w:t>
      </w:r>
    </w:p>
    <w:p w14:paraId="4F58F517"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تعتمد الإدارة التقليدية على نظم إجرائية معقدة وصارمة، حيث توضع قواعد وإجراءات تفصيلية لكل مهمة وعملية، ويتوجب على العاملين الالتزام الحرفي بهذه الإجراءات دون انحراف. وبينما تهدف هذه الإجراءات إلى ضمان الاتساق والجودة، إلا أنها غالباً ما تصبح عبئاً يعيق السرعة والمرونة، خاصة عندما تصبح الإجراءات هدفاً في حد ذاتها بدلاً من كونها وسيلة لتحقيق الأهداف (حسن، 2022)</w:t>
      </w:r>
      <w:r w:rsidRPr="00C12376">
        <w:rPr>
          <w:rFonts w:ascii="Simplified Arabic" w:hAnsi="Simplified Arabic" w:cs="Simplified Arabic"/>
          <w:sz w:val="28"/>
          <w:szCs w:val="28"/>
        </w:rPr>
        <w:t>.</w:t>
      </w:r>
    </w:p>
    <w:p w14:paraId="22BF5D02"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وتوضح زهران (2020) أن الأساليب التقليدية تتميز بالاعتماد على الهرمية الصارمة في التنظيم، حيث يتم ترتيب المستويات الإدارية في شكل هرمي واضح، مع خطوط سلطة ومسؤولية محددة بدقة. وهذا الهيكل الهرمي يخلق مسافات طويلة بين القمة والقاعدة، مما يؤدي إلى بطء في تدفق المعلومات واتخاذ القرارات، وضعف في الاتصال بين المستويات المختلفة</w:t>
      </w:r>
      <w:r w:rsidRPr="00C12376">
        <w:rPr>
          <w:rFonts w:ascii="Simplified Arabic" w:hAnsi="Simplified Arabic" w:cs="Simplified Arabic"/>
          <w:sz w:val="28"/>
          <w:szCs w:val="28"/>
        </w:rPr>
        <w:t>.</w:t>
      </w:r>
    </w:p>
    <w:p w14:paraId="225FCD8D"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ومن السمات الأخرى للأساليب التقليدية التركيز على الكفاءة الداخلية أكثر من الفعالية في تلبية احتياجات العملاء، حيث يتم قياس الأداء بناءً على مؤشرات داخلية مثل الإنتاجية والتكلفة لكل وحدة، دون اهتمام كافٍ برضا العملاء والقيمة المقدمة لهم. وهذا التوجه الداخلي يؤدي إلى انفصال بين ما تقدمه المؤسسة وما يحتاجه العملاء فعلاً (الحطامي والأشول، 2024)</w:t>
      </w:r>
      <w:r w:rsidRPr="00C12376">
        <w:rPr>
          <w:rFonts w:ascii="Simplified Arabic" w:hAnsi="Simplified Arabic" w:cs="Simplified Arabic"/>
          <w:sz w:val="28"/>
          <w:szCs w:val="28"/>
        </w:rPr>
        <w:t>.</w:t>
      </w:r>
    </w:p>
    <w:p w14:paraId="505D5A10"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تتسم الإدارة التقليدية بالنظرة الميكانيكية للمؤسسة والعاملين، حيث يُنظر إلى المؤسسة على أنها آلة معقدة، والعاملين على أنهم أجزاء قابلة للاستبدال في هذه الآلة. وهذه النظرة تتجاهل الجوانب الإنسانية والإبداعية للعاملين، وتحد من قدرتهم على المساهمة بأفكار وحلول جديدة لتحسين الأداء (محمد، 2022)</w:t>
      </w:r>
      <w:r w:rsidRPr="00C12376">
        <w:rPr>
          <w:rFonts w:ascii="Simplified Arabic" w:hAnsi="Simplified Arabic" w:cs="Simplified Arabic"/>
          <w:sz w:val="28"/>
          <w:szCs w:val="28"/>
        </w:rPr>
        <w:t>.</w:t>
      </w:r>
    </w:p>
    <w:p w14:paraId="2854E85D"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السياق الدولي، يشير</w:t>
      </w:r>
      <w:r w:rsidRPr="00C12376">
        <w:rPr>
          <w:rFonts w:ascii="Simplified Arabic" w:hAnsi="Simplified Arabic" w:cs="Simplified Arabic"/>
          <w:sz w:val="28"/>
          <w:szCs w:val="28"/>
        </w:rPr>
        <w:t xml:space="preserve"> Elapatha &amp; Jehan (2020) </w:t>
      </w:r>
      <w:r w:rsidRPr="00C12376">
        <w:rPr>
          <w:rFonts w:ascii="Simplified Arabic" w:hAnsi="Simplified Arabic" w:cs="Simplified Arabic"/>
          <w:sz w:val="28"/>
          <w:szCs w:val="28"/>
          <w:rtl/>
        </w:rPr>
        <w:t>إلى أن الأساليب التقليدية في الإدارة تتميز بالنهج الوظيفي المنفصل، حيث تعمل كل وحدة إدارية بشكل مستقل، مع تركيز محدود على التكامل والتنسيق الأفقي. كما يؤكد</w:t>
      </w:r>
      <w:r w:rsidRPr="00C12376">
        <w:rPr>
          <w:rFonts w:ascii="Simplified Arabic" w:hAnsi="Simplified Arabic" w:cs="Simplified Arabic"/>
          <w:sz w:val="28"/>
          <w:szCs w:val="28"/>
        </w:rPr>
        <w:t xml:space="preserve"> Fatile et al. (2020) </w:t>
      </w:r>
      <w:r w:rsidRPr="00C12376">
        <w:rPr>
          <w:rFonts w:ascii="Simplified Arabic" w:hAnsi="Simplified Arabic" w:cs="Simplified Arabic"/>
          <w:sz w:val="28"/>
          <w:szCs w:val="28"/>
          <w:rtl/>
        </w:rPr>
        <w:t>على أن الممارسات الإدارية التقليدية في القطاع العام تتسم بالبيروقراطية المفرطة والإجراءات المعقدة التي تعيق تقديم الخدمات بكفاءة وفعالية</w:t>
      </w:r>
      <w:r w:rsidRPr="00C12376">
        <w:rPr>
          <w:rFonts w:ascii="Simplified Arabic" w:hAnsi="Simplified Arabic" w:cs="Simplified Arabic"/>
          <w:sz w:val="28"/>
          <w:szCs w:val="28"/>
        </w:rPr>
        <w:t>.</w:t>
      </w:r>
    </w:p>
    <w:p w14:paraId="5C62F560" w14:textId="48F38B17" w:rsidR="00C12376" w:rsidRPr="0025755D" w:rsidRDefault="00C12376" w:rsidP="0025755D">
      <w:pPr>
        <w:pStyle w:val="ListParagraph"/>
        <w:numPr>
          <w:ilvl w:val="0"/>
          <w:numId w:val="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خصائص الإدارة التقليدية وبنيتها الهرمية</w:t>
      </w:r>
    </w:p>
    <w:p w14:paraId="5B6C498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تتميز الإدارة التقليدية بمجموعة من الخصائص المميزة التي تميزها عن المداخل الإدارية الحديثة، والتي ارتبطت بشكل وثيق بالبنية الهرمية للتنظيم</w:t>
      </w:r>
      <w:r w:rsidRPr="00C12376">
        <w:rPr>
          <w:rFonts w:ascii="Simplified Arabic" w:hAnsi="Simplified Arabic" w:cs="Simplified Arabic"/>
          <w:sz w:val="28"/>
          <w:szCs w:val="28"/>
        </w:rPr>
        <w:t>.</w:t>
      </w:r>
    </w:p>
    <w:p w14:paraId="644E92B8" w14:textId="4761655D"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الهيكل التنظيمي الهرمي الصارم</w:t>
      </w:r>
    </w:p>
    <w:p w14:paraId="355F7748"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يعد الهيكل الهرمي السمة الأبرز للإدارة التقليدية، حيث يتم ترتيب المستويات الإدارية من أعلى إلى أسفل في شكل هرم، مع وضوح خطوط السلطة والمسؤولية. ويشير جبريل (2020) إلى أن هذا الهيكل يتسم بتعدد المستويات الإدارية، مما يخلق مسافات طويلة بين الإدارة العليا والعاملين في الخطوط الأمامية، ويؤدي إلى بطء في تدفق المعلومات واتخاذ القرارات</w:t>
      </w:r>
      <w:r w:rsidRPr="00C12376">
        <w:rPr>
          <w:rFonts w:ascii="Simplified Arabic" w:hAnsi="Simplified Arabic" w:cs="Simplified Arabic"/>
          <w:sz w:val="28"/>
          <w:szCs w:val="28"/>
        </w:rPr>
        <w:t>.</w:t>
      </w:r>
    </w:p>
    <w:p w14:paraId="321B8BEF" w14:textId="77777777" w:rsidR="00C9446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وتنساب السلطة في الهيكل الهرمي من أعلى إلى أسفل، حيث تتركز السلطة الأكبر في قمة الهرم وتتناقص تدريجياً كلما انتقلنا إلى المستويات الأدنى.</w:t>
      </w:r>
    </w:p>
    <w:p w14:paraId="2A6FE837" w14:textId="34837490" w:rsidR="00C12376" w:rsidRPr="00C12376" w:rsidRDefault="00C12376" w:rsidP="00C9446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 وهذا التركيز للسلطة يحد من استقلالية ومرونة المستويات الإدارية الدنيا في اتخاذ القرارات والاستجابة السريعة للمواقف المختلفة (زخروف وخليفة، 2022)</w:t>
      </w:r>
      <w:r w:rsidRPr="00C12376">
        <w:rPr>
          <w:rFonts w:ascii="Simplified Arabic" w:hAnsi="Simplified Arabic" w:cs="Simplified Arabic"/>
          <w:sz w:val="28"/>
          <w:szCs w:val="28"/>
        </w:rPr>
        <w:t>.</w:t>
      </w:r>
    </w:p>
    <w:p w14:paraId="222C3E67"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يتسم الهيكل الهرمي بنطاق إشراف محدود، حيث يشرف كل مدير على عدد محدود من المرؤوسين، مما يتطلب وجود عدد كبير من المستويات الإدارية للإشراف على جميع العاملين. وهذه المستويات المتعددة تزيد من التعقيد وتبطئ من سرعة الاتصال واتخاذ القرار (شيخ ديب وناطور، 2022)</w:t>
      </w:r>
      <w:r w:rsidRPr="00C12376">
        <w:rPr>
          <w:rFonts w:ascii="Simplified Arabic" w:hAnsi="Simplified Arabic" w:cs="Simplified Arabic"/>
          <w:sz w:val="28"/>
          <w:szCs w:val="28"/>
        </w:rPr>
        <w:t>.</w:t>
      </w:r>
    </w:p>
    <w:p w14:paraId="1662C6A5" w14:textId="57BDCDAB"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التخصص الوظيفي الدقيق</w:t>
      </w:r>
    </w:p>
    <w:p w14:paraId="666B578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تركز الإدارة التقليدية على تقسيم العمل إلى وظائف ومهام محددة بدقة، حيث يتخصص كل عامل في أداء مهام محدودة ومتكررة. وقد هدف هذا التخصص إلى زيادة الكفاءة من خلال التكرار وتطوير المهارات المتخصصة. إلا أن هذا النهج أدى إلى تجزئة العمل وفقدان الرؤية الشاملة للعملية الكلية، كما أدى إلى رتابة العمل وانخفاض التحفيز لدى العاملين (علوان وطلوش، 2020)</w:t>
      </w:r>
      <w:r w:rsidRPr="00C12376">
        <w:rPr>
          <w:rFonts w:ascii="Simplified Arabic" w:hAnsi="Simplified Arabic" w:cs="Simplified Arabic"/>
          <w:sz w:val="28"/>
          <w:szCs w:val="28"/>
        </w:rPr>
        <w:t>.</w:t>
      </w:r>
    </w:p>
    <w:p w14:paraId="3F09704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ويؤدي التخصص الدقيق إلى خلق حواجز بين الوظائف المختلفة، حيث يركز كل عامل على وظيفته الضيقة دون فهم كافٍ لكيفية ارتباطها بالوظائف الأخرى أو بالعملية الكلية. وهذا يعيق التنسيق والتعاون بين الوظائف، ويخلق مشكلات في التكامل والانسيابية (اسحق، 2020)</w:t>
      </w:r>
      <w:r w:rsidRPr="00C12376">
        <w:rPr>
          <w:rFonts w:ascii="Simplified Arabic" w:hAnsi="Simplified Arabic" w:cs="Simplified Arabic"/>
          <w:sz w:val="28"/>
          <w:szCs w:val="28"/>
        </w:rPr>
        <w:t>.</w:t>
      </w:r>
    </w:p>
    <w:p w14:paraId="6824D092" w14:textId="0F300820"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المركزية في اتخاذ القرار</w:t>
      </w:r>
    </w:p>
    <w:p w14:paraId="6762522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تتسم الإدارة التقليدية بمركزية صنع القرار، حيث تتخذ القرارات المهمة في قمة الهرم التنظيمي، ثم تنقل إلى المستويات الأدنى للتنفيذ. ويقتصر دور العاملين في المستويات الدنيا على تنفيذ القرارات دون مشاركة في صنعها. وهذا النهج يحد من المرونة وسرعة الاستجابة، حيث يتطلب رفع كل قضية إلى المستويات العليا لاتخاذ القرار بشأنها، مما يستهلك وقتاً ثميناً (صلاح الدين، 2020)</w:t>
      </w:r>
      <w:r w:rsidRPr="00C12376">
        <w:rPr>
          <w:rFonts w:ascii="Simplified Arabic" w:hAnsi="Simplified Arabic" w:cs="Simplified Arabic"/>
          <w:sz w:val="28"/>
          <w:szCs w:val="28"/>
        </w:rPr>
        <w:t>.</w:t>
      </w:r>
    </w:p>
    <w:p w14:paraId="41F63EDE"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كما تؤدي المركزية إلى تحميل الإدارة العليا عبئاً كبيراً من القرارات، بما في ذلك القرارات التفصيلية التشغيلية، مما يشتت انتباهها عن القضايا الإستراتيجية المهمة. كما أن القرارات المتخذة في القمة قد تفتقر إلى المعلومات التفصيلية والمعرفة الميدانية المتوفرة لدى العاملين في الخطوط الأمامية (عليو، 2020)</w:t>
      </w:r>
      <w:r w:rsidRPr="00C12376">
        <w:rPr>
          <w:rFonts w:ascii="Simplified Arabic" w:hAnsi="Simplified Arabic" w:cs="Simplified Arabic"/>
          <w:sz w:val="28"/>
          <w:szCs w:val="28"/>
        </w:rPr>
        <w:t>.</w:t>
      </w:r>
    </w:p>
    <w:p w14:paraId="1ED693EE" w14:textId="3B2AE960"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التركيز على الإجراءات والقواعد</w:t>
      </w:r>
    </w:p>
    <w:p w14:paraId="28F5DDAA"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تولي الإدارة التقليدية اهتماماً كبيراً بالإجراءات والقواعد والسياسات المكتوبة، حيث توضع تعليمات تفصيلية لكل مهمة، ويتوجب على العاملين الالتزام الصارم بهذه الإجراءات. وتهدف هذه القواعد إلى ضمان الاتساق والعدالة والسيطرة على العمل. إلا أنها غالباً ما تصبح جامدة ومعيقة للمرونة والابتكار، خاصة عندما تصبح غاية في حد ذاتها (أبو جهين، 2020)</w:t>
      </w:r>
      <w:r w:rsidRPr="00C12376">
        <w:rPr>
          <w:rFonts w:ascii="Simplified Arabic" w:hAnsi="Simplified Arabic" w:cs="Simplified Arabic"/>
          <w:sz w:val="28"/>
          <w:szCs w:val="28"/>
        </w:rPr>
        <w:t>.</w:t>
      </w:r>
    </w:p>
    <w:p w14:paraId="7B45922E"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ومع مرور الوقت، تتراكم الإجراءات والقواعد وتصبح أكثر تعقيداً، حيث تضاف إجراءات جديدة لمعالجة مشكلات أو حالات استثنائية، دون إلغاء أو تبسيط الإجراءات القديمة. وهذا التراكم يخلق بيروقراطية معقدة تعيق الكفاءة والسرعة في الإنجاز (العرادة، 2024)</w:t>
      </w:r>
      <w:r w:rsidRPr="00C12376">
        <w:rPr>
          <w:rFonts w:ascii="Simplified Arabic" w:hAnsi="Simplified Arabic" w:cs="Simplified Arabic"/>
          <w:sz w:val="28"/>
          <w:szCs w:val="28"/>
        </w:rPr>
        <w:t>.</w:t>
      </w:r>
    </w:p>
    <w:p w14:paraId="3705DD3B" w14:textId="097D81A0"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الرقابة والسيطرة المشددة</w:t>
      </w:r>
    </w:p>
    <w:p w14:paraId="7704F746"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تركز الإدارة التقليدية على الرقابة والسيطرة على أداء العاملين، من خلال نظم إشراف مباشر، وتقارير دورية، ومؤشرات أداء تفصيلية. وتنبع هذه الرقابة من افتراض أن العاملين لا يمكن الوثوق بهم للعمل بجد واجتهاد دون إشراف مباشر. وهذا النهج يخلق علاقة توتر بين الإدارة والعاملين، ويحد من الثقة والمبادرة (خضر، 2022)</w:t>
      </w:r>
      <w:r w:rsidRPr="00C12376">
        <w:rPr>
          <w:rFonts w:ascii="Simplified Arabic" w:hAnsi="Simplified Arabic" w:cs="Simplified Arabic"/>
          <w:sz w:val="28"/>
          <w:szCs w:val="28"/>
        </w:rPr>
        <w:t>.</w:t>
      </w:r>
    </w:p>
    <w:p w14:paraId="148F2647" w14:textId="77777777" w:rsid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التركيز المفرط على الرقابة يستهلك موارد كبيرة، حيث يتطلب عدداً كبيراً من المشرفين والمراقبين والنظم الإدارية لتتبع الأداء. وهذه الموارد يمكن استخدامها بشكل أفضل في أنشطة تضيف قيمة للعملاء (القرشي والسلمي، 2022)</w:t>
      </w:r>
      <w:r w:rsidRPr="00C12376">
        <w:rPr>
          <w:rFonts w:ascii="Simplified Arabic" w:hAnsi="Simplified Arabic" w:cs="Simplified Arabic"/>
          <w:sz w:val="28"/>
          <w:szCs w:val="28"/>
        </w:rPr>
        <w:t>.</w:t>
      </w:r>
    </w:p>
    <w:p w14:paraId="6F35AEDD" w14:textId="77777777" w:rsidR="00C724E1" w:rsidRPr="00C12376" w:rsidRDefault="00C724E1" w:rsidP="00C724E1">
      <w:pPr>
        <w:bidi/>
        <w:ind w:firstLine="720"/>
        <w:jc w:val="both"/>
        <w:rPr>
          <w:rFonts w:ascii="Simplified Arabic" w:hAnsi="Simplified Arabic" w:cs="Simplified Arabic"/>
          <w:sz w:val="28"/>
          <w:szCs w:val="28"/>
        </w:rPr>
      </w:pPr>
    </w:p>
    <w:p w14:paraId="52BC305B" w14:textId="7522C701"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lastRenderedPageBreak/>
        <w:t>الفصل بين التخطيط والتنفيذ</w:t>
      </w:r>
    </w:p>
    <w:p w14:paraId="1898069A"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في الإدارة التقليدية، يتم الفصل الواضح بين من يخططون للعمل ومن ينفذونه، حيث تقوم الإدارة العليا والمستويات الوسطى بالتخطيط ووضع الخطط والسياسات، بينما يقتصر دور العاملين التشغيليين على التنفيذ. وهذا الفصل يحرم المؤسسة من خبرات ومعارف العاملين الذين يمتلكون معرفة عميقة بتفاصيل العمل ومشكلاته (السماك، 2021)</w:t>
      </w:r>
      <w:r w:rsidRPr="00C12376">
        <w:rPr>
          <w:rFonts w:ascii="Simplified Arabic" w:hAnsi="Simplified Arabic" w:cs="Simplified Arabic"/>
          <w:sz w:val="28"/>
          <w:szCs w:val="28"/>
        </w:rPr>
        <w:t>.</w:t>
      </w:r>
    </w:p>
    <w:p w14:paraId="1B41F8DF"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يؤدي هذا الفصل إلى وضع خطط قد تكون غير واقعية أو صعبة التنفيذ، لأنها وضعت دون إشراك من سينفذونها. وهذا يخلق مقاومة للخطط الجديدة ويقلل من فعالية التنفيذ</w:t>
      </w:r>
      <w:r w:rsidRPr="00C12376">
        <w:rPr>
          <w:rFonts w:ascii="Simplified Arabic" w:hAnsi="Simplified Arabic" w:cs="Simplified Arabic"/>
          <w:sz w:val="28"/>
          <w:szCs w:val="28"/>
        </w:rPr>
        <w:t>.</w:t>
      </w:r>
    </w:p>
    <w:p w14:paraId="4CF53BF5" w14:textId="0481D215" w:rsidR="00C12376" w:rsidRPr="0025755D" w:rsidRDefault="00C12376" w:rsidP="0025755D">
      <w:pPr>
        <w:pStyle w:val="ListParagraph"/>
        <w:numPr>
          <w:ilvl w:val="0"/>
          <w:numId w:val="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دور البيروقراطية في الإدارة التقليدية</w:t>
      </w:r>
    </w:p>
    <w:p w14:paraId="770A01A3"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تمثل البيروقراطية أحد الأعمدة الأساسية للإدارة التقليدية، وقد ارتبط هذا المفهوم بالنموذج الذي طوره عالم الاجتماع الألماني ماكس فيبر في أوائل القرن العشرين. وقد صُممت البيروقراطية أصلاً لتحقيق الكفاءة والعقلانية والموضوعية في الإدارة، من خلال مجموعة من الخصائص والمبادئ المحددة</w:t>
      </w:r>
      <w:r w:rsidRPr="00C12376">
        <w:rPr>
          <w:rFonts w:ascii="Simplified Arabic" w:hAnsi="Simplified Arabic" w:cs="Simplified Arabic"/>
          <w:sz w:val="28"/>
          <w:szCs w:val="28"/>
        </w:rPr>
        <w:t>.</w:t>
      </w:r>
    </w:p>
    <w:p w14:paraId="55EDD009" w14:textId="38BA6CDD" w:rsidR="00C12376" w:rsidRPr="0025755D" w:rsidRDefault="00C12376" w:rsidP="0025755D">
      <w:pPr>
        <w:pStyle w:val="ListParagraph"/>
        <w:numPr>
          <w:ilvl w:val="0"/>
          <w:numId w:val="1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السمات الأساسية للبيروقراطية</w:t>
      </w:r>
    </w:p>
    <w:p w14:paraId="135B45ED" w14:textId="77777777" w:rsidR="00C724E1"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تتميز البيروقراطية بالتقسيم الواضح للعمل والتخصص الوظيفي، حيث يتم توزيع المهام والمسؤوليات بشكل دقيق ومحدد على الوظائف المختلفة. وهذا التقسيم يهدف إلى تحقيق الكفاءة من خلال التخصص وتطوير الخبرات المتعمقة في مجالات محددة. </w:t>
      </w:r>
    </w:p>
    <w:p w14:paraId="1F52D2FF" w14:textId="798235EA" w:rsidR="00C12376" w:rsidRPr="00C12376" w:rsidRDefault="00C12376" w:rsidP="00C724E1">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إلا أن هذا التخصص الدقيق أدى في كثير من الأحيان إلى تجزئة العمل وصعوبة التنسيق بين الأجزاء المختلفة</w:t>
      </w:r>
      <w:r w:rsidRPr="00C12376">
        <w:rPr>
          <w:rFonts w:ascii="Simplified Arabic" w:hAnsi="Simplified Arabic" w:cs="Simplified Arabic"/>
          <w:sz w:val="28"/>
          <w:szCs w:val="28"/>
        </w:rPr>
        <w:t xml:space="preserve"> (Hooda &amp; Singla, 2020).</w:t>
      </w:r>
    </w:p>
    <w:p w14:paraId="47753F6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كما تتسم البيروقراطية بالهرمية الواضحة في السلطة، حيث يتم ترتيب المستويات الإدارية في شكل هرمي، مع تحديد واضح لخطوط السلطة والمسؤولية. وكل مستوى إداري يخضع لإشراف ورقابة </w:t>
      </w:r>
      <w:r w:rsidRPr="00C12376">
        <w:rPr>
          <w:rFonts w:ascii="Simplified Arabic" w:hAnsi="Simplified Arabic" w:cs="Simplified Arabic"/>
          <w:sz w:val="28"/>
          <w:szCs w:val="28"/>
          <w:rtl/>
        </w:rPr>
        <w:lastRenderedPageBreak/>
        <w:t>المستوى الأعلى منه. وهذا الترتيب الهرمي يضمن النظام والانضباط، لكنه يؤدي أيضاً إلى بطء في اتخاذ القرارات وتدفق المعلومات</w:t>
      </w:r>
      <w:r w:rsidRPr="00C12376">
        <w:rPr>
          <w:rFonts w:ascii="Simplified Arabic" w:hAnsi="Simplified Arabic" w:cs="Simplified Arabic"/>
          <w:sz w:val="28"/>
          <w:szCs w:val="28"/>
        </w:rPr>
        <w:t xml:space="preserve"> (Al-Mawdieh, 2020).</w:t>
      </w:r>
    </w:p>
    <w:p w14:paraId="780F1AA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ومن السمات الأساسية أيضاً وجود قواعد وإجراءات رسمية مكتوبة، حيث توضع تعليمات تفصيلية لكل عملية ومهمة، ويتوجب على الجميع الالتزام بها. وتهدف هذه القواعد إلى ضمان الاتساق والموضوعية والعدالة في المعاملة. إلا أن هذه القواعد غالباً ما تصبح جامدة ومعيقة للمرونة والإبداع</w:t>
      </w:r>
      <w:r w:rsidRPr="00C12376">
        <w:rPr>
          <w:rFonts w:ascii="Simplified Arabic" w:hAnsi="Simplified Arabic" w:cs="Simplified Arabic"/>
          <w:sz w:val="28"/>
          <w:szCs w:val="28"/>
        </w:rPr>
        <w:t xml:space="preserve"> (Battilani et al., 2022).</w:t>
      </w:r>
    </w:p>
    <w:p w14:paraId="767F5621"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تتسم البيروقراطية بالتوظيف والترقية بناءً على الكفاءة والجدارة الفنية، حيث يتم اختيار العاملين وترقيتهم بناءً على مؤهلاتهم وخبراتهم وأدائهم، وليس بناءً على علاقات شخصية أو انتماءات. وهذا المبدأ يضمن العدالة والموضوعية، لكن التطبيق العملي قد يواجه تحديات</w:t>
      </w:r>
      <w:r w:rsidRPr="00C12376">
        <w:rPr>
          <w:rFonts w:ascii="Simplified Arabic" w:hAnsi="Simplified Arabic" w:cs="Simplified Arabic"/>
          <w:sz w:val="28"/>
          <w:szCs w:val="28"/>
        </w:rPr>
        <w:t xml:space="preserve"> (Catursari et al., 2023).</w:t>
      </w:r>
    </w:p>
    <w:p w14:paraId="0E1836CA" w14:textId="5296BE8D" w:rsidR="00C12376" w:rsidRDefault="00C12376" w:rsidP="0025755D">
      <w:pPr>
        <w:pStyle w:val="ListParagraph"/>
        <w:numPr>
          <w:ilvl w:val="0"/>
          <w:numId w:val="1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مظاهر البيروقراطية في الإدارة التقليدية</w:t>
      </w:r>
    </w:p>
    <w:p w14:paraId="05A70DCF"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تتجلى البيروقراطية في الإدارة التقليدية من خلال مجموعة من المظاهر التي تؤثر بشكل مباشر على كفاءة المؤسسات وقدرتها على التكيف مع التغيرات البيئية والتنظيمية. من أبرز هذه المظاهر الإجراءات الإدارية المعقدة والمطوّلة، إذ يتطلب إنجاز أي معاملة المرور بعدد كبير من الخطوات والمراحل، والحصول على موافقات من مستويات إدارية متعددة، مما يؤدي إلى بطء واضح في الأداء وإهدار كبير للوقت والجهد</w:t>
      </w:r>
      <w:r w:rsidRPr="0025755D">
        <w:rPr>
          <w:rFonts w:ascii="Simplified Arabic" w:hAnsi="Simplified Arabic" w:cs="Simplified Arabic"/>
          <w:sz w:val="28"/>
          <w:szCs w:val="28"/>
        </w:rPr>
        <w:t xml:space="preserve"> (Chandra Puspita &amp; Unisri, 2022).</w:t>
      </w:r>
    </w:p>
    <w:p w14:paraId="74C964DC"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كما تتسم الإدارة التقليدية بـ الروتينية الصارمة في تنفيذ الأعمال، حيث يلتزم الموظفون بتطبيق القواعد والإجراءات بحرفية تامة دون مراعاة للظروف الخاصة أو الحالات الاستثنائية، وهو ما ينعكس سلباً على رضا العملاء الذين يواجهون صعوبات متكررة في إنجاز معاملاتهم نتيجة الجمود التنظيمي</w:t>
      </w:r>
      <w:r w:rsidRPr="0025755D">
        <w:rPr>
          <w:rFonts w:ascii="Simplified Arabic" w:hAnsi="Simplified Arabic" w:cs="Simplified Arabic"/>
          <w:sz w:val="28"/>
          <w:szCs w:val="28"/>
        </w:rPr>
        <w:t>.</w:t>
      </w:r>
    </w:p>
    <w:p w14:paraId="6D2F41A2"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ومن المظاهر الأخرى للبيروقراطية تضخم الأجهزة الإدارية، إذ تميل المؤسسات إلى التوسع في عدد الموظفين والوحدات التنظيمية دون حاجة حقيقية، مما يزيد من الأعباء المالية ويعقّد عمليات التنسيق الداخلي</w:t>
      </w:r>
      <w:r w:rsidRPr="0025755D">
        <w:rPr>
          <w:rFonts w:ascii="Simplified Arabic" w:hAnsi="Simplified Arabic" w:cs="Simplified Arabic"/>
          <w:sz w:val="28"/>
          <w:szCs w:val="28"/>
        </w:rPr>
        <w:t xml:space="preserve"> (Elapatha &amp; Jehan, 2020).</w:t>
      </w:r>
    </w:p>
    <w:p w14:paraId="48F5CB7A"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lastRenderedPageBreak/>
        <w:t>كذلك تُعد المركزية الشديدة في اتخاذ القرار سمة بارزة في الهياكل البيروقراطية، حيث تتركز السلطة في قمة الهرم الإداري، مما يؤدي إلى بطء الاستجابة للمشكلات اليومية، ويجعل الإدارة العليا مثقلة بالتفاصيل الثانوية على حساب القرارات الاستراتيجية</w:t>
      </w:r>
      <w:r w:rsidRPr="0025755D">
        <w:rPr>
          <w:rFonts w:ascii="Simplified Arabic" w:hAnsi="Simplified Arabic" w:cs="Simplified Arabic"/>
          <w:sz w:val="28"/>
          <w:szCs w:val="28"/>
        </w:rPr>
        <w:t>.</w:t>
      </w:r>
    </w:p>
    <w:p w14:paraId="188BE941"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وأخيراً، ينتج عن هذه البيئة التنظيمية ضعف في المبادرة والإبداع، إذ تحد القواعد الصارمة والرقابة الشديدة من حرية الأفراد في طرح أفكار جديدة أو اتخاذ مبادرات تطويرية، فالأولوية دائماً للالتزام بالإجراءات على حساب الابتكار. وبالتالي، تسهم هذه المظاهر مجتمعة في تقليص مرونة المؤسسة وقدرتها على مواجهة الأزمات والتغيرات المتسارعة في بيئة العمل المعاصرة</w:t>
      </w:r>
      <w:r w:rsidRPr="0025755D">
        <w:rPr>
          <w:rFonts w:ascii="Simplified Arabic" w:hAnsi="Simplified Arabic" w:cs="Simplified Arabic"/>
          <w:sz w:val="28"/>
          <w:szCs w:val="28"/>
        </w:rPr>
        <w:t>.</w:t>
      </w:r>
    </w:p>
    <w:p w14:paraId="09C17F6D" w14:textId="77777777" w:rsidR="0025755D" w:rsidRPr="0025755D" w:rsidRDefault="0025755D" w:rsidP="0025755D">
      <w:pPr>
        <w:bidi/>
        <w:jc w:val="both"/>
        <w:rPr>
          <w:rFonts w:ascii="Simplified Arabic" w:hAnsi="Simplified Arabic" w:cs="Simplified Arabic"/>
          <w:sz w:val="28"/>
          <w:szCs w:val="28"/>
        </w:rPr>
      </w:pPr>
    </w:p>
    <w:p w14:paraId="32C371D0" w14:textId="55DA596D" w:rsidR="00C12376" w:rsidRPr="0025755D" w:rsidRDefault="00C12376" w:rsidP="0025755D">
      <w:pPr>
        <w:pStyle w:val="ListParagraph"/>
        <w:numPr>
          <w:ilvl w:val="0"/>
          <w:numId w:val="1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التأثيرات السلبية للبيروقراطية المفرطة</w:t>
      </w:r>
    </w:p>
    <w:p w14:paraId="7851243C" w14:textId="748933C9"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رغم أن البيروقراطية صُممت أصلاً لتحقيق الكفاءة والعقلانية، إلا أن التطبيق المفرط لمبادئها أدى إلى تأثيرات سلبية على أداء المؤسسات، خاصة في بيئة الأعمال المتغيرة والتنافسية. ومن أبرز هذه التأثيرات</w:t>
      </w:r>
      <w:r w:rsidRPr="00C12376">
        <w:rPr>
          <w:rFonts w:ascii="Simplified Arabic" w:hAnsi="Simplified Arabic" w:cs="Simplified Arabic"/>
          <w:sz w:val="28"/>
          <w:szCs w:val="28"/>
        </w:rPr>
        <w:t>:</w:t>
      </w:r>
      <w:r w:rsidR="0025755D">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البطء الشديد في الإنجاز، حيث تستغرق العمليات والمعاملات وقتاً طويلاً بسبب كثرة الخطوات والإجراءات والموافقات المطلوبة. وهذا البطء يؤدي إلى فقدان فرص الأعمال وعدم رضا العملاء</w:t>
      </w:r>
      <w:r w:rsidRPr="00C12376">
        <w:rPr>
          <w:rFonts w:ascii="Simplified Arabic" w:hAnsi="Simplified Arabic" w:cs="Simplified Arabic"/>
          <w:sz w:val="28"/>
          <w:szCs w:val="28"/>
        </w:rPr>
        <w:t xml:space="preserve"> (Fatile et al., 2020).</w:t>
      </w:r>
    </w:p>
    <w:p w14:paraId="5BE7F6F3"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تؤدي البيروقراطية المفرطة إلى ارتفاع التكاليف التشغيلية، بسبب تضخم الأجهزة الإدارية والهدر في الموارد والوقت. فالعديد من الأنشطة البيروقراطية لا تضيف قيمة حقيقية للعملاء، وإنما هي أنشطة رقابية وإدارية داخلية</w:t>
      </w:r>
      <w:r w:rsidRPr="00C12376">
        <w:rPr>
          <w:rFonts w:ascii="Simplified Arabic" w:hAnsi="Simplified Arabic" w:cs="Simplified Arabic"/>
          <w:sz w:val="28"/>
          <w:szCs w:val="28"/>
        </w:rPr>
        <w:t>.</w:t>
      </w:r>
    </w:p>
    <w:p w14:paraId="6CF9AA82"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وتخلق البيروقراطية المفرطة حواجز بين الأقسام والوحدات الإدارية، حيث يصبح كل قسم منشغلاً بإجراءاته ومتطلباته الخاصة، دون اهتمام كافٍ بالتنسيق والتعاون مع الأقسام الأخرى لإنجاز العمليات الشاملة التي تخدم العملاء</w:t>
      </w:r>
      <w:r w:rsidRPr="00C12376">
        <w:rPr>
          <w:rFonts w:ascii="Simplified Arabic" w:hAnsi="Simplified Arabic" w:cs="Simplified Arabic"/>
          <w:sz w:val="28"/>
          <w:szCs w:val="28"/>
        </w:rPr>
        <w:t xml:space="preserve"> (Hooda &amp; Singla, 2020).</w:t>
      </w:r>
    </w:p>
    <w:p w14:paraId="410F1C16"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كما تؤدي البيروقراطية إلى جمود تنظيمي وصعوبة في التكيف مع التغيرات البيئية، حيث أن القواعد والإجراءات الصارمة تجعل من الصعب إجراء تغييرات سريعة استجابة للفرص أو التهديدات الجديدة. وهذا الجمود يهدد القدرة التنافسية للمؤسسة</w:t>
      </w:r>
      <w:r w:rsidRPr="00C12376">
        <w:rPr>
          <w:rFonts w:ascii="Simplified Arabic" w:hAnsi="Simplified Arabic" w:cs="Simplified Arabic"/>
          <w:sz w:val="28"/>
          <w:szCs w:val="28"/>
        </w:rPr>
        <w:t xml:space="preserve"> </w:t>
      </w:r>
      <w:bookmarkStart w:id="3" w:name="_Hlk213809299"/>
      <w:r w:rsidRPr="00C12376">
        <w:rPr>
          <w:rFonts w:ascii="Simplified Arabic" w:hAnsi="Simplified Arabic" w:cs="Simplified Arabic"/>
          <w:sz w:val="28"/>
          <w:szCs w:val="28"/>
        </w:rPr>
        <w:t>(Weerakkody et al., 2021).</w:t>
      </w:r>
      <w:bookmarkEnd w:id="3"/>
    </w:p>
    <w:p w14:paraId="7BB55054"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وتثبط البيروقراطية المفرطة الإبداع والابتكار، حيث أن البيئة الصارمة التي تركز على الامتثال للقواعد لا تشجع على التفكير الإبداعي أو تجريب أساليب جديدة. فالعاملون يفضلون السلامة بالالتزام بالإجراءات المعتادة على المخاطرة بتجريب شيء جديد قد يتسبب في مشكلات</w:t>
      </w:r>
      <w:r w:rsidRPr="00C12376">
        <w:rPr>
          <w:rFonts w:ascii="Simplified Arabic" w:hAnsi="Simplified Arabic" w:cs="Simplified Arabic"/>
          <w:sz w:val="28"/>
          <w:szCs w:val="28"/>
        </w:rPr>
        <w:t>.</w:t>
      </w:r>
    </w:p>
    <w:p w14:paraId="75D7ACA2" w14:textId="7137D117" w:rsidR="00C12376" w:rsidRPr="0025755D" w:rsidRDefault="00C12376" w:rsidP="0025755D">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آليات اتخاذ القرار في النظم الإدارية التقليدية</w:t>
      </w:r>
    </w:p>
    <w:p w14:paraId="6E06C872"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تتميز عملية اتخاذ القرار في النظم الإدارية التقليدية بخصائص محددة تعكس الطبيعة الهرمية والبيروقراطية لهذه النظم. وقد أظهرت التجارب أن هذه الآليات التقليدية تواجه قصوراً واضحاً في التعامل مع متطلبات بيئة الأعمال المعاصرة</w:t>
      </w:r>
      <w:r w:rsidRPr="00C12376">
        <w:rPr>
          <w:rFonts w:ascii="Simplified Arabic" w:hAnsi="Simplified Arabic" w:cs="Simplified Arabic"/>
          <w:sz w:val="28"/>
          <w:szCs w:val="28"/>
        </w:rPr>
        <w:t>.</w:t>
      </w:r>
    </w:p>
    <w:p w14:paraId="1544B886" w14:textId="0F4A432C" w:rsidR="00C12376" w:rsidRPr="0025755D" w:rsidRDefault="00C12376" w:rsidP="0025755D">
      <w:pPr>
        <w:pStyle w:val="ListParagraph"/>
        <w:numPr>
          <w:ilvl w:val="0"/>
          <w:numId w:val="17"/>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المركزية في صنع القرار</w:t>
      </w:r>
    </w:p>
    <w:p w14:paraId="0867B0F1"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تتسم عملية اتخاذ القرار في النظم التقليدية بالمركزية الشديدة، حيث تتركز سلطة اتخاذ القرارات المهمة في قمة الهرم التنظيمي. ويشير</w:t>
      </w:r>
      <w:r w:rsidRPr="00C12376">
        <w:rPr>
          <w:rFonts w:ascii="Simplified Arabic" w:hAnsi="Simplified Arabic" w:cs="Simplified Arabic"/>
          <w:sz w:val="28"/>
          <w:szCs w:val="28"/>
        </w:rPr>
        <w:t xml:space="preserve"> Kumar (2024) </w:t>
      </w:r>
      <w:r w:rsidRPr="00C12376">
        <w:rPr>
          <w:rFonts w:ascii="Simplified Arabic" w:hAnsi="Simplified Arabic" w:cs="Simplified Arabic"/>
          <w:sz w:val="28"/>
          <w:szCs w:val="28"/>
          <w:rtl/>
        </w:rPr>
        <w:t>إلى أن هذه المركزية تؤدي إلى بطء شديد في اتخاذ القرارات، حيث يتطلب كل قرار رفعه عبر المستويات الإدارية المتعددة حتى يصل إلى المستوى المخول باتخاذه</w:t>
      </w:r>
      <w:r w:rsidRPr="00C12376">
        <w:rPr>
          <w:rFonts w:ascii="Simplified Arabic" w:hAnsi="Simplified Arabic" w:cs="Simplified Arabic"/>
          <w:sz w:val="28"/>
          <w:szCs w:val="28"/>
        </w:rPr>
        <w:t>.</w:t>
      </w:r>
    </w:p>
    <w:p w14:paraId="0CFBD33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وتحمل المركزية الإدارة العليا عبئاً كبيراً من القرارات، بما في ذلك القرارات التشغيلية التفصيلية التي يمكن اتخاذها بكفاءة أكبر على المستويات الأدنى. وهذا يشتت انتباه القيادة العليا عن القضايا الإستراتيجية المهمة، ويستهلك وقتها في قضايا تشغيلية روتينية</w:t>
      </w:r>
      <w:r w:rsidRPr="00C12376">
        <w:rPr>
          <w:rFonts w:ascii="Simplified Arabic" w:hAnsi="Simplified Arabic" w:cs="Simplified Arabic"/>
          <w:sz w:val="28"/>
          <w:szCs w:val="28"/>
        </w:rPr>
        <w:t xml:space="preserve"> </w:t>
      </w:r>
      <w:bookmarkStart w:id="4" w:name="_Hlk213809213"/>
      <w:r w:rsidRPr="00C12376">
        <w:rPr>
          <w:rFonts w:ascii="Simplified Arabic" w:hAnsi="Simplified Arabic" w:cs="Simplified Arabic"/>
          <w:sz w:val="28"/>
          <w:szCs w:val="28"/>
        </w:rPr>
        <w:t>(Massaro &amp; Galiano, 2020).</w:t>
      </w:r>
      <w:bookmarkEnd w:id="4"/>
    </w:p>
    <w:p w14:paraId="33E37BCA"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كما أن القرارات المتخذة مركزياً قد تفتقر إلى المعلومات التفصيلية والمعرفة الميدانية المتوفرة لدى العاملين في الخطوط الأمامية، مما يؤثر على جودة القرارات وواقعيتها. فالإدارة العليا قد تكون بعيدة عن تفاصيل العمل اليومي والتحديات الفعلية التي يواجهها العاملون </w:t>
      </w:r>
      <w:bookmarkStart w:id="5" w:name="_Hlk213809190"/>
      <w:r w:rsidRPr="00C12376">
        <w:rPr>
          <w:rFonts w:ascii="Simplified Arabic" w:hAnsi="Simplified Arabic" w:cs="Simplified Arabic"/>
          <w:sz w:val="28"/>
          <w:szCs w:val="28"/>
          <w:rtl/>
        </w:rPr>
        <w:t>والعملاء</w:t>
      </w:r>
      <w:r w:rsidRPr="00C12376">
        <w:rPr>
          <w:rFonts w:ascii="Simplified Arabic" w:hAnsi="Simplified Arabic" w:cs="Simplified Arabic"/>
          <w:sz w:val="28"/>
          <w:szCs w:val="28"/>
        </w:rPr>
        <w:t xml:space="preserve"> (Muhammad Arip Islahudin &amp; Hadikurniawati, 2022).</w:t>
      </w:r>
      <w:bookmarkEnd w:id="5"/>
    </w:p>
    <w:p w14:paraId="3910C9CD" w14:textId="646023F1" w:rsidR="00C12376" w:rsidRPr="0025755D" w:rsidRDefault="00C12376" w:rsidP="0025755D">
      <w:pPr>
        <w:pStyle w:val="ListParagraph"/>
        <w:numPr>
          <w:ilvl w:val="0"/>
          <w:numId w:val="17"/>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lastRenderedPageBreak/>
        <w:t>التدرج الهرمي في اتخاذ القرار</w:t>
      </w:r>
    </w:p>
    <w:p w14:paraId="541A9A02"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تتبع عملية اتخاذ القرار في النظم التقليدية نمطاً هرمياً صارماً، حيث يتم رفع القضايا من المستويات الدنيا إلى الأعلى تدريجياً عبر الهرم التنظيمي. وكل مستوى إداري له صلاحيات محددة في اتخاذ القرار، ويتطلب أي قرار خارج هذه الصلاحيات رفعه إلى المستوى </w:t>
      </w:r>
      <w:bookmarkStart w:id="6" w:name="_Hlk213809248"/>
      <w:r w:rsidRPr="00C12376">
        <w:rPr>
          <w:rFonts w:ascii="Simplified Arabic" w:hAnsi="Simplified Arabic" w:cs="Simplified Arabic"/>
          <w:sz w:val="28"/>
          <w:szCs w:val="28"/>
          <w:rtl/>
        </w:rPr>
        <w:t>الأعلى</w:t>
      </w:r>
      <w:r w:rsidRPr="00C12376">
        <w:rPr>
          <w:rFonts w:ascii="Simplified Arabic" w:hAnsi="Simplified Arabic" w:cs="Simplified Arabic"/>
          <w:sz w:val="28"/>
          <w:szCs w:val="28"/>
        </w:rPr>
        <w:t xml:space="preserve"> (Nachev et al., 2020).</w:t>
      </w:r>
      <w:bookmarkEnd w:id="6"/>
    </w:p>
    <w:p w14:paraId="1B93251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وهذا التدرج الهرمي يستهلك وقتاً طويلاً، خاصة في المؤسسات ذات المستويات الإدارية المتعددة. فقد يستغرق القرار الواحد أياماً أو أسابيع حتى يصل إلى المستوى المخول باتخاذه، ثم يعود إلى المستويات الدنيا للتنفيذ. وهذا البطء يجعل المؤسسة غير قادرة على الاستجابة السريعة للتغيرات أو الفرص</w:t>
      </w:r>
      <w:r w:rsidRPr="00C12376">
        <w:rPr>
          <w:rFonts w:ascii="Simplified Arabic" w:hAnsi="Simplified Arabic" w:cs="Simplified Arabic"/>
          <w:sz w:val="28"/>
          <w:szCs w:val="28"/>
        </w:rPr>
        <w:t xml:space="preserve"> (Nwankwo et al., 2020).</w:t>
      </w:r>
    </w:p>
    <w:p w14:paraId="77024EBF"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التدرج الهرمي يؤدي إلى تشويه المعلومات، حيث أن كل مستوى إداري يقوم بتلخيص وتفسير المعلومات قبل رفعها إلى المستوى الأعلى. وهذا التلخيص المتكرر قد يؤدي إلى فقدان تفاصيل مهمة أو تحريف المعلومات، مما يؤثر على جودة القرارات المتخذة</w:t>
      </w:r>
      <w:r w:rsidRPr="00C12376">
        <w:rPr>
          <w:rFonts w:ascii="Simplified Arabic" w:hAnsi="Simplified Arabic" w:cs="Simplified Arabic"/>
          <w:sz w:val="28"/>
          <w:szCs w:val="28"/>
        </w:rPr>
        <w:t xml:space="preserve"> (Pramartha &amp; Mimba, 2020).</w:t>
      </w:r>
    </w:p>
    <w:p w14:paraId="2E93F777" w14:textId="3A01CEFE" w:rsidR="00C12376" w:rsidRPr="0025755D" w:rsidRDefault="00C12376" w:rsidP="0025755D">
      <w:pPr>
        <w:pStyle w:val="ListParagraph"/>
        <w:numPr>
          <w:ilvl w:val="0"/>
          <w:numId w:val="17"/>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الاعتماد على الإجراءات المعيارية</w:t>
      </w:r>
    </w:p>
    <w:p w14:paraId="7D89504A" w14:textId="539EADEB"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تعتمد النظم التقليدية في اتخاذ القرار على إجراءات معيارية محددة سلفاً، حيث توضع قواعد وسياسات تحدد كيفية التعامل مع مختلف المواقف. وبينما تهدف هذه الإجراءات إلى ضمان الاتساق والموضوعية، إلا أنها تحد من المرونة والقدرة على التكيف مع الظروف الخاصة أو المتغير</w:t>
      </w:r>
      <w:r w:rsidR="0025755D">
        <w:rPr>
          <w:rFonts w:ascii="Simplified Arabic" w:hAnsi="Simplified Arabic" w:cs="Simplified Arabic" w:hint="cs"/>
          <w:sz w:val="28"/>
          <w:szCs w:val="28"/>
          <w:rtl/>
        </w:rPr>
        <w:t>ة</w:t>
      </w:r>
      <w:r w:rsidR="0025755D" w:rsidRPr="00C12376">
        <w:rPr>
          <w:rFonts w:ascii="Simplified Arabic" w:hAnsi="Simplified Arabic" w:cs="Simplified Arabic"/>
          <w:sz w:val="28"/>
          <w:szCs w:val="28"/>
        </w:rPr>
        <w:t xml:space="preserve"> (Muhammad Arip Islahudin &amp; Hadikurniawati, 2022).</w:t>
      </w:r>
    </w:p>
    <w:p w14:paraId="17DA32B4" w14:textId="759E02E1" w:rsid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ويميل صناع القرار في النظم التقليدية إلى الالتزام الحرفي بالإجراءات المحددة، حتى عندما تكون هذه الإجراءات غير مناسبة للموقف المحدد. وهذا الجمود يؤدي إلى قرارات قد تكون غير فعالة أو غير عادلة في بعض الحالات</w:t>
      </w:r>
      <w:r w:rsidR="0025755D" w:rsidRPr="00C12376">
        <w:rPr>
          <w:rFonts w:ascii="Simplified Arabic" w:hAnsi="Simplified Arabic" w:cs="Simplified Arabic"/>
          <w:sz w:val="28"/>
          <w:szCs w:val="28"/>
        </w:rPr>
        <w:t>(Massaro &amp; Galiano, 2020).</w:t>
      </w:r>
    </w:p>
    <w:p w14:paraId="336B0113" w14:textId="77777777" w:rsidR="00C724E1" w:rsidRPr="00C12376" w:rsidRDefault="00C724E1" w:rsidP="00C724E1">
      <w:pPr>
        <w:bidi/>
        <w:ind w:firstLine="720"/>
        <w:jc w:val="both"/>
        <w:rPr>
          <w:rFonts w:ascii="Simplified Arabic" w:hAnsi="Simplified Arabic" w:cs="Simplified Arabic"/>
          <w:sz w:val="28"/>
          <w:szCs w:val="28"/>
        </w:rPr>
      </w:pPr>
    </w:p>
    <w:p w14:paraId="28D7D4C5" w14:textId="49E15B63" w:rsidR="00C12376" w:rsidRPr="0025755D" w:rsidRDefault="00C12376" w:rsidP="0025755D">
      <w:pPr>
        <w:pStyle w:val="ListParagraph"/>
        <w:numPr>
          <w:ilvl w:val="0"/>
          <w:numId w:val="17"/>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lastRenderedPageBreak/>
        <w:t>محدودية المشاركة في صنع القرار</w:t>
      </w:r>
    </w:p>
    <w:p w14:paraId="7B0A57F0" w14:textId="24F19665"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في النظم التقليدية، تكون المشاركة في صنع القرار محصورة في مستويات إدارية محددة، وعادة ما يتم استبعاد العاملين في المستويات الدنيا من عملية صنع القرار. وهذا يحرم المؤسسة من خبرات ومعارف ووجهات نظر قيمة يمتلكها العاملون الذين يتعاملون مباشرة مع العمليات والعملاء</w:t>
      </w:r>
      <w:r w:rsidR="0025755D" w:rsidRPr="00C12376">
        <w:rPr>
          <w:rFonts w:ascii="Simplified Arabic" w:hAnsi="Simplified Arabic" w:cs="Simplified Arabic"/>
          <w:sz w:val="28"/>
          <w:szCs w:val="28"/>
        </w:rPr>
        <w:t xml:space="preserve"> (Nachev et al., 2020).</w:t>
      </w:r>
    </w:p>
    <w:p w14:paraId="56DC923D" w14:textId="4D42DF63" w:rsid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محدودية المشاركة تقلل من التزام العاملين بتنفيذ القرارات، حيث أنهم لم يشاركوا في صنعها ولم يشعروا بملكيتهم لها. وهذا قد يؤدي إلى مقاومة أو تنفيذ فاتر للقرارات الجديدة</w:t>
      </w:r>
      <w:r w:rsidRPr="00C12376">
        <w:rPr>
          <w:rFonts w:ascii="Simplified Arabic" w:hAnsi="Simplified Arabic" w:cs="Simplified Arabic"/>
          <w:sz w:val="28"/>
          <w:szCs w:val="28"/>
        </w:rPr>
        <w:t>.</w:t>
      </w:r>
      <w:r w:rsidR="0025755D" w:rsidRPr="00C12376">
        <w:rPr>
          <w:rFonts w:ascii="Simplified Arabic" w:hAnsi="Simplified Arabic" w:cs="Simplified Arabic"/>
          <w:sz w:val="28"/>
          <w:szCs w:val="28"/>
        </w:rPr>
        <w:t>(Massaro &amp; Galiano, 2020)</w:t>
      </w:r>
    </w:p>
    <w:p w14:paraId="2B5DDA0A" w14:textId="77777777" w:rsidR="00645C47" w:rsidRPr="00C724E1" w:rsidRDefault="00645C47" w:rsidP="00645C47">
      <w:pPr>
        <w:bidi/>
        <w:ind w:firstLine="720"/>
        <w:jc w:val="both"/>
        <w:rPr>
          <w:rFonts w:ascii="Simplified Arabic" w:hAnsi="Simplified Arabic" w:cs="Simplified Arabic"/>
          <w:sz w:val="2"/>
          <w:szCs w:val="2"/>
          <w:rtl/>
        </w:rPr>
      </w:pPr>
    </w:p>
    <w:p w14:paraId="66E31855" w14:textId="63236134" w:rsidR="00C12376" w:rsidRPr="0025755D" w:rsidRDefault="00C12376" w:rsidP="0025755D">
      <w:pPr>
        <w:pStyle w:val="ListParagraph"/>
        <w:numPr>
          <w:ilvl w:val="0"/>
          <w:numId w:val="17"/>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البطء في الاستجابة للمتغيرات</w:t>
      </w:r>
    </w:p>
    <w:p w14:paraId="61F87E78" w14:textId="77777777" w:rsidR="00C724E1"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نتيجة للمركزية والتدرج الهرمي والاعتماد على الإجراءات المعيارية، تتسم عملية اتخاذ القرار في النظم التقليدية بالبطء الشديد في الاستجابة للمتغيرات البيئية أو الفرص الجديدة.</w:t>
      </w:r>
    </w:p>
    <w:p w14:paraId="31295D7B" w14:textId="2B150F4B" w:rsidR="00C12376" w:rsidRPr="00C12376" w:rsidRDefault="00C12376" w:rsidP="00C724E1">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 فبحلول الوقت الذي يتم فيه اتخاذ القرار، قد تكون الظروف قد تغيرت أو الفرصة قد ضاعت</w:t>
      </w:r>
      <w:r w:rsidR="00645C47">
        <w:rPr>
          <w:rFonts w:ascii="Simplified Arabic" w:hAnsi="Simplified Arabic" w:cs="Simplified Arabic"/>
          <w:sz w:val="28"/>
          <w:szCs w:val="28"/>
        </w:rPr>
        <w:t xml:space="preserve"> </w:t>
      </w:r>
      <w:r w:rsidR="0025755D" w:rsidRPr="00C12376">
        <w:rPr>
          <w:rFonts w:ascii="Simplified Arabic" w:hAnsi="Simplified Arabic" w:cs="Simplified Arabic"/>
          <w:sz w:val="28"/>
          <w:szCs w:val="28"/>
          <w:rtl/>
        </w:rPr>
        <w:t>الأعلى</w:t>
      </w:r>
      <w:r w:rsidR="0025755D" w:rsidRPr="00C12376">
        <w:rPr>
          <w:rFonts w:ascii="Simplified Arabic" w:hAnsi="Simplified Arabic" w:cs="Simplified Arabic"/>
          <w:sz w:val="28"/>
          <w:szCs w:val="28"/>
        </w:rPr>
        <w:t xml:space="preserve"> (Nachev et al., 2020).</w:t>
      </w:r>
    </w:p>
    <w:p w14:paraId="1AF4010A" w14:textId="2D664B10"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وهذا البطء يمثل نقطة ضعف خطيرة في بيئة الأعمال المعاصرة التي تتسم بالتغير السريع والمنافسة الشديدة، حيث تذهب الفرص إلى المؤسسات الأسرع في الاستجابة واتخاذ القرار</w:t>
      </w:r>
      <w:r w:rsidR="0025755D" w:rsidRPr="00C12376">
        <w:rPr>
          <w:rFonts w:ascii="Simplified Arabic" w:hAnsi="Simplified Arabic" w:cs="Simplified Arabic"/>
          <w:sz w:val="28"/>
          <w:szCs w:val="28"/>
        </w:rPr>
        <w:t>(Weerakkody et al., 2021).</w:t>
      </w:r>
    </w:p>
    <w:p w14:paraId="1DD8AFCE" w14:textId="485A7C7A" w:rsidR="00C12376" w:rsidRPr="0025755D" w:rsidRDefault="00C12376" w:rsidP="0025755D">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أوجه القصور في الأساليب التقليدية أثناء الأزمات</w:t>
      </w:r>
    </w:p>
    <w:p w14:paraId="1CDD3D24" w14:textId="77777777" w:rsid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تظهر أوجه القصور في الأساليب التقليدية بشكل أكثر وضوحاً في أوقات الأزمات والتحديات الاستثنائية، حيث تتطلب هذه الظروف سرعة في الاستجابة، ومرونة في التكيف، وقدرة على الابتكار، وهي سمات لا تتوفر بشكل كافٍ في النظم التقليدية</w:t>
      </w:r>
      <w:r w:rsidRPr="00C12376">
        <w:rPr>
          <w:rFonts w:ascii="Simplified Arabic" w:hAnsi="Simplified Arabic" w:cs="Simplified Arabic"/>
          <w:sz w:val="28"/>
          <w:szCs w:val="28"/>
        </w:rPr>
        <w:t>.</w:t>
      </w:r>
    </w:p>
    <w:p w14:paraId="4C1EA84B" w14:textId="77777777" w:rsidR="00F01F80" w:rsidRPr="00C12376" w:rsidRDefault="00F01F80" w:rsidP="00F01F80">
      <w:pPr>
        <w:bidi/>
        <w:ind w:firstLine="720"/>
        <w:jc w:val="both"/>
        <w:rPr>
          <w:rFonts w:ascii="Simplified Arabic" w:hAnsi="Simplified Arabic" w:cs="Simplified Arabic"/>
          <w:sz w:val="28"/>
          <w:szCs w:val="28"/>
        </w:rPr>
      </w:pPr>
    </w:p>
    <w:p w14:paraId="6E7F569B" w14:textId="39A39475" w:rsidR="00C12376" w:rsidRPr="00A33325" w:rsidRDefault="00C12376" w:rsidP="00A33325">
      <w:pPr>
        <w:pStyle w:val="ListParagraph"/>
        <w:numPr>
          <w:ilvl w:val="0"/>
          <w:numId w:val="18"/>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lastRenderedPageBreak/>
        <w:t>البطء في الاستجابة للأزمات</w:t>
      </w:r>
    </w:p>
    <w:p w14:paraId="262A71EB"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يعد البطء في الاستجابة أحد أخطر أوجه القصور في الأساليب التقليدية أثناء الأزمات. فالأزمات بطبيعتها تتطلب اتخاذ قرارات سريعة وحاسمة، إلا أن الطبيعة الهرمية والبيروقراطية للنظم التقليدية تعيق سرعة الاستجابة. ويشير</w:t>
      </w:r>
      <w:r w:rsidRPr="00C12376">
        <w:rPr>
          <w:rFonts w:ascii="Simplified Arabic" w:hAnsi="Simplified Arabic" w:cs="Simplified Arabic"/>
          <w:sz w:val="28"/>
          <w:szCs w:val="28"/>
        </w:rPr>
        <w:t xml:space="preserve"> Ahmes Bayomy et al. (2021) </w:t>
      </w:r>
      <w:r w:rsidRPr="00C12376">
        <w:rPr>
          <w:rFonts w:ascii="Simplified Arabic" w:hAnsi="Simplified Arabic" w:cs="Simplified Arabic"/>
          <w:sz w:val="28"/>
          <w:szCs w:val="28"/>
          <w:rtl/>
        </w:rPr>
        <w:t>إلى أن النماذج التقليدية في إدارة العمليات تفتقر إلى القدرة على التكيف السريع مع التغيرات المفاجئة، مما يجعلها غير فعالة في مواجهة الأزمات</w:t>
      </w:r>
      <w:r w:rsidRPr="00C12376">
        <w:rPr>
          <w:rFonts w:ascii="Simplified Arabic" w:hAnsi="Simplified Arabic" w:cs="Simplified Arabic"/>
          <w:sz w:val="28"/>
          <w:szCs w:val="28"/>
        </w:rPr>
        <w:t>.</w:t>
      </w:r>
    </w:p>
    <w:p w14:paraId="398FF55D" w14:textId="77777777" w:rsidR="00A33325" w:rsidRDefault="00C12376" w:rsidP="00A33325">
      <w:pPr>
        <w:bidi/>
        <w:ind w:firstLine="720"/>
        <w:jc w:val="both"/>
        <w:rPr>
          <w:rFonts w:ascii="Simplified Arabic" w:hAnsi="Simplified Arabic" w:cs="Simplified Arabic"/>
          <w:sz w:val="28"/>
          <w:szCs w:val="28"/>
          <w:rtl/>
        </w:rPr>
      </w:pPr>
      <w:r w:rsidRPr="00C12376">
        <w:rPr>
          <w:rFonts w:ascii="Simplified Arabic" w:hAnsi="Simplified Arabic" w:cs="Simplified Arabic"/>
          <w:sz w:val="28"/>
          <w:szCs w:val="28"/>
          <w:rtl/>
        </w:rPr>
        <w:t>فالحاجة إلى رفع القضايا عبر المستويات الإدارية المتعددة للحصول على الموافقات، والالتزام بالإجراءات المعيارية المعقدة، والاعتماد على القنوات الرسمية للاتصال، كل ذلك يستهلك وقتاً ثميناً قد يكون حاسماً في السيطرة على الأزمة أو تخفيف آثارها</w:t>
      </w:r>
      <w:r w:rsidRPr="00C12376">
        <w:rPr>
          <w:rFonts w:ascii="Simplified Arabic" w:hAnsi="Simplified Arabic" w:cs="Simplified Arabic"/>
          <w:sz w:val="28"/>
          <w:szCs w:val="28"/>
        </w:rPr>
        <w:t xml:space="preserve"> (Al-Anqoudi et al., 2021).</w:t>
      </w:r>
    </w:p>
    <w:p w14:paraId="38B15C39" w14:textId="14A5D959"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المركزية الشديدة في اتخاذ القرار تعني أن القرارات الحاسمة يجب أن تتخذ في القمة، مما قد يؤدي إلى تأخير خطير إذا كانت القيادة العليا غير متاحة أو مشغولة بقضايا أخرى. وفي الأزمات، قد لا يتوفر الوقت الكافي لانتظار الإدارة العليا لاتخاذ القرار</w:t>
      </w:r>
      <w:r w:rsidRPr="00C12376">
        <w:rPr>
          <w:rFonts w:ascii="Simplified Arabic" w:hAnsi="Simplified Arabic" w:cs="Simplified Arabic"/>
          <w:sz w:val="28"/>
          <w:szCs w:val="28"/>
        </w:rPr>
        <w:t xml:space="preserve"> (Al-Mawdieh, 2020).</w:t>
      </w:r>
    </w:p>
    <w:p w14:paraId="072BC636" w14:textId="62C4B5F1" w:rsidR="00C12376" w:rsidRPr="00A33325" w:rsidRDefault="00C12376" w:rsidP="00A33325">
      <w:pPr>
        <w:pStyle w:val="ListParagraph"/>
        <w:numPr>
          <w:ilvl w:val="0"/>
          <w:numId w:val="18"/>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ضعف المرونة والقدرة على التكيف</w:t>
      </w:r>
    </w:p>
    <w:p w14:paraId="355FAE61"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تتطلب الأزمات مرونة عالية في التكيف مع الظروف المتغيرة واستعداداً للخروج عن الإجراءات المعتادة عند الضرورة. إلا أن النظم التقليدية تتسم بالجمود وضعف المرونة، حيث أن القواعد والإجراءات الصارمة، والتقسيم الوظيفي الجامد، والهياكل التنظيمية الهرمية، كلها تعيق القدرة على التكيف السريع</w:t>
      </w:r>
      <w:r w:rsidRPr="00C12376">
        <w:rPr>
          <w:rFonts w:ascii="Simplified Arabic" w:hAnsi="Simplified Arabic" w:cs="Simplified Arabic"/>
          <w:sz w:val="28"/>
          <w:szCs w:val="28"/>
        </w:rPr>
        <w:t xml:space="preserve"> (Battilani et al., 2022).</w:t>
      </w:r>
    </w:p>
    <w:p w14:paraId="32B191E3"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فالعاملون في النظم التقليدية معتادون على اتباع الإجراءات المحددة والعمل ضمن نطاق وظائفهم الضيقة، وقد يجدون صعوبة في التصرف بمرونة أو الخروج عن الإجراءات المعتادة حتى عندما تتطلب الأزمة ذلك. كما أن الخوف من المساءلة أو العقاب قد يمنع العاملين من اتخاذ مبادرات أو قرارات غير تقليدية حتى لو كانت ضرورية</w:t>
      </w:r>
      <w:r w:rsidRPr="00C12376">
        <w:rPr>
          <w:rFonts w:ascii="Simplified Arabic" w:hAnsi="Simplified Arabic" w:cs="Simplified Arabic"/>
          <w:sz w:val="28"/>
          <w:szCs w:val="28"/>
        </w:rPr>
        <w:t xml:space="preserve"> (Catursari et al., 2023).</w:t>
      </w:r>
    </w:p>
    <w:p w14:paraId="6136725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وتفتقر النظم التقليدية إلى آليات سريعة لإعادة تخصيص الموارد أو إعادة هيكلة الفرق أو تغيير الأولويات استجابة للأزمة. فالهياكل الجامدة والإجراءات المعقدة تجعل من الصعب إجراء تغييرات سريعة في التنظيم أو العمليات</w:t>
      </w:r>
      <w:r w:rsidRPr="00C12376">
        <w:rPr>
          <w:rFonts w:ascii="Simplified Arabic" w:hAnsi="Simplified Arabic" w:cs="Simplified Arabic"/>
          <w:sz w:val="28"/>
          <w:szCs w:val="28"/>
        </w:rPr>
        <w:t xml:space="preserve"> (Chandra Puspita &amp; Unisri, 2022).</w:t>
      </w:r>
    </w:p>
    <w:p w14:paraId="7AEE7832" w14:textId="2999114E" w:rsidR="00A33325" w:rsidRPr="00A33325" w:rsidRDefault="00C12376" w:rsidP="00A33325">
      <w:pPr>
        <w:pStyle w:val="ListParagraph"/>
        <w:numPr>
          <w:ilvl w:val="0"/>
          <w:numId w:val="18"/>
        </w:numPr>
        <w:bidi/>
        <w:jc w:val="both"/>
        <w:rPr>
          <w:rFonts w:ascii="Simplified Arabic" w:hAnsi="Simplified Arabic" w:cs="Simplified Arabic"/>
          <w:b/>
          <w:bCs/>
          <w:sz w:val="28"/>
          <w:szCs w:val="28"/>
          <w:rtl/>
        </w:rPr>
      </w:pPr>
      <w:r w:rsidRPr="00A33325">
        <w:rPr>
          <w:rFonts w:ascii="Simplified Arabic" w:hAnsi="Simplified Arabic" w:cs="Simplified Arabic"/>
          <w:b/>
          <w:bCs/>
          <w:sz w:val="28"/>
          <w:szCs w:val="28"/>
          <w:rtl/>
        </w:rPr>
        <w:t>مقاومة التغيير</w:t>
      </w:r>
    </w:p>
    <w:p w14:paraId="00726555"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تُعَدّ مقاومة التغيير من أبرز التحديات التي تواجه النظم الإدارية التقليدية، خصوصًا خلال فترات الأزمات التي تتطلب استجابات سريعة وتغييرات جذرية في أساليب العمل والهياكل التنظيمية. تنبع هذه المقاومة من مجموعة من العوامل العميقة المتأصلة في طبيعة الأساليب التقليدية وطبيعة الثقافة المؤسسية التي تحكمها</w:t>
      </w:r>
      <w:r w:rsidRPr="00A33325">
        <w:rPr>
          <w:rFonts w:ascii="Simplified Arabic" w:hAnsi="Simplified Arabic" w:cs="Simplified Arabic"/>
          <w:sz w:val="28"/>
          <w:szCs w:val="28"/>
        </w:rPr>
        <w:t>.</w:t>
      </w:r>
    </w:p>
    <w:p w14:paraId="3FA616F1"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أول هذه العوامل هو الثقافة التنظيمية المحافظة التي تهيمن على النظم التقليدية، حيث يسود الميل إلى الحفاظ على الوضع القائم وتجنّب المخاطرة بالتجديد أو الابتكار. في مثل هذه البيئات، يميل العاملون والمديرون إلى التمسك بالإجراءات الراسخة ورفض أي تغيير قد يُحدث اضطرابًا في التوازن الداخلي، مما يجعل عملية التكيف مع الأزمات بطيئة وصعبة</w:t>
      </w:r>
      <w:r w:rsidRPr="00A33325">
        <w:rPr>
          <w:rFonts w:ascii="Simplified Arabic" w:hAnsi="Simplified Arabic" w:cs="Simplified Arabic"/>
          <w:sz w:val="28"/>
          <w:szCs w:val="28"/>
        </w:rPr>
        <w:t xml:space="preserve"> (Elapatha &amp; Jehan, 2020).</w:t>
      </w:r>
    </w:p>
    <w:p w14:paraId="61CAE3B5"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أما العامل الثاني فيتمثل في الخوف من المجهول وفقدان المكاسب المحققة</w:t>
      </w:r>
      <w:r w:rsidRPr="00A33325">
        <w:rPr>
          <w:rFonts w:ascii="Simplified Arabic" w:hAnsi="Simplified Arabic" w:cs="Simplified Arabic"/>
          <w:sz w:val="28"/>
          <w:szCs w:val="28"/>
        </w:rPr>
        <w:t xml:space="preserve">. </w:t>
      </w:r>
      <w:r w:rsidRPr="00A33325">
        <w:rPr>
          <w:rFonts w:ascii="Simplified Arabic" w:hAnsi="Simplified Arabic" w:cs="Simplified Arabic"/>
          <w:sz w:val="28"/>
          <w:szCs w:val="28"/>
          <w:rtl/>
        </w:rPr>
        <w:t>فالتغيير يُنظر إليه في كثير من الأحيان على أنه تهديد للمراكز الوظيفية أو للصلاحيات والمكانة الإدارية التي اكتسبها الأفراد على مرّ الزمن. هذا الشعور بالخطر يدفع البعض إلى مقاومة التغيير بشدة، حتى وإن كان ضرورياً لبقاء المؤسسة واستمراريتها</w:t>
      </w:r>
      <w:r w:rsidRPr="00A33325">
        <w:rPr>
          <w:rFonts w:ascii="Simplified Arabic" w:hAnsi="Simplified Arabic" w:cs="Simplified Arabic"/>
          <w:sz w:val="28"/>
          <w:szCs w:val="28"/>
        </w:rPr>
        <w:t xml:space="preserve"> (Fatile et al., 2020).</w:t>
      </w:r>
    </w:p>
    <w:p w14:paraId="3F8E78FC"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ويُضاف إلى ذلك الافتقار إلى المهارات والقدرات اللازمة للتعامل مع التغيير، إذ يعتاد العاملون في النظم التقليدية على أنماط عمل محددة وروتينية، مما يجعلهم غير مستعدين تقنياً أو ذهنياً لتبني أساليب جديدة تتطلب مهارات مختلفة. هذا العجز في الكفاءات يخلق بطبيعة الحال مقاومة داخلية لأي توجه نحو التجديد أو التحديث</w:t>
      </w:r>
      <w:r w:rsidRPr="00A33325">
        <w:rPr>
          <w:rFonts w:ascii="Simplified Arabic" w:hAnsi="Simplified Arabic" w:cs="Simplified Arabic"/>
          <w:sz w:val="28"/>
          <w:szCs w:val="28"/>
        </w:rPr>
        <w:t xml:space="preserve"> (Hooda &amp; Singla, 2020).</w:t>
      </w:r>
    </w:p>
    <w:p w14:paraId="57C43A68"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lastRenderedPageBreak/>
        <w:t>وأخيرًا، تسهم ضعف قنوات التواصل المؤسسي وعدم وضوح أهداف التغيير وفوائده في تعميق هذه المقاومة، حيث تفتقر النظم التقليدية غالبًا إلى آليات فعالة لإيصال المعلومات والتوعية بأسباب التغيير. ونتيجة لذلك، تنتشر الشكوك والمخاوف بين العاملين، مما يزيد من احتمالية رفض التغييرات أو التقاعس عن تنفيذها</w:t>
      </w:r>
      <w:r w:rsidRPr="00A33325">
        <w:rPr>
          <w:rFonts w:ascii="Simplified Arabic" w:hAnsi="Simplified Arabic" w:cs="Simplified Arabic"/>
          <w:sz w:val="28"/>
          <w:szCs w:val="28"/>
        </w:rPr>
        <w:t xml:space="preserve"> (Weerakkody et al., 2021).</w:t>
      </w:r>
    </w:p>
    <w:p w14:paraId="60FF559E" w14:textId="3FEBADF8" w:rsidR="00A33325" w:rsidRPr="00A33325" w:rsidRDefault="00A33325" w:rsidP="00A33325">
      <w:pPr>
        <w:bidi/>
        <w:ind w:firstLine="720"/>
        <w:jc w:val="both"/>
        <w:rPr>
          <w:rFonts w:ascii="Simplified Arabic" w:hAnsi="Simplified Arabic" w:cs="Simplified Arabic"/>
          <w:sz w:val="28"/>
          <w:szCs w:val="28"/>
          <w:rtl/>
        </w:rPr>
      </w:pPr>
      <w:r w:rsidRPr="00A33325">
        <w:rPr>
          <w:rFonts w:ascii="Simplified Arabic" w:hAnsi="Simplified Arabic" w:cs="Simplified Arabic"/>
          <w:sz w:val="28"/>
          <w:szCs w:val="28"/>
          <w:rtl/>
        </w:rPr>
        <w:t>وهكذا، فإن مقاومة التغيير في النظم التقليدية لا تنبع من عامل واحد، بل من منظومة متشابكة من القيم والعادات والهياكل التنظيمية الجامدة، التي تجعل عملية التحول صعبة في أوقات تحتاج فيها المؤسسات إلى أعلى درجات المرونة والاستجابة</w:t>
      </w:r>
      <w:r w:rsidRPr="00A33325">
        <w:rPr>
          <w:rFonts w:ascii="Simplified Arabic" w:hAnsi="Simplified Arabic" w:cs="Simplified Arabic"/>
          <w:sz w:val="28"/>
          <w:szCs w:val="28"/>
        </w:rPr>
        <w:t>.</w:t>
      </w:r>
    </w:p>
    <w:p w14:paraId="29374CD7" w14:textId="4F7DE3E7" w:rsidR="00C12376" w:rsidRPr="00A33325" w:rsidRDefault="00C12376" w:rsidP="00A33325">
      <w:pPr>
        <w:pStyle w:val="ListParagraph"/>
        <w:numPr>
          <w:ilvl w:val="0"/>
          <w:numId w:val="18"/>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ضعف التنسيق والتكامل</w:t>
      </w:r>
    </w:p>
    <w:p w14:paraId="498BABFF"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في أوقات الأزمات، يصبح التنسيق والتكامل بين مختلف أجزاء المؤسسة أمراً حيوياً للاستجابة الفعالة. إلا أن النظم التقليدية تعاني من ضعف في التنسيق الأفقي بين الأقسام والوحدات المختلفة، نتيجة للتنظيم الوظيفي والحواجز البيروقراطية</w:t>
      </w:r>
      <w:r w:rsidRPr="00C12376">
        <w:rPr>
          <w:rFonts w:ascii="Simplified Arabic" w:hAnsi="Simplified Arabic" w:cs="Simplified Arabic"/>
          <w:sz w:val="28"/>
          <w:szCs w:val="28"/>
        </w:rPr>
        <w:t>.</w:t>
      </w:r>
    </w:p>
    <w:p w14:paraId="0E5231F4"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فكل قسم في النظام التقليدي يعمل بشكل شبه مستقل، مع تركيز على أهدافه ومؤشراته الخاصة، دون اهتمام كافٍ بالتنسيق مع الأقسام الأخرى. وهذا النهج المنعزل يعيق القدرة على تطوير استجابة متكاملة وشاملة للأزمة</w:t>
      </w:r>
      <w:r w:rsidRPr="00C12376">
        <w:rPr>
          <w:rFonts w:ascii="Simplified Arabic" w:hAnsi="Simplified Arabic" w:cs="Simplified Arabic"/>
          <w:sz w:val="28"/>
          <w:szCs w:val="28"/>
        </w:rPr>
        <w:t xml:space="preserve"> (Kumar, 2024).</w:t>
      </w:r>
    </w:p>
    <w:p w14:paraId="025308B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القنوات الرسمية للاتصال والتنسيق في النظم التقليدية غالباً ما تكون بطيئة ومعقدة، حيث يتطلب التنسيق بين قسمين رفع الأمر إلى المستويات العليا المشتركة، مما يستهلك وقتاً ثميناً</w:t>
      </w:r>
      <w:r w:rsidRPr="00C12376">
        <w:rPr>
          <w:rFonts w:ascii="Simplified Arabic" w:hAnsi="Simplified Arabic" w:cs="Simplified Arabic"/>
          <w:sz w:val="28"/>
          <w:szCs w:val="28"/>
        </w:rPr>
        <w:t xml:space="preserve"> (Massaro &amp; Galiano, 2020).</w:t>
      </w:r>
    </w:p>
    <w:p w14:paraId="46828C0E" w14:textId="5D775D10" w:rsidR="00C12376" w:rsidRPr="00A33325" w:rsidRDefault="00C12376" w:rsidP="00A33325">
      <w:pPr>
        <w:pStyle w:val="ListParagraph"/>
        <w:numPr>
          <w:ilvl w:val="0"/>
          <w:numId w:val="18"/>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محدودية الابتكار والإبداع</w:t>
      </w:r>
    </w:p>
    <w:p w14:paraId="1943CFAE"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تتطلب الأزمات غالباً حلولاً إبداعية ومبتكرة تتجاوز الأساليب التقليدية المعتادة. إلا أن النظم التقليدية لا تشجع على الابتكار والإبداع، بل تركز على الالتزام بالإجراءات المحددة والطرق المعتادة في العمل</w:t>
      </w:r>
      <w:r w:rsidRPr="00C12376">
        <w:rPr>
          <w:rFonts w:ascii="Simplified Arabic" w:hAnsi="Simplified Arabic" w:cs="Simplified Arabic"/>
          <w:sz w:val="28"/>
          <w:szCs w:val="28"/>
        </w:rPr>
        <w:t>.</w:t>
      </w:r>
    </w:p>
    <w:p w14:paraId="5983017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فالبيئة البيروقراطية الصارمة، والرقابة المشددة، والخوف من الخطأ، وعدم التسامح مع الفشل، كلها عوامل تثبط المبادرات الإبداعية وتدفع العاملين إلى الالتزام بالأساليب الآمنة المجربة حتى لو كانت غير فعالة في التعامل مع الأزمة</w:t>
      </w:r>
      <w:r w:rsidRPr="00C12376">
        <w:rPr>
          <w:rFonts w:ascii="Simplified Arabic" w:hAnsi="Simplified Arabic" w:cs="Simplified Arabic"/>
          <w:sz w:val="28"/>
          <w:szCs w:val="28"/>
        </w:rPr>
        <w:t xml:space="preserve"> (Muhammad Arip Islahudin &amp; Hadikurniawati, 2022).</w:t>
      </w:r>
    </w:p>
    <w:p w14:paraId="11DC992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محدودية المشاركة في صنع القرار تحرم المؤسسة من الأفكار والحلول الإبداعية التي قد يمتلكها العاملون في المستويات المختلفة، خاصة أولئك الذين يتعاملون مباشرة مع تفاصيل المشكلات والتحديات</w:t>
      </w:r>
      <w:r w:rsidRPr="00C12376">
        <w:rPr>
          <w:rFonts w:ascii="Simplified Arabic" w:hAnsi="Simplified Arabic" w:cs="Simplified Arabic"/>
          <w:sz w:val="28"/>
          <w:szCs w:val="28"/>
        </w:rPr>
        <w:t xml:space="preserve"> (Nachev et al., 2020).</w:t>
      </w:r>
    </w:p>
    <w:p w14:paraId="56EC8CB0" w14:textId="7ECCAC3F" w:rsidR="00C12376" w:rsidRPr="00A33325" w:rsidRDefault="00C12376" w:rsidP="00A33325">
      <w:pPr>
        <w:pStyle w:val="ListParagraph"/>
        <w:numPr>
          <w:ilvl w:val="0"/>
          <w:numId w:val="18"/>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الافتقار إلى القدرة على التعلم السريع</w:t>
      </w:r>
    </w:p>
    <w:p w14:paraId="4BDE3120"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تتطلب إدارة الأزمات بفعالية القدرة على التعلم السريع من التجربة وتعديل الاستراتيجيات والأساليب بناءً على التغذية الراجعة والنتائج. إلا أن النظم التقليدية تفتقر إلى آليات التعلم المؤسسي السريع، حيث أن الهياكل الهرمية والإجراءات البيروقراطية تعيق تدفق المعلومات والدروس المستفادة</w:t>
      </w:r>
      <w:r w:rsidRPr="00C12376">
        <w:rPr>
          <w:rFonts w:ascii="Simplified Arabic" w:hAnsi="Simplified Arabic" w:cs="Simplified Arabic"/>
          <w:sz w:val="28"/>
          <w:szCs w:val="28"/>
        </w:rPr>
        <w:t xml:space="preserve"> (Nwankwo et al., 2020).</w:t>
      </w:r>
    </w:p>
    <w:p w14:paraId="260F75C3"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الثقافة التنظيمية التقليدية قد لا تشجع على الاعتراف بالأخطاء أو الفشل، مما يعيق التعلم منها. فالعاملون قد يخفون المشكلات أو يتجنبون الإبلاغ عن الأخطاء خوفاً من المساءلة، مما يحرم المؤسسة من فرص التعلم والتحسين</w:t>
      </w:r>
      <w:r w:rsidRPr="00C12376">
        <w:rPr>
          <w:rFonts w:ascii="Simplified Arabic" w:hAnsi="Simplified Arabic" w:cs="Simplified Arabic"/>
          <w:sz w:val="28"/>
          <w:szCs w:val="28"/>
        </w:rPr>
        <w:t xml:space="preserve"> (Pramartha &amp; Mimba, 2020).</w:t>
      </w:r>
    </w:p>
    <w:p w14:paraId="3A258B36" w14:textId="72E1B7EC" w:rsidR="00C12376" w:rsidRPr="00A33325" w:rsidRDefault="00C12376" w:rsidP="00A33325">
      <w:pPr>
        <w:pStyle w:val="ListParagraph"/>
        <w:numPr>
          <w:ilvl w:val="0"/>
          <w:numId w:val="16"/>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خلاصة</w:t>
      </w:r>
      <w:r w:rsidR="00A33325">
        <w:rPr>
          <w:rFonts w:ascii="Simplified Arabic" w:hAnsi="Simplified Arabic" w:cs="Simplified Arabic" w:hint="cs"/>
          <w:b/>
          <w:bCs/>
          <w:sz w:val="28"/>
          <w:szCs w:val="28"/>
          <w:rtl/>
        </w:rPr>
        <w:t xml:space="preserve"> الم</w:t>
      </w:r>
      <w:r w:rsidR="00C16181">
        <w:rPr>
          <w:rFonts w:ascii="Simplified Arabic" w:hAnsi="Simplified Arabic" w:cs="Simplified Arabic" w:hint="cs"/>
          <w:b/>
          <w:bCs/>
          <w:sz w:val="28"/>
          <w:szCs w:val="28"/>
          <w:rtl/>
        </w:rPr>
        <w:t>حور</w:t>
      </w:r>
    </w:p>
    <w:p w14:paraId="4D5A7A7F"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يتضح من العرض السابق أن الأساليب التقليدية في الإدارة، رغم أنها حققت نجاحاً نسبياً في بيئات الأعمال المستقرة والبسيطة نسبياً، إلا أنها تعاني من قصور واضح في التعامل مع متطلبات البيئة المعاصرة المتغيرة والمعقدة. فالهياكل الهرمية الصارمة، والبيروقراطية المفرطة، والمركزية في اتخاذ القرار، والجمود في الإجراءات، كلها عوامل تعيق القدرة على الاستجابة السريعة والمرونة والابتكار</w:t>
      </w:r>
      <w:r w:rsidRPr="00C12376">
        <w:rPr>
          <w:rFonts w:ascii="Simplified Arabic" w:hAnsi="Simplified Arabic" w:cs="Simplified Arabic"/>
          <w:sz w:val="28"/>
          <w:szCs w:val="28"/>
        </w:rPr>
        <w:t>.</w:t>
      </w:r>
    </w:p>
    <w:p w14:paraId="231A38D9"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وتظهر هذه الأوجه من القصور بشكل أكثر حدة أثناء الأزمات، حيث يصبح البطء في الاستجابة وضعف المرونة ومقاومة التغيير مشكلات خطيرة قد تهدد بقاء المؤسسة. وهذا ما دفع إلى ظهور مداخل إدارية حديثة مثل إعادة هندسة العمليات الإدارية، التي تسعى إلى التغلب على قيود الأساليب التقليدية من خلال إعادة التفكير الجذري في تصميم العمليات والهياكل التنظيمية</w:t>
      </w:r>
      <w:r w:rsidRPr="00C12376">
        <w:rPr>
          <w:rFonts w:ascii="Simplified Arabic" w:hAnsi="Simplified Arabic" w:cs="Simplified Arabic"/>
          <w:sz w:val="28"/>
          <w:szCs w:val="28"/>
        </w:rPr>
        <w:t>.</w:t>
      </w:r>
    </w:p>
    <w:p w14:paraId="042C5F4D" w14:textId="4F2B22C2" w:rsidR="008C4529" w:rsidRDefault="00C12376" w:rsidP="00F01F80">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ويتطلب الانتقال من الأساليب التقليدية إلى المداخل الحديثة تغييراً جوهرياً في الفكر الإداري، من التركيز على الوظائف إلى التركيز على العمليات، ومن المركزية إلى اللامركزية، ومن الجمود إلى المرونة، ومن الرقابة المشددة إلى التمكين والثقة. وهذا التحول ليس سهلاً، لكنه ضروري للمؤسسات التي تسعى للبقاء والنجاح في بيئة الأعمال المعاصرة</w:t>
      </w:r>
      <w:r w:rsidRPr="00C12376">
        <w:rPr>
          <w:rFonts w:ascii="Simplified Arabic" w:hAnsi="Simplified Arabic" w:cs="Simplified Arabic"/>
          <w:sz w:val="28"/>
          <w:szCs w:val="28"/>
        </w:rPr>
        <w:t>.</w:t>
      </w:r>
    </w:p>
    <w:p w14:paraId="0F8777CB" w14:textId="77777777" w:rsidR="00F01F80" w:rsidRPr="00F01F80" w:rsidRDefault="00F01F80" w:rsidP="00F01F80">
      <w:pPr>
        <w:bidi/>
        <w:ind w:firstLine="720"/>
        <w:jc w:val="both"/>
        <w:rPr>
          <w:rFonts w:ascii="Simplified Arabic" w:hAnsi="Simplified Arabic" w:cs="Simplified Arabic"/>
          <w:sz w:val="8"/>
          <w:szCs w:val="8"/>
        </w:rPr>
      </w:pPr>
    </w:p>
    <w:p w14:paraId="6221CCB2" w14:textId="77777777" w:rsidR="00C16181" w:rsidRPr="00C16181" w:rsidRDefault="00C16181" w:rsidP="00C16181">
      <w:pPr>
        <w:bidi/>
        <w:jc w:val="both"/>
        <w:rPr>
          <w:rFonts w:ascii="Simplified Arabic" w:hAnsi="Simplified Arabic" w:cs="Simplified Arabic"/>
          <w:b/>
          <w:bCs/>
          <w:sz w:val="28"/>
          <w:szCs w:val="28"/>
        </w:rPr>
      </w:pPr>
      <w:r w:rsidRPr="00C16181">
        <w:rPr>
          <w:rFonts w:ascii="Simplified Arabic" w:hAnsi="Simplified Arabic" w:cs="Simplified Arabic"/>
          <w:b/>
          <w:bCs/>
          <w:sz w:val="28"/>
          <w:szCs w:val="28"/>
          <w:rtl/>
        </w:rPr>
        <w:t>المحور الثالث: المرونة التنظيمية كأسلوب إداري حديث</w:t>
      </w:r>
    </w:p>
    <w:p w14:paraId="0CACE7B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في ظل بيئة الأعمال المتسارعة التغير والمتزايدة التعقيد، برزت المرونة التنظيمية كإحدى الخصائص الحرجة للمؤسسات الناجحة والقادرة على البقاء والاستمرار. فقد أظهرت التحديات والأزمات المتعاقبة التي واجهتها المؤسسات في العقود الأخيرة أن القدرة على التكيف السريع والاستجابة الفعالة للتغيرات لم تعد ميزة تنافسية فحسب، بل أصبحت ضرورة حتمية للبقاء. وتمثل المرونة التنظيمية نقيضاً للجمود البيروقراطي الذي يميز الأساليب التقليدية في الإدارة، حيث تركز على القدرة على التعلم والتكيف والابتكار في مواجهة التحديات المتغيرة. وقد أصبحت إعادة هندسة العمليات الإدارية أداة محورية لبناء هذه المرونة التنظيمية، من خلال إعادة تصميم العمليات والهياكل بما يحقق السرعة والمرونة والقدرة على الاستجابة للتغيرات البيئية والأزمات الطارئة</w:t>
      </w:r>
      <w:r w:rsidRPr="00C16181">
        <w:rPr>
          <w:rFonts w:ascii="Simplified Arabic" w:hAnsi="Simplified Arabic" w:cs="Simplified Arabic"/>
          <w:sz w:val="28"/>
          <w:szCs w:val="28"/>
        </w:rPr>
        <w:t>.</w:t>
      </w:r>
    </w:p>
    <w:p w14:paraId="6041CC2A" w14:textId="541B2AAF" w:rsidR="00C16181" w:rsidRPr="001327FB" w:rsidRDefault="00C16181" w:rsidP="001327FB">
      <w:pPr>
        <w:pStyle w:val="ListParagraph"/>
        <w:numPr>
          <w:ilvl w:val="0"/>
          <w:numId w:val="16"/>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مفهوم المرونة التنظيمية</w:t>
      </w:r>
      <w:r w:rsidRPr="001327FB">
        <w:rPr>
          <w:rFonts w:ascii="Simplified Arabic" w:hAnsi="Simplified Arabic" w:cs="Simplified Arabic"/>
          <w:b/>
          <w:bCs/>
          <w:sz w:val="28"/>
          <w:szCs w:val="28"/>
        </w:rPr>
        <w:t xml:space="preserve"> (Organizational Resilience/Flexibility)</w:t>
      </w:r>
    </w:p>
    <w:p w14:paraId="5742570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تعد المرونة التنظيمية من المفاهيم الإدارية المعاصرة التي حظيت باهتمام متزايد من الباحثين والممارسين في السنوات الأخيرة، نظراً لأهميتها الحاسمة في قدرة المؤسسات على التعامل مع التغيرات والتحديات المتسارعة. وتشير المرونة التنظيمية إلى قدرة المؤسسة على استيعاب التغيرات والصدمات </w:t>
      </w:r>
      <w:r w:rsidRPr="00C16181">
        <w:rPr>
          <w:rFonts w:ascii="Simplified Arabic" w:hAnsi="Simplified Arabic" w:cs="Simplified Arabic"/>
          <w:sz w:val="28"/>
          <w:szCs w:val="28"/>
          <w:rtl/>
        </w:rPr>
        <w:lastRenderedPageBreak/>
        <w:t>والأزمات، والتكيف معها بفعالية، والتعافي السريع منها، والاستمرار في تحقيق أهدافها، بل وربما الخروج من التجربة بشكل أقوى وأكثر قدرة (سعال، 2023)</w:t>
      </w:r>
      <w:r w:rsidRPr="00C16181">
        <w:rPr>
          <w:rFonts w:ascii="Simplified Arabic" w:hAnsi="Simplified Arabic" w:cs="Simplified Arabic"/>
          <w:sz w:val="28"/>
          <w:szCs w:val="28"/>
        </w:rPr>
        <w:t>.</w:t>
      </w:r>
    </w:p>
    <w:p w14:paraId="271267D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وتتجاوز المرونة التنظيمية مفهوم القدرة على البقاء فحسب، لتشمل القدرة على التطور والنمو في ظل الظروف المتغيرة. فالمؤسسات المرنة لا تكتفي بالاستجابة للتغيرات بشكل دفاعي، وإنما تستبق التغيرات وتستثمرها كفرص للتطوير والتحسين. وفي هذا السياق، يؤكد بن يوسف وعياش (2021) على أن المرونة التنظيمية تتطلب بناء قدرات مؤسسية تمكن المؤسسة من الاستشعار المبكر للتغيرات، والاستجابة السريعة لها، والتعلم المستمر من التجارب</w:t>
      </w:r>
      <w:r w:rsidRPr="00C16181">
        <w:rPr>
          <w:rFonts w:ascii="Simplified Arabic" w:hAnsi="Simplified Arabic" w:cs="Simplified Arabic"/>
          <w:sz w:val="28"/>
          <w:szCs w:val="28"/>
        </w:rPr>
        <w:t>.</w:t>
      </w:r>
    </w:p>
    <w:p w14:paraId="0827507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ويرى جاد الرب (2025) أن المرونة التنظيمية تنطوي على بعدين أساسيين: البعد الأول هو المرونة الاستباقية التي تشير إلى قدرة المؤسسة على توقع التغيرات والتحديات المحتملة والاستعداد لها مسبقاً من خلال بناء القدرات اللازمة ووضع الخطط الاحترازية. أما البعد الثاني فهو المرونة التفاعلية التي تعني القدرة على الاستجابة السريعة والفعالة للتغيرات والأزمات الفعلية عند حدوثها، من خلال إعادة تشكيل الموارد والعمليات والاستراتيجيات بما يتناسب مع الوضع الجديد</w:t>
      </w:r>
      <w:r w:rsidRPr="00C16181">
        <w:rPr>
          <w:rFonts w:ascii="Simplified Arabic" w:hAnsi="Simplified Arabic" w:cs="Simplified Arabic"/>
          <w:sz w:val="28"/>
          <w:szCs w:val="28"/>
        </w:rPr>
        <w:t>.</w:t>
      </w:r>
    </w:p>
    <w:p w14:paraId="6746D47F"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وتشمل المرونة التنظيمية عدة أبعاد متداخلة، منها المرونة الهيكلية التي تتعلق بقدرة الهيكل التنظيمي على التكيف والتغيير بسرعة، والمرونة الإستراتيجية التي تشير إلى القدرة على تعديل الاستراتيجيات والأهداف استجابة للتغيرات البيئية، والمرونة التشغيلية التي تتعلق بقدرة العمليات والأنظمة على التكيف والتعديل، والمرونة الثقافية التي تعكس قدرة الثقافة التنظيمية على تقبل التغيير ودعمه (السدمي، 2022)</w:t>
      </w:r>
      <w:r w:rsidRPr="00C16181">
        <w:rPr>
          <w:rFonts w:ascii="Simplified Arabic" w:hAnsi="Simplified Arabic" w:cs="Simplified Arabic"/>
          <w:sz w:val="28"/>
          <w:szCs w:val="28"/>
        </w:rPr>
        <w:t>.</w:t>
      </w:r>
    </w:p>
    <w:p w14:paraId="2353023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ويشير حسن (2022) إلى أن المرونة التنظيمية لا تعني غياب الهيكل أو الفوضى، وإنما تعني وجود هياكل وأنظمة قادرة على التكيف والتعديل عند الحاجة، دون فقدان التماسك أو الاتجاه. فالمؤسسات المرنة تجمع بين الاستقرار الكافي لضمان الكفاءة والاستمرارية، والقدرة على التغيير السريع عند الضرورة</w:t>
      </w:r>
      <w:r w:rsidRPr="00C16181">
        <w:rPr>
          <w:rFonts w:ascii="Simplified Arabic" w:hAnsi="Simplified Arabic" w:cs="Simplified Arabic"/>
          <w:sz w:val="28"/>
          <w:szCs w:val="28"/>
        </w:rPr>
        <w:t>.</w:t>
      </w:r>
    </w:p>
    <w:p w14:paraId="428928B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lastRenderedPageBreak/>
        <w:t>وتوضح زهران (2020) أن المرونة التنظيمية تتطلب توازناً دقيقاً بين عدة عوامل متناقضة ظاهرياً، مثل الاستقرار والتغيير، والكفاءة والابتكار، والرقابة والتمكين، والتخطيط والارتجال. والمؤسسات الناجحة هي تلك التي تستطيع تحقيق هذا التوازن الديناميكي بما يتناسب مع ظروفها واحتياجاتها</w:t>
      </w:r>
      <w:r w:rsidRPr="00C16181">
        <w:rPr>
          <w:rFonts w:ascii="Simplified Arabic" w:hAnsi="Simplified Arabic" w:cs="Simplified Arabic"/>
          <w:sz w:val="28"/>
          <w:szCs w:val="28"/>
        </w:rPr>
        <w:t>.</w:t>
      </w:r>
    </w:p>
    <w:p w14:paraId="22ECA0F2"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وقد أكد الحطامي والأشول (2024) على أن إعادة هندسة العمليات الإدارية تساهم بشكل مباشر في بناء المرونة التنظيمية، من خلال تبسيط العمليات، وتقليل المستويات الهرمية، وتمكين العاملين، وتطبيق التكنولوجيا الحديثة، وإزالة الحواجز البيروقراطية التي تعيق سرعة الاستجابة والتكيف</w:t>
      </w:r>
      <w:r w:rsidRPr="00C16181">
        <w:rPr>
          <w:rFonts w:ascii="Simplified Arabic" w:hAnsi="Simplified Arabic" w:cs="Simplified Arabic"/>
          <w:sz w:val="28"/>
          <w:szCs w:val="28"/>
        </w:rPr>
        <w:t>.</w:t>
      </w:r>
    </w:p>
    <w:p w14:paraId="6AE725E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ومن جانبها، تشير محمد (2022) إلى أن المرونة التنظيمية ترتبط ارتباطاً وثيقاً بقدرة المؤسسة على التعلم المستمر، حيث أن المؤسسات التي تتعلم من تجاربها وتطور معارفها ومهاراتها باستمرار تكون أكثر قدرة على التكيف مع التغيرات المستقبلية. وهذا يتطلب بناء ثقافة تنظيمية تشجع على التجريب والتعلم من الأخطاء والمشاركة في المعرفة</w:t>
      </w:r>
      <w:r w:rsidRPr="00C16181">
        <w:rPr>
          <w:rFonts w:ascii="Simplified Arabic" w:hAnsi="Simplified Arabic" w:cs="Simplified Arabic"/>
          <w:sz w:val="28"/>
          <w:szCs w:val="28"/>
        </w:rPr>
        <w:t>.</w:t>
      </w:r>
    </w:p>
    <w:p w14:paraId="40A6CFE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وعلى المستوى الدولي، يعرف</w:t>
      </w:r>
      <w:r w:rsidRPr="00C16181">
        <w:rPr>
          <w:rFonts w:ascii="Simplified Arabic" w:hAnsi="Simplified Arabic" w:cs="Simplified Arabic"/>
          <w:sz w:val="28"/>
          <w:szCs w:val="28"/>
        </w:rPr>
        <w:t xml:space="preserve"> Ahmes Bayomy et al. (2021) </w:t>
      </w:r>
      <w:r w:rsidRPr="00C16181">
        <w:rPr>
          <w:rFonts w:ascii="Simplified Arabic" w:hAnsi="Simplified Arabic" w:cs="Simplified Arabic"/>
          <w:sz w:val="28"/>
          <w:szCs w:val="28"/>
          <w:rtl/>
        </w:rPr>
        <w:t>المرونة التنظيمية بأنها القدرة الديناميكية للمؤسسة على إعادة تكوين مواردها وقدراتها استجابة للتغيرات البيئية، بما يمكنها من الحفاظ على الأداء المتميز في ظل ظروف عدم اليقين والتعقيد. كما يشير</w:t>
      </w:r>
      <w:r w:rsidRPr="00C16181">
        <w:rPr>
          <w:rFonts w:ascii="Simplified Arabic" w:hAnsi="Simplified Arabic" w:cs="Simplified Arabic"/>
          <w:sz w:val="28"/>
          <w:szCs w:val="28"/>
        </w:rPr>
        <w:t xml:space="preserve"> Al-Anqoudi et al. (2021) </w:t>
      </w:r>
      <w:r w:rsidRPr="00C16181">
        <w:rPr>
          <w:rFonts w:ascii="Simplified Arabic" w:hAnsi="Simplified Arabic" w:cs="Simplified Arabic"/>
          <w:sz w:val="28"/>
          <w:szCs w:val="28"/>
          <w:rtl/>
        </w:rPr>
        <w:t>إلى أن التقنيات الحديثة مثل الذكاء الاصطناعي والتعلم الآلي أصبحت تلعب دوراً محورياً في تعزيز المرونة التنظيمية من خلال تمكين المؤسسات من التحليل السريع للبيانات واتخاذ قرارات استباقية</w:t>
      </w:r>
      <w:r w:rsidRPr="00C16181">
        <w:rPr>
          <w:rFonts w:ascii="Simplified Arabic" w:hAnsi="Simplified Arabic" w:cs="Simplified Arabic"/>
          <w:sz w:val="28"/>
          <w:szCs w:val="28"/>
        </w:rPr>
        <w:t>.</w:t>
      </w:r>
    </w:p>
    <w:p w14:paraId="5A82FD2D" w14:textId="77777777" w:rsid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ويؤكد</w:t>
      </w:r>
      <w:r w:rsidRPr="00C16181">
        <w:rPr>
          <w:rFonts w:ascii="Simplified Arabic" w:hAnsi="Simplified Arabic" w:cs="Simplified Arabic"/>
          <w:sz w:val="28"/>
          <w:szCs w:val="28"/>
        </w:rPr>
        <w:t xml:space="preserve"> Hooda &amp; Singla (2020) </w:t>
      </w:r>
      <w:r w:rsidRPr="00C16181">
        <w:rPr>
          <w:rFonts w:ascii="Simplified Arabic" w:hAnsi="Simplified Arabic" w:cs="Simplified Arabic"/>
          <w:sz w:val="28"/>
          <w:szCs w:val="28"/>
          <w:rtl/>
        </w:rPr>
        <w:t>على أن المرونة التنظيمية أصبحت موقفاً استراتيجياً ضرورياً للمؤسسات في العصر الرقمي، حيث أن سرعة التغير التكنولوجي والتحولات في توقعات العملاء تتطلب قدرة عالية على التكيف والاستجابة السريعة</w:t>
      </w:r>
      <w:r w:rsidRPr="00C16181">
        <w:rPr>
          <w:rFonts w:ascii="Simplified Arabic" w:hAnsi="Simplified Arabic" w:cs="Simplified Arabic"/>
          <w:sz w:val="28"/>
          <w:szCs w:val="28"/>
        </w:rPr>
        <w:t>.</w:t>
      </w:r>
    </w:p>
    <w:p w14:paraId="5E93C2BD" w14:textId="77777777" w:rsidR="00F01F80" w:rsidRDefault="00F01F80" w:rsidP="00F01F80">
      <w:pPr>
        <w:bidi/>
        <w:ind w:firstLine="720"/>
        <w:jc w:val="both"/>
        <w:rPr>
          <w:rFonts w:ascii="Simplified Arabic" w:hAnsi="Simplified Arabic" w:cs="Simplified Arabic"/>
          <w:sz w:val="28"/>
          <w:szCs w:val="28"/>
        </w:rPr>
      </w:pPr>
    </w:p>
    <w:p w14:paraId="2DB1B8F7" w14:textId="77777777" w:rsidR="00F01F80" w:rsidRPr="00C16181" w:rsidRDefault="00F01F80" w:rsidP="00F01F80">
      <w:pPr>
        <w:bidi/>
        <w:ind w:firstLine="720"/>
        <w:jc w:val="both"/>
        <w:rPr>
          <w:rFonts w:ascii="Simplified Arabic" w:hAnsi="Simplified Arabic" w:cs="Simplified Arabic"/>
          <w:sz w:val="28"/>
          <w:szCs w:val="28"/>
        </w:rPr>
      </w:pPr>
    </w:p>
    <w:p w14:paraId="6E3797E3" w14:textId="3CD3F632" w:rsidR="00C16181" w:rsidRPr="001327FB" w:rsidRDefault="00C16181" w:rsidP="001327FB">
      <w:pPr>
        <w:pStyle w:val="ListParagraph"/>
        <w:numPr>
          <w:ilvl w:val="0"/>
          <w:numId w:val="16"/>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أبعاد المرونة التنظيمية</w:t>
      </w:r>
    </w:p>
    <w:p w14:paraId="65CAD8E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تتضمن المرونة التنظيمية عدة أبعاد أساسية ومترابطة، تشكل معاً منظومة متكاملة تمكن المؤسسة من التعامل الفعال مع التحديات والتغيرات</w:t>
      </w:r>
      <w:r w:rsidRPr="00C16181">
        <w:rPr>
          <w:rFonts w:ascii="Simplified Arabic" w:hAnsi="Simplified Arabic" w:cs="Simplified Arabic"/>
          <w:sz w:val="28"/>
          <w:szCs w:val="28"/>
        </w:rPr>
        <w:t>.</w:t>
      </w:r>
    </w:p>
    <w:p w14:paraId="31F0C082" w14:textId="75F8F438" w:rsidR="00C16181" w:rsidRPr="001327FB" w:rsidRDefault="00C16181" w:rsidP="001327FB">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بعد الاستجابة السريعة</w:t>
      </w:r>
      <w:r w:rsidRPr="001327FB">
        <w:rPr>
          <w:rFonts w:ascii="Simplified Arabic" w:hAnsi="Simplified Arabic" w:cs="Simplified Arabic"/>
          <w:b/>
          <w:bCs/>
          <w:sz w:val="28"/>
          <w:szCs w:val="28"/>
        </w:rPr>
        <w:t xml:space="preserve"> (Responsiveness)</w:t>
      </w:r>
    </w:p>
    <w:p w14:paraId="7C160ED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يشير هذا البعد إلى قدرة المؤسسة على الاستجابة بسرعة وفعالية للتغيرات في البيئة الخارجية أو الظروف الداخلية. ويتطلب ذلك وجود آليات استشعار فعالة للتغيرات، ونظم اتخاذ قرار سريعة ولامركزية، وعمليات مرنة قابلة للتعديل. ويشير جبريل (2020) إلى أن الاستجابة السريعة تتطلب تقليل المستويات الهرمية وتبسيط الإجراءات وتمكين العاملين من اتخاذ القرارات في مواقع عملهم دون الحاجة إلى رفعها للمستويات العليا</w:t>
      </w:r>
      <w:r w:rsidRPr="00C16181">
        <w:rPr>
          <w:rFonts w:ascii="Simplified Arabic" w:hAnsi="Simplified Arabic" w:cs="Simplified Arabic"/>
          <w:sz w:val="28"/>
          <w:szCs w:val="28"/>
        </w:rPr>
        <w:t>.</w:t>
      </w:r>
    </w:p>
    <w:p w14:paraId="75446994"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وتتحقق سرعة الاستجابة من خلال إعادة تصميم العمليات بشكل أفقي يتجاوز الحدود الوظيفية التقليدية، مما يقلل من وقت الدورة ويزيل الاختناقات. كما تتطلب وجود نظم معلومات متقدمة توفر البيانات والتحليلات اللازمة لاتخاذ القرارات السريعة والمستنيرة (زخروف وخليفة، 2022)</w:t>
      </w:r>
      <w:r w:rsidRPr="00C16181">
        <w:rPr>
          <w:rFonts w:ascii="Simplified Arabic" w:hAnsi="Simplified Arabic" w:cs="Simplified Arabic"/>
          <w:sz w:val="28"/>
          <w:szCs w:val="28"/>
        </w:rPr>
        <w:t>.</w:t>
      </w:r>
    </w:p>
    <w:p w14:paraId="5C934F5F"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ويؤكد شيخ ديب وناطور (2022) على أن إعادة هندسة العمليات الإدارية تساهم في تحسين سرعة الاستجابة من خلال إلغاء الأنشطة غير الضرورية، ودمج المهام المترابطة، وتطبيق التقنيات الحديثة التي تمكن من الإنجاز السريع والدقيق</w:t>
      </w:r>
      <w:r w:rsidRPr="00C16181">
        <w:rPr>
          <w:rFonts w:ascii="Simplified Arabic" w:hAnsi="Simplified Arabic" w:cs="Simplified Arabic"/>
          <w:sz w:val="28"/>
          <w:szCs w:val="28"/>
        </w:rPr>
        <w:t>.</w:t>
      </w:r>
    </w:p>
    <w:p w14:paraId="1A58CC0D" w14:textId="6A4DAC51" w:rsidR="00C16181" w:rsidRPr="001327FB" w:rsidRDefault="00C16181" w:rsidP="001327FB">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بعد التكيف</w:t>
      </w:r>
      <w:r w:rsidRPr="001327FB">
        <w:rPr>
          <w:rFonts w:ascii="Simplified Arabic" w:hAnsi="Simplified Arabic" w:cs="Simplified Arabic"/>
          <w:b/>
          <w:bCs/>
          <w:sz w:val="28"/>
          <w:szCs w:val="28"/>
        </w:rPr>
        <w:t xml:space="preserve"> (Adaptation)</w:t>
      </w:r>
    </w:p>
    <w:p w14:paraId="5B98CEB6"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يعكس هذا البعد قدرة المؤسسة على تعديل استراتيجياتها وهياكلها وعملياتها ومواردها بما يتناسب مع المتطلبات الجديدة التي تفرضها التغيرات البيئية. والتكيف يتجاوز الاستجابة المؤقتة ليشمل إحداث تغييرات جوهرية ومستدامة في طريقة عمل المؤسسة. ويشير علوان وطلوش (2020) إلى أن القدرة على التكيف تتطلب مرونة في تخصيص الموارد، وقدرة على إعادة تشكيل الفرق والوحدات التنظيمية، واستعداداً لتعديل الاستراتيجيات والأهداف عند الضرورة</w:t>
      </w:r>
      <w:r w:rsidRPr="00C16181">
        <w:rPr>
          <w:rFonts w:ascii="Simplified Arabic" w:hAnsi="Simplified Arabic" w:cs="Simplified Arabic"/>
          <w:sz w:val="28"/>
          <w:szCs w:val="28"/>
        </w:rPr>
        <w:t>.</w:t>
      </w:r>
    </w:p>
    <w:p w14:paraId="103EFA9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lastRenderedPageBreak/>
        <w:t>وتتطلب القدرة على التكيف وجود ثقافة تنظيمية منفتحة على التغيير وداعمة للتعلم والتطوير، حيث أن التكيف الناجح لا يمكن أن يتحقق في بيئة تقاوم التغيير أو تتمسك بالممارسات التقليدية. كما يتطلب قيادة واعية قادرة على قراءة التغيرات وتوجيه المؤسسة نحو التكيف المطلوب (اسحق، 2020)</w:t>
      </w:r>
      <w:r w:rsidRPr="00C16181">
        <w:rPr>
          <w:rFonts w:ascii="Simplified Arabic" w:hAnsi="Simplified Arabic" w:cs="Simplified Arabic"/>
          <w:sz w:val="28"/>
          <w:szCs w:val="28"/>
        </w:rPr>
        <w:t>.</w:t>
      </w:r>
    </w:p>
    <w:p w14:paraId="5B20C1A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ويوضح صلاح الدين (2020) أن التكيف الفعال يعتمد على قدرة المؤسسة على التعلم من تجاربها السابقة ومن تجارب المؤسسات الأخرى، وعلى امتلاكها لذاكرة تنظيمية تحفظ المعارف والخبرات المكتسبة وتتيحها للاستفادة منها في المواقف المستقبلية</w:t>
      </w:r>
      <w:r w:rsidRPr="00C16181">
        <w:rPr>
          <w:rFonts w:ascii="Simplified Arabic" w:hAnsi="Simplified Arabic" w:cs="Simplified Arabic"/>
          <w:sz w:val="28"/>
          <w:szCs w:val="28"/>
        </w:rPr>
        <w:t>.</w:t>
      </w:r>
    </w:p>
    <w:p w14:paraId="12B23076" w14:textId="6C40A05F" w:rsidR="00C16181" w:rsidRPr="001327FB" w:rsidRDefault="00C16181" w:rsidP="001327FB">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بعد الابتكار</w:t>
      </w:r>
      <w:r w:rsidRPr="001327FB">
        <w:rPr>
          <w:rFonts w:ascii="Simplified Arabic" w:hAnsi="Simplified Arabic" w:cs="Simplified Arabic"/>
          <w:b/>
          <w:bCs/>
          <w:sz w:val="28"/>
          <w:szCs w:val="28"/>
        </w:rPr>
        <w:t xml:space="preserve"> (Innovation)</w:t>
      </w:r>
    </w:p>
    <w:p w14:paraId="58F9DDF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يمثل الابتكار بعداً أساسياً في المرونة التنظيمية، حيث أن القدرة على توليد أفكار وحلول جديدة تمكن المؤسسة من التعامل مع التحديات بطرق أكثر فعالية، بل واستثمار الأزمات كفرص للتطوير والتحسين. ويشير عليو (2020) إلى أن المؤسسات المرنة تتميز بثقافة تشجع على الابتكار والإبداع، وتوفر بيئة آمنة للتجريب دون خوف من العقاب في حالة الفشل</w:t>
      </w:r>
      <w:r w:rsidRPr="00C16181">
        <w:rPr>
          <w:rFonts w:ascii="Simplified Arabic" w:hAnsi="Simplified Arabic" w:cs="Simplified Arabic"/>
          <w:sz w:val="28"/>
          <w:szCs w:val="28"/>
        </w:rPr>
        <w:t>.</w:t>
      </w:r>
    </w:p>
    <w:p w14:paraId="04C4D79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تعزيز الابتكار توفير الموارد والوقت للعاملين للتفكير في حلول جديدة وتجريبها، وإنشاء آليات لجمع الأفكار وتقييمها وتطبيق الناجح منها. كما يتطلب قيادة داعمة للابتكار ونظم حوافز تكافئ الأفكار والمبادرات الإبداعية (أبو جهين، 2020)</w:t>
      </w:r>
      <w:r w:rsidRPr="00C16181">
        <w:rPr>
          <w:rFonts w:ascii="Simplified Arabic" w:hAnsi="Simplified Arabic" w:cs="Simplified Arabic"/>
          <w:sz w:val="28"/>
          <w:szCs w:val="28"/>
        </w:rPr>
        <w:t>.</w:t>
      </w:r>
    </w:p>
    <w:p w14:paraId="0E8FC906"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وقد أشار العرادة (2024) إلى أن إعادة هندسة العمليات الإدارية تفتح المجال للابتكار من خلال تحرير المؤسسة من القيود البيروقراطية التقليدية، وتشجيع التفكير الجذري في طرق جديدة لإنجاز العمل، واستخدام التكنولوجيا الحديثة بطرق إبداعية</w:t>
      </w:r>
      <w:r w:rsidRPr="00C16181">
        <w:rPr>
          <w:rFonts w:ascii="Simplified Arabic" w:hAnsi="Simplified Arabic" w:cs="Simplified Arabic"/>
          <w:sz w:val="28"/>
          <w:szCs w:val="28"/>
        </w:rPr>
        <w:t>.</w:t>
      </w:r>
    </w:p>
    <w:p w14:paraId="3D1FA6C0"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ويؤكد خضر (2022) على أن الابتكار في المؤسسات المرنة لا يقتصر على المنتجات والخدمات، بل يشمل أيضاً ابتكار عمليات وأساليب عمل جديدة، وابتكار نماذج أعمال جديدة، وابتكار طرق جديدة للتفاعل مع العملاء والشركاء</w:t>
      </w:r>
      <w:r w:rsidRPr="00C16181">
        <w:rPr>
          <w:rFonts w:ascii="Simplified Arabic" w:hAnsi="Simplified Arabic" w:cs="Simplified Arabic"/>
          <w:sz w:val="28"/>
          <w:szCs w:val="28"/>
        </w:rPr>
        <w:t>.</w:t>
      </w:r>
    </w:p>
    <w:p w14:paraId="34A6E0A9" w14:textId="77777777" w:rsidR="00FE21E1" w:rsidRDefault="00FE21E1" w:rsidP="00FE21E1">
      <w:pPr>
        <w:pStyle w:val="ListParagraph"/>
        <w:bidi/>
        <w:jc w:val="both"/>
        <w:rPr>
          <w:rFonts w:ascii="Simplified Arabic" w:hAnsi="Simplified Arabic" w:cs="Simplified Arabic"/>
          <w:b/>
          <w:bCs/>
          <w:sz w:val="28"/>
          <w:szCs w:val="28"/>
        </w:rPr>
      </w:pPr>
    </w:p>
    <w:p w14:paraId="4C83CE6B" w14:textId="77777777" w:rsidR="00FE21E1" w:rsidRDefault="00FE21E1" w:rsidP="00FE21E1">
      <w:pPr>
        <w:pStyle w:val="ListParagraph"/>
        <w:bidi/>
        <w:jc w:val="both"/>
        <w:rPr>
          <w:rFonts w:ascii="Simplified Arabic" w:hAnsi="Simplified Arabic" w:cs="Simplified Arabic"/>
          <w:b/>
          <w:bCs/>
          <w:sz w:val="28"/>
          <w:szCs w:val="28"/>
        </w:rPr>
      </w:pPr>
    </w:p>
    <w:p w14:paraId="024CD6BD" w14:textId="34301BCA" w:rsidR="00C16181" w:rsidRPr="001327FB" w:rsidRDefault="00C16181" w:rsidP="00FE21E1">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بعد التعلم التنظيمي</w:t>
      </w:r>
      <w:r w:rsidRPr="001327FB">
        <w:rPr>
          <w:rFonts w:ascii="Simplified Arabic" w:hAnsi="Simplified Arabic" w:cs="Simplified Arabic"/>
          <w:b/>
          <w:bCs/>
          <w:sz w:val="28"/>
          <w:szCs w:val="28"/>
        </w:rPr>
        <w:t xml:space="preserve"> (Organizational Learning)</w:t>
      </w:r>
    </w:p>
    <w:p w14:paraId="58D6D2F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يعد التعلم التنظيمي الركيزة الأساسية للمرونة المستدامة، حيث أن المؤسسات التي تتعلم من تجاربها وتطور معارفها باستمرار تكون أكثر قدرة على التعامل مع التحديات المستقبلية. ويشير التعلم التنظيمي إلى القدرة المؤسسية على اكتساب المعرفة من التجربة والملاحظة والتحليل، وتخزينها، ومشاركتها، وتطبيقها في تحسين الأداء (القرشي والسلمي، 2022)</w:t>
      </w:r>
      <w:r w:rsidRPr="00C16181">
        <w:rPr>
          <w:rFonts w:ascii="Simplified Arabic" w:hAnsi="Simplified Arabic" w:cs="Simplified Arabic"/>
          <w:sz w:val="28"/>
          <w:szCs w:val="28"/>
        </w:rPr>
        <w:t>.</w:t>
      </w:r>
    </w:p>
    <w:p w14:paraId="44686AC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التعلم التنظيمي الفعال وجود آليات لالتقاط الدروس المستفادة من التجارب، سواء النجاحات أو الإخفاقات، وتوثيقها بشكل يسهل الرجوع إليها والاستفادة منها</w:t>
      </w:r>
      <w:r w:rsidRPr="00C16181">
        <w:rPr>
          <w:rFonts w:ascii="Simplified Arabic" w:hAnsi="Simplified Arabic" w:cs="Simplified Arabic"/>
          <w:sz w:val="28"/>
          <w:szCs w:val="28"/>
        </w:rPr>
        <w:t xml:space="preserve">. </w:t>
      </w:r>
      <w:r w:rsidRPr="00C16181">
        <w:rPr>
          <w:rFonts w:ascii="Simplified Arabic" w:hAnsi="Simplified Arabic" w:cs="Simplified Arabic"/>
          <w:sz w:val="28"/>
          <w:szCs w:val="28"/>
          <w:rtl/>
        </w:rPr>
        <w:t>كما يتطلب ثقافة تشجع على المشاركة في المعرفة والخبرات بين العاملين والوحدات المختلفة (السماك، 2021)</w:t>
      </w:r>
      <w:r w:rsidRPr="00C16181">
        <w:rPr>
          <w:rFonts w:ascii="Simplified Arabic" w:hAnsi="Simplified Arabic" w:cs="Simplified Arabic"/>
          <w:sz w:val="28"/>
          <w:szCs w:val="28"/>
        </w:rPr>
        <w:t>.</w:t>
      </w:r>
    </w:p>
    <w:p w14:paraId="74D560B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ويوضح</w:t>
      </w:r>
      <w:r w:rsidRPr="00C16181">
        <w:rPr>
          <w:rFonts w:ascii="Simplified Arabic" w:hAnsi="Simplified Arabic" w:cs="Simplified Arabic"/>
          <w:sz w:val="28"/>
          <w:szCs w:val="28"/>
        </w:rPr>
        <w:t xml:space="preserve"> Kumar (2024) </w:t>
      </w:r>
      <w:r w:rsidRPr="00C16181">
        <w:rPr>
          <w:rFonts w:ascii="Simplified Arabic" w:hAnsi="Simplified Arabic" w:cs="Simplified Arabic"/>
          <w:sz w:val="28"/>
          <w:szCs w:val="28"/>
          <w:rtl/>
        </w:rPr>
        <w:t>أن التقنيات الحديثة مثل الذكاء الاصطناعي وتحليل البيانات الضخمة تمكن المؤسسات من التعلم بشكل أسرع وأعمق من خلال تحليل كميات هائلة من البيانات واستخلاص الأنماط والدروس منها</w:t>
      </w:r>
      <w:r w:rsidRPr="00C16181">
        <w:rPr>
          <w:rFonts w:ascii="Simplified Arabic" w:hAnsi="Simplified Arabic" w:cs="Simplified Arabic"/>
          <w:sz w:val="28"/>
          <w:szCs w:val="28"/>
        </w:rPr>
        <w:t>.</w:t>
      </w:r>
    </w:p>
    <w:p w14:paraId="38EBE8B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كما يؤكد</w:t>
      </w:r>
      <w:r w:rsidRPr="00C16181">
        <w:rPr>
          <w:rFonts w:ascii="Simplified Arabic" w:hAnsi="Simplified Arabic" w:cs="Simplified Arabic"/>
          <w:sz w:val="28"/>
          <w:szCs w:val="28"/>
        </w:rPr>
        <w:t xml:space="preserve"> Massaro &amp; Galiano (2020) </w:t>
      </w:r>
      <w:r w:rsidRPr="00C16181">
        <w:rPr>
          <w:rFonts w:ascii="Simplified Arabic" w:hAnsi="Simplified Arabic" w:cs="Simplified Arabic"/>
          <w:sz w:val="28"/>
          <w:szCs w:val="28"/>
          <w:rtl/>
        </w:rPr>
        <w:t>على أن التعلم التنظيمي يتطلب توازناً بين الاستغلال (استخدام المعرفة الحالية لتحسين الأداء) والاستكشاف (البحث عن معرفة جديدة)، حيث أن التركيز المفرط على أحدهما دون الآخر قد يضر بالمرونة على المدى الطويل</w:t>
      </w:r>
      <w:r w:rsidRPr="00C16181">
        <w:rPr>
          <w:rFonts w:ascii="Simplified Arabic" w:hAnsi="Simplified Arabic" w:cs="Simplified Arabic"/>
          <w:sz w:val="28"/>
          <w:szCs w:val="28"/>
        </w:rPr>
        <w:t>.</w:t>
      </w:r>
    </w:p>
    <w:p w14:paraId="4D4C13D7" w14:textId="3AD97349" w:rsidR="00C16181" w:rsidRPr="001327FB" w:rsidRDefault="00C16181" w:rsidP="001327FB">
      <w:pPr>
        <w:pStyle w:val="ListParagraph"/>
        <w:numPr>
          <w:ilvl w:val="0"/>
          <w:numId w:val="16"/>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خصائص المنظمات المرنة</w:t>
      </w:r>
    </w:p>
    <w:p w14:paraId="7AA20B00"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المنظمات المرنة بمجموعة من الخصائص المميزة التي تمكنها من التكيف والاستجابة الفعالة للتحديات والتغيرات</w:t>
      </w:r>
      <w:r w:rsidRPr="00C16181">
        <w:rPr>
          <w:rFonts w:ascii="Simplified Arabic" w:hAnsi="Simplified Arabic" w:cs="Simplified Arabic"/>
          <w:sz w:val="28"/>
          <w:szCs w:val="28"/>
        </w:rPr>
        <w:t>.</w:t>
      </w:r>
    </w:p>
    <w:p w14:paraId="358CEE6B" w14:textId="0BA3A8EE" w:rsidR="00C16181" w:rsidRPr="001327FB" w:rsidRDefault="00C16181" w:rsidP="001327FB">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البنية التنظيمية المسطحة واللامركزية</w:t>
      </w:r>
    </w:p>
    <w:p w14:paraId="7AA35C9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تتبنى المنظمات المرنة هياكل تنظيمية مسطحة ذات مستويات إدارية قليلة، مما يقلل من البيروقراطية ويسرع عملية اتخاذ القرار وتدفق المعلومات. كما تتبنى اللامركزية في توزيع السلطة والصلاحيات، مما يمكن الوحدات والفرق المختلفة من اتخاذ قرارات سريعة دون الحاجة إلى رفعها </w:t>
      </w:r>
      <w:r w:rsidRPr="00C16181">
        <w:rPr>
          <w:rFonts w:ascii="Simplified Arabic" w:hAnsi="Simplified Arabic" w:cs="Simplified Arabic"/>
          <w:sz w:val="28"/>
          <w:szCs w:val="28"/>
          <w:rtl/>
        </w:rPr>
        <w:lastRenderedPageBreak/>
        <w:t>للمستويات العليا. ويشير</w:t>
      </w:r>
      <w:r w:rsidRPr="00C16181">
        <w:rPr>
          <w:rFonts w:ascii="Simplified Arabic" w:hAnsi="Simplified Arabic" w:cs="Simplified Arabic"/>
          <w:sz w:val="28"/>
          <w:szCs w:val="28"/>
        </w:rPr>
        <w:t xml:space="preserve"> Muhammad Arip Islahudin &amp; Hadikurniawati (2022) </w:t>
      </w:r>
      <w:r w:rsidRPr="00C16181">
        <w:rPr>
          <w:rFonts w:ascii="Simplified Arabic" w:hAnsi="Simplified Arabic" w:cs="Simplified Arabic"/>
          <w:sz w:val="28"/>
          <w:szCs w:val="28"/>
          <w:rtl/>
        </w:rPr>
        <w:t>إلى أن البنية المسطحة تعزز التواصل المباشر والتعاون بين مختلف أجزاء المؤسسة</w:t>
      </w:r>
      <w:r w:rsidRPr="00C16181">
        <w:rPr>
          <w:rFonts w:ascii="Simplified Arabic" w:hAnsi="Simplified Arabic" w:cs="Simplified Arabic"/>
          <w:sz w:val="28"/>
          <w:szCs w:val="28"/>
        </w:rPr>
        <w:t>.</w:t>
      </w:r>
    </w:p>
    <w:p w14:paraId="68248910" w14:textId="15B2CEE4" w:rsidR="00C16181" w:rsidRPr="001327FB" w:rsidRDefault="00C16181" w:rsidP="001327FB">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العمليات الأفقية المتكاملة</w:t>
      </w:r>
    </w:p>
    <w:p w14:paraId="5CAB143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تركز المنظمات المرنة على العمليات الأفقية التي تعبر الحدود الوظيفية التقليدية، بدلاً من التنظيم الوظيفي المنعزل. وهذا يعزز التكامل والتنسيق بين مختلف الوظائف لتحقيق أهداف مشتركة، ويقلل من الوقت والجهد المهدرين في التنسيق بين الأقسام المنفصلة. ويؤكد</w:t>
      </w:r>
      <w:r w:rsidRPr="00C16181">
        <w:rPr>
          <w:rFonts w:ascii="Simplified Arabic" w:hAnsi="Simplified Arabic" w:cs="Simplified Arabic"/>
          <w:sz w:val="28"/>
          <w:szCs w:val="28"/>
        </w:rPr>
        <w:t xml:space="preserve"> Nachev et al. (2020) </w:t>
      </w:r>
      <w:r w:rsidRPr="00C16181">
        <w:rPr>
          <w:rFonts w:ascii="Simplified Arabic" w:hAnsi="Simplified Arabic" w:cs="Simplified Arabic"/>
          <w:sz w:val="28"/>
          <w:szCs w:val="28"/>
          <w:rtl/>
        </w:rPr>
        <w:t>على أن إعادة هندسة العمليات تساهم في بناء هذه العمليات الأفقية المتكاملة</w:t>
      </w:r>
      <w:r w:rsidRPr="00C16181">
        <w:rPr>
          <w:rFonts w:ascii="Simplified Arabic" w:hAnsi="Simplified Arabic" w:cs="Simplified Arabic"/>
          <w:sz w:val="28"/>
          <w:szCs w:val="28"/>
        </w:rPr>
        <w:t>.</w:t>
      </w:r>
    </w:p>
    <w:p w14:paraId="2A343171" w14:textId="042C0C2D" w:rsidR="00C16181" w:rsidRPr="001327FB" w:rsidRDefault="00C16181" w:rsidP="001327FB">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التمكين والمشاركة</w:t>
      </w:r>
    </w:p>
    <w:p w14:paraId="2F598841"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المنظمات المرنة بثقافة تمكن العاملين وتمنحهم الصلاحيات والمسؤوليات اللازمة لاتخاذ القرارات وحل المشكلات في مواقع عملهم. كما تشجع على المشاركة الفعالة من جميع المستويات في التخطيط واتخاذ القرار والتحسين المستمر. وهذا يعزز الالتزام والمبادرة والإبداع لدى العاملين</w:t>
      </w:r>
      <w:r w:rsidRPr="00C16181">
        <w:rPr>
          <w:rFonts w:ascii="Simplified Arabic" w:hAnsi="Simplified Arabic" w:cs="Simplified Arabic"/>
          <w:sz w:val="28"/>
          <w:szCs w:val="28"/>
        </w:rPr>
        <w:t xml:space="preserve"> (Nwankwo et al., 2020).</w:t>
      </w:r>
    </w:p>
    <w:p w14:paraId="18CCF50A" w14:textId="2898E767" w:rsidR="00C16181" w:rsidRPr="001327FB" w:rsidRDefault="00C16181" w:rsidP="001327FB">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الانفتاح على التغيير والتجديد</w:t>
      </w:r>
    </w:p>
    <w:p w14:paraId="09E148C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تتسم المنظمات المرنة بثقافة منفتحة على التغيير والتجديد، حيث يُنظر إلى التغيير كفرصة للتطوير وليس كتهديد. وتشجع هذه الثقافة على التجريب والتعلم من الأخطاء، وتتقبل الفشل كجزء طبيعي من عملية الابتكار والتطوير</w:t>
      </w:r>
      <w:r w:rsidRPr="00C16181">
        <w:rPr>
          <w:rFonts w:ascii="Simplified Arabic" w:hAnsi="Simplified Arabic" w:cs="Simplified Arabic"/>
          <w:sz w:val="28"/>
          <w:szCs w:val="28"/>
        </w:rPr>
        <w:t xml:space="preserve"> (Pramartha &amp; Mimba, 2020).</w:t>
      </w:r>
    </w:p>
    <w:p w14:paraId="22B24427" w14:textId="640925DB" w:rsidR="00C16181" w:rsidRPr="001327FB" w:rsidRDefault="00C16181" w:rsidP="001327FB">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البنية التحتية التقنية المتقدمة</w:t>
      </w:r>
    </w:p>
    <w:p w14:paraId="2BED4CAF"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تستثمر المنظمات المرنة بشكل كبير في البنية التحتية التقنية الحديثة، بما في ذلك نظم المعلومات المتكاملة، والحوسبة السحابية، وأدوات التعاون الرقمي، وتقنيات الذكاء الاصطناعي وتحليل البيانات. وهذه التقنيات تمكن المؤسسة من الاستجابة السريعة والعمل بكفاءة حتى في ظل الظروف المتغيرة</w:t>
      </w:r>
      <w:r w:rsidRPr="00C16181">
        <w:rPr>
          <w:rFonts w:ascii="Simplified Arabic" w:hAnsi="Simplified Arabic" w:cs="Simplified Arabic"/>
          <w:sz w:val="28"/>
          <w:szCs w:val="28"/>
        </w:rPr>
        <w:t xml:space="preserve"> (Al-Anqoudi et al., 2021).</w:t>
      </w:r>
    </w:p>
    <w:p w14:paraId="49A3981C" w14:textId="6A840938" w:rsidR="00C16181" w:rsidRPr="001327FB" w:rsidRDefault="00C16181" w:rsidP="001327FB">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التوجه نحو العملاء</w:t>
      </w:r>
    </w:p>
    <w:p w14:paraId="240F4F6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تضع المنظمات المرنة العملاء في مركز تفكيرها وتخطيطها، حيث تسعى باستمرار لفهم احتياجاتهم وتوقعاتهم المتغيرة والاستجابة لها بسرعة. وهذا التوجه يدفع المؤسسة للتكيف والتطور المستمر لتلبية متطلبات العملاء</w:t>
      </w:r>
      <w:r w:rsidRPr="00C16181">
        <w:rPr>
          <w:rFonts w:ascii="Simplified Arabic" w:hAnsi="Simplified Arabic" w:cs="Simplified Arabic"/>
          <w:sz w:val="28"/>
          <w:szCs w:val="28"/>
        </w:rPr>
        <w:t xml:space="preserve"> (Al-Mawdieh, 2020).</w:t>
      </w:r>
    </w:p>
    <w:p w14:paraId="7A65E51A" w14:textId="706B1E43" w:rsidR="00C16181" w:rsidRPr="001327FB" w:rsidRDefault="00C16181" w:rsidP="001327FB">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القدرة على تكوين الشراكات والتحالفات</w:t>
      </w:r>
    </w:p>
    <w:p w14:paraId="3213099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تدرك المنظمات المرنة أنها لا تستطيع امتلاك جميع القدرات والموارد اللازمة داخلياً، لذلك تبني شراكات وتحالفات استراتيجية مع منظمات أخرى لتكملة قدراتها وتوسيع مرونتها. وهذه الشراكات تمكنها من الوصول السريع إلى موارد وقدرات جديدة عند الحاجة</w:t>
      </w:r>
      <w:r w:rsidRPr="00C16181">
        <w:rPr>
          <w:rFonts w:ascii="Simplified Arabic" w:hAnsi="Simplified Arabic" w:cs="Simplified Arabic"/>
          <w:sz w:val="28"/>
          <w:szCs w:val="28"/>
        </w:rPr>
        <w:t xml:space="preserve"> (Battilani et al., 2022).</w:t>
      </w:r>
    </w:p>
    <w:p w14:paraId="1F64868E" w14:textId="08ED1C2C" w:rsidR="00C16181" w:rsidRPr="001327FB" w:rsidRDefault="00C16181" w:rsidP="001327FB">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نظم إدارة المعرفة الفعالة</w:t>
      </w:r>
    </w:p>
    <w:p w14:paraId="6E8ACA1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تمتلك المنظمات المرنة نظماً فعالة لإدارة المعرفة تمكنها من التقاط المعارف والخبرات من مصادر مختلفة، وتخزينها بطريقة منظمة، وإتاحتها للعاملين للاستفادة منها في اتخاذ القرارات وحل المشكلات</w:t>
      </w:r>
      <w:r w:rsidRPr="00C16181">
        <w:rPr>
          <w:rFonts w:ascii="Simplified Arabic" w:hAnsi="Simplified Arabic" w:cs="Simplified Arabic"/>
          <w:sz w:val="28"/>
          <w:szCs w:val="28"/>
        </w:rPr>
        <w:t xml:space="preserve"> (Catursari et al., 2023).</w:t>
      </w:r>
    </w:p>
    <w:p w14:paraId="5D784373" w14:textId="4C9C137F" w:rsidR="00C16181" w:rsidRPr="001327FB" w:rsidRDefault="00C16181" w:rsidP="001327FB">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القيادة الرشيقة والمرنة</w:t>
      </w:r>
    </w:p>
    <w:p w14:paraId="69C0844B" w14:textId="525D7FE8"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المنظمات المرنة بقيادة تتصف بالرشاقة والمرونة، قادرة على قراءة التغيرات واتخاذ قرارات جريئة وسريعة، ومستعدة لتعديل الاستراتيجيات عند الضرورة. كما أن هذه القيادة تثق في العاملين وتمكنهم، وتشجع على الابتكار والمخاطرة المحسوبة</w:t>
      </w:r>
      <w:r w:rsidRPr="00C16181">
        <w:rPr>
          <w:rFonts w:ascii="Simplified Arabic" w:hAnsi="Simplified Arabic" w:cs="Simplified Arabic"/>
          <w:sz w:val="28"/>
          <w:szCs w:val="28"/>
        </w:rPr>
        <w:t xml:space="preserve"> (Chandra Puspita &amp; Unisri, 2022).</w:t>
      </w:r>
    </w:p>
    <w:p w14:paraId="19A01235" w14:textId="7069B5CD" w:rsidR="00C16181" w:rsidRPr="001327FB" w:rsidRDefault="00C16181" w:rsidP="001327FB">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التركيز على الكفاءات الأساسية والمرونة التشغيلية</w:t>
      </w:r>
    </w:p>
    <w:p w14:paraId="2CE73061" w14:textId="77777777" w:rsidR="00C16181" w:rsidRPr="00C16181" w:rsidRDefault="00C16181" w:rsidP="001327FB">
      <w:pPr>
        <w:bidi/>
        <w:ind w:firstLine="63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تركز المنظمات المرنة على تطوير كفاءاتها الأساسية التي تميزها عن المنافسين، بينما تحتفظ بمرونة في الجوانب الأخرى من خلال الاستعانة بمصادر خارجية أو شراكات. وهذا يمكنها من التركيز </w:t>
      </w:r>
      <w:r w:rsidRPr="00C16181">
        <w:rPr>
          <w:rFonts w:ascii="Simplified Arabic" w:hAnsi="Simplified Arabic" w:cs="Simplified Arabic"/>
          <w:sz w:val="28"/>
          <w:szCs w:val="28"/>
          <w:rtl/>
        </w:rPr>
        <w:lastRenderedPageBreak/>
        <w:t xml:space="preserve">على ما تتميز فيه مع الحفاظ على المرونة في التكيف مع </w:t>
      </w:r>
      <w:bookmarkStart w:id="7" w:name="_Hlk213809853"/>
      <w:r w:rsidRPr="00C16181">
        <w:rPr>
          <w:rFonts w:ascii="Simplified Arabic" w:hAnsi="Simplified Arabic" w:cs="Simplified Arabic"/>
          <w:sz w:val="28"/>
          <w:szCs w:val="28"/>
          <w:rtl/>
        </w:rPr>
        <w:t>المتغيرات</w:t>
      </w:r>
      <w:r w:rsidRPr="00C16181">
        <w:rPr>
          <w:rFonts w:ascii="Simplified Arabic" w:hAnsi="Simplified Arabic" w:cs="Simplified Arabic"/>
          <w:sz w:val="28"/>
          <w:szCs w:val="28"/>
        </w:rPr>
        <w:t xml:space="preserve"> (Elapatha &amp; Jehan, 2020).</w:t>
      </w:r>
      <w:bookmarkEnd w:id="7"/>
    </w:p>
    <w:p w14:paraId="3C37CAC3" w14:textId="28230658" w:rsidR="00C16181" w:rsidRPr="001327FB" w:rsidRDefault="00C16181" w:rsidP="001327FB">
      <w:pPr>
        <w:pStyle w:val="ListParagraph"/>
        <w:numPr>
          <w:ilvl w:val="0"/>
          <w:numId w:val="16"/>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استراتيجيات تعزيز المرونة في المؤسسات</w:t>
      </w:r>
    </w:p>
    <w:p w14:paraId="436A664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يتطلب بناء المرونة التنظيمية تطبيق مجموعة من الاستراتيجيات المتكاملة التي تعمل على تطوير القدرات والأنظمة والثقافة اللازمة</w:t>
      </w:r>
      <w:r w:rsidRPr="00C16181">
        <w:rPr>
          <w:rFonts w:ascii="Simplified Arabic" w:hAnsi="Simplified Arabic" w:cs="Simplified Arabic"/>
          <w:sz w:val="28"/>
          <w:szCs w:val="28"/>
        </w:rPr>
        <w:t>.</w:t>
      </w:r>
    </w:p>
    <w:p w14:paraId="63E321B6" w14:textId="3E6CA81C" w:rsidR="00C16181" w:rsidRPr="001327FB" w:rsidRDefault="00C16181" w:rsidP="001327FB">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إعادة هندسة العمليات الإدارية</w:t>
      </w:r>
    </w:p>
    <w:p w14:paraId="1B91347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تمثل إعادة هندسة العمليات الإدارية استراتيجية محورية لبناء المرونة التنظيمية، من خلال إعادة تصميم العمليات بشكل يحقق البساطة والسرعة والمرونة. ويشير</w:t>
      </w:r>
      <w:r w:rsidRPr="00C16181">
        <w:rPr>
          <w:rFonts w:ascii="Simplified Arabic" w:hAnsi="Simplified Arabic" w:cs="Simplified Arabic"/>
          <w:sz w:val="28"/>
          <w:szCs w:val="28"/>
        </w:rPr>
        <w:t xml:space="preserve"> Fatile et al. (2020) </w:t>
      </w:r>
      <w:r w:rsidRPr="00C16181">
        <w:rPr>
          <w:rFonts w:ascii="Simplified Arabic" w:hAnsi="Simplified Arabic" w:cs="Simplified Arabic"/>
          <w:sz w:val="28"/>
          <w:szCs w:val="28"/>
          <w:rtl/>
        </w:rPr>
        <w:t>إلى أن إعادة الهندسة تساهم في إزالة الحواجز البيروقراطية وتقليل التعقيد وتمكين العاملين، مما يعزز قدرة المؤسسة على الاستجابة السريعة للتغيرات</w:t>
      </w:r>
      <w:r w:rsidRPr="00C16181">
        <w:rPr>
          <w:rFonts w:ascii="Simplified Arabic" w:hAnsi="Simplified Arabic" w:cs="Simplified Arabic"/>
          <w:sz w:val="28"/>
          <w:szCs w:val="28"/>
        </w:rPr>
        <w:t>.</w:t>
      </w:r>
    </w:p>
    <w:p w14:paraId="2C974C12"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نجاح هذه الاستراتيجية التفكير الجذري في طرق إنجاز العمل، والاستعداد للتخلي عن الممارسات التقليدية، والتركيز على العمليات التي تحقق قيمة للعملاء، واستخدام التكنولوجيا الحديثة كممكن للتحول</w:t>
      </w:r>
      <w:r w:rsidRPr="00C16181">
        <w:rPr>
          <w:rFonts w:ascii="Simplified Arabic" w:hAnsi="Simplified Arabic" w:cs="Simplified Arabic"/>
          <w:sz w:val="28"/>
          <w:szCs w:val="28"/>
        </w:rPr>
        <w:t xml:space="preserve"> (Hooda &amp; Singla, 2020).</w:t>
      </w:r>
    </w:p>
    <w:p w14:paraId="434E0BE8" w14:textId="1D43EC8C" w:rsidR="00C16181" w:rsidRPr="001327FB" w:rsidRDefault="00C16181" w:rsidP="001327FB">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بناء القدرات الرقمية</w:t>
      </w:r>
    </w:p>
    <w:p w14:paraId="242B940E"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يعد الاستثمار في التحول الرقمي وبناء القدرات الرقمية استراتيجية أساسية لتعزيز المرونة التنظيمية. وتشمل هذه الاستراتيجية تطوير البنية التحتية التقنية، وتطبيق نظم المعلومات المتكاملة، واستخدام الحوسبة السحابية والذكاء الاصطناعي وإنترنت الأشياء وغيرها من التقنيات الحديثة. ويؤكد</w:t>
      </w:r>
      <w:r w:rsidRPr="00C16181">
        <w:rPr>
          <w:rFonts w:ascii="Simplified Arabic" w:hAnsi="Simplified Arabic" w:cs="Simplified Arabic"/>
          <w:sz w:val="28"/>
          <w:szCs w:val="28"/>
        </w:rPr>
        <w:t xml:space="preserve"> Kumar (2024) </w:t>
      </w:r>
      <w:r w:rsidRPr="00C16181">
        <w:rPr>
          <w:rFonts w:ascii="Simplified Arabic" w:hAnsi="Simplified Arabic" w:cs="Simplified Arabic"/>
          <w:sz w:val="28"/>
          <w:szCs w:val="28"/>
          <w:rtl/>
        </w:rPr>
        <w:t>على أن الأتمتة المدفوعة بالذكاء الاصطناعي تعزز كفاءة العمليات الإدارية وسرعتها، مما يدعم المرونة التنظيمية</w:t>
      </w:r>
      <w:r w:rsidRPr="00C16181">
        <w:rPr>
          <w:rFonts w:ascii="Simplified Arabic" w:hAnsi="Simplified Arabic" w:cs="Simplified Arabic"/>
          <w:sz w:val="28"/>
          <w:szCs w:val="28"/>
        </w:rPr>
        <w:t>.</w:t>
      </w:r>
    </w:p>
    <w:p w14:paraId="36DBAF95" w14:textId="6236F4C3" w:rsidR="00C16181" w:rsidRPr="00C16181" w:rsidRDefault="00C16181" w:rsidP="00FE21E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lastRenderedPageBreak/>
        <w:t xml:space="preserve">كما يتطلب بناء القدرات الرقمية تطوير مهارات العاملين في استخدام التقنيات الحديثة، وبناء </w:t>
      </w:r>
      <w:r w:rsidR="00FE21E1">
        <w:rPr>
          <w:rFonts w:ascii="Simplified Arabic" w:hAnsi="Simplified Arabic" w:cs="Simplified Arabic" w:hint="cs"/>
          <w:sz w:val="28"/>
          <w:szCs w:val="28"/>
          <w:rtl/>
        </w:rPr>
        <w:t xml:space="preserve">              </w:t>
      </w:r>
      <w:r w:rsidRPr="00C16181">
        <w:rPr>
          <w:rFonts w:ascii="Simplified Arabic" w:hAnsi="Simplified Arabic" w:cs="Simplified Arabic"/>
          <w:sz w:val="28"/>
          <w:szCs w:val="28"/>
          <w:rtl/>
        </w:rPr>
        <w:t>ثقاف</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ة رقمي</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ة في المؤسسة تشج</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ع على الابتكار الرقم</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ي واستثم</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ار الفرص التي توف</w:t>
      </w:r>
      <w:r w:rsidR="00FE21E1">
        <w:rPr>
          <w:rFonts w:ascii="Simplified Arabic" w:hAnsi="Simplified Arabic" w:cs="Simplified Arabic" w:hint="cs"/>
          <w:sz w:val="28"/>
          <w:szCs w:val="28"/>
          <w:rtl/>
        </w:rPr>
        <w:t>ــ</w:t>
      </w:r>
      <w:r w:rsidRPr="00C16181">
        <w:rPr>
          <w:rFonts w:ascii="Simplified Arabic" w:hAnsi="Simplified Arabic" w:cs="Simplified Arabic"/>
          <w:sz w:val="28"/>
          <w:szCs w:val="28"/>
          <w:rtl/>
        </w:rPr>
        <w:t>رها التكن</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ولوجيا</w:t>
      </w:r>
      <w:r w:rsidRPr="00C16181">
        <w:rPr>
          <w:rFonts w:ascii="Simplified Arabic" w:hAnsi="Simplified Arabic" w:cs="Simplified Arabic"/>
          <w:sz w:val="28"/>
          <w:szCs w:val="28"/>
        </w:rPr>
        <w:t xml:space="preserve"> (Al-nqoudi et al., 2021).</w:t>
      </w:r>
    </w:p>
    <w:p w14:paraId="24EBC072" w14:textId="33C93ED4" w:rsidR="00C16181" w:rsidRPr="001327FB" w:rsidRDefault="00C16181" w:rsidP="001327FB">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تطوير القدرات القيادية</w:t>
      </w:r>
    </w:p>
    <w:p w14:paraId="03429CA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التنظيمية قيادة من نوع خاص، قادرة على التعامل مع عدم اليقين والتعقيد، وقادرة على اتخاذ قرارات سريعة في ظل معلومات ناقصة، ومستعدة لتحمل المخاطر المحسوبة. لذلك فإن تطوير القدرات القيادية يمثل استراتيجية حاسمة لبناء المرونة</w:t>
      </w:r>
      <w:r w:rsidRPr="00C16181">
        <w:rPr>
          <w:rFonts w:ascii="Simplified Arabic" w:hAnsi="Simplified Arabic" w:cs="Simplified Arabic"/>
          <w:sz w:val="28"/>
          <w:szCs w:val="28"/>
        </w:rPr>
        <w:t xml:space="preserve"> (Ahmes Bayomy et al., 2021).</w:t>
      </w:r>
    </w:p>
    <w:p w14:paraId="2D81425C" w14:textId="651831A1"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وتشمل هذه الاستراتيجية برامج تطوير القيادات على مختلف المستويات، والتركيز على تطوير مهارات مثل التفكير الاستراتيجي، وإدارة التغيير، والقيادة التحويلية، والذكاء العاطفي، والقدرة على بناء الفرق عالية الأداء</w:t>
      </w:r>
      <w:r w:rsidR="001327FB" w:rsidRPr="00C16181">
        <w:rPr>
          <w:rFonts w:ascii="Simplified Arabic" w:hAnsi="Simplified Arabic" w:cs="Simplified Arabic"/>
          <w:sz w:val="28"/>
          <w:szCs w:val="28"/>
        </w:rPr>
        <w:t>(Elapatha &amp; Jehan, 2020).</w:t>
      </w:r>
    </w:p>
    <w:p w14:paraId="52DB8F07" w14:textId="6C34D26A" w:rsidR="00C16181" w:rsidRPr="001327FB" w:rsidRDefault="00C16181" w:rsidP="001327FB">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بناء ثقافة التعلم والابتكار</w:t>
      </w:r>
    </w:p>
    <w:p w14:paraId="4C0AD496"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يتطلب تعزيز المرونة بناء ثقافة تنظيمية تشجع على التعلم المستمر والابتكار والتجريب. وتشمل هذه الاستراتيجية خلق بيئة آمنة نفسياً للتجريب والفشل، ووضع نظم حوافز تكافئ الأفكار والمبادرات الإبداعية، وتوفير الوقت والموارد للعاملين للتعلم والتطوير</w:t>
      </w:r>
      <w:r w:rsidRPr="00C16181">
        <w:rPr>
          <w:rFonts w:ascii="Simplified Arabic" w:hAnsi="Simplified Arabic" w:cs="Simplified Arabic"/>
          <w:sz w:val="28"/>
          <w:szCs w:val="28"/>
        </w:rPr>
        <w:t xml:space="preserve"> (Weerakkody et al., 2021).</w:t>
      </w:r>
    </w:p>
    <w:p w14:paraId="568A5E8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كما تتطلب هذه الاستراتيجية تطوير آليات فعالة لمشاركة المعرفة والخبرات بين العاملين والوحدات المختلفة، وبناء نظم لإدارة المعرفة تحفظ المعارف المكتسبة وتتيحها للاستفادة منها</w:t>
      </w:r>
      <w:r w:rsidRPr="00C16181">
        <w:rPr>
          <w:rFonts w:ascii="Simplified Arabic" w:hAnsi="Simplified Arabic" w:cs="Simplified Arabic"/>
          <w:sz w:val="28"/>
          <w:szCs w:val="28"/>
        </w:rPr>
        <w:t>.</w:t>
      </w:r>
    </w:p>
    <w:p w14:paraId="155A1BD2" w14:textId="4BD32361" w:rsidR="00C16181" w:rsidRPr="001327FB" w:rsidRDefault="00C16181" w:rsidP="001327FB">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تطبيق اللامركزية وتمكين العاملين</w:t>
      </w:r>
    </w:p>
    <w:p w14:paraId="3CE9FD8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تتطلب المرونة التنظيمية تحويل السلطات والصلاحيات إلى المستويات الأقرب إلى العمليات والعملاء، وتمكين العاملين من اتخاذ القرارات وحل المشكلات في مواقع عملهم. وهذا يتطلب بناء الثقة </w:t>
      </w:r>
      <w:r w:rsidRPr="00C16181">
        <w:rPr>
          <w:rFonts w:ascii="Simplified Arabic" w:hAnsi="Simplified Arabic" w:cs="Simplified Arabic"/>
          <w:sz w:val="28"/>
          <w:szCs w:val="28"/>
          <w:rtl/>
        </w:rPr>
        <w:lastRenderedPageBreak/>
        <w:t>بين الإدارة والعاملين، وتوفير التدريب والدعم اللازم للعاملين لممارسة الصلاحيات الممنوحة لهم بفعالية</w:t>
      </w:r>
      <w:r w:rsidRPr="00C16181">
        <w:rPr>
          <w:rFonts w:ascii="Simplified Arabic" w:hAnsi="Simplified Arabic" w:cs="Simplified Arabic"/>
          <w:sz w:val="28"/>
          <w:szCs w:val="28"/>
        </w:rPr>
        <w:t xml:space="preserve"> (Massaro &amp; Galiano, 2020).</w:t>
      </w:r>
    </w:p>
    <w:p w14:paraId="77B05E16" w14:textId="67C6F767" w:rsidR="00C16181" w:rsidRPr="001327FB" w:rsidRDefault="00C16181" w:rsidP="001327FB">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تطوير الشراكات الاستراتيجية</w:t>
      </w:r>
    </w:p>
    <w:p w14:paraId="441672B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تساهم الشراكات والتحالفات الاستراتيجية في تعزيز مرونة المؤسسة من خلال توفير الوصول إلى موارد وقدرات إضافية عند الحاجة، وتوزيع المخاطر، وتسريع الابتكار. وتتطلب هذه الاستراتيجية تحديد الشركاء المناسبين وبناء علاقات مبنية على الثقة والمنفعة المتبادلة</w:t>
      </w:r>
      <w:r w:rsidRPr="00C16181">
        <w:rPr>
          <w:rFonts w:ascii="Simplified Arabic" w:hAnsi="Simplified Arabic" w:cs="Simplified Arabic"/>
          <w:sz w:val="28"/>
          <w:szCs w:val="28"/>
        </w:rPr>
        <w:t xml:space="preserve"> (Muhammad Arip Islahudin &amp; Hadikurniawati, 2022).</w:t>
      </w:r>
    </w:p>
    <w:p w14:paraId="2C3BD915" w14:textId="03ABCA81" w:rsidR="00C16181" w:rsidRPr="001327FB" w:rsidRDefault="00C16181" w:rsidP="001327FB">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بناء نظم الاستشعار والإنذار المبكر</w:t>
      </w:r>
    </w:p>
    <w:p w14:paraId="0F03C51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الاستباقية وجود نظم فعالة لاستشعار التغيرات والتهديدات المحتملة في البيئة الخارجية والداخلية، والإنذار المبكر عنها. وتشمل هذه الاستراتيجية تطوير مؤشرات مبكرة للتغيرات، ونظم لرصد وتحليل البيئة بشكل مستمر، وآليات للاستجابة السريعة للإشارات المبكرة</w:t>
      </w:r>
      <w:r w:rsidRPr="00C16181">
        <w:rPr>
          <w:rFonts w:ascii="Simplified Arabic" w:hAnsi="Simplified Arabic" w:cs="Simplified Arabic"/>
          <w:sz w:val="28"/>
          <w:szCs w:val="28"/>
        </w:rPr>
        <w:t xml:space="preserve"> (Nachev et al., 2020).</w:t>
      </w:r>
    </w:p>
    <w:p w14:paraId="1EAD8BC8" w14:textId="6ED550BF" w:rsidR="00C16181" w:rsidRPr="001327FB" w:rsidRDefault="00C16181" w:rsidP="001327FB">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التخطيط للسيناريوهات والاستعداد للأزمات</w:t>
      </w:r>
    </w:p>
    <w:p w14:paraId="02D82B83"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يساهم التخطيط للسيناريوهات المختلفة ووضع خطط طوارئ للأزمات المحتملة في تعزيز قدرة المؤسسة على التعامل مع الأحداث غير المتوقعة. وتتطلب هذه الاستراتيجية تحديد المخاطر المحتملة، وتقييم تأثيراتها، ووضع خطط للتعامل معها، وإجراء تمارين محاكاة لاختبار جاهزية المؤسسة</w:t>
      </w:r>
      <w:r w:rsidRPr="00C16181">
        <w:rPr>
          <w:rFonts w:ascii="Simplified Arabic" w:hAnsi="Simplified Arabic" w:cs="Simplified Arabic"/>
          <w:sz w:val="28"/>
          <w:szCs w:val="28"/>
        </w:rPr>
        <w:t xml:space="preserve"> (Nwankwo et al., 2020).</w:t>
      </w:r>
    </w:p>
    <w:p w14:paraId="3A09E861" w14:textId="17BCF3CD" w:rsidR="00C16181" w:rsidRPr="001327FB" w:rsidRDefault="00C16181" w:rsidP="001327FB">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تطوير المرونة المالية</w:t>
      </w:r>
    </w:p>
    <w:p w14:paraId="2924960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التنظيمية وجود مرونة مالية تمكن المؤسسة من الاستثمار في الفرص الجديدة أو التعامل مع الأزمات دون أن تتعرض لضغوط مالية حادة. وتشمل هذه الاستراتيجية بناء احتياطيات مالية مناسبة، وتنويع مصادر الإيرادات، وإدارة التكاليف بكفاءة</w:t>
      </w:r>
      <w:r w:rsidRPr="00C16181">
        <w:rPr>
          <w:rFonts w:ascii="Simplified Arabic" w:hAnsi="Simplified Arabic" w:cs="Simplified Arabic"/>
          <w:sz w:val="28"/>
          <w:szCs w:val="28"/>
        </w:rPr>
        <w:t xml:space="preserve"> (Pramartha &amp; Mimba, 2020).</w:t>
      </w:r>
    </w:p>
    <w:p w14:paraId="7B9C4B47" w14:textId="0530628D" w:rsidR="00C16181" w:rsidRPr="001327FB" w:rsidRDefault="00C16181" w:rsidP="001327FB">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قياس وتقييم المرونة التنظيمية</w:t>
      </w:r>
    </w:p>
    <w:p w14:paraId="3600E09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يتطلب تعزيز المرونة وضع مؤشرات لقياس مستوى المرونة التنظيمية وتقييمه بشكل دوري، لتحديد نقاط القوة والضعف والعمل على التحسين المستمر. وتشمل هذه المؤشرات قياس سرعة الاستجابة، والقدرة على التكيف، ومعدل الابتكار، وفعالية التعلم التنظيمي، ومستوى رضا العاملين والعملاء</w:t>
      </w:r>
      <w:r w:rsidRPr="00C16181">
        <w:rPr>
          <w:rFonts w:ascii="Simplified Arabic" w:hAnsi="Simplified Arabic" w:cs="Simplified Arabic"/>
          <w:sz w:val="28"/>
          <w:szCs w:val="28"/>
        </w:rPr>
        <w:t xml:space="preserve"> (Elapatha &amp; Jehan, 2020).</w:t>
      </w:r>
    </w:p>
    <w:p w14:paraId="5AB52685" w14:textId="1294660C" w:rsidR="00C16181" w:rsidRPr="001327FB" w:rsidRDefault="00C16181" w:rsidP="001327FB">
      <w:pPr>
        <w:pStyle w:val="ListParagraph"/>
        <w:numPr>
          <w:ilvl w:val="0"/>
          <w:numId w:val="16"/>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دور القيادة والتحول الرقمي في دعم المرونة التنظيمية</w:t>
      </w:r>
    </w:p>
    <w:p w14:paraId="7293AD75" w14:textId="1D5B7CDE" w:rsidR="00C16181" w:rsidRPr="001327FB" w:rsidRDefault="00C16181" w:rsidP="001327FB">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دور القيادة في بناء المرونة التنظيمية</w:t>
      </w:r>
    </w:p>
    <w:p w14:paraId="79F97929"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تلعب القيادة دوراً محورياً في بناء وتعزيز المرونة التنظيمية، حيث أن القادة هم الذين يحددون الرؤية والاتجاه، ويبنون الثقافة التنظيمية، ويتخذون القرارات الاستراتيجية، ويمكنون العاملين، ويديرون التغيير. ويشير</w:t>
      </w:r>
      <w:r w:rsidRPr="00C16181">
        <w:rPr>
          <w:rFonts w:ascii="Simplified Arabic" w:hAnsi="Simplified Arabic" w:cs="Simplified Arabic"/>
          <w:sz w:val="28"/>
          <w:szCs w:val="28"/>
        </w:rPr>
        <w:t xml:space="preserve"> Fatile et al. (2020) </w:t>
      </w:r>
      <w:r w:rsidRPr="00C16181">
        <w:rPr>
          <w:rFonts w:ascii="Simplified Arabic" w:hAnsi="Simplified Arabic" w:cs="Simplified Arabic"/>
          <w:sz w:val="28"/>
          <w:szCs w:val="28"/>
          <w:rtl/>
        </w:rPr>
        <w:t>إلى أن نجاح أي مبادرة لتعزيز المرونة التنظيمية يعتمد بشكل أساسي على التزام ودعم القيادة العليا</w:t>
      </w:r>
      <w:r w:rsidRPr="00C16181">
        <w:rPr>
          <w:rFonts w:ascii="Simplified Arabic" w:hAnsi="Simplified Arabic" w:cs="Simplified Arabic"/>
          <w:sz w:val="28"/>
          <w:szCs w:val="28"/>
        </w:rPr>
        <w:t>.</w:t>
      </w:r>
    </w:p>
    <w:p w14:paraId="06174996" w14:textId="77777777" w:rsidR="00EA25DF"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ويتطلب بناء المرونة التنظيمية من القادة امتلاك رؤية واضحة لأهمية المرونة ودورها في نجاح المؤسسة، والقدرة على توصيل هذه الرؤية بفعالية لجميع المستويات التنظيمية.</w:t>
      </w:r>
    </w:p>
    <w:p w14:paraId="3974DAD9" w14:textId="02D02490" w:rsidR="001327FB" w:rsidRDefault="00C16181" w:rsidP="00EA25DF">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 xml:space="preserve"> كما يتطلب استعداد القادة لتبني التغيير الجذري والتخلي عن الممارسات التقليدية التي تعيق المرونة</w:t>
      </w:r>
      <w:r w:rsidRPr="00C16181">
        <w:rPr>
          <w:rFonts w:ascii="Simplified Arabic" w:hAnsi="Simplified Arabic" w:cs="Simplified Arabic"/>
          <w:sz w:val="28"/>
          <w:szCs w:val="28"/>
        </w:rPr>
        <w:t xml:space="preserve"> (Hooda &amp; Singla, 2020).</w:t>
      </w:r>
    </w:p>
    <w:p w14:paraId="0C979AEA"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ويجب على القادة أن يكونوا قدوة في تبني السلوكيات المرنة، من خلال انفتاحهم على الأفكار الجديدة، واستعدادهم لتعديل القرارات بناءً على المعطيات الجديدة، وتشجيعهم للتجريب والتعلم من الأخطاء، وتعاملهم الإيجابي مع التحديات والأزمات. فالعاملون يتأثرون بشكل كبير بسلوكيات قادتهم ويميلون لتقليدها</w:t>
      </w:r>
      <w:r w:rsidRPr="00C16181">
        <w:rPr>
          <w:rFonts w:ascii="Simplified Arabic" w:hAnsi="Simplified Arabic" w:cs="Simplified Arabic"/>
          <w:sz w:val="28"/>
          <w:szCs w:val="28"/>
        </w:rPr>
        <w:t xml:space="preserve"> (Ahmes Bayomy et al., 2021).</w:t>
      </w:r>
    </w:p>
    <w:p w14:paraId="0BD92157"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 xml:space="preserve">كما يتطلب بناء المرونة من القادة تمكين العاملين ومنحهم الثقة والصلاحيات اللازمة لاتخاذ القرارات والمبادرة. وهذا يتطلب تحولاً في نمط القيادة من القيادة الموجهة والمسيطرة إلى القيادة الميسرة </w:t>
      </w:r>
      <w:r w:rsidRPr="00C16181">
        <w:rPr>
          <w:rFonts w:ascii="Simplified Arabic" w:hAnsi="Simplified Arabic" w:cs="Simplified Arabic"/>
          <w:sz w:val="28"/>
          <w:szCs w:val="28"/>
          <w:rtl/>
        </w:rPr>
        <w:lastRenderedPageBreak/>
        <w:t>والداعمة التي تركز على بناء القدرات وتوفير البيئة الممكنة للأداء المتميز</w:t>
      </w:r>
      <w:r w:rsidRPr="00C16181">
        <w:rPr>
          <w:rFonts w:ascii="Simplified Arabic" w:hAnsi="Simplified Arabic" w:cs="Simplified Arabic"/>
          <w:sz w:val="28"/>
          <w:szCs w:val="28"/>
        </w:rPr>
        <w:t xml:space="preserve"> (Al-Anqoudi et al., 2021).</w:t>
      </w:r>
    </w:p>
    <w:p w14:paraId="215A40CA"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ويجب على القادة أيضاً الاستثمار في تطوير قدرات العاملين من خلال برامج التدريب والتطوير المستمرة، وبناء ثقافة التعلم التنظيمي التي تشجع على اكتساب المعارف والمهارات الجديدة وتطبيقها في تحسين الأداء</w:t>
      </w:r>
      <w:r w:rsidRPr="00C16181">
        <w:rPr>
          <w:rFonts w:ascii="Simplified Arabic" w:hAnsi="Simplified Arabic" w:cs="Simplified Arabic"/>
          <w:sz w:val="28"/>
          <w:szCs w:val="28"/>
        </w:rPr>
        <w:t xml:space="preserve"> (Kumar, 2024).</w:t>
      </w:r>
    </w:p>
    <w:p w14:paraId="35DB798F" w14:textId="7FE222B4"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كما يلعب القادة دوراً حاسماً في بناء ثقافة تنظيمية تدعم المرونة، من خلال تعزيز القيم مثل الانفتاح على التغيير، والاستعداد للتعلم، والتعاون، والابتكار، والتركيز على العملاء. وهذه الثقافة لا تبنى بين ليلة وضحاها، وإنما تتطلب جهوداً متواصلة من القيادة على مدى فترة طويلة</w:t>
      </w:r>
      <w:r w:rsidRPr="00C16181">
        <w:rPr>
          <w:rFonts w:ascii="Simplified Arabic" w:hAnsi="Simplified Arabic" w:cs="Simplified Arabic"/>
          <w:sz w:val="28"/>
          <w:szCs w:val="28"/>
        </w:rPr>
        <w:t xml:space="preserve"> (Al-Mawdieh, 2020).</w:t>
      </w:r>
    </w:p>
    <w:p w14:paraId="3FD32CAE" w14:textId="1E74405B" w:rsidR="00C16181" w:rsidRPr="001327FB" w:rsidRDefault="00C16181" w:rsidP="001327FB">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دور التحول الرقمي في تعزيز المرونة التنظيمية</w:t>
      </w:r>
    </w:p>
    <w:p w14:paraId="2365EA53"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يمثل التحول الرقمي محركاً أساسياً لتعزيز المرونة التنظيمية، حيث توفر التقنيات الرقمية الحديثة إمكانات هائلة لتحسين سرعة الاستجابة، وتعزيز التكامل والتنسيق، وتمكين الابتكار، ودعم اتخاذ القرارات المستنيرة. ويشير</w:t>
      </w:r>
      <w:r w:rsidRPr="00C16181">
        <w:rPr>
          <w:rFonts w:ascii="Simplified Arabic" w:hAnsi="Simplified Arabic" w:cs="Simplified Arabic"/>
          <w:sz w:val="28"/>
          <w:szCs w:val="28"/>
        </w:rPr>
        <w:t xml:space="preserve"> Kumar (2024) </w:t>
      </w:r>
      <w:r w:rsidRPr="00C16181">
        <w:rPr>
          <w:rFonts w:ascii="Simplified Arabic" w:hAnsi="Simplified Arabic" w:cs="Simplified Arabic"/>
          <w:sz w:val="28"/>
          <w:szCs w:val="28"/>
          <w:rtl/>
        </w:rPr>
        <w:t>إلى أن الأتمتة المدفوعة بالذكاء الاصطناعي تعزز كفاءة ودقة العمليات الإدارية، مما يساهم في بناء المرونة التنظيمية</w:t>
      </w:r>
      <w:r w:rsidRPr="00C16181">
        <w:rPr>
          <w:rFonts w:ascii="Simplified Arabic" w:hAnsi="Simplified Arabic" w:cs="Simplified Arabic"/>
          <w:sz w:val="28"/>
          <w:szCs w:val="28"/>
        </w:rPr>
        <w:t>.</w:t>
      </w:r>
    </w:p>
    <w:p w14:paraId="17DB4733"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وتساهم نظم المعلومات المتكاملة في تحسين تدفق المعلومات والتنسيق بين مختلف أجزاء المؤسسة، وتوفير رؤية شاملة للعمليات والأداء، مما يمكن من اتخاذ قرارات أفضل وأسرع. كما تمكن الحوسبة السحابية المؤسسات من الوصول إلى موارد حوسبية مرنة وقابلة للتوسع حسب الحاجة، دون الحاجة لاستثمارات ضخمة في البنية التحتية</w:t>
      </w:r>
      <w:r w:rsidRPr="00C16181">
        <w:rPr>
          <w:rFonts w:ascii="Simplified Arabic" w:hAnsi="Simplified Arabic" w:cs="Simplified Arabic"/>
          <w:sz w:val="28"/>
          <w:szCs w:val="28"/>
        </w:rPr>
        <w:t xml:space="preserve"> (Al-Anqoudi et al., 2021).</w:t>
      </w:r>
    </w:p>
    <w:p w14:paraId="5247293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وتوفر تقنيات الذكاء الاصطناعي والتعلم الآلي إمكانات متقدمة لتحليل البيانات الضخمة واستخلاص الأنماط والرؤى منها، والتنبؤ بالاتجاهات المستقبلية، مما يدعم المرونة الاستباقية. كما تمكن هذه التقنيات من أتمتة العمليات الروتينية وتحرير العاملين للتركيز على المهام الأكثر قيمة التي تتطلب إبداعاً وحكماً إنسانياً</w:t>
      </w:r>
      <w:r w:rsidRPr="00C16181">
        <w:rPr>
          <w:rFonts w:ascii="Simplified Arabic" w:hAnsi="Simplified Arabic" w:cs="Simplified Arabic"/>
          <w:sz w:val="28"/>
          <w:szCs w:val="28"/>
        </w:rPr>
        <w:t xml:space="preserve"> (Ahmes Bayomy et al., 2021).</w:t>
      </w:r>
    </w:p>
    <w:p w14:paraId="0F05444E"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lastRenderedPageBreak/>
        <w:t>وتساهم أدوات التعاون الرقمي في تمكين العمل عن بعد والعمل الموزع، مما يعزز مرونة المؤسسة في التعامل مع الأزمات أو التغيرات التي قد تؤثر على مواقع العمل التقليدية. كما تسهل هذه الأدوات التواصل والتعاون بين الفرق الموزعة جغرافياً، وتمكن من تشكيل فرق متعددة الوظائف بسرعة لإنجاز مهام محددة</w:t>
      </w:r>
      <w:r w:rsidRPr="00C16181">
        <w:rPr>
          <w:rFonts w:ascii="Simplified Arabic" w:hAnsi="Simplified Arabic" w:cs="Simplified Arabic"/>
          <w:sz w:val="28"/>
          <w:szCs w:val="28"/>
        </w:rPr>
        <w:t xml:space="preserve"> (Massaro &amp; Galiano, 2020).</w:t>
      </w:r>
    </w:p>
    <w:p w14:paraId="581A1A9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التحول الرقمي الناجح أكثر من مجرد تطبيق التقنيات الحديثة، بل يتطلب إعادة تصميم العمليات لتستفيد من إمكانات هذه التقنيات، وتطوير مهارات العاملين الرقمية، وبناء ثقافة رقمية في المؤسسة، وتطوير نماذج الأعمال لتتوافق مع الواقع الرقمي الجديد</w:t>
      </w:r>
      <w:r w:rsidRPr="00C16181">
        <w:rPr>
          <w:rFonts w:ascii="Simplified Arabic" w:hAnsi="Simplified Arabic" w:cs="Simplified Arabic"/>
          <w:sz w:val="28"/>
          <w:szCs w:val="28"/>
        </w:rPr>
        <w:t xml:space="preserve"> (Muhammad Arip Islahudin &amp; Hadikurniawati, 2022).</w:t>
      </w:r>
    </w:p>
    <w:p w14:paraId="7C7AB372" w14:textId="3933BDBD" w:rsidR="00C16181" w:rsidRPr="001327FB" w:rsidRDefault="00C16181" w:rsidP="001327FB">
      <w:pPr>
        <w:pStyle w:val="ListParagraph"/>
        <w:numPr>
          <w:ilvl w:val="0"/>
          <w:numId w:val="16"/>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العلاقة بين ثقافة المؤسسة والمرونة في مواجهة الأزمات</w:t>
      </w:r>
    </w:p>
    <w:p w14:paraId="0A431D2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تلعب الثقافة التنظيمية دوراً حاسماً في تحديد مستوى المرونة التي تمتلكها المؤسسة وقدرتها على مواجهة الأزمات بفعالية. فالثقافة التنظيمية تشكل القيم والمعتقدات والافتراضات والسلوكيات السائدة في المؤسسة، وهي التي تحدد كيف يفكر العاملون ويتصرفون في مختلف المواقف</w:t>
      </w:r>
      <w:r w:rsidRPr="00C16181">
        <w:rPr>
          <w:rFonts w:ascii="Simplified Arabic" w:hAnsi="Simplified Arabic" w:cs="Simplified Arabic"/>
          <w:sz w:val="28"/>
          <w:szCs w:val="28"/>
        </w:rPr>
        <w:t>.</w:t>
      </w:r>
    </w:p>
    <w:p w14:paraId="4BC1CA51" w14:textId="2F9E7D5F" w:rsidR="00C16181" w:rsidRPr="001327FB" w:rsidRDefault="00C16181" w:rsidP="001327FB">
      <w:pPr>
        <w:pStyle w:val="ListParagraph"/>
        <w:numPr>
          <w:ilvl w:val="0"/>
          <w:numId w:val="23"/>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الثقافة المنفتحة على التغيير</w:t>
      </w:r>
    </w:p>
    <w:p w14:paraId="647B4FE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المؤسسات المرنة بثقافة منفتحة على التغيير، حيث يُنظر إلى التغيير كفرصة للتطوير والنمو وليس كتهديد. وهذه الثقافة تجعل المؤسسة أكثر استعداداً لتبني التغييرات المطلوبة للتكيف مع الأزمات أو التحديات الجديدة، وتقلل من المقاومة التي غالباً ما تعيق جهود التغيير</w:t>
      </w:r>
      <w:r w:rsidRPr="00C16181">
        <w:rPr>
          <w:rFonts w:ascii="Simplified Arabic" w:hAnsi="Simplified Arabic" w:cs="Simplified Arabic"/>
          <w:sz w:val="28"/>
          <w:szCs w:val="28"/>
        </w:rPr>
        <w:t xml:space="preserve"> (Battilani et al., 2022).</w:t>
      </w:r>
    </w:p>
    <w:p w14:paraId="69B53FE2" w14:textId="77777777" w:rsidR="00C16181"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وتتطلب بناء هذه الثقافة جهوداً متواصلة من القيادة لتعزيز القيم المرتبطة بالتغيير الإيجابي، ومكافأة السلوكيات التي تدعم التكيف والمرونة، وخلق تجارب إيجابية مع التغيير تبني الثقة في قدرة المؤسسة على إدارته بنجاح</w:t>
      </w:r>
      <w:r w:rsidRPr="00C16181">
        <w:rPr>
          <w:rFonts w:ascii="Simplified Arabic" w:hAnsi="Simplified Arabic" w:cs="Simplified Arabic"/>
          <w:sz w:val="28"/>
          <w:szCs w:val="28"/>
        </w:rPr>
        <w:t xml:space="preserve"> (Catursari et al., 2023).</w:t>
      </w:r>
    </w:p>
    <w:p w14:paraId="72096BAA" w14:textId="77777777" w:rsidR="00EA25DF" w:rsidRPr="00C16181" w:rsidRDefault="00EA25DF" w:rsidP="00EA25DF">
      <w:pPr>
        <w:bidi/>
        <w:ind w:firstLine="720"/>
        <w:jc w:val="both"/>
        <w:rPr>
          <w:rFonts w:ascii="Simplified Arabic" w:hAnsi="Simplified Arabic" w:cs="Simplified Arabic"/>
          <w:sz w:val="28"/>
          <w:szCs w:val="28"/>
        </w:rPr>
      </w:pPr>
    </w:p>
    <w:p w14:paraId="6960C1AD" w14:textId="55A9E2EF" w:rsidR="00C16181" w:rsidRPr="001327FB" w:rsidRDefault="00C16181" w:rsidP="001327FB">
      <w:pPr>
        <w:pStyle w:val="ListParagraph"/>
        <w:numPr>
          <w:ilvl w:val="0"/>
          <w:numId w:val="23"/>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ثقافة التعلم والتحسين المستمر</w:t>
      </w:r>
    </w:p>
    <w:p w14:paraId="3FF2FE5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تساهم ثقافة التعلم التنظيمي والتحسين المستمر في تعزيز المرونة من خلال تمكين المؤسسة من التعلم من تجاربها ومن تجارب الآخرين، وتطوير معارفها وقدراتها باستمرار. وهذه الثقافة تشجع العاملين على البحث عن فرص التحسين، والتجريب، والتعلم من الأخطاء، ومشاركة المعرفة والخبرات</w:t>
      </w:r>
      <w:r w:rsidRPr="00C16181">
        <w:rPr>
          <w:rFonts w:ascii="Simplified Arabic" w:hAnsi="Simplified Arabic" w:cs="Simplified Arabic"/>
          <w:sz w:val="28"/>
          <w:szCs w:val="28"/>
        </w:rPr>
        <w:t xml:space="preserve"> (Chandra Puspita &amp; Unisri, 2022).</w:t>
      </w:r>
    </w:p>
    <w:p w14:paraId="6814FA91"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ثقافة التعلم خلق بيئة آمنة نفسياً حيث يشعر العاملون بالأمان في طرح الأسئلة، والاعتراف بالأخطاء، وتجريب أساليب جديدة، دون خوف من اللوم أو العقاب. كما تتطلب توفير الوقت والموارد للتعلم والتطوير، ومكافأة السلوكيات التي تعكس التعلم والتحسين</w:t>
      </w:r>
      <w:r w:rsidRPr="00C16181">
        <w:rPr>
          <w:rFonts w:ascii="Simplified Arabic" w:hAnsi="Simplified Arabic" w:cs="Simplified Arabic"/>
          <w:sz w:val="28"/>
          <w:szCs w:val="28"/>
        </w:rPr>
        <w:t xml:space="preserve"> (Elapatha &amp; Jehan, 2020).</w:t>
      </w:r>
    </w:p>
    <w:p w14:paraId="07DD8324" w14:textId="4BEC2262" w:rsidR="00C16181" w:rsidRPr="001327FB" w:rsidRDefault="00C16181" w:rsidP="001327FB">
      <w:pPr>
        <w:pStyle w:val="ListParagraph"/>
        <w:numPr>
          <w:ilvl w:val="0"/>
          <w:numId w:val="23"/>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التعاون والعمل الجماعي</w:t>
      </w:r>
    </w:p>
    <w:p w14:paraId="57FCB63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تعزز ثقافة التعاون والعمل الجماعي المرونة التنظيمية من خلال تمكين التنسيق السريع والفعال بين مختلف أجزاء المؤسسة عند مواجهة التحديات أو الأزمات. فالمؤسسات التي تتمتع بثقافة تعاونية قوية تكون أكثر قدرة على تشكيل فرق متعددة الوظائف بسرعة، وتبادل المعلومات والموارد، والعمل معاً نحو أهداف مشتركة</w:t>
      </w:r>
      <w:r w:rsidRPr="00C16181">
        <w:rPr>
          <w:rFonts w:ascii="Simplified Arabic" w:hAnsi="Simplified Arabic" w:cs="Simplified Arabic"/>
          <w:sz w:val="28"/>
          <w:szCs w:val="28"/>
        </w:rPr>
        <w:t xml:space="preserve"> (Fatile et al., 2020).</w:t>
      </w:r>
    </w:p>
    <w:p w14:paraId="14E780C0"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ثقافة التعاون تجاوز الحواجز الوظيفية والهرمية التقليدية، وتعزيز الشعور بالانتماء للمؤسسة ككل وليس لقسم أو وحدة محددة، ومكافأة السلوكيات التعاونية والإنجازات الجماعية</w:t>
      </w:r>
      <w:r w:rsidRPr="00C16181">
        <w:rPr>
          <w:rFonts w:ascii="Simplified Arabic" w:hAnsi="Simplified Arabic" w:cs="Simplified Arabic"/>
          <w:sz w:val="28"/>
          <w:szCs w:val="28"/>
        </w:rPr>
        <w:t xml:space="preserve"> (Hooda &amp; Singla, 2020).</w:t>
      </w:r>
    </w:p>
    <w:p w14:paraId="104309A3" w14:textId="5933DA26" w:rsidR="00C16181" w:rsidRPr="001327FB" w:rsidRDefault="00C16181" w:rsidP="001327FB">
      <w:pPr>
        <w:pStyle w:val="ListParagraph"/>
        <w:numPr>
          <w:ilvl w:val="0"/>
          <w:numId w:val="23"/>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المبادرة والتمكين</w:t>
      </w:r>
    </w:p>
    <w:p w14:paraId="76D57B6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تساهم ثقافة المبادرة والتمكين في تعزيز المرونة من خلال تمكين العاملين من اتخاذ قرارات سريعة واتخاذ مبادرات لحل المشكلات في مواقع عملهم دون الحاجة إلى انتظار التعليمات من المستويات العليا. وهذا يسرع بشكل كبير من قدرة المؤسسة على الاستجابة للأزمات أو التحديات</w:t>
      </w:r>
      <w:r w:rsidRPr="00C16181">
        <w:rPr>
          <w:rFonts w:ascii="Simplified Arabic" w:hAnsi="Simplified Arabic" w:cs="Simplified Arabic"/>
          <w:sz w:val="28"/>
          <w:szCs w:val="28"/>
        </w:rPr>
        <w:t xml:space="preserve"> (Weerakkody et al., 2021).</w:t>
      </w:r>
    </w:p>
    <w:p w14:paraId="76ECA37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lastRenderedPageBreak/>
        <w:t>وتتطلب بناء هذه الثقافة منح العاملين الثقة والصلاحيات اللازمة، وتوفير التدريب والدعم لممارسة هذه الصلاحيات بفعالية، والتسامح مع الأخطاء التي قد تحدث في سياق المبادرات الحسنة النية</w:t>
      </w:r>
      <w:r w:rsidRPr="00C16181">
        <w:rPr>
          <w:rFonts w:ascii="Simplified Arabic" w:hAnsi="Simplified Arabic" w:cs="Simplified Arabic"/>
          <w:sz w:val="28"/>
          <w:szCs w:val="28"/>
        </w:rPr>
        <w:t>.</w:t>
      </w:r>
    </w:p>
    <w:p w14:paraId="6F480623" w14:textId="22018C73" w:rsidR="00C16181" w:rsidRPr="001327FB" w:rsidRDefault="00C16181" w:rsidP="001327FB">
      <w:pPr>
        <w:pStyle w:val="ListParagraph"/>
        <w:numPr>
          <w:ilvl w:val="0"/>
          <w:numId w:val="23"/>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التركيز على العملاء</w:t>
      </w:r>
    </w:p>
    <w:p w14:paraId="39205AEF"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تعزز ثقافة التركيز على العملاء المرونة التنظيمية من خلال توجيه المؤسسة باستمرار نحو فهم وتلبية احتياجات العملاء المتغيرة، وهذا يدفعها للتكيف والتطور المستمر. فالمؤسسات التي تضع العملاء في مركز تفكيرها تكون أكثر حساسية للتغيرات في توقعات العملاء ومتطلباتهم، وأكثر استعداداً للاستجابة لها</w:t>
      </w:r>
      <w:r w:rsidRPr="00C16181">
        <w:rPr>
          <w:rFonts w:ascii="Simplified Arabic" w:hAnsi="Simplified Arabic" w:cs="Simplified Arabic"/>
          <w:sz w:val="28"/>
          <w:szCs w:val="28"/>
        </w:rPr>
        <w:t xml:space="preserve"> (Nachev et al., 2020).</w:t>
      </w:r>
    </w:p>
    <w:p w14:paraId="294D6428" w14:textId="75BE18FE" w:rsidR="00C16181" w:rsidRPr="001327FB" w:rsidRDefault="00C16181" w:rsidP="001327FB">
      <w:pPr>
        <w:pStyle w:val="ListParagraph"/>
        <w:numPr>
          <w:ilvl w:val="0"/>
          <w:numId w:val="23"/>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المرونة والقدرة على التعافي</w:t>
      </w:r>
    </w:p>
    <w:p w14:paraId="19082A80"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بعض المؤسسات بثقافة تركز بشكل خاص على المرونة والقدرة على التعافي من الأزمات، حيث يُنظر إلى الأزمات كاختبارات حتمية يجب الاستعداد لها والتعلم منها. وهذه الثقافة تشجع على التخطيط للطوارئ، وبناء الاحتياطيات والقدرات الفائضة، والاستثمار في تطوير القدرة على التعافي السريع</w:t>
      </w:r>
      <w:r w:rsidRPr="00C16181">
        <w:rPr>
          <w:rFonts w:ascii="Simplified Arabic" w:hAnsi="Simplified Arabic" w:cs="Simplified Arabic"/>
          <w:sz w:val="28"/>
          <w:szCs w:val="28"/>
        </w:rPr>
        <w:t xml:space="preserve"> (Nwankwo et al., 2020).</w:t>
      </w:r>
    </w:p>
    <w:p w14:paraId="69532D6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هذه الثقافة نشر الوعي بأهمية المرونة والاستعداد للأزمات، وإجراء تمارين محاكاة للأزمات لاختبار الجاهزية وتطوير القدرات، والاحتفاء بالنجاحات في التعامل مع الأزمات أو التحديات الصعبة</w:t>
      </w:r>
      <w:r w:rsidRPr="00C16181">
        <w:rPr>
          <w:rFonts w:ascii="Simplified Arabic" w:hAnsi="Simplified Arabic" w:cs="Simplified Arabic"/>
          <w:sz w:val="28"/>
          <w:szCs w:val="28"/>
        </w:rPr>
        <w:t xml:space="preserve"> (Pramartha &amp; Mimba, 2020).</w:t>
      </w:r>
    </w:p>
    <w:p w14:paraId="37022F33" w14:textId="35F8CD3D" w:rsidR="00C16181" w:rsidRPr="00C16181" w:rsidRDefault="00C16181" w:rsidP="00C16181">
      <w:pPr>
        <w:pStyle w:val="ListParagraph"/>
        <w:numPr>
          <w:ilvl w:val="0"/>
          <w:numId w:val="16"/>
        </w:numPr>
        <w:bidi/>
        <w:jc w:val="both"/>
        <w:rPr>
          <w:rFonts w:ascii="Simplified Arabic" w:hAnsi="Simplified Arabic" w:cs="Simplified Arabic"/>
          <w:b/>
          <w:bCs/>
          <w:sz w:val="28"/>
          <w:szCs w:val="28"/>
        </w:rPr>
      </w:pPr>
      <w:r w:rsidRPr="00C16181">
        <w:rPr>
          <w:rFonts w:ascii="Simplified Arabic" w:hAnsi="Simplified Arabic" w:cs="Simplified Arabic"/>
          <w:b/>
          <w:bCs/>
          <w:sz w:val="28"/>
          <w:szCs w:val="28"/>
          <w:rtl/>
        </w:rPr>
        <w:t>خلاصة</w:t>
      </w:r>
      <w:r w:rsidRPr="00C16181">
        <w:rPr>
          <w:rFonts w:ascii="Simplified Arabic" w:hAnsi="Simplified Arabic" w:cs="Simplified Arabic" w:hint="cs"/>
          <w:b/>
          <w:bCs/>
          <w:sz w:val="28"/>
          <w:szCs w:val="28"/>
          <w:rtl/>
        </w:rPr>
        <w:t xml:space="preserve"> المحور</w:t>
      </w:r>
    </w:p>
    <w:p w14:paraId="69D97C62" w14:textId="77777777" w:rsidR="00C16181" w:rsidRPr="00C16181" w:rsidRDefault="00C16181" w:rsidP="00C1618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يتضح من العرض السابق أن المرونة التنظيمية أصبحت خاصية حيوية للمؤسسات المعاصرة، حيث تمكنها من التعامل الفعال مع التغيرات والتحديات المتسارعة في بيئة الأعمال. وتتضمن المرونة التنظيمية أبعاداً متعددة تشمل الاستجابة السريعة، والتكيف، والابتكار، والتعلم التنظيمي، وهي أبعاد مترابطة تشكل معاً منظومة متكاملة</w:t>
      </w:r>
      <w:r w:rsidRPr="00C16181">
        <w:rPr>
          <w:rFonts w:ascii="Simplified Arabic" w:hAnsi="Simplified Arabic" w:cs="Simplified Arabic"/>
          <w:sz w:val="28"/>
          <w:szCs w:val="28"/>
        </w:rPr>
        <w:t>.</w:t>
      </w:r>
    </w:p>
    <w:p w14:paraId="5785B908" w14:textId="77777777" w:rsidR="00C16181" w:rsidRPr="00C16181" w:rsidRDefault="00C16181" w:rsidP="00C1618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lastRenderedPageBreak/>
        <w:t>وتتطلب بناء المرونة التنظيمية تطبيق استراتيجيات متعددة ومتكاملة، من أهمها إعادة هندسة العمليات الإدارية التي تساهم في إزالة الحواجز البيروقراطية وبناء عمليات مرنة وسريعة. كما يلعب التحول الرقمي دوراً محورياً في تعزيز المرونة من خلال توفير إمكانات تقنية متقدمة للاستجابة والتكيف والابتكار</w:t>
      </w:r>
      <w:r w:rsidRPr="00C16181">
        <w:rPr>
          <w:rFonts w:ascii="Simplified Arabic" w:hAnsi="Simplified Arabic" w:cs="Simplified Arabic"/>
          <w:sz w:val="28"/>
          <w:szCs w:val="28"/>
        </w:rPr>
        <w:t>.</w:t>
      </w:r>
    </w:p>
    <w:p w14:paraId="4018444B" w14:textId="77777777" w:rsidR="00C16181" w:rsidRPr="00C16181" w:rsidRDefault="00C16181" w:rsidP="00C1618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وتمثل القيادة والثقافة التنظيمية عاملين حاسمين في بناء المرونة التنظيمية، حيث أن القيادة هي التي تضع الرؤية وتوفر الدعم والموارد، والثقافة هي التي تشكل سلوكيات العاملين واستعدادهم للتغيير والتكيف. ولا يمكن بناء مرونة تنظيمية مستدامة دون وجود قيادة ملتزمة وثقافة داعمة</w:t>
      </w:r>
      <w:r w:rsidRPr="00C16181">
        <w:rPr>
          <w:rFonts w:ascii="Simplified Arabic" w:hAnsi="Simplified Arabic" w:cs="Simplified Arabic"/>
          <w:sz w:val="28"/>
          <w:szCs w:val="28"/>
        </w:rPr>
        <w:t>.</w:t>
      </w:r>
    </w:p>
    <w:p w14:paraId="1859E605" w14:textId="2DB2B811" w:rsidR="00C16181" w:rsidRDefault="00C16181" w:rsidP="003E2E2A">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وفي ظل استمرار التحديات والتغيرات المتسارعة، تصبح المرونة التنظيمية ليست مجرد ميزة تنافسية، بل ضرورة حتمية للبقاء والاستمرار. والمؤسسات التي تستثمر في بناء مرونتها التنظيمية اليوم ستكون الأقدر على النجاح والازدهار في المستقبل</w:t>
      </w:r>
      <w:r w:rsidRPr="00C16181">
        <w:rPr>
          <w:rFonts w:ascii="Simplified Arabic" w:hAnsi="Simplified Arabic" w:cs="Simplified Arabic"/>
          <w:sz w:val="28"/>
          <w:szCs w:val="28"/>
        </w:rPr>
        <w:t>.</w:t>
      </w:r>
    </w:p>
    <w:p w14:paraId="1FCC4767" w14:textId="06C36547" w:rsidR="00C01976" w:rsidRPr="00C01976" w:rsidRDefault="00C01976" w:rsidP="00C01976">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w:t>
      </w:r>
      <w:r w:rsidRPr="00C01976">
        <w:rPr>
          <w:rFonts w:ascii="Simplified Arabic" w:hAnsi="Simplified Arabic" w:cs="Simplified Arabic"/>
          <w:b/>
          <w:bCs/>
          <w:sz w:val="28"/>
          <w:szCs w:val="28"/>
          <w:rtl/>
        </w:rPr>
        <w:t>الدراسات السابقة</w:t>
      </w:r>
    </w:p>
    <w:p w14:paraId="7ADBF9F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تُعد الدراسات السابقة ركيزة أساسية في البحث العلمي، إذ تمثل القاعدة المعرفية التي ينطلق منها الباحث لبناء إطاره النظري وتحديد موقع دراسته ضمن السياق العلمي الأوسع. وفي سياق الدراسة الحالية حول "إعادة هندسة العمليات الإدارية في ظل الأزمات: دراسة مقارنة بين الأساليب التقليدية وأساليب المرونة التنظيمية"، تكتسب الدراسات السابقة أهمية مضاعفة، حيث تسهم في رسم خارطة طريق واضحة لفهم كيفية تطبيق إعادة هندسة العمليات الإدارية في مختلف السياقات المؤسسية، وتحديد المتطلبات والعوامل الحرجة لنجاحها، والوقوف على التحديات والمعوقات التي واجهت المؤسسات في رحلة التحول الإداري. كما تساعد هذه الدراسات في الكشف عن الثغرات البحثية التي لم تحظَ بالاهتمام الكافي، لا سيما فيما يتعلق بتطبيق إعادة الهندسة في ظروف الأزمات والظروف الاستثنائية، وهو ما يمثل جوهر الدراسة الحالية التي تسعى إلى المقارنة بين الأساليب التقليدية والحديثة في إدارة التحول المؤسسي</w:t>
      </w:r>
      <w:r w:rsidRPr="00C01976">
        <w:rPr>
          <w:rFonts w:ascii="Simplified Arabic" w:hAnsi="Simplified Arabic" w:cs="Simplified Arabic"/>
          <w:sz w:val="28"/>
          <w:szCs w:val="28"/>
        </w:rPr>
        <w:t>.</w:t>
      </w:r>
    </w:p>
    <w:p w14:paraId="6411070A"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lastRenderedPageBreak/>
        <w:t>تتجلى أهمية مراجعة الدراسات السابقة في هذا السياق من خلال قدرتها على تقديم فهم عميق للإطار المفاهيمي لإعادة هندسة العمليات الإدارية وأبعادها المتعددة، سواء البعد التنظيمي أو البشري أو التكنولوجي أو الاستراتيجي. فالدراسات التي أُجريت في بيئات متنوعة - عربية وأجنبية، حكومية وخاصة، تعليمية وصحية وصناعية - توفر منظوراً شاملاً حول كيفية تكييف مبادئ إعادة الهندسة مع خصوصية كل قطاع ومتطلباته الفريدة. وهذا التنوع في السياقات التطبيقية يمكّن الباحث من استخلاص الدروس المستفادة وأفضل الممارسات التي يمكن توظيفها في تصميم دراسة مقارنة تأخذ في الاعتبار متغير الأزمات كعامل محوري يؤثر في فاعلية أساليب إعادة الهندسة المختلفة. كما أن الاطلاع على المنهجيات البحثية المتبعة في الدراسات السابقة وأدوات جمع البيانات والأساليب الإحصائية المستخدمة يثري التصميم المنهجي للدراسة الحالية ويعزز من صرامتها العلمية</w:t>
      </w:r>
      <w:r w:rsidRPr="00C01976">
        <w:rPr>
          <w:rFonts w:ascii="Simplified Arabic" w:hAnsi="Simplified Arabic" w:cs="Simplified Arabic"/>
          <w:sz w:val="28"/>
          <w:szCs w:val="28"/>
        </w:rPr>
        <w:t>.</w:t>
      </w:r>
    </w:p>
    <w:p w14:paraId="7C47FF25"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علاوة على ذلك، تساعد الدراسات السابقة في بلورة الإشكالية البحثية بصورة أكثر دقة ووضوحاً، من خلال الكشف عن الفجوات المعرفية القائمة. فعلى الرغم من الاهتمام المتزايد بموضوع إعادة هندسة العمليات الإدارية في الأدبيات العربية والأجنبية خلال السنوات الأخيرة، إلا أن معظم الدراسات ركزت على تطبيق إعادة الهندسة في الظروف الاعتيادية والبيئات المستقرة نسبياً، مع قلة في الدراسات التي تناولت تطبيقها في سياق الأزمات والظروف الاستثنائية. وهذه الفجوة تبرز أهمية الدراسة الحالية التي تسعى إلى المقارنة بين الأساليب التقليدية التي تتسم بالجمود النسبي وأساليب المرونة التنظيمية التي تتيح قدرة أكبر على التكيف والاستجابة السريعة للتغيرات البيئية المفاجئة. ومن هذا المنطلق، فإن استعراض الدراسات السابقة يتم وفق ترتيب زمني من الأقدم إلى الأحدث، بهدف رصد التطور الفكري والمنهجي في دراسة إعادة هندسة العمليات الإدارية، وتتبع كيفية تطور الاهتمام البحثي بهذا الموضوع عبر السنوات، وصولاً إلى أحدث الاتجاهات البحثية التي تتناول دمج التقنيات الحديثة مثل الذكاء الاصطناعي والتعلم الآلي في عمليات إعادة الهندسة</w:t>
      </w:r>
      <w:r w:rsidRPr="00C01976">
        <w:rPr>
          <w:rFonts w:ascii="Simplified Arabic" w:hAnsi="Simplified Arabic" w:cs="Simplified Arabic"/>
          <w:sz w:val="28"/>
          <w:szCs w:val="28"/>
        </w:rPr>
        <w:t>.</w:t>
      </w:r>
    </w:p>
    <w:p w14:paraId="71141996" w14:textId="77777777" w:rsidR="00C01976" w:rsidRPr="00C01976" w:rsidRDefault="00C01976" w:rsidP="00C01976">
      <w:pPr>
        <w:pStyle w:val="ListParagraph"/>
        <w:numPr>
          <w:ilvl w:val="0"/>
          <w:numId w:val="2"/>
        </w:numPr>
        <w:bidi/>
        <w:jc w:val="both"/>
        <w:rPr>
          <w:rFonts w:ascii="Simplified Arabic" w:hAnsi="Simplified Arabic" w:cs="Simplified Arabic"/>
          <w:b/>
          <w:bCs/>
          <w:sz w:val="28"/>
          <w:szCs w:val="28"/>
        </w:rPr>
      </w:pPr>
      <w:r w:rsidRPr="00C01976">
        <w:rPr>
          <w:rFonts w:ascii="Simplified Arabic" w:hAnsi="Simplified Arabic" w:cs="Simplified Arabic"/>
          <w:b/>
          <w:bCs/>
          <w:sz w:val="28"/>
          <w:szCs w:val="28"/>
          <w:rtl/>
        </w:rPr>
        <w:t>عرض الدراسات السابقة</w:t>
      </w:r>
    </w:p>
    <w:p w14:paraId="2B26861B"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 بحث زهران (2020) إلى التعرف على إعادة هندسة العمليات الإدارية وخدمات رعاية الشباب الجامعي. وتناول البحث عدة نقاط أولها مفهوم إعادة هندسة العمليات الإدارية وثانيها أهداف </w:t>
      </w:r>
      <w:r w:rsidRPr="00C01976">
        <w:rPr>
          <w:rFonts w:ascii="Simplified Arabic" w:hAnsi="Simplified Arabic" w:cs="Simplified Arabic"/>
          <w:sz w:val="28"/>
          <w:szCs w:val="28"/>
          <w:rtl/>
        </w:rPr>
        <w:lastRenderedPageBreak/>
        <w:t>إعادة هندسة العمليات الإدارية وثالثها أبعاد إعادة هندسة العمليات الإدارية ومنهجية تطبيق إعادة هندسة العمليات الإدارية ومتطلبات تطبيق إعادة هندسة العمليات الإدارية (الاستراتيجية، التزام وقناعة الإدارة العليا، تكنولوجيا المعلومات، تمكين العاملين، الاتصال الإداري، الاستعداد للتغيير)، وعوامل نجاح إعادة هندسة العمليات الإدارية. وهناك عدة خطوط يمكن الاعتماد عليها لنجاح إعادة الهندسة، والمعوقات التي تحول دون توافر متطلبات تطبيق إعادة هندسة العمليات الإدارية، وإعادة هندسة العمليات الإدارية، وجودة خدمات الرعاية الاجتماعية للشباب الجامعي. واختتم البحث أنه يتضح أهمية الاهتمام بفئة الشباب خاصة في المرحلة الجامعية لما لها من أهمية كبيرة في صقل شخصية الشاب وإكسابه المهارات اللازمة للمضي قدماً وللتأهيل لما بعد الجامعة</w:t>
      </w:r>
      <w:r w:rsidRPr="00C01976">
        <w:rPr>
          <w:rFonts w:ascii="Simplified Arabic" w:hAnsi="Simplified Arabic" w:cs="Simplified Arabic"/>
          <w:sz w:val="28"/>
          <w:szCs w:val="28"/>
        </w:rPr>
        <w:t>.</w:t>
      </w:r>
    </w:p>
    <w:p w14:paraId="7FF381F6"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جبريل (2020) إلى التعرف على مدى توافر متطلبات تطبيق إعادة هندسة العمليات الإدارية بالمجلس البلدي درنة، إضافة إلى الوقوف على مدى وجود فروق جوهرية معنوية لاستجابات المبحوثين حول تطبيق متطلبات إعادة هندسة العمليات، تعزى إلى بعض المتغيرات الديموغرافية الآتية: النوع، العمر، المستوى التعليمي، سنوات الخدمة، ولتحقيق أهداف الدراسة، اتبعت الدراسة منهج دراسة الحالة، فقد قام الباحث بتطوير استبانة معتمدا على بعض الدراسات السابقة، حيث تم التأكد من مصداقيتها ومعامل الثبات لها، وقد تمثل مجتمع الدراسة في جميع الموظفين بالمجلس البلدي درنة الذي بلغ قوامه بــــــ(70) موظفا، ولتحليل بيانات الدراسة تم الاستعانة بالحاسب الآلي واستخدام برنامج إحصائي من خدمة البرمجيات الواردة في</w:t>
      </w:r>
      <w:r w:rsidRPr="00C01976">
        <w:rPr>
          <w:rFonts w:ascii="Simplified Arabic" w:hAnsi="Simplified Arabic" w:cs="Simplified Arabic"/>
          <w:sz w:val="28"/>
          <w:szCs w:val="28"/>
        </w:rPr>
        <w:t xml:space="preserve"> (SPSS)</w:t>
      </w:r>
      <w:r w:rsidRPr="00C01976">
        <w:rPr>
          <w:rFonts w:ascii="Simplified Arabic" w:hAnsi="Simplified Arabic" w:cs="Simplified Arabic"/>
          <w:sz w:val="28"/>
          <w:szCs w:val="28"/>
          <w:rtl/>
        </w:rPr>
        <w:t>، حيث تم التوصل إلى العديد من النتائج يمكن إيجازها فيما يلي: كشفت الدراسة أن المستوى العام لتوافر متطلبات تطبيق إعادة هندسة العمليات جاء مرتفعا؛ أظهرت الدراسة عدم وجود فروق ذات دلالة إحصائية لاستجابات المبحوثين حول متطلبات إعادة هندرة العمليات الإدارية، تعزى إلى بعض المتغيرات الديموغرافية قيد الدراسة، وأخيرا قدمت الدراسة مجموعة من التوصيات التي يؤمل إتباعها لتطبيق إعادة هندسة العمليات الإدارية في المجلس البلدي درنة</w:t>
      </w:r>
      <w:r w:rsidRPr="00C01976">
        <w:rPr>
          <w:rFonts w:ascii="Simplified Arabic" w:hAnsi="Simplified Arabic" w:cs="Simplified Arabic"/>
          <w:sz w:val="28"/>
          <w:szCs w:val="28"/>
        </w:rPr>
        <w:t>.</w:t>
      </w:r>
    </w:p>
    <w:p w14:paraId="3BCDB77F"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تهدف دراسة علوان وطلوش (2020) إلى تبيان مساهمة الهندرة كمدخل حديث في تحسين أداء الموارد البشرية أين تم إسقاط دراستنا على عينة من عمال وإطارات مؤسسة أقمشة الشرق خنشلة، </w:t>
      </w:r>
      <w:r w:rsidRPr="00C01976">
        <w:rPr>
          <w:rFonts w:ascii="Simplified Arabic" w:hAnsi="Simplified Arabic" w:cs="Simplified Arabic"/>
          <w:sz w:val="28"/>
          <w:szCs w:val="28"/>
          <w:rtl/>
        </w:rPr>
        <w:lastRenderedPageBreak/>
        <w:t>حيث تم توزيع 30 استمارة استبيان، ولاختبار فرضية الدراسة تم استعمال مجموعة من الأساليب الإحصائية، كالمتوسط الحسابي والانحراف المعياري و اختبار</w:t>
      </w:r>
      <w:r w:rsidRPr="00C01976">
        <w:rPr>
          <w:rFonts w:ascii="Simplified Arabic" w:hAnsi="Simplified Arabic" w:cs="Simplified Arabic"/>
          <w:sz w:val="28"/>
          <w:szCs w:val="28"/>
        </w:rPr>
        <w:t xml:space="preserve"> T </w:t>
      </w:r>
      <w:r w:rsidRPr="00C01976">
        <w:rPr>
          <w:rFonts w:ascii="Simplified Arabic" w:hAnsi="Simplified Arabic" w:cs="Simplified Arabic"/>
          <w:sz w:val="28"/>
          <w:szCs w:val="28"/>
          <w:rtl/>
        </w:rPr>
        <w:t>للعينة الواحدة بغية الوصول إلى نتائج تساعدنا في تحسين أداء الموارد البشرية أين وصلت الدراسة إلى كون إعادة هندسة العمليات الإدارية تعتبر من المداخل الحديثة للتغيير التنظيمي التي تساهم مساهمة في تحسين أداء الموارد البشرية بمؤسسة أقمشة الشرق خنشلة، من خلال مساهمة تغير أدوار ومؤهلات الرؤساء والمرؤوسين بالدرجة الأولى ومساهمة إعادة تنظيم تسيير الموارد البشرية بدرجة أقل</w:t>
      </w:r>
      <w:r w:rsidRPr="00C01976">
        <w:rPr>
          <w:rFonts w:ascii="Simplified Arabic" w:hAnsi="Simplified Arabic" w:cs="Simplified Arabic"/>
          <w:sz w:val="28"/>
          <w:szCs w:val="28"/>
        </w:rPr>
        <w:t>.</w:t>
      </w:r>
    </w:p>
    <w:p w14:paraId="5E056A29"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 بحث اسحق (2020) إلى بيان دور إعادة هندسة العمليات الإدارية في تطوير أداء العاملين، "رسالة بالتطبيق على مصرف الادخار والتنمية الاجتماعية". تكمن مشكلة البحث في مدى المقدرة على تطبيق برامج إعادة هندسة العمليات الإدارية في تطوير أداء العاملين في مصرف الادخار والتنمية والاجتماعية من خلال سد الفجوات المتعلقة بمراحل إعادة هندسة العمليات وتطوير أداء العاملين من خلال تطبيق إعادة هندسة العمليات الإدارية "الهندرة". افترضت الدراسة وجود علاقة ذات دلالة إحصائية بين إعادة هندسة العمليات الإدارية وأثار تطوير أداء العاملين، هنالك علاقة ذات دلالة إحصائية بين هنالك علاقة بين هندسة العمليات الإدارية وأداء العاملين، هنالك علاقة ذات دلالة إحصائية بين أثار تطوير العاملين وأداء العاملين، اتبع الباحث المنهج الوصفي وطريقة إحصائية في الدراسة الميدانية، حيث قام بتوزيع عدد (120) استبيان على الموظفين والعاملين في مصرف الادخار والتنمية الاجتماعية، وتم استرجاع (112) استبيان منها عدد (2) استبيانات غير صالحة للتحليل و(110) سليمة تم استخدامها في التحليل. توصلت الدراسة إلى وجود إجراءات واضحة تعمل على تطوير أداء العاملين، أظهرت أن هنالك طرق واضحة للقيام بالمهام التي تطور أداء العاملين، أن التركيز على إعادة هندسة العمليات الإدارية يساعد زيادة أداء العاملين. على ضوء ما تم عرضه من نتائج توصي الدراسة بضرورة اتباع طرق واضحة للقيام بالمهام التي تؤدي إلى زيادة أداء العاملين بالبنك، ضرورة التخلص من التعقيدات والإجراءات المكتبية لما لها من تأثير على تطوير أداء العاملين، على البنك التركيز على إعادة هندسة العمليات الإدارية</w:t>
      </w:r>
      <w:r w:rsidRPr="00C01976">
        <w:rPr>
          <w:rFonts w:ascii="Simplified Arabic" w:hAnsi="Simplified Arabic" w:cs="Simplified Arabic"/>
          <w:sz w:val="28"/>
          <w:szCs w:val="28"/>
        </w:rPr>
        <w:t>.</w:t>
      </w:r>
    </w:p>
    <w:p w14:paraId="2E9DEBEC"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lastRenderedPageBreak/>
        <w:t>هدفت دراسة عليو (2020) إلى تحقيق الهندرة الإدارية في التعليم من خلال الاستفادة من تجارب بعض الدول المتقدمة مثل الولايات المتحدة الأمريكية، والصين وألمانيا، وذلك من خلال التعرف على الأسس النظرية لمدخل الهندرة الإدارية، والتعرف أيضا على تجارب بعض الدول المتقدمة في تطبيق الهندرة الإدارية في التعليم وأوجه الاستفادة منها في تحقيق الهندرة الإدارية في التعليم المصري، وأيضا التعرف على واقع العمليات الإدارية في التعليم ما قبل الجامعي، ومدى حاجتها إلى الهندرة الإدارية من خلال دراسة وتحليل نتائج الدراسات والأدبيات السابقة المرتبطة بالواقع، ولتحقيق ذلك اعتمدت الدراسة على المنهج الوصفي والمنهج المقارن، وتوصلت الدراسة إلى عدة نتائج من أهمها: الهندرة الإدارية مدخل إداري حديث يعمل على التغيير الجذري للعمليات الإدارية بهدف تقليل التكلفة، وتحقيق السرعة في أداء الأعمال، وزيادة رضا المستفيدين، وتوصى الدراسة بالآتي: تهيئة المناخ المدرسي الذي يشجع على التطوير والتجديد والإبداع وتقبل الأساليب الحديثة مثل الهندرة الإدارية، إعطاء المدارس الاستقلالية الإدارية في تطوير آدائها بما يتناسب مع احتياجاتها الفعلية، ضرورة مشاركة المجتمع وأولياء الأمور والطلاب في عملية الهندرة الإدارية مما يساهم في تحقيق الدعم المعنوي والمادي الذي تتطلبه الهندرة الإدارية</w:t>
      </w:r>
      <w:r w:rsidRPr="00C01976">
        <w:rPr>
          <w:rFonts w:ascii="Simplified Arabic" w:hAnsi="Simplified Arabic" w:cs="Simplified Arabic"/>
          <w:sz w:val="28"/>
          <w:szCs w:val="28"/>
        </w:rPr>
        <w:t>.</w:t>
      </w:r>
    </w:p>
    <w:p w14:paraId="7B70802B"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هدفت دراسة أبو جهين (2020) للتعرف على أثر إعادة هندسة العمليات في الأداء التنظيمي للمستشفيات الحكومية الأردنية، وقد استخدم الباحث المنهج الوصفي التحليلي، حيث تم استخدام الاستبانة كأداة لجمع البيانات الأولية من أفراد عينة الدراسة البالغ عددهم (127) مبحوثا، وبعد إجراء التحليل الإحصائي توصلت الدراسة إلى عدد من النتائج منها: أن مدى تطبيق إعادة هندسة العمليات بأبعادها (التزام الإدارة العليا، والاستراتيجية، وتكنولوجيا المعلومات الحديثة، والاتصال الإداري الفعال، وتمكين الموارد البشرية وإعدادها) جاء متوسطا وبمتوسط حسابي بلغ (3.14)، وجاء مستوى الأداء التنظيمي بأبعاده (رضا المراجعين والمرضى، كفاءة التشغيل، التعلم والنمو، الأداء المالي) متوسطا وبمتوسط حسابي بلغ (3.22)، وأن هناك أثر ذو دلالة إحصائية عند مستوى الدلالة لإعادة هندسة العمليات بأبعادها (التزام الإدارة العليا والاستراتيجية وتكنولوجيا المعلومات الحديثة والاتصال الإداري الفعال وتمكين الموارد البشرية وإعدادها) في الأداء التنظيمي بأبعاده (رضا المراجعين والمرضى، كفاءة </w:t>
      </w:r>
      <w:r w:rsidRPr="00C01976">
        <w:rPr>
          <w:rFonts w:ascii="Simplified Arabic" w:hAnsi="Simplified Arabic" w:cs="Simplified Arabic"/>
          <w:sz w:val="28"/>
          <w:szCs w:val="28"/>
          <w:rtl/>
        </w:rPr>
        <w:lastRenderedPageBreak/>
        <w:t>التشغيل، التعلم والنمو، الأداء المالي) للمستشفيات الحكومية الأردنية، وأوصت الدراسة بعديد من التوصيات أهمها: إيلاء الاهتمام الجاد والفعلي من قبل المستشفيات الحكومية الأردنية وكافة العاملين في المستويات الإدارية المختلفة بضرورة تطبيق برنامج إعادة هندسة العمليات من أجل تحسين أدائها التنظيمي، والعمل على تحسين وتبسيط إجراءات الخدمات المقدمة للمرضى والمراجعين في المستشفيات الحكومية الأردنية، والاهتمام بمتلقي الخدمة والأخذ بالشكاوي المقدمة والاستجابة لها، وأوصى الباحث أيضا بضرورة العمل على تعيين الموارد البشرية ذات الكفاءة العملية والعملية في المستشفيات الحكومية الأردنية لما له من دور كبير في زيادة فاعلية وجودة الخدمات المقدمة وتحسينها مما سيزيد من كفاءة الأداء التنظيمي</w:t>
      </w:r>
      <w:r w:rsidRPr="00C01976">
        <w:rPr>
          <w:rFonts w:ascii="Simplified Arabic" w:hAnsi="Simplified Arabic" w:cs="Simplified Arabic"/>
          <w:sz w:val="28"/>
          <w:szCs w:val="28"/>
        </w:rPr>
        <w:t>.</w:t>
      </w:r>
    </w:p>
    <w:p w14:paraId="6C183BF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تناولت دراسة</w:t>
      </w:r>
      <w:r w:rsidRPr="00C01976">
        <w:rPr>
          <w:rFonts w:ascii="Simplified Arabic" w:hAnsi="Simplified Arabic" w:cs="Simplified Arabic"/>
          <w:sz w:val="28"/>
          <w:szCs w:val="28"/>
        </w:rPr>
        <w:t xml:space="preserve"> Fatile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Mutereko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Etim (2020) </w:t>
      </w:r>
      <w:r w:rsidRPr="00C01976">
        <w:rPr>
          <w:rFonts w:ascii="Simplified Arabic" w:hAnsi="Simplified Arabic" w:cs="Simplified Arabic"/>
          <w:sz w:val="28"/>
          <w:szCs w:val="28"/>
          <w:rtl/>
        </w:rPr>
        <w:t>بعنوان "إعادة هندسة العمليات في القطاع العام الإفريقي: دروس من القطاع الخاص" إمكانية تطبيق منهج إعادة الهندسة في منظمات القطاع العام الإفريقية من خلال الاستفادة من خبرات القطاع الخاص. استخدم الباحثون المنهج الوصفي التحليلي لمراجعة النماذج النظرية وتقييم مدى جاهزية مؤسسات القطاع العام للتحول الإداري، وشمل المجتمع منظمات القطاع العام في إفريقيا دون تحديد عينة ميدانية. وأظهرت النتائج أن البيروقراطية وضعف الجاهزية التنظيمية يمثلان عقبات رئيسية أمام تطبيق إعادة الهندسة، وأوصت الدراسة بتبني أساليب الإدارة المرنة وتقليل التعقيدات الإجرائية لتحقيق التحول الإداري الفعال</w:t>
      </w:r>
      <w:r w:rsidRPr="00C01976">
        <w:rPr>
          <w:rFonts w:ascii="Simplified Arabic" w:hAnsi="Simplified Arabic" w:cs="Simplified Arabic"/>
          <w:sz w:val="28"/>
          <w:szCs w:val="28"/>
        </w:rPr>
        <w:t>.</w:t>
      </w:r>
    </w:p>
    <w:p w14:paraId="78C0559A"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سياق متصل، جاءت دراسة</w:t>
      </w:r>
      <w:r w:rsidRPr="00C01976">
        <w:rPr>
          <w:rFonts w:ascii="Simplified Arabic" w:hAnsi="Simplified Arabic" w:cs="Simplified Arabic"/>
          <w:sz w:val="28"/>
          <w:szCs w:val="28"/>
        </w:rPr>
        <w:t xml:space="preserve"> Nachev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Gindev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Pavlova (2020) </w:t>
      </w:r>
      <w:r w:rsidRPr="00C01976">
        <w:rPr>
          <w:rFonts w:ascii="Simplified Arabic" w:hAnsi="Simplified Arabic" w:cs="Simplified Arabic"/>
          <w:sz w:val="28"/>
          <w:szCs w:val="28"/>
          <w:rtl/>
        </w:rPr>
        <w:t>بعنوان "فرص الرقمنة الفعالة للخدمات الإدارية في البيئة الجامعية وتحسين نظام الإدارة من خلال إعادة هندسة العمليات" لتبرز الدور المحوري للتحول الرقمي في تطوير الخدمات الإدارية الجامعية عبر تطبيق مبادئ إعادة الهندسة. استخدم الباحثون المنهج الوصفي التحليلي القائم على مراجعة الأدبيات والتطبيقات السابقة، وتمثّل مجتمع الدراسة في الإدارات الجامعية دون تحديد عينة ميدانية. وأظهرت النتائج أن إعادة الهندسة تسهم في تقليل الإجراءات الورقية وتحسين كفاءة الإدارة، مع توصية بتصميم أنظمة رقمية مرنة تعتمد على إعادة تصميم العمليات الإدارية</w:t>
      </w:r>
      <w:r w:rsidRPr="00C01976">
        <w:rPr>
          <w:rFonts w:ascii="Simplified Arabic" w:hAnsi="Simplified Arabic" w:cs="Simplified Arabic"/>
          <w:sz w:val="28"/>
          <w:szCs w:val="28"/>
        </w:rPr>
        <w:t>.</w:t>
      </w:r>
    </w:p>
    <w:p w14:paraId="05A0F90C"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lastRenderedPageBreak/>
        <w:t>وانطلاقاً من الاهتمام بتطبيق هذا النهج في المؤسسات التربوية، أجرت</w:t>
      </w:r>
      <w:r w:rsidRPr="00C01976">
        <w:rPr>
          <w:rFonts w:ascii="Simplified Arabic" w:hAnsi="Simplified Arabic" w:cs="Simplified Arabic"/>
          <w:sz w:val="28"/>
          <w:szCs w:val="28"/>
        </w:rPr>
        <w:t xml:space="preserve"> Al-Mawdieh (2020) </w:t>
      </w:r>
      <w:r w:rsidRPr="00C01976">
        <w:rPr>
          <w:rFonts w:ascii="Simplified Arabic" w:hAnsi="Simplified Arabic" w:cs="Simplified Arabic"/>
          <w:sz w:val="28"/>
          <w:szCs w:val="28"/>
          <w:rtl/>
        </w:rPr>
        <w:t>دراسة بعنوان "ممارسة نهج إعادة هندسة العمليات الإدارية في مؤسسات رياض الأطفال في الأردن"، بهدف الكشف عن مدى ممارسة هذا النهج من وجهة نظر المديرات والمعلمات. استخدمت الباحثة المنهج الوصفي التحليلي، وطبقت استبانة على عينة مكونة من (61) مديرة و(161) معلمة. وأظهرت النتائج أن درجة ممارسة إعادة الهندسة كانت مرتفعة من وجهة نظر المديرات ومتوسطة من وجهة نظر المعلمات، وأوصت الدراسة بتعزيز الوعي بمفهوم إعادة الهندسة وتدريب الكوادر التعليمية على تطبيقه</w:t>
      </w:r>
      <w:r w:rsidRPr="00C01976">
        <w:rPr>
          <w:rFonts w:ascii="Simplified Arabic" w:hAnsi="Simplified Arabic" w:cs="Simplified Arabic"/>
          <w:sz w:val="28"/>
          <w:szCs w:val="28"/>
        </w:rPr>
        <w:t>.</w:t>
      </w:r>
    </w:p>
    <w:p w14:paraId="0B7EFDD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كما دعمت نتائج هذه الدراسة ما توصل إليه</w:t>
      </w:r>
      <w:r w:rsidRPr="00C01976">
        <w:rPr>
          <w:rFonts w:ascii="Simplified Arabic" w:hAnsi="Simplified Arabic" w:cs="Simplified Arabic"/>
          <w:sz w:val="28"/>
          <w:szCs w:val="28"/>
        </w:rPr>
        <w:t xml:space="preserve"> Pramartha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Mimba (2020) </w:t>
      </w:r>
      <w:r w:rsidRPr="00C01976">
        <w:rPr>
          <w:rFonts w:ascii="Simplified Arabic" w:hAnsi="Simplified Arabic" w:cs="Simplified Arabic"/>
          <w:sz w:val="28"/>
          <w:szCs w:val="28"/>
          <w:rtl/>
        </w:rPr>
        <w:t>في دراستهما بعنوان "إدارة الطلاب الدوليين بجامعة أودايانا: منهج إعادة هندسة العمليات التجارية"، والتي هدفت إلى تحسين نظام إدارة القبول للطلاب الدوليين من خلال إعادة هندسة العمليات. اعتمد الباحثان منهج دراسة الحالة وجمعا البيانات عبر المقابلات ومجموعات النقاش وتحليل الوثائق، وشمل المجتمع موظفي البرنامج الدولي في الجامعة. وأظهرت النتائج أن النظام المقترح خفّض مدة معالجة الطلبات من 60 إلى 29 يوماً، وقلل الخسائر المالية، مع التوصية بتعميم تطبيق إعادة الهندسة على الإدارات الجامعية الأخرى</w:t>
      </w:r>
      <w:r w:rsidRPr="00C01976">
        <w:rPr>
          <w:rFonts w:ascii="Simplified Arabic" w:hAnsi="Simplified Arabic" w:cs="Simplified Arabic"/>
          <w:sz w:val="28"/>
          <w:szCs w:val="28"/>
        </w:rPr>
        <w:t>.</w:t>
      </w:r>
    </w:p>
    <w:p w14:paraId="21DC77E6"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الإطار نفسه، تناولت دراسة مشتركة بين</w:t>
      </w:r>
      <w:r w:rsidRPr="00C01976">
        <w:rPr>
          <w:rFonts w:ascii="Simplified Arabic" w:hAnsi="Simplified Arabic" w:cs="Simplified Arabic"/>
          <w:sz w:val="28"/>
          <w:szCs w:val="28"/>
        </w:rPr>
        <w:t xml:space="preserve"> Faculty of Computers and Information Technology, Future University in Egypt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Faculty of Computers and Artificial Intelligence, Helwan University (2020) </w:t>
      </w:r>
      <w:r w:rsidRPr="00C01976">
        <w:rPr>
          <w:rFonts w:ascii="Simplified Arabic" w:hAnsi="Simplified Arabic" w:cs="Simplified Arabic"/>
          <w:sz w:val="28"/>
          <w:szCs w:val="28"/>
          <w:rtl/>
        </w:rPr>
        <w:t>موضوع "مراجعة أدبية حول أساليب التنقيب عن البيانات لإعادة هندسة العمليات التجارية". هدفت هذه الدراسة إلى تحليل الأدبيات العلمية التي تناولت توظيف التنقيب عن البيانات في دعم إعادة الهندسة، مستخدمة المنهج الوصفي التحليلي لمراجعة النماذج المختلفة في هذا المجال. وأظهرت النتائج وجود فجوات بحثية في دمج تقنيات التنقيب عن البيانات ضمن مشاريع إعادة الهندسة، وأوصت بتطوير نماذج تكاملية جديدة في هذا الاتجاه</w:t>
      </w:r>
      <w:r w:rsidRPr="00C01976">
        <w:rPr>
          <w:rFonts w:ascii="Simplified Arabic" w:hAnsi="Simplified Arabic" w:cs="Simplified Arabic"/>
          <w:sz w:val="28"/>
          <w:szCs w:val="28"/>
        </w:rPr>
        <w:t>.</w:t>
      </w:r>
    </w:p>
    <w:p w14:paraId="21F069C7"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lastRenderedPageBreak/>
        <w:t>ومن زاوية أخرى، قدّم</w:t>
      </w:r>
      <w:r w:rsidRPr="00C01976">
        <w:rPr>
          <w:rFonts w:ascii="Simplified Arabic" w:hAnsi="Simplified Arabic" w:cs="Simplified Arabic"/>
          <w:sz w:val="28"/>
          <w:szCs w:val="28"/>
        </w:rPr>
        <w:t xml:space="preserve"> Elapatha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Jehan (2020) </w:t>
      </w:r>
      <w:r w:rsidRPr="00C01976">
        <w:rPr>
          <w:rFonts w:ascii="Simplified Arabic" w:hAnsi="Simplified Arabic" w:cs="Simplified Arabic"/>
          <w:sz w:val="28"/>
          <w:szCs w:val="28"/>
          <w:rtl/>
        </w:rPr>
        <w:t>في دراستهما "تحليل تنفيذ إعادة هندسة العمليات التجارية في الخدمات العامة" تقييماً عملياً لتأثير تطبيق إعادة الهندسة على كفاءة الخدمات العامة في سريلانكا. استخدم الباحثان المنهج الكمي التحليلي بالاعتماد على استبيان من نوع ليكرت وتحليل الغلاف البياني</w:t>
      </w:r>
      <w:r w:rsidRPr="00C01976">
        <w:rPr>
          <w:rFonts w:ascii="Simplified Arabic" w:hAnsi="Simplified Arabic" w:cs="Simplified Arabic"/>
          <w:sz w:val="28"/>
          <w:szCs w:val="28"/>
        </w:rPr>
        <w:t xml:space="preserve"> (DEA)</w:t>
      </w:r>
      <w:r w:rsidRPr="00C01976">
        <w:rPr>
          <w:rFonts w:ascii="Simplified Arabic" w:hAnsi="Simplified Arabic" w:cs="Simplified Arabic"/>
          <w:sz w:val="28"/>
          <w:szCs w:val="28"/>
          <w:rtl/>
        </w:rPr>
        <w:t>، وشمل المجتمع 29 وزارة وإدارة حكومية. وأظهرت النتائج أن معظم الإدارات تمتلك إمكانات غير مستغلة لتحسين الأداء، وأوصت الدراسة بإعادة هيكلة العمليات لتحقيق الكفاءة المثلى في تقديم الخدمات العامة</w:t>
      </w:r>
      <w:r w:rsidRPr="00C01976">
        <w:rPr>
          <w:rFonts w:ascii="Simplified Arabic" w:hAnsi="Simplified Arabic" w:cs="Simplified Arabic"/>
          <w:sz w:val="28"/>
          <w:szCs w:val="28"/>
        </w:rPr>
        <w:t>.</w:t>
      </w:r>
    </w:p>
    <w:p w14:paraId="1F16CC1D"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المجال الصناعي، قدّم</w:t>
      </w:r>
      <w:r w:rsidRPr="00C01976">
        <w:rPr>
          <w:rFonts w:ascii="Simplified Arabic" w:hAnsi="Simplified Arabic" w:cs="Simplified Arabic"/>
          <w:sz w:val="28"/>
          <w:szCs w:val="28"/>
        </w:rPr>
        <w:t xml:space="preserve"> Massaro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Galiano (2020) </w:t>
      </w:r>
      <w:r w:rsidRPr="00C01976">
        <w:rPr>
          <w:rFonts w:ascii="Simplified Arabic" w:hAnsi="Simplified Arabic" w:cs="Simplified Arabic"/>
          <w:sz w:val="28"/>
          <w:szCs w:val="28"/>
          <w:rtl/>
        </w:rPr>
        <w:t>نموذجاً تطبيقياً في دراستهما "إعادة هندسة العملية في مصنع غذائي: نظرة عامة على تقنيات تصميم عمليات إنتاج المكرونة"، حيث هدفت إلى تحسين عمليات إنتاج المكرونة باستخدام مبادئ إعادة الهندسة وتقنيات الصناعة 4.0. اعتمد الباحثان المنهج التجريبي التطبيقي عبر تصميم عمليات محاكاة في مصنع لإنتاج المكرونة، وأظهرت النتائج أن إعادة الهندسة ساهمت في تحسين جودة المنتج وخفض الهدر، وأوصت الدراسة بتطبيق تقنيات الصناعة 5.0 في الصناعات الغذائية</w:t>
      </w:r>
      <w:r w:rsidRPr="00C01976">
        <w:rPr>
          <w:rFonts w:ascii="Simplified Arabic" w:hAnsi="Simplified Arabic" w:cs="Simplified Arabic"/>
          <w:sz w:val="28"/>
          <w:szCs w:val="28"/>
        </w:rPr>
        <w:t>.</w:t>
      </w:r>
    </w:p>
    <w:p w14:paraId="48A13FB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ضوء التوجهات الحكومية للتحول الرقمي، تناولت دراسة</w:t>
      </w:r>
      <w:r w:rsidRPr="00C01976">
        <w:rPr>
          <w:rFonts w:ascii="Simplified Arabic" w:hAnsi="Simplified Arabic" w:cs="Simplified Arabic"/>
          <w:sz w:val="28"/>
          <w:szCs w:val="28"/>
        </w:rPr>
        <w:t xml:space="preserve"> Hooda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Singla (2020) </w:t>
      </w:r>
      <w:r w:rsidRPr="00C01976">
        <w:rPr>
          <w:rFonts w:ascii="Simplified Arabic" w:hAnsi="Simplified Arabic" w:cs="Simplified Arabic"/>
          <w:sz w:val="28"/>
          <w:szCs w:val="28"/>
          <w:rtl/>
        </w:rPr>
        <w:t>بعنوان "إعادة الهندسة كموقف استراتيجي لنجاح الحكومة الإلكترونية: الدور الوسيط للكفاءات الأساسية" العلاقة بين إعادة هندسة العمليات ونجاح الحكومة الإلكترونية. اعتمد الباحثان منهجاً مختلطاً يجمع بين النوعي والكمي، وطبّقا استبانة على (359) موظفاً في وزارتين هنديتين. وأظهرت النتائج أن إعادة الهندسة تسهم في تطوير الكفاءات الأساسية التي تعزز استدامة الحكومة الإلكترونية، وأوصت الدراسة بتبني إعادة الهندسة كمنهج استراتيجي دائم في المؤسسات الحكومية</w:t>
      </w:r>
      <w:r w:rsidRPr="00C01976">
        <w:rPr>
          <w:rFonts w:ascii="Simplified Arabic" w:hAnsi="Simplified Arabic" w:cs="Simplified Arabic"/>
          <w:sz w:val="28"/>
          <w:szCs w:val="28"/>
        </w:rPr>
        <w:t>.</w:t>
      </w:r>
    </w:p>
    <w:p w14:paraId="52F9DC60" w14:textId="77777777" w:rsidR="003E2E2A"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وأخيراً، أكدت دراسة</w:t>
      </w:r>
      <w:r w:rsidRPr="00C01976">
        <w:rPr>
          <w:rFonts w:ascii="Simplified Arabic" w:hAnsi="Simplified Arabic" w:cs="Simplified Arabic"/>
          <w:sz w:val="28"/>
          <w:szCs w:val="28"/>
        </w:rPr>
        <w:t xml:space="preserve"> Nwankwo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Ukhurebor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Ukaoha (2020) </w:t>
      </w:r>
      <w:r w:rsidRPr="00C01976">
        <w:rPr>
          <w:rFonts w:ascii="Simplified Arabic" w:hAnsi="Simplified Arabic" w:cs="Simplified Arabic"/>
          <w:sz w:val="28"/>
          <w:szCs w:val="28"/>
          <w:rtl/>
        </w:rPr>
        <w:t>بعنوان "استكشاف المعرفة والتحليلات في إعادة هندسة العمليات: دراسة لعمليات إجراءات الموانئ" أهمية دمج التحليلات الذكية في إعادة تصميم العمليات الجمركية. استخدم الباحثون منهجاً هجيناً يجمع بين الوصفي وتصميم النظم المعرفية، واستندت الدراسة إلى بيانات نظام</w:t>
      </w:r>
      <w:r w:rsidRPr="00C01976">
        <w:rPr>
          <w:rFonts w:ascii="Simplified Arabic" w:hAnsi="Simplified Arabic" w:cs="Simplified Arabic"/>
          <w:sz w:val="28"/>
          <w:szCs w:val="28"/>
        </w:rPr>
        <w:t xml:space="preserve"> ASYCUDA </w:t>
      </w:r>
      <w:r w:rsidRPr="00C01976">
        <w:rPr>
          <w:rFonts w:ascii="Simplified Arabic" w:hAnsi="Simplified Arabic" w:cs="Simplified Arabic"/>
          <w:sz w:val="28"/>
          <w:szCs w:val="28"/>
          <w:rtl/>
        </w:rPr>
        <w:t>في إدارة الجمارك النيجيرية.</w:t>
      </w:r>
    </w:p>
    <w:p w14:paraId="58F2DFC9" w14:textId="3C4C377F" w:rsidR="00C01976" w:rsidRPr="00C01976" w:rsidRDefault="00C01976" w:rsidP="003E2E2A">
      <w:pPr>
        <w:bidi/>
        <w:ind w:firstLine="720"/>
        <w:jc w:val="both"/>
        <w:rPr>
          <w:rFonts w:ascii="Simplified Arabic" w:hAnsi="Simplified Arabic" w:cs="Simplified Arabic"/>
          <w:sz w:val="28"/>
          <w:szCs w:val="28"/>
          <w:rtl/>
        </w:rPr>
      </w:pPr>
      <w:r w:rsidRPr="00C01976">
        <w:rPr>
          <w:rFonts w:ascii="Simplified Arabic" w:hAnsi="Simplified Arabic" w:cs="Simplified Arabic"/>
          <w:sz w:val="28"/>
          <w:szCs w:val="28"/>
          <w:rtl/>
        </w:rPr>
        <w:lastRenderedPageBreak/>
        <w:t xml:space="preserve"> وأظهرت النتائج أن استخدام خوارزمية</w:t>
      </w:r>
      <w:r w:rsidRPr="00C01976">
        <w:rPr>
          <w:rFonts w:ascii="Simplified Arabic" w:hAnsi="Simplified Arabic" w:cs="Simplified Arabic"/>
          <w:sz w:val="28"/>
          <w:szCs w:val="28"/>
        </w:rPr>
        <w:t xml:space="preserve"> (K-means) </w:t>
      </w:r>
      <w:r w:rsidRPr="00C01976">
        <w:rPr>
          <w:rFonts w:ascii="Simplified Arabic" w:hAnsi="Simplified Arabic" w:cs="Simplified Arabic"/>
          <w:sz w:val="28"/>
          <w:szCs w:val="28"/>
          <w:rtl/>
        </w:rPr>
        <w:t>ساعد في اكتشاف الأنماط وتحسين كفاءة العمليات، وأوصت الدراسة بدمج التحليلات المعرفية لتعزيز الشفافية والفاعلية في أداء الموانئ</w:t>
      </w:r>
      <w:r w:rsidRPr="00C01976">
        <w:rPr>
          <w:rFonts w:ascii="Simplified Arabic" w:hAnsi="Simplified Arabic" w:cs="Simplified Arabic"/>
          <w:sz w:val="28"/>
          <w:szCs w:val="28"/>
        </w:rPr>
        <w:t>.</w:t>
      </w:r>
    </w:p>
    <w:p w14:paraId="2BB6D74C" w14:textId="15947F03" w:rsidR="00C01976" w:rsidRPr="00C01976" w:rsidRDefault="00C01976" w:rsidP="00C01976">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بينما </w:t>
      </w:r>
      <w:r w:rsidRPr="00C01976">
        <w:rPr>
          <w:rFonts w:ascii="Simplified Arabic" w:hAnsi="Simplified Arabic" w:cs="Simplified Arabic"/>
          <w:sz w:val="28"/>
          <w:szCs w:val="28"/>
          <w:rtl/>
        </w:rPr>
        <w:t>يسعى بحث السماك (2021) إلى التعرف على العلاقة بين متطلبات إعادة هندسة العمليات وأبعاد الابتكار الأخضر في بعض المنظمات الصناعية في محافظة نينوي لتمثل مجتمع البحث، ويعد موضوع إعادة هندسة العمليات أحد أبرز المداخل الإدارية والتقنية الحديثة الملائمة للتغيرات المتواصلة في بيئة العمل من أجل تحقيق الأهداف التي تسعى إليها المنظمات من خلال تغيير عملياتها وأنشطتها. وتم استخدام استمارة الاستبانة للحصول على البيانات والمعلومات من أجل تحديد العلاقات بين المتغير المستقل والمتغير المعتمد في البحث وذلك بتطبيق برنامج</w:t>
      </w:r>
      <w:r w:rsidRPr="00C01976">
        <w:rPr>
          <w:rFonts w:ascii="Simplified Arabic" w:hAnsi="Simplified Arabic" w:cs="Simplified Arabic"/>
          <w:sz w:val="28"/>
          <w:szCs w:val="28"/>
        </w:rPr>
        <w:t xml:space="preserve"> SPSS </w:t>
      </w:r>
      <w:r w:rsidRPr="00C01976">
        <w:rPr>
          <w:rFonts w:ascii="Simplified Arabic" w:hAnsi="Simplified Arabic" w:cs="Simplified Arabic"/>
          <w:sz w:val="28"/>
          <w:szCs w:val="28"/>
          <w:rtl/>
        </w:rPr>
        <w:t>الإصدار 22. ويحاول البحث الإجابة عن السؤال الآتي "ماهي علاقة الارتباط والتأثير بين متطلبات إعادة هندسة العمليات وأبعاد الابتكار الأخضر؟ وكان من أبرز ما استنتج البحث أن هنالك علاقة ارتباط وتأثير معنوي بين متطلبات إعادة هندسة العمليات وأبعاد الابتكار الأخضر، وبناء على الاستنتاجات المعطاة تم عرض مجموعة من التوصيات</w:t>
      </w:r>
      <w:r w:rsidRPr="00C01976">
        <w:rPr>
          <w:rFonts w:ascii="Simplified Arabic" w:hAnsi="Simplified Arabic" w:cs="Simplified Arabic"/>
          <w:sz w:val="28"/>
          <w:szCs w:val="28"/>
        </w:rPr>
        <w:t>.</w:t>
      </w:r>
    </w:p>
    <w:p w14:paraId="4D81D92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سياق متصل بتطور التقنيات الرقمية الداعمة لإعادة الهندسة، أجرى</w:t>
      </w:r>
      <w:r w:rsidRPr="00C01976">
        <w:rPr>
          <w:rFonts w:ascii="Simplified Arabic" w:hAnsi="Simplified Arabic" w:cs="Simplified Arabic"/>
          <w:sz w:val="28"/>
          <w:szCs w:val="28"/>
        </w:rPr>
        <w:t xml:space="preserve"> Al-Anqoudi </w:t>
      </w:r>
      <w:r w:rsidRPr="00C01976">
        <w:rPr>
          <w:rFonts w:ascii="Simplified Arabic" w:hAnsi="Simplified Arabic" w:cs="Simplified Arabic"/>
          <w:sz w:val="28"/>
          <w:szCs w:val="28"/>
          <w:rtl/>
        </w:rPr>
        <w:t>وآخرون (2021) دراسة بعنوان "استخدام التعلم الآلي في إعادة هندسة العمليات التجارية"، هدفت إلى استكشاف دور التعلم الآلي في أتمتة عمليات إعادة الهندسة وتقليل تعقيدها. اعتمد الباحثون المنهج التحليلي من خلال مراجعة أكثر من 200 دراسة منشورة بين عامي 2015 و2020، وشمل مجتمع الدراسة الأدبيات العلمية المتخصصة في مجالي إعادة الهندسة والتعلم الآلي. وأظهرت النتائج أن الدمج بين التقنيتين يسهم في خفض التكاليف وتحسين دقة القرارات الإدارية، وأوصت الدراسة بتبني نماذج تعلم آلي مستوحاة من مبادئ "لين ستة سيغما" لرفع الكفاءة التشغيلية</w:t>
      </w:r>
      <w:r w:rsidRPr="00C01976">
        <w:rPr>
          <w:rFonts w:ascii="Simplified Arabic" w:hAnsi="Simplified Arabic" w:cs="Simplified Arabic"/>
          <w:sz w:val="28"/>
          <w:szCs w:val="28"/>
        </w:rPr>
        <w:t>.</w:t>
      </w:r>
    </w:p>
    <w:p w14:paraId="09737393"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وانطلاقاً من الاهتمام المتزايد بدور إعادة الهندسة في التحول الرقمي الحكومي، تناول</w:t>
      </w:r>
      <w:r w:rsidRPr="00C01976">
        <w:rPr>
          <w:rFonts w:ascii="Simplified Arabic" w:hAnsi="Simplified Arabic" w:cs="Simplified Arabic"/>
          <w:sz w:val="28"/>
          <w:szCs w:val="28"/>
        </w:rPr>
        <w:t xml:space="preserve"> Weerakkody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Janssen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El-Haddadeh (2021) </w:t>
      </w:r>
      <w:r w:rsidRPr="00C01976">
        <w:rPr>
          <w:rFonts w:ascii="Simplified Arabic" w:hAnsi="Simplified Arabic" w:cs="Simplified Arabic"/>
          <w:sz w:val="28"/>
          <w:szCs w:val="28"/>
          <w:rtl/>
        </w:rPr>
        <w:t xml:space="preserve">في دراستهم بعنوان "إعادة ظهور إعادة هندسة العمليات التجارية في تحويل القطاع العام: التحديات والعواقب غير المقصودة" أثر تطبيق هذا النهج في جهود التحول الرقمي داخل القطاع العام الأوروبي. استخدم الباحثون منهج دراسة الحالة </w:t>
      </w:r>
      <w:r w:rsidRPr="00C01976">
        <w:rPr>
          <w:rFonts w:ascii="Simplified Arabic" w:hAnsi="Simplified Arabic" w:cs="Simplified Arabic"/>
          <w:sz w:val="28"/>
          <w:szCs w:val="28"/>
          <w:rtl/>
        </w:rPr>
        <w:lastRenderedPageBreak/>
        <w:t>المقارنة لسلطتين محليتين في أوروبا، وشمل المجتمع موظفي الإدارة والمستفيدين من الخدمات الحكومية. وأظهرت النتائج أن تطبيق إعادة الهندسة ساهم في تحسين الكفاءة التشغيلية لكنه أدى في الوقت ذاته إلى نشوء صوامع مؤسسية جديدة تحدّ من التكامل التنظيمي، وأوصت الدراسة بإنشاء هياكل تنظيمية مرنة تحول دون إعادة إنتاج البيروقراطية بشكلها التقليدي</w:t>
      </w:r>
      <w:r w:rsidRPr="00C01976">
        <w:rPr>
          <w:rFonts w:ascii="Simplified Arabic" w:hAnsi="Simplified Arabic" w:cs="Simplified Arabic"/>
          <w:sz w:val="28"/>
          <w:szCs w:val="28"/>
        </w:rPr>
        <w:t>.</w:t>
      </w:r>
    </w:p>
    <w:p w14:paraId="3DA57DAD" w14:textId="5A55ADC7" w:rsidR="00C01976" w:rsidRPr="00C01976" w:rsidRDefault="00C01976" w:rsidP="00C01976">
      <w:pPr>
        <w:bidi/>
        <w:ind w:firstLine="720"/>
        <w:jc w:val="both"/>
        <w:rPr>
          <w:rFonts w:ascii="Simplified Arabic" w:hAnsi="Simplified Arabic" w:cs="Simplified Arabic"/>
          <w:sz w:val="28"/>
          <w:szCs w:val="28"/>
          <w:rtl/>
        </w:rPr>
      </w:pPr>
      <w:r w:rsidRPr="00C01976">
        <w:rPr>
          <w:rFonts w:ascii="Simplified Arabic" w:hAnsi="Simplified Arabic" w:cs="Simplified Arabic"/>
          <w:sz w:val="28"/>
          <w:szCs w:val="28"/>
          <w:rtl/>
        </w:rPr>
        <w:t>وفي امتداد لهذا الاتجاه، قدّم</w:t>
      </w:r>
      <w:r w:rsidRPr="00C01976">
        <w:rPr>
          <w:rFonts w:ascii="Simplified Arabic" w:hAnsi="Simplified Arabic" w:cs="Simplified Arabic"/>
          <w:sz w:val="28"/>
          <w:szCs w:val="28"/>
        </w:rPr>
        <w:t xml:space="preserve"> Ahmed Bayomy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Khedr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Abd-Elmegid (2021) </w:t>
      </w:r>
      <w:r w:rsidRPr="00C01976">
        <w:rPr>
          <w:rFonts w:ascii="Simplified Arabic" w:hAnsi="Simplified Arabic" w:cs="Simplified Arabic"/>
          <w:sz w:val="28"/>
          <w:szCs w:val="28"/>
          <w:rtl/>
        </w:rPr>
        <w:t>نموذجاً عملياً في دراستهم "نموذج تكيفي لدعم إعادة هندسة العمليات التجارية"، التي هدفت إلى تطوير نموذج تكيفي يقيس نجاح عمليات إعادة الهندسة في المؤسسات الحكومية. استخدم الباحثون المنهج التطبيقي القائم على دمج عوامل النجاح الحرجة مع تحليل الأداء قبل وبعد التطبيق، وشمل مجتمع الدراسة موظفي مصلحة الضرائب المصرية. وأظهرت النتائج أن دمج تقنيات تعدين البيانات مع تقييم الأداء يعزز فاعلية إعادة الهندسة المؤسسية، وأوصت الدراسة باعتماد النموذج المقترح كأداة معيارية لتقييم جهود التحول الإداري والرقمي في المؤسسات الحكومية</w:t>
      </w:r>
      <w:r w:rsidRPr="00C01976">
        <w:rPr>
          <w:rFonts w:ascii="Simplified Arabic" w:hAnsi="Simplified Arabic" w:cs="Simplified Arabic"/>
          <w:sz w:val="28"/>
          <w:szCs w:val="28"/>
        </w:rPr>
        <w:t>.</w:t>
      </w:r>
    </w:p>
    <w:p w14:paraId="65062D8E" w14:textId="1282C3FD"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زخروف ومحمد (2022) إلى التعرف على واقع تطبيق إعادة هندسة العمليات الإدارية ومدى مساهمتها في تحسين أداء الموارد البشرية بمديرية أملاك الدولة - ولاية الأغواط- حيث تم الاعتماد في هذه الدراسة على المنهج الوصفي الذي يصف إعادة هندسة العمليات الإدارية وتحسين أداء المورد البشري، وتم إسقاط دراستنا على عينة متكونة من 60 (ستين) موظف من موظفي المديرية محل الدراسة من خلال توزيع الاستبيان عليهم، لنخلص إلى مجموعة من النتائج والتوصيات التي يمكن أن تساهم في تطبيق أفضل لإعادة هندسة العمليات الإدارية في مجال إدارة الموارد البشرية، وتوصلنا في هذه الدراسة إلى أن لإعادة هندسة العمليات الإدارية دور كبير في تحسين أداء الموارد البشرية</w:t>
      </w:r>
      <w:r w:rsidRPr="00C01976">
        <w:rPr>
          <w:rFonts w:ascii="Simplified Arabic" w:hAnsi="Simplified Arabic" w:cs="Simplified Arabic"/>
          <w:sz w:val="28"/>
          <w:szCs w:val="28"/>
        </w:rPr>
        <w:t>.</w:t>
      </w:r>
    </w:p>
    <w:p w14:paraId="390E9E0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 بحث شيخ ديب وناطور (2022) إلى دراسة دور إعادة هندسة العمليات الإدارية في تحسين الميزة التنافسية للمصارف الإسلامية، من خلال دراسة إعادة هندسة العمليات الإدارية بأبعادها المختلفة (البعد التنظيمي-البعد التكنولوجي-البعد البشري)، والميزة التنافسية من خلال الأبعاد (تحسين جودة الخدمات-سرعة الاستجابة لحاجات ورغبات العميل-تحقيق الكفاءة-المتفوقة تحقيق الإبداع </w:t>
      </w:r>
      <w:r w:rsidRPr="00C01976">
        <w:rPr>
          <w:rFonts w:ascii="Simplified Arabic" w:hAnsi="Simplified Arabic" w:cs="Simplified Arabic"/>
          <w:sz w:val="28"/>
          <w:szCs w:val="28"/>
          <w:rtl/>
        </w:rPr>
        <w:lastRenderedPageBreak/>
        <w:t>والابتكار). ولتحقيق ذلك تم اعتماد المنهج الوصفي التحليلي، حيث تم تصميم استبانة وتوزيعها على العاملين في المصارف الإسلامية في الساحل السوري، وقد كان عدد الاستبانات الصالحة للتحليل / 100 / استبانة. كما تم الاعتماد على برنامج</w:t>
      </w:r>
      <w:r w:rsidRPr="00C01976">
        <w:rPr>
          <w:rFonts w:ascii="Simplified Arabic" w:hAnsi="Simplified Arabic" w:cs="Simplified Arabic"/>
          <w:sz w:val="28"/>
          <w:szCs w:val="28"/>
        </w:rPr>
        <w:t xml:space="preserve"> SPSS 19 </w:t>
      </w:r>
      <w:r w:rsidRPr="00C01976">
        <w:rPr>
          <w:rFonts w:ascii="Simplified Arabic" w:hAnsi="Simplified Arabic" w:cs="Simplified Arabic"/>
          <w:sz w:val="28"/>
          <w:szCs w:val="28"/>
          <w:rtl/>
        </w:rPr>
        <w:t>في معالجة وتحليل البيانات. وقد خلصت الدراسة إلى مجموعة من النتائج أهمها: -توجد علاقة معنوية بين إعادة هندسة العمليات الإدارية، وتحسين جودة الخدمات للمصارف الإسلامية كأحد أبعاد تحسين الميزة التنافسية في المصارف الإسلامية في الساحل السوري. - توجد علاقة معنوية بين إعادة هندسة العمليات الإدارية، وسرعة الاستجابة لحاجات ورغبات العميل كأحد أبعاد تحسين الميزة التنافسية في المصارف الإسلامية في الساحل السوري. -توجد علاقة معنوية بين إعادة هندسة العمليات الإدارية، وتحقيق الكفاءة المتفوقة كأحد أبعاد تحسين الميزة التنافسية في المصارف الإسلامية في الساحل السوري. -توجد علاقة معنوية بين إعادة هندسة العمليات الإدارية، وتحقيق الإبداع والابتكار كأحد أبعاد تحسين الميزة التنافسية في المصارف الإسلامية في الساحل السوري. -توجد علاقة معنوية بين إعادة هندسة العمليات الإدارية، وتحسين الميزة التنافسية في المصارف الإسلامية في الساحل السوري</w:t>
      </w:r>
      <w:r w:rsidRPr="00C01976">
        <w:rPr>
          <w:rFonts w:ascii="Simplified Arabic" w:hAnsi="Simplified Arabic" w:cs="Simplified Arabic"/>
          <w:sz w:val="28"/>
          <w:szCs w:val="28"/>
        </w:rPr>
        <w:t>.</w:t>
      </w:r>
    </w:p>
    <w:p w14:paraId="00D0DBD8"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تتناول دراسة خضر (2022) بمعرفة دور وتأثير أبعاد إعادة هندسة العمليات الإدارية والمتضمنة (الاستراتيجية، التزام الإدارة العليا، تكنولوجيا العمليات، الاتصال) باستراتيجيات التسويق الأخضر والمتمثلة بـ (إلغاء أو تقليل النفايات، إعادة تركيب مفهوم المنتج، العلاقة الواضحة بين السعر والتكلفة وجعل التوجه البيئي أمرا سهلا)، حيث تم الاعتماد على الاستبانة كونها تعد أداة رئيسة لجمع المعلومات الضرورية لتحقيق هدف البحث الحالي وتم استعمال مجموعة من الأساليب الإحصائية والمتضمنة الوسط الحسابي، الانحراف المعياري ومعامل الارتباط البسيط والمتعدد. وقد بينت نتائج الدراسة عن وجود علاقة ارتباط موجبة ذات دلالة إحصائية ما بين أبعاد إعادة هندسة العمليات الإدارية واستراتيجيات التسويق الأخضر للعينة المبحوثة. ومن أبرز ما توصل إليه البحث من توصيات مهمة منها يتعين على العينة المبحوثة أن تؤكد على استعمال تكنولوجيا الإنتاج الحديثة من أجل تقليل النفايات الناجمة</w:t>
      </w:r>
      <w:r w:rsidRPr="00C01976">
        <w:rPr>
          <w:rFonts w:ascii="Simplified Arabic" w:hAnsi="Simplified Arabic" w:cs="Simplified Arabic"/>
          <w:sz w:val="28"/>
          <w:szCs w:val="28"/>
        </w:rPr>
        <w:t>.</w:t>
      </w:r>
    </w:p>
    <w:p w14:paraId="0615B8E5" w14:textId="77777777" w:rsidR="00C4592C"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lastRenderedPageBreak/>
        <w:t>هدفت دراسة القرشي والسلمي (2022) الحالية إلى التعرف على مدى التأثير الفعلي لإعادة هندسة العمليات الإدارية على الأداء المؤسسي في وزارة العدل بمدينة جدة. ولتحقيق أغراض الدراسة استخدمت الباحثتان المنهج الوصفي، ولجمع البيانات قامت الباحثتان بتصميم إدارتين لجمع البيانات (الاستبانة والمقابلات الشخصية) من أجل تحقيق أهداف الدارسة. ويتكون مجتمع الدراسة من جميع الموظفين العاملين في وزارة العدل والمحاكم الإدارية والمالية فرع مدينة جدة والبالغ عددهم الكلي (3000)، موظف حسب الإحصائية الواردة من مدير الموارد البشرية وبلغت عينة الدراسة (341) وعدد المستجيبين (168) فرد. تم تحليل بيانات هذه الدراسة باستخدام برنامج الحزمة الإحصائية للعلوم الاجتماعية</w:t>
      </w:r>
      <w:r w:rsidRPr="00C01976">
        <w:rPr>
          <w:rFonts w:ascii="Simplified Arabic" w:hAnsi="Simplified Arabic" w:cs="Simplified Arabic"/>
          <w:sz w:val="28"/>
          <w:szCs w:val="28"/>
        </w:rPr>
        <w:t xml:space="preserve"> (Statistical Package for Social Science - SPSS) </w:t>
      </w:r>
      <w:r w:rsidRPr="00C01976">
        <w:rPr>
          <w:rFonts w:ascii="Simplified Arabic" w:hAnsi="Simplified Arabic" w:cs="Simplified Arabic"/>
          <w:sz w:val="28"/>
          <w:szCs w:val="28"/>
          <w:rtl/>
        </w:rPr>
        <w:t>الإصدار (24)، كما تمت الاستعانة ببرنامج</w:t>
      </w:r>
      <w:r w:rsidRPr="00C01976">
        <w:rPr>
          <w:rFonts w:ascii="Simplified Arabic" w:hAnsi="Simplified Arabic" w:cs="Simplified Arabic"/>
          <w:sz w:val="28"/>
          <w:szCs w:val="28"/>
        </w:rPr>
        <w:t xml:space="preserve"> (Excel) </w:t>
      </w:r>
      <w:r w:rsidRPr="00C01976">
        <w:rPr>
          <w:rFonts w:ascii="Simplified Arabic" w:hAnsi="Simplified Arabic" w:cs="Simplified Arabic"/>
          <w:sz w:val="28"/>
          <w:szCs w:val="28"/>
          <w:rtl/>
        </w:rPr>
        <w:t>لعمل الرسومات البيانية. أهم النتائج التي توصلت إليها الدراسة هي:</w:t>
      </w:r>
    </w:p>
    <w:p w14:paraId="0BC9F40A" w14:textId="5DA3E8F1" w:rsidR="00C4592C" w:rsidRPr="00C4592C" w:rsidRDefault="00C01976" w:rsidP="00C4592C">
      <w:pPr>
        <w:pStyle w:val="ListParagraph"/>
        <w:numPr>
          <w:ilvl w:val="0"/>
          <w:numId w:val="25"/>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قبول الفرضية الأولى والتي تنص على أنه: يوجد أثر لإيجابي قوي ذو دلالة إحصائية عند مستوي معنوية (0.05) لتبسيط إجراءات العمل بالوزارة على جودة الخدمة المقدمة بالوزارة.</w:t>
      </w:r>
    </w:p>
    <w:p w14:paraId="3AB3E102" w14:textId="77777777" w:rsidR="00C4592C" w:rsidRDefault="00C01976" w:rsidP="00C4592C">
      <w:pPr>
        <w:pStyle w:val="ListParagraph"/>
        <w:numPr>
          <w:ilvl w:val="0"/>
          <w:numId w:val="25"/>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قبول الفرضية الثانية والتي تنص على أنه: يوجد أثر إيجابي قوي ذو دلالة إحصائية عند مستوى معنوية (0.05) لتحسين صورة العاملين بالوزارة على جودة الخدمة المقدمة بالوزارة.</w:t>
      </w:r>
    </w:p>
    <w:p w14:paraId="37BE7C4F" w14:textId="77777777" w:rsidR="00C4592C" w:rsidRDefault="00C01976" w:rsidP="00C4592C">
      <w:pPr>
        <w:pStyle w:val="ListParagraph"/>
        <w:numPr>
          <w:ilvl w:val="0"/>
          <w:numId w:val="25"/>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 xml:space="preserve"> قبول الفرضية الثالثة والتي تنص على أنه: يوجد أثر إيجابي متوسط ذو دلالة إحصائية عند مستوي معنوية (0.05) عوامل نجاح إعادة هندسة العمليات الإدارية بالوزارة على جودة الخدمة المقدمة بالوزارة.</w:t>
      </w:r>
    </w:p>
    <w:p w14:paraId="3250F623" w14:textId="77777777" w:rsidR="00C4592C" w:rsidRDefault="00C01976" w:rsidP="00C4592C">
      <w:pPr>
        <w:pStyle w:val="ListParagraph"/>
        <w:numPr>
          <w:ilvl w:val="0"/>
          <w:numId w:val="25"/>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 xml:space="preserve">  رفض الفرضية السادسة للدراسة بمعنى أنه: لا توجد فروق ذات دلالة إحصائية بين إجابات المبحوثين حيث تطبيق إعادة هندسة العمليات الإدارية والأداء في وزارة العدل بمدينة جدة تعزى إلى (الجنس -العمر - المستوى التعليمي - الوظيفة الحالية -سنوات الخدمة في وزارة العدل).</w:t>
      </w:r>
    </w:p>
    <w:p w14:paraId="678E9F85" w14:textId="03F392BC" w:rsidR="00C01976" w:rsidRPr="00C4592C" w:rsidRDefault="00C01976" w:rsidP="00C4592C">
      <w:pPr>
        <w:pStyle w:val="ListParagraph"/>
        <w:bidi/>
        <w:ind w:left="1310"/>
        <w:jc w:val="both"/>
        <w:rPr>
          <w:rFonts w:ascii="Simplified Arabic" w:hAnsi="Simplified Arabic" w:cs="Simplified Arabic"/>
          <w:sz w:val="28"/>
          <w:szCs w:val="28"/>
        </w:rPr>
      </w:pPr>
      <w:r w:rsidRPr="00C4592C">
        <w:rPr>
          <w:rFonts w:ascii="Simplified Arabic" w:hAnsi="Simplified Arabic" w:cs="Simplified Arabic"/>
          <w:sz w:val="28"/>
          <w:szCs w:val="28"/>
          <w:rtl/>
        </w:rPr>
        <w:lastRenderedPageBreak/>
        <w:t xml:space="preserve"> قدمت هذه الدراسة مقترحاته لتبتي مدخل إعادة هندسة العمليات الإدارية كأداة من أدوات التغيير في تطوير العمل الإداري في وزارة العدل، وتعزيز مفهوم هندسة العمليات الإدارية للموظفين بالوزارة</w:t>
      </w:r>
      <w:r w:rsidRPr="00C4592C">
        <w:rPr>
          <w:rFonts w:ascii="Simplified Arabic" w:hAnsi="Simplified Arabic" w:cs="Simplified Arabic"/>
          <w:sz w:val="28"/>
          <w:szCs w:val="28"/>
        </w:rPr>
        <w:t>.</w:t>
      </w:r>
    </w:p>
    <w:p w14:paraId="3A441EC8"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إطار الاهتمام المتنامي بتطبيق منهج إعادة الهندسة في مؤسسات القطاع العام، قدّم</w:t>
      </w:r>
      <w:r w:rsidRPr="00C01976">
        <w:rPr>
          <w:rFonts w:ascii="Simplified Arabic" w:hAnsi="Simplified Arabic" w:cs="Simplified Arabic"/>
          <w:sz w:val="28"/>
          <w:szCs w:val="28"/>
        </w:rPr>
        <w:t xml:space="preserve"> Battilani </w:t>
      </w:r>
      <w:r w:rsidRPr="00C01976">
        <w:rPr>
          <w:rFonts w:ascii="Simplified Arabic" w:hAnsi="Simplified Arabic" w:cs="Simplified Arabic"/>
          <w:sz w:val="28"/>
          <w:szCs w:val="28"/>
          <w:rtl/>
        </w:rPr>
        <w:t xml:space="preserve">وآخرون (2022) دراسة 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إعادة هندسة العمليات التجارية في الإدارة العامة: دراسة حالة سلطة ميناء البحر الليغوري الغربي</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هدفت إلى تحليل تطبيق إعادة الهندسة في أحد القطاعات الخدمية الحيوية عبر دراسة حالة لميناء جنوا في إيطاليا. استخدم الباحثون منهج دراسة الحالة القائم على تحليل الوضعين الراهن والمستقبلي</w:t>
      </w:r>
      <w:r w:rsidRPr="00C01976">
        <w:rPr>
          <w:rFonts w:ascii="Simplified Arabic" w:hAnsi="Simplified Arabic" w:cs="Simplified Arabic"/>
          <w:sz w:val="28"/>
          <w:szCs w:val="28"/>
        </w:rPr>
        <w:t xml:space="preserve"> (AS IS/TO BE)</w:t>
      </w:r>
      <w:r w:rsidRPr="00C01976">
        <w:rPr>
          <w:rFonts w:ascii="Simplified Arabic" w:hAnsi="Simplified Arabic" w:cs="Simplified Arabic"/>
          <w:sz w:val="28"/>
          <w:szCs w:val="28"/>
          <w:rtl/>
        </w:rPr>
        <w:t>، مع توظيف أسلوب المحاكاة الحاسوبية للتحقق من كفاءة النموذج المقترح. شمل مجتمع الدراسة الإدارات العامة العاملة في الميناء، وتضمنت العينة عدداً من العمليات الإدارية والخدمات التشغيلية المرتبطة بحركة البضائع. وأظهرت النتائج تحسناً كبيراً في كفاءة الأداء وانخفاضاً ملموساً في الوقت والتكاليف، مما دفع الباحثين إلى التوصية بتبني إعادة الهندسة كمدخل أساسي لتحقيق التحول الرقمي وتعزيز الكفاءة المؤسسية في المؤسسات الحكومية</w:t>
      </w:r>
      <w:r w:rsidRPr="00C01976">
        <w:rPr>
          <w:rFonts w:ascii="Simplified Arabic" w:hAnsi="Simplified Arabic" w:cs="Simplified Arabic"/>
          <w:sz w:val="28"/>
          <w:szCs w:val="28"/>
        </w:rPr>
        <w:t>.</w:t>
      </w:r>
    </w:p>
    <w:p w14:paraId="625DAED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وبالانتقال إلى السياق الآسيوي، جاءت دراسة </w:t>
      </w:r>
      <w:r w:rsidRPr="00C01976">
        <w:rPr>
          <w:rFonts w:ascii="Simplified Arabic" w:hAnsi="Simplified Arabic" w:cs="Simplified Arabic"/>
          <w:sz w:val="28"/>
          <w:szCs w:val="28"/>
        </w:rPr>
        <w:t xml:space="preserve">Chandra Puspita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Unisri (2022) </w:t>
      </w:r>
      <w:r w:rsidRPr="00C01976">
        <w:rPr>
          <w:rFonts w:ascii="Simplified Arabic" w:hAnsi="Simplified Arabic" w:cs="Simplified Arabic"/>
          <w:sz w:val="28"/>
          <w:szCs w:val="28"/>
          <w:rtl/>
        </w:rPr>
        <w:t xml:space="preserve">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تحليل إعادة هندسة العمليات التجارية في الخدمة الإدارية بمقاطعة نجيبل بإندونيسيا</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 xml:space="preserve">لتؤكد أهمية إعادة تصميم العمليات الإدارية في تحسين جودة الخدمات العامة. اعتمد الباحثان المنهج الوصفي التحليلي من خلال المقابلات والملاحظة والتوثيق الميداني، وشمل مجتمع الدراسة مقدمي ومستخدمي الخدمات الإدارية في المقاطعة، وتم اختيار العينة بطريقة قصدية. وأظهرت النتائج أن الأنظمة الإدارية التقليدية تعاني من ضعف في القيمة المضافة بنسبة بلغت </w:t>
      </w:r>
      <w:r w:rsidRPr="00C01976">
        <w:rPr>
          <w:rFonts w:ascii="Simplified Arabic" w:hAnsi="Simplified Arabic" w:cs="Simplified Arabic"/>
          <w:sz w:val="28"/>
          <w:szCs w:val="28"/>
        </w:rPr>
        <w:t>86.36%</w:t>
      </w:r>
      <w:r w:rsidRPr="00C01976">
        <w:rPr>
          <w:rFonts w:ascii="Simplified Arabic" w:hAnsi="Simplified Arabic" w:cs="Simplified Arabic"/>
          <w:sz w:val="28"/>
          <w:szCs w:val="28"/>
          <w:rtl/>
        </w:rPr>
        <w:t>، ما يشير إلى انخفاض فعالية الأداء الإداري. وأوصت الدراسة بإعادة تصميم الإجراءات وتبسيطها لتحقيق كفاءة أعلى في تقديم الخدمات الإدارية</w:t>
      </w:r>
      <w:r w:rsidRPr="00C01976">
        <w:rPr>
          <w:rFonts w:ascii="Simplified Arabic" w:hAnsi="Simplified Arabic" w:cs="Simplified Arabic"/>
          <w:sz w:val="28"/>
          <w:szCs w:val="28"/>
        </w:rPr>
        <w:t>.</w:t>
      </w:r>
    </w:p>
    <w:p w14:paraId="0C3748B1" w14:textId="756768B8"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وفي امتدادٍ لهذه الجهود الإصلاحية، تناولت دراسة </w:t>
      </w:r>
      <w:r w:rsidRPr="00C01976">
        <w:rPr>
          <w:rFonts w:ascii="Simplified Arabic" w:hAnsi="Simplified Arabic" w:cs="Simplified Arabic"/>
          <w:sz w:val="28"/>
          <w:szCs w:val="28"/>
        </w:rPr>
        <w:t xml:space="preserve">Catursari </w:t>
      </w:r>
      <w:r w:rsidRPr="00C01976">
        <w:rPr>
          <w:rFonts w:ascii="Simplified Arabic" w:hAnsi="Simplified Arabic" w:cs="Simplified Arabic"/>
          <w:sz w:val="28"/>
          <w:szCs w:val="28"/>
          <w:rtl/>
        </w:rPr>
        <w:t>وآخرون</w:t>
      </w:r>
      <w:r w:rsidRPr="00C01976">
        <w:rPr>
          <w:rFonts w:ascii="Simplified Arabic" w:hAnsi="Simplified Arabic" w:cs="Simplified Arabic"/>
          <w:sz w:val="28"/>
          <w:szCs w:val="28"/>
        </w:rPr>
        <w:t xml:space="preserve"> (2023) </w:t>
      </w:r>
      <w:r w:rsidRPr="00C01976">
        <w:rPr>
          <w:rFonts w:ascii="Simplified Arabic" w:hAnsi="Simplified Arabic" w:cs="Simplified Arabic"/>
          <w:sz w:val="28"/>
          <w:szCs w:val="28"/>
          <w:rtl/>
        </w:rPr>
        <w:t xml:space="preserve">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إعادة هندسة خدمات العمليات التجارية للسكان والتسجيل المدني في منطقة بانجكا الوسطى</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 xml:space="preserve">تجربة </w:t>
      </w:r>
      <w:r w:rsidRPr="00C01976">
        <w:rPr>
          <w:rFonts w:ascii="Simplified Arabic" w:hAnsi="Simplified Arabic" w:cs="Simplified Arabic"/>
          <w:sz w:val="28"/>
          <w:szCs w:val="28"/>
          <w:rtl/>
        </w:rPr>
        <w:lastRenderedPageBreak/>
        <w:t>ميدانية لتطوير الخدمات المجتمعية من خلال إعادة تصميم العمليات في إدارة السكان. استخدم الباحثون المنهج الميداني الوصفي بالاعتماد على المقابلات والملاحظات المباشرة ومراجعة الأدبيات ذات الصلة. شمل مجتمع الدراسة موظفي إدارة السكان والمستفيدين من الخدمات، وأظهرت النتائج أن تطبيق إعادة الهندسة أدى إلى خفض زمن الخدمة وتكاليفها مع تحسين الجودة العامة</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وخلصت الدراسة إلى التوصية بتطبيق النماذج الإلكترونية التكاملية في الإدارات الحكومية لتحقيق التكامل والشفافية في الخدمات العامة</w:t>
      </w:r>
      <w:r w:rsidRPr="00C01976">
        <w:rPr>
          <w:rFonts w:ascii="Simplified Arabic" w:hAnsi="Simplified Arabic" w:cs="Simplified Arabic"/>
          <w:sz w:val="28"/>
          <w:szCs w:val="28"/>
        </w:rPr>
        <w:t>.</w:t>
      </w:r>
    </w:p>
    <w:p w14:paraId="3FEC5F87"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الحطامي والأشول (2024) إلى التعرف على تأثير إعادة هندسة العمليات الإدارية (دعم الإدارة العلياء البعد البشري، البعد التنظيمي، البعد التكنولوجي) في الأداء المؤسسي في وزارة الخدمة المدنية والتأمينات، ولتحقيق أهداف الدراسة واختبار فرضياتها والوصول إلى النتائج تم استخدام المنهج الوصفي التحليلي، والاستبانة كأداة رئيسة لجمع البيانات، وقد تكون مجتمع الدراسة من العاملين بديوان عام وزارة الخدمة المدنية والتأمينات بأمانة العاصمة صنعاء، والبالغ عددهم (166) فرد، وتم استخدام طريقة المسح الشامل، حيث تم توزيع (166) استبانة على مجتمع الدراسة، وبلغت الاستبانات الصالحة للتحليل (134) استبانة أي ما نسبته (80.72%) من مجموع الاستبانات الموزعة. وقد توصلت الدراسة إلى عدة نتائج أهمها: وجود أثر ذي دلالة إحصائية الإعادة هندسة العمليات الإدارية بأبعادها (دعم الإدارة العليا، البعد البشري، البعد التنظيمي، البعد التكنولوجي) في الأداء المؤسسي، وقد جاء البعد التكنولوجي الأعلى تأثيراً في الأداء المؤسسي، يليه بعد دعم الإدارة العليا، يليهما البعد التنظيمي، فيما جاء البعد البشري الأقل تأثيراً في الأداء المؤسسي</w:t>
      </w:r>
      <w:r w:rsidRPr="00C01976">
        <w:rPr>
          <w:rFonts w:ascii="Simplified Arabic" w:hAnsi="Simplified Arabic" w:cs="Simplified Arabic"/>
          <w:sz w:val="28"/>
          <w:szCs w:val="28"/>
        </w:rPr>
        <w:t>.</w:t>
      </w:r>
    </w:p>
    <w:p w14:paraId="6A19A4D8"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هدفت دراسة العرادة (2024) إلى معرفة أثر إعادة هندسة العمليات الإدارية في تخفيض تكاليف عبر توسيط التحسين المستمر بجامعة إقليم سبأ، واعتمدت الدراسة على المنهج الوصفي التحليلي، واستخدمت الاستبانة أداة لجمع البيانات. ويتمثل مجتمع الدراسة بموظفي جامعة إقليم سبأ البالغ عددهم (305) موظف وموظفة، وزعت (170) استبانة، وكان عدد الاستبانات المستردة الصالحة للتحليل (130) بنسبة (76.47%). وقد توصلت الدراسة إلى أن إعادة هندسة العمليات الإدارية جاءت بدرجة متوسطة، والتحسين المستمر جاء بدرجة متوسطة، وتخفيض التكاليف جاءت بدرجة متوسطة، </w:t>
      </w:r>
      <w:r w:rsidRPr="00C01976">
        <w:rPr>
          <w:rFonts w:ascii="Simplified Arabic" w:hAnsi="Simplified Arabic" w:cs="Simplified Arabic"/>
          <w:sz w:val="28"/>
          <w:szCs w:val="28"/>
          <w:rtl/>
        </w:rPr>
        <w:lastRenderedPageBreak/>
        <w:t>وجود علاقة وأثر إيجابي متوسط لإعادة هندسة العمليات الإدارية في تخفيض التكاليف، وجود علاقة وأثر إيجابي مرتفع لإعادة هندسة العمليات الإدارية في التحسين المستمر، وجود علاقة وأثر إيجابي متوسط التحسين المستمر في تخفيض التكاليف، ويتوسط التحسين المستمر العلاقة بين إعادة هندسة العمليات الإدارية والتحسين المستمر، وهي علاقة جزئية. وقد أوصت الدراسة الجامعة بتشكيل لجنة لتحديد العمليات التي تحتاج إلى إعادة هندسة وتصميم من جديد، ووضع خطة استراتيجية للتطوير الإداري</w:t>
      </w:r>
      <w:r w:rsidRPr="00C01976">
        <w:rPr>
          <w:rFonts w:ascii="Simplified Arabic" w:hAnsi="Simplified Arabic" w:cs="Simplified Arabic"/>
          <w:sz w:val="28"/>
          <w:szCs w:val="28"/>
        </w:rPr>
        <w:t>.</w:t>
      </w:r>
    </w:p>
    <w:p w14:paraId="6C71B4CF"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وفي ضوء التطورات الحديثة في مجال التحول الرقمي والإدارة الذكية، أجرت </w:t>
      </w:r>
      <w:r w:rsidRPr="00C01976">
        <w:rPr>
          <w:rFonts w:ascii="Simplified Arabic" w:hAnsi="Simplified Arabic" w:cs="Simplified Arabic"/>
          <w:sz w:val="28"/>
          <w:szCs w:val="28"/>
        </w:rPr>
        <w:t xml:space="preserve">Silva (2024) </w:t>
      </w:r>
      <w:r w:rsidRPr="00C01976">
        <w:rPr>
          <w:rFonts w:ascii="Simplified Arabic" w:hAnsi="Simplified Arabic" w:cs="Simplified Arabic"/>
          <w:sz w:val="28"/>
          <w:szCs w:val="28"/>
          <w:rtl/>
        </w:rPr>
        <w:t xml:space="preserve">دراسة 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العمليات الإدارية في الإدارة العامة</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استهدفت تحليل التحول نحو الإدارة الإلكترونية واستكشاف دور هندسة المعرفة في تعزيز الكفاءة المؤسسية. اعتمدت الباحثة المنهج الوصفي التحليلي من خلال مراجعة الأدبيات العلمية المتعلقة بالإدارة الرقمية، وشمل مجتمع الدراسة الأبحاث الأكاديمية التي تناولت موضوع العمليات الإدارية الرقمية. وأظهرت النتائج أن الأتمتة الإدارية تسهم في رفع مستوى الشفافية وتسريع إنجاز الإجراءات، وأوصت الدراسة بضرورة تعزيز استخدام نظم تحليل البيانات الضخمة لدعم عملية اتخاذ القرار الإداري وتحسين جودة الخدمات العامة</w:t>
      </w:r>
      <w:r w:rsidRPr="00C01976">
        <w:rPr>
          <w:rFonts w:ascii="Simplified Arabic" w:hAnsi="Simplified Arabic" w:cs="Simplified Arabic"/>
          <w:sz w:val="28"/>
          <w:szCs w:val="28"/>
        </w:rPr>
        <w:t>.</w:t>
      </w:r>
    </w:p>
    <w:p w14:paraId="6132685A"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وانطلاقاً من النتائج التي أكدت عليها</w:t>
      </w:r>
      <w:r w:rsidRPr="00C01976">
        <w:rPr>
          <w:rFonts w:ascii="Simplified Arabic" w:hAnsi="Simplified Arabic" w:cs="Simplified Arabic"/>
          <w:sz w:val="28"/>
          <w:szCs w:val="28"/>
        </w:rPr>
        <w:t xml:space="preserve"> Silva </w:t>
      </w:r>
      <w:r w:rsidRPr="00C01976">
        <w:rPr>
          <w:rFonts w:ascii="Simplified Arabic" w:hAnsi="Simplified Arabic" w:cs="Simplified Arabic"/>
          <w:sz w:val="28"/>
          <w:szCs w:val="28"/>
          <w:rtl/>
        </w:rPr>
        <w:t xml:space="preserve">حول أهمية الأتمتة في الإدارة، أجرى </w:t>
      </w:r>
      <w:r w:rsidRPr="00C01976">
        <w:rPr>
          <w:rFonts w:ascii="Simplified Arabic" w:hAnsi="Simplified Arabic" w:cs="Simplified Arabic"/>
          <w:sz w:val="28"/>
          <w:szCs w:val="28"/>
        </w:rPr>
        <w:t xml:space="preserve">Kumar (2024) </w:t>
      </w:r>
      <w:r w:rsidRPr="00C01976">
        <w:rPr>
          <w:rFonts w:ascii="Simplified Arabic" w:hAnsi="Simplified Arabic" w:cs="Simplified Arabic"/>
          <w:sz w:val="28"/>
          <w:szCs w:val="28"/>
          <w:rtl/>
        </w:rPr>
        <w:t xml:space="preserve">دراسة 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الأتمتة المدفوعة بالذكاء الاصطناعي في العمليات الإدارية: تحسين الكفاءة والدقة</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هدفت إلى فحص الأثر المباشر لتقنيات الذكاء الاصطناعي في تطوير كفاءة ودقة العمليات الإدارية. استخدم الباحث المنهج الوصفي التحليلي بالاعتماد على تحليل حالات تطبيقية في مؤسسات إدارية رقمية حديثة. وأظهرت النتائج أن تطبيق الذكاء الاصطناعي يؤدي إلى خفض الأخطاء التشغيلية وتحسين جودة القرارات الإدارية، مع التأكيد على أهمية تبني نهج أخلاقي متوازن يضمن الاستخدام المسؤول للأتمتة الذكية في بيئات العمل الحكومية والمؤسسية</w:t>
      </w:r>
      <w:r w:rsidRPr="00C01976">
        <w:rPr>
          <w:rFonts w:ascii="Simplified Arabic" w:hAnsi="Simplified Arabic" w:cs="Simplified Arabic"/>
          <w:sz w:val="28"/>
          <w:szCs w:val="28"/>
        </w:rPr>
        <w:t>.</w:t>
      </w:r>
    </w:p>
    <w:p w14:paraId="692DF63E" w14:textId="77777777" w:rsidR="00C01976" w:rsidRPr="00C01976" w:rsidRDefault="00C01976" w:rsidP="00C01976">
      <w:pPr>
        <w:pStyle w:val="ListParagraph"/>
        <w:numPr>
          <w:ilvl w:val="0"/>
          <w:numId w:val="1"/>
        </w:numPr>
        <w:bidi/>
        <w:jc w:val="both"/>
        <w:rPr>
          <w:rFonts w:ascii="Simplified Arabic" w:hAnsi="Simplified Arabic" w:cs="Simplified Arabic"/>
          <w:b/>
          <w:bCs/>
          <w:sz w:val="28"/>
          <w:szCs w:val="28"/>
        </w:rPr>
      </w:pPr>
      <w:r w:rsidRPr="00C01976">
        <w:rPr>
          <w:rFonts w:ascii="Simplified Arabic" w:hAnsi="Simplified Arabic" w:cs="Simplified Arabic"/>
          <w:b/>
          <w:bCs/>
          <w:sz w:val="28"/>
          <w:szCs w:val="28"/>
          <w:rtl/>
        </w:rPr>
        <w:t>التعليق على الدراسات السابقة</w:t>
      </w:r>
    </w:p>
    <w:p w14:paraId="234C86C9"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بعد استعراض الدراسات السابقة التي تناولت موضوع إعادة هندسة العمليات الإدارية في سياقات متنوعة وعبر فترة زمنية ممتدة من عام 2020 إلى 2024، يمكن الوقوف على عدة ملاحظات </w:t>
      </w:r>
      <w:r w:rsidRPr="00C01976">
        <w:rPr>
          <w:rFonts w:ascii="Simplified Arabic" w:hAnsi="Simplified Arabic" w:cs="Simplified Arabic"/>
          <w:sz w:val="28"/>
          <w:szCs w:val="28"/>
          <w:rtl/>
        </w:rPr>
        <w:lastRenderedPageBreak/>
        <w:t>جوهرية تسهم في رسم صورة شاملة لحالة الأدبيات البحثية في هذا المجال، وتساعد في تحديد الفجوات المعرفية التي تستدعي مزيداً من البحث والتحليل، لا سيما فيما يتعلق بتطبيق إعادة هندسة العمليات الإدارية في ظل الأزمات، وهو ما يشكل محور الدراسة الحالية</w:t>
      </w:r>
      <w:r w:rsidRPr="00C01976">
        <w:rPr>
          <w:rFonts w:ascii="Simplified Arabic" w:hAnsi="Simplified Arabic" w:cs="Simplified Arabic"/>
          <w:sz w:val="28"/>
          <w:szCs w:val="28"/>
        </w:rPr>
        <w:t>.</w:t>
      </w:r>
    </w:p>
    <w:p w14:paraId="49DB93D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تتجلى الملاحظة الأولى في أن الغالبية العظمى من الدراسات المستعرضة قد ركزت على تطبيق إعادة هندسة العمليات الإدارية في ظروف العمل الاعتيادية والبيئات المستقرة نسبياً، حيث اهتمت هذه الدراسات بتحليل المتطلبات الأساسية لتطبيق إعادة الهندسة، وقياس أثرها على متغيرات مختلفة مثل الأداء المؤسسي، وجودة الخدمات، والميزة التنافسية، وأداء الموارد البشرية، وتخفيض التكاليف. ففي حين أن دراسات مثل دراسة زهران (2020) ودراسة جبريل (2020) ودراسة أبو جهين (2020) قدمت إسهامات قيمة في فهم متطلبات وعوامل نجاح إعادة الهندسة في قطاعات مختلفة، إلا أنها لم تتطرق إلى كيفية تكييف هذه المتطلبات أو تعديلها في حالة مواجهة الأزمات أو الظروف الاستثنائية التي تفرض تحديات مختلفة نوعياً عن تلك التي تواجه المؤسسات في الأوقات العادية. هذا الغياب النسبي للدراسات التي تناولت تطبيق إعادة الهندسة في سياق الأزمات يمثل فجوة بحثية واضحة، خاصة في ضوء ما شهده العالم خلال السنوات الأخيرة من أزمات متعددة كجائحة كوفيد-19 والأزمات الاقتصادية والسياسية التي أجبرت المؤسسات على إعادة التفكير في عملياتها الإدارية بصورة جذرية وسريعة</w:t>
      </w:r>
      <w:r w:rsidRPr="00C01976">
        <w:rPr>
          <w:rFonts w:ascii="Simplified Arabic" w:hAnsi="Simplified Arabic" w:cs="Simplified Arabic"/>
          <w:sz w:val="28"/>
          <w:szCs w:val="28"/>
        </w:rPr>
        <w:t>.</w:t>
      </w:r>
    </w:p>
    <w:p w14:paraId="07C2F872"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تتعلق الملاحظة الثانية بالتركيز الواضح في معظم الدراسات على أبعاد محددة لإعادة هندسة العمليات الإدارية، والتي تكررت بشكل ملحوظ عبر الدراسات المختلفة، وهي: البعد التكنولوجي، والبعد البشري، والبعد التنظيمي، ودعم الإدارة العليا، والبعد الاستراتيجي، والاتصال الإداري. فقد أكدت دراسة الحطامي والأشول (2024) على أن البعد التكنولوجي جاء الأعلى تأثيراً في الأداء المؤسسي، يليه دعم الإدارة العليا، ثم البعد التنظيمي، وأخيراً البعد البشري. وهذا التسلسل في الأهمية يعكس الوزن النسبي الذي توليه المؤسسات لكل بعد من هذه الأبعاد في سياق عمليات إعادة الهندسة. كما أن دراسة شيخ ديب وناطور (2022) وجدت علاقات معنوية بين أبعاد إعادة الهندسة المختلفة وأبعاد الميزة التنافسية، مما يشير إلى أن نجاح إعادة الهندسة يتطلب اهتماماً متوازناً بكافة الأبعاد وليس التركيز </w:t>
      </w:r>
      <w:r w:rsidRPr="00C01976">
        <w:rPr>
          <w:rFonts w:ascii="Simplified Arabic" w:hAnsi="Simplified Arabic" w:cs="Simplified Arabic"/>
          <w:sz w:val="28"/>
          <w:szCs w:val="28"/>
          <w:rtl/>
        </w:rPr>
        <w:lastRenderedPageBreak/>
        <w:t>على بعد واحد دون غيره. ومع ذلك، يمكن القول إن هذه الأبعاد قد تحتاج إلى إعادة ترتيب أولوياتها أو إضافة أبعاد جديدة عند تطبيق إعادة الهندسة في ظروف الأزمات، حيث قد تصبح المرونة التنظيمية وسرعة الاستجابة والقدرة على التكيف أكثر أهمية من التركيز على التكنولوجيا المتقدمة أو التخطيط الاستراتيجي طويل المدى</w:t>
      </w:r>
      <w:r w:rsidRPr="00C01976">
        <w:rPr>
          <w:rFonts w:ascii="Simplified Arabic" w:hAnsi="Simplified Arabic" w:cs="Simplified Arabic"/>
          <w:sz w:val="28"/>
          <w:szCs w:val="28"/>
        </w:rPr>
        <w:t>.</w:t>
      </w:r>
    </w:p>
    <w:p w14:paraId="5DC1EB61" w14:textId="522EFFF5"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أما الملاحظة الثالثة فتتمثل في التنوع الواسع في القطاعات والمجالات التي طبقت فيها الدراسات، حيث شملت الدراسات قطاعات متنوعة مثل التعليم الجامعي</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دراسات زهران، 2020؛ محمد، 2022؛ صلاح الدين، 2020؛ العرادة، 2024؛</w:t>
      </w:r>
      <w:r w:rsidRPr="00C01976">
        <w:rPr>
          <w:rFonts w:ascii="Simplified Arabic" w:hAnsi="Simplified Arabic" w:cs="Simplified Arabic"/>
          <w:sz w:val="28"/>
          <w:szCs w:val="28"/>
        </w:rPr>
        <w:t xml:space="preserve"> Nachev </w:t>
      </w:r>
      <w:r w:rsidRPr="00C01976">
        <w:rPr>
          <w:rFonts w:ascii="Simplified Arabic" w:hAnsi="Simplified Arabic" w:cs="Simplified Arabic"/>
          <w:sz w:val="28"/>
          <w:szCs w:val="28"/>
          <w:rtl/>
        </w:rPr>
        <w:t>وآخرون، 2020؛</w:t>
      </w:r>
      <w:r w:rsidRPr="00C01976">
        <w:rPr>
          <w:rFonts w:ascii="Simplified Arabic" w:hAnsi="Simplified Arabic" w:cs="Simplified Arabic"/>
          <w:sz w:val="28"/>
          <w:szCs w:val="28"/>
        </w:rPr>
        <w:t xml:space="preserve"> Pramartha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Mimba</w:t>
      </w:r>
      <w:r w:rsidRPr="00C01976">
        <w:rPr>
          <w:rFonts w:ascii="Simplified Arabic" w:hAnsi="Simplified Arabic" w:cs="Simplified Arabic"/>
          <w:sz w:val="28"/>
          <w:szCs w:val="28"/>
          <w:rtl/>
        </w:rPr>
        <w:t>، 2020</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والقطاع الصحي (أبو جهين، 2020)، والقطاع المصرفي والمالي (اسحق، 2020؛ شيخ ديب وناطور، 2022)، والقطاع الحكومي</w:t>
      </w:r>
      <w:r w:rsidRPr="00C01976">
        <w:rPr>
          <w:rFonts w:ascii="Simplified Arabic" w:hAnsi="Simplified Arabic" w:cs="Simplified Arabic"/>
          <w:sz w:val="28"/>
          <w:szCs w:val="28"/>
        </w:rPr>
        <w:t xml:space="preserve"> </w:t>
      </w:r>
      <w:r w:rsidR="00C4592C">
        <w:rPr>
          <w:rFonts w:ascii="Simplified Arabic" w:hAnsi="Simplified Arabic" w:cs="Simplified Arabic"/>
          <w:sz w:val="28"/>
          <w:szCs w:val="28"/>
        </w:rPr>
        <w:t>)</w:t>
      </w:r>
      <w:r w:rsidRPr="00C01976">
        <w:rPr>
          <w:rFonts w:ascii="Simplified Arabic" w:hAnsi="Simplified Arabic" w:cs="Simplified Arabic"/>
          <w:sz w:val="28"/>
          <w:szCs w:val="28"/>
          <w:rtl/>
        </w:rPr>
        <w:t>جبريل، 2020؛ القرشي والسلمي، 2022؛</w:t>
      </w:r>
      <w:r w:rsidRPr="00C01976">
        <w:rPr>
          <w:rFonts w:ascii="Simplified Arabic" w:hAnsi="Simplified Arabic" w:cs="Simplified Arabic"/>
          <w:sz w:val="28"/>
          <w:szCs w:val="28"/>
        </w:rPr>
        <w:t xml:space="preserve"> Fatile </w:t>
      </w:r>
      <w:r w:rsidRPr="00C01976">
        <w:rPr>
          <w:rFonts w:ascii="Simplified Arabic" w:hAnsi="Simplified Arabic" w:cs="Simplified Arabic"/>
          <w:sz w:val="28"/>
          <w:szCs w:val="28"/>
          <w:rtl/>
        </w:rPr>
        <w:t>وآخرون، 2020؛</w:t>
      </w:r>
      <w:r w:rsidRPr="00C01976">
        <w:rPr>
          <w:rFonts w:ascii="Simplified Arabic" w:hAnsi="Simplified Arabic" w:cs="Simplified Arabic"/>
          <w:sz w:val="28"/>
          <w:szCs w:val="28"/>
        </w:rPr>
        <w:t xml:space="preserve"> Battilani </w:t>
      </w:r>
      <w:r w:rsidRPr="00C01976">
        <w:rPr>
          <w:rFonts w:ascii="Simplified Arabic" w:hAnsi="Simplified Arabic" w:cs="Simplified Arabic"/>
          <w:sz w:val="28"/>
          <w:szCs w:val="28"/>
          <w:rtl/>
        </w:rPr>
        <w:t>وآخرون، 2022؛</w:t>
      </w:r>
      <w:r w:rsidRPr="00C01976">
        <w:rPr>
          <w:rFonts w:ascii="Simplified Arabic" w:hAnsi="Simplified Arabic" w:cs="Simplified Arabic"/>
          <w:sz w:val="28"/>
          <w:szCs w:val="28"/>
        </w:rPr>
        <w:t xml:space="preserve"> Elapatha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Jehan</w:t>
      </w:r>
      <w:r w:rsidRPr="00C01976">
        <w:rPr>
          <w:rFonts w:ascii="Simplified Arabic" w:hAnsi="Simplified Arabic" w:cs="Simplified Arabic"/>
          <w:sz w:val="28"/>
          <w:szCs w:val="28"/>
          <w:rtl/>
        </w:rPr>
        <w:t>، 2020</w:t>
      </w:r>
      <w:r w:rsidR="00C4592C">
        <w:rPr>
          <w:rFonts w:ascii="Simplified Arabic" w:hAnsi="Simplified Arabic" w:cs="Simplified Arabic"/>
          <w:sz w:val="28"/>
          <w:szCs w:val="28"/>
        </w:rPr>
        <w:t>(</w:t>
      </w:r>
      <w:r w:rsidRPr="00C01976">
        <w:rPr>
          <w:rFonts w:ascii="Simplified Arabic" w:hAnsi="Simplified Arabic" w:cs="Simplified Arabic"/>
          <w:sz w:val="28"/>
          <w:szCs w:val="28"/>
          <w:rtl/>
        </w:rPr>
        <w:t>، والقطاع الصناعي</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علوان وطلوش، 2020؛ السماك، 2021؛</w:t>
      </w:r>
      <w:r w:rsidRPr="00C01976">
        <w:rPr>
          <w:rFonts w:ascii="Simplified Arabic" w:hAnsi="Simplified Arabic" w:cs="Simplified Arabic"/>
          <w:sz w:val="28"/>
          <w:szCs w:val="28"/>
        </w:rPr>
        <w:t xml:space="preserve"> Massaro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Galiano</w:t>
      </w:r>
      <w:r w:rsidRPr="00C01976">
        <w:rPr>
          <w:rFonts w:ascii="Simplified Arabic" w:hAnsi="Simplified Arabic" w:cs="Simplified Arabic"/>
          <w:sz w:val="28"/>
          <w:szCs w:val="28"/>
          <w:rtl/>
        </w:rPr>
        <w:t>، 2020</w:t>
      </w:r>
      <w:r w:rsidR="00C4592C">
        <w:rPr>
          <w:rFonts w:ascii="Simplified Arabic" w:hAnsi="Simplified Arabic" w:cs="Simplified Arabic"/>
          <w:sz w:val="28"/>
          <w:szCs w:val="28"/>
        </w:rPr>
        <w:t>(</w:t>
      </w:r>
      <w:r w:rsidRPr="00C01976">
        <w:rPr>
          <w:rFonts w:ascii="Simplified Arabic" w:hAnsi="Simplified Arabic" w:cs="Simplified Arabic"/>
          <w:sz w:val="28"/>
          <w:szCs w:val="28"/>
          <w:rtl/>
        </w:rPr>
        <w:t>، وقطاع التعليم ما قبل الجامعي</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عليو، 2020؛</w:t>
      </w:r>
      <w:r w:rsidRPr="00C01976">
        <w:rPr>
          <w:rFonts w:ascii="Simplified Arabic" w:hAnsi="Simplified Arabic" w:cs="Simplified Arabic"/>
          <w:sz w:val="28"/>
          <w:szCs w:val="28"/>
        </w:rPr>
        <w:t xml:space="preserve"> Al-Mawdieh</w:t>
      </w:r>
      <w:r w:rsidRPr="00C01976">
        <w:rPr>
          <w:rFonts w:ascii="Simplified Arabic" w:hAnsi="Simplified Arabic" w:cs="Simplified Arabic"/>
          <w:sz w:val="28"/>
          <w:szCs w:val="28"/>
          <w:rtl/>
        </w:rPr>
        <w:t>، 2020</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هذا التنوع يعكس القابلية الواسعة لتطبيق مبادئ إعادة هندسة العمليات الإدارية عبر مختلف القطاعات، ويؤكد على أن إعادة الهندسة ليست حكراً على نوع معين من المؤسسات، بل يمكن تكييفها مع خصوصية كل قطاع. ومع ذلك، فإن هذا التنوع يطرح أيضاً تساؤلات حول مدى إمكانية تعميم نتائج هذه الدراسات عبر القطاعات المختلفة، وما إذا كانت عوامل النجاح والمعوقات متشابهة في جميع السياقات أم أن هناك خصوصيات قطاعية يجب مراعاتها</w:t>
      </w:r>
      <w:r w:rsidRPr="00C01976">
        <w:rPr>
          <w:rFonts w:ascii="Simplified Arabic" w:hAnsi="Simplified Arabic" w:cs="Simplified Arabic"/>
          <w:sz w:val="28"/>
          <w:szCs w:val="28"/>
        </w:rPr>
        <w:t>.</w:t>
      </w:r>
    </w:p>
    <w:p w14:paraId="736FCA6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تكشف الملاحظة الرابعة عن اتفاق شبه إجماعي بين الدراسات المستعرضة على وجود علاقة إيجابية ودالة إحصائياً بين تطبيق إعادة هندسة العمليات الإدارية وتحسين الأداء بمختلف مؤشراته. فقد أكدت دراسة زخروف ومحمد (2022) على الدور الكبير لإعادة الهندسة في تحسين أداء الموارد البشرية، بينما وجدت دراسة محمد (2022) علاقة طردية تأثيرية دالة إحصائياً بين إعادة الهندسة وتحسين الأداء المهني للأخصائيين الاجتماعيين بالجامعات. كما توصلت دراسة اسحق (2020) إلى أن التركيز على إعادة هندسة العمليات الإدارية يساعد على زيادة أداء العاملين. وفي السياق نفسه، </w:t>
      </w:r>
      <w:r w:rsidRPr="00C01976">
        <w:rPr>
          <w:rFonts w:ascii="Simplified Arabic" w:hAnsi="Simplified Arabic" w:cs="Simplified Arabic"/>
          <w:sz w:val="28"/>
          <w:szCs w:val="28"/>
          <w:rtl/>
        </w:rPr>
        <w:lastRenderedPageBreak/>
        <w:t>خلصت دراسة شيخ ديب وناطور (2022) إلى وجود علاقة معنوية بين إعادة الهندسة وتحسين الميزة التنافسية في المصارف الإسلامية. هذا الاتفاق الواسع على الأثر الإيجابي لإعادة الهندسة يعزز من قيمتها كمدخل إداري حديث للتطوير والتحسين المستمر، ويشجع المؤسسات على تبنيها كاستراتيجية للتحول المؤسسي. ومع ذلك، تجدر الإشارة إلى أن معظم هذه الدراسات أجريت في ظروف طبيعية، ولم تختبر مدى استمرارية هذا الأثر الإيجابي في ظل الأزمات أو الضغوط الشديدة التي قد تواجهها المؤسسات، مما يثير تساؤلات حول مدى ثبات ومتانة هذه النتائج في مختلف الظروف البيئية</w:t>
      </w:r>
      <w:r w:rsidRPr="00C01976">
        <w:rPr>
          <w:rFonts w:ascii="Simplified Arabic" w:hAnsi="Simplified Arabic" w:cs="Simplified Arabic"/>
          <w:sz w:val="28"/>
          <w:szCs w:val="28"/>
        </w:rPr>
        <w:t>.</w:t>
      </w:r>
    </w:p>
    <w:p w14:paraId="22B45C96"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تتمحور الملاحظة الخامسة حول المنهجيات البحثية المستخدمة في الدراسات المستعرضة، حيث يلاحظ أن الغالبية العظمى اعتمدت على المنهج الوصفي التحليلي كمنهج بحثي رئيس، واستخدمت الاستبانة كأداة أساسية لجمع البيانات، مع الاستعانة ببرنامج</w:t>
      </w:r>
      <w:r w:rsidRPr="00C01976">
        <w:rPr>
          <w:rFonts w:ascii="Simplified Arabic" w:hAnsi="Simplified Arabic" w:cs="Simplified Arabic"/>
          <w:sz w:val="28"/>
          <w:szCs w:val="28"/>
        </w:rPr>
        <w:t xml:space="preserve"> SPSS </w:t>
      </w:r>
      <w:r w:rsidRPr="00C01976">
        <w:rPr>
          <w:rFonts w:ascii="Simplified Arabic" w:hAnsi="Simplified Arabic" w:cs="Simplified Arabic"/>
          <w:sz w:val="28"/>
          <w:szCs w:val="28"/>
          <w:rtl/>
        </w:rPr>
        <w:t>لتحليل البيانات إحصائياً. هذا التوجه المنهجي السائد يعكس طبيعة الأسئلة البحثية التي سعت هذه الدراسات للإجابة عنها، والتي ركزت في معظمها على وصف واقع تطبيق إعادة الهندسة، وقياس العلاقات الارتباطية والتأثيرية بين متغيرات الدراسة. ومع ذلك، يمكن ملاحظة أن بعض الدراسات قد تميزت باستخدام منهجيات بحثية أكثر تطوراً أو تنوعاً، مثل دراسة</w:t>
      </w:r>
      <w:r w:rsidRPr="00C01976">
        <w:rPr>
          <w:rFonts w:ascii="Simplified Arabic" w:hAnsi="Simplified Arabic" w:cs="Simplified Arabic"/>
          <w:sz w:val="28"/>
          <w:szCs w:val="28"/>
        </w:rPr>
        <w:t xml:space="preserve"> Battilani </w:t>
      </w:r>
      <w:r w:rsidRPr="00C01976">
        <w:rPr>
          <w:rFonts w:ascii="Simplified Arabic" w:hAnsi="Simplified Arabic" w:cs="Simplified Arabic"/>
          <w:sz w:val="28"/>
          <w:szCs w:val="28"/>
          <w:rtl/>
        </w:rPr>
        <w:t>وآخرين (2022) التي استخدمت منهج دراسة الحالة القائم على تحليل الوضع الراهن والمستقبلي مع توظيف أسلوب المحاكاة الحاسوبية، ودراسة</w:t>
      </w:r>
      <w:r w:rsidRPr="00C01976">
        <w:rPr>
          <w:rFonts w:ascii="Simplified Arabic" w:hAnsi="Simplified Arabic" w:cs="Simplified Arabic"/>
          <w:sz w:val="28"/>
          <w:szCs w:val="28"/>
        </w:rPr>
        <w:t xml:space="preserve"> Hooda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Singla (2020) </w:t>
      </w:r>
      <w:r w:rsidRPr="00C01976">
        <w:rPr>
          <w:rFonts w:ascii="Simplified Arabic" w:hAnsi="Simplified Arabic" w:cs="Simplified Arabic"/>
          <w:sz w:val="28"/>
          <w:szCs w:val="28"/>
          <w:rtl/>
        </w:rPr>
        <w:t>التي اعتمدت منهجاً مختلطاً يجمع بين النوعي والكمي، ودراسة القرشي والسلمي (2022) التي استخدمت أداتين لجمع البيانات هما الاستبانة والمقابلات الشخصية. هذا التنوع المنهجي يثري الأدبيات البحثية ويوفر رؤى أعمق وأكثر شمولية حول موضوع إعادة الهندسة، ويشير إلى الحاجة لمزيد من الدراسات التي تتجاوز الاعتماد الكلي على الأساليب الكمية إلى الدمج بين المناهج المختلفة للحصول على فهم أكثر عمقاً للظاهرة المدروسة</w:t>
      </w:r>
      <w:r w:rsidRPr="00C01976">
        <w:rPr>
          <w:rFonts w:ascii="Simplified Arabic" w:hAnsi="Simplified Arabic" w:cs="Simplified Arabic"/>
          <w:sz w:val="28"/>
          <w:szCs w:val="28"/>
        </w:rPr>
        <w:t>.</w:t>
      </w:r>
    </w:p>
    <w:p w14:paraId="7C509C83"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أما الملاحظة السادسة فتتعلق بتوجه عدد من الدراسات نحو استكشاف علاقة إعادة هندسة العمليات الإدارية بمتغيرات حديثة ومتطورة، مما يعكس محاولات الباحثين لمواكبة التطورات الحاصلة في بيئة الأعمال والإدارة. فقد اهتم السماك (2021) بدراسة العلاقة بين متطلبات إعادة الهندسة وأبعاد الابتكار الأخضر، بينما بحث خضر (2022) في دور أبعاد إعادة هندسة العمليات الإدارية في تحقيق </w:t>
      </w:r>
      <w:r w:rsidRPr="00C01976">
        <w:rPr>
          <w:rFonts w:ascii="Simplified Arabic" w:hAnsi="Simplified Arabic" w:cs="Simplified Arabic"/>
          <w:sz w:val="28"/>
          <w:szCs w:val="28"/>
          <w:rtl/>
        </w:rPr>
        <w:lastRenderedPageBreak/>
        <w:t>استراتيجيات التسويق الأخضر، مما يشير إلى الاهتمام المتزايد بالبعد البيئي والاستدامة في إطار إعادة الهندسة. كما اتجهت بعض الدراسات الأجنبية نحو دراسة توظيف التقنيات الحديثة في دعم عمليات إعادة الهندسة، كدراسة</w:t>
      </w:r>
      <w:r w:rsidRPr="00C01976">
        <w:rPr>
          <w:rFonts w:ascii="Simplified Arabic" w:hAnsi="Simplified Arabic" w:cs="Simplified Arabic"/>
          <w:sz w:val="28"/>
          <w:szCs w:val="28"/>
        </w:rPr>
        <w:t xml:space="preserve"> Al-Anqoudi </w:t>
      </w:r>
      <w:r w:rsidRPr="00C01976">
        <w:rPr>
          <w:rFonts w:ascii="Simplified Arabic" w:hAnsi="Simplified Arabic" w:cs="Simplified Arabic"/>
          <w:sz w:val="28"/>
          <w:szCs w:val="28"/>
          <w:rtl/>
        </w:rPr>
        <w:t>وآخرين (2021) التي استكشفت دور التعلم الآلي في أتمتة عمليات إعادة الهندسة، ودراسة</w:t>
      </w:r>
      <w:r w:rsidRPr="00C01976">
        <w:rPr>
          <w:rFonts w:ascii="Simplified Arabic" w:hAnsi="Simplified Arabic" w:cs="Simplified Arabic"/>
          <w:sz w:val="28"/>
          <w:szCs w:val="28"/>
        </w:rPr>
        <w:t xml:space="preserve"> Faculty of Computers </w:t>
      </w:r>
      <w:r w:rsidRPr="00C01976">
        <w:rPr>
          <w:rFonts w:ascii="Simplified Arabic" w:hAnsi="Simplified Arabic" w:cs="Simplified Arabic"/>
          <w:sz w:val="28"/>
          <w:szCs w:val="28"/>
          <w:rtl/>
        </w:rPr>
        <w:t>وآخرين (2020) التي حللت أساليب التنقيب عن البيانات لإعادة هندسة العمليات التجارية، ودراسة</w:t>
      </w:r>
      <w:r w:rsidRPr="00C01976">
        <w:rPr>
          <w:rFonts w:ascii="Simplified Arabic" w:hAnsi="Simplified Arabic" w:cs="Simplified Arabic"/>
          <w:sz w:val="28"/>
          <w:szCs w:val="28"/>
        </w:rPr>
        <w:t xml:space="preserve"> Kumar (2024) </w:t>
      </w:r>
      <w:r w:rsidRPr="00C01976">
        <w:rPr>
          <w:rFonts w:ascii="Simplified Arabic" w:hAnsi="Simplified Arabic" w:cs="Simplified Arabic"/>
          <w:sz w:val="28"/>
          <w:szCs w:val="28"/>
          <w:rtl/>
        </w:rPr>
        <w:t>التي تناولت الأتمتة المدفوعة بالذكاء الاصطناعي في العمليات الإدارية. هذا التوجه نحو دمج التقنيات الحديثة مثل الذكاء الاصطناعي والتعلم الآلي والتنقيب عن البيانات في عمليات إعادة الهندسة يعكس التطور الطبيعي للمجال ويفتح آفاقاً جديدة للبحث والتطبيق، ويؤكد على أن إعادة الهندسة ليست مفهوماً ثابتاً بل مفهوماً ديناميكياً يتطور مع التطورات التكنولوجية والإدارية</w:t>
      </w:r>
      <w:r w:rsidRPr="00C01976">
        <w:rPr>
          <w:rFonts w:ascii="Simplified Arabic" w:hAnsi="Simplified Arabic" w:cs="Simplified Arabic"/>
          <w:sz w:val="28"/>
          <w:szCs w:val="28"/>
        </w:rPr>
        <w:t>.</w:t>
      </w:r>
    </w:p>
    <w:p w14:paraId="3B914C5E"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تبرز الملاحظة السابعة التفاوت الواضح في نتائج الدراسات فيما يتعلق بمستوى تطبيق إعادة هندسة العمليات الإدارية في المؤسسات المدروسة، حيث أظهرت بعض الدراسات مستوى مرتفعاً من التطبيق مثل دراسة جبريل (2020) التي كشفت عن مستوى مرتفع لتوافر متطلبات تطبيق إعادة الهندسة في المجلس البلدي درنة، ودراسة</w:t>
      </w:r>
      <w:r w:rsidRPr="00C01976">
        <w:rPr>
          <w:rFonts w:ascii="Simplified Arabic" w:hAnsi="Simplified Arabic" w:cs="Simplified Arabic"/>
          <w:sz w:val="28"/>
          <w:szCs w:val="28"/>
        </w:rPr>
        <w:t xml:space="preserve"> Al-Mawdieh (2020) </w:t>
      </w:r>
      <w:r w:rsidRPr="00C01976">
        <w:rPr>
          <w:rFonts w:ascii="Simplified Arabic" w:hAnsi="Simplified Arabic" w:cs="Simplified Arabic"/>
          <w:sz w:val="28"/>
          <w:szCs w:val="28"/>
          <w:rtl/>
        </w:rPr>
        <w:t>التي وجدت درجة ممارسة مرتفعة من وجهة نظر المديرات في مؤسسات رياض الأطفال. في المقابل، أشارت دراسات أخرى إلى مستوى متوسط من التطبيق، مثل دراسة أبو جهين (2020) التي توصلت إلى أن مدى تطبيق إعادة هندسة العمليات في المستشفيات الحكومية الأردنية جاء متوسطاً بمتوسط حسابي (3.14)، ودراسة العرادة (2024) التي وجدت أن إعادة هندسة العمليات الإدارية بجامعة إقليم سبأ جاءت بدرجة متوسطة. هذا التفاوت يمكن أن يعزى إلى عدة عوامل، منها اختلاف طبيعة المؤسسات المدروسة وحجمها ونوعها، واختلاف مستوى الوعي بمفهوم إعادة الهندسة وأهميته، وتباين الموارد المتاحة للتطبيق، واختلاف درجة دعم الإدارة العليا ومدى التزامها بعمليات التحول الإداري. كما قد يعكس هذا التفاوت أيضاً اختلاف المعايير والمقاييس المستخدمة في تقييم مستوى التطبيق عبر الدراسات المختلفة، مما يطرح أهمية توحيد معايير القياس لتسهيل المقارنة بين نتائج الدراسات المختلفة</w:t>
      </w:r>
      <w:r w:rsidRPr="00C01976">
        <w:rPr>
          <w:rFonts w:ascii="Simplified Arabic" w:hAnsi="Simplified Arabic" w:cs="Simplified Arabic"/>
          <w:sz w:val="28"/>
          <w:szCs w:val="28"/>
        </w:rPr>
        <w:t>.</w:t>
      </w:r>
    </w:p>
    <w:p w14:paraId="502B98E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lastRenderedPageBreak/>
        <w:t>تتعلق الملاحظة الثامنة بالتركيز المحدود نسبياً على معوقات وتحديات تطبيق إعادة هندسة العمليات الإدارية في معظم الدراسات المستعرضة، حيث اهتمت غالبية الدراسات بتوضيح الفوائد والنتائج الإيجابية لتطبيق إعادة الهندسة دون إيلاء اهتمام مماثل للعقبات والتحديات التي قد تواجه المؤسسات أثناء عملية التطبيق. فقط عدد محدود من الدراسات تطرق بشكل صريح إلى هذه المعوقات، مثل دراسة زهران (2020) التي تناولت المعوقات التي تحول دون توافر متطلبات تطبيق إعادة الهندسة، ودراسة</w:t>
      </w:r>
      <w:r w:rsidRPr="00C01976">
        <w:rPr>
          <w:rFonts w:ascii="Simplified Arabic" w:hAnsi="Simplified Arabic" w:cs="Simplified Arabic"/>
          <w:sz w:val="28"/>
          <w:szCs w:val="28"/>
        </w:rPr>
        <w:t xml:space="preserve"> Fatile </w:t>
      </w:r>
      <w:r w:rsidRPr="00C01976">
        <w:rPr>
          <w:rFonts w:ascii="Simplified Arabic" w:hAnsi="Simplified Arabic" w:cs="Simplified Arabic"/>
          <w:sz w:val="28"/>
          <w:szCs w:val="28"/>
          <w:rtl/>
        </w:rPr>
        <w:t>وآخرين (2020) التي بينت أن البيروقراطية وضعف الجاهزية التنظيمية يمثلان عقبات رئيسية أمام تطبيق إعادة الهندسة في القطاع العام الإفريقي، ودراسة</w:t>
      </w:r>
      <w:r w:rsidRPr="00C01976">
        <w:rPr>
          <w:rFonts w:ascii="Simplified Arabic" w:hAnsi="Simplified Arabic" w:cs="Simplified Arabic"/>
          <w:sz w:val="28"/>
          <w:szCs w:val="28"/>
        </w:rPr>
        <w:t xml:space="preserve"> Weerakkody </w:t>
      </w:r>
      <w:r w:rsidRPr="00C01976">
        <w:rPr>
          <w:rFonts w:ascii="Simplified Arabic" w:hAnsi="Simplified Arabic" w:cs="Simplified Arabic"/>
          <w:sz w:val="28"/>
          <w:szCs w:val="28"/>
          <w:rtl/>
        </w:rPr>
        <w:t>وآخرين (2021) التي أشارت إلى أن إعادة الهندسة قد تنتج عواقب غير مقصودة مثل إنشاء صوامع مؤسسية جديدة. هذا النقص النسبي في الدراسات التي تتناول التحديات والمعوقات يمثل فجوة بحثية مهمة، خاصة أن فهم هذه المعوقات وكيفية التغلب عليها يعد أمراً حاسماً لنجاح مشاريع إعادة الهندسة في الواقع العملي. كما أن تجاهل أو التقليل من أهمية هذه التحديات قد يخلق توقعات غير واقعية لدى المؤسسات التي تنوي تطبيق إعادة الهندسة، مما قد يؤدي إلى الإحباط والفشل عند مواجهة صعوبات غير متوقعة</w:t>
      </w:r>
      <w:r w:rsidRPr="00C01976">
        <w:rPr>
          <w:rFonts w:ascii="Simplified Arabic" w:hAnsi="Simplified Arabic" w:cs="Simplified Arabic"/>
          <w:sz w:val="28"/>
          <w:szCs w:val="28"/>
        </w:rPr>
        <w:t>.</w:t>
      </w:r>
    </w:p>
    <w:p w14:paraId="3394A457"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تشير الملاحظة التاسعة إلى التفاوت الواضح في حجم العينات المستخدمة في الدراسات الميدانية، حيث تراوحت أحجام العينات من 30 مشاركاً فقط كما في دراسة علوان وطلوش (2020) إلى 359 مشاركاً كما في دراسة</w:t>
      </w:r>
      <w:r w:rsidRPr="00C01976">
        <w:rPr>
          <w:rFonts w:ascii="Simplified Arabic" w:hAnsi="Simplified Arabic" w:cs="Simplified Arabic"/>
          <w:sz w:val="28"/>
          <w:szCs w:val="28"/>
        </w:rPr>
        <w:t xml:space="preserve"> Hooda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Singla (2020)</w:t>
      </w:r>
      <w:r w:rsidRPr="00C01976">
        <w:rPr>
          <w:rFonts w:ascii="Simplified Arabic" w:hAnsi="Simplified Arabic" w:cs="Simplified Arabic"/>
          <w:sz w:val="28"/>
          <w:szCs w:val="28"/>
          <w:rtl/>
        </w:rPr>
        <w:t>، مع وجود عينات متوسطة الحجم في معظم الدراسات الأخرى. هذا التفاوت في أحجام العينات له تأثير مباشر على قوة النتائج الإحصائية وإمكانية تعميمها، حيث أن العينات الصغيرة قد تحد من القدرة على اكتشاف علاقات إحصائية دالة وتجعل النتائج أقل قابلية للتعميم على المجتمع الأوسع. ومع ذلك، يجب الإشارة إلى أن حجم العينة المناسب يعتمد على حجم المجتمع المدروس وطبيعة الدراسة، فبعض الدراسات التي استخدمت عينات صغيرة مثل دراسة علوان وطلوش (2020) قد تكون مبررة إذا كان مجتمع الدراسة نفسه محدوداً. كما أن بعض الدراسات استخدمت أسلوب المسح الشامل كما في دراسة جبريل (2020) ودراسة الحطامي والأشول (2024)، وهو ما يعزز من قوة النتائج ويتجنب مشكلات تمثيل العينة للمجتمع</w:t>
      </w:r>
      <w:r w:rsidRPr="00C01976">
        <w:rPr>
          <w:rFonts w:ascii="Simplified Arabic" w:hAnsi="Simplified Arabic" w:cs="Simplified Arabic"/>
          <w:sz w:val="28"/>
          <w:szCs w:val="28"/>
        </w:rPr>
        <w:t>.</w:t>
      </w:r>
    </w:p>
    <w:p w14:paraId="687164B6"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lastRenderedPageBreak/>
        <w:t>تتمحور الملاحظة العاشرة حول الاهتمام المتزايد بالبعد الرقمي والتحول الإلكتروني في سياق إعادة هندسة العمليات الإدارية، وهو ما يتضح جلياً في الدراسات الحديثة نسبياً. فقد ركزت دراسة</w:t>
      </w:r>
      <w:r w:rsidRPr="00C01976">
        <w:rPr>
          <w:rFonts w:ascii="Simplified Arabic" w:hAnsi="Simplified Arabic" w:cs="Simplified Arabic"/>
          <w:sz w:val="28"/>
          <w:szCs w:val="28"/>
        </w:rPr>
        <w:t xml:space="preserve"> Nachev </w:t>
      </w:r>
      <w:r w:rsidRPr="00C01976">
        <w:rPr>
          <w:rFonts w:ascii="Simplified Arabic" w:hAnsi="Simplified Arabic" w:cs="Simplified Arabic"/>
          <w:sz w:val="28"/>
          <w:szCs w:val="28"/>
          <w:rtl/>
        </w:rPr>
        <w:t>وآخرين (2020) على فرص الرقمنة الفعالة للخدمات الإدارية في البيئة الجامعية، بينما استكشفت دراسة</w:t>
      </w:r>
      <w:r w:rsidRPr="00C01976">
        <w:rPr>
          <w:rFonts w:ascii="Simplified Arabic" w:hAnsi="Simplified Arabic" w:cs="Simplified Arabic"/>
          <w:sz w:val="28"/>
          <w:szCs w:val="28"/>
        </w:rPr>
        <w:t xml:space="preserve"> Silva (2024) </w:t>
      </w:r>
      <w:r w:rsidRPr="00C01976">
        <w:rPr>
          <w:rFonts w:ascii="Simplified Arabic" w:hAnsi="Simplified Arabic" w:cs="Simplified Arabic"/>
          <w:sz w:val="28"/>
          <w:szCs w:val="28"/>
          <w:rtl/>
        </w:rPr>
        <w:t>التحول نحو الإدارة الإلكترونية ودور هندسة المعرفة في تحسين الكفاءة المؤسسية، وتناولت دراسة</w:t>
      </w:r>
      <w:r w:rsidRPr="00C01976">
        <w:rPr>
          <w:rFonts w:ascii="Simplified Arabic" w:hAnsi="Simplified Arabic" w:cs="Simplified Arabic"/>
          <w:sz w:val="28"/>
          <w:szCs w:val="28"/>
        </w:rPr>
        <w:t xml:space="preserve"> Hooda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Singla (2020) </w:t>
      </w:r>
      <w:r w:rsidRPr="00C01976">
        <w:rPr>
          <w:rFonts w:ascii="Simplified Arabic" w:hAnsi="Simplified Arabic" w:cs="Simplified Arabic"/>
          <w:sz w:val="28"/>
          <w:szCs w:val="28"/>
          <w:rtl/>
        </w:rPr>
        <w:t>إعادة الهندسة كموقف استراتيجي لنجاح الحكومة الإلكترونية. هذا التركيز المتزايد على البعد الرقمي يعكس واقع التحول الرقمي الذي يشهده العالم، ويؤكد على أن إعادة هندسة العمليات الإدارية في العصر الحالي لا يمكن أن تتم بمعزل عن التقنيات الرقمية والأتمتة. كما أن جائحة كوفيد-19 قد عززت من أهمية الرقمنة والتحول الإلكتروني كضرورة للاستمرارية المؤسسية، مما يجعل هذا البعد أكثر أهمية وإلحاحاً في أي محاولة لإعادة هندسة العمليات الإدارية</w:t>
      </w:r>
      <w:r w:rsidRPr="00C01976">
        <w:rPr>
          <w:rFonts w:ascii="Simplified Arabic" w:hAnsi="Simplified Arabic" w:cs="Simplified Arabic"/>
          <w:sz w:val="28"/>
          <w:szCs w:val="28"/>
        </w:rPr>
        <w:t>.</w:t>
      </w:r>
    </w:p>
    <w:p w14:paraId="6131826A"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تكشف الملاحظة الحادية عشرة عن ندرة الدراسات المقارنة التي تقارن بين نماذج أو أساليب مختلفة لإعادة هندسة العمليات الإدارية، حيث اقتصرت معظم الدراسات على دراسة تطبيق إعادة الهندسة في سياق واحد أو مؤسسة واحدة دون مقارنتها بمؤسسات أو أساليب أخرى. الاستثناء الملحوظ هو دراسة عليو (2020) التي اعتمدت المنهج المقارن واستفادت من تجارب بعض الدول المتقدمة مثل الولايات المتحدة والصين وألمانيا في تطبيق الهندرة الإدارية في التعليم، ودراسة</w:t>
      </w:r>
      <w:r w:rsidRPr="00C01976">
        <w:rPr>
          <w:rFonts w:ascii="Simplified Arabic" w:hAnsi="Simplified Arabic" w:cs="Simplified Arabic"/>
          <w:sz w:val="28"/>
          <w:szCs w:val="28"/>
        </w:rPr>
        <w:t xml:space="preserve"> Weerakkody </w:t>
      </w:r>
      <w:r w:rsidRPr="00C01976">
        <w:rPr>
          <w:rFonts w:ascii="Simplified Arabic" w:hAnsi="Simplified Arabic" w:cs="Simplified Arabic"/>
          <w:sz w:val="28"/>
          <w:szCs w:val="28"/>
          <w:rtl/>
        </w:rPr>
        <w:t>وآخرين (2021) التي استخدمت منهج دراسة الحالة المقارنة لسلطتين محليتين في أوروبا. هذا النقص في الدراسات المقارنة يمثل فجوة بحثية كبيرة، خاصة أن المقارنات تساعد في تحديد أفضل الممارسات وتسليط الضوء على العوامل السياقية التي تؤثر في نجاح أو فشل تطبيق إعادة الهندسة. وفي سياق الدراسة الحالية التي تهدف إلى المقارنة بين الأساليب التقليدية وأساليب المرونة التنظيمية في إعادة هندسة العمليات الإدارية في ظل الأزمات، فإن الاطلاع على النماذج المقارنة المحدودة المتاحة يوفر بعض الإرشادات المنهجية لكنه لا يغني عن الحاجة لمزيد من الدراسات المقارنة في هذا المجال</w:t>
      </w:r>
      <w:r w:rsidRPr="00C01976">
        <w:rPr>
          <w:rFonts w:ascii="Simplified Arabic" w:hAnsi="Simplified Arabic" w:cs="Simplified Arabic"/>
          <w:sz w:val="28"/>
          <w:szCs w:val="28"/>
        </w:rPr>
        <w:t>.</w:t>
      </w:r>
    </w:p>
    <w:p w14:paraId="436516B7"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تتناول الملاحظة الثانية عشرة التباين في المصطلحات المستخدمة للإشارة إلى نفس المفهوم عبر الدراسات المختلفة، حيث استخدمت بعض الدراسات مصطلح "إعادة هندسة العمليات الإدارية" </w:t>
      </w:r>
      <w:r w:rsidRPr="00C01976">
        <w:rPr>
          <w:rFonts w:ascii="Simplified Arabic" w:hAnsi="Simplified Arabic" w:cs="Simplified Arabic"/>
          <w:sz w:val="28"/>
          <w:szCs w:val="28"/>
          <w:rtl/>
        </w:rPr>
        <w:lastRenderedPageBreak/>
        <w:t>بينما استخدمت أخرى مصطلح "الهندرة الإدارية" أو "إعادة هندسة العمليات التجارية" أو</w:t>
      </w:r>
      <w:r w:rsidRPr="00C01976">
        <w:rPr>
          <w:rFonts w:ascii="Simplified Arabic" w:hAnsi="Simplified Arabic" w:cs="Simplified Arabic"/>
          <w:sz w:val="28"/>
          <w:szCs w:val="28"/>
        </w:rPr>
        <w:t xml:space="preserve"> "Business Process Reengineering". </w:t>
      </w:r>
      <w:r w:rsidRPr="00C01976">
        <w:rPr>
          <w:rFonts w:ascii="Simplified Arabic" w:hAnsi="Simplified Arabic" w:cs="Simplified Arabic"/>
          <w:sz w:val="28"/>
          <w:szCs w:val="28"/>
          <w:rtl/>
        </w:rPr>
        <w:t>هذا التباين المصطلحي، رغم أنه قد يبدو بسيطاً، إلا أنه قد يخلق بعض الارتباك ويصعب عملية المقارنة بين الدراسات والبحث في قواعد البيانات الأكاديمية. كما أن هناك تفاوتاً أيضاً في التعريفات والمفاهيم المستخدمة لإعادة الهندسة عبر الدراسات، مع اتفاق عام على أنها تشمل إعادة تصميم جذري وثوري للعمليات وليس مجرد تحسين تدريجي. هذا التباين يشير إلى الحاجة لمزيد من التوحيد في المصطلحات والتعريفات لتسهيل التواصل العلمي وتجميع المعرفة بشكل متماسك</w:t>
      </w:r>
      <w:r w:rsidRPr="00C01976">
        <w:rPr>
          <w:rFonts w:ascii="Simplified Arabic" w:hAnsi="Simplified Arabic" w:cs="Simplified Arabic"/>
          <w:sz w:val="28"/>
          <w:szCs w:val="28"/>
        </w:rPr>
        <w:t>.</w:t>
      </w:r>
    </w:p>
    <w:p w14:paraId="18254E23"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تبرز الملاحظة الثالثة عشرة الاهتمام المحدود نسبياً بالبعد الثقافي والاجتماعي في تطبيق إعادة هندسة العمليات الإدارية، حيث ركزت معظم الدراسات على الجوانب التقنية والتنظيمية والاستراتيجية دون إيلاء اهتمام كاف للعوامل الثقافية والاجتماعية التي قد تؤثر في قبول التغيير ونجاح تطبيق إعادة الهندسة. فقط عدد محدود من الدراسات أشار إلى أهمية عوامل مثل "الاستعداد للتغيير" و"ثقافة التطوير والتجديد" و"مقاومة التغيير" كعوامل مؤثرة في نجاح إعادة الهندسة. هذا النقص في الاهتمام بالبعد الثقافي يمثل إغفالاً لجانب مهم، خاصة أن الأدبيات العالمية في مجال إدارة التغيير تؤكد على أن الجانب البشري والثقافي غالباً ما يكون السبب الرئيس لفشل مشاريع التحول المؤسسي. كما أن البعد الثقافي قد يكتسب أهمية أكبر في السياق العربي والشرق أوسطي حيث قد تختلف القيم والمعتقدات التنظيمية عن تلك السائدة في البيئات الغربية التي نشأت فيها معظم نظريات إعادة الهندسة</w:t>
      </w:r>
      <w:r w:rsidRPr="00C01976">
        <w:rPr>
          <w:rFonts w:ascii="Simplified Arabic" w:hAnsi="Simplified Arabic" w:cs="Simplified Arabic"/>
          <w:sz w:val="28"/>
          <w:szCs w:val="28"/>
        </w:rPr>
        <w:t>.</w:t>
      </w:r>
    </w:p>
    <w:p w14:paraId="6A335E8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تتعلق الملاحظة الرابعة عشرة بالتركيز الواضح على النتائج الإيجابية لتطبيق إعادة الهندسة دون تقديم تحليل نقدي كاف لحالات الفشل أو النجاح الجزئي، حيث أظهرت معظم الدراسات نتائج إيجابية وعلاقات دالة إحصائياً بين إعادة الهندسة والمتغيرات التابعة المختلفة. هذا التحيز الإيجابي قد يعزى جزئياً إلى ما يعرف بـ</w:t>
      </w:r>
      <w:r w:rsidRPr="00C01976">
        <w:rPr>
          <w:rFonts w:ascii="Simplified Arabic" w:hAnsi="Simplified Arabic" w:cs="Simplified Arabic"/>
          <w:sz w:val="28"/>
          <w:szCs w:val="28"/>
        </w:rPr>
        <w:t xml:space="preserve"> "publication bias" </w:t>
      </w:r>
      <w:r w:rsidRPr="00C01976">
        <w:rPr>
          <w:rFonts w:ascii="Simplified Arabic" w:hAnsi="Simplified Arabic" w:cs="Simplified Arabic"/>
          <w:sz w:val="28"/>
          <w:szCs w:val="28"/>
          <w:rtl/>
        </w:rPr>
        <w:t xml:space="preserve">حيث تميل الدراسات التي تظهر نتائج إيجابية للنشر أكثر من تلك التي تظهر نتائج سلبية أو غير دالة إحصائياً. ومع ذلك، فإن الأدبيات العالمية تشير إلى أن نسبة كبيرة من مشاريع إعادة الهندسة تفشل في تحقيق أهدافها المرجوة، مما يطرح تساؤلات حول الصورة المثالية التي ترسمها الدراسات الحالية. هناك حاجة ماسة لمزيد من الدراسات </w:t>
      </w:r>
      <w:r w:rsidRPr="00C01976">
        <w:rPr>
          <w:rFonts w:ascii="Simplified Arabic" w:hAnsi="Simplified Arabic" w:cs="Simplified Arabic"/>
          <w:sz w:val="28"/>
          <w:szCs w:val="28"/>
          <w:rtl/>
        </w:rPr>
        <w:lastRenderedPageBreak/>
        <w:t>التي تتناول حالات الفشل وتحلل أسبابها بعمق، وتقدم دروساً مستفادة للمؤسسات التي تخطط لتطبيق إعادة الهندسة</w:t>
      </w:r>
      <w:r w:rsidRPr="00C01976">
        <w:rPr>
          <w:rFonts w:ascii="Simplified Arabic" w:hAnsi="Simplified Arabic" w:cs="Simplified Arabic"/>
          <w:sz w:val="28"/>
          <w:szCs w:val="28"/>
        </w:rPr>
        <w:t>.</w:t>
      </w:r>
    </w:p>
    <w:p w14:paraId="4FBDEAEF"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تشير الملاحظة الخامسة عشرة إلى التطور الزمني الملحوظ في اهتمامات الباحثين فيما يتعلق بإعادة هندسة العمليات الإدارية، حيث يمكن ملاحظة انتقال تدريجي من التركيز على المفاهيم الأساسية والمتطلبات في الدراسات المبكرة (2020) إلى الاهتمام بالتطبيقات المتقدمة ودمج التقنيات الحديثة في الدراسات الأحدث (2023-2024). فبينما ركزت دراسات عام 2020 على تحديد مفهوم إعادة الهندسة وأبعادها ومتطلبات تطبيقها وقياس أثرها على متغيرات أساسية مثل الأداء وجودة الخدمات، بدأت الدراسات الأحدث في استكشاف علاقة إعادة الهندسة بمفاهيم أكثر تطوراً مثل الابتكار الأخضر والتسويق الأخضر والذكاء الاصطناعي والتعلم الآلي. هذا التطور يعكس نضج المجال البحثي وانتقاله من مرحلة التأسيس والتعريف إلى مرحلة التطبيق المتقدم والتكامل مع المفاهيم والتقنيات الحديثة. كما يشير هذا التطور إلى أن مجال إعادة هندسة العمليات الإدارية هو مجال حي ومتجدد يتفاعل باستمرار مع التطورات في بيئة الأعمال والتكنولوجيا</w:t>
      </w:r>
      <w:r w:rsidRPr="00C01976">
        <w:rPr>
          <w:rFonts w:ascii="Simplified Arabic" w:hAnsi="Simplified Arabic" w:cs="Simplified Arabic"/>
          <w:sz w:val="28"/>
          <w:szCs w:val="28"/>
        </w:rPr>
        <w:t>.</w:t>
      </w:r>
    </w:p>
    <w:p w14:paraId="43EAABC4" w14:textId="77777777" w:rsid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تكشف الملاحظة السادسة عشرة عن الاهتمام المتزايد بتطبيق إعادة هندسة العمليات الإدارية في القطاع العام مقارنة بالقطاع الخاص، حيث أن نسبة كبيرة من الدراسات المستعرضة ركزت على مؤسسات القطاع العام والحكومي والخدمي. هذا التوجه قد يعكس الحاجة الملحة لإصلاح وتطوير القطاع العام في العديد من الدول، خاصة في المنطقة العربية والدول النامية، حيث تعاني مؤسسات القطاع العام من البيروقراطية وبطء الإجراءات وضعف الكفاءة. كما قد يعكس هذا التركيز أيضاً الضغوط المتزايدة على الحكومات لتحسين جودة الخدمات المقدمة للمواطنين وزيادة الشفافية والكفاءة في الإنفاق العام. ومع ذلك، فإن هذا التركيز على القطاع العام يطرح تساؤلات حول مدى قابلية تطبيق نتائج هذه الدراسات على القطاع الخاص، الذي قد يواجه تحديات مختلفة ويعمل في بيئة تنافسية مختلفة</w:t>
      </w:r>
      <w:r w:rsidRPr="00C01976">
        <w:rPr>
          <w:rFonts w:ascii="Simplified Arabic" w:hAnsi="Simplified Arabic" w:cs="Simplified Arabic"/>
          <w:sz w:val="28"/>
          <w:szCs w:val="28"/>
        </w:rPr>
        <w:t>.</w:t>
      </w:r>
    </w:p>
    <w:p w14:paraId="1775B900" w14:textId="77777777" w:rsidR="003D7C7E" w:rsidRPr="00C01976" w:rsidRDefault="003D7C7E" w:rsidP="003D7C7E">
      <w:pPr>
        <w:bidi/>
        <w:ind w:firstLine="720"/>
        <w:jc w:val="both"/>
        <w:rPr>
          <w:rFonts w:ascii="Simplified Arabic" w:hAnsi="Simplified Arabic" w:cs="Simplified Arabic"/>
          <w:sz w:val="28"/>
          <w:szCs w:val="28"/>
        </w:rPr>
      </w:pPr>
    </w:p>
    <w:p w14:paraId="1CCC48FC"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lastRenderedPageBreak/>
        <w:t>تتناول الملاحظة السابعة عشرة غياب البعد الزمني الطولي في معظم الدراسات المستعرضة، حيث اعتمدت الغالبية العظمى على التصميم المقطعي</w:t>
      </w:r>
      <w:r w:rsidRPr="00C01976">
        <w:rPr>
          <w:rFonts w:ascii="Simplified Arabic" w:hAnsi="Simplified Arabic" w:cs="Simplified Arabic"/>
          <w:sz w:val="28"/>
          <w:szCs w:val="28"/>
        </w:rPr>
        <w:t xml:space="preserve"> (cross-sectional design) </w:t>
      </w:r>
      <w:r w:rsidRPr="00C01976">
        <w:rPr>
          <w:rFonts w:ascii="Simplified Arabic" w:hAnsi="Simplified Arabic" w:cs="Simplified Arabic"/>
          <w:sz w:val="28"/>
          <w:szCs w:val="28"/>
          <w:rtl/>
        </w:rPr>
        <w:t>الذي يجمع البيانات في نقطة زمنية واحدة، دون متابعة طولية لتطور تطبيق إعادة الهندسة وآثارها على المدى الطويل. هذا القصور المنهجي يحد من قدرة الباحثين على فهم الديناميكيات الزمنية لعمليات إعادة الهندسة، وتتبع مراحل التطبيق المختلفة، وقياس الآثار طويلة المدى للتحول المؤسسي. فإعادة الهندسة ليست حدثاً لحظياً بل هي عملية ممتدة زمنياً قد تستغرق سنوات، وآثارها قد لا تظهر بوضوح إلا بعد فترة من التطبيق. لذا، هناك حاجة ماسة لمزيد من الدراسات الطولية التي تتابع المؤسسات عبر فترات زمنية ممتدة لفهم أفضل لمسار ونتائج عمليات إعادة الهندسة</w:t>
      </w:r>
      <w:r w:rsidRPr="00C01976">
        <w:rPr>
          <w:rFonts w:ascii="Simplified Arabic" w:hAnsi="Simplified Arabic" w:cs="Simplified Arabic"/>
          <w:sz w:val="28"/>
          <w:szCs w:val="28"/>
        </w:rPr>
        <w:t>.</w:t>
      </w:r>
    </w:p>
    <w:p w14:paraId="6418A9A9"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تبرز الملاحظة الثامنة عشرة التفاوت في مستوى التفصيل والعمق بين الدراسات العربية والأجنبية المستعرضة، حيث لوحظ أن بعض الدراسات الأجنبية قدمت تحليلات أكثر عمقاً وتطوراً من حيث المنهجية والأدوات المستخدمة والنتائج المستخلصة. على سبيل المثال، دراسة</w:t>
      </w:r>
      <w:r w:rsidRPr="00C01976">
        <w:rPr>
          <w:rFonts w:ascii="Simplified Arabic" w:hAnsi="Simplified Arabic" w:cs="Simplified Arabic"/>
          <w:sz w:val="28"/>
          <w:szCs w:val="28"/>
        </w:rPr>
        <w:t xml:space="preserve"> Ahmed Bayomy </w:t>
      </w:r>
      <w:r w:rsidRPr="00C01976">
        <w:rPr>
          <w:rFonts w:ascii="Simplified Arabic" w:hAnsi="Simplified Arabic" w:cs="Simplified Arabic"/>
          <w:sz w:val="28"/>
          <w:szCs w:val="28"/>
          <w:rtl/>
        </w:rPr>
        <w:t>وآخرين (2021) طورت نموذجاً تكيفياً يدمج عوامل النجاح الحرجة مع تقييم الأداء، ودراسة</w:t>
      </w:r>
      <w:r w:rsidRPr="00C01976">
        <w:rPr>
          <w:rFonts w:ascii="Simplified Arabic" w:hAnsi="Simplified Arabic" w:cs="Simplified Arabic"/>
          <w:sz w:val="28"/>
          <w:szCs w:val="28"/>
        </w:rPr>
        <w:t xml:space="preserve"> Nwankwo </w:t>
      </w:r>
      <w:r w:rsidRPr="00C01976">
        <w:rPr>
          <w:rFonts w:ascii="Simplified Arabic" w:hAnsi="Simplified Arabic" w:cs="Simplified Arabic"/>
          <w:sz w:val="28"/>
          <w:szCs w:val="28"/>
          <w:rtl/>
        </w:rPr>
        <w:t>وآخرين (2020) استخدمت خوارزمية</w:t>
      </w:r>
      <w:r w:rsidRPr="00C01976">
        <w:rPr>
          <w:rFonts w:ascii="Simplified Arabic" w:hAnsi="Simplified Arabic" w:cs="Simplified Arabic"/>
          <w:sz w:val="28"/>
          <w:szCs w:val="28"/>
        </w:rPr>
        <w:t xml:space="preserve"> (K-means) </w:t>
      </w:r>
      <w:r w:rsidRPr="00C01976">
        <w:rPr>
          <w:rFonts w:ascii="Simplified Arabic" w:hAnsi="Simplified Arabic" w:cs="Simplified Arabic"/>
          <w:sz w:val="28"/>
          <w:szCs w:val="28"/>
          <w:rtl/>
        </w:rPr>
        <w:t>في التحليل، ودراسة</w:t>
      </w:r>
      <w:r w:rsidRPr="00C01976">
        <w:rPr>
          <w:rFonts w:ascii="Simplified Arabic" w:hAnsi="Simplified Arabic" w:cs="Simplified Arabic"/>
          <w:sz w:val="28"/>
          <w:szCs w:val="28"/>
        </w:rPr>
        <w:t xml:space="preserve"> Al-Anqoudi </w:t>
      </w:r>
      <w:r w:rsidRPr="00C01976">
        <w:rPr>
          <w:rFonts w:ascii="Simplified Arabic" w:hAnsi="Simplified Arabic" w:cs="Simplified Arabic"/>
          <w:sz w:val="28"/>
          <w:szCs w:val="28"/>
          <w:rtl/>
        </w:rPr>
        <w:t>وآخرين (2021) راجعت أكثر من 200 دراسة. هذا التفاوت قد يعكس اختلافات في الموارد البحثية المتاحة، ومستوى التطور البحثي، والخبرة المنهجية. ومع ذلك، يجب الإشارة إلى أن العديد من الدراسات العربية قدمت أيضاً إسهامات قيمة وتناولت سياقات محلية مهمة قد لا تغطيها الدراسات الأجنبية، مما يثري الأدبيات بفهم أعمق للخصوصيات السياقية في المنطقة العربية</w:t>
      </w:r>
      <w:r w:rsidRPr="00C01976">
        <w:rPr>
          <w:rFonts w:ascii="Simplified Arabic" w:hAnsi="Simplified Arabic" w:cs="Simplified Arabic"/>
          <w:sz w:val="28"/>
          <w:szCs w:val="28"/>
        </w:rPr>
        <w:t>.</w:t>
      </w:r>
    </w:p>
    <w:p w14:paraId="2131A87D"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أخيراً، تتمحور الملاحظة الأبرز والأكثر أهمية في سياق الدراسة الحالية حول الغياب شبه الكامل للدراسات التي تناولت بشكل مباشر وصريح تطبيق إعادة هندسة العمليات الإدارية في ظل الأزمات والظروف الاستثنائية، أو التي قارنت بين الأساليب التقليدية وأساليب المرونة التنظيمية في إدارة عمليات إعادة الهندسة. فعلى الرغم من أن بعض الدراسات أشارت بشكل عابر إلى أهمية المرونة والقدرة على التكيف كعوامل مؤثرة في نجاح إعادة الهندسة، إلا أن أياً من الدراسات المستعرضة لم يتخذ من هذا الموضوع محوراً رئيساً للبحث. هذا الغياب يمثل الفجوة البحثية الأساسية التي تسعى </w:t>
      </w:r>
      <w:r w:rsidRPr="00C01976">
        <w:rPr>
          <w:rFonts w:ascii="Simplified Arabic" w:hAnsi="Simplified Arabic" w:cs="Simplified Arabic"/>
          <w:sz w:val="28"/>
          <w:szCs w:val="28"/>
          <w:rtl/>
        </w:rPr>
        <w:lastRenderedPageBreak/>
        <w:t>الدراسة الحالية لسدها، خاصة في ضوء الأهمية المتزايدة لهذا الموضوع في عالم ما بعد كوفيد-19 الذي شهد أزمات متعددة أجبرت المؤسسات على إعادة النظر في عملياتها الإدارية بصورة جذرية وسريعة. فالأزمات تفرض ضغوطاً استثنائية على المؤسسات وتتطلب استجابة سريعة ومرنة، وهو ما قد يتعارض مع الطبيعة التخطيطية طويلة المدى التي تتسم بها الأساليب التقليدية لإعادة الهندسة. من هنا تنبع أهمية دراسة كيفية تكييف مبادئ إعادة الهندسة مع متطلبات الأزمات، والمقارنة بين الأساليب التقليدية التي تركز على التخطيط الشامل والتغيير الجذري المدروس، وأساليب المرونة التنظيمية التي تركز على القدرة على التكيف السريع والاستجابة للمتغيرات البيئية المفاجئة. هذه المقارنة ستسهم في إثراء الأدبيات البحثية بفهم أعمق لكيفية إدارة التحول المؤسسي في الظروف الاستثنائية، وستقدم إرشادات عملية للمؤسسات التي تواجه أزماتاً وتسعى لإعادة هندسة عملياتها الإدارية بما يضمن استمراريتها وقدرتها على البقاء والنمو في بيئة متغيرة وغير مستقرة</w:t>
      </w:r>
      <w:r w:rsidRPr="00C01976">
        <w:rPr>
          <w:rFonts w:ascii="Simplified Arabic" w:hAnsi="Simplified Arabic" w:cs="Simplified Arabic"/>
          <w:sz w:val="28"/>
          <w:szCs w:val="28"/>
        </w:rPr>
        <w:t>.</w:t>
      </w:r>
    </w:p>
    <w:p w14:paraId="5722E777" w14:textId="48964C9A" w:rsidR="008C4529" w:rsidRDefault="002A1FA4" w:rsidP="002A1FA4">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جزء منقول من الفصل الأول :</w:t>
      </w:r>
    </w:p>
    <w:p w14:paraId="38A67346" w14:textId="77777777" w:rsidR="002A1FA4" w:rsidRDefault="002A1FA4" w:rsidP="002A1FA4">
      <w:pPr>
        <w:pStyle w:val="ListParagraph"/>
        <w:bidi/>
        <w:ind w:left="1080"/>
        <w:jc w:val="both"/>
        <w:rPr>
          <w:rFonts w:ascii="Simplified Arabic" w:hAnsi="Simplified Arabic" w:cs="Simplified Arabic"/>
          <w:sz w:val="28"/>
          <w:szCs w:val="28"/>
        </w:rPr>
      </w:pPr>
    </w:p>
    <w:p w14:paraId="64A12144" w14:textId="77777777" w:rsidR="002A1FA4" w:rsidRDefault="002A1FA4" w:rsidP="002A1FA4">
      <w:pPr>
        <w:pStyle w:val="ListParagraph"/>
        <w:numPr>
          <w:ilvl w:val="0"/>
          <w:numId w:val="26"/>
        </w:numPr>
        <w:bidi/>
        <w:spacing w:after="0" w:line="240" w:lineRule="auto"/>
        <w:jc w:val="both"/>
        <w:rPr>
          <w:rFonts w:ascii="Simplified Arabic" w:hAnsi="Simplified Arabic" w:cs="Simplified Arabic"/>
          <w:b/>
          <w:bCs/>
          <w:color w:val="98A7BD" w:themeColor="text2" w:themeTint="80"/>
          <w:sz w:val="28"/>
          <w:szCs w:val="28"/>
        </w:rPr>
      </w:pPr>
      <w:r>
        <w:rPr>
          <w:rFonts w:ascii="Simplified Arabic" w:hAnsi="Simplified Arabic" w:cs="Simplified Arabic"/>
          <w:b/>
          <w:bCs/>
          <w:color w:val="98A7BD" w:themeColor="text2" w:themeTint="80"/>
          <w:sz w:val="28"/>
          <w:szCs w:val="28"/>
          <w:rtl/>
        </w:rPr>
        <w:t>الدراسات السابقة</w:t>
      </w:r>
    </w:p>
    <w:p w14:paraId="14860991" w14:textId="77777777" w:rsidR="002A1FA4" w:rsidRDefault="002A1FA4" w:rsidP="002A1FA4">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r>
        <w:rPr>
          <w:rFonts w:ascii="Simplified Arabic" w:hAnsi="Simplified Arabic" w:cs="Simplified Arabic"/>
          <w:b/>
          <w:bCs/>
          <w:sz w:val="28"/>
          <w:szCs w:val="28"/>
          <w:rtl/>
        </w:rPr>
        <w:t>دراسات إعادة هندسة العمليات الإدارية</w:t>
      </w:r>
      <w:r>
        <w:rPr>
          <w:rFonts w:ascii="Simplified Arabic" w:hAnsi="Simplified Arabic" w:cs="Simplified Arabic"/>
          <w:b/>
          <w:bCs/>
          <w:sz w:val="28"/>
          <w:szCs w:val="28"/>
        </w:rPr>
        <w:t>:</w:t>
      </w:r>
    </w:p>
    <w:p w14:paraId="7529CDAC" w14:textId="77777777" w:rsidR="002A1FA4" w:rsidRPr="00820C4E" w:rsidRDefault="002A1FA4" w:rsidP="002A1FA4">
      <w:pPr>
        <w:bidi/>
        <w:ind w:firstLine="720"/>
        <w:jc w:val="both"/>
        <w:rPr>
          <w:rFonts w:ascii="Simplified Arabic" w:hAnsi="Simplified Arabic" w:cs="Simplified Arabic"/>
          <w:sz w:val="28"/>
          <w:szCs w:val="28"/>
        </w:rPr>
      </w:pPr>
      <w:r w:rsidRPr="00820C4E">
        <w:rPr>
          <w:rFonts w:ascii="Simplified Arabic" w:hAnsi="Simplified Arabic" w:cs="Simplified Arabic"/>
          <w:sz w:val="28"/>
          <w:szCs w:val="28"/>
          <w:rtl/>
        </w:rPr>
        <w:t>ومن خلال استعراض الأدبيات النظرية والدراسات السابقة، يتضح أن إعادة هندسة العمليات الإدارية تمثل نقطة تحول مهمة في الفكر الإداري المعاصر، حيث تقدم إطاراً شاملاً لإحداث التغيير الجذري في المؤسسات. وقد أشارت دراسة بن يوسف وعياش إلى أن تطبيق إعادة هندسة العمليات في المؤسسات الجامعية يسهم في تعزيز جودة التعليم العالي وتحسين مستوى الخدمات الأكاديمية والإدارية، حيث أظهرت النتائج وجود أثر إيجابي ودال إحصائياً لإعادة هندسة العمليات على جودة التعليم العالي (بن يوسف وعياش، 2021). كما أكدت دراسة الحطامي والأشول على وجود أثر إيجابي لإعادة هندسة العمليات الإدارية في تحسين الأداء المؤسسي بشكل عام، حيث توصلت الدراسة إلى أن تطبيق أبعاد إعادة هندسة العمليات يساهم في تحسين مستويات الأداء المؤسسي بأبعاده المختلفة (الحطامي والأشول، 2024)</w:t>
      </w:r>
      <w:r w:rsidRPr="00820C4E">
        <w:rPr>
          <w:rFonts w:ascii="Simplified Arabic" w:hAnsi="Simplified Arabic" w:cs="Simplified Arabic"/>
          <w:sz w:val="28"/>
          <w:szCs w:val="28"/>
        </w:rPr>
        <w:t>.</w:t>
      </w:r>
    </w:p>
    <w:p w14:paraId="5FC4430F" w14:textId="77777777" w:rsidR="002A1FA4" w:rsidRPr="00660F76" w:rsidRDefault="002A1FA4" w:rsidP="002A1FA4">
      <w:pPr>
        <w:bidi/>
        <w:jc w:val="both"/>
        <w:rPr>
          <w:rFonts w:ascii="Simplified Arabic" w:hAnsi="Simplified Arabic" w:cs="Simplified Arabic"/>
          <w:b/>
          <w:bCs/>
          <w:sz w:val="28"/>
          <w:szCs w:val="28"/>
        </w:rPr>
      </w:pPr>
    </w:p>
    <w:p w14:paraId="074D6ECB" w14:textId="77777777" w:rsidR="002A1FA4" w:rsidRDefault="002A1FA4" w:rsidP="002A1FA4">
      <w:pPr>
        <w:bidi/>
        <w:jc w:val="both"/>
        <w:rPr>
          <w:rFonts w:ascii="Simplified Arabic" w:hAnsi="Simplified Arabic" w:cs="Simplified Arabic"/>
          <w:sz w:val="28"/>
          <w:szCs w:val="28"/>
        </w:rPr>
      </w:pPr>
      <w:r>
        <w:rPr>
          <w:rFonts w:ascii="Simplified Arabic" w:hAnsi="Simplified Arabic" w:cs="Simplified Arabic" w:hint="cs"/>
          <w:sz w:val="28"/>
          <w:szCs w:val="28"/>
          <w:rtl/>
        </w:rPr>
        <w:t>وت</w:t>
      </w:r>
      <w:r>
        <w:rPr>
          <w:rFonts w:ascii="Simplified Arabic" w:hAnsi="Simplified Arabic" w:cs="Simplified Arabic"/>
          <w:sz w:val="28"/>
          <w:szCs w:val="28"/>
          <w:rtl/>
        </w:rPr>
        <w:t>شير</w:t>
      </w:r>
      <w:r>
        <w:rPr>
          <w:rFonts w:ascii="Simplified Arabic" w:hAnsi="Simplified Arabic" w:cs="Simplified Arabic" w:hint="cs"/>
          <w:sz w:val="28"/>
          <w:szCs w:val="28"/>
          <w:rtl/>
        </w:rPr>
        <w:t xml:space="preserve"> ايضاً</w:t>
      </w:r>
      <w:r>
        <w:rPr>
          <w:rFonts w:ascii="Simplified Arabic" w:hAnsi="Simplified Arabic" w:cs="Simplified Arabic"/>
          <w:sz w:val="28"/>
          <w:szCs w:val="28"/>
          <w:rtl/>
        </w:rPr>
        <w:t xml:space="preserve"> الأدبيات المعاصرة إلى تزايد الاهتمام بتطبيق مفاهيم إعادة هندسة العمليات في المؤسسات المختلفة. في هذا السياق، أجرى</w:t>
      </w:r>
      <w:r>
        <w:rPr>
          <w:rFonts w:ascii="Simplified Arabic" w:hAnsi="Simplified Arabic" w:cs="Simplified Arabic"/>
          <w:sz w:val="28"/>
          <w:szCs w:val="28"/>
        </w:rPr>
        <w:t xml:space="preserve"> Mohapatra (2023) </w:t>
      </w:r>
      <w:r>
        <w:rPr>
          <w:rFonts w:ascii="Simplified Arabic" w:hAnsi="Simplified Arabic" w:cs="Simplified Arabic"/>
          <w:sz w:val="28"/>
          <w:szCs w:val="28"/>
          <w:rtl/>
        </w:rPr>
        <w:t>دراسة شاملة حول تطبيق إعادة هندسة العمليات في المؤسسات التقنية، حيث شملت 150 شركة في قطاع التكنولوجيا عبر 15 دولة باستخدام المنهج المختلط، وتوصلت إلى أن 70% من المؤسسات التي طبقت إعادة الهندسة بشكل شامل حققت تحسناً ملموساً في الأداء، مع تأكيدها على الدور الحاسم للعوامل الثقافية والقيادية في نجاح هذه المبادرات. وفي نفس السياق، قام</w:t>
      </w:r>
      <w:r>
        <w:rPr>
          <w:rFonts w:ascii="Simplified Arabic" w:hAnsi="Simplified Arabic" w:cs="Simplified Arabic"/>
          <w:sz w:val="28"/>
          <w:szCs w:val="28"/>
        </w:rPr>
        <w:t xml:space="preserve"> Weerakkody et al. (2022) </w:t>
      </w:r>
      <w:r>
        <w:rPr>
          <w:rFonts w:ascii="Simplified Arabic" w:hAnsi="Simplified Arabic" w:cs="Simplified Arabic"/>
          <w:sz w:val="28"/>
          <w:szCs w:val="28"/>
          <w:rtl/>
        </w:rPr>
        <w:t>بتحليل تجارب 200 مؤسسة حكومية في منطقة الشرق الأوسط باستخدام المنهج الكمي والاستبيانات المنظمة، وأظهرت النتائج تفوق المؤسسات التي تبنت النهج التدريجي في إعادة الهندسة مقارنة بتلك التي اعتمدت التغيير الجذري المفاجئ، مع التأكيد على أهمية التدريب والتطوير في ضمان النجاح</w:t>
      </w:r>
      <w:r>
        <w:rPr>
          <w:rFonts w:ascii="Simplified Arabic" w:hAnsi="Simplified Arabic" w:cs="Simplified Arabic"/>
          <w:sz w:val="28"/>
          <w:szCs w:val="28"/>
        </w:rPr>
        <w:t>.</w:t>
      </w:r>
    </w:p>
    <w:p w14:paraId="40A01B24"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sz w:val="28"/>
          <w:szCs w:val="28"/>
          <w:rtl/>
        </w:rPr>
        <w:t>تكمل هذه النتائج دراسة</w:t>
      </w:r>
      <w:r>
        <w:rPr>
          <w:rFonts w:ascii="Simplified Arabic" w:hAnsi="Simplified Arabic" w:cs="Simplified Arabic"/>
          <w:sz w:val="28"/>
          <w:szCs w:val="28"/>
        </w:rPr>
        <w:t xml:space="preserve"> Silva et al. (2021) </w:t>
      </w:r>
      <w:r>
        <w:rPr>
          <w:rFonts w:ascii="Simplified Arabic" w:hAnsi="Simplified Arabic" w:cs="Simplified Arabic"/>
          <w:sz w:val="28"/>
          <w:szCs w:val="28"/>
          <w:rtl/>
        </w:rPr>
        <w:t>التي أجروا فيها مقارنة بين 300 مؤسسة صناعية في أمريكا اللاتينية وأوروبا لتحليل عوامل نجاح إعادة هندسة العمليات باستخدام منهج دراسة الحالات المتعددة. توصلت الدراسة إلى وجود اختلافات ثقافية مهمة تؤثر على فعالية التطبيق، مؤكدة على ضرورة تكييف استراتيجيات إعادة الهندسة مع السياق الثقافي المحلي، مما يتفق مع النتائج التي توصل إليها الباحثون السابقون حول أهمية العوامل الثقافية في نجاح مشاريع إعادة الهندسة</w:t>
      </w:r>
      <w:r>
        <w:rPr>
          <w:rFonts w:ascii="Simplified Arabic" w:hAnsi="Simplified Arabic" w:cs="Simplified Arabic"/>
          <w:sz w:val="28"/>
          <w:szCs w:val="28"/>
        </w:rPr>
        <w:t>.</w:t>
      </w:r>
    </w:p>
    <w:p w14:paraId="593E1329" w14:textId="77777777" w:rsidR="002A1FA4" w:rsidRDefault="002A1FA4" w:rsidP="002A1FA4">
      <w:pPr>
        <w:bidi/>
        <w:ind w:firstLine="720"/>
        <w:jc w:val="both"/>
        <w:rPr>
          <w:rFonts w:ascii="Simplified Arabic" w:hAnsi="Simplified Arabic" w:cs="Simplified Arabic"/>
          <w:sz w:val="28"/>
          <w:szCs w:val="28"/>
          <w:rtl/>
        </w:rPr>
      </w:pPr>
    </w:p>
    <w:p w14:paraId="3D71F8FE" w14:textId="77777777" w:rsidR="002A1FA4" w:rsidRDefault="002A1FA4" w:rsidP="002A1FA4">
      <w:pPr>
        <w:bidi/>
        <w:ind w:firstLine="720"/>
        <w:jc w:val="both"/>
        <w:rPr>
          <w:rFonts w:ascii="Simplified Arabic" w:hAnsi="Simplified Arabic" w:cs="Simplified Arabic"/>
          <w:sz w:val="28"/>
          <w:szCs w:val="28"/>
        </w:rPr>
      </w:pPr>
    </w:p>
    <w:p w14:paraId="5869EDBB" w14:textId="77777777" w:rsidR="002A1FA4" w:rsidRDefault="002A1FA4" w:rsidP="002A1FA4">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ثانياً: دراسات المرونة التنظيمية</w:t>
      </w:r>
      <w:r>
        <w:rPr>
          <w:rFonts w:ascii="Simplified Arabic" w:hAnsi="Simplified Arabic" w:cs="Simplified Arabic"/>
          <w:b/>
          <w:bCs/>
          <w:sz w:val="28"/>
          <w:szCs w:val="28"/>
        </w:rPr>
        <w:t>:</w:t>
      </w:r>
    </w:p>
    <w:p w14:paraId="72D20761" w14:textId="77777777" w:rsidR="002A1FA4" w:rsidRDefault="002A1FA4" w:rsidP="002A1FA4">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يحظى موضوع المرونة التنظيمية باهتمام متزايد في</w:t>
      </w:r>
      <w:r>
        <w:rPr>
          <w:rFonts w:ascii="Simplified Arabic" w:hAnsi="Simplified Arabic" w:cs="Simplified Arabic" w:hint="cs"/>
          <w:sz w:val="28"/>
          <w:szCs w:val="28"/>
          <w:rtl/>
        </w:rPr>
        <w:t xml:space="preserve"> جانب</w:t>
      </w:r>
      <w:r>
        <w:rPr>
          <w:rFonts w:ascii="Simplified Arabic" w:hAnsi="Simplified Arabic" w:cs="Simplified Arabic"/>
          <w:sz w:val="28"/>
          <w:szCs w:val="28"/>
          <w:rtl/>
        </w:rPr>
        <w:t xml:space="preserve"> الأدبيات الإدارية المعاصرة، حيث قام</w:t>
      </w:r>
      <w:r>
        <w:rPr>
          <w:rFonts w:ascii="Simplified Arabic" w:hAnsi="Simplified Arabic" w:cs="Simplified Arabic"/>
          <w:sz w:val="28"/>
          <w:szCs w:val="28"/>
        </w:rPr>
        <w:t xml:space="preserve"> Felipe et al. (2020)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بدراسة واسعة النطاق شملت 500 مؤسسة عالمية لتحليل أبعاد المرونة التنظيمية وأثرها على الأداء المؤسسي باستخدام المنهج الكمي ونمذجة المعادلات الهيكلية، وأظهرت أن المرونة الاستراتيجية والتشغيلية هما أهم أبعاد المرونة التنظيمية، وأن المؤسسات عالية المرونة </w:t>
      </w:r>
      <w:r>
        <w:rPr>
          <w:rFonts w:ascii="Simplified Arabic" w:hAnsi="Simplified Arabic" w:cs="Simplified Arabic"/>
          <w:sz w:val="28"/>
          <w:szCs w:val="28"/>
          <w:rtl/>
        </w:rPr>
        <w:lastRenderedPageBreak/>
        <w:t xml:space="preserve">تتفوق في الأداء بنسبة 40% مقارنة بالمؤسسات منخفضة المرونة. </w:t>
      </w:r>
      <w:r>
        <w:rPr>
          <w:rFonts w:ascii="Simplified Arabic" w:hAnsi="Simplified Arabic" w:cs="Simplified Arabic" w:hint="cs"/>
          <w:sz w:val="28"/>
          <w:szCs w:val="28"/>
          <w:rtl/>
        </w:rPr>
        <w:t xml:space="preserve">حيث </w:t>
      </w:r>
      <w:r>
        <w:rPr>
          <w:rFonts w:ascii="Simplified Arabic" w:hAnsi="Simplified Arabic" w:cs="Simplified Arabic"/>
          <w:sz w:val="28"/>
          <w:szCs w:val="28"/>
          <w:rtl/>
        </w:rPr>
        <w:t>حلل</w:t>
      </w:r>
      <w:r>
        <w:rPr>
          <w:rFonts w:ascii="Simplified Arabic" w:hAnsi="Simplified Arabic" w:cs="Simplified Arabic"/>
          <w:sz w:val="28"/>
          <w:szCs w:val="28"/>
        </w:rPr>
        <w:t xml:space="preserve"> Clauss et al. (2021) </w:t>
      </w:r>
      <w:r>
        <w:rPr>
          <w:rFonts w:ascii="Simplified Arabic" w:hAnsi="Simplified Arabic" w:cs="Simplified Arabic"/>
          <w:sz w:val="28"/>
          <w:szCs w:val="28"/>
          <w:rtl/>
        </w:rPr>
        <w:t>العلاقة بين المرونة التنظيمية والابتكار في 180 شركة تقنية أوروبية باستخدام المنهج الطولي لمدة ثلاث سنوات، وتوصلوا إلى أن المرونة التنظيمية تتوسط العلاقة بين الضغوط البيئية والأداء الابتكاري، كما أن المؤسسات عالية المرونة تتكيف مع التغيرات بسرعة أكبر بنسبة 60</w:t>
      </w:r>
      <w:r>
        <w:rPr>
          <w:rFonts w:ascii="Simplified Arabic" w:hAnsi="Simplified Arabic" w:cs="Simplified Arabic"/>
          <w:sz w:val="28"/>
          <w:szCs w:val="28"/>
        </w:rPr>
        <w:t>%.</w:t>
      </w:r>
    </w:p>
    <w:p w14:paraId="7E721C61" w14:textId="77777777" w:rsidR="002A1FA4" w:rsidRPr="00660F76" w:rsidRDefault="002A1FA4" w:rsidP="002A1FA4">
      <w:pPr>
        <w:bidi/>
        <w:ind w:firstLine="720"/>
        <w:jc w:val="both"/>
        <w:rPr>
          <w:rFonts w:ascii="Simplified Arabic" w:hAnsi="Simplified Arabic" w:cs="Simplified Arabic"/>
          <w:sz w:val="2"/>
          <w:szCs w:val="2"/>
          <w:rtl/>
        </w:rPr>
      </w:pPr>
    </w:p>
    <w:p w14:paraId="7AB7B716" w14:textId="77777777" w:rsidR="002A1FA4" w:rsidRPr="00660F76" w:rsidRDefault="002A1FA4" w:rsidP="002A1FA4">
      <w:pPr>
        <w:bidi/>
        <w:ind w:firstLine="720"/>
        <w:jc w:val="both"/>
        <w:rPr>
          <w:rFonts w:ascii="Simplified Arabic" w:hAnsi="Simplified Arabic" w:cs="Simplified Arabic"/>
          <w:sz w:val="12"/>
          <w:szCs w:val="12"/>
          <w:rtl/>
        </w:rPr>
      </w:pPr>
    </w:p>
    <w:p w14:paraId="74F7BEF3"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sz w:val="28"/>
          <w:szCs w:val="28"/>
          <w:rtl/>
        </w:rPr>
        <w:t>في ظل التحديات الاستثنائية التي فرضتها جائحة كوفيد-19، أجرى</w:t>
      </w:r>
      <w:r>
        <w:rPr>
          <w:rFonts w:ascii="Simplified Arabic" w:hAnsi="Simplified Arabic" w:cs="Simplified Arabic"/>
          <w:sz w:val="28"/>
          <w:szCs w:val="28"/>
        </w:rPr>
        <w:t xml:space="preserve"> Torres et al. (2021) </w:t>
      </w:r>
      <w:r>
        <w:rPr>
          <w:rFonts w:ascii="Simplified Arabic" w:hAnsi="Simplified Arabic" w:cs="Simplified Arabic"/>
          <w:sz w:val="28"/>
          <w:szCs w:val="28"/>
          <w:rtl/>
        </w:rPr>
        <w:t>دراسة حول أثر الجائحة على المرونة التنظيمية، شملت 250 مؤسسة في قطاعات مختلفة باستخدام المنهج المختلط مع التركيز على التحليل النوعي للمقابلات المعمقة. توصلت الدراسة إلى أن المؤسسات التي كانت تتمتع بمرونة تنظيمية عالية قبل الجائحة تمكنت من التعافي بشكل أسرع، مع كون الاستثمار في التقنيات الرقمية عاملاً حاسماً في تعزيز المرونة، مما يؤكد على أهمية الاستعداد المسبق وبناء القدرات التكيفية في المؤسسات</w:t>
      </w:r>
      <w:r>
        <w:rPr>
          <w:rFonts w:ascii="Simplified Arabic" w:hAnsi="Simplified Arabic" w:cs="Simplified Arabic"/>
          <w:sz w:val="28"/>
          <w:szCs w:val="28"/>
        </w:rPr>
        <w:t>.</w:t>
      </w:r>
    </w:p>
    <w:p w14:paraId="5F656923" w14:textId="77777777" w:rsidR="002A1FA4" w:rsidRPr="00241030" w:rsidRDefault="002A1FA4" w:rsidP="002A1FA4">
      <w:pPr>
        <w:bidi/>
        <w:ind w:firstLine="720"/>
        <w:jc w:val="both"/>
        <w:rPr>
          <w:rFonts w:ascii="Simplified Arabic" w:hAnsi="Simplified Arabic" w:cs="Simplified Arabic"/>
          <w:sz w:val="12"/>
          <w:szCs w:val="12"/>
        </w:rPr>
      </w:pPr>
    </w:p>
    <w:p w14:paraId="507F3D1B" w14:textId="77777777" w:rsidR="002A1FA4" w:rsidRDefault="002A1FA4" w:rsidP="002A1FA4">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ثالثاً: دراسات إدارة الأزمات</w:t>
      </w:r>
      <w:r>
        <w:rPr>
          <w:rFonts w:ascii="Simplified Arabic" w:hAnsi="Simplified Arabic" w:cs="Simplified Arabic"/>
          <w:b/>
          <w:bCs/>
          <w:sz w:val="28"/>
          <w:szCs w:val="28"/>
        </w:rPr>
        <w:t>:</w:t>
      </w:r>
    </w:p>
    <w:p w14:paraId="3C580309"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sz w:val="28"/>
          <w:szCs w:val="28"/>
          <w:rtl/>
        </w:rPr>
        <w:t>تتنوع المداخل النظرية والتطبيقية في مجال إدارة الأزمات، حيث أجرى</w:t>
      </w:r>
      <w:r>
        <w:rPr>
          <w:rFonts w:ascii="Simplified Arabic" w:hAnsi="Simplified Arabic" w:cs="Simplified Arabic"/>
          <w:sz w:val="28"/>
          <w:szCs w:val="28"/>
        </w:rPr>
        <w:t xml:space="preserve"> Kraus et al. (2022) </w:t>
      </w:r>
      <w:r>
        <w:rPr>
          <w:rFonts w:ascii="Simplified Arabic" w:hAnsi="Simplified Arabic" w:cs="Simplified Arabic"/>
          <w:sz w:val="28"/>
          <w:szCs w:val="28"/>
          <w:rtl/>
        </w:rPr>
        <w:t xml:space="preserve">مراجعة منهجية شاملة </w:t>
      </w:r>
      <w:r>
        <w:rPr>
          <w:rFonts w:ascii="Simplified Arabic" w:hAnsi="Simplified Arabic" w:cs="Simplified Arabic" w:hint="cs"/>
          <w:sz w:val="28"/>
          <w:szCs w:val="28"/>
          <w:rtl/>
        </w:rPr>
        <w:t>لـ 15</w:t>
      </w:r>
      <w:r>
        <w:rPr>
          <w:rFonts w:ascii="Simplified Arabic" w:hAnsi="Simplified Arabic" w:cs="Simplified Arabic"/>
          <w:sz w:val="28"/>
          <w:szCs w:val="28"/>
          <w:rtl/>
        </w:rPr>
        <w:t>0 دراسة منشورة خلال العقد الماضي في مجال إدارة الأزمات المؤسسية. أظهرت المراجعة وجود ثلاثة مداخل رئيسية: المدخل التقليدي القائم على التحكم والسيطرة، والمدخل التكيفي القائم على المرونة، والمدخل التحولي القائم على التعلم والابتكار، مع إشارتها إلى نقص في الدراسات التطبيقية المقارنة بين فعالية هذه المداخل. وفي السياق العربي، قام</w:t>
      </w:r>
      <w:r>
        <w:rPr>
          <w:rFonts w:ascii="Simplified Arabic" w:hAnsi="Simplified Arabic" w:cs="Simplified Arabic"/>
          <w:sz w:val="28"/>
          <w:szCs w:val="28"/>
        </w:rPr>
        <w:t xml:space="preserve"> Al-Shamsi et al. (2021) </w:t>
      </w:r>
      <w:r>
        <w:rPr>
          <w:rFonts w:ascii="Simplified Arabic" w:hAnsi="Simplified Arabic" w:cs="Simplified Arabic"/>
          <w:sz w:val="28"/>
          <w:szCs w:val="28"/>
          <w:rtl/>
        </w:rPr>
        <w:t>بدراسة تحليلية لاستراتيجيات إدارة الأزمات في 100 مؤسسة حكومية وخاصة في دولة الإمارات العربية المتحدة باستخدام المنهج الوصفي التحليلي، وأظهرت أن 65% من المؤسسات تعتمد على الأساليب التقليدية في إدارة الأزمات مقابل 35% فقط تطبق مفاهيم المرونة والتكيف، مع وجود تحديات ثقافية وتنظيمية تحد من تطبيق المداخل الحديثة</w:t>
      </w:r>
      <w:r>
        <w:rPr>
          <w:rFonts w:ascii="Simplified Arabic" w:hAnsi="Simplified Arabic" w:cs="Simplified Arabic"/>
          <w:sz w:val="28"/>
          <w:szCs w:val="28"/>
        </w:rPr>
        <w:t>.</w:t>
      </w:r>
    </w:p>
    <w:p w14:paraId="17793C06" w14:textId="77777777" w:rsidR="002A1FA4" w:rsidRDefault="002A1FA4" w:rsidP="002A1FA4">
      <w:pPr>
        <w:bidi/>
        <w:ind w:firstLine="720"/>
        <w:jc w:val="both"/>
        <w:rPr>
          <w:rFonts w:ascii="Simplified Arabic" w:hAnsi="Simplified Arabic" w:cs="Simplified Arabic"/>
          <w:sz w:val="28"/>
          <w:szCs w:val="28"/>
          <w:rtl/>
        </w:rPr>
      </w:pPr>
    </w:p>
    <w:p w14:paraId="21007E29" w14:textId="77777777" w:rsidR="002A1FA4" w:rsidRDefault="002A1FA4" w:rsidP="002A1FA4">
      <w:pPr>
        <w:bidi/>
        <w:ind w:firstLine="720"/>
        <w:jc w:val="both"/>
        <w:rPr>
          <w:rFonts w:ascii="Simplified Arabic" w:hAnsi="Simplified Arabic" w:cs="Simplified Arabic"/>
          <w:sz w:val="28"/>
          <w:szCs w:val="28"/>
          <w:rtl/>
        </w:rPr>
      </w:pPr>
    </w:p>
    <w:p w14:paraId="2AF4A56A" w14:textId="77777777" w:rsidR="002A1FA4" w:rsidRPr="00241030" w:rsidRDefault="002A1FA4" w:rsidP="002A1FA4">
      <w:pPr>
        <w:bidi/>
        <w:ind w:firstLine="720"/>
        <w:jc w:val="both"/>
        <w:rPr>
          <w:rFonts w:ascii="Simplified Arabic" w:hAnsi="Simplified Arabic" w:cs="Simplified Arabic"/>
          <w:sz w:val="10"/>
          <w:szCs w:val="10"/>
        </w:rPr>
      </w:pPr>
    </w:p>
    <w:p w14:paraId="067AA808" w14:textId="77777777" w:rsidR="002A1FA4" w:rsidRDefault="002A1FA4" w:rsidP="002A1FA4">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رابعاً: دراسات السياق السعودي</w:t>
      </w:r>
      <w:r>
        <w:rPr>
          <w:rFonts w:ascii="Simplified Arabic" w:hAnsi="Simplified Arabic" w:cs="Simplified Arabic"/>
          <w:b/>
          <w:bCs/>
          <w:sz w:val="28"/>
          <w:szCs w:val="28"/>
        </w:rPr>
        <w:t>:</w:t>
      </w:r>
    </w:p>
    <w:p w14:paraId="2A8CEA30" w14:textId="77777777" w:rsidR="002A1FA4" w:rsidRDefault="002A1FA4" w:rsidP="002A1FA4">
      <w:pPr>
        <w:bidi/>
        <w:jc w:val="both"/>
        <w:rPr>
          <w:rFonts w:ascii="Simplified Arabic" w:hAnsi="Simplified Arabic" w:cs="Simplified Arabic"/>
          <w:sz w:val="28"/>
          <w:szCs w:val="28"/>
          <w:rtl/>
        </w:rPr>
      </w:pPr>
      <w:r>
        <w:rPr>
          <w:rFonts w:ascii="Simplified Arabic" w:hAnsi="Simplified Arabic" w:cs="Simplified Arabic"/>
          <w:sz w:val="28"/>
          <w:szCs w:val="28"/>
          <w:rtl/>
        </w:rPr>
        <w:t>يشهد السياق السعودي تطورات مهمة في مجال التطوير التنظيمي، حيث أجرى</w:t>
      </w:r>
      <w:r>
        <w:rPr>
          <w:rFonts w:ascii="Simplified Arabic" w:hAnsi="Simplified Arabic" w:cs="Simplified Arabic"/>
          <w:sz w:val="28"/>
          <w:szCs w:val="28"/>
        </w:rPr>
        <w:t xml:space="preserve"> Aladwan et al. (2023)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دراسة حول تأثير رؤية المملكة 2030 على تطوير المرونة التنظيمية في القطاع الحكومي، شملت 80 جهة حكومية باستخدام المنهج المختلط، وتوصلت إلى أن مبادرات الرؤية ساهمت في تطوير المرونة التنظيمية بنسبة 45%، لكن مع استمرار التحديات في تطبيق المفاهيم الحديثة بسبب مقاومة التغيير والقيود البيروقراطية. كما قام</w:t>
      </w:r>
      <w:r>
        <w:rPr>
          <w:rFonts w:ascii="Simplified Arabic" w:hAnsi="Simplified Arabic" w:cs="Simplified Arabic"/>
          <w:sz w:val="28"/>
          <w:szCs w:val="28"/>
        </w:rPr>
        <w:t xml:space="preserve"> Al-Rashid (2022) </w:t>
      </w:r>
      <w:r>
        <w:rPr>
          <w:rFonts w:ascii="Simplified Arabic" w:hAnsi="Simplified Arabic" w:cs="Simplified Arabic"/>
          <w:sz w:val="28"/>
          <w:szCs w:val="28"/>
          <w:rtl/>
        </w:rPr>
        <w:t>بدراسة تطبيقية حول إعادة هندسة العمليات في البنوك السعودية خلال جائحة كوفيد-19، شملت 12 بنكاً باستخدام منهج دراسة الحالة المتعددة، وأظهرت تفوق البنوك التي تبنت التقنيات الرقمية ومفاهيم المرونة في الحفاظ على استمرارية خدماتها مقارنة بالبنوك التقليدية التي واجهت صعوبات في التكيف مع متطلبات التباعد الاجتماعي</w:t>
      </w:r>
      <w:r>
        <w:rPr>
          <w:rFonts w:ascii="Simplified Arabic" w:hAnsi="Simplified Arabic" w:cs="Simplified Arabic"/>
          <w:sz w:val="28"/>
          <w:szCs w:val="28"/>
        </w:rPr>
        <w:t>.</w:t>
      </w:r>
    </w:p>
    <w:p w14:paraId="7B00FE83" w14:textId="77777777" w:rsidR="002A1FA4" w:rsidRDefault="002A1FA4" w:rsidP="002A1FA4">
      <w:pPr>
        <w:bidi/>
        <w:jc w:val="both"/>
        <w:rPr>
          <w:rFonts w:ascii="Simplified Arabic" w:hAnsi="Simplified Arabic" w:cs="Simplified Arabic"/>
          <w:sz w:val="28"/>
          <w:szCs w:val="28"/>
        </w:rPr>
      </w:pPr>
    </w:p>
    <w:p w14:paraId="7030E7F0" w14:textId="77777777" w:rsidR="002A1FA4" w:rsidRDefault="002A1FA4" w:rsidP="002A1FA4">
      <w:pPr>
        <w:pStyle w:val="ListParagraph"/>
        <w:numPr>
          <w:ilvl w:val="0"/>
          <w:numId w:val="31"/>
        </w:numPr>
        <w:bidi/>
        <w:spacing w:after="0" w:line="240" w:lineRule="auto"/>
        <w:jc w:val="both"/>
        <w:rPr>
          <w:rFonts w:ascii="Simplified Arabic" w:hAnsi="Simplified Arabic" w:cs="Simplified Arabic"/>
          <w:b/>
          <w:bCs/>
          <w:color w:val="98A7BD" w:themeColor="text2" w:themeTint="80"/>
          <w:sz w:val="28"/>
          <w:szCs w:val="28"/>
        </w:rPr>
      </w:pPr>
      <w:r>
        <w:rPr>
          <w:rFonts w:ascii="Simplified Arabic" w:hAnsi="Simplified Arabic" w:cs="Simplified Arabic"/>
          <w:b/>
          <w:bCs/>
          <w:color w:val="98A7BD" w:themeColor="text2" w:themeTint="80"/>
          <w:sz w:val="28"/>
          <w:szCs w:val="28"/>
          <w:rtl/>
        </w:rPr>
        <w:t>التحليل النقدي للدراسات السابقة</w:t>
      </w:r>
    </w:p>
    <w:p w14:paraId="1F3EE83D"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استعراضها،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يمكن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ملاحظة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p>
    <w:p w14:paraId="4B601DFD"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هذه 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تنوعها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وثرائها،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بالإضافة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w:t>
      </w:r>
    </w:p>
    <w:p w14:paraId="416B44BB" w14:textId="77777777" w:rsidR="002A1FA4" w:rsidRDefault="002A1FA4" w:rsidP="002A1FA4">
      <w:pPr>
        <w:bidi/>
        <w:ind w:firstLine="720"/>
        <w:jc w:val="both"/>
        <w:rPr>
          <w:rFonts w:ascii="Simplified Arabic" w:hAnsi="Simplified Arabic" w:cs="Simplified Arabic"/>
          <w:sz w:val="28"/>
          <w:szCs w:val="28"/>
        </w:rPr>
      </w:pPr>
    </w:p>
    <w:p w14:paraId="4B38A142" w14:textId="77777777" w:rsidR="002A1FA4" w:rsidRDefault="002A1FA4" w:rsidP="002A1FA4">
      <w:pPr>
        <w:pStyle w:val="ListParagraph"/>
        <w:numPr>
          <w:ilvl w:val="0"/>
          <w:numId w:val="32"/>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التنوع</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والجغرافي: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تراوحت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الواسعة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النطاق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(2020)</w:t>
      </w:r>
    </w:p>
    <w:p w14:paraId="568F4D52" w14:textId="77777777" w:rsidR="002A1FA4" w:rsidRDefault="002A1FA4" w:rsidP="002A1FA4">
      <w:pPr>
        <w:pStyle w:val="ListParagraph"/>
        <w:bidi/>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شملت</w:t>
      </w:r>
      <w:r>
        <w:rPr>
          <w:rFonts w:ascii="Simplified Arabic" w:hAnsi="Simplified Arabic" w:cs="Simplified Arabic"/>
          <w:sz w:val="28"/>
          <w:szCs w:val="28"/>
          <w:rtl/>
        </w:rPr>
        <w:t xml:space="preserve"> 500 </w:t>
      </w:r>
      <w:r>
        <w:rPr>
          <w:rFonts w:ascii="Simplified Arabic" w:hAnsi="Simplified Arabic" w:cs="Simplified Arabic" w:hint="cs"/>
          <w:sz w:val="28"/>
          <w:szCs w:val="28"/>
          <w:rtl/>
        </w:rPr>
        <w:t>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للمقابلات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 وهذا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يدركون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متعددة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لالتقاط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جميع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أبعادها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وتعقيداتها،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توزيعاً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واسعاً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مناطق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أوروبا</w:t>
      </w:r>
      <w:r>
        <w:rPr>
          <w:rFonts w:ascii="Simplified Arabic" w:hAnsi="Simplified Arabic" w:cs="Simplified Arabic"/>
          <w:sz w:val="28"/>
          <w:szCs w:val="28"/>
          <w:rtl/>
        </w:rPr>
        <w:t xml:space="preserve"> (</w:t>
      </w:r>
      <w:r>
        <w:rPr>
          <w:rFonts w:ascii="Simplified Arabic" w:hAnsi="Simplified Arabic" w:cs="Simplified Arabic"/>
          <w:sz w:val="28"/>
          <w:szCs w:val="28"/>
        </w:rPr>
        <w:t>Clauss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أمريكا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اللاتينية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وصولاً الى 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الشرق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الأوسط </w:t>
      </w:r>
      <w:r>
        <w:rPr>
          <w:rFonts w:ascii="Simplified Arabic" w:hAnsi="Simplified Arabic" w:cs="Simplified Arabic"/>
          <w:sz w:val="28"/>
          <w:szCs w:val="28"/>
          <w:rtl/>
        </w:rPr>
        <w:t>(</w:t>
      </w:r>
      <w:r>
        <w:rPr>
          <w:rFonts w:ascii="Simplified Arabic" w:hAnsi="Simplified Arabic" w:cs="Simplified Arabic"/>
          <w:sz w:val="28"/>
          <w:szCs w:val="28"/>
        </w:rPr>
        <w:t>Al-Shamsi et al., 2021; Aladwan et al., 2023</w:t>
      </w:r>
      <w:r>
        <w:rPr>
          <w:rFonts w:ascii="Simplified Arabic" w:hAnsi="Simplified Arabic" w:cs="Simplified Arabic"/>
          <w:sz w:val="28"/>
          <w:szCs w:val="28"/>
          <w:rtl/>
        </w:rPr>
        <w:t xml:space="preserve">). </w:t>
      </w:r>
    </w:p>
    <w:p w14:paraId="529635A7"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الإشارة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خصوصيات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بيئات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w:t>
      </w:r>
    </w:p>
    <w:p w14:paraId="679532F7" w14:textId="77777777" w:rsidR="002A1FA4" w:rsidRPr="00241030" w:rsidRDefault="002A1FA4" w:rsidP="002A1FA4">
      <w:pPr>
        <w:pStyle w:val="ListParagraph"/>
        <w:bidi/>
        <w:jc w:val="both"/>
        <w:rPr>
          <w:rFonts w:ascii="Simplified Arabic" w:hAnsi="Simplified Arabic" w:cs="Simplified Arabic"/>
          <w:sz w:val="22"/>
          <w:szCs w:val="22"/>
        </w:rPr>
      </w:pPr>
    </w:p>
    <w:p w14:paraId="61D10BC4" w14:textId="77777777" w:rsidR="002A1FA4" w:rsidRDefault="002A1FA4" w:rsidP="002A1FA4">
      <w:pPr>
        <w:pStyle w:val="ListParagraph"/>
        <w:numPr>
          <w:ilvl w:val="0"/>
          <w:numId w:val="32"/>
        </w:numPr>
        <w:bidi/>
        <w:spacing w:after="0"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التطور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التاريخي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للمفاهيم:</w:t>
      </w:r>
      <w:r>
        <w:rPr>
          <w:rFonts w:ascii="Simplified Arabic" w:hAnsi="Simplified Arabic" w:cs="Simplified Arabic" w:hint="cs"/>
          <w:sz w:val="28"/>
          <w:szCs w:val="28"/>
          <w:rtl/>
        </w:rPr>
        <w:t xml:space="preserve"> 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والهيكلية</w:t>
      </w:r>
      <w:r>
        <w:rPr>
          <w:rFonts w:ascii="Simplified Arabic" w:hAnsi="Simplified Arabic" w:cs="Simplified Arabic"/>
          <w:sz w:val="28"/>
          <w:szCs w:val="28"/>
          <w:rtl/>
        </w:rPr>
        <w:t xml:space="preserve"> </w:t>
      </w:r>
    </w:p>
    <w:p w14:paraId="2BBD3678" w14:textId="77777777" w:rsidR="002A1FA4" w:rsidRDefault="002A1FA4" w:rsidP="002A1FA4">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الأحدث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والإنسانية</w:t>
      </w:r>
      <w:r>
        <w:rPr>
          <w:rFonts w:ascii="Simplified Arabic" w:hAnsi="Simplified Arabic" w:cs="Simplified Arabic"/>
          <w:sz w:val="28"/>
          <w:szCs w:val="28"/>
          <w:rtl/>
        </w:rPr>
        <w:t xml:space="preserve">. </w:t>
      </w:r>
    </w:p>
    <w:p w14:paraId="14DF7263"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النجاح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الإنسانية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والثقافية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المنفصلة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دمــــــــــج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وتكامل</w:t>
      </w:r>
      <w:r>
        <w:rPr>
          <w:rFonts w:ascii="Simplified Arabic" w:hAnsi="Simplified Arabic" w:cs="Simplified Arabic"/>
          <w:sz w:val="28"/>
          <w:szCs w:val="28"/>
          <w:rtl/>
        </w:rPr>
        <w:t xml:space="preserve"> </w:t>
      </w:r>
    </w:p>
    <w:p w14:paraId="5B33FCCE"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تحاول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تسعى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 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lastRenderedPageBreak/>
        <w:t>نحو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إدراكاً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ومترابطة،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w:t>
      </w:r>
    </w:p>
    <w:p w14:paraId="7476578E" w14:textId="77777777" w:rsidR="002A1FA4" w:rsidRPr="00241030" w:rsidRDefault="002A1FA4" w:rsidP="002A1FA4">
      <w:pPr>
        <w:pStyle w:val="ListParagraph"/>
        <w:bidi/>
        <w:jc w:val="both"/>
        <w:rPr>
          <w:rFonts w:ascii="Simplified Arabic" w:hAnsi="Simplified Arabic" w:cs="Simplified Arabic"/>
          <w:sz w:val="20"/>
          <w:szCs w:val="20"/>
        </w:rPr>
      </w:pPr>
    </w:p>
    <w:p w14:paraId="7B09D1ED" w14:textId="77777777" w:rsidR="002A1FA4" w:rsidRDefault="002A1FA4" w:rsidP="002A1FA4">
      <w:pPr>
        <w:pStyle w:val="ListParagraph"/>
        <w:numPr>
          <w:ilvl w:val="0"/>
          <w:numId w:val="32"/>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القوة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والضعف</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التصميم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البحثي: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التصميم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p>
    <w:p w14:paraId="42C76E4E" w14:textId="77777777" w:rsidR="002A1FA4" w:rsidRDefault="002A1FA4" w:rsidP="002A1FA4">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فدراسة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استخدمت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نمذجة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المعادلات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الهيكلية،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تسمح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77DF6DE4"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Clauss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ثلاث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سنوات،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يوفر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w:t>
      </w:r>
    </w:p>
    <w:p w14:paraId="5187AF93"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اقتصرت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البنوك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إمكانية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p>
    <w:p w14:paraId="5D677C08"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صغيرة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نسبياً،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الإحصائية</w:t>
      </w:r>
      <w:r>
        <w:rPr>
          <w:rFonts w:ascii="Simplified Arabic" w:hAnsi="Simplified Arabic" w:cs="Simplified Arabic"/>
          <w:sz w:val="28"/>
          <w:szCs w:val="28"/>
          <w:rtl/>
        </w:rPr>
        <w:t>.</w:t>
      </w:r>
    </w:p>
    <w:p w14:paraId="660E32BE" w14:textId="77777777" w:rsidR="002A1FA4" w:rsidRPr="00061EBE" w:rsidRDefault="002A1FA4" w:rsidP="002A1FA4">
      <w:pPr>
        <w:pStyle w:val="ListParagraph"/>
        <w:bidi/>
        <w:jc w:val="both"/>
        <w:rPr>
          <w:rFonts w:ascii="Simplified Arabic" w:hAnsi="Simplified Arabic" w:cs="Simplified Arabic"/>
          <w:sz w:val="18"/>
          <w:szCs w:val="18"/>
        </w:rPr>
      </w:pPr>
    </w:p>
    <w:p w14:paraId="49BD9C2F" w14:textId="77777777" w:rsidR="002A1FA4" w:rsidRDefault="002A1FA4" w:rsidP="002A1FA4">
      <w:pPr>
        <w:pStyle w:val="ListParagraph"/>
        <w:numPr>
          <w:ilvl w:val="0"/>
          <w:numId w:val="32"/>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الفجوات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التركيز</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الموضوعي:</w:t>
      </w:r>
      <w:r>
        <w:rPr>
          <w:rFonts w:ascii="Simplified Arabic" w:hAnsi="Simplified Arabic" w:cs="Simplified Arabic" w:hint="cs"/>
          <w:sz w:val="28"/>
          <w:szCs w:val="28"/>
          <w:rtl/>
        </w:rPr>
        <w:t xml:space="preserve"> 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المهمة</w:t>
      </w:r>
      <w:r>
        <w:rPr>
          <w:rFonts w:ascii="Simplified Arabic" w:hAnsi="Simplified Arabic" w:cs="Simplified Arabic"/>
          <w:sz w:val="28"/>
          <w:szCs w:val="28"/>
          <w:rtl/>
        </w:rPr>
        <w:t>.</w:t>
      </w:r>
    </w:p>
    <w:p w14:paraId="0A1D85E7" w14:textId="77777777" w:rsidR="002A1FA4" w:rsidRDefault="002A1FA4" w:rsidP="002A1FA4">
      <w:pPr>
        <w:pStyle w:val="ListParagraph"/>
        <w:bidi/>
        <w:jc w:val="both"/>
        <w:rPr>
          <w:rFonts w:ascii="Simplified Arabic" w:hAnsi="Simplified Arabic" w:cs="Simplified Arabic"/>
          <w:sz w:val="28"/>
          <w:szCs w:val="28"/>
          <w:rtl/>
        </w:rPr>
      </w:pPr>
      <w:r w:rsidRPr="00660F76">
        <w:rPr>
          <w:rFonts w:ascii="Simplified Arabic" w:hAnsi="Simplified Arabic" w:cs="Simplified Arabic"/>
          <w:b/>
          <w:bCs/>
          <w:sz w:val="28"/>
          <w:szCs w:val="28"/>
          <w:rtl/>
        </w:rPr>
        <w:t xml:space="preserve"> </w:t>
      </w:r>
      <w:r w:rsidRPr="00660F76">
        <w:rPr>
          <w:rFonts w:ascii="Simplified Arabic" w:hAnsi="Simplified Arabic" w:cs="Simplified Arabic" w:hint="cs"/>
          <w:b/>
          <w:bCs/>
          <w:sz w:val="28"/>
          <w:szCs w:val="28"/>
          <w:rtl/>
        </w:rPr>
        <w:t>أولاً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منفصل،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بينهما، 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غالباً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عناصر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المدخلين</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9A6A5B1" w14:textId="77777777" w:rsidR="002A1FA4" w:rsidRDefault="002A1FA4" w:rsidP="002A1FA4">
      <w:pPr>
        <w:pStyle w:val="ListParagraph"/>
        <w:bidi/>
        <w:jc w:val="both"/>
        <w:rPr>
          <w:rFonts w:ascii="Simplified Arabic" w:hAnsi="Simplified Arabic" w:cs="Simplified Arabic"/>
          <w:sz w:val="28"/>
          <w:szCs w:val="28"/>
          <w:rtl/>
        </w:rPr>
      </w:pPr>
      <w:r w:rsidRPr="00660F76">
        <w:rPr>
          <w:rFonts w:ascii="Simplified Arabic" w:hAnsi="Simplified Arabic" w:cs="Simplified Arabic" w:hint="cs"/>
          <w:b/>
          <w:bCs/>
          <w:sz w:val="28"/>
          <w:szCs w:val="28"/>
          <w:rtl/>
        </w:rPr>
        <w:t>ثانياً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هناك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دراستان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sz w:val="28"/>
          <w:szCs w:val="28"/>
        </w:rPr>
        <w:t>Al-Shamsi et al., 2021; Aladwan et al., 2023</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عشرات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الغربية، هذا عدم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w:t>
      </w:r>
    </w:p>
    <w:p w14:paraId="792F48AB" w14:textId="77777777" w:rsidR="002A1FA4" w:rsidRDefault="002A1FA4" w:rsidP="002A1FA4">
      <w:pPr>
        <w:pStyle w:val="ListParagraph"/>
        <w:bidi/>
        <w:jc w:val="both"/>
        <w:rPr>
          <w:rFonts w:ascii="Simplified Arabic" w:hAnsi="Simplified Arabic" w:cs="Simplified Arabic"/>
          <w:sz w:val="28"/>
          <w:szCs w:val="28"/>
          <w:rtl/>
        </w:rPr>
      </w:pPr>
      <w:r w:rsidRPr="00660F76">
        <w:rPr>
          <w:rFonts w:ascii="Simplified Arabic" w:hAnsi="Simplified Arabic" w:cs="Simplified Arabic" w:hint="cs"/>
          <w:b/>
          <w:bCs/>
          <w:sz w:val="28"/>
          <w:szCs w:val="28"/>
          <w:rtl/>
        </w:rPr>
        <w:lastRenderedPageBreak/>
        <w:t xml:space="preserve"> ثالثاً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لتأثير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 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كوفيد</w:t>
      </w:r>
      <w:r>
        <w:rPr>
          <w:rFonts w:ascii="Simplified Arabic" w:hAnsi="Simplified Arabic" w:cs="Simplified Arabic"/>
          <w:sz w:val="28"/>
          <w:szCs w:val="28"/>
          <w:rtl/>
        </w:rPr>
        <w:t xml:space="preserve">-19 </w:t>
      </w:r>
      <w:r>
        <w:rPr>
          <w:rFonts w:ascii="Simplified Arabic" w:hAnsi="Simplified Arabic" w:cs="Simplified Arabic" w:hint="cs"/>
          <w:sz w:val="28"/>
          <w:szCs w:val="28"/>
          <w:rtl/>
        </w:rPr>
        <w:t>تحديداً،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قارنت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أنواع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وتأثيرها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w:t>
      </w:r>
    </w:p>
    <w:p w14:paraId="2603D25E" w14:textId="77777777" w:rsidR="002A1FA4" w:rsidRPr="00061EBE" w:rsidRDefault="002A1FA4" w:rsidP="002A1FA4">
      <w:pPr>
        <w:pStyle w:val="ListParagraph"/>
        <w:bidi/>
        <w:jc w:val="both"/>
        <w:rPr>
          <w:rFonts w:ascii="Simplified Arabic" w:hAnsi="Simplified Arabic" w:cs="Simplified Arabic"/>
          <w:sz w:val="18"/>
          <w:szCs w:val="18"/>
        </w:rPr>
      </w:pPr>
    </w:p>
    <w:p w14:paraId="7BAA1891" w14:textId="77777777" w:rsidR="002A1FA4" w:rsidRPr="00660F76" w:rsidRDefault="002A1FA4" w:rsidP="002A1FA4">
      <w:pPr>
        <w:pStyle w:val="ListParagraph"/>
        <w:numPr>
          <w:ilvl w:val="0"/>
          <w:numId w:val="32"/>
        </w:numPr>
        <w:bidi/>
        <w:spacing w:after="0"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جودة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الأدلة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والموثوقية:</w:t>
      </w:r>
      <w:r>
        <w:rPr>
          <w:rFonts w:ascii="Simplified Arabic" w:hAnsi="Simplified Arabic" w:cs="Simplified Arabic" w:hint="cs"/>
          <w:sz w:val="28"/>
          <w:szCs w:val="28"/>
          <w:rtl/>
        </w:rPr>
        <w:t xml:space="preserve"> تتفاوت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الى 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و</w:t>
      </w:r>
      <w:r>
        <w:rPr>
          <w:rFonts w:ascii="Simplified Arabic" w:hAnsi="Simplified Arabic" w:cs="Simplified Arabic" w:hint="cs"/>
          <w:sz w:val="28"/>
          <w:szCs w:val="28"/>
        </w:rPr>
        <w:t>Clauss</w:t>
      </w:r>
      <w:r>
        <w:rPr>
          <w:rFonts w:ascii="Simplified Arabic" w:hAnsi="Simplified Arabic" w:cs="Simplified Arabic"/>
          <w:sz w:val="28"/>
          <w:szCs w:val="28"/>
        </w:rPr>
        <w:t xml:space="preserve">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ومنهجيات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تستخدم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وتراعي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المشتركة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الدخيلة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477D6A43"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استكشافية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Al-Shamsi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المفترضة</w:t>
      </w:r>
      <w:r>
        <w:rPr>
          <w:rFonts w:ascii="Simplified Arabic" w:hAnsi="Simplified Arabic" w:cs="Simplified Arabic"/>
          <w:sz w:val="28"/>
          <w:szCs w:val="28"/>
          <w:rtl/>
        </w:rPr>
        <w:t>.</w:t>
      </w:r>
    </w:p>
    <w:p w14:paraId="31626249" w14:textId="77777777" w:rsidR="002A1FA4" w:rsidRPr="00061EBE" w:rsidRDefault="002A1FA4" w:rsidP="002A1FA4">
      <w:pPr>
        <w:pStyle w:val="ListParagraph"/>
        <w:bidi/>
        <w:jc w:val="both"/>
        <w:rPr>
          <w:rFonts w:ascii="Simplified Arabic" w:hAnsi="Simplified Arabic" w:cs="Simplified Arabic"/>
          <w:sz w:val="22"/>
          <w:szCs w:val="22"/>
        </w:rPr>
      </w:pPr>
    </w:p>
    <w:p w14:paraId="26614B1C" w14:textId="77777777" w:rsidR="002A1FA4" w:rsidRDefault="002A1FA4" w:rsidP="002A1FA4">
      <w:pPr>
        <w:pStyle w:val="ListParagraph"/>
        <w:numPr>
          <w:ilvl w:val="0"/>
          <w:numId w:val="32"/>
        </w:numPr>
        <w:bidi/>
        <w:spacing w:after="0"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الابتكار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المفاهيم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والنظريات:</w:t>
      </w:r>
      <w:r>
        <w:rPr>
          <w:rFonts w:ascii="Simplified Arabic" w:hAnsi="Simplified Arabic" w:cs="Simplified Arabic" w:hint="cs"/>
          <w:sz w:val="28"/>
          <w:szCs w:val="28"/>
          <w:rtl/>
        </w:rPr>
        <w:t xml:space="preserve"> 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متفاوتة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الابتكار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والنظري،</w:t>
      </w:r>
      <w:r>
        <w:rPr>
          <w:rFonts w:ascii="Simplified Arabic" w:hAnsi="Simplified Arabic" w:cs="Simplified Arabic" w:hint="cs"/>
          <w:sz w:val="10"/>
          <w:szCs w:val="10"/>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نظرياً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محدثاً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التكنولوجية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تكتفي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p>
    <w:p w14:paraId="7D8B3AAC"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للنظريات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ودقة</w:t>
      </w:r>
      <w:r>
        <w:rPr>
          <w:rFonts w:ascii="Simplified Arabic" w:hAnsi="Simplified Arabic" w:cs="Simplified Arabic"/>
          <w:sz w:val="28"/>
          <w:szCs w:val="28"/>
          <w:rtl/>
        </w:rPr>
        <w:t>.</w:t>
      </w:r>
    </w:p>
    <w:p w14:paraId="6156DFF4" w14:textId="77777777" w:rsidR="002A1FA4" w:rsidRPr="00061EBE" w:rsidRDefault="002A1FA4" w:rsidP="002A1FA4">
      <w:pPr>
        <w:pStyle w:val="ListParagraph"/>
        <w:bidi/>
        <w:jc w:val="both"/>
        <w:rPr>
          <w:rFonts w:ascii="Simplified Arabic" w:hAnsi="Simplified Arabic" w:cs="Simplified Arabic"/>
          <w:sz w:val="12"/>
          <w:szCs w:val="12"/>
        </w:rPr>
      </w:pPr>
    </w:p>
    <w:p w14:paraId="5CDA7D10" w14:textId="77777777" w:rsidR="002A1FA4" w:rsidRDefault="002A1FA4" w:rsidP="002A1FA4">
      <w:pPr>
        <w:pStyle w:val="ListParagraph"/>
        <w:numPr>
          <w:ilvl w:val="0"/>
          <w:numId w:val="32"/>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التطبيق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العملي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والصلة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بالممارسة:</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Weerakkody et al</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الحكومية،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تستخلص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دروساً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تجربة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44FCBE75"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يضمن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الأكاديمي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يساهم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المشكلات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تفتقر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تفاصيل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w:t>
      </w:r>
      <w:r>
        <w:rPr>
          <w:rFonts w:ascii="Simplified Arabic" w:hAnsi="Simplified Arabic" w:cs="Simplified Arabic"/>
          <w:sz w:val="28"/>
          <w:szCs w:val="28"/>
          <w:rtl/>
        </w:rPr>
        <w:t>.</w:t>
      </w:r>
    </w:p>
    <w:p w14:paraId="2F235AB5" w14:textId="77777777" w:rsidR="002A1FA4" w:rsidRDefault="002A1FA4" w:rsidP="002A1FA4">
      <w:pPr>
        <w:pStyle w:val="ListParagraph"/>
        <w:bidi/>
        <w:jc w:val="both"/>
        <w:rPr>
          <w:rFonts w:ascii="Simplified Arabic" w:hAnsi="Simplified Arabic" w:cs="Simplified Arabic"/>
          <w:sz w:val="28"/>
          <w:szCs w:val="28"/>
          <w:rtl/>
        </w:rPr>
      </w:pPr>
    </w:p>
    <w:p w14:paraId="7A5BA12D" w14:textId="77777777" w:rsidR="002A1FA4" w:rsidRDefault="002A1FA4" w:rsidP="002A1FA4">
      <w:pPr>
        <w:pStyle w:val="ListParagraph"/>
        <w:bidi/>
        <w:jc w:val="both"/>
        <w:rPr>
          <w:rFonts w:ascii="Simplified Arabic" w:hAnsi="Simplified Arabic" w:cs="Simplified Arabic"/>
          <w:sz w:val="28"/>
          <w:szCs w:val="28"/>
          <w:rtl/>
        </w:rPr>
      </w:pPr>
    </w:p>
    <w:p w14:paraId="284329DE" w14:textId="77777777" w:rsidR="002A1FA4" w:rsidRDefault="002A1FA4" w:rsidP="002A1FA4">
      <w:pPr>
        <w:pStyle w:val="ListParagraph"/>
        <w:bidi/>
        <w:jc w:val="both"/>
        <w:rPr>
          <w:rFonts w:ascii="Simplified Arabic" w:hAnsi="Simplified Arabic" w:cs="Simplified Arabic"/>
          <w:sz w:val="28"/>
          <w:szCs w:val="28"/>
          <w:rtl/>
        </w:rPr>
      </w:pPr>
    </w:p>
    <w:p w14:paraId="33AA007E" w14:textId="77777777" w:rsidR="002A1FA4" w:rsidRPr="00061EBE" w:rsidRDefault="002A1FA4" w:rsidP="002A1FA4">
      <w:pPr>
        <w:pStyle w:val="ListParagraph"/>
        <w:bidi/>
        <w:jc w:val="both"/>
        <w:rPr>
          <w:rFonts w:ascii="Simplified Arabic" w:hAnsi="Simplified Arabic" w:cs="Simplified Arabic"/>
          <w:sz w:val="10"/>
          <w:szCs w:val="10"/>
        </w:rPr>
      </w:pPr>
    </w:p>
    <w:p w14:paraId="1BE1A942" w14:textId="77777777" w:rsidR="002A1FA4" w:rsidRDefault="002A1FA4" w:rsidP="002A1FA4">
      <w:pPr>
        <w:pStyle w:val="ListParagraph"/>
        <w:numPr>
          <w:ilvl w:val="0"/>
          <w:numId w:val="32"/>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التحديات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والقيود:</w:t>
      </w:r>
      <w:r>
        <w:rPr>
          <w:rFonts w:ascii="Simplified Arabic" w:hAnsi="Simplified Arabic" w:cs="Simplified Arabic" w:hint="cs"/>
          <w:sz w:val="28"/>
          <w:szCs w:val="28"/>
          <w:rtl/>
        </w:rPr>
        <w:t xml:space="preserve"> 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مشتركة</w:t>
      </w:r>
    </w:p>
    <w:p w14:paraId="3B270764" w14:textId="77777777" w:rsidR="002A1FA4" w:rsidRDefault="002A1FA4" w:rsidP="002A1FA4">
      <w:pPr>
        <w:pStyle w:val="ListParagraph"/>
        <w:bidi/>
        <w:jc w:val="both"/>
        <w:rPr>
          <w:rFonts w:ascii="Simplified Arabic" w:hAnsi="Simplified Arabic" w:cs="Simplified Arabic"/>
          <w:sz w:val="28"/>
          <w:szCs w:val="28"/>
        </w:rPr>
      </w:pPr>
      <w:r>
        <w:rPr>
          <w:rFonts w:ascii="Simplified Arabic" w:hAnsi="Simplified Arabic" w:cs="Simplified Arabic" w:hint="cs"/>
          <w:b/>
          <w:bCs/>
          <w:sz w:val="28"/>
          <w:szCs w:val="28"/>
          <w:rtl/>
        </w:rPr>
        <w:t>أولاً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بطريقة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ودقيقة</w:t>
      </w:r>
      <w:r>
        <w:rPr>
          <w:rFonts w:ascii="Simplified Arabic" w:hAnsi="Simplified Arabic" w:cs="Simplified Arabic"/>
          <w:sz w:val="28"/>
          <w:szCs w:val="28"/>
          <w:rtl/>
        </w:rPr>
        <w:t>.</w:t>
      </w:r>
    </w:p>
    <w:p w14:paraId="63536CEE"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اختلاف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المقاييس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1286CBFE"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ثانياً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المقطعية،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فحتى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عندما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ارتباطات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يبقى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الاتجاه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w:t>
      </w:r>
      <w:r>
        <w:rPr>
          <w:rFonts w:ascii="Simplified Arabic" w:hAnsi="Simplified Arabic" w:cs="Simplified Arabic"/>
          <w:sz w:val="28"/>
          <w:szCs w:val="28"/>
          <w:rtl/>
        </w:rPr>
        <w:t>.</w:t>
      </w:r>
    </w:p>
    <w:p w14:paraId="584C8778"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ثالثاً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الحصول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بيانات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حساسة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يتعلق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بتجاربها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الممكن</w:t>
      </w:r>
      <w:r>
        <w:rPr>
          <w:rFonts w:ascii="Simplified Arabic" w:hAnsi="Simplified Arabic" w:cs="Simplified Arabic"/>
          <w:sz w:val="28"/>
          <w:szCs w:val="28"/>
          <w:rtl/>
        </w:rPr>
        <w:t>.</w:t>
      </w:r>
    </w:p>
    <w:p w14:paraId="0AF5E947" w14:textId="77777777" w:rsidR="002A1FA4" w:rsidRPr="00061EBE" w:rsidRDefault="002A1FA4" w:rsidP="002A1FA4">
      <w:pPr>
        <w:pStyle w:val="ListParagraph"/>
        <w:bidi/>
        <w:jc w:val="both"/>
        <w:rPr>
          <w:rFonts w:ascii="Simplified Arabic" w:hAnsi="Simplified Arabic" w:cs="Simplified Arabic"/>
          <w:sz w:val="10"/>
          <w:szCs w:val="10"/>
        </w:rPr>
      </w:pPr>
    </w:p>
    <w:p w14:paraId="170304BD" w14:textId="77777777" w:rsidR="002A1FA4" w:rsidRDefault="002A1FA4" w:rsidP="002A1FA4">
      <w:pPr>
        <w:pStyle w:val="ListParagraph"/>
        <w:numPr>
          <w:ilvl w:val="0"/>
          <w:numId w:val="32"/>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الحاجة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لدراسات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مستقبلية:</w:t>
      </w:r>
      <w:r>
        <w:rPr>
          <w:rFonts w:ascii="Simplified Arabic" w:hAnsi="Simplified Arabic" w:cs="Simplified Arabic" w:hint="cs"/>
          <w:sz w:val="28"/>
          <w:szCs w:val="28"/>
          <w:rtl/>
        </w:rPr>
        <w:t xml:space="preserve"> 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اتجاهات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المستقبلي</w:t>
      </w:r>
      <w:r>
        <w:rPr>
          <w:rFonts w:ascii="Simplified Arabic" w:hAnsi="Simplified Arabic" w:cs="Simplified Arabic"/>
          <w:sz w:val="28"/>
          <w:szCs w:val="28"/>
          <w:rtl/>
        </w:rPr>
        <w:t>.</w:t>
      </w:r>
    </w:p>
    <w:p w14:paraId="69D9861F" w14:textId="77777777" w:rsidR="002A1FA4" w:rsidRDefault="002A1FA4" w:rsidP="002A1FA4">
      <w:pPr>
        <w:pStyle w:val="ListParagraph"/>
        <w:bidi/>
        <w:jc w:val="both"/>
        <w:rPr>
          <w:rFonts w:ascii="Simplified Arabic" w:hAnsi="Simplified Arabic" w:cs="Simplified Arabic"/>
          <w:sz w:val="28"/>
          <w:szCs w:val="28"/>
        </w:rPr>
      </w:pPr>
      <w:r>
        <w:rPr>
          <w:rFonts w:ascii="Simplified Arabic" w:hAnsi="Simplified Arabic" w:cs="Simplified Arabic" w:hint="cs"/>
          <w:b/>
          <w:bCs/>
          <w:sz w:val="28"/>
          <w:szCs w:val="28"/>
          <w:rtl/>
        </w:rPr>
        <w:t>أولاً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موحد</w:t>
      </w:r>
      <w:r>
        <w:rPr>
          <w:rFonts w:ascii="Simplified Arabic" w:hAnsi="Simplified Arabic" w:cs="Simplified Arabic"/>
          <w:sz w:val="28"/>
          <w:szCs w:val="28"/>
          <w:rtl/>
        </w:rPr>
        <w:t>.</w:t>
      </w:r>
    </w:p>
    <w:p w14:paraId="58FB4DB1" w14:textId="77777777" w:rsidR="002A1FA4" w:rsidRPr="00660F76"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ثانياً</w:t>
      </w:r>
      <w:r>
        <w:rPr>
          <w:rFonts w:ascii="Simplified Arabic" w:hAnsi="Simplified Arabic" w:cs="Simplified Arabic"/>
          <w:b/>
          <w:bCs/>
          <w:sz w:val="28"/>
          <w:szCs w:val="28"/>
        </w:rPr>
        <w:t>:</w:t>
      </w:r>
      <w:r>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والخليجية</w:t>
      </w:r>
      <w:r>
        <w:rPr>
          <w:rFonts w:ascii="Simplified Arabic" w:hAnsi="Simplified Arabic" w:cs="Simplified Arabic"/>
          <w:sz w:val="28"/>
          <w:szCs w:val="28"/>
          <w:rtl/>
        </w:rPr>
        <w:t>.</w:t>
      </w:r>
    </w:p>
    <w:p w14:paraId="3BE077DC"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ثالثاً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وموثوقية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2D6316BA"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الختام،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لكنها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والسعودي</w:t>
      </w:r>
      <w:r>
        <w:rPr>
          <w:rFonts w:ascii="Simplified Arabic" w:hAnsi="Simplified Arabic" w:cs="Simplified Arabic"/>
          <w:sz w:val="28"/>
          <w:szCs w:val="28"/>
          <w:rtl/>
        </w:rPr>
        <w:t>.</w:t>
      </w:r>
    </w:p>
    <w:p w14:paraId="76190374" w14:textId="77777777" w:rsidR="002A1FA4" w:rsidRDefault="002A1FA4" w:rsidP="002A1FA4">
      <w:pPr>
        <w:bidi/>
        <w:jc w:val="both"/>
        <w:rPr>
          <w:rFonts w:ascii="Simplified Arabic" w:hAnsi="Simplified Arabic" w:cs="Simplified Arabic"/>
          <w:sz w:val="28"/>
          <w:szCs w:val="28"/>
        </w:rPr>
      </w:pPr>
    </w:p>
    <w:p w14:paraId="0AF65828" w14:textId="77777777" w:rsidR="008C4529" w:rsidRDefault="008C4529" w:rsidP="00C01976">
      <w:pPr>
        <w:bidi/>
        <w:jc w:val="both"/>
        <w:rPr>
          <w:rFonts w:ascii="Simplified Arabic" w:hAnsi="Simplified Arabic" w:cs="Simplified Arabic"/>
          <w:sz w:val="28"/>
          <w:szCs w:val="28"/>
        </w:rPr>
      </w:pPr>
    </w:p>
    <w:p w14:paraId="15BC8DD9" w14:textId="77777777" w:rsidR="00E524F4" w:rsidRDefault="00E524F4" w:rsidP="00C01976">
      <w:pPr>
        <w:bidi/>
        <w:jc w:val="both"/>
        <w:rPr>
          <w:rFonts w:ascii="Simplified Arabic" w:hAnsi="Simplified Arabic" w:cs="Simplified Arabic"/>
          <w:b/>
          <w:bCs/>
          <w:sz w:val="28"/>
          <w:szCs w:val="28"/>
          <w:rtl/>
          <w:lang w:bidi="ar-EG"/>
        </w:rPr>
      </w:pPr>
    </w:p>
    <w:p w14:paraId="2C43EF7B" w14:textId="77777777" w:rsidR="00E524F4" w:rsidRDefault="00E524F4" w:rsidP="00E524F4">
      <w:pPr>
        <w:bidi/>
        <w:jc w:val="both"/>
        <w:rPr>
          <w:rFonts w:ascii="Simplified Arabic" w:hAnsi="Simplified Arabic" w:cs="Simplified Arabic"/>
          <w:b/>
          <w:bCs/>
          <w:sz w:val="28"/>
          <w:szCs w:val="28"/>
          <w:rtl/>
          <w:lang w:bidi="ar-EG"/>
        </w:rPr>
      </w:pPr>
    </w:p>
    <w:p w14:paraId="512ED56C" w14:textId="77777777" w:rsidR="00E524F4" w:rsidRDefault="00E524F4" w:rsidP="00E524F4">
      <w:pPr>
        <w:bidi/>
        <w:jc w:val="both"/>
        <w:rPr>
          <w:rFonts w:ascii="Simplified Arabic" w:hAnsi="Simplified Arabic" w:cs="Simplified Arabic"/>
          <w:b/>
          <w:bCs/>
          <w:sz w:val="28"/>
          <w:szCs w:val="28"/>
          <w:rtl/>
          <w:lang w:bidi="ar-EG"/>
        </w:rPr>
      </w:pPr>
    </w:p>
    <w:p w14:paraId="39679F24" w14:textId="77777777" w:rsidR="001327FB" w:rsidRDefault="001327FB" w:rsidP="00E524F4">
      <w:pPr>
        <w:bidi/>
        <w:jc w:val="both"/>
        <w:rPr>
          <w:rFonts w:ascii="Simplified Arabic" w:hAnsi="Simplified Arabic" w:cs="Simplified Arabic"/>
          <w:b/>
          <w:bCs/>
          <w:sz w:val="28"/>
          <w:szCs w:val="28"/>
          <w:rtl/>
          <w:lang w:bidi="ar-EG"/>
        </w:rPr>
      </w:pPr>
    </w:p>
    <w:p w14:paraId="5B52F411" w14:textId="77777777" w:rsidR="001327FB" w:rsidRDefault="001327FB" w:rsidP="001327FB">
      <w:pPr>
        <w:bidi/>
        <w:jc w:val="both"/>
        <w:rPr>
          <w:rFonts w:ascii="Simplified Arabic" w:hAnsi="Simplified Arabic" w:cs="Simplified Arabic"/>
          <w:b/>
          <w:bCs/>
          <w:sz w:val="28"/>
          <w:szCs w:val="28"/>
          <w:rtl/>
          <w:lang w:bidi="ar-EG"/>
        </w:rPr>
      </w:pPr>
    </w:p>
    <w:p w14:paraId="37626960" w14:textId="77777777" w:rsidR="001327FB" w:rsidRDefault="001327FB" w:rsidP="001327FB">
      <w:pPr>
        <w:bidi/>
        <w:jc w:val="both"/>
        <w:rPr>
          <w:rFonts w:ascii="Simplified Arabic" w:hAnsi="Simplified Arabic" w:cs="Simplified Arabic"/>
          <w:b/>
          <w:bCs/>
          <w:sz w:val="28"/>
          <w:szCs w:val="28"/>
          <w:rtl/>
          <w:lang w:bidi="ar-EG"/>
        </w:rPr>
      </w:pPr>
    </w:p>
    <w:p w14:paraId="7903A38E" w14:textId="77777777" w:rsidR="001327FB" w:rsidRDefault="001327FB" w:rsidP="001327FB">
      <w:pPr>
        <w:bidi/>
        <w:jc w:val="both"/>
        <w:rPr>
          <w:rFonts w:ascii="Simplified Arabic" w:hAnsi="Simplified Arabic" w:cs="Simplified Arabic"/>
          <w:b/>
          <w:bCs/>
          <w:sz w:val="28"/>
          <w:szCs w:val="28"/>
          <w:rtl/>
          <w:lang w:bidi="ar-EG"/>
        </w:rPr>
      </w:pPr>
    </w:p>
    <w:p w14:paraId="5D2FBEFE" w14:textId="77777777" w:rsidR="001327FB" w:rsidRDefault="001327FB" w:rsidP="001327FB">
      <w:pPr>
        <w:bidi/>
        <w:jc w:val="both"/>
        <w:rPr>
          <w:rFonts w:ascii="Simplified Arabic" w:hAnsi="Simplified Arabic" w:cs="Simplified Arabic"/>
          <w:b/>
          <w:bCs/>
          <w:sz w:val="28"/>
          <w:szCs w:val="28"/>
          <w:rtl/>
          <w:lang w:bidi="ar-EG"/>
        </w:rPr>
      </w:pPr>
    </w:p>
    <w:p w14:paraId="3A80D281" w14:textId="77777777" w:rsidR="001327FB" w:rsidRDefault="001327FB" w:rsidP="001327FB">
      <w:pPr>
        <w:bidi/>
        <w:jc w:val="both"/>
        <w:rPr>
          <w:rFonts w:ascii="Simplified Arabic" w:hAnsi="Simplified Arabic" w:cs="Simplified Arabic"/>
          <w:b/>
          <w:bCs/>
          <w:sz w:val="28"/>
          <w:szCs w:val="28"/>
          <w:rtl/>
          <w:lang w:bidi="ar-EG"/>
        </w:rPr>
      </w:pPr>
    </w:p>
    <w:p w14:paraId="575C7AC8" w14:textId="0BBF071E" w:rsidR="008C4529" w:rsidRPr="008C4529" w:rsidRDefault="008C4529" w:rsidP="001327FB">
      <w:pPr>
        <w:bidi/>
        <w:jc w:val="both"/>
        <w:rPr>
          <w:rFonts w:ascii="Simplified Arabic" w:hAnsi="Simplified Arabic" w:cs="Simplified Arabic"/>
          <w:b/>
          <w:bCs/>
          <w:sz w:val="28"/>
          <w:szCs w:val="28"/>
          <w:rtl/>
          <w:lang w:bidi="ar-EG"/>
        </w:rPr>
      </w:pPr>
      <w:r w:rsidRPr="008C4529">
        <w:rPr>
          <w:rFonts w:ascii="Simplified Arabic" w:hAnsi="Simplified Arabic" w:cs="Simplified Arabic" w:hint="cs"/>
          <w:b/>
          <w:bCs/>
          <w:sz w:val="28"/>
          <w:szCs w:val="28"/>
          <w:rtl/>
          <w:lang w:bidi="ar-EG"/>
        </w:rPr>
        <w:t>المراجع</w:t>
      </w:r>
    </w:p>
    <w:p w14:paraId="19681245" w14:textId="69D39D9A" w:rsidR="008C4529" w:rsidRPr="008C4529" w:rsidRDefault="008C4529" w:rsidP="00C01976">
      <w:pPr>
        <w:bidi/>
        <w:jc w:val="both"/>
        <w:rPr>
          <w:rFonts w:ascii="Simplified Arabic" w:hAnsi="Simplified Arabic" w:cs="Simplified Arabic"/>
          <w:b/>
          <w:bCs/>
          <w:sz w:val="28"/>
          <w:szCs w:val="28"/>
          <w:rtl/>
          <w:lang w:bidi="ar-EG"/>
        </w:rPr>
      </w:pPr>
      <w:r w:rsidRPr="008C4529">
        <w:rPr>
          <w:rFonts w:ascii="Simplified Arabic" w:hAnsi="Simplified Arabic" w:cs="Simplified Arabic" w:hint="cs"/>
          <w:b/>
          <w:bCs/>
          <w:sz w:val="28"/>
          <w:szCs w:val="28"/>
          <w:rtl/>
          <w:lang w:bidi="ar-EG"/>
        </w:rPr>
        <w:t>أولاً: المراجع العربية</w:t>
      </w:r>
    </w:p>
    <w:p w14:paraId="63399700"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أبو جهين، مروان. (2020). أثر إعادة هندسة العمليات في الأداء التنظيمي للمستشفيات الحكومية الأردنية (رسالة ماجستير غير منشورة). جامعة آل البيت، المفرق.</w:t>
      </w:r>
    </w:p>
    <w:p w14:paraId="3362C912"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lastRenderedPageBreak/>
        <w:t xml:space="preserve">اسحق، محمد. (2020). دور إعادة هندسة العمليات الإدارية في تطوير أداء العاملين: دراسة حالة مصرف الادخار والتنمية الاجتماعية فرع الأمم المتحدة (رسالة ماجستير غير منشورة). جامعة النيلين، الخرطوم. </w:t>
      </w:r>
    </w:p>
    <w:p w14:paraId="6FC88ADB" w14:textId="77777777" w:rsidR="001327FB" w:rsidRPr="0068263B" w:rsidRDefault="001327FB" w:rsidP="00E524F4">
      <w:pPr>
        <w:bidi/>
        <w:ind w:left="900" w:hanging="900"/>
        <w:jc w:val="both"/>
        <w:rPr>
          <w:rFonts w:ascii="Simplified Arabic" w:hAnsi="Simplified Arabic" w:cs="Simplified Arabic"/>
          <w:sz w:val="28"/>
          <w:szCs w:val="28"/>
          <w:rtl/>
          <w:lang w:bidi="ar-EG"/>
        </w:rPr>
      </w:pPr>
      <w:r w:rsidRPr="0068263B">
        <w:rPr>
          <w:rFonts w:ascii="Simplified Arabic" w:hAnsi="Simplified Arabic" w:cs="Simplified Arabic"/>
          <w:sz w:val="28"/>
          <w:szCs w:val="28"/>
          <w:rtl/>
          <w:lang w:bidi="ar-EG"/>
        </w:rPr>
        <w:t xml:space="preserve">بن يوسف، خلف الله، وعياش، زبير. (2021). أثر إعادة هندسة العمليات الإدارية في تعزيز جودة التعليم العالي: دراسة ميدانية لعينة من المؤسسات الجامعية. مجلة البشائر الاقتصادية، مج7, ع1 ، 387 - 404. </w:t>
      </w:r>
    </w:p>
    <w:p w14:paraId="7B83F328" w14:textId="77777777" w:rsidR="001327FB" w:rsidRPr="008C4529"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جاد الرب، لبنى. (2025). دور إعادة هندسة العمليات في تحسين جودة الخدمات المقدمة للعملاء: دراسة حالة شركة جياد للسيارات "2018-2022 م.". مجلة الريادة لاقتصاديات الأعمال، مج11, ع1 ، 10 - 25. </w:t>
      </w:r>
    </w:p>
    <w:p w14:paraId="101452A0"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جبريل، وائل. (2020). متطلبات تطبيق إعادة هندسة العمليات الإدارية بالمجلس البلدي درنة. مجلة جامعة البحر المتوسط الدولية، ع11 ، 48 - 75. </w:t>
      </w:r>
    </w:p>
    <w:p w14:paraId="76B278CC"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حسن، أميرة. (2022). تطبيق مدخل إعادة هندسة العمليات بإدارات التعليم في الكويت. مجلة كلية التربية، ع107 ، 229 - 258. </w:t>
      </w:r>
    </w:p>
    <w:p w14:paraId="37D11E8C"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الحطامي، وحيد، و الأشول، محمد. (2024). أثر إعادة هندسة العمليات الإدارية في الأداء المؤسسي. مجلة جامعة البيضاء، مج6, ع4 ، 15 - 36. </w:t>
      </w:r>
    </w:p>
    <w:p w14:paraId="6C8DC530"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خضر، تمام. (2022). دور أبعاد إعادة هندسة العمليات الإدارية في تحقيق استراتيجيات التسويق الأخضر. مجلة رماح للبحوث والدراسات، ع65 ، 85 - 105. </w:t>
      </w:r>
    </w:p>
    <w:p w14:paraId="15D2A499" w14:textId="77777777" w:rsidR="001327FB" w:rsidRPr="008C4529"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زخروف، لعرج، وخليفة، محمد. (2022). دور إعادة هندسة العمليات الإدارية في تحسين أداء الموارد البشرية: دراسة حالة مديرية أملاك الدولة - الأغواط. مجلة طبنة للدراسات العلمية الأكاديمية، مج5, ع1 ، 1433 - 1459.</w:t>
      </w:r>
    </w:p>
    <w:p w14:paraId="4D013342"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lastRenderedPageBreak/>
        <w:t xml:space="preserve">زهران، سارة. (2020). إعادة هندسة العمليات الإدارية وخدمات رعاية الشباب الجامعي. مجلة الخدمة الإجتماعية، ع63, ج3 ، 383 - 405. </w:t>
      </w:r>
    </w:p>
    <w:p w14:paraId="4218553A" w14:textId="77777777" w:rsidR="001327FB" w:rsidRPr="008C4529"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السدمي، مطهر. (2022). دور إعادة هندسة العمليات المصرفية في تحقيق الأداء الاستراتيجي: دراسة تطبيقية على عينة من المصارف التجارية اليمنية. مجلة أبحاث البيئة والتنمية المستدامة، مج11, ع2 ، 91 - 126. </w:t>
      </w:r>
    </w:p>
    <w:p w14:paraId="3A8A5B47" w14:textId="77777777" w:rsidR="001327FB" w:rsidRPr="008C4529"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سعال، سومية. (2023). إعادة هندسة العمليات الإدارية: دراسة تطبيقية بمؤسسة سوناطراك</w:t>
      </w:r>
      <w:r w:rsidRPr="008C4529">
        <w:rPr>
          <w:rFonts w:ascii="Simplified Arabic" w:hAnsi="Simplified Arabic" w:cs="Simplified Arabic"/>
          <w:sz w:val="28"/>
          <w:szCs w:val="28"/>
          <w:lang w:bidi="ar-EG"/>
        </w:rPr>
        <w:t xml:space="preserve"> "DML" </w:t>
      </w:r>
      <w:r w:rsidRPr="008C4529">
        <w:rPr>
          <w:rFonts w:ascii="Simplified Arabic" w:hAnsi="Simplified Arabic" w:cs="Simplified Arabic"/>
          <w:sz w:val="28"/>
          <w:szCs w:val="28"/>
          <w:rtl/>
          <w:lang w:bidi="ar-EG"/>
        </w:rPr>
        <w:t xml:space="preserve">الأغواط، الجزائر. المجلة الأكاديمية للبحوث القانونية والسياسية، مج7, ع1 ، 294 - 306. </w:t>
      </w:r>
    </w:p>
    <w:p w14:paraId="68DC7806"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السماك، بشار. (2021). متطلبات إعادة هندسة العمليات ودورها في تبني أبعاد الابتكار الأخضر: دراسة استطلاعية لآراء عينة من مديري المنظمات الصناعية في محافظة نينوى. مجلة دراسات إدارية، مج14, ع29 ، 256 - 277.</w:t>
      </w:r>
    </w:p>
    <w:p w14:paraId="6CF57816"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شيخ ديب، صلاح، وناطور، أحمد. (2022). دور إعادة هندسة العمليات الإدارية في تحسين الميزة التنافسية: دراسة ميدانية على فروع المصارف الإسلامية في الساحل السوري. مجلة جامعة تشرين للبحوث والدراسات العلمية - سلسلة العلوم الاقتصادية والقانونية، مج44, ع1 ، 397 - 417. </w:t>
      </w:r>
    </w:p>
    <w:p w14:paraId="200CD224"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صلاح الدين، صفاء. (2020). إعادة هندسة العمليات وتأثيرها على التعليم الجامعي: دراسة تطبيقية على الجامعة المصرية. مجلة بحوث الشرق الأوسط، ع58 ، 116 - 164. </w:t>
      </w:r>
    </w:p>
    <w:p w14:paraId="26E66328"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العرادة، عثمان. (2024). التحسين المستمر بين إعادة هندسة العمليات الإدارية وتخفيض التكاليف بجامعة إقليم سبأ. مجلة الدراسات الاجتماعية، مج30, ع1 ، 81 - 106. </w:t>
      </w:r>
    </w:p>
    <w:p w14:paraId="6F76B238"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علوان، رمزي، وطلوش، فارس. (2020). إعادة هندسة العمليات الإدارية "الهندرة" كمدخل لتحسين أداء المورد البشري: دراسة حالة مؤسسة أقمشة الشرق</w:t>
      </w:r>
      <w:r w:rsidRPr="008C4529">
        <w:rPr>
          <w:rFonts w:ascii="Simplified Arabic" w:hAnsi="Simplified Arabic" w:cs="Simplified Arabic"/>
          <w:sz w:val="28"/>
          <w:szCs w:val="28"/>
          <w:lang w:bidi="ar-EG"/>
        </w:rPr>
        <w:t xml:space="preserve"> DRAPEST </w:t>
      </w:r>
      <w:r w:rsidRPr="008C4529">
        <w:rPr>
          <w:rFonts w:ascii="Simplified Arabic" w:hAnsi="Simplified Arabic" w:cs="Simplified Arabic"/>
          <w:sz w:val="28"/>
          <w:szCs w:val="28"/>
          <w:rtl/>
          <w:lang w:bidi="ar-EG"/>
        </w:rPr>
        <w:t xml:space="preserve">خنشلة. مجلة الأصيل للبحوث الاقتصادية والإدارية، مج4, ع1 ، 333 - 350. </w:t>
      </w:r>
    </w:p>
    <w:p w14:paraId="37A0137E"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lastRenderedPageBreak/>
        <w:t xml:space="preserve">عليو، شيماء. (2020). الهندرة الإدارية في التعليم في ضوء تجارب بعض الدول المتقدمة. المجلة العلمية لكلية التربية، ع33 ، 72 - 89. </w:t>
      </w:r>
    </w:p>
    <w:p w14:paraId="13189A13"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القرشي، سوزان، والسلمي، نهر. (2022). أثر إعادة هندسة العمليات الإدارية على أداء المنظمات الحكومية وتحقيق رؤية المملكة 2030: دراسة ميدانية على موظفي وزارة العدل بمنطقة مكة المكرمة فرع المحاكم الإدارية والمالية والتنفيذية بمدينة جدة. المجلة العربية للإدارة، مج42, ع4 ، 323 - 342. </w:t>
      </w:r>
    </w:p>
    <w:p w14:paraId="31DB8174" w14:textId="77777777" w:rsidR="001327FB" w:rsidRDefault="001327FB" w:rsidP="00E524F4">
      <w:pPr>
        <w:bidi/>
        <w:ind w:left="900" w:hanging="900"/>
        <w:jc w:val="both"/>
        <w:rPr>
          <w:rFonts w:ascii="Simplified Arabic" w:hAnsi="Simplified Arabic" w:cs="Simplified Arabic"/>
          <w:sz w:val="28"/>
          <w:szCs w:val="28"/>
          <w:lang w:bidi="ar-EG"/>
        </w:rPr>
      </w:pPr>
      <w:r w:rsidRPr="008C4529">
        <w:rPr>
          <w:rFonts w:ascii="Simplified Arabic" w:hAnsi="Simplified Arabic" w:cs="Simplified Arabic"/>
          <w:sz w:val="28"/>
          <w:szCs w:val="28"/>
          <w:rtl/>
          <w:lang w:bidi="ar-EG"/>
        </w:rPr>
        <w:t xml:space="preserve">محمد، هبة الله. (2022). إعادة هندسة العمليات الإدارية وتحسين الأداء المهني للأخصائيين الاجتماعيين بالجامعات. مجلة دراسات في الخدمة الاجتماعية، مج57, ع2 ، 313 - 354. </w:t>
      </w:r>
    </w:p>
    <w:p w14:paraId="312B55A2" w14:textId="77777777" w:rsidR="003D7C7E" w:rsidRDefault="003D7C7E" w:rsidP="003D7C7E">
      <w:pPr>
        <w:bidi/>
        <w:ind w:left="900" w:hanging="900"/>
        <w:jc w:val="both"/>
        <w:rPr>
          <w:rFonts w:ascii="Simplified Arabic" w:hAnsi="Simplified Arabic" w:cs="Simplified Arabic"/>
          <w:sz w:val="28"/>
          <w:szCs w:val="28"/>
          <w:lang w:bidi="ar-EG"/>
        </w:rPr>
      </w:pPr>
    </w:p>
    <w:p w14:paraId="7EFC8B87" w14:textId="77777777" w:rsidR="003D7C7E" w:rsidRDefault="003D7C7E" w:rsidP="003D7C7E">
      <w:pPr>
        <w:bidi/>
        <w:ind w:left="900" w:hanging="900"/>
        <w:jc w:val="both"/>
        <w:rPr>
          <w:rFonts w:ascii="Simplified Arabic" w:hAnsi="Simplified Arabic" w:cs="Simplified Arabic"/>
          <w:sz w:val="28"/>
          <w:szCs w:val="28"/>
          <w:lang w:bidi="ar-EG"/>
        </w:rPr>
      </w:pPr>
    </w:p>
    <w:p w14:paraId="41AA6B02" w14:textId="77777777" w:rsidR="003D7C7E" w:rsidRDefault="003D7C7E" w:rsidP="003D7C7E">
      <w:pPr>
        <w:bidi/>
        <w:ind w:left="900" w:hanging="900"/>
        <w:jc w:val="both"/>
        <w:rPr>
          <w:rFonts w:ascii="Simplified Arabic" w:hAnsi="Simplified Arabic" w:cs="Simplified Arabic"/>
          <w:sz w:val="28"/>
          <w:szCs w:val="28"/>
          <w:lang w:bidi="ar-EG"/>
        </w:rPr>
      </w:pPr>
    </w:p>
    <w:p w14:paraId="190C69D2" w14:textId="77777777" w:rsidR="003D7C7E" w:rsidRDefault="003D7C7E" w:rsidP="003D7C7E">
      <w:pPr>
        <w:bidi/>
        <w:ind w:left="900" w:hanging="900"/>
        <w:jc w:val="both"/>
        <w:rPr>
          <w:rFonts w:ascii="Simplified Arabic" w:hAnsi="Simplified Arabic" w:cs="Simplified Arabic"/>
          <w:sz w:val="28"/>
          <w:szCs w:val="28"/>
          <w:lang w:bidi="ar-EG"/>
        </w:rPr>
      </w:pPr>
    </w:p>
    <w:p w14:paraId="3844EE0D" w14:textId="77777777" w:rsidR="003D7C7E" w:rsidRDefault="003D7C7E" w:rsidP="003D7C7E">
      <w:pPr>
        <w:bidi/>
        <w:ind w:left="900" w:hanging="900"/>
        <w:jc w:val="both"/>
        <w:rPr>
          <w:rFonts w:ascii="Simplified Arabic" w:hAnsi="Simplified Arabic" w:cs="Simplified Arabic"/>
          <w:sz w:val="28"/>
          <w:szCs w:val="28"/>
          <w:lang w:bidi="ar-EG"/>
        </w:rPr>
      </w:pPr>
    </w:p>
    <w:p w14:paraId="321F60B1" w14:textId="77777777" w:rsidR="003D7C7E" w:rsidRDefault="003D7C7E" w:rsidP="003D7C7E">
      <w:pPr>
        <w:bidi/>
        <w:ind w:left="900" w:hanging="900"/>
        <w:jc w:val="both"/>
        <w:rPr>
          <w:rFonts w:ascii="Simplified Arabic" w:hAnsi="Simplified Arabic" w:cs="Simplified Arabic"/>
          <w:sz w:val="28"/>
          <w:szCs w:val="28"/>
          <w:lang w:bidi="ar-EG"/>
        </w:rPr>
      </w:pPr>
    </w:p>
    <w:p w14:paraId="444F0F1E" w14:textId="77777777" w:rsidR="003D7C7E" w:rsidRDefault="003D7C7E" w:rsidP="003D7C7E">
      <w:pPr>
        <w:bidi/>
        <w:ind w:left="900" w:hanging="900"/>
        <w:jc w:val="both"/>
        <w:rPr>
          <w:rFonts w:ascii="Simplified Arabic" w:hAnsi="Simplified Arabic" w:cs="Simplified Arabic"/>
          <w:sz w:val="28"/>
          <w:szCs w:val="28"/>
          <w:rtl/>
          <w:lang w:bidi="ar-EG"/>
        </w:rPr>
      </w:pPr>
    </w:p>
    <w:p w14:paraId="3961B6C4" w14:textId="56E71732" w:rsidR="00AA0596" w:rsidRPr="00091AE9" w:rsidRDefault="00091AE9" w:rsidP="00C01976">
      <w:pPr>
        <w:bidi/>
        <w:jc w:val="both"/>
        <w:rPr>
          <w:rFonts w:ascii="Simplified Arabic" w:hAnsi="Simplified Arabic" w:cs="Simplified Arabic"/>
          <w:b/>
          <w:bCs/>
          <w:sz w:val="28"/>
          <w:szCs w:val="28"/>
          <w:rtl/>
          <w:lang w:bidi="ar-EG"/>
        </w:rPr>
      </w:pPr>
      <w:r w:rsidRPr="00091AE9">
        <w:rPr>
          <w:rFonts w:ascii="Simplified Arabic" w:hAnsi="Simplified Arabic" w:cs="Simplified Arabic" w:hint="cs"/>
          <w:b/>
          <w:bCs/>
          <w:sz w:val="28"/>
          <w:szCs w:val="28"/>
          <w:rtl/>
          <w:lang w:bidi="ar-EG"/>
        </w:rPr>
        <w:t>ثانياً: المراجع الأجنبية</w:t>
      </w:r>
    </w:p>
    <w:p w14:paraId="6556148F" w14:textId="53FA20BA" w:rsidR="00091AE9" w:rsidRPr="00091AE9" w:rsidRDefault="00091AE9" w:rsidP="00C01976">
      <w:pPr>
        <w:ind w:left="900" w:hanging="900"/>
        <w:jc w:val="both"/>
        <w:rPr>
          <w:rFonts w:asciiTheme="majorBidi" w:hAnsiTheme="majorBidi" w:cstheme="majorBidi"/>
          <w:sz w:val="28"/>
          <w:szCs w:val="28"/>
          <w:lang w:val="es-CL" w:bidi="ar-EG"/>
        </w:rPr>
      </w:pPr>
      <w:r w:rsidRPr="00091AE9">
        <w:rPr>
          <w:rFonts w:asciiTheme="majorBidi" w:hAnsiTheme="majorBidi" w:cstheme="majorBidi"/>
          <w:sz w:val="28"/>
          <w:szCs w:val="28"/>
          <w:lang w:bidi="ar-EG"/>
        </w:rPr>
        <w:t xml:space="preserve">Ahmes Bayomy, N., E. Khedr, A., &amp; Abd-Elmegid, L. A. (2021). Adaptive model to support business process reengineering. </w:t>
      </w:r>
      <w:r w:rsidRPr="00091AE9">
        <w:rPr>
          <w:rFonts w:asciiTheme="majorBidi" w:hAnsiTheme="majorBidi" w:cstheme="majorBidi"/>
          <w:sz w:val="28"/>
          <w:szCs w:val="28"/>
          <w:lang w:val="es-CL" w:bidi="ar-EG"/>
        </w:rPr>
        <w:t xml:space="preserve">PeerJ Computer Science, 7, e505. </w:t>
      </w:r>
    </w:p>
    <w:p w14:paraId="1A5ACA46"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lastRenderedPageBreak/>
        <w:t xml:space="preserve">Al-Anqoudi, Y., Al-Hamdani, A., Al-Badawi, M., &amp; Hedjam, R. (2021). </w:t>
      </w:r>
      <w:r w:rsidRPr="00091AE9">
        <w:rPr>
          <w:rFonts w:asciiTheme="majorBidi" w:hAnsiTheme="majorBidi" w:cstheme="majorBidi"/>
          <w:sz w:val="28"/>
          <w:szCs w:val="28"/>
          <w:lang w:bidi="ar-EG"/>
        </w:rPr>
        <w:t xml:space="preserve">Using machine learning in business process re-engineering. Big Data and Cognitive Computing, 5(4), 61. </w:t>
      </w:r>
    </w:p>
    <w:p w14:paraId="280EA617"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Al-Mawdieh, R. S. (2020). The practice of the re-engineering of administrative processes approach in kindergarten institutions in Jordan from the perspective of female principals and teachers. Journal of Educational and Social Research, 10(6), 66. </w:t>
      </w:r>
    </w:p>
    <w:p w14:paraId="55067ED8" w14:textId="77777777" w:rsidR="00091AE9" w:rsidRPr="00091AE9" w:rsidRDefault="00091AE9" w:rsidP="00C01976">
      <w:pPr>
        <w:ind w:left="900" w:hanging="900"/>
        <w:jc w:val="both"/>
        <w:rPr>
          <w:rFonts w:asciiTheme="majorBidi" w:hAnsiTheme="majorBidi" w:cstheme="majorBidi"/>
          <w:sz w:val="28"/>
          <w:szCs w:val="28"/>
          <w:lang w:val="es-CL" w:bidi="ar-EG"/>
        </w:rPr>
      </w:pPr>
      <w:r w:rsidRPr="00091AE9">
        <w:rPr>
          <w:rFonts w:asciiTheme="majorBidi" w:hAnsiTheme="majorBidi" w:cstheme="majorBidi"/>
          <w:sz w:val="28"/>
          <w:szCs w:val="28"/>
          <w:lang w:val="es-CL" w:bidi="ar-EG"/>
        </w:rPr>
        <w:t xml:space="preserve">Battilani, C., Galli, G., Arecco, S., Casarino, B., Granero, A., Lavagna, K., Varna, R., Ventura, M., Revetria, R., &amp; Damiani, L. (2022). </w:t>
      </w:r>
      <w:r w:rsidRPr="00091AE9">
        <w:rPr>
          <w:rFonts w:asciiTheme="majorBidi" w:hAnsiTheme="majorBidi" w:cstheme="majorBidi"/>
          <w:sz w:val="28"/>
          <w:szCs w:val="28"/>
          <w:lang w:bidi="ar-EG"/>
        </w:rPr>
        <w:t xml:space="preserve">Business process re-engineering in public administration: The case study of Western Ligurian Sea Port Authority. </w:t>
      </w:r>
      <w:r w:rsidRPr="00091AE9">
        <w:rPr>
          <w:rFonts w:asciiTheme="majorBidi" w:hAnsiTheme="majorBidi" w:cstheme="majorBidi"/>
          <w:sz w:val="28"/>
          <w:szCs w:val="28"/>
          <w:lang w:val="es-CL" w:bidi="ar-EG"/>
        </w:rPr>
        <w:t xml:space="preserve">Sustainable Futures, 4, 100065. </w:t>
      </w:r>
    </w:p>
    <w:p w14:paraId="753D1109" w14:textId="77777777" w:rsidR="00091AE9" w:rsidRPr="00091AE9" w:rsidRDefault="00091AE9" w:rsidP="00C01976">
      <w:pPr>
        <w:ind w:left="900" w:hanging="900"/>
        <w:jc w:val="both"/>
        <w:rPr>
          <w:rFonts w:asciiTheme="majorBidi" w:hAnsiTheme="majorBidi" w:cstheme="majorBidi"/>
          <w:sz w:val="28"/>
          <w:szCs w:val="28"/>
          <w:lang w:val="es-CL" w:bidi="ar-EG"/>
        </w:rPr>
      </w:pPr>
      <w:r w:rsidRPr="00091AE9">
        <w:rPr>
          <w:rFonts w:asciiTheme="majorBidi" w:hAnsiTheme="majorBidi" w:cstheme="majorBidi"/>
          <w:sz w:val="28"/>
          <w:szCs w:val="28"/>
          <w:lang w:val="es-CL" w:bidi="ar-EG"/>
        </w:rPr>
        <w:t xml:space="preserve">Catursari, M., Antoni, D., Tolentino, R. E., Tjahjanto, Imeldasaluza, Pratiwi, M. P., &amp; Marcelina, D. (2023). </w:t>
      </w:r>
      <w:r w:rsidRPr="00091AE9">
        <w:rPr>
          <w:rFonts w:asciiTheme="majorBidi" w:hAnsiTheme="majorBidi" w:cstheme="majorBidi"/>
          <w:sz w:val="28"/>
          <w:szCs w:val="28"/>
          <w:lang w:bidi="ar-EG"/>
        </w:rPr>
        <w:t xml:space="preserve">Re-engineering public services business process of population and civil registration agency at Central Bangka Regency. In 2023 International Conference on Informatics, Multimedia, Cyber and Informations System (ICIMCIS) (pp. 440–445). </w:t>
      </w:r>
      <w:r w:rsidRPr="00091AE9">
        <w:rPr>
          <w:rFonts w:asciiTheme="majorBidi" w:hAnsiTheme="majorBidi" w:cstheme="majorBidi"/>
          <w:sz w:val="28"/>
          <w:szCs w:val="28"/>
          <w:lang w:val="es-CL" w:bidi="ar-EG"/>
        </w:rPr>
        <w:t xml:space="preserve">IEEE. </w:t>
      </w:r>
    </w:p>
    <w:p w14:paraId="42C38E0A"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t xml:space="preserve">Chandra Puspita, F., &amp; Unisri, S. (2022). </w:t>
      </w:r>
      <w:r w:rsidRPr="00091AE9">
        <w:rPr>
          <w:rFonts w:asciiTheme="majorBidi" w:hAnsiTheme="majorBidi" w:cstheme="majorBidi"/>
          <w:sz w:val="28"/>
          <w:szCs w:val="28"/>
          <w:lang w:bidi="ar-EG"/>
        </w:rPr>
        <w:t>Analysis of business process reengineering in administrative service in Ngebel Sub District Office of Ponorogo Regency of East Java Province, Indonesia. International Journal of Scientific Research and Management, 10(10), 1269–1276.</w:t>
      </w:r>
    </w:p>
    <w:p w14:paraId="632CF491"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t xml:space="preserve">Elapatha, V. W., &amp; Jehan, S. N. (2020). </w:t>
      </w:r>
      <w:r w:rsidRPr="00091AE9">
        <w:rPr>
          <w:rFonts w:asciiTheme="majorBidi" w:hAnsiTheme="majorBidi" w:cstheme="majorBidi"/>
          <w:sz w:val="28"/>
          <w:szCs w:val="28"/>
          <w:lang w:bidi="ar-EG"/>
        </w:rPr>
        <w:t xml:space="preserve">An analysis of the implementation of business process re-engineering in public services. Journal of Open Innovation: Technology, Market, and Complexity, 6(4), 114. </w:t>
      </w:r>
    </w:p>
    <w:p w14:paraId="4EAF3DD6"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Fatile, J. O., Mutereko, S., &amp; Etim, E. (2020). Process reengineering in African public sector: Lessons from the private sector. Journal of Public Administration and Governance, 10(3), 262. </w:t>
      </w:r>
    </w:p>
    <w:p w14:paraId="33E40872"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t xml:space="preserve">Hooda, A., &amp; Singla, M. L. (2020). </w:t>
      </w:r>
      <w:r w:rsidRPr="00091AE9">
        <w:rPr>
          <w:rFonts w:asciiTheme="majorBidi" w:hAnsiTheme="majorBidi" w:cstheme="majorBidi"/>
          <w:sz w:val="28"/>
          <w:szCs w:val="28"/>
          <w:lang w:bidi="ar-EG"/>
        </w:rPr>
        <w:t xml:space="preserve">Reengineering as a strategic stance for e-governance success - Mediating role of core competencies. Transforming Government: People, Process and Policy, 14(2), 205–235. </w:t>
      </w:r>
    </w:p>
    <w:p w14:paraId="4E24BEC0"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lastRenderedPageBreak/>
        <w:t xml:space="preserve">Kumar, D. (2024). AI-driven automation in administrative processes: Enhancing efficiency and accuracy. International Journal of Engineering Science and Humanities, 14(Special Issue 1), 256–265. </w:t>
      </w:r>
    </w:p>
    <w:p w14:paraId="72B6B492"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Massaro, A., &amp; Galiano, A. (2020). Re-engineering process in a food factory: An overview of technologies and approaches for the design of pasta production processes. Production &amp; Manufacturing Research, 8(1), 80–100. </w:t>
      </w:r>
    </w:p>
    <w:p w14:paraId="663A49A9"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Muhammad Arip Islahudin, &amp; Hadikurniawati, W. (2022). Implementasi metode business process reengineering (BPR) pada sistem pelayanan data penduduk. JURNAL ILMIAH INFORMATIKA, 10(01), 25–34. </w:t>
      </w:r>
    </w:p>
    <w:p w14:paraId="6528C5B7"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Nachev, A., Gindev, P., &amp; Pavlova, D. (2020). Opportunities for effective digitalization of the administrative services in a university environment and improvement of the management ecosystem through processes reengineering. In EDULEARN Proceedings (Vol. 1, pp. 3691–3695).</w:t>
      </w:r>
    </w:p>
    <w:p w14:paraId="6835D7D8" w14:textId="77777777" w:rsidR="00091AE9" w:rsidRPr="00E524F4" w:rsidRDefault="00091AE9" w:rsidP="00C01976">
      <w:pPr>
        <w:ind w:left="900" w:hanging="900"/>
        <w:jc w:val="both"/>
        <w:rPr>
          <w:rFonts w:asciiTheme="majorBidi" w:hAnsiTheme="majorBidi" w:cstheme="majorBidi"/>
          <w:sz w:val="28"/>
          <w:szCs w:val="28"/>
          <w:rtl/>
          <w:lang w:bidi="ar-EG"/>
        </w:rPr>
      </w:pPr>
      <w:r w:rsidRPr="00091AE9">
        <w:rPr>
          <w:rFonts w:asciiTheme="majorBidi" w:hAnsiTheme="majorBidi" w:cstheme="majorBidi"/>
          <w:sz w:val="28"/>
          <w:szCs w:val="28"/>
          <w:lang w:bidi="ar-EG"/>
        </w:rPr>
        <w:t xml:space="preserve">Nwankwo, W., Ukhurebor, K., &amp; Ukaoha, K. (2020). Knowledge discovery and analytics in process reengineering: A study of port clearance processes. In 2020 International Conference in Mathematics, Computer Engineering and Computer Science (ICMCECS) (pp. 1–7). IEEE. </w:t>
      </w:r>
    </w:p>
    <w:p w14:paraId="77E713C8" w14:textId="23C2056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t xml:space="preserve">Pramartha, C. R. A., &amp; Mimba, N. P. S. H. (2020). </w:t>
      </w:r>
      <w:r w:rsidRPr="00091AE9">
        <w:rPr>
          <w:rFonts w:asciiTheme="majorBidi" w:hAnsiTheme="majorBidi" w:cstheme="majorBidi"/>
          <w:sz w:val="28"/>
          <w:szCs w:val="28"/>
          <w:lang w:bidi="ar-EG"/>
        </w:rPr>
        <w:t xml:space="preserve">Udayana University international student management: A business process reengineering approach. ComTech: Computer, Mathematics and Engineering Applications, 11(2), 57–64. </w:t>
      </w:r>
    </w:p>
    <w:p w14:paraId="74A6558D" w14:textId="77777777" w:rsidR="00091AE9" w:rsidRPr="00E524F4" w:rsidRDefault="00091AE9" w:rsidP="00C01976">
      <w:pPr>
        <w:ind w:left="900" w:hanging="900"/>
        <w:jc w:val="both"/>
        <w:rPr>
          <w:rFonts w:asciiTheme="majorBidi" w:hAnsiTheme="majorBidi" w:cstheme="majorBidi"/>
          <w:sz w:val="28"/>
          <w:szCs w:val="28"/>
          <w:rtl/>
        </w:rPr>
      </w:pPr>
      <w:r w:rsidRPr="00091AE9">
        <w:rPr>
          <w:rFonts w:asciiTheme="majorBidi" w:hAnsiTheme="majorBidi" w:cstheme="majorBidi"/>
          <w:sz w:val="28"/>
          <w:szCs w:val="28"/>
          <w:lang w:bidi="ar-EG"/>
        </w:rPr>
        <w:t xml:space="preserve">Weerakkody, V., Janssen, M., &amp; El-Haddadeh, R. (2021). The resurgence of business process re-engineering in public sector transformation efforts: Exploring the systemic challenges and unintended consequences. </w:t>
      </w:r>
    </w:p>
    <w:sectPr w:rsidR="00091AE9" w:rsidRPr="00E524F4">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943D6" w14:textId="77777777" w:rsidR="00B44907" w:rsidRDefault="00B44907" w:rsidP="002C571E">
      <w:pPr>
        <w:spacing w:after="0" w:line="240" w:lineRule="auto"/>
      </w:pPr>
      <w:r>
        <w:separator/>
      </w:r>
    </w:p>
  </w:endnote>
  <w:endnote w:type="continuationSeparator" w:id="0">
    <w:p w14:paraId="0EF1F122" w14:textId="77777777" w:rsidR="00B44907" w:rsidRDefault="00B44907" w:rsidP="002C5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0BFE" w14:textId="22063517" w:rsidR="002C571E" w:rsidRDefault="00CD79D9">
    <w:pPr>
      <w:pStyle w:val="Footer"/>
    </w:pPr>
    <w:r>
      <w:rPr>
        <w:noProof/>
      </w:rPr>
      <mc:AlternateContent>
        <mc:Choice Requires="wps">
          <w:drawing>
            <wp:anchor distT="0" distB="0" distL="114300" distR="114300" simplePos="0" relativeHeight="251666432" behindDoc="0" locked="0" layoutInCell="1" allowOverlap="1" wp14:anchorId="632F7F68" wp14:editId="497A3CE3">
              <wp:simplePos x="0" y="0"/>
              <wp:positionH relativeFrom="margin">
                <wp:align>center</wp:align>
              </wp:positionH>
              <wp:positionV relativeFrom="page">
                <wp:posOffset>9144000</wp:posOffset>
              </wp:positionV>
              <wp:extent cx="669925" cy="221615"/>
              <wp:effectExtent l="0" t="0" r="0" b="6985"/>
              <wp:wrapNone/>
              <wp:docPr id="1693135804" name="SiClsfLblFooter1_3"/>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11A373F" w14:textId="2AD6FE9E"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32F7F68" id="_x0000_t202" coordsize="21600,21600" o:spt="202" path="m,l,21600r21600,l21600,xe">
              <v:stroke joinstyle="miter"/>
              <v:path gradientshapeok="t" o:connecttype="rect"/>
            </v:shapetype>
            <v:shape id="SiClsfLblFooter1_3" o:spid="_x0000_s1026" type="#_x0000_t202" style="position:absolute;margin-left:0;margin-top:10in;width:52.75pt;height:17.45pt;z-index:251666432;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lcGCgIAABkEAAAOAAAAZHJzL2Uyb0RvYy54bWysU02L2zAQvRf6H4TujZOUhK6Js6S7pBTC&#10;7kK27FmRpdgga8RIiZ3++o5kOynbnkov8ljz/d7T6r5rDDsr9DXYgs8mU86UlVDW9ljwH6/bT184&#10;80HYUhiwquAX5fn9+uOHVetyNYcKTKmQURHr89YVvArB5VnmZaUa4SfglCWnBmxEoF88ZiWKlqo3&#10;JptPp8usBSwdglTe0+1j7+TrVF9rJcOz1l4FZgpOs4V0YjoP8czWK5EfUbiqlsMY4h+maERtqem1&#10;1KMIgp2w/qNUU0sEDzpMJDQZaF1LlXagbWbTd9vsK+FU2oXA8e4Kk/9/ZeXTee9ekIXuK3REYASk&#10;dT73dBn36TQ28UuTMvIThJcrbKoLTNLlcnl3N19wJsk1n8+Ws0Wskt2SHfrwTUHDolFwJFYSWOK8&#10;86EPHUNiLwvb2pjEjLGspQafF9OUcPVQcWOpx23UaIXu0A3zH6C80FoIPePeyW1NzXfChxeBRDFt&#10;QrINz3RoA9QEBouzCvDn3+5jPCFPXs5akkzBLWmaM/PdEiNRXaOBo3EYDXtqHoA0OKPn4GQyKQGD&#10;GU2N0LyRljexB7mEldSp4GE0H0IvW3oLUm02KYg05ETY2b2TsXQELwL52r0JdAPagWh6glFKIn8H&#10;eh8bM73bnAJBnxiJcPYYDiiT/hKnw1uJAv/9P0XdXvT6FwAAAP//AwBQSwMEFAAGAAgAAAAhAImP&#10;x1TcAAAACgEAAA8AAABkcnMvZG93bnJldi54bWxMj81OxDAMhO9IvENkJG5sAnT5KU1XsKIckdhy&#10;4JhtTFtonCrJdsvb457gZs9Y42+KzewGMWGIvScNlysFAqnxtqdWw3tdXdyBiMmQNYMn1PCDETbl&#10;6UlhcuuP9IbTLrWCQyjmRkOX0phLGZsOnYkrPyKx9+mDM4nX0EobzJHD3SCvlLqRzvTEHzoz4rbD&#10;5nt3cBq2VV2HCWMYPvCluv56fcrwedb6/Gx+fACRcE5/x7DgMzqUzLT3B7JRDBq4SGI1yxRPi6/W&#10;axD7RbrN7kGWhfxfofwFAAD//wMAUEsBAi0AFAAGAAgAAAAhALaDOJL+AAAA4QEAABMAAAAAAAAA&#10;AAAAAAAAAAAAAFtDb250ZW50X1R5cGVzXS54bWxQSwECLQAUAAYACAAAACEAOP0h/9YAAACUAQAA&#10;CwAAAAAAAAAAAAAAAAAvAQAAX3JlbHMvLnJlbHNQSwECLQAUAAYACAAAACEA6W5XBgoCAAAZBAAA&#10;DgAAAAAAAAAAAAAAAAAuAgAAZHJzL2Uyb0RvYy54bWxQSwECLQAUAAYACAAAACEAiY/HVNwAAAAK&#10;AQAADwAAAAAAAAAAAAAAAABkBAAAZHJzL2Rvd25yZXYueG1sUEsFBgAAAAAEAAQA8wAAAG0FAAAA&#10;AA==&#10;" filled="f" stroked="f" strokeweight=".5pt">
              <v:fill o:detectmouseclick="t"/>
              <v:textbox style="mso-fit-shape-to-text:t" inset="0,0,0,0">
                <w:txbxContent>
                  <w:p w14:paraId="611A373F" w14:textId="2AD6FE9E"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F7094" w14:textId="3F300195" w:rsidR="00F17154" w:rsidRDefault="00CD79D9">
    <w:pPr>
      <w:pStyle w:val="Footer"/>
      <w:tabs>
        <w:tab w:val="clear" w:pos="4680"/>
        <w:tab w:val="clear" w:pos="9360"/>
      </w:tabs>
      <w:jc w:val="center"/>
      <w:rPr>
        <w:caps/>
        <w:noProof/>
        <w:color w:val="4472C4" w:themeColor="accent1"/>
      </w:rPr>
    </w:pPr>
    <w:r>
      <w:rPr>
        <w:caps/>
        <w:noProof/>
        <w:color w:val="4472C4" w:themeColor="accent1"/>
      </w:rPr>
      <mc:AlternateContent>
        <mc:Choice Requires="wps">
          <w:drawing>
            <wp:anchor distT="0" distB="0" distL="114300" distR="114300" simplePos="0" relativeHeight="251664384" behindDoc="0" locked="0" layoutInCell="1" allowOverlap="1" wp14:anchorId="2FB9747E" wp14:editId="13E50D23">
              <wp:simplePos x="0" y="0"/>
              <wp:positionH relativeFrom="margin">
                <wp:align>center</wp:align>
              </wp:positionH>
              <wp:positionV relativeFrom="page">
                <wp:posOffset>9144000</wp:posOffset>
              </wp:positionV>
              <wp:extent cx="669925" cy="221615"/>
              <wp:effectExtent l="0" t="0" r="0" b="6985"/>
              <wp:wrapNone/>
              <wp:docPr id="45254480" name="SiClsfLblFooter1_1"/>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63914E" w14:textId="4731AE00"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FB9747E" id="_x0000_t202" coordsize="21600,21600" o:spt="202" path="m,l,21600r21600,l21600,xe">
              <v:stroke joinstyle="miter"/>
              <v:path gradientshapeok="t" o:connecttype="rect"/>
            </v:shapetype>
            <v:shape id="SiClsfLblFooter1_1" o:spid="_x0000_s1027" type="#_x0000_t202" style="position:absolute;left:0;text-align:left;margin-left:0;margin-top:10in;width:52.75pt;height:17.45pt;z-index:251664384;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OhDAIAACAEAAAOAAAAZHJzL2Uyb0RvYy54bWysU11r2zAUfR/sPwi9L04yElYTp2QtGYPQ&#10;FtLSZ0WWYoOsK6Sb2Nmv35UcJ6XbU+mLfK37fc7R4rZrDDsqH2qwBZ+MxpwpK6Gs7b7gL8/rbz84&#10;CyhsKQxYVfCTCvx2+fXLonW5mkIFplSeUREb8tYVvEJ0eZYFWalGhBE4ZcmpwTcC6dfvs9KLlqo3&#10;JpuOx/OsBV86D1KFQLf3vZMvU32tlcRHrYNCZgpOs2E6fTp38cyWC5HvvXBVLc9jiA9M0YjaUtNL&#10;qXuBgh18/U+pppYeAmgcSWgy0LqWKu1A20zG77bZVsKptAuBE9wFpvB5ZeXDceuePMPuJ3REYASk&#10;dSEPdBn36bRv4pcmZeQnCE8X2FSHTNLlfH5zM51xJsk1nU7mk1mskl2TnQ/4S0HDolFwT6wksMRx&#10;E7APHUJiLwvr2pjEjLGspQbfZ+OUcPFQcWOpx3XUaGG361hdvlljB+WJtvPQEx+cXNc0w0YEfBKe&#10;mKaFSL34SIc2QL3gbHFWgf/zv/sYTwSQl7OWlFNwS9LmzPy2REwU2WD4wdgNhj00d0BSnNCrcDKZ&#10;lODRDKb20LySpFexB7mEldSp4DiYd9irl56EVKtVCiIpOYEbu3Uylo4YRjyfu1fh3Rl0JLYeYFCU&#10;yN9h38fGzOBWByQGEjER1R7DM9gkw0Tt+clEnb/9T1HXh738CwAA//8DAFBLAwQUAAYACAAAACEA&#10;iY/HVNwAAAAKAQAADwAAAGRycy9kb3ducmV2LnhtbEyPzU7EMAyE70i8Q2QkbmwCdPkpTVewohyR&#10;2HLgmG1MW2icKsl2y9vjnuBmz1jjb4rN7AYxYYi9Jw2XKwUCqfG2p1bDe11d3IGIyZA1gyfU8IMR&#10;NuXpSWFy64/0htMutYJDKOZGQ5fSmEsZmw6diSs/IrH36YMzidfQShvMkcPdIK+UupHO9MQfOjPi&#10;tsPme3dwGrZVXYcJYxg+8KW6/np9yvB51vr8bH58AJFwTn/HsOAzOpTMtPcHslEMGrhIYjXLFE+L&#10;r9ZrEPtFus3uQZaF/F+h/AUAAP//AwBQSwECLQAUAAYACAAAACEAtoM4kv4AAADhAQAAEwAAAAAA&#10;AAAAAAAAAAAAAAAAW0NvbnRlbnRfVHlwZXNdLnhtbFBLAQItABQABgAIAAAAIQA4/SH/1gAAAJQB&#10;AAALAAAAAAAAAAAAAAAAAC8BAABfcmVscy8ucmVsc1BLAQItABQABgAIAAAAIQBzVVOhDAIAACAE&#10;AAAOAAAAAAAAAAAAAAAAAC4CAABkcnMvZTJvRG9jLnhtbFBLAQItABQABgAIAAAAIQCJj8dU3AAA&#10;AAoBAAAPAAAAAAAAAAAAAAAAAGYEAABkcnMvZG93bnJldi54bWxQSwUGAAAAAAQABADzAAAAbwUA&#10;AAAA&#10;" filled="f" stroked="f" strokeweight=".5pt">
              <v:fill o:detectmouseclick="t"/>
              <v:textbox style="mso-fit-shape-to-text:t" inset="0,0,0,0">
                <w:txbxContent>
                  <w:p w14:paraId="0663914E" w14:textId="4731AE00"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r w:rsidR="00F17154">
      <w:rPr>
        <w:caps/>
        <w:color w:val="4472C4" w:themeColor="accent1"/>
      </w:rPr>
      <w:fldChar w:fldCharType="begin"/>
    </w:r>
    <w:r w:rsidR="00F17154">
      <w:rPr>
        <w:caps/>
        <w:color w:val="4472C4" w:themeColor="accent1"/>
      </w:rPr>
      <w:instrText xml:space="preserve"> PAGE   \* MERGEFORMAT </w:instrText>
    </w:r>
    <w:r w:rsidR="00F17154">
      <w:rPr>
        <w:caps/>
        <w:color w:val="4472C4" w:themeColor="accent1"/>
      </w:rPr>
      <w:fldChar w:fldCharType="separate"/>
    </w:r>
    <w:r w:rsidR="00F17154">
      <w:rPr>
        <w:caps/>
        <w:noProof/>
        <w:color w:val="4472C4" w:themeColor="accent1"/>
      </w:rPr>
      <w:t>2</w:t>
    </w:r>
    <w:r w:rsidR="00F17154">
      <w:rPr>
        <w:caps/>
        <w:noProof/>
        <w:color w:val="4472C4" w:themeColor="accent1"/>
      </w:rPr>
      <w:fldChar w:fldCharType="end"/>
    </w:r>
  </w:p>
  <w:p w14:paraId="30529757" w14:textId="195794C6" w:rsidR="002C571E" w:rsidRDefault="002C571E" w:rsidP="00F17154">
    <w:pPr>
      <w:pStyle w:val="Footer"/>
      <w:ind w:lef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8F870" w14:textId="10721EF4" w:rsidR="002C571E" w:rsidRDefault="00CD79D9">
    <w:pPr>
      <w:pStyle w:val="Footer"/>
    </w:pPr>
    <w:r>
      <w:rPr>
        <w:noProof/>
      </w:rPr>
      <mc:AlternateContent>
        <mc:Choice Requires="wps">
          <w:drawing>
            <wp:anchor distT="0" distB="0" distL="114300" distR="114300" simplePos="0" relativeHeight="251665408" behindDoc="0" locked="0" layoutInCell="1" allowOverlap="1" wp14:anchorId="051A3223" wp14:editId="5535BD52">
              <wp:simplePos x="0" y="0"/>
              <wp:positionH relativeFrom="margin">
                <wp:align>center</wp:align>
              </wp:positionH>
              <wp:positionV relativeFrom="page">
                <wp:posOffset>9144000</wp:posOffset>
              </wp:positionV>
              <wp:extent cx="669925" cy="221615"/>
              <wp:effectExtent l="0" t="0" r="0" b="6985"/>
              <wp:wrapNone/>
              <wp:docPr id="11729203" name="SiClsfLblFooter1_2"/>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24806BB" w14:textId="458F2C31"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51A3223" id="_x0000_t202" coordsize="21600,21600" o:spt="202" path="m,l,21600r21600,l21600,xe">
              <v:stroke joinstyle="miter"/>
              <v:path gradientshapeok="t" o:connecttype="rect"/>
            </v:shapetype>
            <v:shape id="SiClsfLblFooter1_2" o:spid="_x0000_s1028" type="#_x0000_t202" style="position:absolute;margin-left:0;margin-top:10in;width:52.75pt;height:17.45pt;z-index:251665408;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0zDgIAACAEAAAOAAAAZHJzL2Uyb0RvYy54bWysU02L2zAQvRf6H4TujeOUhK6Js6S7pBTC&#10;7kK27FmRpdgga8RIiZ3++o7kOCnbnkov8ljz/d7T8r5vDTsp9A3YkueTKWfKSqgaeyj5j9fNpy+c&#10;+SBsJQxYVfKz8vx+9fHDsnOFmkENplLIqIj1RedKXofgiizzslat8BNwypJTA7Yi0C8esgpFR9Vb&#10;k82m00XWAVYOQSrv6fZxcPJVqq+1kuFZa68CMyWn2UI6MZ37eGarpSgOKFzdyMsY4h+maEVjqem1&#10;1KMIgh2x+aNU20gEDzpMJLQZaN1IlXagbfLpu212tXAq7ULgeHeFyf+/svLptHMvyEL/FXoiMALS&#10;OV94uoz79Brb+KVJGfkJwvMVNtUHJulysbi7m805k+SazfJFPo9VsluyQx++KWhZNEqOxEoCS5y2&#10;PgyhY0jsZWHTGJOYMZZ11ODzfJoSrh4qbiz1uI0ardDve9ZUNMW4xh6qM22HMBDvndw0NMNW+PAi&#10;kJimhUi94ZkObYB6wcXirAb8+bf7GE8EkJezjpRTckvS5sx8t0RMFNlo4GjsR8Me2wcgKeb0KpxM&#10;JiVgMKOpEdo3kvQ69iCXsJI6lTyM5kMY1EtPQqr1OgWRlJwIW7tzMpaOGEY8X/s3ge4CeiC2nmBU&#10;lCjeYT/Exkzv1sdADCRiIqoDhhewSYaJ2suTiTr//T9F3R726hcAAAD//wMAUEsDBBQABgAIAAAA&#10;IQCJj8dU3AAAAAoBAAAPAAAAZHJzL2Rvd25yZXYueG1sTI/NTsQwDITvSLxDZCRubAJ0+SlNV7Ci&#10;HJHYcuCYbUxbaJwqyXbL2+Oe4GbPWONvis3sBjFhiL0nDZcrBQKp8banVsN7XV3cgYjJkDWDJ9Tw&#10;gxE25elJYXLrj/SG0y61gkMo5kZDl9KYSxmbDp2JKz8isffpgzOJ19BKG8yRw90gr5S6kc70xB86&#10;M+K2w+Z7d3AatlVdhwljGD7wpbr+en3K8HnW+vxsfnwAkXBOf8ew4DM6lMy09weyUQwauEhiNcsU&#10;T4uv1msQ+0W6ze5BloX8X6H8BQAA//8DAFBLAQItABQABgAIAAAAIQC2gziS/gAAAOEBAAATAAAA&#10;AAAAAAAAAAAAAAAAAABbQ29udGVudF9UeXBlc10ueG1sUEsBAi0AFAAGAAgAAAAhADj9If/WAAAA&#10;lAEAAAsAAAAAAAAAAAAAAAAALwEAAF9yZWxzLy5yZWxzUEsBAi0AFAAGAAgAAAAhABxKTTMOAgAA&#10;IAQAAA4AAAAAAAAAAAAAAAAALgIAAGRycy9lMm9Eb2MueG1sUEsBAi0AFAAGAAgAAAAhAImPx1Tc&#10;AAAACgEAAA8AAAAAAAAAAAAAAAAAaAQAAGRycy9kb3ducmV2LnhtbFBLBQYAAAAABAAEAPMAAABx&#10;BQAAAAA=&#10;" filled="f" stroked="f" strokeweight=".5pt">
              <v:fill o:detectmouseclick="t"/>
              <v:textbox style="mso-fit-shape-to-text:t" inset="0,0,0,0">
                <w:txbxContent>
                  <w:p w14:paraId="424806BB" w14:textId="458F2C31"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551A0" w14:textId="77777777" w:rsidR="00B44907" w:rsidRDefault="00B44907" w:rsidP="002C571E">
      <w:pPr>
        <w:spacing w:after="0" w:line="240" w:lineRule="auto"/>
      </w:pPr>
      <w:r>
        <w:separator/>
      </w:r>
    </w:p>
  </w:footnote>
  <w:footnote w:type="continuationSeparator" w:id="0">
    <w:p w14:paraId="44B84F83" w14:textId="77777777" w:rsidR="00B44907" w:rsidRDefault="00B44907" w:rsidP="002C5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A0DDF" w14:textId="77777777" w:rsidR="00CD79D9" w:rsidRDefault="00CD79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E36EF" w14:textId="3D0E24AD" w:rsidR="00F370DE" w:rsidRDefault="00F370DE">
    <w:pPr>
      <w:pStyle w:val="Header"/>
    </w:pPr>
    <w:r>
      <w:rPr>
        <w:rFonts w:ascii="Times New Roman"/>
        <w:b/>
        <w:noProof/>
        <w:sz w:val="20"/>
      </w:rPr>
      <w:drawing>
        <wp:anchor distT="0" distB="0" distL="114300" distR="114300" simplePos="0" relativeHeight="251663360" behindDoc="0" locked="0" layoutInCell="1" allowOverlap="1" wp14:anchorId="62A1D105" wp14:editId="63B57FA1">
          <wp:simplePos x="0" y="0"/>
          <wp:positionH relativeFrom="margin">
            <wp:posOffset>-832485</wp:posOffset>
          </wp:positionH>
          <wp:positionV relativeFrom="margin">
            <wp:posOffset>-679450</wp:posOffset>
          </wp:positionV>
          <wp:extent cx="1763395" cy="552450"/>
          <wp:effectExtent l="0" t="0" r="8255" b="0"/>
          <wp:wrapSquare wrapText="bothSides"/>
          <wp:docPr id="18144321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63395" cy="5524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8CAA9" w14:textId="77777777" w:rsidR="00CD79D9" w:rsidRDefault="00CD79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B63"/>
    <w:multiLevelType w:val="multilevel"/>
    <w:tmpl w:val="00126B63"/>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2BB7B89"/>
    <w:multiLevelType w:val="multilevel"/>
    <w:tmpl w:val="02BB7B8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445764A"/>
    <w:multiLevelType w:val="hybridMultilevel"/>
    <w:tmpl w:val="7074A4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BF0D74"/>
    <w:multiLevelType w:val="hybridMultilevel"/>
    <w:tmpl w:val="5CF0B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1D40A6"/>
    <w:multiLevelType w:val="multilevel"/>
    <w:tmpl w:val="061D40A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0838739A"/>
    <w:multiLevelType w:val="hybridMultilevel"/>
    <w:tmpl w:val="79123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D74093"/>
    <w:multiLevelType w:val="hybridMultilevel"/>
    <w:tmpl w:val="36BC3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4F653B"/>
    <w:multiLevelType w:val="hybridMultilevel"/>
    <w:tmpl w:val="A8565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7A09E8"/>
    <w:multiLevelType w:val="hybridMultilevel"/>
    <w:tmpl w:val="D4706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1900D9"/>
    <w:multiLevelType w:val="multilevel"/>
    <w:tmpl w:val="121900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E8617D"/>
    <w:multiLevelType w:val="hybridMultilevel"/>
    <w:tmpl w:val="02049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F3027E"/>
    <w:multiLevelType w:val="multilevel"/>
    <w:tmpl w:val="13F3027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13F42089"/>
    <w:multiLevelType w:val="hybridMultilevel"/>
    <w:tmpl w:val="BB82EB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68A4E2D"/>
    <w:multiLevelType w:val="multilevel"/>
    <w:tmpl w:val="168A4E2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E5A24D8"/>
    <w:multiLevelType w:val="multilevel"/>
    <w:tmpl w:val="1E5A24D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1FA36F1F"/>
    <w:multiLevelType w:val="multilevel"/>
    <w:tmpl w:val="1FA36F1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176589A"/>
    <w:multiLevelType w:val="multilevel"/>
    <w:tmpl w:val="2176589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231D4339"/>
    <w:multiLevelType w:val="multilevel"/>
    <w:tmpl w:val="231D433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4091EC6"/>
    <w:multiLevelType w:val="multilevel"/>
    <w:tmpl w:val="24091EC6"/>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269A2D84"/>
    <w:multiLevelType w:val="hybridMultilevel"/>
    <w:tmpl w:val="A49EB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9649F1"/>
    <w:multiLevelType w:val="multilevel"/>
    <w:tmpl w:val="289649F1"/>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1" w15:restartNumberingAfterBreak="0">
    <w:nsid w:val="2C0E4EFF"/>
    <w:multiLevelType w:val="multilevel"/>
    <w:tmpl w:val="2C0E4EFF"/>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2E522CF0"/>
    <w:multiLevelType w:val="hybridMultilevel"/>
    <w:tmpl w:val="8DFA2A18"/>
    <w:lvl w:ilvl="0" w:tplc="25B63390">
      <w:start w:val="1"/>
      <w:numFmt w:val="decimal"/>
      <w:lvlText w:val="%1-"/>
      <w:lvlJc w:val="left"/>
      <w:pPr>
        <w:ind w:left="1310" w:hanging="360"/>
      </w:pPr>
      <w:rPr>
        <w:rFonts w:hint="default"/>
      </w:rPr>
    </w:lvl>
    <w:lvl w:ilvl="1" w:tplc="04090019" w:tentative="1">
      <w:start w:val="1"/>
      <w:numFmt w:val="lowerLetter"/>
      <w:lvlText w:val="%2."/>
      <w:lvlJc w:val="left"/>
      <w:pPr>
        <w:ind w:left="2030" w:hanging="360"/>
      </w:pPr>
    </w:lvl>
    <w:lvl w:ilvl="2" w:tplc="0409001B" w:tentative="1">
      <w:start w:val="1"/>
      <w:numFmt w:val="lowerRoman"/>
      <w:lvlText w:val="%3."/>
      <w:lvlJc w:val="right"/>
      <w:pPr>
        <w:ind w:left="2750" w:hanging="180"/>
      </w:pPr>
    </w:lvl>
    <w:lvl w:ilvl="3" w:tplc="0409000F" w:tentative="1">
      <w:start w:val="1"/>
      <w:numFmt w:val="decimal"/>
      <w:lvlText w:val="%4."/>
      <w:lvlJc w:val="left"/>
      <w:pPr>
        <w:ind w:left="3470" w:hanging="360"/>
      </w:pPr>
    </w:lvl>
    <w:lvl w:ilvl="4" w:tplc="04090019" w:tentative="1">
      <w:start w:val="1"/>
      <w:numFmt w:val="lowerLetter"/>
      <w:lvlText w:val="%5."/>
      <w:lvlJc w:val="left"/>
      <w:pPr>
        <w:ind w:left="4190" w:hanging="360"/>
      </w:pPr>
    </w:lvl>
    <w:lvl w:ilvl="5" w:tplc="0409001B" w:tentative="1">
      <w:start w:val="1"/>
      <w:numFmt w:val="lowerRoman"/>
      <w:lvlText w:val="%6."/>
      <w:lvlJc w:val="right"/>
      <w:pPr>
        <w:ind w:left="4910" w:hanging="180"/>
      </w:pPr>
    </w:lvl>
    <w:lvl w:ilvl="6" w:tplc="0409000F" w:tentative="1">
      <w:start w:val="1"/>
      <w:numFmt w:val="decimal"/>
      <w:lvlText w:val="%7."/>
      <w:lvlJc w:val="left"/>
      <w:pPr>
        <w:ind w:left="5630" w:hanging="360"/>
      </w:pPr>
    </w:lvl>
    <w:lvl w:ilvl="7" w:tplc="04090019" w:tentative="1">
      <w:start w:val="1"/>
      <w:numFmt w:val="lowerLetter"/>
      <w:lvlText w:val="%8."/>
      <w:lvlJc w:val="left"/>
      <w:pPr>
        <w:ind w:left="6350" w:hanging="360"/>
      </w:pPr>
    </w:lvl>
    <w:lvl w:ilvl="8" w:tplc="0409001B" w:tentative="1">
      <w:start w:val="1"/>
      <w:numFmt w:val="lowerRoman"/>
      <w:lvlText w:val="%9."/>
      <w:lvlJc w:val="right"/>
      <w:pPr>
        <w:ind w:left="7070" w:hanging="180"/>
      </w:pPr>
    </w:lvl>
  </w:abstractNum>
  <w:abstractNum w:abstractNumId="23" w15:restartNumberingAfterBreak="0">
    <w:nsid w:val="2EEA0C75"/>
    <w:multiLevelType w:val="hybridMultilevel"/>
    <w:tmpl w:val="4F5CEF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0C107D6"/>
    <w:multiLevelType w:val="hybridMultilevel"/>
    <w:tmpl w:val="C54C9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4433861"/>
    <w:multiLevelType w:val="hybridMultilevel"/>
    <w:tmpl w:val="562C6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B9062E"/>
    <w:multiLevelType w:val="hybridMultilevel"/>
    <w:tmpl w:val="CDA6D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0C6D78"/>
    <w:multiLevelType w:val="multilevel"/>
    <w:tmpl w:val="380C6D78"/>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38112464"/>
    <w:multiLevelType w:val="hybridMultilevel"/>
    <w:tmpl w:val="AD345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FD01DC"/>
    <w:multiLevelType w:val="multilevel"/>
    <w:tmpl w:val="38FD01DC"/>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3A7C716F"/>
    <w:multiLevelType w:val="hybridMultilevel"/>
    <w:tmpl w:val="EF481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7D0C8B"/>
    <w:multiLevelType w:val="multilevel"/>
    <w:tmpl w:val="3E7D0C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2" w15:restartNumberingAfterBreak="0">
    <w:nsid w:val="3F8E595D"/>
    <w:multiLevelType w:val="multilevel"/>
    <w:tmpl w:val="3F8E59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41564DEE"/>
    <w:multiLevelType w:val="multilevel"/>
    <w:tmpl w:val="B980E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5337DFD"/>
    <w:multiLevelType w:val="hybridMultilevel"/>
    <w:tmpl w:val="58180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A57EA4"/>
    <w:multiLevelType w:val="hybridMultilevel"/>
    <w:tmpl w:val="64767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5F75FBF"/>
    <w:multiLevelType w:val="multilevel"/>
    <w:tmpl w:val="D0FE34D6"/>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6AC7D0F"/>
    <w:multiLevelType w:val="hybridMultilevel"/>
    <w:tmpl w:val="FB9C5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7182B1D"/>
    <w:multiLevelType w:val="multilevel"/>
    <w:tmpl w:val="47182B1D"/>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480B113C"/>
    <w:multiLevelType w:val="multilevel"/>
    <w:tmpl w:val="26666256"/>
    <w:lvl w:ilvl="0">
      <w:start w:val="1"/>
      <w:numFmt w:val="decimal"/>
      <w:lvlText w:val="%1."/>
      <w:lvlJc w:val="left"/>
      <w:pPr>
        <w:tabs>
          <w:tab w:val="left" w:pos="720"/>
        </w:tabs>
        <w:ind w:left="720" w:hanging="360"/>
      </w:pPr>
    </w:lvl>
    <w:lvl w:ilvl="1">
      <w:start w:val="1"/>
      <w:numFmt w:val="bullet"/>
      <w:lvlText w:val=""/>
      <w:lvlJc w:val="left"/>
      <w:pPr>
        <w:ind w:left="1440" w:hanging="360"/>
      </w:pPr>
      <w:rPr>
        <w:rFonts w:ascii="Symbol" w:hAnsi="Symbol" w:hint="default"/>
        <w:color w:val="auto"/>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0" w15:restartNumberingAfterBreak="0">
    <w:nsid w:val="4C6E647B"/>
    <w:multiLevelType w:val="multilevel"/>
    <w:tmpl w:val="CE16B914"/>
    <w:lvl w:ilvl="0">
      <w:start w:val="1"/>
      <w:numFmt w:val="decimal"/>
      <w:lvlText w:val="%1."/>
      <w:lvlJc w:val="left"/>
      <w:pPr>
        <w:tabs>
          <w:tab w:val="num" w:pos="720"/>
        </w:tabs>
        <w:ind w:left="720"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095246B"/>
    <w:multiLevelType w:val="multilevel"/>
    <w:tmpl w:val="5095246B"/>
    <w:lvl w:ilvl="0">
      <w:start w:val="1"/>
      <w:numFmt w:val="decimal"/>
      <w:lvlText w:val="%1."/>
      <w:lvlJc w:val="left"/>
      <w:pPr>
        <w:ind w:left="720" w:hanging="360"/>
      </w:pPr>
      <w:rPr>
        <w:rFonts w:hint="default"/>
        <w:sz w:val="20"/>
      </w:rPr>
    </w:lvl>
    <w:lvl w:ilvl="1">
      <w:start w:val="1"/>
      <w:numFmt w:val="lowerLetter"/>
      <w:lvlText w:val="%2."/>
      <w:lvlJc w:val="left"/>
      <w:pPr>
        <w:ind w:left="1440" w:hanging="360"/>
      </w:pPr>
      <w:rPr>
        <w:rFonts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1"/>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42" w15:restartNumberingAfterBreak="0">
    <w:nsid w:val="51C00433"/>
    <w:multiLevelType w:val="hybridMultilevel"/>
    <w:tmpl w:val="95706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26B0B53"/>
    <w:multiLevelType w:val="hybridMultilevel"/>
    <w:tmpl w:val="34DEB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3250699"/>
    <w:multiLevelType w:val="multilevel"/>
    <w:tmpl w:val="53250699"/>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5" w15:restartNumberingAfterBreak="0">
    <w:nsid w:val="5832462B"/>
    <w:multiLevelType w:val="multilevel"/>
    <w:tmpl w:val="5832462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CE46AFC"/>
    <w:multiLevelType w:val="hybridMultilevel"/>
    <w:tmpl w:val="3CB0A2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FCD0BB2"/>
    <w:multiLevelType w:val="multilevel"/>
    <w:tmpl w:val="C4C65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2367392"/>
    <w:multiLevelType w:val="multilevel"/>
    <w:tmpl w:val="0BE6F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102310"/>
    <w:multiLevelType w:val="multilevel"/>
    <w:tmpl w:val="67102310"/>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0" w15:restartNumberingAfterBreak="0">
    <w:nsid w:val="6C8164A3"/>
    <w:multiLevelType w:val="multilevel"/>
    <w:tmpl w:val="6C8164A3"/>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1" w15:restartNumberingAfterBreak="0">
    <w:nsid w:val="6D285574"/>
    <w:multiLevelType w:val="multilevel"/>
    <w:tmpl w:val="4F5AB7BE"/>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B74761"/>
    <w:multiLevelType w:val="multilevel"/>
    <w:tmpl w:val="2D384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E377EF1"/>
    <w:multiLevelType w:val="hybridMultilevel"/>
    <w:tmpl w:val="4A167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F335555"/>
    <w:multiLevelType w:val="hybridMultilevel"/>
    <w:tmpl w:val="CD42E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1A63A2E"/>
    <w:multiLevelType w:val="hybridMultilevel"/>
    <w:tmpl w:val="824E93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22B2D09"/>
    <w:multiLevelType w:val="hybridMultilevel"/>
    <w:tmpl w:val="5D502A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44A06E7"/>
    <w:multiLevelType w:val="hybridMultilevel"/>
    <w:tmpl w:val="4C7CB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6D527F"/>
    <w:multiLevelType w:val="hybridMultilevel"/>
    <w:tmpl w:val="14E63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794A8B"/>
    <w:multiLevelType w:val="multilevel"/>
    <w:tmpl w:val="76794A8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0" w15:restartNumberingAfterBreak="0">
    <w:nsid w:val="76C0628B"/>
    <w:multiLevelType w:val="multilevel"/>
    <w:tmpl w:val="76C062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1" w15:restartNumberingAfterBreak="0">
    <w:nsid w:val="78510ADC"/>
    <w:multiLevelType w:val="hybridMultilevel"/>
    <w:tmpl w:val="938857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A985FC5"/>
    <w:multiLevelType w:val="multilevel"/>
    <w:tmpl w:val="7A985FC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3" w15:restartNumberingAfterBreak="0">
    <w:nsid w:val="7B431CDA"/>
    <w:multiLevelType w:val="hybridMultilevel"/>
    <w:tmpl w:val="585C43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D847824"/>
    <w:multiLevelType w:val="multilevel"/>
    <w:tmpl w:val="7D84782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5" w15:restartNumberingAfterBreak="0">
    <w:nsid w:val="7DB601F0"/>
    <w:multiLevelType w:val="multilevel"/>
    <w:tmpl w:val="7DB601F0"/>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6" w15:restartNumberingAfterBreak="0">
    <w:nsid w:val="7DCE2686"/>
    <w:multiLevelType w:val="multilevel"/>
    <w:tmpl w:val="7DCE26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DFF6D7A"/>
    <w:multiLevelType w:val="multilevel"/>
    <w:tmpl w:val="6568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E1243D0"/>
    <w:multiLevelType w:val="multilevel"/>
    <w:tmpl w:val="7E1243D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E7C1CD4"/>
    <w:multiLevelType w:val="multilevel"/>
    <w:tmpl w:val="7E7C1C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EE3257A"/>
    <w:multiLevelType w:val="hybridMultilevel"/>
    <w:tmpl w:val="0A7C9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0407620">
    <w:abstractNumId w:val="30"/>
  </w:num>
  <w:num w:numId="2" w16cid:durableId="1886981938">
    <w:abstractNumId w:val="19"/>
  </w:num>
  <w:num w:numId="3" w16cid:durableId="2071464985">
    <w:abstractNumId w:val="67"/>
  </w:num>
  <w:num w:numId="4" w16cid:durableId="1302268127">
    <w:abstractNumId w:val="8"/>
  </w:num>
  <w:num w:numId="5" w16cid:durableId="1081803078">
    <w:abstractNumId w:val="5"/>
  </w:num>
  <w:num w:numId="6" w16cid:durableId="812336486">
    <w:abstractNumId w:val="7"/>
  </w:num>
  <w:num w:numId="7" w16cid:durableId="1161845889">
    <w:abstractNumId w:val="70"/>
  </w:num>
  <w:num w:numId="8" w16cid:durableId="2116561744">
    <w:abstractNumId w:val="42"/>
  </w:num>
  <w:num w:numId="9" w16cid:durableId="1808891734">
    <w:abstractNumId w:val="43"/>
  </w:num>
  <w:num w:numId="10" w16cid:durableId="2053112881">
    <w:abstractNumId w:val="6"/>
  </w:num>
  <w:num w:numId="11" w16cid:durableId="446045209">
    <w:abstractNumId w:val="25"/>
  </w:num>
  <w:num w:numId="12" w16cid:durableId="1650329973">
    <w:abstractNumId w:val="54"/>
  </w:num>
  <w:num w:numId="13" w16cid:durableId="271284739">
    <w:abstractNumId w:val="10"/>
  </w:num>
  <w:num w:numId="14" w16cid:durableId="667943878">
    <w:abstractNumId w:val="23"/>
  </w:num>
  <w:num w:numId="15" w16cid:durableId="1576747403">
    <w:abstractNumId w:val="28"/>
  </w:num>
  <w:num w:numId="16" w16cid:durableId="760294879">
    <w:abstractNumId w:val="57"/>
  </w:num>
  <w:num w:numId="17" w16cid:durableId="212158338">
    <w:abstractNumId w:val="63"/>
  </w:num>
  <w:num w:numId="18" w16cid:durableId="310716449">
    <w:abstractNumId w:val="46"/>
  </w:num>
  <w:num w:numId="19" w16cid:durableId="1065377310">
    <w:abstractNumId w:val="61"/>
  </w:num>
  <w:num w:numId="20" w16cid:durableId="1329404147">
    <w:abstractNumId w:val="24"/>
  </w:num>
  <w:num w:numId="21" w16cid:durableId="1619602414">
    <w:abstractNumId w:val="56"/>
  </w:num>
  <w:num w:numId="22" w16cid:durableId="1044597099">
    <w:abstractNumId w:val="2"/>
  </w:num>
  <w:num w:numId="23" w16cid:durableId="1181891857">
    <w:abstractNumId w:val="55"/>
  </w:num>
  <w:num w:numId="24" w16cid:durableId="329409187">
    <w:abstractNumId w:val="34"/>
  </w:num>
  <w:num w:numId="25" w16cid:durableId="295911481">
    <w:abstractNumId w:val="22"/>
  </w:num>
  <w:num w:numId="26" w16cid:durableId="636181573">
    <w:abstractNumId w:val="17"/>
  </w:num>
  <w:num w:numId="27" w16cid:durableId="1383747607">
    <w:abstractNumId w:val="20"/>
  </w:num>
  <w:num w:numId="28" w16cid:durableId="502160025">
    <w:abstractNumId w:val="31"/>
  </w:num>
  <w:num w:numId="29" w16cid:durableId="1334184066">
    <w:abstractNumId w:val="1"/>
  </w:num>
  <w:num w:numId="30" w16cid:durableId="88355413">
    <w:abstractNumId w:val="14"/>
  </w:num>
  <w:num w:numId="31" w16cid:durableId="2055496980">
    <w:abstractNumId w:val="45"/>
  </w:num>
  <w:num w:numId="32" w16cid:durableId="367337895">
    <w:abstractNumId w:val="9"/>
  </w:num>
  <w:num w:numId="33" w16cid:durableId="83108335">
    <w:abstractNumId w:val="36"/>
  </w:num>
  <w:num w:numId="34" w16cid:durableId="728000900">
    <w:abstractNumId w:val="13"/>
  </w:num>
  <w:num w:numId="35" w16cid:durableId="195126290">
    <w:abstractNumId w:val="44"/>
  </w:num>
  <w:num w:numId="36" w16cid:durableId="736326014">
    <w:abstractNumId w:val="18"/>
  </w:num>
  <w:num w:numId="37" w16cid:durableId="727606494">
    <w:abstractNumId w:val="29"/>
  </w:num>
  <w:num w:numId="38" w16cid:durableId="848567131">
    <w:abstractNumId w:val="21"/>
  </w:num>
  <w:num w:numId="39" w16cid:durableId="906888912">
    <w:abstractNumId w:val="41"/>
  </w:num>
  <w:num w:numId="40" w16cid:durableId="990139621">
    <w:abstractNumId w:val="27"/>
  </w:num>
  <w:num w:numId="41" w16cid:durableId="1206258321">
    <w:abstractNumId w:val="59"/>
  </w:num>
  <w:num w:numId="42" w16cid:durableId="578636180">
    <w:abstractNumId w:val="39"/>
  </w:num>
  <w:num w:numId="43" w16cid:durableId="740446452">
    <w:abstractNumId w:val="0"/>
  </w:num>
  <w:num w:numId="44" w16cid:durableId="2027900996">
    <w:abstractNumId w:val="68"/>
  </w:num>
  <w:num w:numId="45" w16cid:durableId="1980723812">
    <w:abstractNumId w:val="65"/>
  </w:num>
  <w:num w:numId="46" w16cid:durableId="937054981">
    <w:abstractNumId w:val="64"/>
  </w:num>
  <w:num w:numId="47" w16cid:durableId="1992783277">
    <w:abstractNumId w:val="49"/>
  </w:num>
  <w:num w:numId="48" w16cid:durableId="626660714">
    <w:abstractNumId w:val="38"/>
  </w:num>
  <w:num w:numId="49" w16cid:durableId="1673529571">
    <w:abstractNumId w:val="62"/>
  </w:num>
  <w:num w:numId="50" w16cid:durableId="1910532823">
    <w:abstractNumId w:val="15"/>
  </w:num>
  <w:num w:numId="51" w16cid:durableId="1291745915">
    <w:abstractNumId w:val="50"/>
  </w:num>
  <w:num w:numId="52" w16cid:durableId="1796633588">
    <w:abstractNumId w:val="69"/>
  </w:num>
  <w:num w:numId="53" w16cid:durableId="1099913264">
    <w:abstractNumId w:val="32"/>
  </w:num>
  <w:num w:numId="54" w16cid:durableId="974915361">
    <w:abstractNumId w:val="11"/>
  </w:num>
  <w:num w:numId="55" w16cid:durableId="1672559843">
    <w:abstractNumId w:val="60"/>
  </w:num>
  <w:num w:numId="56" w16cid:durableId="2065329649">
    <w:abstractNumId w:val="16"/>
  </w:num>
  <w:num w:numId="57" w16cid:durableId="118498320">
    <w:abstractNumId w:val="66"/>
  </w:num>
  <w:num w:numId="58" w16cid:durableId="1525170507">
    <w:abstractNumId w:val="4"/>
  </w:num>
  <w:num w:numId="59" w16cid:durableId="1141315017">
    <w:abstractNumId w:val="51"/>
  </w:num>
  <w:num w:numId="60" w16cid:durableId="1854539161">
    <w:abstractNumId w:val="48"/>
  </w:num>
  <w:num w:numId="61" w16cid:durableId="857499507">
    <w:abstractNumId w:val="58"/>
  </w:num>
  <w:num w:numId="62" w16cid:durableId="696466710">
    <w:abstractNumId w:val="37"/>
  </w:num>
  <w:num w:numId="63" w16cid:durableId="1623684374">
    <w:abstractNumId w:val="12"/>
  </w:num>
  <w:num w:numId="64" w16cid:durableId="1917207624">
    <w:abstractNumId w:val="26"/>
  </w:num>
  <w:num w:numId="65" w16cid:durableId="1747066479">
    <w:abstractNumId w:val="47"/>
  </w:num>
  <w:num w:numId="66" w16cid:durableId="89087978">
    <w:abstractNumId w:val="40"/>
  </w:num>
  <w:num w:numId="67" w16cid:durableId="1396245932">
    <w:abstractNumId w:val="52"/>
  </w:num>
  <w:num w:numId="68" w16cid:durableId="1018775169">
    <w:abstractNumId w:val="33"/>
  </w:num>
  <w:num w:numId="69" w16cid:durableId="1521822175">
    <w:abstractNumId w:val="3"/>
  </w:num>
  <w:num w:numId="70" w16cid:durableId="643854889">
    <w:abstractNumId w:val="53"/>
  </w:num>
  <w:num w:numId="71" w16cid:durableId="201198372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559"/>
    <w:rsid w:val="00071BB2"/>
    <w:rsid w:val="00091AE9"/>
    <w:rsid w:val="000F5DF6"/>
    <w:rsid w:val="0011347A"/>
    <w:rsid w:val="001327FB"/>
    <w:rsid w:val="00163ADA"/>
    <w:rsid w:val="001C5C7E"/>
    <w:rsid w:val="001F7FE4"/>
    <w:rsid w:val="00206B4B"/>
    <w:rsid w:val="0025755D"/>
    <w:rsid w:val="002A1FA4"/>
    <w:rsid w:val="002C571E"/>
    <w:rsid w:val="00307CBA"/>
    <w:rsid w:val="00316363"/>
    <w:rsid w:val="00385261"/>
    <w:rsid w:val="00396B74"/>
    <w:rsid w:val="003D7C7E"/>
    <w:rsid w:val="003E2E2A"/>
    <w:rsid w:val="00570A5F"/>
    <w:rsid w:val="00573D4C"/>
    <w:rsid w:val="005A7AF3"/>
    <w:rsid w:val="00645C47"/>
    <w:rsid w:val="0068263B"/>
    <w:rsid w:val="00690CD9"/>
    <w:rsid w:val="006C5559"/>
    <w:rsid w:val="007767AB"/>
    <w:rsid w:val="007B3871"/>
    <w:rsid w:val="008C4529"/>
    <w:rsid w:val="008D3088"/>
    <w:rsid w:val="009D77E8"/>
    <w:rsid w:val="00A04C32"/>
    <w:rsid w:val="00A33325"/>
    <w:rsid w:val="00A97916"/>
    <w:rsid w:val="00AA0596"/>
    <w:rsid w:val="00B142CD"/>
    <w:rsid w:val="00B44907"/>
    <w:rsid w:val="00C01976"/>
    <w:rsid w:val="00C12376"/>
    <w:rsid w:val="00C16181"/>
    <w:rsid w:val="00C4592C"/>
    <w:rsid w:val="00C724E1"/>
    <w:rsid w:val="00C94466"/>
    <w:rsid w:val="00CD79D9"/>
    <w:rsid w:val="00D827C7"/>
    <w:rsid w:val="00E524F4"/>
    <w:rsid w:val="00EA25DF"/>
    <w:rsid w:val="00F01F80"/>
    <w:rsid w:val="00F17154"/>
    <w:rsid w:val="00F370DE"/>
    <w:rsid w:val="00FE21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698F7"/>
  <w15:chartTrackingRefBased/>
  <w15:docId w15:val="{2C11C800-3AC6-40C4-8BDE-19A54ED26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5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55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55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55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55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5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C55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sid w:val="006C55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sid w:val="006C55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6C55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6C55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6C5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6C5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6C5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6C5559"/>
    <w:rPr>
      <w:rFonts w:eastAsiaTheme="majorEastAsia" w:cstheme="majorBidi"/>
      <w:color w:val="272727" w:themeColor="text1" w:themeTint="D8"/>
    </w:rPr>
  </w:style>
  <w:style w:type="paragraph" w:styleId="Title">
    <w:name w:val="Title"/>
    <w:basedOn w:val="Normal"/>
    <w:next w:val="Normal"/>
    <w:link w:val="TitleChar"/>
    <w:uiPriority w:val="10"/>
    <w:qFormat/>
    <w:rsid w:val="006C5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qFormat/>
    <w:rsid w:val="006C5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qFormat/>
    <w:rsid w:val="006C5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559"/>
    <w:pPr>
      <w:spacing w:before="160"/>
      <w:jc w:val="center"/>
    </w:pPr>
    <w:rPr>
      <w:i/>
      <w:iCs/>
      <w:color w:val="404040" w:themeColor="text1" w:themeTint="BF"/>
    </w:rPr>
  </w:style>
  <w:style w:type="character" w:customStyle="1" w:styleId="QuoteChar">
    <w:name w:val="Quote Char"/>
    <w:basedOn w:val="DefaultParagraphFont"/>
    <w:link w:val="Quote"/>
    <w:uiPriority w:val="29"/>
    <w:qFormat/>
    <w:rsid w:val="006C5559"/>
    <w:rPr>
      <w:i/>
      <w:iCs/>
      <w:color w:val="404040" w:themeColor="text1" w:themeTint="BF"/>
    </w:rPr>
  </w:style>
  <w:style w:type="paragraph" w:styleId="ListParagraph">
    <w:name w:val="List Paragraph"/>
    <w:basedOn w:val="Normal"/>
    <w:uiPriority w:val="34"/>
    <w:qFormat/>
    <w:rsid w:val="006C5559"/>
    <w:pPr>
      <w:ind w:left="720"/>
      <w:contextualSpacing/>
    </w:pPr>
  </w:style>
  <w:style w:type="character" w:styleId="IntenseEmphasis">
    <w:name w:val="Intense Emphasis"/>
    <w:basedOn w:val="DefaultParagraphFont"/>
    <w:uiPriority w:val="21"/>
    <w:qFormat/>
    <w:rsid w:val="006C5559"/>
    <w:rPr>
      <w:i/>
      <w:iCs/>
      <w:color w:val="2F5496" w:themeColor="accent1" w:themeShade="BF"/>
    </w:rPr>
  </w:style>
  <w:style w:type="paragraph" w:styleId="IntenseQuote">
    <w:name w:val="Intense Quote"/>
    <w:basedOn w:val="Normal"/>
    <w:next w:val="Normal"/>
    <w:link w:val="IntenseQuoteChar"/>
    <w:uiPriority w:val="30"/>
    <w:qFormat/>
    <w:rsid w:val="006C55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sid w:val="006C5559"/>
    <w:rPr>
      <w:i/>
      <w:iCs/>
      <w:color w:val="2F5496" w:themeColor="accent1" w:themeShade="BF"/>
    </w:rPr>
  </w:style>
  <w:style w:type="character" w:styleId="IntenseReference">
    <w:name w:val="Intense Reference"/>
    <w:basedOn w:val="DefaultParagraphFont"/>
    <w:uiPriority w:val="32"/>
    <w:qFormat/>
    <w:rsid w:val="006C5559"/>
    <w:rPr>
      <w:b/>
      <w:bCs/>
      <w:smallCaps/>
      <w:color w:val="2F5496" w:themeColor="accent1" w:themeShade="BF"/>
      <w:spacing w:val="5"/>
    </w:rPr>
  </w:style>
  <w:style w:type="paragraph" w:styleId="Header">
    <w:name w:val="header"/>
    <w:basedOn w:val="Normal"/>
    <w:link w:val="HeaderChar"/>
    <w:uiPriority w:val="99"/>
    <w:unhideWhenUsed/>
    <w:qFormat/>
    <w:rsid w:val="002C57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2C571E"/>
  </w:style>
  <w:style w:type="paragraph" w:styleId="Footer">
    <w:name w:val="footer"/>
    <w:basedOn w:val="Normal"/>
    <w:link w:val="FooterChar"/>
    <w:uiPriority w:val="99"/>
    <w:unhideWhenUsed/>
    <w:qFormat/>
    <w:rsid w:val="002C57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2C571E"/>
  </w:style>
  <w:style w:type="character" w:styleId="Hyperlink">
    <w:name w:val="Hyperlink"/>
    <w:basedOn w:val="DefaultParagraphFont"/>
    <w:uiPriority w:val="99"/>
    <w:unhideWhenUsed/>
    <w:qFormat/>
    <w:rsid w:val="00F370DE"/>
    <w:rPr>
      <w:color w:val="0563C1" w:themeColor="hyperlink"/>
      <w:u w:val="single"/>
    </w:rPr>
  </w:style>
  <w:style w:type="paragraph" w:styleId="NormalWeb">
    <w:name w:val="Normal (Web)"/>
    <w:basedOn w:val="Normal"/>
    <w:uiPriority w:val="99"/>
    <w:unhideWhenUsed/>
    <w:qFormat/>
    <w:rsid w:val="00F370D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F370D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qFormat/>
    <w:rsid w:val="002A1FA4"/>
    <w:rPr>
      <w:sz w:val="16"/>
      <w:szCs w:val="16"/>
    </w:rPr>
  </w:style>
  <w:style w:type="paragraph" w:styleId="CommentText">
    <w:name w:val="annotation text"/>
    <w:basedOn w:val="Normal"/>
    <w:link w:val="CommentTextChar"/>
    <w:uiPriority w:val="99"/>
    <w:semiHidden/>
    <w:unhideWhenUsed/>
    <w:qFormat/>
    <w:rsid w:val="002A1FA4"/>
    <w:pPr>
      <w:spacing w:after="0" w:line="240" w:lineRule="auto"/>
    </w:pPr>
    <w:rPr>
      <w:sz w:val="20"/>
      <w:szCs w:val="20"/>
    </w:rPr>
  </w:style>
  <w:style w:type="character" w:customStyle="1" w:styleId="CommentTextChar">
    <w:name w:val="Comment Text Char"/>
    <w:basedOn w:val="DefaultParagraphFont"/>
    <w:link w:val="CommentText"/>
    <w:uiPriority w:val="99"/>
    <w:semiHidden/>
    <w:qFormat/>
    <w:rsid w:val="002A1FA4"/>
    <w:rPr>
      <w:sz w:val="20"/>
      <w:szCs w:val="20"/>
    </w:rPr>
  </w:style>
  <w:style w:type="paragraph" w:styleId="CommentSubject">
    <w:name w:val="annotation subject"/>
    <w:basedOn w:val="CommentText"/>
    <w:next w:val="CommentText"/>
    <w:link w:val="CommentSubjectChar"/>
    <w:uiPriority w:val="99"/>
    <w:semiHidden/>
    <w:unhideWhenUsed/>
    <w:qFormat/>
    <w:rsid w:val="002A1FA4"/>
    <w:rPr>
      <w:b/>
      <w:bCs/>
    </w:rPr>
  </w:style>
  <w:style w:type="character" w:customStyle="1" w:styleId="CommentSubjectChar">
    <w:name w:val="Comment Subject Char"/>
    <w:basedOn w:val="CommentTextChar"/>
    <w:link w:val="CommentSubject"/>
    <w:uiPriority w:val="99"/>
    <w:semiHidden/>
    <w:qFormat/>
    <w:rsid w:val="002A1FA4"/>
    <w:rPr>
      <w:b/>
      <w:bCs/>
      <w:sz w:val="20"/>
      <w:szCs w:val="20"/>
    </w:rPr>
  </w:style>
  <w:style w:type="character" w:styleId="Strong">
    <w:name w:val="Strong"/>
    <w:basedOn w:val="DefaultParagraphFont"/>
    <w:uiPriority w:val="22"/>
    <w:qFormat/>
    <w:rsid w:val="002A1FA4"/>
    <w:rPr>
      <w:b/>
      <w:bCs/>
    </w:rPr>
  </w:style>
  <w:style w:type="character" w:customStyle="1" w:styleId="IntenseEmphasis1">
    <w:name w:val="Intense Emphasis1"/>
    <w:basedOn w:val="DefaultParagraphFont"/>
    <w:uiPriority w:val="21"/>
    <w:qFormat/>
    <w:rsid w:val="002A1FA4"/>
    <w:rPr>
      <w:i/>
      <w:iCs/>
      <w:color w:val="2F5496" w:themeColor="accent1" w:themeShade="BF"/>
    </w:rPr>
  </w:style>
  <w:style w:type="character" w:customStyle="1" w:styleId="IntenseReference1">
    <w:name w:val="Intense Reference1"/>
    <w:basedOn w:val="DefaultParagraphFont"/>
    <w:uiPriority w:val="32"/>
    <w:qFormat/>
    <w:rsid w:val="002A1FA4"/>
    <w:rPr>
      <w:b/>
      <w:bCs/>
      <w:smallCaps/>
      <w:color w:val="2F5496" w:themeColor="accent1" w:themeShade="BF"/>
      <w:spacing w:val="5"/>
    </w:rPr>
  </w:style>
  <w:style w:type="character" w:customStyle="1" w:styleId="UnresolvedMention1">
    <w:name w:val="Unresolved Mention1"/>
    <w:basedOn w:val="DefaultParagraphFont"/>
    <w:uiPriority w:val="99"/>
    <w:semiHidden/>
    <w:unhideWhenUsed/>
    <w:qFormat/>
    <w:rsid w:val="002A1FA4"/>
    <w:rPr>
      <w:color w:val="605E5C"/>
      <w:shd w:val="clear" w:color="auto" w:fill="E1DFDD"/>
    </w:rPr>
  </w:style>
  <w:style w:type="character" w:customStyle="1" w:styleId="IntenseEmphasis2">
    <w:name w:val="Intense Emphasis2"/>
    <w:basedOn w:val="DefaultParagraphFont"/>
    <w:uiPriority w:val="21"/>
    <w:qFormat/>
    <w:rsid w:val="002A1FA4"/>
    <w:rPr>
      <w:i/>
      <w:iCs/>
      <w:color w:val="2F5496" w:themeColor="accent1" w:themeShade="BF"/>
    </w:rPr>
  </w:style>
  <w:style w:type="character" w:customStyle="1" w:styleId="IntenseReference2">
    <w:name w:val="Intense Reference2"/>
    <w:basedOn w:val="DefaultParagraphFont"/>
    <w:uiPriority w:val="32"/>
    <w:qFormat/>
    <w:rsid w:val="002A1FA4"/>
    <w:rPr>
      <w:b/>
      <w:bCs/>
      <w:smallCaps/>
      <w:color w:val="2F5496" w:themeColor="accent1" w:themeShade="BF"/>
      <w:spacing w:val="5"/>
    </w:rPr>
  </w:style>
  <w:style w:type="paragraph" w:customStyle="1" w:styleId="whitespace-normal">
    <w:name w:val="whitespace-normal"/>
    <w:basedOn w:val="Normal"/>
    <w:qFormat/>
    <w:rsid w:val="002A1FA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UnresolvedMention2">
    <w:name w:val="Unresolved Mention2"/>
    <w:basedOn w:val="DefaultParagraphFont"/>
    <w:uiPriority w:val="99"/>
    <w:semiHidden/>
    <w:unhideWhenUsed/>
    <w:qFormat/>
    <w:rsid w:val="002A1FA4"/>
    <w:rPr>
      <w:color w:val="605E5C"/>
      <w:shd w:val="clear" w:color="auto" w:fill="E1DFDD"/>
    </w:rPr>
  </w:style>
  <w:style w:type="paragraph" w:styleId="Revision">
    <w:name w:val="Revision"/>
    <w:hidden/>
    <w:uiPriority w:val="99"/>
    <w:unhideWhenUsed/>
    <w:rsid w:val="002A1FA4"/>
    <w:pPr>
      <w:spacing w:after="0" w:line="240" w:lineRule="auto"/>
    </w:pPr>
  </w:style>
  <w:style w:type="character" w:styleId="UnresolvedMention">
    <w:name w:val="Unresolved Mention"/>
    <w:basedOn w:val="DefaultParagraphFont"/>
    <w:uiPriority w:val="99"/>
    <w:semiHidden/>
    <w:unhideWhenUsed/>
    <w:rsid w:val="002A1FA4"/>
    <w:rPr>
      <w:color w:val="605E5C"/>
      <w:shd w:val="clear" w:color="auto" w:fill="E1DFDD"/>
    </w:rPr>
  </w:style>
  <w:style w:type="character" w:styleId="FollowedHyperlink">
    <w:name w:val="FollowedHyperlink"/>
    <w:basedOn w:val="DefaultParagraphFont"/>
    <w:uiPriority w:val="99"/>
    <w:semiHidden/>
    <w:unhideWhenUsed/>
    <w:rsid w:val="002A1F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546660">
      <w:bodyDiv w:val="1"/>
      <w:marLeft w:val="0"/>
      <w:marRight w:val="0"/>
      <w:marTop w:val="0"/>
      <w:marBottom w:val="0"/>
      <w:divBdr>
        <w:top w:val="none" w:sz="0" w:space="0" w:color="auto"/>
        <w:left w:val="none" w:sz="0" w:space="0" w:color="auto"/>
        <w:bottom w:val="none" w:sz="0" w:space="0" w:color="auto"/>
        <w:right w:val="none" w:sz="0" w:space="0" w:color="auto"/>
      </w:divBdr>
    </w:div>
    <w:div w:id="381179850">
      <w:bodyDiv w:val="1"/>
      <w:marLeft w:val="0"/>
      <w:marRight w:val="0"/>
      <w:marTop w:val="0"/>
      <w:marBottom w:val="0"/>
      <w:divBdr>
        <w:top w:val="none" w:sz="0" w:space="0" w:color="auto"/>
        <w:left w:val="none" w:sz="0" w:space="0" w:color="auto"/>
        <w:bottom w:val="none" w:sz="0" w:space="0" w:color="auto"/>
        <w:right w:val="none" w:sz="0" w:space="0" w:color="auto"/>
      </w:divBdr>
    </w:div>
    <w:div w:id="418066166">
      <w:bodyDiv w:val="1"/>
      <w:marLeft w:val="0"/>
      <w:marRight w:val="0"/>
      <w:marTop w:val="0"/>
      <w:marBottom w:val="0"/>
      <w:divBdr>
        <w:top w:val="none" w:sz="0" w:space="0" w:color="auto"/>
        <w:left w:val="none" w:sz="0" w:space="0" w:color="auto"/>
        <w:bottom w:val="none" w:sz="0" w:space="0" w:color="auto"/>
        <w:right w:val="none" w:sz="0" w:space="0" w:color="auto"/>
      </w:divBdr>
    </w:div>
    <w:div w:id="667682171">
      <w:bodyDiv w:val="1"/>
      <w:marLeft w:val="0"/>
      <w:marRight w:val="0"/>
      <w:marTop w:val="0"/>
      <w:marBottom w:val="0"/>
      <w:divBdr>
        <w:top w:val="none" w:sz="0" w:space="0" w:color="auto"/>
        <w:left w:val="none" w:sz="0" w:space="0" w:color="auto"/>
        <w:bottom w:val="none" w:sz="0" w:space="0" w:color="auto"/>
        <w:right w:val="none" w:sz="0" w:space="0" w:color="auto"/>
      </w:divBdr>
    </w:div>
    <w:div w:id="672991283">
      <w:bodyDiv w:val="1"/>
      <w:marLeft w:val="0"/>
      <w:marRight w:val="0"/>
      <w:marTop w:val="0"/>
      <w:marBottom w:val="0"/>
      <w:divBdr>
        <w:top w:val="none" w:sz="0" w:space="0" w:color="auto"/>
        <w:left w:val="none" w:sz="0" w:space="0" w:color="auto"/>
        <w:bottom w:val="none" w:sz="0" w:space="0" w:color="auto"/>
        <w:right w:val="none" w:sz="0" w:space="0" w:color="auto"/>
      </w:divBdr>
    </w:div>
    <w:div w:id="936837698">
      <w:bodyDiv w:val="1"/>
      <w:marLeft w:val="0"/>
      <w:marRight w:val="0"/>
      <w:marTop w:val="0"/>
      <w:marBottom w:val="0"/>
      <w:divBdr>
        <w:top w:val="none" w:sz="0" w:space="0" w:color="auto"/>
        <w:left w:val="none" w:sz="0" w:space="0" w:color="auto"/>
        <w:bottom w:val="none" w:sz="0" w:space="0" w:color="auto"/>
        <w:right w:val="none" w:sz="0" w:space="0" w:color="auto"/>
      </w:divBdr>
    </w:div>
    <w:div w:id="990447978">
      <w:bodyDiv w:val="1"/>
      <w:marLeft w:val="0"/>
      <w:marRight w:val="0"/>
      <w:marTop w:val="0"/>
      <w:marBottom w:val="0"/>
      <w:divBdr>
        <w:top w:val="none" w:sz="0" w:space="0" w:color="auto"/>
        <w:left w:val="none" w:sz="0" w:space="0" w:color="auto"/>
        <w:bottom w:val="none" w:sz="0" w:space="0" w:color="auto"/>
        <w:right w:val="none" w:sz="0" w:space="0" w:color="auto"/>
      </w:divBdr>
    </w:div>
    <w:div w:id="1052118530">
      <w:bodyDiv w:val="1"/>
      <w:marLeft w:val="0"/>
      <w:marRight w:val="0"/>
      <w:marTop w:val="0"/>
      <w:marBottom w:val="0"/>
      <w:divBdr>
        <w:top w:val="none" w:sz="0" w:space="0" w:color="auto"/>
        <w:left w:val="none" w:sz="0" w:space="0" w:color="auto"/>
        <w:bottom w:val="none" w:sz="0" w:space="0" w:color="auto"/>
        <w:right w:val="none" w:sz="0" w:space="0" w:color="auto"/>
      </w:divBdr>
    </w:div>
    <w:div w:id="1123843435">
      <w:bodyDiv w:val="1"/>
      <w:marLeft w:val="0"/>
      <w:marRight w:val="0"/>
      <w:marTop w:val="0"/>
      <w:marBottom w:val="0"/>
      <w:divBdr>
        <w:top w:val="none" w:sz="0" w:space="0" w:color="auto"/>
        <w:left w:val="none" w:sz="0" w:space="0" w:color="auto"/>
        <w:bottom w:val="none" w:sz="0" w:space="0" w:color="auto"/>
        <w:right w:val="none" w:sz="0" w:space="0" w:color="auto"/>
      </w:divBdr>
    </w:div>
    <w:div w:id="1188760949">
      <w:bodyDiv w:val="1"/>
      <w:marLeft w:val="0"/>
      <w:marRight w:val="0"/>
      <w:marTop w:val="0"/>
      <w:marBottom w:val="0"/>
      <w:divBdr>
        <w:top w:val="none" w:sz="0" w:space="0" w:color="auto"/>
        <w:left w:val="none" w:sz="0" w:space="0" w:color="auto"/>
        <w:bottom w:val="none" w:sz="0" w:space="0" w:color="auto"/>
        <w:right w:val="none" w:sz="0" w:space="0" w:color="auto"/>
      </w:divBdr>
    </w:div>
    <w:div w:id="1407528694">
      <w:bodyDiv w:val="1"/>
      <w:marLeft w:val="0"/>
      <w:marRight w:val="0"/>
      <w:marTop w:val="0"/>
      <w:marBottom w:val="0"/>
      <w:divBdr>
        <w:top w:val="none" w:sz="0" w:space="0" w:color="auto"/>
        <w:left w:val="none" w:sz="0" w:space="0" w:color="auto"/>
        <w:bottom w:val="none" w:sz="0" w:space="0" w:color="auto"/>
        <w:right w:val="none" w:sz="0" w:space="0" w:color="auto"/>
      </w:divBdr>
    </w:div>
    <w:div w:id="1928535913">
      <w:bodyDiv w:val="1"/>
      <w:marLeft w:val="0"/>
      <w:marRight w:val="0"/>
      <w:marTop w:val="0"/>
      <w:marBottom w:val="0"/>
      <w:divBdr>
        <w:top w:val="none" w:sz="0" w:space="0" w:color="auto"/>
        <w:left w:val="none" w:sz="0" w:space="0" w:color="auto"/>
        <w:bottom w:val="none" w:sz="0" w:space="0" w:color="auto"/>
        <w:right w:val="none" w:sz="0" w:space="0" w:color="auto"/>
      </w:divBdr>
    </w:div>
    <w:div w:id="198693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is.midocean.ae/public"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85</Pages>
  <Words>20075</Words>
  <Characters>114432</Characters>
  <Application>Microsoft Office Word</Application>
  <DocSecurity>0</DocSecurity>
  <Lines>953</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Yousef Alhasani | JDA</cp:lastModifiedBy>
  <cp:revision>2</cp:revision>
  <cp:lastPrinted>2025-11-14T22:42:00Z</cp:lastPrinted>
  <dcterms:created xsi:type="dcterms:W3CDTF">2026-03-07T16:29:00Z</dcterms:created>
  <dcterms:modified xsi:type="dcterms:W3CDTF">2026-03-07T16:29:00Z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CLASSIFIER-LABEL0">
    <vt:lpwstr>7Jl/QBvqGLObLtwhdb4Lkx+skuwYvsRoVCDfMObmp3zVxfeNeXZ4MUSCAPEJlwqtjOnmI9Mqr07vOMhbSDhEHTJXFeDE0+4zpWIEoXAlxYZMrnlJfM5XGAx4GnRP66rqIcuJzo4KHMFMo4qb0q9x0JiJ8vK0oGLF28S4C+C/eLsYEaxLXzKh6/3q6G9GhW+vFS89mMC5xPbioiUIQBD60UEC1PZnz9V5dB5+4A1F5txO02e0ftR2fqtCQ0P6Wq+</vt:lpwstr>
  </property>
  <property fmtid="{D5CDD505-2E9C-101B-9397-08002B2CF9AE}" pid="3" name="SI-CLASSIFIER-LABEL1">
    <vt:lpwstr>Erg45TXKINT7tM2YR4xJMkg==</vt:lpwstr>
  </property>
</Properties>
</file>