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181DFE" w14:textId="77777777" w:rsidR="00BA371D" w:rsidRPr="006D6DBB" w:rsidRDefault="005C5A9A" w:rsidP="00A452DD">
      <w:pPr>
        <w:spacing w:after="0" w:line="317" w:lineRule="auto"/>
        <w:ind w:hanging="263"/>
        <w:jc w:val="both"/>
        <w:rPr>
          <w:rFonts w:ascii="Sakkal Majalla" w:eastAsia="Arial" w:hAnsi="Sakkal Majalla" w:cs="Sakkal Majalla"/>
          <w:b/>
          <w:bCs/>
          <w:sz w:val="29"/>
          <w:szCs w:val="29"/>
          <w:rtl/>
        </w:rPr>
      </w:pPr>
      <w:r w:rsidRPr="006D6DBB">
        <w:rPr>
          <w:rFonts w:ascii="Sakkal Majalla" w:eastAsia="Arial" w:hAnsi="Sakkal Majalla" w:cs="Sakkal Majalla"/>
          <w:b/>
          <w:bCs/>
          <w:sz w:val="29"/>
          <w:szCs w:val="29"/>
          <w:rtl/>
        </w:rPr>
        <w:t>جامعة ميد</w:t>
      </w:r>
      <w:r w:rsidR="00BA371D" w:rsidRPr="006D6DBB">
        <w:rPr>
          <w:rFonts w:ascii="Sakkal Majalla" w:eastAsia="Arial" w:hAnsi="Sakkal Majalla" w:cs="Sakkal Majalla"/>
          <w:b/>
          <w:bCs/>
          <w:sz w:val="29"/>
          <w:szCs w:val="29"/>
          <w:rtl/>
        </w:rPr>
        <w:t xml:space="preserve"> </w:t>
      </w:r>
      <w:r w:rsidRPr="006D6DBB">
        <w:rPr>
          <w:rFonts w:ascii="Sakkal Majalla" w:eastAsia="Arial" w:hAnsi="Sakkal Majalla" w:cs="Sakkal Majalla"/>
          <w:b/>
          <w:bCs/>
          <w:sz w:val="29"/>
          <w:szCs w:val="29"/>
          <w:rtl/>
        </w:rPr>
        <w:t>أوشن</w:t>
      </w:r>
      <w:r w:rsidR="00BA371D" w:rsidRPr="006D6DBB">
        <w:rPr>
          <w:rFonts w:ascii="Sakkal Majalla" w:eastAsia="Arial" w:hAnsi="Sakkal Majalla" w:cs="Sakkal Majalla"/>
          <w:b/>
          <w:bCs/>
          <w:sz w:val="29"/>
          <w:szCs w:val="29"/>
          <w:rtl/>
        </w:rPr>
        <w:t xml:space="preserve"> </w:t>
      </w:r>
    </w:p>
    <w:p w14:paraId="71A2D82D" w14:textId="052D4E0E" w:rsidR="00E341FB" w:rsidRPr="006D6DBB" w:rsidRDefault="005C5A9A" w:rsidP="00A452DD">
      <w:pPr>
        <w:spacing w:after="0" w:line="317" w:lineRule="auto"/>
        <w:ind w:hanging="263"/>
        <w:jc w:val="both"/>
        <w:rPr>
          <w:rFonts w:ascii="Sakkal Majalla" w:hAnsi="Sakkal Majalla" w:cs="Sakkal Majalla"/>
        </w:rPr>
      </w:pPr>
      <w:r w:rsidRPr="006D6DBB">
        <w:rPr>
          <w:rFonts w:ascii="Sakkal Majalla" w:eastAsia="Arial" w:hAnsi="Sakkal Majalla" w:cs="Sakkal Majalla"/>
          <w:b/>
          <w:bCs/>
          <w:sz w:val="29"/>
          <w:szCs w:val="29"/>
          <w:rtl/>
        </w:rPr>
        <w:t>كلية الإدارة</w:t>
      </w:r>
    </w:p>
    <w:p w14:paraId="2F890593" w14:textId="77777777" w:rsidR="006D6DBB" w:rsidRDefault="005C5A9A" w:rsidP="00A452DD">
      <w:pPr>
        <w:spacing w:after="0" w:line="276" w:lineRule="auto"/>
        <w:ind w:hanging="11"/>
        <w:jc w:val="both"/>
        <w:rPr>
          <w:rFonts w:ascii="Sakkal Majalla" w:hAnsi="Sakkal Majalla" w:cs="Sakkal Majalla"/>
          <w:lang w:val="en-US"/>
        </w:rPr>
      </w:pPr>
      <w:r w:rsidRPr="006D6DBB">
        <w:rPr>
          <w:rFonts w:ascii="Sakkal Majalla" w:eastAsia="Arial" w:hAnsi="Sakkal Majalla" w:cs="Sakkal Majalla"/>
          <w:b/>
          <w:bCs/>
          <w:sz w:val="29"/>
          <w:szCs w:val="29"/>
          <w:rtl/>
        </w:rPr>
        <w:t>قسم / تخصص الموارد البشرية</w:t>
      </w:r>
    </w:p>
    <w:p w14:paraId="65B03613" w14:textId="77777777" w:rsidR="006D6DBB" w:rsidRDefault="006D6DBB" w:rsidP="00A452DD">
      <w:pPr>
        <w:spacing w:after="0" w:line="276" w:lineRule="auto"/>
        <w:ind w:hanging="11"/>
        <w:jc w:val="both"/>
        <w:rPr>
          <w:rFonts w:ascii="Sakkal Majalla" w:eastAsia="Arial" w:hAnsi="Sakkal Majalla" w:cs="Sakkal Majalla"/>
          <w:b/>
          <w:bCs/>
          <w:sz w:val="26"/>
          <w:szCs w:val="26"/>
          <w:lang w:val="en-US"/>
        </w:rPr>
      </w:pPr>
    </w:p>
    <w:p w14:paraId="79FAEF36" w14:textId="1543D0DC" w:rsidR="00E341FB" w:rsidRPr="006D6DBB" w:rsidRDefault="005C5A9A" w:rsidP="006E483B">
      <w:pPr>
        <w:spacing w:before="100" w:beforeAutospacing="1" w:after="100" w:afterAutospacing="1" w:line="360" w:lineRule="auto"/>
        <w:ind w:hanging="11"/>
        <w:jc w:val="center"/>
        <w:rPr>
          <w:rFonts w:ascii="Sakkal Majalla" w:hAnsi="Sakkal Majalla" w:cs="Sakkal Majalla"/>
        </w:rPr>
      </w:pPr>
      <w:r w:rsidRPr="006D6DBB">
        <w:rPr>
          <w:rFonts w:ascii="Sakkal Majalla" w:eastAsia="Arial" w:hAnsi="Sakkal Majalla" w:cs="Sakkal Majalla"/>
          <w:b/>
          <w:bCs/>
          <w:sz w:val="26"/>
          <w:szCs w:val="26"/>
          <w:rtl/>
        </w:rPr>
        <w:t>عنوان البحث</w:t>
      </w:r>
    </w:p>
    <w:p w14:paraId="2AB7DB29" w14:textId="77777777" w:rsidR="00E341FB" w:rsidRPr="006D6DBB" w:rsidRDefault="005C5A9A" w:rsidP="006E483B">
      <w:pPr>
        <w:spacing w:before="100" w:beforeAutospacing="1" w:after="100" w:afterAutospacing="1" w:line="360" w:lineRule="auto"/>
        <w:ind w:hanging="10"/>
        <w:jc w:val="center"/>
        <w:rPr>
          <w:rFonts w:ascii="Sakkal Majalla" w:hAnsi="Sakkal Majalla" w:cs="Sakkal Majalla"/>
        </w:rPr>
      </w:pPr>
      <w:r w:rsidRPr="006D6DBB">
        <w:rPr>
          <w:rFonts w:ascii="Sakkal Majalla" w:eastAsia="Arial" w:hAnsi="Sakkal Majalla" w:cs="Sakkal Majalla"/>
          <w:b/>
          <w:bCs/>
          <w:sz w:val="26"/>
          <w:szCs w:val="26"/>
          <w:rtl/>
        </w:rPr>
        <w:t>“تأثير ممارسات إدارة الموارد البشرية على معدلات الدوران الوظيفي في القطاع الصناعي السعودي”</w:t>
      </w:r>
    </w:p>
    <w:p w14:paraId="6A5F86FD" w14:textId="77777777" w:rsidR="00E341FB" w:rsidRPr="006D6DBB" w:rsidRDefault="005C5A9A" w:rsidP="006E483B">
      <w:pPr>
        <w:spacing w:before="100" w:beforeAutospacing="1" w:after="100" w:afterAutospacing="1" w:line="360" w:lineRule="auto"/>
        <w:ind w:hanging="10"/>
        <w:jc w:val="center"/>
        <w:rPr>
          <w:rFonts w:ascii="Sakkal Majalla" w:hAnsi="Sakkal Majalla" w:cs="Sakkal Majalla"/>
          <w:lang w:val="en-US"/>
        </w:rPr>
      </w:pPr>
      <w:r w:rsidRPr="006D6DBB">
        <w:rPr>
          <w:rFonts w:ascii="Sakkal Majalla" w:eastAsia="Arial" w:hAnsi="Sakkal Majalla" w:cs="Sakkal Majalla"/>
          <w:b/>
          <w:sz w:val="26"/>
          <w:lang w:val="en-US"/>
        </w:rPr>
        <w:t>The Impact of Human Resource Management Practices on Employee</w:t>
      </w:r>
    </w:p>
    <w:p w14:paraId="6DCA829B" w14:textId="77777777" w:rsidR="00E341FB" w:rsidRPr="006D6DBB" w:rsidRDefault="005C5A9A" w:rsidP="006E483B">
      <w:pPr>
        <w:spacing w:before="100" w:beforeAutospacing="1" w:after="100" w:afterAutospacing="1" w:line="360" w:lineRule="auto"/>
        <w:ind w:hanging="10"/>
        <w:jc w:val="center"/>
        <w:rPr>
          <w:rFonts w:ascii="Sakkal Majalla" w:hAnsi="Sakkal Majalla" w:cs="Sakkal Majalla"/>
          <w:lang w:val="en-US"/>
        </w:rPr>
      </w:pPr>
      <w:r w:rsidRPr="006D6DBB">
        <w:rPr>
          <w:rFonts w:ascii="Sakkal Majalla" w:eastAsia="Arial" w:hAnsi="Sakkal Majalla" w:cs="Sakkal Majalla"/>
          <w:b/>
          <w:sz w:val="26"/>
          <w:lang w:val="en-US"/>
        </w:rPr>
        <w:t>Turnover Rates in the Saudi Industrial Sector</w:t>
      </w:r>
    </w:p>
    <w:p w14:paraId="0D016754" w14:textId="77777777" w:rsidR="00E341FB" w:rsidRPr="006D6DBB" w:rsidRDefault="005C5A9A" w:rsidP="006E483B">
      <w:pPr>
        <w:spacing w:before="100" w:beforeAutospacing="1" w:after="100" w:afterAutospacing="1" w:line="360" w:lineRule="auto"/>
        <w:ind w:hanging="10"/>
        <w:jc w:val="center"/>
        <w:rPr>
          <w:rFonts w:ascii="Sakkal Majalla" w:hAnsi="Sakkal Majalla" w:cs="Sakkal Majalla"/>
        </w:rPr>
      </w:pPr>
      <w:r w:rsidRPr="006D6DBB">
        <w:rPr>
          <w:rFonts w:ascii="Sakkal Majalla" w:eastAsia="Arial" w:hAnsi="Sakkal Majalla" w:cs="Sakkal Majalla"/>
          <w:b/>
          <w:bCs/>
          <w:sz w:val="26"/>
          <w:szCs w:val="26"/>
          <w:rtl/>
        </w:rPr>
        <w:t>إعداد الطالبة / جواهر أحمد الزهراني</w:t>
      </w:r>
    </w:p>
    <w:p w14:paraId="09E5AE1A" w14:textId="77777777" w:rsidR="00E341FB" w:rsidRPr="006D6DBB" w:rsidRDefault="005C5A9A" w:rsidP="006E483B">
      <w:pPr>
        <w:spacing w:before="100" w:beforeAutospacing="1" w:after="100" w:afterAutospacing="1" w:line="360" w:lineRule="auto"/>
        <w:ind w:hanging="10"/>
        <w:jc w:val="center"/>
        <w:rPr>
          <w:rFonts w:ascii="Sakkal Majalla" w:hAnsi="Sakkal Majalla" w:cs="Sakkal Majalla"/>
        </w:rPr>
      </w:pPr>
      <w:r w:rsidRPr="006D6DBB">
        <w:rPr>
          <w:rFonts w:ascii="Sakkal Majalla" w:eastAsia="Arial" w:hAnsi="Sakkal Majalla" w:cs="Sakkal Majalla"/>
          <w:b/>
          <w:bCs/>
          <w:sz w:val="26"/>
          <w:szCs w:val="26"/>
          <w:rtl/>
        </w:rPr>
        <w:t xml:space="preserve">الرقم الجامعي / </w:t>
      </w:r>
      <w:r w:rsidRPr="006D6DBB">
        <w:rPr>
          <w:rFonts w:ascii="Sakkal Majalla" w:eastAsia="Arial" w:hAnsi="Sakkal Majalla" w:cs="Sakkal Majalla"/>
          <w:b/>
          <w:bCs/>
          <w:sz w:val="26"/>
          <w:szCs w:val="26"/>
        </w:rPr>
        <w:t>٢٥١٠٠١٦١٢</w:t>
      </w:r>
    </w:p>
    <w:p w14:paraId="4B54D1D8" w14:textId="77777777" w:rsidR="00E341FB" w:rsidRPr="006D6DBB" w:rsidRDefault="005C5A9A" w:rsidP="006E483B">
      <w:pPr>
        <w:spacing w:before="100" w:beforeAutospacing="1" w:after="100" w:afterAutospacing="1" w:line="360" w:lineRule="auto"/>
        <w:ind w:hanging="10"/>
        <w:jc w:val="center"/>
        <w:rPr>
          <w:rFonts w:ascii="Sakkal Majalla" w:hAnsi="Sakkal Majalla" w:cs="Sakkal Majalla"/>
        </w:rPr>
      </w:pPr>
      <w:r w:rsidRPr="006D6DBB">
        <w:rPr>
          <w:rFonts w:ascii="Sakkal Majalla" w:eastAsia="Arial" w:hAnsi="Sakkal Majalla" w:cs="Sakkal Majalla"/>
          <w:b/>
          <w:bCs/>
          <w:sz w:val="26"/>
          <w:szCs w:val="26"/>
          <w:rtl/>
        </w:rPr>
        <w:t>إشراف:</w:t>
      </w:r>
    </w:p>
    <w:p w14:paraId="1003205E" w14:textId="77777777" w:rsidR="00E341FB" w:rsidRPr="006D6DBB" w:rsidRDefault="005C5A9A" w:rsidP="006E483B">
      <w:pPr>
        <w:spacing w:before="100" w:beforeAutospacing="1" w:after="100" w:afterAutospacing="1" w:line="360" w:lineRule="auto"/>
        <w:ind w:hanging="10"/>
        <w:jc w:val="center"/>
        <w:rPr>
          <w:rFonts w:ascii="Sakkal Majalla" w:hAnsi="Sakkal Majalla" w:cs="Sakkal Majalla"/>
        </w:rPr>
      </w:pPr>
      <w:r w:rsidRPr="006D6DBB">
        <w:rPr>
          <w:rFonts w:ascii="Sakkal Majalla" w:eastAsia="Arial" w:hAnsi="Sakkal Majalla" w:cs="Sakkal Majalla"/>
          <w:b/>
          <w:bCs/>
          <w:sz w:val="26"/>
          <w:szCs w:val="26"/>
          <w:rtl/>
        </w:rPr>
        <w:t>الدكتور / الفيصل عبد الحمد محمد</w:t>
      </w:r>
    </w:p>
    <w:p w14:paraId="62FD61E8" w14:textId="77777777" w:rsidR="00E341FB" w:rsidRPr="006D6DBB" w:rsidRDefault="005C5A9A" w:rsidP="006E483B">
      <w:pPr>
        <w:spacing w:before="100" w:beforeAutospacing="1" w:after="100" w:afterAutospacing="1" w:line="360" w:lineRule="auto"/>
        <w:ind w:hanging="10"/>
        <w:jc w:val="center"/>
        <w:rPr>
          <w:rFonts w:ascii="Sakkal Majalla" w:hAnsi="Sakkal Majalla" w:cs="Sakkal Majalla"/>
        </w:rPr>
      </w:pPr>
      <w:r w:rsidRPr="006D6DBB">
        <w:rPr>
          <w:rFonts w:ascii="Sakkal Majalla" w:eastAsia="Arial" w:hAnsi="Sakkal Majalla" w:cs="Sakkal Majalla"/>
          <w:b/>
          <w:bCs/>
          <w:sz w:val="26"/>
          <w:szCs w:val="26"/>
          <w:rtl/>
        </w:rPr>
        <w:t>الدكتور / فايز علي جراد</w:t>
      </w:r>
    </w:p>
    <w:p w14:paraId="1E0B7C37" w14:textId="56226AE9" w:rsidR="00F221C7" w:rsidRPr="00C4456C" w:rsidRDefault="005C5A9A" w:rsidP="006E483B">
      <w:pPr>
        <w:spacing w:before="100" w:beforeAutospacing="1" w:after="100" w:afterAutospacing="1" w:line="360" w:lineRule="auto"/>
        <w:ind w:hanging="10"/>
        <w:jc w:val="center"/>
        <w:rPr>
          <w:rFonts w:ascii="Sakkal Majalla" w:hAnsi="Sakkal Majalla" w:cs="Sakkal Majalla"/>
          <w:rtl/>
        </w:rPr>
      </w:pPr>
      <w:r w:rsidRPr="006D6DBB">
        <w:rPr>
          <w:rFonts w:ascii="Sakkal Majalla" w:eastAsia="Arial" w:hAnsi="Sakkal Majalla" w:cs="Sakkal Majalla"/>
          <w:b/>
          <w:bCs/>
          <w:sz w:val="26"/>
          <w:szCs w:val="26"/>
          <w:rtl/>
        </w:rPr>
        <w:t>العام الدراسي</w:t>
      </w:r>
    </w:p>
    <w:p w14:paraId="54B2E261" w14:textId="2851EC32" w:rsidR="00F221C7" w:rsidRPr="00F51A46" w:rsidRDefault="005C5A9A" w:rsidP="006E483B">
      <w:pPr>
        <w:spacing w:before="100" w:beforeAutospacing="1" w:after="100" w:afterAutospacing="1" w:line="360" w:lineRule="auto"/>
        <w:jc w:val="center"/>
        <w:rPr>
          <w:rFonts w:ascii="Sakkal Majalla" w:eastAsia="Arial" w:hAnsi="Sakkal Majalla" w:cs="Sakkal Majalla"/>
          <w:b/>
          <w:sz w:val="26"/>
        </w:rPr>
      </w:pPr>
      <w:r w:rsidRPr="006D6DBB">
        <w:rPr>
          <w:rFonts w:ascii="Sakkal Majalla" w:eastAsia="Arial" w:hAnsi="Sakkal Majalla" w:cs="Sakkal Majalla"/>
          <w:b/>
          <w:sz w:val="26"/>
        </w:rPr>
        <w:t>2025</w:t>
      </w:r>
    </w:p>
    <w:p w14:paraId="251F01D1" w14:textId="77777777" w:rsidR="00BC2508" w:rsidRDefault="00BC2508" w:rsidP="00A452DD">
      <w:pPr>
        <w:spacing w:after="0" w:line="360" w:lineRule="auto"/>
        <w:jc w:val="both"/>
        <w:rPr>
          <w:rFonts w:ascii="Sakkal Majalla" w:eastAsia="Arial" w:hAnsi="Sakkal Majalla" w:cs="Sakkal Majalla"/>
          <w:b/>
          <w:bCs/>
          <w:sz w:val="28"/>
          <w:szCs w:val="28"/>
          <w:rtl/>
        </w:rPr>
      </w:pPr>
    </w:p>
    <w:p w14:paraId="56E174D0" w14:textId="77777777" w:rsidR="00E55CE4" w:rsidRDefault="00E55CE4" w:rsidP="00A452DD">
      <w:pPr>
        <w:spacing w:after="0" w:line="360" w:lineRule="auto"/>
        <w:jc w:val="both"/>
        <w:rPr>
          <w:rFonts w:ascii="Sakkal Majalla" w:eastAsia="Arial" w:hAnsi="Sakkal Majalla" w:cs="Sakkal Majalla"/>
          <w:b/>
          <w:bCs/>
          <w:sz w:val="28"/>
          <w:szCs w:val="28"/>
          <w:rtl/>
        </w:rPr>
      </w:pPr>
    </w:p>
    <w:p w14:paraId="3CCFF46E" w14:textId="77777777" w:rsidR="00E55CE4" w:rsidRDefault="00E55CE4" w:rsidP="00A452DD">
      <w:pPr>
        <w:spacing w:after="0" w:line="360" w:lineRule="auto"/>
        <w:jc w:val="both"/>
        <w:rPr>
          <w:rFonts w:ascii="Sakkal Majalla" w:eastAsia="Arial" w:hAnsi="Sakkal Majalla" w:cs="Sakkal Majalla"/>
          <w:b/>
          <w:bCs/>
          <w:sz w:val="28"/>
          <w:szCs w:val="28"/>
          <w:rtl/>
        </w:rPr>
      </w:pPr>
    </w:p>
    <w:p w14:paraId="7AD106D6" w14:textId="0192461E" w:rsidR="00E341FB" w:rsidRPr="00AC1312" w:rsidRDefault="0007466C" w:rsidP="0007466C">
      <w:pPr>
        <w:spacing w:after="0" w:line="360" w:lineRule="auto"/>
        <w:jc w:val="both"/>
        <w:rPr>
          <w:rFonts w:ascii="Sakkal Majalla" w:eastAsia="Arial" w:hAnsi="Sakkal Majalla" w:cs="Sakkal Majalla"/>
          <w:b/>
          <w:bCs/>
          <w:sz w:val="32"/>
          <w:szCs w:val="32"/>
          <w:lang w:val="en-US"/>
        </w:rPr>
      </w:pPr>
      <w:r w:rsidRPr="0007466C">
        <w:rPr>
          <w:rFonts w:ascii="Sakkal Majalla" w:eastAsia="Arial" w:hAnsi="Sakkal Majalla" w:cs="Sakkal Majalla"/>
          <w:b/>
          <w:bCs/>
          <w:sz w:val="32"/>
          <w:szCs w:val="32"/>
          <w:rtl/>
          <w:lang w:bidi="ar-SA"/>
        </w:rPr>
        <w:lastRenderedPageBreak/>
        <w:t>الفصل الأول: المقدمة والإطار النظري</w:t>
      </w:r>
    </w:p>
    <w:p w14:paraId="72188FCC" w14:textId="1BE0C648" w:rsidR="00AC1312" w:rsidRPr="00AC1312" w:rsidRDefault="00AC1312" w:rsidP="00AC1312">
      <w:pPr>
        <w:spacing w:after="0" w:line="360" w:lineRule="auto"/>
        <w:jc w:val="both"/>
        <w:rPr>
          <w:rFonts w:ascii="Sakkal Majalla" w:eastAsia="Arial" w:hAnsi="Sakkal Majalla" w:cs="Sakkal Majalla"/>
          <w:b/>
          <w:bCs/>
          <w:sz w:val="28"/>
          <w:szCs w:val="28"/>
          <w:rtl/>
          <w:lang w:val="en-US"/>
        </w:rPr>
      </w:pPr>
      <w:r w:rsidRPr="00AC1312">
        <w:rPr>
          <w:rFonts w:ascii="Sakkal Majalla" w:eastAsia="Arial" w:hAnsi="Sakkal Majalla" w:cs="Sakkal Majalla" w:hint="cs"/>
          <w:b/>
          <w:bCs/>
          <w:sz w:val="28"/>
          <w:szCs w:val="28"/>
          <w:rtl/>
          <w:lang w:bidi="ar-SA"/>
        </w:rPr>
        <w:t>مقدمة الدراسة:</w:t>
      </w:r>
    </w:p>
    <w:p w14:paraId="40004351" w14:textId="46983592" w:rsidR="00E341FB" w:rsidRPr="005844B7" w:rsidRDefault="005C5A9A" w:rsidP="00A452DD">
      <w:pPr>
        <w:spacing w:after="0" w:line="360" w:lineRule="auto"/>
        <w:jc w:val="both"/>
        <w:rPr>
          <w:rFonts w:ascii="Sakkal Majalla" w:hAnsi="Sakkal Majalla" w:cs="Sakkal Majalla"/>
          <w:sz w:val="24"/>
        </w:rPr>
      </w:pPr>
      <w:r w:rsidRPr="005844B7">
        <w:rPr>
          <w:rFonts w:ascii="Sakkal Majalla" w:eastAsia="Arial" w:hAnsi="Sakkal Majalla" w:cs="Sakkal Majalla"/>
          <w:sz w:val="24"/>
          <w:rtl/>
        </w:rPr>
        <w:t xml:space="preserve">تعُد مشكلة الدوران الوظيفي من أبرز التحديات التي تواجه المؤسسات في مختلفالقطاعات، إلا أنها تظهر بشكل أكبر حدة في القطاع الصناعي، نظرًا لطبيعة العمل </w:t>
      </w:r>
      <w:r w:rsidR="00383EA3" w:rsidRPr="005844B7">
        <w:rPr>
          <w:rFonts w:ascii="Sakkal Majalla" w:eastAsia="Arial" w:hAnsi="Sakkal Majalla" w:cs="Sakkal Majalla" w:hint="cs"/>
          <w:sz w:val="24"/>
          <w:rtl/>
        </w:rPr>
        <w:t>فيه، واحتياج</w:t>
      </w:r>
      <w:r w:rsidR="00383EA3" w:rsidRPr="005844B7">
        <w:rPr>
          <w:rFonts w:ascii="Sakkal Majalla" w:eastAsia="Arial" w:hAnsi="Sakkal Majalla" w:cs="Sakkal Majalla" w:hint="eastAsia"/>
          <w:sz w:val="24"/>
          <w:rtl/>
        </w:rPr>
        <w:t>ه</w:t>
      </w:r>
      <w:r w:rsidRPr="005844B7">
        <w:rPr>
          <w:rFonts w:ascii="Sakkal Majalla" w:eastAsia="Arial" w:hAnsi="Sakkal Majalla" w:cs="Sakkal Majalla"/>
          <w:sz w:val="24"/>
          <w:rtl/>
        </w:rPr>
        <w:t xml:space="preserve"> إلى مهارات معينة، واستمرارية في الأداء. فالموظف ليس مجرد عنصر فيمنظومة العمل، بل هو محور أساسي في إنتاج القيمة، والمحافظة عليه تعني استقرارالمؤسسة ونموها.</w:t>
      </w:r>
    </w:p>
    <w:p w14:paraId="652352C4" w14:textId="65764F76" w:rsidR="00E341FB" w:rsidRPr="005844B7" w:rsidRDefault="005C5A9A" w:rsidP="00A452DD">
      <w:pPr>
        <w:spacing w:after="0" w:line="360" w:lineRule="auto"/>
        <w:jc w:val="both"/>
        <w:rPr>
          <w:rFonts w:ascii="Sakkal Majalla" w:hAnsi="Sakkal Majalla" w:cs="Sakkal Majalla"/>
          <w:sz w:val="24"/>
        </w:rPr>
      </w:pPr>
      <w:r w:rsidRPr="005844B7">
        <w:rPr>
          <w:rFonts w:ascii="Sakkal Majalla" w:eastAsia="Arial" w:hAnsi="Sakkal Majalla" w:cs="Sakkal Majalla"/>
          <w:sz w:val="24"/>
          <w:rtl/>
        </w:rPr>
        <w:t xml:space="preserve">في السنوات الأخيرة، وبالتزامن مع تحولات المملكة العربية السعودية ضمن رؤية </w:t>
      </w:r>
      <w:r w:rsidR="005C477A" w:rsidRPr="005844B7">
        <w:rPr>
          <w:rFonts w:ascii="Sakkal Majalla" w:eastAsia="Arial" w:hAnsi="Sakkal Majalla" w:cs="Sakkal Majalla"/>
          <w:sz w:val="24"/>
        </w:rPr>
        <w:t>2030</w:t>
      </w:r>
      <w:r w:rsidR="005C477A" w:rsidRPr="005844B7">
        <w:rPr>
          <w:rFonts w:ascii="Sakkal Majalla" w:eastAsia="Arial" w:hAnsi="Sakkal Majalla" w:cs="Sakkal Majalla" w:hint="cs"/>
          <w:sz w:val="24"/>
          <w:rtl/>
        </w:rPr>
        <w:t>، شه</w:t>
      </w:r>
      <w:r w:rsidR="005C477A" w:rsidRPr="005844B7">
        <w:rPr>
          <w:rFonts w:ascii="Sakkal Majalla" w:eastAsia="Arial" w:hAnsi="Sakkal Majalla" w:cs="Sakkal Majalla" w:hint="eastAsia"/>
          <w:sz w:val="24"/>
          <w:rtl/>
        </w:rPr>
        <w:t>د</w:t>
      </w:r>
      <w:r w:rsidRPr="005844B7">
        <w:rPr>
          <w:rFonts w:ascii="Sakkal Majalla" w:eastAsia="Arial" w:hAnsi="Sakkal Majalla" w:cs="Sakkal Majalla"/>
          <w:sz w:val="24"/>
          <w:rtl/>
        </w:rPr>
        <w:t xml:space="preserve"> القطاع الصناعي توسعًا كبيرًا وتوجهًا نحو توطين الوظائف ورفع كفاءة المواردالبشرية. إلا أن ذلك الجهد كثيرًا ما يصطدم بواقع ارتفاع معدلات دوران الموظفين، ممايخلق تحدياً حقيقياً أمام استدامة النمو الصناعي، ويستنزف الطاقات المالية والبشرية.</w:t>
      </w:r>
    </w:p>
    <w:p w14:paraId="172B08F7" w14:textId="71B68F97" w:rsidR="00E341FB" w:rsidRPr="005844B7" w:rsidRDefault="005C5A9A" w:rsidP="00A452DD">
      <w:pPr>
        <w:spacing w:after="0" w:line="360" w:lineRule="auto"/>
        <w:jc w:val="both"/>
        <w:rPr>
          <w:rFonts w:ascii="Sakkal Majalla" w:hAnsi="Sakkal Majalla" w:cs="Sakkal Majalla"/>
          <w:sz w:val="24"/>
        </w:rPr>
      </w:pPr>
      <w:r w:rsidRPr="005844B7">
        <w:rPr>
          <w:rFonts w:ascii="Sakkal Majalla" w:eastAsia="Arial" w:hAnsi="Sakkal Majalla" w:cs="Sakkal Majalla"/>
          <w:sz w:val="24"/>
          <w:rtl/>
        </w:rPr>
        <w:t xml:space="preserve">تشير الدراسات إلى أن قرار الموظف بترك العمل لا يكون في الغالب قرارًا مفاجئاً، بل هونتيجة تراكمات تشمل ضعفًا في التواصل، قلة فرص التطوير، عدم الرضا عن بيئة العمل أوضعف العدالة في التقدير والمكافآت. لذلك، بات من الضروري دراسة العلاقة بين </w:t>
      </w:r>
      <w:r w:rsidR="00F508CA" w:rsidRPr="005844B7">
        <w:rPr>
          <w:rFonts w:ascii="Sakkal Majalla" w:eastAsia="Arial" w:hAnsi="Sakkal Majalla" w:cs="Sakkal Majalla" w:hint="cs"/>
          <w:sz w:val="24"/>
          <w:rtl/>
        </w:rPr>
        <w:t>ممارسات إدار</w:t>
      </w:r>
      <w:r w:rsidR="00F508CA" w:rsidRPr="005844B7">
        <w:rPr>
          <w:rFonts w:ascii="Sakkal Majalla" w:eastAsia="Arial" w:hAnsi="Sakkal Majalla" w:cs="Sakkal Majalla" w:hint="eastAsia"/>
          <w:sz w:val="24"/>
          <w:rtl/>
        </w:rPr>
        <w:t>ة</w:t>
      </w:r>
      <w:r w:rsidRPr="005844B7">
        <w:rPr>
          <w:rFonts w:ascii="Sakkal Majalla" w:eastAsia="Arial" w:hAnsi="Sakkal Majalla" w:cs="Sakkal Majalla"/>
          <w:sz w:val="24"/>
          <w:rtl/>
        </w:rPr>
        <w:t xml:space="preserve"> الموارد البشرية </w:t>
      </w:r>
      <w:r w:rsidR="00146220" w:rsidRPr="005844B7">
        <w:rPr>
          <w:rFonts w:ascii="Sakkal Majalla" w:eastAsia="Arial" w:hAnsi="Sakkal Majalla" w:cs="Sakkal Majalla"/>
          <w:sz w:val="24"/>
          <w:rtl/>
        </w:rPr>
        <w:t>-</w:t>
      </w:r>
      <w:r w:rsidRPr="005844B7">
        <w:rPr>
          <w:rFonts w:ascii="Sakkal Majalla" w:eastAsia="Arial" w:hAnsi="Sakkal Majalla" w:cs="Sakkal Majalla"/>
          <w:sz w:val="24"/>
          <w:rtl/>
        </w:rPr>
        <w:t xml:space="preserve"> كالتوظيف، التدريب، التحفيز، وتقييم الأداء </w:t>
      </w:r>
      <w:r w:rsidR="00146220" w:rsidRPr="005844B7">
        <w:rPr>
          <w:rFonts w:ascii="Sakkal Majalla" w:eastAsia="Arial" w:hAnsi="Sakkal Majalla" w:cs="Sakkal Majalla"/>
          <w:sz w:val="24"/>
          <w:rtl/>
        </w:rPr>
        <w:t>-</w:t>
      </w:r>
      <w:r w:rsidRPr="005844B7">
        <w:rPr>
          <w:rFonts w:ascii="Sakkal Majalla" w:eastAsia="Arial" w:hAnsi="Sakkal Majalla" w:cs="Sakkal Majalla"/>
          <w:sz w:val="24"/>
          <w:rtl/>
        </w:rPr>
        <w:t xml:space="preserve"> وبين </w:t>
      </w:r>
      <w:r w:rsidR="0074374F" w:rsidRPr="005844B7">
        <w:rPr>
          <w:rFonts w:ascii="Sakkal Majalla" w:eastAsia="Arial" w:hAnsi="Sakkal Majalla" w:cs="Sakkal Majalla" w:hint="cs"/>
          <w:sz w:val="24"/>
          <w:rtl/>
        </w:rPr>
        <w:t>معدلات الدورا</w:t>
      </w:r>
      <w:r w:rsidR="0074374F" w:rsidRPr="005844B7">
        <w:rPr>
          <w:rFonts w:ascii="Sakkal Majalla" w:eastAsia="Arial" w:hAnsi="Sakkal Majalla" w:cs="Sakkal Majalla" w:hint="eastAsia"/>
          <w:sz w:val="24"/>
          <w:rtl/>
        </w:rPr>
        <w:t>ن</w:t>
      </w:r>
      <w:r w:rsidRPr="005844B7">
        <w:rPr>
          <w:rFonts w:ascii="Sakkal Majalla" w:eastAsia="Arial" w:hAnsi="Sakkal Majalla" w:cs="Sakkal Majalla"/>
          <w:sz w:val="24"/>
          <w:rtl/>
        </w:rPr>
        <w:t xml:space="preserve"> الوظيفي، لفهم كيف تؤثر تلك الممارسات على قرار الموظف بالبقاء أو المغادرة.</w:t>
      </w:r>
    </w:p>
    <w:p w14:paraId="74E74BAE" w14:textId="5C807559" w:rsidR="00E341FB" w:rsidRPr="005844B7" w:rsidRDefault="005C5A9A" w:rsidP="009B399D">
      <w:pPr>
        <w:spacing w:after="0" w:line="360" w:lineRule="auto"/>
        <w:jc w:val="both"/>
        <w:rPr>
          <w:rFonts w:ascii="Sakkal Majalla" w:eastAsia="Arial" w:hAnsi="Sakkal Majalla" w:cs="Sakkal Majalla"/>
          <w:sz w:val="24"/>
        </w:rPr>
      </w:pPr>
      <w:r w:rsidRPr="005844B7">
        <w:rPr>
          <w:rFonts w:ascii="Sakkal Majalla" w:eastAsia="Arial" w:hAnsi="Sakkal Majalla" w:cs="Sakkal Majalla"/>
          <w:sz w:val="24"/>
          <w:rtl/>
        </w:rPr>
        <w:t>ومن هنا تتضح أهمية هذا البحث، إذ يسعى إلى تحليل عميق وواقعي لواقع ممارساتالموارد البشرية على معدلات الدوران الوظيفي في القطاع الصناعي السعودي، عبر دراسةميدانية تستند إلى بيانات حقيقية من المؤسسات الصناعية، تساعد في الوصول إلىتوصيات عملية تساهم في تقليل نسب المغادرة، وتحسين جودة بيئة العمل</w:t>
      </w:r>
    </w:p>
    <w:p w14:paraId="684F56C2" w14:textId="77777777" w:rsidR="00E341FB" w:rsidRPr="005844B7" w:rsidRDefault="005C5A9A" w:rsidP="00A452DD">
      <w:pPr>
        <w:spacing w:after="0" w:line="360" w:lineRule="auto"/>
        <w:jc w:val="both"/>
        <w:rPr>
          <w:rFonts w:ascii="Sakkal Majalla" w:hAnsi="Sakkal Majalla" w:cs="Sakkal Majalla"/>
          <w:sz w:val="24"/>
        </w:rPr>
      </w:pPr>
      <w:r w:rsidRPr="005844B7">
        <w:rPr>
          <w:rFonts w:ascii="Sakkal Majalla" w:eastAsia="Arial" w:hAnsi="Sakkal Majalla" w:cs="Sakkal Majalla"/>
          <w:sz w:val="24"/>
          <w:rtl/>
        </w:rPr>
        <w:t xml:space="preserve">تعُد إدارة الموارد البشرية من الركائز الأساسية لنجاح المؤسسات الصناعية، إذ تمثل الرابط الحيوي بين الأهداف الاستراتيجية للمؤسسة وبين التنفيذ الفعلي لهذه الأهدافعلى أرض الواقع. وقد أكدت الدراسات الأكاديمية الحديثة على الدور الحاسم للموارد البشرية في تحقيق التميز المؤسسي، حيث أشار </w:t>
      </w:r>
      <w:r w:rsidRPr="005844B7">
        <w:rPr>
          <w:rFonts w:ascii="Sakkal Majalla" w:eastAsia="Arial" w:hAnsi="Sakkal Majalla" w:cs="Sakkal Majalla"/>
          <w:sz w:val="24"/>
        </w:rPr>
        <w:t>Armstrong (2020)</w:t>
      </w:r>
      <w:r w:rsidRPr="005844B7">
        <w:rPr>
          <w:rFonts w:ascii="Sakkal Majalla" w:eastAsia="Arial" w:hAnsi="Sakkal Majalla" w:cs="Sakkal Majalla"/>
          <w:sz w:val="24"/>
          <w:rtl/>
        </w:rPr>
        <w:t xml:space="preserve"> إلى أنالإدارة الفعالة للموارد البشرية ترتبط ارتباطًا مباشرًا بزيادة الإنتاجية، وتحسين جودة المنتجات، وتعزيز القدرة التنافسية للشركات في الأسواق المحلية والدولية.</w:t>
      </w:r>
    </w:p>
    <w:p w14:paraId="46C036C1" w14:textId="77777777" w:rsidR="00E341FB" w:rsidRPr="005844B7" w:rsidRDefault="005C5A9A" w:rsidP="00A452DD">
      <w:pPr>
        <w:spacing w:after="0" w:line="360" w:lineRule="auto"/>
        <w:jc w:val="both"/>
        <w:rPr>
          <w:rFonts w:ascii="Sakkal Majalla" w:hAnsi="Sakkal Majalla" w:cs="Sakkal Majalla"/>
          <w:sz w:val="24"/>
        </w:rPr>
      </w:pPr>
      <w:r w:rsidRPr="005844B7">
        <w:rPr>
          <w:rFonts w:ascii="Sakkal Majalla" w:eastAsia="Arial" w:hAnsi="Sakkal Majalla" w:cs="Sakkal Majalla"/>
          <w:sz w:val="24"/>
          <w:rtl/>
        </w:rPr>
        <w:t>وفي ظل التغيرات السريعة في بيئة الأعمال، التي تتسم بالمنافسة الشديدة والتطور التكنولوجي المستمر، تواجه الشركات الصناعية في المملكة العربية السعودية تحدياتكبيرة تتعلق بالحفاظ على رأس المال البشري وإدارته بكفاءة.</w:t>
      </w:r>
    </w:p>
    <w:p w14:paraId="570161A1" w14:textId="538DCB31" w:rsidR="00E341FB" w:rsidRPr="005844B7" w:rsidRDefault="005C5A9A" w:rsidP="00A452DD">
      <w:pPr>
        <w:spacing w:after="0" w:line="360" w:lineRule="auto"/>
        <w:jc w:val="both"/>
        <w:rPr>
          <w:rFonts w:ascii="Sakkal Majalla" w:hAnsi="Sakkal Majalla" w:cs="Sakkal Majalla"/>
          <w:sz w:val="24"/>
        </w:rPr>
      </w:pPr>
      <w:r w:rsidRPr="005844B7">
        <w:rPr>
          <w:rFonts w:ascii="Sakkal Majalla" w:eastAsia="Arial" w:hAnsi="Sakkal Majalla" w:cs="Sakkal Majalla"/>
          <w:sz w:val="24"/>
          <w:rtl/>
        </w:rPr>
        <w:t xml:space="preserve">تشير البيانات الميدانية إلى أن قطاع الصناعة السعودي، رغم الدعم الحكومي الكبير والتوسع الصناعي في ظل رؤية المملكة </w:t>
      </w:r>
      <w:r w:rsidRPr="005844B7">
        <w:rPr>
          <w:rFonts w:ascii="Sakkal Majalla" w:eastAsia="Arial" w:hAnsi="Sakkal Majalla" w:cs="Sakkal Majalla"/>
          <w:sz w:val="24"/>
        </w:rPr>
        <w:t>2030</w:t>
      </w:r>
      <w:r w:rsidRPr="005844B7">
        <w:rPr>
          <w:rFonts w:ascii="Sakkal Majalla" w:eastAsia="Arial" w:hAnsi="Sakkal Majalla" w:cs="Sakkal Majalla"/>
          <w:sz w:val="24"/>
          <w:rtl/>
        </w:rPr>
        <w:t xml:space="preserve">، يعاني من ارتفاع معدلات الدورانالوظيفي في بعض الشركات، ونقص المهارات الأساسية بين الموظفين، وضعف برامج التدريب والتطوير، فضلًا عن قلة الحوافز المادية والمعنوية التي تشجع </w:t>
      </w:r>
      <w:r w:rsidR="00BE7C0D" w:rsidRPr="005844B7">
        <w:rPr>
          <w:rFonts w:ascii="Sakkal Majalla" w:eastAsia="Arial" w:hAnsi="Sakkal Majalla" w:cs="Sakkal Majalla" w:hint="cs"/>
          <w:sz w:val="24"/>
          <w:rtl/>
        </w:rPr>
        <w:t>الموظفين عل</w:t>
      </w:r>
      <w:r w:rsidR="00BE7C0D" w:rsidRPr="005844B7">
        <w:rPr>
          <w:rFonts w:ascii="Sakkal Majalla" w:eastAsia="Arial" w:hAnsi="Sakkal Majalla" w:cs="Sakkal Majalla" w:hint="eastAsia"/>
          <w:sz w:val="24"/>
          <w:rtl/>
        </w:rPr>
        <w:t>ى</w:t>
      </w:r>
      <w:r w:rsidRPr="005844B7">
        <w:rPr>
          <w:rFonts w:ascii="Sakkal Majalla" w:eastAsia="Arial" w:hAnsi="Sakkal Majalla" w:cs="Sakkal Majalla"/>
          <w:sz w:val="24"/>
          <w:rtl/>
        </w:rPr>
        <w:t xml:space="preserve"> الاستمرارية </w:t>
      </w:r>
      <w:r w:rsidR="00616C95" w:rsidRPr="005844B7">
        <w:rPr>
          <w:rFonts w:ascii="Sakkal Majalla" w:eastAsia="Arial" w:hAnsi="Sakkal Majalla" w:cs="Sakkal Majalla" w:hint="cs"/>
          <w:sz w:val="24"/>
          <w:rtl/>
        </w:rPr>
        <w:t>والتميز) وزارة</w:t>
      </w:r>
      <w:r w:rsidRPr="005844B7">
        <w:rPr>
          <w:rFonts w:ascii="Sakkal Majalla" w:eastAsia="Arial" w:hAnsi="Sakkal Majalla" w:cs="Sakkal Majalla"/>
          <w:sz w:val="24"/>
          <w:rtl/>
        </w:rPr>
        <w:t xml:space="preserve"> الموارد البشرية والتنمية الاجتماعية، </w:t>
      </w:r>
      <w:r w:rsidRPr="005844B7">
        <w:rPr>
          <w:rFonts w:ascii="Sakkal Majalla" w:eastAsia="Arial" w:hAnsi="Sakkal Majalla" w:cs="Sakkal Majalla"/>
          <w:sz w:val="24"/>
        </w:rPr>
        <w:t>2022</w:t>
      </w:r>
      <w:r w:rsidRPr="005844B7">
        <w:rPr>
          <w:rFonts w:ascii="Sakkal Majalla" w:eastAsia="Arial" w:hAnsi="Sakkal Majalla" w:cs="Sakkal Majalla"/>
          <w:sz w:val="24"/>
          <w:rtl/>
        </w:rPr>
        <w:t xml:space="preserve">(. وتوضح دراسة حديثة لشركة </w:t>
      </w:r>
      <w:r w:rsidRPr="005844B7">
        <w:rPr>
          <w:rFonts w:ascii="Sakkal Majalla" w:eastAsia="Arial" w:hAnsi="Sakkal Majalla" w:cs="Sakkal Majalla"/>
          <w:sz w:val="24"/>
        </w:rPr>
        <w:t>McKinsey &amp; Company (2021)</w:t>
      </w:r>
      <w:r w:rsidRPr="005844B7">
        <w:rPr>
          <w:rFonts w:ascii="Sakkal Majalla" w:eastAsia="Arial" w:hAnsi="Sakkal Majalla" w:cs="Sakkal Majalla"/>
          <w:sz w:val="24"/>
          <w:rtl/>
        </w:rPr>
        <w:t xml:space="preserve"> أن الشركاتالصناعية التي لا تركز على تطوير مهارات موظفيها وإدارة رأس المال البشري بشكل استراتيجي تواجه صعوبات ملموسة في الحفاظ على الإنتاجية، وتحقيق الجودةالمطلوبة، والابتكار المستمر.</w:t>
      </w:r>
    </w:p>
    <w:p w14:paraId="6B0B3D52" w14:textId="77777777" w:rsidR="00E341FB" w:rsidRPr="005844B7" w:rsidRDefault="005C5A9A" w:rsidP="00A452DD">
      <w:pPr>
        <w:spacing w:after="0"/>
        <w:ind w:hanging="10"/>
        <w:jc w:val="both"/>
        <w:rPr>
          <w:rFonts w:ascii="Sakkal Majalla" w:hAnsi="Sakkal Majalla" w:cs="Sakkal Majalla"/>
          <w:sz w:val="24"/>
        </w:rPr>
      </w:pPr>
      <w:r w:rsidRPr="005844B7">
        <w:rPr>
          <w:rFonts w:ascii="Sakkal Majalla" w:eastAsia="Arial" w:hAnsi="Sakkal Majalla" w:cs="Sakkal Majalla"/>
          <w:sz w:val="24"/>
          <w:rtl/>
        </w:rPr>
        <w:lastRenderedPageBreak/>
        <w:t>تتعدد مظاهر المشكلة في القطاع الصناعي السعودي، فهي ليست مجرد قضية تشغيلية مؤقتة، بل مشكلة استراتيجية تؤثر على الأداء المؤسسي والقدرة التنافسية للشركة.</w:t>
      </w:r>
    </w:p>
    <w:p w14:paraId="293C58D8" w14:textId="77777777" w:rsidR="00E341FB" w:rsidRPr="005844B7" w:rsidRDefault="005C5A9A" w:rsidP="00A452DD">
      <w:pPr>
        <w:spacing w:after="0" w:line="413" w:lineRule="auto"/>
        <w:ind w:hanging="10"/>
        <w:jc w:val="both"/>
        <w:rPr>
          <w:rFonts w:ascii="Sakkal Majalla" w:hAnsi="Sakkal Majalla" w:cs="Sakkal Majalla"/>
          <w:sz w:val="24"/>
        </w:rPr>
      </w:pPr>
      <w:r w:rsidRPr="005844B7">
        <w:rPr>
          <w:rFonts w:ascii="Sakkal Majalla" w:eastAsia="Arial" w:hAnsi="Sakkal Majalla" w:cs="Sakkal Majalla"/>
          <w:sz w:val="24"/>
          <w:rtl/>
        </w:rPr>
        <w:t xml:space="preserve">ومن أبرز مظاهر هذه المشكلة: ارتفاع معدل الدوران الوظيفي، الذي يؤدي إلى فقدان الخبرات والمهارات، وزيادة التكاليف التشغيلية المرتبطة بالتوظيف والتدريبالمستمر؛ نقص المهارات والكفاءات المناسبة، مما يؤثر على جودة الإنتاج وسرعة الإنجاز؛ وضعف برامج التحفيز والتقدير الوظيفي، مما يقلل من التزام الموظفينوتحفيزهم على تقديم أفضل أداء. هذا التحليل يتماشى مع ما أشار إليه </w:t>
      </w:r>
      <w:r w:rsidRPr="005844B7">
        <w:rPr>
          <w:rFonts w:ascii="Sakkal Majalla" w:eastAsia="Arial" w:hAnsi="Sakkal Majalla" w:cs="Sakkal Majalla"/>
          <w:sz w:val="24"/>
        </w:rPr>
        <w:t>Becker &amp; Huselid (2010)</w:t>
      </w:r>
      <w:r w:rsidRPr="005844B7">
        <w:rPr>
          <w:rFonts w:ascii="Sakkal Majalla" w:eastAsia="Arial" w:hAnsi="Sakkal Majalla" w:cs="Sakkal Majalla"/>
          <w:sz w:val="24"/>
          <w:rtl/>
        </w:rPr>
        <w:t xml:space="preserve"> بأن الإدارة الفعالة للموارد البشرية تعُد عنصرًا محورياً فينجاح المؤسسات الصناعية وتحقيق أهدافها طويلة المدى.</w:t>
      </w:r>
    </w:p>
    <w:p w14:paraId="0B291915" w14:textId="404F42EC" w:rsidR="00E341FB" w:rsidRPr="005844B7" w:rsidRDefault="005C5A9A" w:rsidP="00A452DD">
      <w:pPr>
        <w:spacing w:after="0" w:line="413" w:lineRule="auto"/>
        <w:ind w:hanging="10"/>
        <w:jc w:val="both"/>
        <w:rPr>
          <w:rFonts w:ascii="Sakkal Majalla" w:hAnsi="Sakkal Majalla" w:cs="Sakkal Majalla"/>
          <w:sz w:val="24"/>
        </w:rPr>
      </w:pPr>
      <w:r w:rsidRPr="005844B7">
        <w:rPr>
          <w:rFonts w:ascii="Sakkal Majalla" w:eastAsia="Arial" w:hAnsi="Sakkal Majalla" w:cs="Sakkal Majalla"/>
          <w:sz w:val="24"/>
          <w:rtl/>
        </w:rPr>
        <w:t xml:space="preserve">من الناحية الاقتصادية، تشير الدراسات إلى أن الشركات التي لا تدير مواردها البشرية بشكل فعال تتعرض لخسائر مباشرة وغير مباشرة، تتراوح بين فقدان الفرصالاستثمارية، وتراجع الإنتاجية، وزيادة الأخطاء التشغيلية، وتأخير تسليم المنتجات </w:t>
      </w:r>
      <w:r w:rsidR="002911C3" w:rsidRPr="005844B7">
        <w:rPr>
          <w:rFonts w:ascii="Sakkal Majalla" w:eastAsia="Arial" w:hAnsi="Sakkal Majalla" w:cs="Sakkal Majalla" w:hint="cs"/>
          <w:sz w:val="24"/>
          <w:rtl/>
        </w:rPr>
        <w:t xml:space="preserve">للعملاء) </w:t>
      </w:r>
      <w:proofErr w:type="spellStart"/>
      <w:r w:rsidR="002911C3" w:rsidRPr="005844B7">
        <w:rPr>
          <w:rFonts w:ascii="Sakkal Majalla" w:eastAsia="Arial" w:hAnsi="Sakkal Majalla" w:cs="Sakkal Majalla" w:hint="cs"/>
          <w:sz w:val="24"/>
        </w:rPr>
        <w:t>Kaufman</w:t>
      </w:r>
      <w:proofErr w:type="spellEnd"/>
      <w:r w:rsidRPr="005844B7">
        <w:rPr>
          <w:rFonts w:ascii="Sakkal Majalla" w:eastAsia="Arial" w:hAnsi="Sakkal Majalla" w:cs="Sakkal Majalla"/>
          <w:sz w:val="24"/>
        </w:rPr>
        <w:t>, 2015</w:t>
      </w:r>
      <w:r w:rsidRPr="005844B7">
        <w:rPr>
          <w:rFonts w:ascii="Sakkal Majalla" w:eastAsia="Arial" w:hAnsi="Sakkal Majalla" w:cs="Sakkal Majalla"/>
          <w:sz w:val="24"/>
          <w:rtl/>
        </w:rPr>
        <w:t>(. وفي المملكة العربية السعودية، أظهرت دراسةصادرة عن الهيئة العامة للإحصاء )</w:t>
      </w:r>
      <w:r w:rsidR="004E684B" w:rsidRPr="005844B7">
        <w:rPr>
          <w:rFonts w:ascii="Sakkal Majalla" w:eastAsia="Arial" w:hAnsi="Sakkal Majalla" w:cs="Sakkal Majalla"/>
          <w:sz w:val="24"/>
        </w:rPr>
        <w:t>2022</w:t>
      </w:r>
      <w:r w:rsidR="004E684B" w:rsidRPr="005844B7">
        <w:rPr>
          <w:rFonts w:ascii="Sakkal Majalla" w:eastAsia="Arial" w:hAnsi="Sakkal Majalla" w:cs="Sakkal Majalla" w:hint="cs"/>
          <w:sz w:val="24"/>
          <w:rtl/>
        </w:rPr>
        <w:t>(أن</w:t>
      </w:r>
      <w:r w:rsidRPr="005844B7">
        <w:rPr>
          <w:rFonts w:ascii="Sakkal Majalla" w:eastAsia="Arial" w:hAnsi="Sakkal Majalla" w:cs="Sakkal Majalla"/>
          <w:sz w:val="24"/>
          <w:rtl/>
        </w:rPr>
        <w:t xml:space="preserve"> بعض الشركات الصناعية الكبرى شهدت توقفًا جزئياً في خطوط الإنتاج بسبب ارتفاع معدل الدوران الوظيفي وفقدانالخبرات، مما يؤكد الأثر المباشر لإدارة الموارد البشرية على الأداء المؤسسي.</w:t>
      </w:r>
    </w:p>
    <w:p w14:paraId="42B40076" w14:textId="4E9BBF8D" w:rsidR="00E341FB" w:rsidRPr="005844B7" w:rsidRDefault="005C5A9A" w:rsidP="00A452DD">
      <w:pPr>
        <w:spacing w:after="0" w:line="413" w:lineRule="auto"/>
        <w:ind w:hanging="10"/>
        <w:jc w:val="both"/>
        <w:rPr>
          <w:rFonts w:ascii="Sakkal Majalla" w:hAnsi="Sakkal Majalla" w:cs="Sakkal Majalla"/>
          <w:sz w:val="24"/>
        </w:rPr>
      </w:pPr>
      <w:r w:rsidRPr="005844B7">
        <w:rPr>
          <w:rFonts w:ascii="Sakkal Majalla" w:eastAsia="Arial" w:hAnsi="Sakkal Majalla" w:cs="Sakkal Majalla"/>
          <w:sz w:val="24"/>
          <w:rtl/>
        </w:rPr>
        <w:t xml:space="preserve">تؤثر مشكلة إدارة الموارد البشرية أيضًا على القدرة التنافسية للشركة في السوقين المحلي والدولي. فالشركات التي تفشل في تطوير مهارات موظفيها وتحفيزهم بشكلمستمر تجد صعوبة في الابتكار وتقديم منتجات عالية الجودة، وهو ما ينعكس سلباً على سمعتها وعلاقاتها مع العملاء. وتؤكد دراسة أخرى لـ </w:t>
      </w:r>
      <w:proofErr w:type="spellStart"/>
      <w:r w:rsidRPr="005844B7">
        <w:rPr>
          <w:rFonts w:ascii="Sakkal Majalla" w:eastAsia="Arial" w:hAnsi="Sakkal Majalla" w:cs="Sakkal Majalla"/>
          <w:sz w:val="24"/>
        </w:rPr>
        <w:t>Boxall</w:t>
      </w:r>
      <w:proofErr w:type="spellEnd"/>
      <w:r w:rsidRPr="005844B7">
        <w:rPr>
          <w:rFonts w:ascii="Sakkal Majalla" w:eastAsia="Arial" w:hAnsi="Sakkal Majalla" w:cs="Sakkal Majalla"/>
          <w:sz w:val="24"/>
        </w:rPr>
        <w:t xml:space="preserve"> &amp; </w:t>
      </w:r>
      <w:proofErr w:type="spellStart"/>
      <w:r w:rsidR="004B7FE8" w:rsidRPr="005844B7">
        <w:rPr>
          <w:rFonts w:ascii="Sakkal Majalla" w:eastAsia="Arial" w:hAnsi="Sakkal Majalla" w:cs="Sakkal Majalla"/>
          <w:sz w:val="24"/>
        </w:rPr>
        <w:t>Purcell</w:t>
      </w:r>
      <w:proofErr w:type="spellEnd"/>
      <w:r w:rsidR="004B7FE8" w:rsidRPr="005844B7">
        <w:rPr>
          <w:rFonts w:ascii="Sakkal Majalla" w:eastAsia="Arial" w:hAnsi="Sakkal Majalla" w:cs="Sakkal Majalla" w:hint="cs"/>
          <w:sz w:val="24"/>
          <w:rtl/>
        </w:rPr>
        <w:t xml:space="preserve"> </w:t>
      </w:r>
      <w:r w:rsidR="004B7FE8" w:rsidRPr="005844B7">
        <w:rPr>
          <w:rFonts w:ascii="Sakkal Majalla" w:eastAsia="Arial" w:hAnsi="Sakkal Majalla" w:cs="Sakkal Majalla"/>
          <w:sz w:val="24"/>
          <w:rtl/>
        </w:rPr>
        <w:t>(</w:t>
      </w:r>
      <w:r w:rsidR="00332FFB" w:rsidRPr="005844B7">
        <w:rPr>
          <w:rFonts w:ascii="Sakkal Majalla" w:eastAsia="Arial" w:hAnsi="Sakkal Majalla" w:cs="Sakkal Majalla"/>
          <w:sz w:val="24"/>
          <w:lang w:val="en-US"/>
        </w:rPr>
        <w:t>2016</w:t>
      </w:r>
      <w:r w:rsidRPr="005844B7">
        <w:rPr>
          <w:rFonts w:ascii="Sakkal Majalla" w:eastAsia="Arial" w:hAnsi="Sakkal Majalla" w:cs="Sakkal Majalla"/>
          <w:sz w:val="24"/>
          <w:rtl/>
        </w:rPr>
        <w:t>) أن الإدارة الاستراتيجية للموارد البشرية تساعد المؤسسات على التكيف مع التغيرات السوقية والتكنولوجية بسرعة أكبر، وبالتالي تعزيز استدامة الأعمالوتحقيق النمو المستمر.</w:t>
      </w:r>
    </w:p>
    <w:p w14:paraId="0E8293CD" w14:textId="77777777" w:rsidR="00E341FB" w:rsidRPr="005844B7" w:rsidRDefault="005C5A9A" w:rsidP="00A452DD">
      <w:pPr>
        <w:spacing w:after="0" w:line="413" w:lineRule="auto"/>
        <w:ind w:hanging="10"/>
        <w:jc w:val="both"/>
        <w:rPr>
          <w:rFonts w:ascii="Sakkal Majalla" w:hAnsi="Sakkal Majalla" w:cs="Sakkal Majalla"/>
          <w:sz w:val="24"/>
        </w:rPr>
      </w:pPr>
      <w:r w:rsidRPr="005844B7">
        <w:rPr>
          <w:rFonts w:ascii="Sakkal Majalla" w:eastAsia="Arial" w:hAnsi="Sakkal Majalla" w:cs="Sakkal Majalla"/>
          <w:sz w:val="24"/>
          <w:rtl/>
        </w:rPr>
        <w:t xml:space="preserve">علاوة على ذلك، يمثل الاستثمار في الموارد البشرية أولوية استراتيجية للمؤسسات الصناعية السعودية، خاصة مع التوسع الصناعي الملحوظ في ظل برامج التحولالوطني ورؤية المملكة </w:t>
      </w:r>
      <w:r w:rsidRPr="005844B7">
        <w:rPr>
          <w:rFonts w:ascii="Sakkal Majalla" w:eastAsia="Arial" w:hAnsi="Sakkal Majalla" w:cs="Sakkal Majalla"/>
          <w:sz w:val="24"/>
        </w:rPr>
        <w:t>2030</w:t>
      </w:r>
      <w:r w:rsidRPr="005844B7">
        <w:rPr>
          <w:rFonts w:ascii="Sakkal Majalla" w:eastAsia="Arial" w:hAnsi="Sakkal Majalla" w:cs="Sakkal Majalla"/>
          <w:sz w:val="24"/>
          <w:rtl/>
        </w:rPr>
        <w:t xml:space="preserve">. فقد أظهرت التجارب العالمية، وفقًا لدراسة </w:t>
      </w:r>
      <w:r w:rsidRPr="005844B7">
        <w:rPr>
          <w:rFonts w:ascii="Sakkal Majalla" w:eastAsia="Arial" w:hAnsi="Sakkal Majalla" w:cs="Sakkal Majalla"/>
          <w:sz w:val="24"/>
        </w:rPr>
        <w:t>PwC (2021)</w:t>
      </w:r>
      <w:r w:rsidRPr="005844B7">
        <w:rPr>
          <w:rFonts w:ascii="Sakkal Majalla" w:eastAsia="Arial" w:hAnsi="Sakkal Majalla" w:cs="Sakkal Majalla"/>
          <w:sz w:val="24"/>
          <w:rtl/>
        </w:rPr>
        <w:t xml:space="preserve">، أن الشركات التي تستثمر في التدريب والتطوير المهني لموظفيها تحققزيادة بنسبة تصل إلى </w:t>
      </w:r>
      <w:r w:rsidRPr="005844B7">
        <w:rPr>
          <w:rFonts w:ascii="Sakkal Majalla" w:eastAsia="Arial" w:hAnsi="Sakkal Majalla" w:cs="Sakkal Majalla"/>
          <w:sz w:val="24"/>
        </w:rPr>
        <w:t>20</w:t>
      </w:r>
      <w:r w:rsidRPr="005844B7">
        <w:rPr>
          <w:rFonts w:ascii="Sakkal Majalla" w:eastAsia="Arial" w:hAnsi="Sakkal Majalla" w:cs="Sakkal Majalla"/>
          <w:sz w:val="24"/>
          <w:rtl/>
        </w:rPr>
        <w:t>% في الإنتاجية، وتحسناً ملموسًا في رضا العملاء، وتقليلًا كبيرًا في معدل الدوران الوظيفي. وبالتالي، يمكن القول إن إدارة الموارد البشريةليست مجرد وظيفة إدارية، بل هي محرك رئيسي للنجاح المؤسسي والابتكار المستدام.</w:t>
      </w:r>
    </w:p>
    <w:p w14:paraId="426CC649" w14:textId="77777777" w:rsidR="00E341FB" w:rsidRPr="005844B7" w:rsidRDefault="005C5A9A" w:rsidP="00A452DD">
      <w:pPr>
        <w:spacing w:after="0" w:line="413" w:lineRule="auto"/>
        <w:ind w:hanging="10"/>
        <w:jc w:val="both"/>
        <w:rPr>
          <w:rFonts w:ascii="Sakkal Majalla" w:hAnsi="Sakkal Majalla" w:cs="Sakkal Majalla"/>
          <w:sz w:val="24"/>
        </w:rPr>
      </w:pPr>
      <w:r w:rsidRPr="005844B7">
        <w:rPr>
          <w:rFonts w:ascii="Sakkal Majalla" w:eastAsia="Arial" w:hAnsi="Sakkal Majalla" w:cs="Sakkal Majalla"/>
          <w:sz w:val="24"/>
          <w:rtl/>
        </w:rPr>
        <w:t>بناءً على ما سبق، تتضح أهمية البحث في مشكلة إدارة الموارد البشرية في القطاع الصناعي السعودي، إذ يمثل فهم طبيعة المشكلة، وتحليل أسبابها، واستشراف آثارهاعلى الأداء المؤسسي خطوة ضرورية لتطوير استراتيجيات فعّالة. كما يهدف هذا البحث إلى تقديم أمثلة واقعية ودراسات حالة من المؤسسات الصناعية السعودية، وربطالنتائج بالنظريات الأكاديمية الحديثة، مما يوفر قاعدة معرفية متينة لدعم اتخاذ القرارات الاستراتيجية، وتحسين الأداء المؤسسي، وتعزيز القدرة التنافسية للشركات فيالسوق المحلي.</w:t>
      </w:r>
    </w:p>
    <w:p w14:paraId="61FFBBCE" w14:textId="4A68C77A" w:rsidR="00E341FB" w:rsidRPr="004E131F" w:rsidRDefault="005C5A9A" w:rsidP="00A452DD">
      <w:pPr>
        <w:spacing w:after="0" w:line="265" w:lineRule="auto"/>
        <w:ind w:hanging="10"/>
        <w:jc w:val="both"/>
        <w:rPr>
          <w:rFonts w:ascii="Sakkal Majalla" w:hAnsi="Sakkal Majalla" w:cs="Sakkal Majalla"/>
          <w:sz w:val="24"/>
          <w:szCs w:val="28"/>
        </w:rPr>
      </w:pPr>
      <w:r w:rsidRPr="004E131F">
        <w:rPr>
          <w:rFonts w:ascii="Sakkal Majalla" w:eastAsia="Arial" w:hAnsi="Sakkal Majalla" w:cs="Sakkal Majalla"/>
          <w:b/>
          <w:bCs/>
          <w:sz w:val="28"/>
          <w:szCs w:val="28"/>
          <w:rtl/>
        </w:rPr>
        <w:t>مشكلة البحث</w:t>
      </w:r>
    </w:p>
    <w:p w14:paraId="26BB12A1" w14:textId="7F9A3730" w:rsidR="00253F71" w:rsidRPr="005844B7" w:rsidRDefault="00253F71" w:rsidP="005844B7">
      <w:pPr>
        <w:spacing w:after="0" w:line="413" w:lineRule="auto"/>
        <w:ind w:hanging="10"/>
        <w:jc w:val="both"/>
        <w:rPr>
          <w:rFonts w:ascii="Sakkal Majalla" w:eastAsia="Arial" w:hAnsi="Sakkal Majalla" w:cs="Sakkal Majalla"/>
          <w:sz w:val="24"/>
          <w:rtl/>
        </w:rPr>
      </w:pPr>
      <w:r w:rsidRPr="005844B7">
        <w:rPr>
          <w:rFonts w:ascii="Sakkal Majalla" w:eastAsia="Arial" w:hAnsi="Sakkal Majalla" w:cs="Sakkal Majalla"/>
          <w:sz w:val="24"/>
          <w:rtl/>
        </w:rPr>
        <w:lastRenderedPageBreak/>
        <w:t>تشير الدراسات الحديثة إلى أن ممارسات إدارة الموارد البشرية (</w:t>
      </w:r>
      <w:proofErr w:type="spellStart"/>
      <w:r w:rsidRPr="005844B7">
        <w:rPr>
          <w:rFonts w:ascii="Sakkal Majalla" w:eastAsia="Arial" w:hAnsi="Sakkal Majalla" w:cs="Sakkal Majalla"/>
          <w:sz w:val="24"/>
        </w:rPr>
        <w:t>HRM</w:t>
      </w:r>
      <w:proofErr w:type="spellEnd"/>
      <w:r w:rsidRPr="005844B7">
        <w:rPr>
          <w:rFonts w:ascii="Sakkal Majalla" w:eastAsia="Arial" w:hAnsi="Sakkal Majalla" w:cs="Sakkal Majalla"/>
          <w:sz w:val="24"/>
          <w:rtl/>
        </w:rPr>
        <w:t>) تُعد عاملاً حاسماً في تقليل معدلات الدوران الوظيفي وتعزيز الالتزام التنظيمي في المؤسسات الصناعية السعودية. ومع ذلك، لا يزال القطاع الصناعي في المملكة يواجه تحديات كبيرة تتعلق بارتفاع معدلات دوران الموظفين، مما يؤدي إلى خسائر في الكفاءة والموارد البشرية، ويؤثر سلباً على الإنتاجية والاستقرار التنظيمي.</w:t>
      </w:r>
    </w:p>
    <w:p w14:paraId="3196BF17" w14:textId="56BB21F4" w:rsidR="00253F71" w:rsidRPr="005844B7" w:rsidRDefault="00253F71" w:rsidP="005844B7">
      <w:pPr>
        <w:spacing w:after="0" w:line="413" w:lineRule="auto"/>
        <w:ind w:hanging="10"/>
        <w:jc w:val="both"/>
        <w:rPr>
          <w:rFonts w:ascii="Sakkal Majalla" w:eastAsia="Arial" w:hAnsi="Sakkal Majalla" w:cs="Sakkal Majalla"/>
          <w:sz w:val="24"/>
          <w:rtl/>
        </w:rPr>
      </w:pPr>
      <w:r w:rsidRPr="005844B7">
        <w:rPr>
          <w:rFonts w:ascii="Sakkal Majalla" w:eastAsia="Arial" w:hAnsi="Sakkal Majalla" w:cs="Sakkal Majalla"/>
          <w:sz w:val="24"/>
          <w:rtl/>
        </w:rPr>
        <w:t>فقد أوضحت دراسة (</w:t>
      </w:r>
      <w:proofErr w:type="spellStart"/>
      <w:r w:rsidRPr="005844B7">
        <w:rPr>
          <w:rFonts w:ascii="Sakkal Majalla" w:eastAsia="Arial" w:hAnsi="Sakkal Majalla" w:cs="Sakkal Majalla"/>
          <w:sz w:val="24"/>
        </w:rPr>
        <w:t>Alismail</w:t>
      </w:r>
      <w:proofErr w:type="spellEnd"/>
      <w:r w:rsidRPr="005844B7">
        <w:rPr>
          <w:rFonts w:ascii="Sakkal Majalla" w:eastAsia="Arial" w:hAnsi="Sakkal Majalla" w:cs="Sakkal Majalla"/>
          <w:sz w:val="24"/>
        </w:rPr>
        <w:t>, 2023</w:t>
      </w:r>
      <w:r w:rsidR="001B6C1E" w:rsidRPr="005844B7">
        <w:rPr>
          <w:rFonts w:ascii="Sakkal Majalla" w:eastAsia="Arial" w:hAnsi="Sakkal Majalla" w:cs="Sakkal Majalla" w:hint="cs"/>
          <w:sz w:val="24"/>
          <w:rtl/>
        </w:rPr>
        <w:t>) أن</w:t>
      </w:r>
      <w:r w:rsidRPr="005844B7">
        <w:rPr>
          <w:rFonts w:ascii="Sakkal Majalla" w:eastAsia="Arial" w:hAnsi="Sakkal Majalla" w:cs="Sakkal Majalla"/>
          <w:sz w:val="24"/>
          <w:rtl/>
        </w:rPr>
        <w:t xml:space="preserve"> ممارسات إدارة الموارد البشرية </w:t>
      </w:r>
      <w:proofErr w:type="gramStart"/>
      <w:r w:rsidRPr="005844B7">
        <w:rPr>
          <w:rFonts w:ascii="Sakkal Majalla" w:eastAsia="Arial" w:hAnsi="Sakkal Majalla" w:cs="Sakkal Majalla"/>
          <w:sz w:val="24"/>
          <w:rtl/>
        </w:rPr>
        <w:t>الفعالة  مثل</w:t>
      </w:r>
      <w:proofErr w:type="gramEnd"/>
      <w:r w:rsidRPr="005844B7">
        <w:rPr>
          <w:rFonts w:ascii="Sakkal Majalla" w:eastAsia="Arial" w:hAnsi="Sakkal Majalla" w:cs="Sakkal Majalla"/>
          <w:sz w:val="24"/>
          <w:rtl/>
        </w:rPr>
        <w:t xml:space="preserve"> التدريب، والتحفيز، والتقييم </w:t>
      </w:r>
      <w:proofErr w:type="gramStart"/>
      <w:r w:rsidRPr="005844B7">
        <w:rPr>
          <w:rFonts w:ascii="Sakkal Majalla" w:eastAsia="Arial" w:hAnsi="Sakkal Majalla" w:cs="Sakkal Majalla"/>
          <w:sz w:val="24"/>
          <w:rtl/>
        </w:rPr>
        <w:t>العادل  ترتبط</w:t>
      </w:r>
      <w:proofErr w:type="gramEnd"/>
      <w:r w:rsidRPr="005844B7">
        <w:rPr>
          <w:rFonts w:ascii="Sakkal Majalla" w:eastAsia="Arial" w:hAnsi="Sakkal Majalla" w:cs="Sakkal Majalla"/>
          <w:sz w:val="24"/>
          <w:rtl/>
        </w:rPr>
        <w:t xml:space="preserve"> سلباً بمعدلات الدوران الوظيفي في القطاع الصناعي السعودي، وتؤدي إلى تعزيز الالتزام والأداء الوظيفي. كما أشار كل من (</w:t>
      </w:r>
      <w:proofErr w:type="spellStart"/>
      <w:r w:rsidRPr="005844B7">
        <w:rPr>
          <w:rFonts w:ascii="Sakkal Majalla" w:eastAsia="Arial" w:hAnsi="Sakkal Majalla" w:cs="Sakkal Majalla"/>
          <w:sz w:val="24"/>
        </w:rPr>
        <w:t>Jehanzeb</w:t>
      </w:r>
      <w:proofErr w:type="spellEnd"/>
      <w:r w:rsidRPr="005844B7">
        <w:rPr>
          <w:rFonts w:ascii="Sakkal Majalla" w:eastAsia="Arial" w:hAnsi="Sakkal Majalla" w:cs="Sakkal Majalla"/>
          <w:sz w:val="24"/>
        </w:rPr>
        <w:t xml:space="preserve"> &amp; </w:t>
      </w:r>
      <w:proofErr w:type="spellStart"/>
      <w:r w:rsidRPr="005844B7">
        <w:rPr>
          <w:rFonts w:ascii="Sakkal Majalla" w:eastAsia="Arial" w:hAnsi="Sakkal Majalla" w:cs="Sakkal Majalla"/>
          <w:sz w:val="24"/>
        </w:rPr>
        <w:t>Rasheed</w:t>
      </w:r>
      <w:proofErr w:type="spellEnd"/>
      <w:r w:rsidRPr="005844B7">
        <w:rPr>
          <w:rFonts w:ascii="Sakkal Majalla" w:eastAsia="Arial" w:hAnsi="Sakkal Majalla" w:cs="Sakkal Majalla"/>
          <w:sz w:val="24"/>
        </w:rPr>
        <w:t>, 2013</w:t>
      </w:r>
      <w:r w:rsidR="001B6C1E" w:rsidRPr="005844B7">
        <w:rPr>
          <w:rFonts w:ascii="Sakkal Majalla" w:eastAsia="Arial" w:hAnsi="Sakkal Majalla" w:cs="Sakkal Majalla" w:hint="cs"/>
          <w:sz w:val="24"/>
          <w:rtl/>
        </w:rPr>
        <w:t>) إلى</w:t>
      </w:r>
      <w:r w:rsidRPr="005844B7">
        <w:rPr>
          <w:rFonts w:ascii="Sakkal Majalla" w:eastAsia="Arial" w:hAnsi="Sakkal Majalla" w:cs="Sakkal Majalla"/>
          <w:sz w:val="24"/>
          <w:rtl/>
        </w:rPr>
        <w:t xml:space="preserve"> أن التدريب يزيد من الالتزام التنظيمي ويقلل من </w:t>
      </w:r>
      <w:proofErr w:type="gramStart"/>
      <w:r w:rsidRPr="005844B7">
        <w:rPr>
          <w:rFonts w:ascii="Sakkal Majalla" w:eastAsia="Arial" w:hAnsi="Sakkal Majalla" w:cs="Sakkal Majalla"/>
          <w:sz w:val="24"/>
          <w:rtl/>
        </w:rPr>
        <w:t>نوايا</w:t>
      </w:r>
      <w:proofErr w:type="gramEnd"/>
      <w:r w:rsidRPr="005844B7">
        <w:rPr>
          <w:rFonts w:ascii="Sakkal Majalla" w:eastAsia="Arial" w:hAnsi="Sakkal Majalla" w:cs="Sakkal Majalla"/>
          <w:sz w:val="24"/>
          <w:rtl/>
        </w:rPr>
        <w:t xml:space="preserve"> ترك العمل، مما يبرز أهمية تطوير القدرات البشرية كوسيلة للحد من الدوران.</w:t>
      </w:r>
    </w:p>
    <w:p w14:paraId="367B8B87" w14:textId="57DCC8FD" w:rsidR="001B6C1E" w:rsidRPr="005844B7" w:rsidRDefault="001B6C1E" w:rsidP="005844B7">
      <w:pPr>
        <w:spacing w:after="0" w:line="413" w:lineRule="auto"/>
        <w:ind w:hanging="10"/>
        <w:jc w:val="both"/>
        <w:rPr>
          <w:rFonts w:ascii="Sakkal Majalla" w:eastAsia="Arial" w:hAnsi="Sakkal Majalla" w:cs="Sakkal Majalla"/>
          <w:sz w:val="24"/>
          <w:rtl/>
        </w:rPr>
      </w:pPr>
      <w:r w:rsidRPr="005844B7">
        <w:rPr>
          <w:rFonts w:ascii="Sakkal Majalla" w:eastAsia="Arial" w:hAnsi="Sakkal Majalla" w:cs="Sakkal Majalla"/>
          <w:sz w:val="24"/>
          <w:rtl/>
        </w:rPr>
        <w:t>يعاني القطاع الصناعي السعودي من ارتفاع متزايد في معدلات الدوران الوظيفي، ما يؤدي إلى فقدان الكفاءات البشرية، وارتفاع تكاليف التوظيف والتدريب، وانخفاض الإنتاجية والاستقرار التنظيمي. وتشير الدراسات إلى أن من أبرز العوامل المؤثرة في هذه الظاهرة ضعف تطبيق ممارسات إدارة الموارد البشرية، مثل الاستقطاب، التدريب، التحفيز، وتقييم الأداء (</w:t>
      </w:r>
      <w:proofErr w:type="spellStart"/>
      <w:r w:rsidRPr="005844B7">
        <w:rPr>
          <w:rFonts w:ascii="Sakkal Majalla" w:eastAsia="Arial" w:hAnsi="Sakkal Majalla" w:cs="Sakkal Majalla"/>
          <w:sz w:val="24"/>
          <w:rtl/>
        </w:rPr>
        <w:t>الغراغير</w:t>
      </w:r>
      <w:proofErr w:type="spellEnd"/>
      <w:r w:rsidRPr="005844B7">
        <w:rPr>
          <w:rFonts w:ascii="Sakkal Majalla" w:eastAsia="Arial" w:hAnsi="Sakkal Majalla" w:cs="Sakkal Majalla"/>
          <w:sz w:val="24"/>
          <w:rtl/>
        </w:rPr>
        <w:t>، 2022).</w:t>
      </w:r>
    </w:p>
    <w:p w14:paraId="7162D23F" w14:textId="3CA48772" w:rsidR="001B6C1E" w:rsidRPr="005844B7" w:rsidRDefault="001B6C1E" w:rsidP="005844B7">
      <w:pPr>
        <w:spacing w:after="0" w:line="413" w:lineRule="auto"/>
        <w:ind w:hanging="10"/>
        <w:jc w:val="both"/>
        <w:rPr>
          <w:rFonts w:ascii="Sakkal Majalla" w:eastAsia="Arial" w:hAnsi="Sakkal Majalla" w:cs="Sakkal Majalla"/>
          <w:sz w:val="24"/>
          <w:rtl/>
        </w:rPr>
      </w:pPr>
      <w:r w:rsidRPr="005844B7">
        <w:rPr>
          <w:rFonts w:ascii="Sakkal Majalla" w:eastAsia="Arial" w:hAnsi="Sakkal Majalla" w:cs="Sakkal Majalla"/>
          <w:sz w:val="24"/>
          <w:rtl/>
        </w:rPr>
        <w:t>ورغم الجهود المبذولة لتطوير سياسات الموارد البشرية داخل المؤسسات الصناعية السعودية، إلا أن هناك فجوة واضحة في التطبيق الفعلي لتلك الممارسات، وتأثيرها المباشر على رضا الموظفين واستقرارهم الوظيفي (الفهيد، 2024). وقد أظهرت بعض الدراسات العربية أن غياب ممارسات استراتيجية واضحة للموارد البشرية يؤدي إلى انخفاض الالتزام الوظيفي وزيادة النية لترك العمل (النور، 2022).</w:t>
      </w:r>
    </w:p>
    <w:p w14:paraId="72A24A7C" w14:textId="439CAFFA" w:rsidR="00253F71" w:rsidRPr="005844B7" w:rsidRDefault="00253F71" w:rsidP="005844B7">
      <w:pPr>
        <w:spacing w:after="0" w:line="413" w:lineRule="auto"/>
        <w:ind w:hanging="10"/>
        <w:jc w:val="both"/>
        <w:rPr>
          <w:rFonts w:ascii="Sakkal Majalla" w:eastAsia="Arial" w:hAnsi="Sakkal Majalla" w:cs="Sakkal Majalla"/>
          <w:sz w:val="24"/>
          <w:rtl/>
        </w:rPr>
      </w:pPr>
      <w:r w:rsidRPr="005844B7">
        <w:rPr>
          <w:rFonts w:ascii="Sakkal Majalla" w:eastAsia="Arial" w:hAnsi="Sakkal Majalla" w:cs="Sakkal Majalla"/>
          <w:sz w:val="24"/>
          <w:rtl/>
        </w:rPr>
        <w:t>من ناحية أخرى، أكدت دراسة (</w:t>
      </w:r>
      <w:proofErr w:type="spellStart"/>
      <w:r w:rsidRPr="005844B7">
        <w:rPr>
          <w:rFonts w:ascii="Sakkal Majalla" w:eastAsia="Arial" w:hAnsi="Sakkal Majalla" w:cs="Sakkal Majalla"/>
          <w:sz w:val="24"/>
        </w:rPr>
        <w:t>Alotaibi</w:t>
      </w:r>
      <w:proofErr w:type="spellEnd"/>
      <w:r w:rsidRPr="005844B7">
        <w:rPr>
          <w:rFonts w:ascii="Sakkal Majalla" w:eastAsia="Arial" w:hAnsi="Sakkal Majalla" w:cs="Sakkal Majalla"/>
          <w:sz w:val="24"/>
        </w:rPr>
        <w:t xml:space="preserve"> &amp; </w:t>
      </w:r>
      <w:proofErr w:type="spellStart"/>
      <w:r w:rsidRPr="005844B7">
        <w:rPr>
          <w:rFonts w:ascii="Sakkal Majalla" w:eastAsia="Arial" w:hAnsi="Sakkal Majalla" w:cs="Sakkal Majalla"/>
          <w:sz w:val="24"/>
        </w:rPr>
        <w:t>Algethami</w:t>
      </w:r>
      <w:proofErr w:type="spellEnd"/>
      <w:r w:rsidRPr="005844B7">
        <w:rPr>
          <w:rFonts w:ascii="Sakkal Majalla" w:eastAsia="Arial" w:hAnsi="Sakkal Majalla" w:cs="Sakkal Majalla"/>
          <w:sz w:val="24"/>
        </w:rPr>
        <w:t>, 2023</w:t>
      </w:r>
      <w:proofErr w:type="gramStart"/>
      <w:r w:rsidRPr="005844B7">
        <w:rPr>
          <w:rFonts w:ascii="Sakkal Majalla" w:eastAsia="Arial" w:hAnsi="Sakkal Majalla" w:cs="Sakkal Majalla"/>
          <w:sz w:val="24"/>
          <w:rtl/>
        </w:rPr>
        <w:t>)</w:t>
      </w:r>
      <w:r w:rsidRPr="005844B7">
        <w:rPr>
          <w:rFonts w:ascii="Sakkal Majalla" w:eastAsia="Arial" w:hAnsi="Sakkal Majalla" w:cs="Sakkal Majalla" w:hint="cs"/>
          <w:sz w:val="24"/>
          <w:rtl/>
        </w:rPr>
        <w:t xml:space="preserve"> </w:t>
      </w:r>
      <w:r w:rsidRPr="005844B7">
        <w:rPr>
          <w:rFonts w:ascii="Sakkal Majalla" w:eastAsia="Arial" w:hAnsi="Sakkal Majalla" w:cs="Sakkal Majalla"/>
          <w:sz w:val="24"/>
          <w:rtl/>
        </w:rPr>
        <w:t xml:space="preserve"> أن</w:t>
      </w:r>
      <w:proofErr w:type="gramEnd"/>
      <w:r w:rsidRPr="005844B7">
        <w:rPr>
          <w:rFonts w:ascii="Sakkal Majalla" w:eastAsia="Arial" w:hAnsi="Sakkal Majalla" w:cs="Sakkal Majalla"/>
          <w:sz w:val="24"/>
          <w:rtl/>
        </w:rPr>
        <w:t xml:space="preserve"> تطبيق أنظمة الموارد البشرية عالية الالتزام يسهم في خفض نية ترك العمل عبر رفع مستوى الالتزام العاطفي لدى الموظفين، في حين ربطت دراسة (</w:t>
      </w:r>
      <w:r w:rsidRPr="005844B7">
        <w:rPr>
          <w:rFonts w:ascii="Sakkal Majalla" w:eastAsia="Arial" w:hAnsi="Sakkal Majalla" w:cs="Sakkal Majalla"/>
          <w:sz w:val="24"/>
        </w:rPr>
        <w:t xml:space="preserve">Salem &amp; </w:t>
      </w:r>
      <w:proofErr w:type="spellStart"/>
      <w:r w:rsidRPr="005844B7">
        <w:rPr>
          <w:rFonts w:ascii="Sakkal Majalla" w:eastAsia="Arial" w:hAnsi="Sakkal Majalla" w:cs="Sakkal Majalla"/>
          <w:sz w:val="24"/>
        </w:rPr>
        <w:t>Al-Dubai</w:t>
      </w:r>
      <w:proofErr w:type="spellEnd"/>
      <w:r w:rsidRPr="005844B7">
        <w:rPr>
          <w:rFonts w:ascii="Sakkal Majalla" w:eastAsia="Arial" w:hAnsi="Sakkal Majalla" w:cs="Sakkal Majalla"/>
          <w:sz w:val="24"/>
        </w:rPr>
        <w:t>, 2024</w:t>
      </w:r>
      <w:proofErr w:type="gramStart"/>
      <w:r w:rsidRPr="005844B7">
        <w:rPr>
          <w:rFonts w:ascii="Sakkal Majalla" w:eastAsia="Arial" w:hAnsi="Sakkal Majalla" w:cs="Sakkal Majalla"/>
          <w:sz w:val="24"/>
          <w:rtl/>
        </w:rPr>
        <w:t>)</w:t>
      </w:r>
      <w:r w:rsidRPr="005844B7">
        <w:rPr>
          <w:rFonts w:ascii="Sakkal Majalla" w:eastAsia="Arial" w:hAnsi="Sakkal Majalla" w:cs="Sakkal Majalla" w:hint="cs"/>
          <w:sz w:val="24"/>
          <w:rtl/>
        </w:rPr>
        <w:t xml:space="preserve"> </w:t>
      </w:r>
      <w:r w:rsidRPr="005844B7">
        <w:rPr>
          <w:rFonts w:ascii="Sakkal Majalla" w:eastAsia="Arial" w:hAnsi="Sakkal Majalla" w:cs="Sakkal Majalla"/>
          <w:sz w:val="24"/>
          <w:rtl/>
        </w:rPr>
        <w:t xml:space="preserve"> بين</w:t>
      </w:r>
      <w:proofErr w:type="gramEnd"/>
      <w:r w:rsidRPr="005844B7">
        <w:rPr>
          <w:rFonts w:ascii="Sakkal Majalla" w:eastAsia="Arial" w:hAnsi="Sakkal Majalla" w:cs="Sakkal Majalla"/>
          <w:sz w:val="24"/>
          <w:rtl/>
        </w:rPr>
        <w:t xml:space="preserve"> ممارسات الموارد البشرية مثل التوظيف الانتقائي والمشاركة في القرار وبين الأداء التنظيمي وتقليل الغياب والدوران الوظيفي.</w:t>
      </w:r>
    </w:p>
    <w:p w14:paraId="2AD4AD25" w14:textId="57107CF1" w:rsidR="00E341FB" w:rsidRPr="005844B7" w:rsidRDefault="00253F71" w:rsidP="005844B7">
      <w:pPr>
        <w:spacing w:after="0" w:line="413" w:lineRule="auto"/>
        <w:ind w:hanging="10"/>
        <w:jc w:val="both"/>
        <w:rPr>
          <w:rFonts w:ascii="Sakkal Majalla" w:eastAsia="Arial" w:hAnsi="Sakkal Majalla" w:cs="Sakkal Majalla"/>
          <w:sz w:val="24"/>
          <w:rtl/>
        </w:rPr>
      </w:pPr>
      <w:r w:rsidRPr="005844B7">
        <w:rPr>
          <w:rFonts w:ascii="Sakkal Majalla" w:eastAsia="Arial" w:hAnsi="Sakkal Majalla" w:cs="Sakkal Majalla"/>
          <w:sz w:val="24"/>
          <w:rtl/>
        </w:rPr>
        <w:t>انطلاقاً من ذلك، تتمثل مشكلة البحث في أن العديد من المنشآت الصناعية في المملكة العربية السعودية لا تطبق ممارسات إدارة الموارد البشرية بكفاءة كافية، مما يؤدي إلى ارتفاع معدلات الدوران الوظيفي. ويُطرح التساؤل الرئيس: إلى أي مدى تؤثر ممارسات إدارة الموارد البشرية على معدلات الدوران الوظيفي في القطاع الصناعي السعودي؟</w:t>
      </w:r>
    </w:p>
    <w:p w14:paraId="755E95CE" w14:textId="697EBD33" w:rsidR="002505EE" w:rsidRPr="002505EE" w:rsidRDefault="002505EE" w:rsidP="002505EE">
      <w:pPr>
        <w:spacing w:after="0" w:line="416" w:lineRule="auto"/>
        <w:ind w:hanging="10"/>
        <w:jc w:val="both"/>
        <w:rPr>
          <w:rFonts w:ascii="Sakkal Majalla" w:hAnsi="Sakkal Majalla" w:cs="Sakkal Majalla"/>
          <w:b/>
          <w:bCs/>
          <w:lang w:val="en-US"/>
        </w:rPr>
      </w:pPr>
      <w:r w:rsidRPr="002505EE">
        <w:rPr>
          <w:rFonts w:ascii="Sakkal Majalla" w:hAnsi="Sakkal Majalla" w:cs="Sakkal Majalla"/>
          <w:b/>
          <w:bCs/>
          <w:rtl/>
          <w:lang w:val="en-US" w:bidi="ar-SA"/>
        </w:rPr>
        <w:t>أسئلة الدراسة</w:t>
      </w:r>
      <w:r w:rsidRPr="002505EE">
        <w:rPr>
          <w:rFonts w:ascii="Sakkal Majalla" w:hAnsi="Sakkal Majalla" w:cs="Sakkal Majalla"/>
          <w:b/>
          <w:bCs/>
          <w:lang w:val="en-US"/>
        </w:rPr>
        <w:t xml:space="preserve"> </w:t>
      </w:r>
    </w:p>
    <w:p w14:paraId="38106AC4" w14:textId="77777777" w:rsidR="002505EE" w:rsidRDefault="002505EE" w:rsidP="002505EE">
      <w:pPr>
        <w:spacing w:after="0" w:line="416" w:lineRule="auto"/>
        <w:ind w:hanging="10"/>
        <w:jc w:val="both"/>
        <w:rPr>
          <w:rFonts w:ascii="Sakkal Majalla" w:hAnsi="Sakkal Majalla" w:cs="Sakkal Majalla"/>
          <w:rtl/>
          <w:lang w:val="en-US"/>
        </w:rPr>
      </w:pPr>
      <w:r w:rsidRPr="002505EE">
        <w:rPr>
          <w:rFonts w:ascii="Sakkal Majalla" w:hAnsi="Sakkal Majalla" w:cs="Sakkal Majalla"/>
          <w:rtl/>
          <w:lang w:val="en-US" w:bidi="ar-SA"/>
        </w:rPr>
        <w:t>ما مستوى تطبيق ممارسات إدارة الموارد البشرية في القطاع الصناعي السعودي؟</w:t>
      </w:r>
    </w:p>
    <w:p w14:paraId="2311A5D8" w14:textId="77777777" w:rsidR="002505EE" w:rsidRDefault="002505EE" w:rsidP="002505EE">
      <w:pPr>
        <w:spacing w:after="0" w:line="416" w:lineRule="auto"/>
        <w:ind w:hanging="10"/>
        <w:jc w:val="both"/>
        <w:rPr>
          <w:rFonts w:ascii="Sakkal Majalla" w:hAnsi="Sakkal Majalla" w:cs="Sakkal Majalla"/>
          <w:rtl/>
          <w:lang w:val="en-US"/>
        </w:rPr>
      </w:pPr>
      <w:r w:rsidRPr="002505EE">
        <w:rPr>
          <w:rFonts w:ascii="Sakkal Majalla" w:hAnsi="Sakkal Majalla" w:cs="Sakkal Majalla"/>
          <w:rtl/>
          <w:lang w:val="en-US" w:bidi="ar-SA"/>
        </w:rPr>
        <w:t>ما مستوى معدلات الدوران الوظيفي في القطاع الصناعي السعودي؟</w:t>
      </w:r>
    </w:p>
    <w:p w14:paraId="48A5F639" w14:textId="7379CF46" w:rsidR="002505EE" w:rsidRPr="002505EE" w:rsidRDefault="002505EE" w:rsidP="002505EE">
      <w:pPr>
        <w:spacing w:after="0" w:line="416" w:lineRule="auto"/>
        <w:ind w:hanging="10"/>
        <w:jc w:val="both"/>
        <w:rPr>
          <w:rFonts w:ascii="Sakkal Majalla" w:hAnsi="Sakkal Majalla" w:cs="Sakkal Majalla"/>
          <w:lang w:val="en-US"/>
        </w:rPr>
      </w:pPr>
      <w:r w:rsidRPr="002505EE">
        <w:rPr>
          <w:rFonts w:ascii="Sakkal Majalla" w:hAnsi="Sakkal Majalla" w:cs="Sakkal Majalla"/>
          <w:rtl/>
          <w:lang w:val="en-US" w:bidi="ar-SA"/>
        </w:rPr>
        <w:t>ما أثر ممارسات إدارة الموارد البشرية على معدلات الدوران الوظيفي في القطاع الصناعي السعودي؟</w:t>
      </w:r>
    </w:p>
    <w:p w14:paraId="21E3C240" w14:textId="18638B9C" w:rsidR="002505EE" w:rsidRPr="002505EE" w:rsidRDefault="002505EE" w:rsidP="002505EE">
      <w:pPr>
        <w:spacing w:after="0" w:line="416" w:lineRule="auto"/>
        <w:ind w:hanging="10"/>
        <w:jc w:val="both"/>
        <w:rPr>
          <w:rFonts w:ascii="Sakkal Majalla" w:hAnsi="Sakkal Majalla" w:cs="Sakkal Majalla"/>
          <w:b/>
          <w:bCs/>
          <w:lang w:val="en-US"/>
        </w:rPr>
      </w:pPr>
      <w:r w:rsidRPr="002505EE">
        <w:rPr>
          <w:rFonts w:ascii="Sakkal Majalla" w:hAnsi="Sakkal Majalla" w:cs="Sakkal Majalla"/>
          <w:b/>
          <w:bCs/>
          <w:rtl/>
          <w:lang w:val="en-US" w:bidi="ar-SA"/>
        </w:rPr>
        <w:t>أهداف الدراسة</w:t>
      </w:r>
      <w:r w:rsidRPr="002505EE">
        <w:rPr>
          <w:rFonts w:ascii="Sakkal Majalla" w:hAnsi="Sakkal Majalla" w:cs="Sakkal Majalla"/>
          <w:b/>
          <w:bCs/>
          <w:lang w:val="en-US"/>
        </w:rPr>
        <w:t xml:space="preserve"> </w:t>
      </w:r>
    </w:p>
    <w:p w14:paraId="678DB522" w14:textId="77777777" w:rsidR="002505EE" w:rsidRPr="002505EE" w:rsidRDefault="002505EE" w:rsidP="002505EE">
      <w:pPr>
        <w:pStyle w:val="ListParagraph"/>
        <w:numPr>
          <w:ilvl w:val="0"/>
          <w:numId w:val="12"/>
        </w:numPr>
        <w:spacing w:after="0" w:line="416" w:lineRule="auto"/>
        <w:jc w:val="both"/>
        <w:rPr>
          <w:rFonts w:ascii="Sakkal Majalla" w:hAnsi="Sakkal Majalla" w:cs="Sakkal Majalla"/>
          <w:rtl/>
          <w:lang w:val="en-US"/>
        </w:rPr>
      </w:pPr>
      <w:r w:rsidRPr="002505EE">
        <w:rPr>
          <w:rFonts w:ascii="Sakkal Majalla" w:hAnsi="Sakkal Majalla" w:cs="Sakkal Majalla"/>
          <w:rtl/>
          <w:lang w:val="en-US" w:bidi="ar-SA"/>
        </w:rPr>
        <w:lastRenderedPageBreak/>
        <w:t>تحديد مستوى تطبيق ممارسات إدارة الموارد البشرية في القطاع الصناعي السعودي</w:t>
      </w:r>
      <w:r w:rsidRPr="002505EE">
        <w:rPr>
          <w:rFonts w:ascii="Sakkal Majalla" w:hAnsi="Sakkal Majalla" w:cs="Sakkal Majalla"/>
          <w:lang w:val="en-US"/>
        </w:rPr>
        <w:t>.</w:t>
      </w:r>
    </w:p>
    <w:p w14:paraId="53FB256D" w14:textId="77777777" w:rsidR="002505EE" w:rsidRPr="002505EE" w:rsidRDefault="002505EE" w:rsidP="002505EE">
      <w:pPr>
        <w:pStyle w:val="ListParagraph"/>
        <w:numPr>
          <w:ilvl w:val="0"/>
          <w:numId w:val="12"/>
        </w:numPr>
        <w:spacing w:after="0" w:line="416" w:lineRule="auto"/>
        <w:jc w:val="both"/>
        <w:rPr>
          <w:rFonts w:ascii="Sakkal Majalla" w:hAnsi="Sakkal Majalla" w:cs="Sakkal Majalla"/>
          <w:rtl/>
          <w:lang w:val="en-US"/>
        </w:rPr>
      </w:pPr>
      <w:r w:rsidRPr="002505EE">
        <w:rPr>
          <w:rFonts w:ascii="Sakkal Majalla" w:hAnsi="Sakkal Majalla" w:cs="Sakkal Majalla"/>
          <w:rtl/>
          <w:lang w:val="en-US" w:bidi="ar-SA"/>
        </w:rPr>
        <w:t>قياس مستوى معدلات الدوران الوظيفي في القطاع الصناعي السعودي</w:t>
      </w:r>
      <w:r w:rsidRPr="002505EE">
        <w:rPr>
          <w:rFonts w:ascii="Sakkal Majalla" w:hAnsi="Sakkal Majalla" w:cs="Sakkal Majalla"/>
          <w:lang w:val="en-US"/>
        </w:rPr>
        <w:t>.</w:t>
      </w:r>
    </w:p>
    <w:p w14:paraId="399FC70D" w14:textId="17207A29" w:rsidR="002505EE" w:rsidRPr="002505EE" w:rsidRDefault="002505EE" w:rsidP="002505EE">
      <w:pPr>
        <w:pStyle w:val="ListParagraph"/>
        <w:numPr>
          <w:ilvl w:val="0"/>
          <w:numId w:val="12"/>
        </w:numPr>
        <w:spacing w:after="0" w:line="416" w:lineRule="auto"/>
        <w:jc w:val="both"/>
        <w:rPr>
          <w:rFonts w:ascii="Sakkal Majalla" w:hAnsi="Sakkal Majalla" w:cs="Sakkal Majalla"/>
          <w:lang w:val="en-US"/>
        </w:rPr>
      </w:pPr>
      <w:r w:rsidRPr="002505EE">
        <w:rPr>
          <w:rFonts w:ascii="Sakkal Majalla" w:hAnsi="Sakkal Majalla" w:cs="Sakkal Majalla"/>
          <w:rtl/>
          <w:lang w:val="en-US" w:bidi="ar-SA"/>
        </w:rPr>
        <w:t>تحليل أثر ممارسات إدارة الموارد البشرية على معدلات الدوران الوظيفي في القطاع الصناعي السعودي</w:t>
      </w:r>
      <w:r w:rsidRPr="002505EE">
        <w:rPr>
          <w:rFonts w:ascii="Sakkal Majalla" w:hAnsi="Sakkal Majalla" w:cs="Sakkal Majalla"/>
          <w:lang w:val="en-US"/>
        </w:rPr>
        <w:t>.</w:t>
      </w:r>
    </w:p>
    <w:p w14:paraId="2ECD5A50" w14:textId="6056782B" w:rsidR="00E341FB" w:rsidRPr="00C34BDD" w:rsidRDefault="00C34BDD" w:rsidP="00296EE4">
      <w:pPr>
        <w:spacing w:after="0" w:line="265" w:lineRule="auto"/>
        <w:jc w:val="both"/>
        <w:rPr>
          <w:rFonts w:ascii="Sakkal Majalla" w:hAnsi="Sakkal Majalla" w:cs="Sakkal Majalla"/>
          <w:b/>
          <w:bCs/>
          <w:sz w:val="24"/>
          <w:szCs w:val="28"/>
          <w:rtl/>
        </w:rPr>
      </w:pPr>
      <w:r w:rsidRPr="00C34BDD">
        <w:rPr>
          <w:rFonts w:ascii="Sakkal Majalla" w:hAnsi="Sakkal Majalla" w:cs="Sakkal Majalla" w:hint="cs"/>
          <w:b/>
          <w:bCs/>
          <w:sz w:val="24"/>
          <w:szCs w:val="28"/>
          <w:rtl/>
        </w:rPr>
        <w:t>أهمية الدراسة:</w:t>
      </w:r>
    </w:p>
    <w:p w14:paraId="4BCDD7A4" w14:textId="77777777" w:rsidR="00C34BDD" w:rsidRPr="00C34BDD" w:rsidRDefault="00C34BDD" w:rsidP="00C34BDD">
      <w:pPr>
        <w:spacing w:after="0" w:line="265" w:lineRule="auto"/>
        <w:jc w:val="both"/>
        <w:rPr>
          <w:rFonts w:ascii="Sakkal Majalla" w:hAnsi="Sakkal Majalla" w:cs="Sakkal Majalla"/>
          <w:b/>
          <w:bCs/>
          <w:lang w:val="en-US"/>
        </w:rPr>
      </w:pPr>
      <w:r w:rsidRPr="00C34BDD">
        <w:rPr>
          <w:rFonts w:ascii="Sakkal Majalla" w:hAnsi="Sakkal Majalla" w:cs="Sakkal Majalla"/>
          <w:b/>
          <w:bCs/>
          <w:rtl/>
          <w:lang w:bidi="ar-SA"/>
        </w:rPr>
        <w:t>الأهمية العلمية للدراسة</w:t>
      </w:r>
    </w:p>
    <w:p w14:paraId="32D68E30" w14:textId="77777777" w:rsidR="00C34BDD" w:rsidRPr="00C34BDD" w:rsidRDefault="00C34BDD" w:rsidP="00033A3B">
      <w:pPr>
        <w:spacing w:after="0" w:line="413" w:lineRule="auto"/>
        <w:ind w:hanging="10"/>
        <w:jc w:val="both"/>
        <w:rPr>
          <w:rFonts w:ascii="Sakkal Majalla" w:eastAsia="Arial" w:hAnsi="Sakkal Majalla" w:cs="Sakkal Majalla"/>
          <w:sz w:val="24"/>
        </w:rPr>
      </w:pPr>
      <w:r w:rsidRPr="00C34BDD">
        <w:rPr>
          <w:rFonts w:ascii="Sakkal Majalla" w:eastAsia="Arial" w:hAnsi="Sakkal Majalla" w:cs="Sakkal Majalla"/>
          <w:sz w:val="24"/>
          <w:rtl/>
        </w:rPr>
        <w:t>تنبع الأهمية العلمية لهذه الدراسة من كونها تتناول علاقة محورية في أدبيات إدارة الموارد البشرية وسلوكيات العمل، تتمثل في تفسير كيف يمكن لممارسات إدارة الموارد البشرية أن تؤثر في استقرار القوى العاملة وانخفاض معدلات الدوران الوظيفي. كما تسهم الدراسة في إثراء المعرفة العربية في هذا المجال عبر تقديم معالجة مركّزة للسياق السعودي، ولا سيما القطاع الصناعي الذي يتسم بخصوصية في طبيعة العمل ومتطلبات المهارات وتنوع القوى العاملة. وإلى جانب ذلك، تساعد الدراسة على توضيح المفاهيم المرتبطة بممارسات إدارة الموارد البشرية والدوران الوظيفي وضبطها نظريًا، وربطها بمنطق تفسيري يُمكّن الباحثين من مقارنة النتائج بما توصلت إليه الدراسات السابقة وتحديد الفجوات المعرفية في البيئة المحلية. ومن شأن نتائج الدراسة أن تقدم أساسًا علميًا يمكن البناء عليه في بحوث لاحقة تتناول آليات التأثير، أو المتغيرات الوسيطة والمعدِّلة، أو اختلافات القطاعات داخل الاقتصاد السعودي</w:t>
      </w:r>
      <w:r w:rsidRPr="00C34BDD">
        <w:rPr>
          <w:rFonts w:ascii="Sakkal Majalla" w:eastAsia="Arial" w:hAnsi="Sakkal Majalla" w:cs="Sakkal Majalla"/>
          <w:sz w:val="24"/>
        </w:rPr>
        <w:t>.</w:t>
      </w:r>
    </w:p>
    <w:p w14:paraId="6C199895" w14:textId="77777777" w:rsidR="00C34BDD" w:rsidRPr="00C34BDD" w:rsidRDefault="00C34BDD" w:rsidP="00C34BDD">
      <w:pPr>
        <w:spacing w:after="0" w:line="265" w:lineRule="auto"/>
        <w:jc w:val="both"/>
        <w:rPr>
          <w:rFonts w:ascii="Sakkal Majalla" w:hAnsi="Sakkal Majalla" w:cs="Sakkal Majalla"/>
          <w:b/>
          <w:bCs/>
          <w:lang w:val="en-US"/>
        </w:rPr>
      </w:pPr>
      <w:r w:rsidRPr="00C34BDD">
        <w:rPr>
          <w:rFonts w:ascii="Sakkal Majalla" w:hAnsi="Sakkal Majalla" w:cs="Sakkal Majalla"/>
          <w:b/>
          <w:bCs/>
          <w:rtl/>
          <w:lang w:bidi="ar-SA"/>
        </w:rPr>
        <w:t>الأهمية التطبيقية للدراسة</w:t>
      </w:r>
    </w:p>
    <w:p w14:paraId="2CFF8178" w14:textId="77777777" w:rsidR="00C34BDD" w:rsidRPr="00033A3B" w:rsidRDefault="00C34BDD" w:rsidP="00033A3B">
      <w:pPr>
        <w:spacing w:after="0" w:line="413" w:lineRule="auto"/>
        <w:ind w:hanging="10"/>
        <w:jc w:val="both"/>
        <w:rPr>
          <w:rFonts w:ascii="Sakkal Majalla" w:eastAsia="Arial" w:hAnsi="Sakkal Majalla" w:cs="Sakkal Majalla"/>
          <w:sz w:val="24"/>
          <w:rtl/>
        </w:rPr>
      </w:pPr>
      <w:r w:rsidRPr="00C34BDD">
        <w:rPr>
          <w:rFonts w:ascii="Sakkal Majalla" w:eastAsia="Arial" w:hAnsi="Sakkal Majalla" w:cs="Sakkal Majalla"/>
          <w:sz w:val="24"/>
          <w:rtl/>
        </w:rPr>
        <w:t>تتجلى الأهمية التطبيقية لهذه الدراسة في قدرتها على تقديم مؤشرات عملية لصنّاع القرار ومديري الموارد البشرية في منشآت القطاع الصناعي السعودي حول الممارسات الأكثر ارتباطًا باستقرار العاملين وتقليل الدوران الوظيفي. إذ يمكن أن تساعد النتائج في توجيه سياسات الاستقطاب والاختيار، وبرامج التدريب والتطوير، ونظم تقييم الأداء، والتعويضات والحوافز، ومسارات التطور الوظيفي، بما يعزز الرضا والالتزام ويحد من فقدان الكفاءات. كما أن خفض الدوران الوظيفي ينعكس بصورة مباشرة على تقليل تكاليف التوظيف والتدريب وتعويض الفاقد، وتحسين الإنتاجية واستمرارية المعرفة التنظيمية، وتقليل اضطراب العمليات التشغيلية. إضافة إلى ذلك، يمكن للدراسة أن تزوّد المنشآت الصناعية بمعايير تشخيصية تساعدها على رصد مستوى الممارسات القائمة وتحديد جوانب الضعف وفرص التحسين وفق احتياجاتها الفعلية، بما يدعم رفع كفاءة إدارة رأس المال البشري وتحسين القدرة التنافسية في بيئة صناعية تتطلب استدامة الأداء وجودته</w:t>
      </w:r>
      <w:r w:rsidRPr="00C34BDD">
        <w:rPr>
          <w:rFonts w:ascii="Sakkal Majalla" w:eastAsia="Arial" w:hAnsi="Sakkal Majalla" w:cs="Sakkal Majalla"/>
          <w:sz w:val="24"/>
        </w:rPr>
        <w:t>.</w:t>
      </w:r>
    </w:p>
    <w:p w14:paraId="0B1D1967" w14:textId="77777777" w:rsidR="0089431F" w:rsidRPr="0089431F" w:rsidRDefault="0089431F" w:rsidP="0089431F">
      <w:pPr>
        <w:spacing w:after="0" w:line="265" w:lineRule="auto"/>
        <w:jc w:val="both"/>
        <w:rPr>
          <w:rFonts w:ascii="Sakkal Majalla" w:hAnsi="Sakkal Majalla" w:cs="Sakkal Majalla"/>
          <w:b/>
          <w:bCs/>
          <w:lang w:val="en-US"/>
        </w:rPr>
      </w:pPr>
      <w:r w:rsidRPr="0089431F">
        <w:rPr>
          <w:rFonts w:ascii="Sakkal Majalla" w:hAnsi="Sakkal Majalla" w:cs="Sakkal Majalla"/>
          <w:b/>
          <w:bCs/>
          <w:rtl/>
          <w:lang w:val="en-US" w:bidi="ar-SA"/>
        </w:rPr>
        <w:t>حدود الدراسة</w:t>
      </w:r>
    </w:p>
    <w:p w14:paraId="44D74F53" w14:textId="77777777" w:rsidR="0089431F" w:rsidRDefault="0089431F" w:rsidP="0089431F">
      <w:pPr>
        <w:spacing w:after="0" w:line="265" w:lineRule="auto"/>
        <w:jc w:val="both"/>
        <w:rPr>
          <w:rFonts w:ascii="Sakkal Majalla" w:hAnsi="Sakkal Majalla" w:cs="Sakkal Majalla"/>
          <w:rtl/>
          <w:lang w:val="en-US"/>
        </w:rPr>
      </w:pPr>
      <w:r w:rsidRPr="0089431F">
        <w:rPr>
          <w:rFonts w:ascii="Sakkal Majalla" w:hAnsi="Sakkal Majalla" w:cs="Sakkal Majalla"/>
          <w:b/>
          <w:bCs/>
          <w:rtl/>
          <w:lang w:val="en-US" w:bidi="ar-SA"/>
        </w:rPr>
        <w:t>الحدود الموضوعية</w:t>
      </w:r>
    </w:p>
    <w:p w14:paraId="76642D8D" w14:textId="3ACF7C10" w:rsidR="0089431F" w:rsidRPr="0089431F" w:rsidRDefault="0089431F" w:rsidP="00033A3B">
      <w:pPr>
        <w:spacing w:after="0" w:line="413" w:lineRule="auto"/>
        <w:ind w:hanging="10"/>
        <w:jc w:val="both"/>
        <w:rPr>
          <w:rFonts w:ascii="Sakkal Majalla" w:eastAsia="Arial" w:hAnsi="Sakkal Majalla" w:cs="Sakkal Majalla"/>
          <w:sz w:val="24"/>
        </w:rPr>
      </w:pPr>
      <w:r w:rsidRPr="0089431F">
        <w:rPr>
          <w:rFonts w:ascii="Sakkal Majalla" w:eastAsia="Arial" w:hAnsi="Sakkal Majalla" w:cs="Sakkal Majalla"/>
          <w:sz w:val="24"/>
          <w:rtl/>
        </w:rPr>
        <w:lastRenderedPageBreak/>
        <w:t>تقتصر الدراسة على بحث تأثير ممارسات إدارة الموارد البشرية بوصفها المتغير المستقل في معدلات الدوران الوظيفي بوصفها المتغير التابع داخل بيئة العمل الصناعية. ولا تتناول الدراسة بالتفصيل متغيرات تنظيمية أو سلوكية أخرى قد تؤثر في الدوران الوظيفي، إلا بالقدر الذي يخدم بناء الإطار النظري وتفسير النتائج المتوقعة</w:t>
      </w:r>
      <w:r w:rsidRPr="0089431F">
        <w:rPr>
          <w:rFonts w:ascii="Sakkal Majalla" w:eastAsia="Arial" w:hAnsi="Sakkal Majalla" w:cs="Sakkal Majalla"/>
          <w:sz w:val="24"/>
        </w:rPr>
        <w:t>.</w:t>
      </w:r>
    </w:p>
    <w:p w14:paraId="31BC87CC" w14:textId="77777777" w:rsidR="0089431F" w:rsidRDefault="0089431F" w:rsidP="0089431F">
      <w:pPr>
        <w:spacing w:after="0" w:line="265" w:lineRule="auto"/>
        <w:jc w:val="both"/>
        <w:rPr>
          <w:rFonts w:ascii="Sakkal Majalla" w:hAnsi="Sakkal Majalla" w:cs="Sakkal Majalla"/>
          <w:rtl/>
          <w:lang w:val="en-US"/>
        </w:rPr>
      </w:pPr>
      <w:r w:rsidRPr="0089431F">
        <w:rPr>
          <w:rFonts w:ascii="Sakkal Majalla" w:hAnsi="Sakkal Majalla" w:cs="Sakkal Majalla"/>
          <w:b/>
          <w:bCs/>
          <w:rtl/>
          <w:lang w:val="en-US" w:bidi="ar-SA"/>
        </w:rPr>
        <w:t>الحدود المكانية</w:t>
      </w:r>
    </w:p>
    <w:p w14:paraId="7C346FB5" w14:textId="25CC82A4" w:rsidR="0089431F" w:rsidRPr="0089431F" w:rsidRDefault="0089431F" w:rsidP="00033A3B">
      <w:pPr>
        <w:spacing w:after="0" w:line="413" w:lineRule="auto"/>
        <w:ind w:hanging="10"/>
        <w:jc w:val="both"/>
        <w:rPr>
          <w:rFonts w:ascii="Sakkal Majalla" w:eastAsia="Arial" w:hAnsi="Sakkal Majalla" w:cs="Sakkal Majalla"/>
          <w:sz w:val="24"/>
        </w:rPr>
      </w:pPr>
      <w:r w:rsidRPr="0089431F">
        <w:rPr>
          <w:rFonts w:ascii="Sakkal Majalla" w:eastAsia="Arial" w:hAnsi="Sakkal Majalla" w:cs="Sakkal Majalla"/>
          <w:sz w:val="24"/>
          <w:rtl/>
        </w:rPr>
        <w:t>تُطبق الدراسة على منشآت القطاع الصناعي في المملكة العربية السعودية، وعليه فإن ما تتوصل إليه من نتائج يرتبط بخصائص هذا القطاع وبطبيعة بيئته التنظيمية والتشغيلية داخل المملكة</w:t>
      </w:r>
      <w:r w:rsidRPr="0089431F">
        <w:rPr>
          <w:rFonts w:ascii="Sakkal Majalla" w:eastAsia="Arial" w:hAnsi="Sakkal Majalla" w:cs="Sakkal Majalla"/>
          <w:sz w:val="24"/>
        </w:rPr>
        <w:t>.</w:t>
      </w:r>
    </w:p>
    <w:p w14:paraId="430CE31F" w14:textId="77777777" w:rsidR="0089431F" w:rsidRDefault="0089431F" w:rsidP="0089431F">
      <w:pPr>
        <w:spacing w:after="0" w:line="265" w:lineRule="auto"/>
        <w:jc w:val="both"/>
        <w:rPr>
          <w:rFonts w:ascii="Sakkal Majalla" w:hAnsi="Sakkal Majalla" w:cs="Sakkal Majalla"/>
          <w:rtl/>
          <w:lang w:val="en-US"/>
        </w:rPr>
      </w:pPr>
      <w:r w:rsidRPr="0089431F">
        <w:rPr>
          <w:rFonts w:ascii="Sakkal Majalla" w:hAnsi="Sakkal Majalla" w:cs="Sakkal Majalla"/>
          <w:b/>
          <w:bCs/>
          <w:rtl/>
          <w:lang w:val="en-US" w:bidi="ar-SA"/>
        </w:rPr>
        <w:t>الحدود الزمانية</w:t>
      </w:r>
    </w:p>
    <w:p w14:paraId="02AE6BC4" w14:textId="49D2184D" w:rsidR="0089431F" w:rsidRPr="0089431F" w:rsidRDefault="0089431F" w:rsidP="00033A3B">
      <w:pPr>
        <w:spacing w:after="0" w:line="413" w:lineRule="auto"/>
        <w:ind w:hanging="10"/>
        <w:jc w:val="both"/>
        <w:rPr>
          <w:rFonts w:ascii="Sakkal Majalla" w:eastAsia="Arial" w:hAnsi="Sakkal Majalla" w:cs="Sakkal Majalla"/>
          <w:sz w:val="24"/>
        </w:rPr>
      </w:pPr>
      <w:r w:rsidRPr="0089431F">
        <w:rPr>
          <w:rFonts w:ascii="Sakkal Majalla" w:eastAsia="Arial" w:hAnsi="Sakkal Majalla" w:cs="Sakkal Majalla"/>
          <w:sz w:val="24"/>
          <w:rtl/>
        </w:rPr>
        <w:t>تنحصر الدراسة في الفترة الزمنية</w:t>
      </w:r>
      <w:r w:rsidR="00033A3B">
        <w:rPr>
          <w:rFonts w:ascii="Sakkal Majalla" w:eastAsia="Arial" w:hAnsi="Sakkal Majalla" w:cs="Sakkal Majalla"/>
          <w:sz w:val="24"/>
          <w:lang w:val="en-US"/>
        </w:rPr>
        <w:t xml:space="preserve"> </w:t>
      </w:r>
      <w:r w:rsidR="00033A3B">
        <w:rPr>
          <w:rFonts w:ascii="Sakkal Majalla" w:eastAsia="Arial" w:hAnsi="Sakkal Majalla" w:cs="Sakkal Majalla" w:hint="cs"/>
          <w:sz w:val="24"/>
          <w:rtl/>
          <w:lang w:val="en-US"/>
        </w:rPr>
        <w:t>خلال 2026</w:t>
      </w:r>
      <w:r w:rsidRPr="0089431F">
        <w:rPr>
          <w:rFonts w:ascii="Sakkal Majalla" w:eastAsia="Arial" w:hAnsi="Sakkal Majalla" w:cs="Sakkal Majalla"/>
          <w:sz w:val="24"/>
          <w:rtl/>
        </w:rPr>
        <w:t xml:space="preserve"> التي سيتم خلالها جمع البيانات وتنفيذ إجراءات الدراسة وفق الخطة المعتمدة، وبذلك تعكس النتائج واقع ممارسات إدارة الموارد البشرية والدوران الوظيفي خلال تلك المدة تحديدًا</w:t>
      </w:r>
      <w:r w:rsidRPr="0089431F">
        <w:rPr>
          <w:rFonts w:ascii="Sakkal Majalla" w:eastAsia="Arial" w:hAnsi="Sakkal Majalla" w:cs="Sakkal Majalla"/>
          <w:sz w:val="24"/>
        </w:rPr>
        <w:t>.</w:t>
      </w:r>
    </w:p>
    <w:p w14:paraId="29A89084" w14:textId="77777777" w:rsidR="0089431F" w:rsidRDefault="0089431F" w:rsidP="0089431F">
      <w:pPr>
        <w:spacing w:after="0" w:line="265" w:lineRule="auto"/>
        <w:jc w:val="both"/>
        <w:rPr>
          <w:rFonts w:ascii="Sakkal Majalla" w:hAnsi="Sakkal Majalla" w:cs="Sakkal Majalla"/>
          <w:rtl/>
          <w:lang w:val="en-US"/>
        </w:rPr>
      </w:pPr>
      <w:r w:rsidRPr="0089431F">
        <w:rPr>
          <w:rFonts w:ascii="Sakkal Majalla" w:hAnsi="Sakkal Majalla" w:cs="Sakkal Majalla"/>
          <w:b/>
          <w:bCs/>
          <w:rtl/>
          <w:lang w:val="en-US" w:bidi="ar-SA"/>
        </w:rPr>
        <w:t>الحدود البشرية</w:t>
      </w:r>
    </w:p>
    <w:p w14:paraId="04709C38" w14:textId="42BCE0A2" w:rsidR="0089431F" w:rsidRPr="00C34BDD" w:rsidRDefault="0089431F" w:rsidP="00033A3B">
      <w:pPr>
        <w:spacing w:after="0" w:line="413" w:lineRule="auto"/>
        <w:ind w:hanging="10"/>
        <w:jc w:val="both"/>
        <w:rPr>
          <w:rFonts w:ascii="Sakkal Majalla" w:eastAsia="Arial" w:hAnsi="Sakkal Majalla" w:cs="Sakkal Majalla"/>
          <w:sz w:val="24"/>
        </w:rPr>
      </w:pPr>
      <w:r w:rsidRPr="0089431F">
        <w:rPr>
          <w:rFonts w:ascii="Sakkal Majalla" w:eastAsia="Arial" w:hAnsi="Sakkal Majalla" w:cs="Sakkal Majalla"/>
          <w:sz w:val="24"/>
          <w:rtl/>
        </w:rPr>
        <w:t>تقتصر الدراسة على العاملين في منشآت القطاع الصناعي السعودي ممن تنطبق عليهم معايير المشاركة، وتُفسَّر النتائج في ضوء آرائهم وخبراتهم الوظيفية داخل تلك المنشآت</w:t>
      </w:r>
      <w:r w:rsidRPr="0089431F">
        <w:rPr>
          <w:rFonts w:ascii="Sakkal Majalla" w:eastAsia="Arial" w:hAnsi="Sakkal Majalla" w:cs="Sakkal Majalla"/>
          <w:sz w:val="24"/>
        </w:rPr>
        <w:t>.</w:t>
      </w:r>
    </w:p>
    <w:p w14:paraId="549EAAEC" w14:textId="5887BE37" w:rsidR="00C34BDD" w:rsidRPr="00AA2177" w:rsidRDefault="00AA2177" w:rsidP="00296EE4">
      <w:pPr>
        <w:spacing w:after="0" w:line="265" w:lineRule="auto"/>
        <w:jc w:val="both"/>
        <w:rPr>
          <w:rFonts w:ascii="Sakkal Majalla" w:hAnsi="Sakkal Majalla" w:cs="Sakkal Majalla"/>
          <w:b/>
          <w:bCs/>
          <w:sz w:val="24"/>
          <w:szCs w:val="28"/>
          <w:rtl/>
          <w:lang w:val="en-US"/>
        </w:rPr>
      </w:pPr>
      <w:r w:rsidRPr="00AA2177">
        <w:rPr>
          <w:rFonts w:ascii="Sakkal Majalla" w:hAnsi="Sakkal Majalla" w:cs="Sakkal Majalla" w:hint="cs"/>
          <w:b/>
          <w:bCs/>
          <w:sz w:val="24"/>
          <w:szCs w:val="28"/>
          <w:rtl/>
          <w:lang w:val="en-US"/>
        </w:rPr>
        <w:t>مصطلحات الدراسة:</w:t>
      </w:r>
    </w:p>
    <w:p w14:paraId="1AC07139" w14:textId="77777777" w:rsidR="00AA2177" w:rsidRDefault="00AA2177" w:rsidP="00AA2177">
      <w:pPr>
        <w:spacing w:after="0" w:line="265" w:lineRule="auto"/>
        <w:jc w:val="both"/>
        <w:rPr>
          <w:rFonts w:ascii="Sakkal Majalla" w:hAnsi="Sakkal Majalla" w:cs="Sakkal Majalla"/>
          <w:rtl/>
          <w:lang w:val="en-US"/>
        </w:rPr>
      </w:pPr>
      <w:r w:rsidRPr="00AA2177">
        <w:rPr>
          <w:rFonts w:ascii="Sakkal Majalla" w:hAnsi="Sakkal Majalla" w:cs="Sakkal Majalla"/>
          <w:b/>
          <w:bCs/>
          <w:rtl/>
          <w:lang w:val="en-US" w:bidi="ar-SA"/>
        </w:rPr>
        <w:t>ممارسات إدارة الموارد البشرية</w:t>
      </w:r>
    </w:p>
    <w:p w14:paraId="7112667E" w14:textId="5F3D1887" w:rsidR="00AA2177" w:rsidRPr="00AA2177" w:rsidRDefault="00AA2177" w:rsidP="006F0169">
      <w:pPr>
        <w:spacing w:after="0" w:line="413" w:lineRule="auto"/>
        <w:ind w:hanging="10"/>
        <w:jc w:val="both"/>
        <w:rPr>
          <w:rFonts w:ascii="Sakkal Majalla" w:eastAsia="Arial" w:hAnsi="Sakkal Majalla" w:cs="Sakkal Majalla"/>
          <w:sz w:val="24"/>
        </w:rPr>
      </w:pPr>
      <w:r w:rsidRPr="00AA2177">
        <w:rPr>
          <w:rFonts w:ascii="Sakkal Majalla" w:eastAsia="Arial" w:hAnsi="Sakkal Majalla" w:cs="Sakkal Majalla"/>
          <w:sz w:val="24"/>
          <w:rtl/>
        </w:rPr>
        <w:t xml:space="preserve">عرّفت دراسة سُهام </w:t>
      </w:r>
      <w:proofErr w:type="spellStart"/>
      <w:r w:rsidRPr="00AA2177">
        <w:rPr>
          <w:rFonts w:ascii="Sakkal Majalla" w:eastAsia="Arial" w:hAnsi="Sakkal Majalla" w:cs="Sakkal Majalla"/>
          <w:sz w:val="24"/>
          <w:rtl/>
        </w:rPr>
        <w:t>العصميل</w:t>
      </w:r>
      <w:proofErr w:type="spellEnd"/>
      <w:r w:rsidRPr="00AA2177">
        <w:rPr>
          <w:rFonts w:ascii="Sakkal Majalla" w:eastAsia="Arial" w:hAnsi="Sakkal Majalla" w:cs="Sakkal Majalla"/>
          <w:sz w:val="24"/>
          <w:rtl/>
        </w:rPr>
        <w:t xml:space="preserve"> (2023) ممارسات إدارة الموارد البشرية بأنها الأنشطة والسياسات التي تنفذها المنظمة بهدف تحسين أداء العاملين وسلوكهم الوظيفي من خلال التدريب، والتحفيز، وتقييم الأداء، والمكافآت، بما يؤدي إلى رفع الالتزام التنظيمي وتقليل الدوران الوظيفي. وأشارت الدراسة إلى أن الممارسات الفعالة للموارد البشرية تسهم في تعزيز الرضا الوظيفي وزيادة الإنتاجية داخل القطاع الصناعي السعودي </w:t>
      </w:r>
      <w:r w:rsidRPr="00AA2177">
        <w:rPr>
          <w:rFonts w:eastAsia="Arial"/>
          <w:sz w:val="24"/>
        </w:rPr>
        <w:t>(</w:t>
      </w:r>
      <w:proofErr w:type="spellStart"/>
      <w:r w:rsidRPr="00AA2177">
        <w:rPr>
          <w:rFonts w:eastAsia="Arial"/>
          <w:sz w:val="24"/>
        </w:rPr>
        <w:t>Alismail</w:t>
      </w:r>
      <w:proofErr w:type="spellEnd"/>
      <w:r w:rsidRPr="00AA2177">
        <w:rPr>
          <w:rFonts w:eastAsia="Arial"/>
          <w:sz w:val="24"/>
        </w:rPr>
        <w:t>, 2023)</w:t>
      </w:r>
      <w:r w:rsidRPr="00AA2177">
        <w:rPr>
          <w:rFonts w:ascii="Sakkal Majalla" w:eastAsia="Arial" w:hAnsi="Sakkal Majalla" w:cs="Sakkal Majalla"/>
          <w:sz w:val="24"/>
        </w:rPr>
        <w:t>.</w:t>
      </w:r>
    </w:p>
    <w:p w14:paraId="5F58D2B4" w14:textId="77777777" w:rsidR="00AA2177" w:rsidRDefault="00AA2177" w:rsidP="00AA2177">
      <w:pPr>
        <w:spacing w:after="0" w:line="265" w:lineRule="auto"/>
        <w:jc w:val="both"/>
        <w:rPr>
          <w:rFonts w:ascii="Sakkal Majalla" w:hAnsi="Sakkal Majalla" w:cs="Sakkal Majalla"/>
          <w:rtl/>
          <w:lang w:val="en-US"/>
        </w:rPr>
      </w:pPr>
      <w:r w:rsidRPr="00AA2177">
        <w:rPr>
          <w:rFonts w:ascii="Sakkal Majalla" w:hAnsi="Sakkal Majalla" w:cs="Sakkal Majalla"/>
          <w:b/>
          <w:bCs/>
          <w:rtl/>
          <w:lang w:val="en-US" w:bidi="ar-SA"/>
        </w:rPr>
        <w:t>الدوران الوظيفي</w:t>
      </w:r>
    </w:p>
    <w:p w14:paraId="267D2C1F" w14:textId="4FB9646D" w:rsidR="00AA2177" w:rsidRPr="00AA2177" w:rsidRDefault="00AA2177" w:rsidP="006F0169">
      <w:pPr>
        <w:spacing w:after="0" w:line="413" w:lineRule="auto"/>
        <w:ind w:hanging="10"/>
        <w:jc w:val="both"/>
        <w:rPr>
          <w:rFonts w:ascii="Sakkal Majalla" w:eastAsia="Arial" w:hAnsi="Sakkal Majalla" w:cs="Sakkal Majalla"/>
          <w:sz w:val="24"/>
        </w:rPr>
      </w:pPr>
      <w:r w:rsidRPr="00AA2177">
        <w:rPr>
          <w:rFonts w:ascii="Sakkal Majalla" w:eastAsia="Arial" w:hAnsi="Sakkal Majalla" w:cs="Sakkal Majalla"/>
          <w:sz w:val="24"/>
          <w:rtl/>
        </w:rPr>
        <w:t xml:space="preserve">ذكرت دراسة </w:t>
      </w:r>
      <w:proofErr w:type="spellStart"/>
      <w:r w:rsidRPr="00AA2177">
        <w:rPr>
          <w:rFonts w:ascii="Sakkal Majalla" w:eastAsia="Arial" w:hAnsi="Sakkal Majalla" w:cs="Sakkal Majalla"/>
          <w:sz w:val="24"/>
          <w:rtl/>
        </w:rPr>
        <w:t>جهانزيب</w:t>
      </w:r>
      <w:proofErr w:type="spellEnd"/>
      <w:r w:rsidRPr="00AA2177">
        <w:rPr>
          <w:rFonts w:ascii="Sakkal Majalla" w:eastAsia="Arial" w:hAnsi="Sakkal Majalla" w:cs="Sakkal Majalla"/>
          <w:sz w:val="24"/>
          <w:rtl/>
        </w:rPr>
        <w:t xml:space="preserve"> وراشد (2013) أن الدوران الوظيفي هو نية الموظف في مغادرة المنظمة أو ترك العمل نتيجة ضعف الالتزام التنظيمي أو انخفاض الرضا الوظيفي، وهو من أبرز المؤشرات التي تدل على قصور في ممارسات إدارة الموارد البشرية. كما أكدت الدراسة أن التدريب والالتزام التنظيمي يسهمان بشكل مباشر في تقليل نية ترك العمل لدى الموظفين في المؤسسات السعودية </w:t>
      </w:r>
      <w:r w:rsidRPr="00AA2177">
        <w:rPr>
          <w:rFonts w:eastAsia="Arial"/>
          <w:sz w:val="24"/>
        </w:rPr>
        <w:t>(</w:t>
      </w:r>
      <w:proofErr w:type="spellStart"/>
      <w:r w:rsidRPr="00AA2177">
        <w:rPr>
          <w:rFonts w:eastAsia="Arial"/>
          <w:sz w:val="24"/>
        </w:rPr>
        <w:t>Jehanzeb</w:t>
      </w:r>
      <w:proofErr w:type="spellEnd"/>
      <w:r w:rsidRPr="00AA2177">
        <w:rPr>
          <w:rFonts w:eastAsia="Arial"/>
          <w:sz w:val="24"/>
        </w:rPr>
        <w:t xml:space="preserve"> &amp; </w:t>
      </w:r>
      <w:proofErr w:type="spellStart"/>
      <w:r w:rsidRPr="00AA2177">
        <w:rPr>
          <w:rFonts w:eastAsia="Arial"/>
          <w:sz w:val="24"/>
        </w:rPr>
        <w:t>Rasheed</w:t>
      </w:r>
      <w:proofErr w:type="spellEnd"/>
      <w:r w:rsidRPr="00AA2177">
        <w:rPr>
          <w:rFonts w:eastAsia="Arial"/>
          <w:sz w:val="24"/>
        </w:rPr>
        <w:t>, 2013)</w:t>
      </w:r>
      <w:r w:rsidRPr="00AA2177">
        <w:rPr>
          <w:rFonts w:ascii="Sakkal Majalla" w:eastAsia="Arial" w:hAnsi="Sakkal Majalla" w:cs="Sakkal Majalla"/>
          <w:sz w:val="24"/>
        </w:rPr>
        <w:t>.</w:t>
      </w:r>
    </w:p>
    <w:p w14:paraId="1178ED62" w14:textId="77777777" w:rsidR="00AA2177" w:rsidRDefault="00AA2177" w:rsidP="00AA2177">
      <w:pPr>
        <w:spacing w:after="0" w:line="265" w:lineRule="auto"/>
        <w:jc w:val="both"/>
        <w:rPr>
          <w:rFonts w:ascii="Sakkal Majalla" w:hAnsi="Sakkal Majalla" w:cs="Sakkal Majalla"/>
          <w:rtl/>
          <w:lang w:val="en-US"/>
        </w:rPr>
      </w:pPr>
      <w:r w:rsidRPr="00AA2177">
        <w:rPr>
          <w:rFonts w:ascii="Sakkal Majalla" w:hAnsi="Sakkal Majalla" w:cs="Sakkal Majalla"/>
          <w:b/>
          <w:bCs/>
          <w:rtl/>
          <w:lang w:val="en-US" w:bidi="ar-SA"/>
        </w:rPr>
        <w:t>الالتزام التنظيمي</w:t>
      </w:r>
    </w:p>
    <w:p w14:paraId="55D6A5FD" w14:textId="22229CE9" w:rsidR="00AA2177" w:rsidRPr="006F0169" w:rsidRDefault="00AA2177" w:rsidP="006F0169">
      <w:pPr>
        <w:spacing w:after="0" w:line="413" w:lineRule="auto"/>
        <w:ind w:hanging="10"/>
        <w:jc w:val="both"/>
        <w:rPr>
          <w:rFonts w:ascii="Sakkal Majalla" w:eastAsia="Arial" w:hAnsi="Sakkal Majalla" w:cs="Sakkal Majalla"/>
          <w:sz w:val="24"/>
          <w:rtl/>
        </w:rPr>
      </w:pPr>
      <w:r w:rsidRPr="00AA2177">
        <w:rPr>
          <w:rFonts w:ascii="Sakkal Majalla" w:eastAsia="Arial" w:hAnsi="Sakkal Majalla" w:cs="Sakkal Majalla"/>
          <w:sz w:val="24"/>
          <w:rtl/>
        </w:rPr>
        <w:lastRenderedPageBreak/>
        <w:t xml:space="preserve">أوضحت دراسة العتيبي </w:t>
      </w:r>
      <w:proofErr w:type="spellStart"/>
      <w:r w:rsidRPr="00AA2177">
        <w:rPr>
          <w:rFonts w:ascii="Sakkal Majalla" w:eastAsia="Arial" w:hAnsi="Sakkal Majalla" w:cs="Sakkal Majalla"/>
          <w:sz w:val="24"/>
          <w:rtl/>
        </w:rPr>
        <w:t>والقهطمي</w:t>
      </w:r>
      <w:proofErr w:type="spellEnd"/>
      <w:r w:rsidRPr="00AA2177">
        <w:rPr>
          <w:rFonts w:ascii="Sakkal Majalla" w:eastAsia="Arial" w:hAnsi="Sakkal Majalla" w:cs="Sakkal Majalla"/>
          <w:sz w:val="24"/>
          <w:rtl/>
        </w:rPr>
        <w:t xml:space="preserve"> (2023) أن الالتزام التنظيمي يمثل درجة ارتباط الموظف العاطفي والعملي بالمؤسسة التي يعمل بها، والتي تدفعه للبقاء والمشاركة في تحقيق أهدافها. كما بينت أن تطبيق أنظمة الموارد البشرية القائمة على الالتزام العالي يؤدي إلى رفع مستوى الولاء الوظيفي وتقليل نية ترك العمل بين الموظفين السعوديين </w:t>
      </w:r>
      <w:r w:rsidRPr="00AA2177">
        <w:rPr>
          <w:rFonts w:eastAsia="Arial"/>
          <w:sz w:val="24"/>
        </w:rPr>
        <w:t>(</w:t>
      </w:r>
      <w:proofErr w:type="spellStart"/>
      <w:r w:rsidRPr="00AA2177">
        <w:rPr>
          <w:rFonts w:eastAsia="Arial"/>
          <w:sz w:val="24"/>
        </w:rPr>
        <w:t>Alotaibi</w:t>
      </w:r>
      <w:proofErr w:type="spellEnd"/>
      <w:r w:rsidRPr="00AA2177">
        <w:rPr>
          <w:rFonts w:eastAsia="Arial"/>
          <w:sz w:val="24"/>
        </w:rPr>
        <w:t xml:space="preserve"> &amp; </w:t>
      </w:r>
      <w:proofErr w:type="spellStart"/>
      <w:r w:rsidRPr="00AA2177">
        <w:rPr>
          <w:rFonts w:eastAsia="Arial"/>
          <w:sz w:val="24"/>
        </w:rPr>
        <w:t>Algethami</w:t>
      </w:r>
      <w:proofErr w:type="spellEnd"/>
      <w:r w:rsidRPr="00AA2177">
        <w:rPr>
          <w:rFonts w:eastAsia="Arial"/>
          <w:sz w:val="24"/>
        </w:rPr>
        <w:t>, 2023)</w:t>
      </w:r>
      <w:r w:rsidRPr="006F0169">
        <w:rPr>
          <w:rFonts w:ascii="Sakkal Majalla" w:eastAsia="Arial" w:hAnsi="Sakkal Majalla" w:cs="Sakkal Majalla" w:hint="cs"/>
          <w:sz w:val="24"/>
          <w:rtl/>
        </w:rPr>
        <w:t>.</w:t>
      </w:r>
    </w:p>
    <w:p w14:paraId="13C5E6DB" w14:textId="3B85F8FA" w:rsidR="00AA2177" w:rsidRPr="009D2760" w:rsidRDefault="009D2760" w:rsidP="00AA2177">
      <w:pPr>
        <w:spacing w:after="0" w:line="265" w:lineRule="auto"/>
        <w:jc w:val="both"/>
        <w:rPr>
          <w:rFonts w:ascii="Sakkal Majalla" w:hAnsi="Sakkal Majalla" w:cs="Sakkal Majalla"/>
          <w:b/>
          <w:bCs/>
          <w:sz w:val="24"/>
          <w:szCs w:val="28"/>
          <w:rtl/>
          <w:lang w:val="en-US"/>
        </w:rPr>
      </w:pPr>
      <w:r w:rsidRPr="009D2760">
        <w:rPr>
          <w:rFonts w:ascii="Sakkal Majalla" w:hAnsi="Sakkal Majalla" w:cs="Sakkal Majalla" w:hint="cs"/>
          <w:b/>
          <w:bCs/>
          <w:sz w:val="24"/>
          <w:szCs w:val="28"/>
          <w:rtl/>
          <w:lang w:val="en-US"/>
        </w:rPr>
        <w:t>الإطار</w:t>
      </w:r>
      <w:r w:rsidR="002751D9" w:rsidRPr="009D2760">
        <w:rPr>
          <w:rFonts w:ascii="Sakkal Majalla" w:hAnsi="Sakkal Majalla" w:cs="Sakkal Majalla" w:hint="cs"/>
          <w:b/>
          <w:bCs/>
          <w:sz w:val="24"/>
          <w:szCs w:val="28"/>
          <w:rtl/>
          <w:lang w:val="en-US"/>
        </w:rPr>
        <w:t xml:space="preserve"> النظري</w:t>
      </w:r>
    </w:p>
    <w:p w14:paraId="666DC6ED" w14:textId="7E0AB9D2" w:rsidR="002751D9" w:rsidRPr="002751D9" w:rsidRDefault="002751D9" w:rsidP="002751D9">
      <w:pPr>
        <w:spacing w:after="0" w:line="265" w:lineRule="auto"/>
        <w:jc w:val="both"/>
        <w:rPr>
          <w:rFonts w:ascii="Sakkal Majalla" w:hAnsi="Sakkal Majalla" w:cs="Sakkal Majalla"/>
          <w:b/>
          <w:bCs/>
          <w:rtl/>
          <w:lang w:val="en-US" w:bidi="ar-SA"/>
        </w:rPr>
      </w:pPr>
      <w:r w:rsidRPr="002751D9">
        <w:rPr>
          <w:rFonts w:ascii="Sakkal Majalla" w:hAnsi="Sakkal Majalla" w:cs="Sakkal Majalla"/>
          <w:b/>
          <w:bCs/>
          <w:rtl/>
          <w:lang w:val="en-US"/>
        </w:rPr>
        <w:t>مفهوم إدارة الموارد البشرية وممارساتها</w:t>
      </w:r>
    </w:p>
    <w:p w14:paraId="4E6811EE" w14:textId="1CE3B399" w:rsidR="002751D9" w:rsidRPr="002751D9" w:rsidRDefault="002751D9" w:rsidP="006F0169">
      <w:pPr>
        <w:spacing w:after="0" w:line="413" w:lineRule="auto"/>
        <w:ind w:hanging="10"/>
        <w:jc w:val="both"/>
        <w:rPr>
          <w:rFonts w:ascii="Sakkal Majalla" w:eastAsia="Arial" w:hAnsi="Sakkal Majalla" w:cs="Sakkal Majalla"/>
          <w:sz w:val="24"/>
        </w:rPr>
      </w:pPr>
      <w:r w:rsidRPr="002751D9">
        <w:rPr>
          <w:rFonts w:ascii="Sakkal Majalla" w:eastAsia="Arial" w:hAnsi="Sakkal Majalla" w:cs="Sakkal Majalla"/>
          <w:sz w:val="24"/>
          <w:rtl/>
        </w:rPr>
        <w:t xml:space="preserve">تُعد ممارسات إدارة الموارد البشرية أحد المحاور الجوهرية في فهم سلوك الأفراد داخل المنظمات، خصوصًا </w:t>
      </w:r>
      <w:proofErr w:type="gramStart"/>
      <w:r w:rsidRPr="002751D9">
        <w:rPr>
          <w:rFonts w:ascii="Sakkal Majalla" w:eastAsia="Arial" w:hAnsi="Sakkal Majalla" w:cs="Sakkal Majalla"/>
          <w:sz w:val="24"/>
          <w:rtl/>
        </w:rPr>
        <w:t>في ما</w:t>
      </w:r>
      <w:proofErr w:type="gramEnd"/>
      <w:r w:rsidRPr="002751D9">
        <w:rPr>
          <w:rFonts w:ascii="Sakkal Majalla" w:eastAsia="Arial" w:hAnsi="Sakkal Majalla" w:cs="Sakkal Majalla"/>
          <w:sz w:val="24"/>
          <w:rtl/>
        </w:rPr>
        <w:t xml:space="preserve"> يتعلق بقراراتهم حول البقاء أو مغادرة العمل. وفي ضوء ذلك، يُعَدُّ الإطار النظري للدراسة أداة تحليلية لفهم طبيعة العلاقة بين هذه الممارسات وبين ظاهرة الدوران الوظيفي، من خلال ربط المفاهيم الرئيسة وتوضيح كيفية تفاعلها داخل بيئة العمل الصناعي في المملكة العربية السعودية</w:t>
      </w:r>
      <w:r w:rsidRPr="002751D9">
        <w:rPr>
          <w:rFonts w:ascii="Sakkal Majalla" w:eastAsia="Arial" w:hAnsi="Sakkal Majalla" w:cs="Sakkal Majalla"/>
          <w:sz w:val="24"/>
        </w:rPr>
        <w:t>.</w:t>
      </w:r>
    </w:p>
    <w:p w14:paraId="0984A5FD" w14:textId="77777777" w:rsidR="002751D9" w:rsidRPr="002751D9" w:rsidRDefault="002751D9" w:rsidP="006F0169">
      <w:pPr>
        <w:spacing w:after="0" w:line="413" w:lineRule="auto"/>
        <w:ind w:hanging="10"/>
        <w:jc w:val="both"/>
        <w:rPr>
          <w:rFonts w:ascii="Sakkal Majalla" w:eastAsia="Arial" w:hAnsi="Sakkal Majalla" w:cs="Sakkal Majalla"/>
          <w:sz w:val="24"/>
        </w:rPr>
      </w:pPr>
      <w:r w:rsidRPr="002751D9">
        <w:rPr>
          <w:rFonts w:ascii="Sakkal Majalla" w:eastAsia="Arial" w:hAnsi="Sakkal Majalla" w:cs="Sakkal Majalla"/>
          <w:sz w:val="24"/>
          <w:rtl/>
        </w:rPr>
        <w:t>إن إدارة الموارد البشرية هي وظيفة إدارية تهدف إلى توظيف الأفراد، وتطويرهم، وتحفيزهم، والمحافظة عليهم بما يحقق أهداف المؤسسة. فهي لا تقتصر على الإجراءات الإدارية كالتعيين والصرف فحسب، بل أصبحت تمثل أحد المرتكزات الاستراتيجية التي تضمن استمرارية المنظمات وقدرتها على المنافسة في بيئات الأعمال المتغيرة. وقد عرّفها السلمي (2022) بأنها "مجموعة من الأنشطة والسياسات التي تُعنى بالحصول على الأفراد المناسبين، وتحقيق الاستفادة المثلى منهم، من خلال تطوير مهاراتهم وتحفيزهم وتحقيق رضاهم الوظيفي". وفي السياق نفسه، يشير القرني (2022) إلى أن إدارة الموارد البشرية تمثل الهمزة الواصلة بين الإدارة العليا من جهة، وبين الموظفين من جهة أخرى، وهي المسؤولة عن تحقيق الانسجام والتكامل بين أهداف الطرفين</w:t>
      </w:r>
      <w:r w:rsidRPr="002751D9">
        <w:rPr>
          <w:rFonts w:ascii="Sakkal Majalla" w:eastAsia="Arial" w:hAnsi="Sakkal Majalla" w:cs="Sakkal Majalla"/>
          <w:sz w:val="24"/>
        </w:rPr>
        <w:t>.</w:t>
      </w:r>
    </w:p>
    <w:p w14:paraId="40E09C2C" w14:textId="77777777" w:rsidR="002751D9" w:rsidRPr="002751D9" w:rsidRDefault="002751D9" w:rsidP="006F0169">
      <w:pPr>
        <w:spacing w:after="0" w:line="413" w:lineRule="auto"/>
        <w:ind w:hanging="10"/>
        <w:jc w:val="both"/>
        <w:rPr>
          <w:rFonts w:ascii="Sakkal Majalla" w:eastAsia="Arial" w:hAnsi="Sakkal Majalla" w:cs="Sakkal Majalla"/>
          <w:sz w:val="24"/>
        </w:rPr>
      </w:pPr>
      <w:r w:rsidRPr="002751D9">
        <w:rPr>
          <w:rFonts w:ascii="Sakkal Majalla" w:eastAsia="Arial" w:hAnsi="Sakkal Majalla" w:cs="Sakkal Majalla"/>
          <w:sz w:val="24"/>
          <w:rtl/>
        </w:rPr>
        <w:t>تطور مفهوم إدارة الموارد البشرية من كونه مفهومًا تقليديًا يُعنى فقط بالأمور الإجرائية، إلى كونه مفهومًا استراتيجيًا يتكامل مع الرؤية الشاملة للمنظمة. هذا التطور جعل الموارد البشرية شريكًا فعليًا في صياغة وتنفيذ الاستراتيجيات، إذ لم تعد الوظيفة تُدار من منظور رقابي أو مكتبي فقط، بل أصبحت تتطلب تخطيطًا استراتيجيًا يرتبط بمستقبل المنظمة. الخليفي (2022) أشار إلى أن هذا التحول في الدور كان ضروريًا لمواجهة تحديات سوق العمل، والاحتفاظ بالكفاءات، وتحقيق الاستقرار الوظيفي</w:t>
      </w:r>
      <w:r w:rsidRPr="002751D9">
        <w:rPr>
          <w:rFonts w:ascii="Sakkal Majalla" w:eastAsia="Arial" w:hAnsi="Sakkal Majalla" w:cs="Sakkal Majalla"/>
          <w:sz w:val="24"/>
        </w:rPr>
        <w:t>.</w:t>
      </w:r>
    </w:p>
    <w:p w14:paraId="03D425D8" w14:textId="77777777" w:rsidR="002751D9" w:rsidRPr="002751D9" w:rsidRDefault="002751D9" w:rsidP="006F0169">
      <w:pPr>
        <w:spacing w:after="0" w:line="413" w:lineRule="auto"/>
        <w:ind w:hanging="10"/>
        <w:jc w:val="both"/>
        <w:rPr>
          <w:rFonts w:ascii="Sakkal Majalla" w:eastAsia="Arial" w:hAnsi="Sakkal Majalla" w:cs="Sakkal Majalla"/>
          <w:sz w:val="24"/>
        </w:rPr>
      </w:pPr>
      <w:r w:rsidRPr="002751D9">
        <w:rPr>
          <w:rFonts w:ascii="Sakkal Majalla" w:eastAsia="Arial" w:hAnsi="Sakkal Majalla" w:cs="Sakkal Majalla"/>
          <w:sz w:val="24"/>
          <w:rtl/>
        </w:rPr>
        <w:t>أما فيما يتعلق بمفهوم "ممارسات إدارة الموارد البشرية"، فهو يشير إلى الأنشطة والسياسات التي تطبقها المنظمات في مجالات الاستقطاب، والاختيار، والتدريب، وتقييم الأداء، والتحفيز، والتعويضات، وإدارة علاقات الموظفين. وتؤكد الشريف (2023) أن هذه الممارسات تمثل أدوات تنفيذية تعكس فلسفة المنظمة في التعامل مع رأس المال البشري، وهي التي تحدد مستوى رضا الموظفين، والتزامهم، واستمرارهم في العمل</w:t>
      </w:r>
      <w:r w:rsidRPr="002751D9">
        <w:rPr>
          <w:rFonts w:ascii="Sakkal Majalla" w:eastAsia="Arial" w:hAnsi="Sakkal Majalla" w:cs="Sakkal Majalla"/>
          <w:sz w:val="24"/>
        </w:rPr>
        <w:t>.</w:t>
      </w:r>
    </w:p>
    <w:p w14:paraId="7CBC8B7C" w14:textId="77777777" w:rsidR="002751D9" w:rsidRPr="002751D9" w:rsidRDefault="002751D9" w:rsidP="006F0169">
      <w:pPr>
        <w:spacing w:after="0" w:line="413" w:lineRule="auto"/>
        <w:ind w:hanging="10"/>
        <w:jc w:val="both"/>
        <w:rPr>
          <w:rFonts w:ascii="Sakkal Majalla" w:eastAsia="Arial" w:hAnsi="Sakkal Majalla" w:cs="Sakkal Majalla"/>
          <w:sz w:val="24"/>
        </w:rPr>
      </w:pPr>
      <w:r w:rsidRPr="002751D9">
        <w:rPr>
          <w:rFonts w:ascii="Sakkal Majalla" w:eastAsia="Arial" w:hAnsi="Sakkal Majalla" w:cs="Sakkal Majalla"/>
          <w:sz w:val="24"/>
          <w:rtl/>
        </w:rPr>
        <w:t xml:space="preserve">وقد تطورت هذه الممارسات لتُصنف في حزم استراتيجية مترابطة. وتشمل أولًا: ممارسات الاستقطاب والاختيار، التي تركز على جذب الكفاءات وتعيين الأفراد الذين تتوافق قدراتهم مع احتياجات العمل. وثانيًا: ممارسات التدريب والتطوير، التي تهدف إلى رفع كفاءة العاملين وتطوير </w:t>
      </w:r>
      <w:r w:rsidRPr="002751D9">
        <w:rPr>
          <w:rFonts w:ascii="Sakkal Majalla" w:eastAsia="Arial" w:hAnsi="Sakkal Majalla" w:cs="Sakkal Majalla"/>
          <w:sz w:val="24"/>
          <w:rtl/>
        </w:rPr>
        <w:lastRenderedPageBreak/>
        <w:t>مهاراتهم بما يتماشى مع تطور متطلبات العمل. وثالثًا: ممارسات تقييم الأداء، والتي تساعد في توجيه سلوك الموظفين وضمان تحقق الأهداف. ورابعًا: ممارسات التحفيز والتعويضات، التي تسهم في رفع مستوى الرضا والولاء من خلال الحوافز المادية والمعنوية. وأخيرًا: إدارة علاقات الموظفين، التي تعنى بتوفير بيئة عمل عادلة ومحفزة، تُشعر الموظف بقيمته داخل المنظمة. وقد أشار عبد الجواد (2023) إلى أن تكامل هذه الممارسات يشكل حزمة استراتيجية تعزز من استقرار الموظفين وتقلل من نيتهم لترك العمل</w:t>
      </w:r>
      <w:r w:rsidRPr="002751D9">
        <w:rPr>
          <w:rFonts w:ascii="Sakkal Majalla" w:eastAsia="Arial" w:hAnsi="Sakkal Majalla" w:cs="Sakkal Majalla"/>
          <w:sz w:val="24"/>
        </w:rPr>
        <w:t>.</w:t>
      </w:r>
    </w:p>
    <w:p w14:paraId="684000D7" w14:textId="77777777" w:rsidR="002751D9" w:rsidRPr="002751D9" w:rsidRDefault="002751D9" w:rsidP="006F0169">
      <w:pPr>
        <w:spacing w:after="0" w:line="413" w:lineRule="auto"/>
        <w:ind w:hanging="10"/>
        <w:jc w:val="both"/>
        <w:rPr>
          <w:rFonts w:ascii="Sakkal Majalla" w:eastAsia="Arial" w:hAnsi="Sakkal Majalla" w:cs="Sakkal Majalla"/>
          <w:sz w:val="24"/>
        </w:rPr>
      </w:pPr>
      <w:r w:rsidRPr="002751D9">
        <w:rPr>
          <w:rFonts w:ascii="Sakkal Majalla" w:eastAsia="Arial" w:hAnsi="Sakkal Majalla" w:cs="Sakkal Majalla"/>
          <w:sz w:val="24"/>
          <w:rtl/>
        </w:rPr>
        <w:t>وتذهب الجميلي (2023) إلى أن نجاح المنظمات في تقليل معدلات الدوران الوظيفي يعتمد بدرجة كبيرة على مدى فعالية تطبيق هذه الحزم من الممارسات. فكلما زادت عدالة تطبيقها وارتباطها باحتياجات الموظفين الفعلية، ارتفع مستوى الولاء والانتماء، وقلت معدلات الاستقالة والتسرب الوظيفي</w:t>
      </w:r>
      <w:r w:rsidRPr="002751D9">
        <w:rPr>
          <w:rFonts w:ascii="Sakkal Majalla" w:eastAsia="Arial" w:hAnsi="Sakkal Majalla" w:cs="Sakkal Majalla"/>
          <w:sz w:val="24"/>
        </w:rPr>
        <w:t>.</w:t>
      </w:r>
    </w:p>
    <w:p w14:paraId="7A6D2E6A" w14:textId="77777777" w:rsidR="002751D9" w:rsidRPr="002751D9" w:rsidRDefault="002751D9" w:rsidP="006F0169">
      <w:pPr>
        <w:spacing w:after="0" w:line="413" w:lineRule="auto"/>
        <w:ind w:hanging="10"/>
        <w:jc w:val="both"/>
        <w:rPr>
          <w:rFonts w:ascii="Sakkal Majalla" w:eastAsia="Arial" w:hAnsi="Sakkal Majalla" w:cs="Sakkal Majalla"/>
          <w:sz w:val="24"/>
        </w:rPr>
      </w:pPr>
      <w:r w:rsidRPr="002751D9">
        <w:rPr>
          <w:rFonts w:ascii="Sakkal Majalla" w:eastAsia="Arial" w:hAnsi="Sakkal Majalla" w:cs="Sakkal Majalla"/>
          <w:sz w:val="24"/>
          <w:rtl/>
        </w:rPr>
        <w:t>وعليه، فإن الإطار النظري لهذه الدراسة يُبنى على مفهوم استراتيجي لممارسات إدارة الموارد البشرية، باعتبارها أحد المحددات الأساسية لسلوك الموظفين تجاه البقاء في العمل، مما يجعل من تحليل هذه الممارسات، وتقييم مستواها في القطاع الصناعي السعودي، خطوة ضرورية لفهم أسباب الدوران الوظيفي والحد منه</w:t>
      </w:r>
      <w:r w:rsidRPr="002751D9">
        <w:rPr>
          <w:rFonts w:ascii="Sakkal Majalla" w:eastAsia="Arial" w:hAnsi="Sakkal Majalla" w:cs="Sakkal Majalla"/>
          <w:sz w:val="24"/>
        </w:rPr>
        <w:t>.</w:t>
      </w:r>
    </w:p>
    <w:p w14:paraId="7E9CC24C" w14:textId="05DB9C7D" w:rsidR="002751D9" w:rsidRPr="002751D9" w:rsidRDefault="002751D9" w:rsidP="002751D9">
      <w:pPr>
        <w:spacing w:after="0" w:line="265" w:lineRule="auto"/>
        <w:jc w:val="both"/>
        <w:rPr>
          <w:rFonts w:ascii="Sakkal Majalla" w:hAnsi="Sakkal Majalla" w:cs="Sakkal Majalla"/>
          <w:b/>
          <w:bCs/>
          <w:rtl/>
          <w:lang w:val="en-US"/>
        </w:rPr>
      </w:pPr>
      <w:r w:rsidRPr="002751D9">
        <w:rPr>
          <w:rFonts w:ascii="Sakkal Majalla" w:hAnsi="Sakkal Majalla" w:cs="Sakkal Majalla"/>
          <w:b/>
          <w:bCs/>
          <w:rtl/>
          <w:lang w:val="en-US"/>
        </w:rPr>
        <w:t>شرح نظري لممارسات إدارة الموارد البشرية</w:t>
      </w:r>
    </w:p>
    <w:p w14:paraId="369851F1" w14:textId="77777777" w:rsidR="002751D9" w:rsidRPr="002751D9" w:rsidRDefault="002751D9" w:rsidP="003166F6">
      <w:pPr>
        <w:spacing w:after="0" w:line="413" w:lineRule="auto"/>
        <w:ind w:hanging="10"/>
        <w:jc w:val="both"/>
        <w:rPr>
          <w:rFonts w:ascii="Sakkal Majalla" w:eastAsia="Arial" w:hAnsi="Sakkal Majalla" w:cs="Sakkal Majalla"/>
          <w:sz w:val="24"/>
        </w:rPr>
      </w:pPr>
      <w:r w:rsidRPr="002751D9">
        <w:rPr>
          <w:rFonts w:ascii="Sakkal Majalla" w:eastAsia="Arial" w:hAnsi="Sakkal Majalla" w:cs="Sakkal Majalla"/>
          <w:sz w:val="24"/>
          <w:rtl/>
        </w:rPr>
        <w:t>تُعد ممارسات إدارة الموارد البشرية مجموعة مترابطة من السياسات والآليات التي تهدف إلى استقطاب الكفاءات والمحافظة عليها وتنميتها بما يضمن استدامة الأداء وتحقيق الميزة التنافسية. وتشمل هذه الممارسات عمليات الاستقطاب والاختيار والتعيين، التدريب والتطوير، تقييم الأداء، التعويضات والمزايا، التطوير الوظيفي، علاقات العمل، وبيئة العمل التنظيمية. وقد أظهرت الدراسات في السياق السعودي أن فعالية هذه الممارسات ترتبط ارتباطًا وثيقًا بمعدلات الدوران الوظيفي ومستوى الالتزام الوظيفي لدى العاملين</w:t>
      </w:r>
      <w:r w:rsidRPr="002751D9">
        <w:rPr>
          <w:rFonts w:ascii="Sakkal Majalla" w:eastAsia="Arial" w:hAnsi="Sakkal Majalla" w:cs="Sakkal Majalla"/>
          <w:sz w:val="24"/>
        </w:rPr>
        <w:t>.</w:t>
      </w:r>
    </w:p>
    <w:p w14:paraId="0C8C67B1" w14:textId="52A5F3E2" w:rsidR="002751D9" w:rsidRPr="002751D9" w:rsidRDefault="002751D9" w:rsidP="003166F6">
      <w:pPr>
        <w:spacing w:after="0" w:line="413" w:lineRule="auto"/>
        <w:ind w:hanging="10"/>
        <w:jc w:val="both"/>
        <w:rPr>
          <w:rFonts w:ascii="Sakkal Majalla" w:eastAsia="Arial" w:hAnsi="Sakkal Majalla" w:cs="Sakkal Majalla"/>
          <w:sz w:val="24"/>
        </w:rPr>
      </w:pPr>
      <w:r w:rsidRPr="002751D9">
        <w:rPr>
          <w:rFonts w:ascii="Sakkal Majalla" w:eastAsia="Arial" w:hAnsi="Sakkal Majalla" w:cs="Sakkal Majalla"/>
          <w:sz w:val="24"/>
          <w:rtl/>
        </w:rPr>
        <w:t xml:space="preserve">يُعد الاستقطاب والاختيار والتعيين من أهم الممارسات التي تحدد جودة الموارد البشرية داخل المنظمة. وقد بينت دراسة محمد (2013) أن المؤسسات الصغيرة والمتوسطة في السعودية تعتمد غالبًا على أساليب تقليدية في التوظيف مثل الإعلانات والعلاقات الشخصية، وأن غياب أنظمة رسمية للتوظيف يؤدي إلى ضعف في الكفاءة وارتفاع معدلات الدوران. كما أظهرت الدراسة أن وجود معايير واضحة للاختيار، مثل اختبارات الكفاءة والمقابلات البنّاءة، يسهم في استقطاب الموظفين الأنسب ويقلل من احتمالية تركهم للعمل لاحقًا </w:t>
      </w:r>
      <w:r w:rsidRPr="002751D9">
        <w:rPr>
          <w:rFonts w:eastAsia="Arial"/>
          <w:sz w:val="24"/>
        </w:rPr>
        <w:t>(</w:t>
      </w:r>
      <w:proofErr w:type="spellStart"/>
      <w:r w:rsidRPr="002751D9">
        <w:rPr>
          <w:rFonts w:eastAsia="Arial"/>
          <w:sz w:val="24"/>
        </w:rPr>
        <w:t>Mohammad</w:t>
      </w:r>
      <w:proofErr w:type="spellEnd"/>
      <w:r w:rsidRPr="002751D9">
        <w:rPr>
          <w:rFonts w:eastAsia="Arial"/>
          <w:sz w:val="24"/>
        </w:rPr>
        <w:t>, 2013)</w:t>
      </w:r>
      <w:r w:rsidRPr="002751D9">
        <w:rPr>
          <w:rFonts w:ascii="Sakkal Majalla" w:eastAsia="Arial" w:hAnsi="Sakkal Majalla" w:cs="Sakkal Majalla"/>
          <w:sz w:val="24"/>
        </w:rPr>
        <w:t>.</w:t>
      </w:r>
    </w:p>
    <w:p w14:paraId="01729C50" w14:textId="232283E7" w:rsidR="002751D9" w:rsidRPr="002751D9" w:rsidRDefault="002751D9" w:rsidP="003166F6">
      <w:pPr>
        <w:spacing w:after="0" w:line="413" w:lineRule="auto"/>
        <w:ind w:hanging="10"/>
        <w:jc w:val="both"/>
        <w:rPr>
          <w:rFonts w:ascii="Sakkal Majalla" w:eastAsia="Arial" w:hAnsi="Sakkal Majalla" w:cs="Sakkal Majalla"/>
          <w:sz w:val="24"/>
        </w:rPr>
      </w:pPr>
      <w:r w:rsidRPr="002751D9">
        <w:rPr>
          <w:rFonts w:ascii="Sakkal Majalla" w:eastAsia="Arial" w:hAnsi="Sakkal Majalla" w:cs="Sakkal Majalla"/>
          <w:sz w:val="24"/>
          <w:rtl/>
        </w:rPr>
        <w:t xml:space="preserve">أما التدريب والتطوير، فهو أداة استراتيجية لتحسين أداء العاملين وضمان توافق مهاراتهم مع متطلبات العمل. فقد أكدت دراسة </w:t>
      </w:r>
      <w:proofErr w:type="spellStart"/>
      <w:r w:rsidRPr="002751D9">
        <w:rPr>
          <w:rFonts w:ascii="Sakkal Majalla" w:eastAsia="Arial" w:hAnsi="Sakkal Majalla" w:cs="Sakkal Majalla"/>
          <w:sz w:val="24"/>
          <w:rtl/>
        </w:rPr>
        <w:t>جهانزيب</w:t>
      </w:r>
      <w:proofErr w:type="spellEnd"/>
      <w:r w:rsidRPr="002751D9">
        <w:rPr>
          <w:rFonts w:ascii="Sakkal Majalla" w:eastAsia="Arial" w:hAnsi="Sakkal Majalla" w:cs="Sakkal Majalla"/>
          <w:sz w:val="24"/>
          <w:rtl/>
        </w:rPr>
        <w:t xml:space="preserve"> وراشد (2013) أن التدريب يسهم في رفع الالتزام التنظيمي وتقليل نية ترك العمل، وأن الموظفين الذين يحصلون على فرص تدريبية مستمرة يشعرون بولاء أكبر تجاه مؤسساتهم </w:t>
      </w:r>
      <w:r w:rsidRPr="002751D9">
        <w:rPr>
          <w:rFonts w:eastAsia="Arial"/>
          <w:sz w:val="24"/>
        </w:rPr>
        <w:t>(</w:t>
      </w:r>
      <w:proofErr w:type="spellStart"/>
      <w:r w:rsidRPr="002751D9">
        <w:rPr>
          <w:rFonts w:eastAsia="Arial"/>
          <w:sz w:val="24"/>
        </w:rPr>
        <w:t>Jehanzeb</w:t>
      </w:r>
      <w:proofErr w:type="spellEnd"/>
      <w:r w:rsidRPr="002751D9">
        <w:rPr>
          <w:rFonts w:eastAsia="Arial"/>
          <w:sz w:val="24"/>
        </w:rPr>
        <w:t xml:space="preserve"> &amp; </w:t>
      </w:r>
      <w:proofErr w:type="spellStart"/>
      <w:r w:rsidRPr="002751D9">
        <w:rPr>
          <w:rFonts w:eastAsia="Arial"/>
          <w:sz w:val="24"/>
        </w:rPr>
        <w:t>Rasheed</w:t>
      </w:r>
      <w:proofErr w:type="spellEnd"/>
      <w:r w:rsidRPr="002751D9">
        <w:rPr>
          <w:rFonts w:eastAsia="Arial"/>
          <w:sz w:val="24"/>
        </w:rPr>
        <w:t>, 2013)</w:t>
      </w:r>
      <w:r w:rsidRPr="002751D9">
        <w:rPr>
          <w:rFonts w:ascii="Sakkal Majalla" w:eastAsia="Arial" w:hAnsi="Sakkal Majalla" w:cs="Sakkal Majalla"/>
          <w:sz w:val="24"/>
        </w:rPr>
        <w:t xml:space="preserve">. </w:t>
      </w:r>
      <w:r w:rsidRPr="002751D9">
        <w:rPr>
          <w:rFonts w:ascii="Sakkal Majalla" w:eastAsia="Arial" w:hAnsi="Sakkal Majalla" w:cs="Sakkal Majalla"/>
          <w:sz w:val="24"/>
          <w:rtl/>
        </w:rPr>
        <w:t xml:space="preserve">كما بينت دراسة </w:t>
      </w:r>
      <w:proofErr w:type="spellStart"/>
      <w:r w:rsidRPr="002751D9">
        <w:rPr>
          <w:rFonts w:ascii="Sakkal Majalla" w:eastAsia="Arial" w:hAnsi="Sakkal Majalla" w:cs="Sakkal Majalla"/>
          <w:sz w:val="24"/>
          <w:rtl/>
        </w:rPr>
        <w:t>دارويش</w:t>
      </w:r>
      <w:proofErr w:type="spellEnd"/>
      <w:r w:rsidRPr="002751D9">
        <w:rPr>
          <w:rFonts w:ascii="Sakkal Majalla" w:eastAsia="Arial" w:hAnsi="Sakkal Majalla" w:cs="Sakkal Majalla"/>
          <w:sz w:val="24"/>
          <w:rtl/>
        </w:rPr>
        <w:t xml:space="preserve"> وآخرين (2022) أن برامج التدريب </w:t>
      </w:r>
      <w:r w:rsidRPr="002751D9">
        <w:rPr>
          <w:rFonts w:ascii="Sakkal Majalla" w:eastAsia="Arial" w:hAnsi="Sakkal Majalla" w:cs="Sakkal Majalla"/>
          <w:sz w:val="24"/>
          <w:rtl/>
        </w:rPr>
        <w:lastRenderedPageBreak/>
        <w:t xml:space="preserve">المتوافقة مع سياسة التوطين (نطاقات) تؤدي إلى زيادة اندماج الموظفين المحليين وتقليل الاعتماد على العمالة الأجنبية </w:t>
      </w:r>
      <w:r w:rsidRPr="002751D9">
        <w:rPr>
          <w:rFonts w:eastAsia="Arial"/>
          <w:sz w:val="24"/>
        </w:rPr>
        <w:t>(</w:t>
      </w:r>
      <w:proofErr w:type="spellStart"/>
      <w:r w:rsidRPr="002751D9">
        <w:rPr>
          <w:rFonts w:eastAsia="Arial"/>
          <w:sz w:val="24"/>
        </w:rPr>
        <w:t>Darwish</w:t>
      </w:r>
      <w:proofErr w:type="spellEnd"/>
      <w:r w:rsidRPr="002751D9">
        <w:rPr>
          <w:rFonts w:eastAsia="Arial"/>
          <w:sz w:val="24"/>
        </w:rPr>
        <w:t xml:space="preserve"> </w:t>
      </w:r>
      <w:proofErr w:type="spellStart"/>
      <w:r w:rsidRPr="002751D9">
        <w:rPr>
          <w:rFonts w:eastAsia="Arial"/>
          <w:sz w:val="24"/>
        </w:rPr>
        <w:t>et</w:t>
      </w:r>
      <w:proofErr w:type="spellEnd"/>
      <w:r w:rsidRPr="002751D9">
        <w:rPr>
          <w:rFonts w:eastAsia="Arial"/>
          <w:sz w:val="24"/>
        </w:rPr>
        <w:t xml:space="preserve"> </w:t>
      </w:r>
      <w:proofErr w:type="spellStart"/>
      <w:r w:rsidRPr="002751D9">
        <w:rPr>
          <w:rFonts w:eastAsia="Arial"/>
          <w:sz w:val="24"/>
        </w:rPr>
        <w:t>al</w:t>
      </w:r>
      <w:proofErr w:type="spellEnd"/>
      <w:r w:rsidRPr="002751D9">
        <w:rPr>
          <w:rFonts w:eastAsia="Arial"/>
          <w:sz w:val="24"/>
        </w:rPr>
        <w:t>., 2022)</w:t>
      </w:r>
      <w:r w:rsidRPr="002751D9">
        <w:rPr>
          <w:rFonts w:ascii="Sakkal Majalla" w:eastAsia="Arial" w:hAnsi="Sakkal Majalla" w:cs="Sakkal Majalla"/>
          <w:sz w:val="24"/>
        </w:rPr>
        <w:t>.</w:t>
      </w:r>
    </w:p>
    <w:p w14:paraId="24E36695" w14:textId="2CE28BBC" w:rsidR="002751D9" w:rsidRPr="002751D9" w:rsidRDefault="002751D9" w:rsidP="003166F6">
      <w:pPr>
        <w:spacing w:after="0" w:line="413" w:lineRule="auto"/>
        <w:ind w:hanging="10"/>
        <w:jc w:val="both"/>
        <w:rPr>
          <w:rFonts w:ascii="Sakkal Majalla" w:eastAsia="Arial" w:hAnsi="Sakkal Majalla" w:cs="Sakkal Majalla"/>
          <w:sz w:val="24"/>
        </w:rPr>
      </w:pPr>
      <w:r w:rsidRPr="002751D9">
        <w:rPr>
          <w:rFonts w:ascii="Sakkal Majalla" w:eastAsia="Arial" w:hAnsi="Sakkal Majalla" w:cs="Sakkal Majalla"/>
          <w:sz w:val="24"/>
          <w:rtl/>
        </w:rPr>
        <w:t xml:space="preserve">تقييم الأداء يمثل آلية أساسية لتحسين السلوك التنظيمي وتحقيق العدالة الداخلية. فقد أوضح القاضي (2017) أن نظم تقييم الأداء الشفافة والمبنية على معايير موضوعية تسهم في رفع الرضا الوظيفي وتحفيز العاملين، بينما تؤدي الممارسات غير العادلة في التقييم إلى انخفاض الولاء وارتفاع نية ترك العمل </w:t>
      </w:r>
      <w:r w:rsidRPr="002751D9">
        <w:rPr>
          <w:rFonts w:eastAsia="Arial"/>
          <w:sz w:val="24"/>
        </w:rPr>
        <w:t>(</w:t>
      </w:r>
      <w:proofErr w:type="spellStart"/>
      <w:r w:rsidRPr="002751D9">
        <w:rPr>
          <w:rFonts w:eastAsia="Arial"/>
          <w:sz w:val="24"/>
        </w:rPr>
        <w:t>Qazi</w:t>
      </w:r>
      <w:proofErr w:type="spellEnd"/>
      <w:r w:rsidRPr="002751D9">
        <w:rPr>
          <w:rFonts w:eastAsia="Arial"/>
          <w:sz w:val="24"/>
        </w:rPr>
        <w:t>, 2017)</w:t>
      </w:r>
      <w:r w:rsidRPr="002751D9">
        <w:rPr>
          <w:rFonts w:ascii="Sakkal Majalla" w:eastAsia="Arial" w:hAnsi="Sakkal Majalla" w:cs="Sakkal Majalla"/>
          <w:sz w:val="24"/>
        </w:rPr>
        <w:t>.</w:t>
      </w:r>
    </w:p>
    <w:p w14:paraId="42E31A7A" w14:textId="41218ADE" w:rsidR="002751D9" w:rsidRPr="002751D9" w:rsidRDefault="002751D9" w:rsidP="003166F6">
      <w:pPr>
        <w:spacing w:after="0" w:line="413" w:lineRule="auto"/>
        <w:ind w:hanging="10"/>
        <w:jc w:val="both"/>
        <w:rPr>
          <w:rFonts w:ascii="Sakkal Majalla" w:eastAsia="Arial" w:hAnsi="Sakkal Majalla" w:cs="Sakkal Majalla"/>
          <w:sz w:val="24"/>
        </w:rPr>
      </w:pPr>
      <w:r w:rsidRPr="002751D9">
        <w:rPr>
          <w:rFonts w:ascii="Sakkal Majalla" w:eastAsia="Arial" w:hAnsi="Sakkal Majalla" w:cs="Sakkal Majalla"/>
          <w:sz w:val="24"/>
          <w:rtl/>
        </w:rPr>
        <w:t xml:space="preserve">التعويضات والمزايا والحوافز تُعد من أقوى أدوات الاحتفاظ بالموظفين. إذ توصلت دراسة الزهراني وشدادي (2021) إلى أن التعويضات المالية وغير المالية لها تأثير مباشر على نية البقاء في العمل، وأن الجمع بين الرواتب التنافسية وفرص التدريب والترقي يحقق أعلى مستويات الاستقرار الوظيفي </w:t>
      </w:r>
      <w:r w:rsidRPr="002751D9">
        <w:rPr>
          <w:rFonts w:eastAsia="Arial"/>
          <w:sz w:val="24"/>
        </w:rPr>
        <w:t>(</w:t>
      </w:r>
      <w:proofErr w:type="spellStart"/>
      <w:r w:rsidRPr="002751D9">
        <w:rPr>
          <w:rFonts w:eastAsia="Arial"/>
          <w:sz w:val="24"/>
        </w:rPr>
        <w:t>Alzahrani</w:t>
      </w:r>
      <w:proofErr w:type="spellEnd"/>
      <w:r w:rsidRPr="002751D9">
        <w:rPr>
          <w:rFonts w:eastAsia="Arial"/>
          <w:sz w:val="24"/>
        </w:rPr>
        <w:t xml:space="preserve"> &amp; </w:t>
      </w:r>
      <w:proofErr w:type="spellStart"/>
      <w:r w:rsidRPr="002751D9">
        <w:rPr>
          <w:rFonts w:eastAsia="Arial"/>
          <w:sz w:val="24"/>
        </w:rPr>
        <w:t>Shaddady</w:t>
      </w:r>
      <w:proofErr w:type="spellEnd"/>
      <w:r w:rsidRPr="002751D9">
        <w:rPr>
          <w:rFonts w:eastAsia="Arial"/>
          <w:sz w:val="24"/>
        </w:rPr>
        <w:t>, 2021)</w:t>
      </w:r>
      <w:r w:rsidRPr="002751D9">
        <w:rPr>
          <w:rFonts w:ascii="Sakkal Majalla" w:eastAsia="Arial" w:hAnsi="Sakkal Majalla" w:cs="Sakkal Majalla"/>
          <w:sz w:val="24"/>
        </w:rPr>
        <w:t>.</w:t>
      </w:r>
    </w:p>
    <w:p w14:paraId="1D7B9014" w14:textId="1F72E52F" w:rsidR="002751D9" w:rsidRPr="002751D9" w:rsidRDefault="002751D9" w:rsidP="003166F6">
      <w:pPr>
        <w:spacing w:after="0" w:line="413" w:lineRule="auto"/>
        <w:ind w:hanging="10"/>
        <w:jc w:val="both"/>
        <w:rPr>
          <w:rFonts w:ascii="Sakkal Majalla" w:eastAsia="Arial" w:hAnsi="Sakkal Majalla" w:cs="Sakkal Majalla"/>
          <w:sz w:val="24"/>
        </w:rPr>
      </w:pPr>
      <w:r w:rsidRPr="002751D9">
        <w:rPr>
          <w:rFonts w:ascii="Sakkal Majalla" w:eastAsia="Arial" w:hAnsi="Sakkal Majalla" w:cs="Sakkal Majalla"/>
          <w:sz w:val="24"/>
          <w:rtl/>
        </w:rPr>
        <w:t xml:space="preserve">أما التطوير الوظيفي والترقيات، فقد تناولت دراسة جمجوم (2023) مفهوم إدارة المواهب كأداة استراتيجية للاحتفاظ بالكفاءات، مشيرة إلى أن غياب مسارات مهنية واضحة يؤدي إلى ضعف الارتباط المؤسسي وارتفاع معدلات التسرب، بينما التخطيط المهني الفعّال يعزز الولاء والالتزام التنظيمي </w:t>
      </w:r>
      <w:r w:rsidRPr="002751D9">
        <w:rPr>
          <w:rFonts w:eastAsia="Arial"/>
          <w:sz w:val="24"/>
        </w:rPr>
        <w:t>(</w:t>
      </w:r>
      <w:proofErr w:type="spellStart"/>
      <w:r w:rsidRPr="002751D9">
        <w:rPr>
          <w:rFonts w:eastAsia="Arial"/>
          <w:sz w:val="24"/>
        </w:rPr>
        <w:t>Jamjoom</w:t>
      </w:r>
      <w:proofErr w:type="spellEnd"/>
      <w:r w:rsidRPr="002751D9">
        <w:rPr>
          <w:rFonts w:eastAsia="Arial"/>
          <w:sz w:val="24"/>
        </w:rPr>
        <w:t>, 2023)</w:t>
      </w:r>
      <w:r w:rsidRPr="002751D9">
        <w:rPr>
          <w:rFonts w:ascii="Sakkal Majalla" w:eastAsia="Arial" w:hAnsi="Sakkal Majalla" w:cs="Sakkal Majalla"/>
          <w:sz w:val="24"/>
        </w:rPr>
        <w:t>.</w:t>
      </w:r>
    </w:p>
    <w:p w14:paraId="285311A7" w14:textId="0CB8C8FD" w:rsidR="002751D9" w:rsidRPr="002751D9" w:rsidRDefault="002751D9" w:rsidP="003166F6">
      <w:pPr>
        <w:spacing w:after="0" w:line="413" w:lineRule="auto"/>
        <w:ind w:hanging="10"/>
        <w:jc w:val="both"/>
        <w:rPr>
          <w:rFonts w:ascii="Sakkal Majalla" w:eastAsia="Arial" w:hAnsi="Sakkal Majalla" w:cs="Sakkal Majalla"/>
          <w:sz w:val="24"/>
        </w:rPr>
      </w:pPr>
      <w:r w:rsidRPr="002751D9">
        <w:rPr>
          <w:rFonts w:ascii="Sakkal Majalla" w:eastAsia="Arial" w:hAnsi="Sakkal Majalla" w:cs="Sakkal Majalla"/>
          <w:sz w:val="24"/>
          <w:rtl/>
        </w:rPr>
        <w:t xml:space="preserve">أما علاقات العمل والاتصال الداخلي، فقد أظهرت دراسة سالم والجبلي (2024) أن إشراك الموظفين في اتخاذ القرار، وتعزيز الاتصال الداخلي والعدالة التنظيمية، يسهم في رفع الأداء وخفض الغياب والدوران، وأن التواصل الفعّال بين الإدارة والعاملين يمثل مؤشراً رئيساً لنجاح ممارسات الموارد البشرية </w:t>
      </w:r>
      <w:r w:rsidRPr="002751D9">
        <w:rPr>
          <w:rFonts w:eastAsia="Arial"/>
          <w:sz w:val="24"/>
        </w:rPr>
        <w:t xml:space="preserve">(Salem &amp; </w:t>
      </w:r>
      <w:proofErr w:type="spellStart"/>
      <w:r w:rsidRPr="002751D9">
        <w:rPr>
          <w:rFonts w:eastAsia="Arial"/>
          <w:sz w:val="24"/>
        </w:rPr>
        <w:t>Al-Dubai</w:t>
      </w:r>
      <w:proofErr w:type="spellEnd"/>
      <w:r w:rsidRPr="002751D9">
        <w:rPr>
          <w:rFonts w:eastAsia="Arial"/>
          <w:sz w:val="24"/>
        </w:rPr>
        <w:t>, 2024)</w:t>
      </w:r>
      <w:r w:rsidRPr="002751D9">
        <w:rPr>
          <w:rFonts w:ascii="Sakkal Majalla" w:eastAsia="Arial" w:hAnsi="Sakkal Majalla" w:cs="Sakkal Majalla"/>
          <w:sz w:val="24"/>
        </w:rPr>
        <w:t>.</w:t>
      </w:r>
    </w:p>
    <w:p w14:paraId="15D90AF6" w14:textId="3EB04606" w:rsidR="002751D9" w:rsidRPr="002751D9" w:rsidRDefault="002751D9" w:rsidP="003166F6">
      <w:pPr>
        <w:spacing w:after="0" w:line="413" w:lineRule="auto"/>
        <w:ind w:hanging="10"/>
        <w:jc w:val="both"/>
        <w:rPr>
          <w:rFonts w:ascii="Sakkal Majalla" w:eastAsia="Arial" w:hAnsi="Sakkal Majalla" w:cs="Sakkal Majalla"/>
          <w:sz w:val="24"/>
        </w:rPr>
      </w:pPr>
      <w:r w:rsidRPr="002751D9">
        <w:rPr>
          <w:rFonts w:ascii="Sakkal Majalla" w:eastAsia="Arial" w:hAnsi="Sakkal Majalla" w:cs="Sakkal Majalla"/>
          <w:sz w:val="24"/>
          <w:rtl/>
        </w:rPr>
        <w:t xml:space="preserve">بيئة العمل ورفاه العاملين تشكلان الأساس النفسي والاجتماعي لاستقرار القوى العاملة. فقد بيّنت دراسة الرشيدي وآخرين (2021) أن بيئة العمل الداعمة والإدارة العادلة والتوازن بين العمل والحياة تعد من أبرز العوامل التي تحد من الدوران الوظيفي، وأن ضعف المرافق والضغط العالي في العمل يؤديان إلى زيادة نية المغادرة خصوصًا في القطاعات الحيوية كالصحة </w:t>
      </w:r>
      <w:r w:rsidRPr="002751D9">
        <w:rPr>
          <w:rFonts w:eastAsia="Arial"/>
          <w:sz w:val="24"/>
        </w:rPr>
        <w:t>(</w:t>
      </w:r>
      <w:proofErr w:type="spellStart"/>
      <w:r w:rsidRPr="002751D9">
        <w:rPr>
          <w:rFonts w:eastAsia="Arial"/>
          <w:sz w:val="24"/>
        </w:rPr>
        <w:t>Alreshidi</w:t>
      </w:r>
      <w:proofErr w:type="spellEnd"/>
      <w:r w:rsidRPr="002751D9">
        <w:rPr>
          <w:rFonts w:eastAsia="Arial"/>
          <w:sz w:val="24"/>
        </w:rPr>
        <w:t xml:space="preserve"> </w:t>
      </w:r>
      <w:proofErr w:type="spellStart"/>
      <w:r w:rsidRPr="002751D9">
        <w:rPr>
          <w:rFonts w:eastAsia="Arial"/>
          <w:sz w:val="24"/>
        </w:rPr>
        <w:t>et</w:t>
      </w:r>
      <w:proofErr w:type="spellEnd"/>
      <w:r w:rsidRPr="002751D9">
        <w:rPr>
          <w:rFonts w:eastAsia="Arial"/>
          <w:sz w:val="24"/>
        </w:rPr>
        <w:t xml:space="preserve"> </w:t>
      </w:r>
      <w:proofErr w:type="spellStart"/>
      <w:r w:rsidRPr="002751D9">
        <w:rPr>
          <w:rFonts w:eastAsia="Arial"/>
          <w:sz w:val="24"/>
        </w:rPr>
        <w:t>al</w:t>
      </w:r>
      <w:proofErr w:type="spellEnd"/>
      <w:r w:rsidRPr="002751D9">
        <w:rPr>
          <w:rFonts w:eastAsia="Arial"/>
          <w:sz w:val="24"/>
        </w:rPr>
        <w:t>., 2021)</w:t>
      </w:r>
      <w:r w:rsidRPr="002751D9">
        <w:rPr>
          <w:rFonts w:ascii="Sakkal Majalla" w:eastAsia="Arial" w:hAnsi="Sakkal Majalla" w:cs="Sakkal Majalla"/>
          <w:sz w:val="24"/>
        </w:rPr>
        <w:t>.</w:t>
      </w:r>
    </w:p>
    <w:p w14:paraId="42864A4C" w14:textId="0DF412EE" w:rsidR="002751D9" w:rsidRPr="002751D9" w:rsidRDefault="002751D9" w:rsidP="003166F6">
      <w:pPr>
        <w:spacing w:after="0" w:line="413" w:lineRule="auto"/>
        <w:ind w:hanging="10"/>
        <w:jc w:val="both"/>
        <w:rPr>
          <w:rFonts w:ascii="Sakkal Majalla" w:eastAsia="Arial" w:hAnsi="Sakkal Majalla" w:cs="Sakkal Majalla"/>
          <w:sz w:val="24"/>
        </w:rPr>
      </w:pPr>
      <w:r w:rsidRPr="002751D9">
        <w:rPr>
          <w:rFonts w:ascii="Sakkal Majalla" w:eastAsia="Arial" w:hAnsi="Sakkal Majalla" w:cs="Sakkal Majalla"/>
          <w:sz w:val="24"/>
          <w:rtl/>
        </w:rPr>
        <w:t xml:space="preserve">وفيما يتعلق بمفهوم الدوران الوظيفي، فإنه يشير إلى ترك الموظف العمل طواعية أو إجبارًا، ويختلف عن مفاهيم قريبة مثل ترك العمل الذي يعبر عن الفعل الفعلي للمغادرة، والاستبقاء الذي يعبر عن قدرة المنظمة على الاحتفاظ بموظفيها، ونية ترك العمل التي تمثل الميل الذهني للمغادرة قبل الفعل. وأوضحت دراسة فيصل </w:t>
      </w:r>
      <w:proofErr w:type="spellStart"/>
      <w:r w:rsidRPr="002751D9">
        <w:rPr>
          <w:rFonts w:ascii="Sakkal Majalla" w:eastAsia="Arial" w:hAnsi="Sakkal Majalla" w:cs="Sakkal Majalla"/>
          <w:sz w:val="24"/>
          <w:rtl/>
        </w:rPr>
        <w:t>وناوشاد</w:t>
      </w:r>
      <w:proofErr w:type="spellEnd"/>
      <w:r w:rsidRPr="002751D9">
        <w:rPr>
          <w:rFonts w:ascii="Sakkal Majalla" w:eastAsia="Arial" w:hAnsi="Sakkal Majalla" w:cs="Sakkal Majalla"/>
          <w:sz w:val="24"/>
          <w:rtl/>
        </w:rPr>
        <w:t xml:space="preserve"> (2020) أن نية ترك العمل تتأثر بعوامل مثل العمر، الخبرة، والاندماج الوظيفي، حيث تقل النية كلما زادت خبرة العاملين واستقرارهم في العمل </w:t>
      </w:r>
      <w:r w:rsidRPr="002751D9">
        <w:rPr>
          <w:rFonts w:eastAsia="Arial"/>
          <w:sz w:val="24"/>
        </w:rPr>
        <w:t>(</w:t>
      </w:r>
      <w:proofErr w:type="spellStart"/>
      <w:r w:rsidRPr="002751D9">
        <w:rPr>
          <w:rFonts w:eastAsia="Arial"/>
          <w:sz w:val="24"/>
        </w:rPr>
        <w:t>Faisal</w:t>
      </w:r>
      <w:proofErr w:type="spellEnd"/>
      <w:r w:rsidRPr="002751D9">
        <w:rPr>
          <w:rFonts w:eastAsia="Arial"/>
          <w:sz w:val="24"/>
        </w:rPr>
        <w:t xml:space="preserve"> &amp; </w:t>
      </w:r>
      <w:proofErr w:type="spellStart"/>
      <w:r w:rsidRPr="002751D9">
        <w:rPr>
          <w:rFonts w:eastAsia="Arial"/>
          <w:sz w:val="24"/>
        </w:rPr>
        <w:t>Naushad</w:t>
      </w:r>
      <w:proofErr w:type="spellEnd"/>
      <w:r w:rsidRPr="002751D9">
        <w:rPr>
          <w:rFonts w:eastAsia="Arial"/>
          <w:sz w:val="24"/>
        </w:rPr>
        <w:t>, 2020)</w:t>
      </w:r>
      <w:r w:rsidRPr="002751D9">
        <w:rPr>
          <w:rFonts w:ascii="Sakkal Majalla" w:eastAsia="Arial" w:hAnsi="Sakkal Majalla" w:cs="Sakkal Majalla"/>
          <w:sz w:val="24"/>
        </w:rPr>
        <w:t>.</w:t>
      </w:r>
    </w:p>
    <w:p w14:paraId="34DD11AA" w14:textId="7E5B3D48" w:rsidR="002751D9" w:rsidRPr="002751D9" w:rsidRDefault="002751D9" w:rsidP="003166F6">
      <w:pPr>
        <w:spacing w:after="0" w:line="413" w:lineRule="auto"/>
        <w:ind w:hanging="10"/>
        <w:jc w:val="both"/>
        <w:rPr>
          <w:rFonts w:ascii="Sakkal Majalla" w:eastAsia="Arial" w:hAnsi="Sakkal Majalla" w:cs="Sakkal Majalla"/>
          <w:sz w:val="24"/>
        </w:rPr>
      </w:pPr>
      <w:r w:rsidRPr="002751D9">
        <w:rPr>
          <w:rFonts w:ascii="Sakkal Majalla" w:eastAsia="Arial" w:hAnsi="Sakkal Majalla" w:cs="Sakkal Majalla"/>
          <w:sz w:val="24"/>
          <w:rtl/>
        </w:rPr>
        <w:lastRenderedPageBreak/>
        <w:t xml:space="preserve">يمكن تصنيف الدوران الوظيفي إلى طوعي عندما يختار الموظف المغادرة بمحض إرادته لأسباب مثل ضعف الرضا أو فرص أفضل، وإجباري عندما تنهى المنظمة خدمة الموظف لأسباب تنظيمية. كما يُصنف إلى وظيفي عندما يغادر موظف ذو أداء منخفض، وغير وظيفي عند مغادرة ذوي الأداء العالي مما يسبب خسارة للمنظمة. وتشير دراسات حديثة إلى أن الدوران قد يكون داخليًا عندما ينتقل الموظف داخل المنظمة، أو خارجيًا عندما يغادرها نهائيًا </w:t>
      </w:r>
      <w:r w:rsidRPr="002751D9">
        <w:rPr>
          <w:rFonts w:eastAsia="Arial"/>
          <w:sz w:val="24"/>
        </w:rPr>
        <w:t>(</w:t>
      </w:r>
      <w:proofErr w:type="spellStart"/>
      <w:r w:rsidRPr="002751D9">
        <w:rPr>
          <w:rFonts w:eastAsia="Arial"/>
          <w:sz w:val="24"/>
        </w:rPr>
        <w:t>Almat</w:t>
      </w:r>
      <w:r w:rsidRPr="002751D9">
        <w:rPr>
          <w:rFonts w:eastAsia="Arial"/>
          <w:sz w:val="24"/>
        </w:rPr>
        <w:softHyphen/>
        <w:t>ter</w:t>
      </w:r>
      <w:proofErr w:type="spellEnd"/>
      <w:r w:rsidRPr="002751D9">
        <w:rPr>
          <w:rFonts w:eastAsia="Arial"/>
          <w:sz w:val="24"/>
        </w:rPr>
        <w:t>, 2022)</w:t>
      </w:r>
      <w:r w:rsidRPr="002751D9">
        <w:rPr>
          <w:rFonts w:ascii="Sakkal Majalla" w:eastAsia="Arial" w:hAnsi="Sakkal Majalla" w:cs="Sakkal Majalla"/>
          <w:sz w:val="24"/>
        </w:rPr>
        <w:t>.</w:t>
      </w:r>
    </w:p>
    <w:p w14:paraId="1FFB683F" w14:textId="56108BA3" w:rsidR="002751D9" w:rsidRPr="003166F6" w:rsidRDefault="002751D9" w:rsidP="003166F6">
      <w:pPr>
        <w:spacing w:after="0" w:line="413" w:lineRule="auto"/>
        <w:ind w:hanging="10"/>
        <w:jc w:val="both"/>
        <w:rPr>
          <w:rFonts w:ascii="Sakkal Majalla" w:eastAsia="Arial" w:hAnsi="Sakkal Majalla" w:cs="Sakkal Majalla"/>
          <w:sz w:val="24"/>
          <w:rtl/>
        </w:rPr>
      </w:pPr>
      <w:r w:rsidRPr="002751D9">
        <w:rPr>
          <w:rFonts w:ascii="Sakkal Majalla" w:eastAsia="Arial" w:hAnsi="Sakkal Majalla" w:cs="Sakkal Majalla"/>
          <w:sz w:val="24"/>
          <w:rtl/>
        </w:rPr>
        <w:t xml:space="preserve">وتقاس معدلات الدوران عادة بعدة مؤشرات منها نسبة الموظفين المغادرين خلال فترة معينة، ومتوسط مدة بقاء العاملين، ومستوى نية ترك العمل. كما أظهرت دراسة العلماء (2025) في القطاع الصحي السعودي أن انخفاض الرضا عن الأجور، وسوء الإدارة، ونقص التقدير تعد من أبرز المؤشرات المرتبطة بارتفاع نية المغادرة، داعية إلى تحسين نظم الدعم الإداري والبيئة التنظيمية للحد من الدوران الوظيفي </w:t>
      </w:r>
      <w:r w:rsidRPr="002751D9">
        <w:rPr>
          <w:rFonts w:eastAsia="Arial"/>
          <w:sz w:val="24"/>
        </w:rPr>
        <w:t>(</w:t>
      </w:r>
      <w:proofErr w:type="spellStart"/>
      <w:r w:rsidRPr="002751D9">
        <w:rPr>
          <w:rFonts w:eastAsia="Arial"/>
          <w:sz w:val="24"/>
        </w:rPr>
        <w:t>Saleh</w:t>
      </w:r>
      <w:proofErr w:type="spellEnd"/>
      <w:r w:rsidRPr="002751D9">
        <w:rPr>
          <w:rFonts w:eastAsia="Arial"/>
          <w:sz w:val="24"/>
        </w:rPr>
        <w:t xml:space="preserve"> &amp; </w:t>
      </w:r>
      <w:proofErr w:type="spellStart"/>
      <w:r w:rsidRPr="002751D9">
        <w:rPr>
          <w:rFonts w:eastAsia="Arial"/>
          <w:sz w:val="24"/>
        </w:rPr>
        <w:t>Aslanoğlu</w:t>
      </w:r>
      <w:proofErr w:type="spellEnd"/>
      <w:r w:rsidRPr="002751D9">
        <w:rPr>
          <w:rFonts w:eastAsia="Arial"/>
          <w:sz w:val="24"/>
        </w:rPr>
        <w:t>, 2025)</w:t>
      </w:r>
      <w:r w:rsidRPr="002751D9">
        <w:rPr>
          <w:rFonts w:ascii="Sakkal Majalla" w:eastAsia="Arial" w:hAnsi="Sakkal Majalla" w:cs="Sakkal Majalla"/>
          <w:sz w:val="24"/>
        </w:rPr>
        <w:t>.</w:t>
      </w:r>
    </w:p>
    <w:p w14:paraId="6D271470" w14:textId="259487E6" w:rsidR="009D2760" w:rsidRPr="009D2760" w:rsidRDefault="009D2760" w:rsidP="009D2760">
      <w:pPr>
        <w:spacing w:after="0" w:line="265" w:lineRule="auto"/>
        <w:jc w:val="both"/>
        <w:rPr>
          <w:rFonts w:ascii="Sakkal Majalla" w:hAnsi="Sakkal Majalla" w:cs="Sakkal Majalla"/>
          <w:b/>
          <w:bCs/>
          <w:rtl/>
          <w:lang w:val="en-US"/>
        </w:rPr>
      </w:pPr>
      <w:r w:rsidRPr="009D2760">
        <w:rPr>
          <w:rFonts w:ascii="Sakkal Majalla" w:hAnsi="Sakkal Majalla" w:cs="Sakkal Majalla"/>
          <w:b/>
          <w:bCs/>
          <w:rtl/>
          <w:lang w:val="en-US"/>
        </w:rPr>
        <w:t>محددات الدوران الوظيفي ومصادره</w:t>
      </w:r>
    </w:p>
    <w:p w14:paraId="6CD97545" w14:textId="77777777" w:rsidR="009D2760" w:rsidRPr="009D2760" w:rsidRDefault="009D2760" w:rsidP="003166F6">
      <w:pPr>
        <w:spacing w:after="0" w:line="413" w:lineRule="auto"/>
        <w:ind w:hanging="10"/>
        <w:jc w:val="both"/>
        <w:rPr>
          <w:rFonts w:ascii="Sakkal Majalla" w:eastAsia="Arial" w:hAnsi="Sakkal Majalla" w:cs="Sakkal Majalla"/>
          <w:sz w:val="24"/>
        </w:rPr>
      </w:pPr>
      <w:r w:rsidRPr="009D2760">
        <w:rPr>
          <w:rFonts w:ascii="Sakkal Majalla" w:eastAsia="Arial" w:hAnsi="Sakkal Majalla" w:cs="Sakkal Majalla"/>
          <w:sz w:val="24"/>
          <w:rtl/>
        </w:rPr>
        <w:t>تُعد ظاهرة الدوران الوظيفي من أبرز التحديات التي تواجه المؤسسات، لاسيما في القطاع الصناعي، نظرًا لما تسببه من استنزاف للموارد البشرية والمادية، وتأثيرها المباشر على الأداء التنظيمي واستقرار بيئة العمل. وقد تناولت الأدبيات العربية الحديثة عددًا من المحددات والعوامل التي تفسر هذه الظاهرة، يمكن تصنيفها إلى ثلاثة مستويات رئيسية: تنظيمية، فردية، وسياقية</w:t>
      </w:r>
      <w:r w:rsidRPr="009D2760">
        <w:rPr>
          <w:rFonts w:ascii="Sakkal Majalla" w:eastAsia="Arial" w:hAnsi="Sakkal Majalla" w:cs="Sakkal Majalla"/>
          <w:sz w:val="24"/>
        </w:rPr>
        <w:t>.</w:t>
      </w:r>
    </w:p>
    <w:p w14:paraId="6D74CB9A" w14:textId="77777777" w:rsidR="009D2760" w:rsidRPr="009D2760" w:rsidRDefault="009D2760" w:rsidP="009D2760">
      <w:pPr>
        <w:spacing w:after="0" w:line="265" w:lineRule="auto"/>
        <w:jc w:val="both"/>
        <w:rPr>
          <w:rFonts w:ascii="Sakkal Majalla" w:hAnsi="Sakkal Majalla" w:cs="Sakkal Majalla"/>
          <w:b/>
          <w:bCs/>
          <w:lang w:val="en-US"/>
        </w:rPr>
      </w:pPr>
      <w:r w:rsidRPr="009D2760">
        <w:rPr>
          <w:rFonts w:ascii="Sakkal Majalla" w:hAnsi="Sakkal Majalla" w:cs="Sakkal Majalla"/>
          <w:b/>
          <w:bCs/>
          <w:rtl/>
          <w:lang w:val="en-US" w:bidi="ar-SA"/>
        </w:rPr>
        <w:t>العوامل التنظيمية المؤثرة في الدوران الوظيفي</w:t>
      </w:r>
    </w:p>
    <w:p w14:paraId="34B3D6BF" w14:textId="77777777" w:rsidR="009D2760" w:rsidRPr="009D2760" w:rsidRDefault="009D2760" w:rsidP="003166F6">
      <w:pPr>
        <w:spacing w:after="0" w:line="413" w:lineRule="auto"/>
        <w:ind w:hanging="10"/>
        <w:jc w:val="both"/>
        <w:rPr>
          <w:rFonts w:ascii="Sakkal Majalla" w:eastAsia="Arial" w:hAnsi="Sakkal Majalla" w:cs="Sakkal Majalla"/>
          <w:sz w:val="24"/>
        </w:rPr>
      </w:pPr>
      <w:r w:rsidRPr="009D2760">
        <w:rPr>
          <w:rFonts w:ascii="Sakkal Majalla" w:eastAsia="Arial" w:hAnsi="Sakkal Majalla" w:cs="Sakkal Majalla"/>
          <w:sz w:val="24"/>
          <w:rtl/>
        </w:rPr>
        <w:t xml:space="preserve">تشير العديد من الدراسات إلى أن ظروف العمل الداخلية داخل المؤسسة تُعد من أبرز محددات الدوران الوظيفي. ومن بين هذه العوامل، تأتي الأجور والتعويضات في المقدمة، حيث </w:t>
      </w:r>
      <w:proofErr w:type="gramStart"/>
      <w:r w:rsidRPr="009D2760">
        <w:rPr>
          <w:rFonts w:ascii="Sakkal Majalla" w:eastAsia="Arial" w:hAnsi="Sakkal Majalla" w:cs="Sakkal Majalla"/>
          <w:sz w:val="24"/>
          <w:rtl/>
        </w:rPr>
        <w:t>أن</w:t>
      </w:r>
      <w:proofErr w:type="gramEnd"/>
      <w:r w:rsidRPr="009D2760">
        <w:rPr>
          <w:rFonts w:ascii="Sakkal Majalla" w:eastAsia="Arial" w:hAnsi="Sakkal Majalla" w:cs="Sakkal Majalla"/>
          <w:sz w:val="24"/>
          <w:rtl/>
        </w:rPr>
        <w:t xml:space="preserve"> ضعف الرواتب أو عدم عدالة الحوافز غالبًا ما يُضعف من دافعية الأفراد للبقاء. كما أن العدالة التنظيمية تلعب دورًا حاسمًا في تشكيل نظرة الموظف تجاه مؤسسته، إذ أن الإحساس بعدم العدالة في الترقية أو توزيع المكافآت قد يدفع الموظفين للبحث عن فرص أفضل في أماكن أخرى</w:t>
      </w:r>
      <w:r w:rsidRPr="009D2760">
        <w:rPr>
          <w:rFonts w:ascii="Sakkal Majalla" w:eastAsia="Arial" w:hAnsi="Sakkal Majalla" w:cs="Sakkal Majalla"/>
          <w:sz w:val="24"/>
        </w:rPr>
        <w:t xml:space="preserve"> (</w:t>
      </w:r>
      <w:r w:rsidRPr="009D2760">
        <w:rPr>
          <w:rFonts w:ascii="Sakkal Majalla" w:eastAsia="Arial" w:hAnsi="Sakkal Majalla" w:cs="Sakkal Majalla"/>
          <w:sz w:val="24"/>
          <w:rtl/>
        </w:rPr>
        <w:t>عبد الجواد، 2023</w:t>
      </w:r>
      <w:r w:rsidRPr="009D2760">
        <w:rPr>
          <w:rFonts w:ascii="Sakkal Majalla" w:eastAsia="Arial" w:hAnsi="Sakkal Majalla" w:cs="Sakkal Majalla"/>
          <w:sz w:val="24"/>
        </w:rPr>
        <w:t>).</w:t>
      </w:r>
    </w:p>
    <w:p w14:paraId="72422457" w14:textId="77777777" w:rsidR="009D2760" w:rsidRPr="009D2760" w:rsidRDefault="009D2760" w:rsidP="003166F6">
      <w:pPr>
        <w:spacing w:after="0" w:line="413" w:lineRule="auto"/>
        <w:ind w:hanging="10"/>
        <w:jc w:val="both"/>
        <w:rPr>
          <w:rFonts w:ascii="Sakkal Majalla" w:eastAsia="Arial" w:hAnsi="Sakkal Majalla" w:cs="Sakkal Majalla"/>
          <w:sz w:val="24"/>
        </w:rPr>
      </w:pPr>
      <w:r w:rsidRPr="009D2760">
        <w:rPr>
          <w:rFonts w:ascii="Sakkal Majalla" w:eastAsia="Arial" w:hAnsi="Sakkal Majalla" w:cs="Sakkal Majalla"/>
          <w:sz w:val="24"/>
          <w:rtl/>
        </w:rPr>
        <w:t>من جانب آخر، فإن المناخ التنظيمي الإيجابي، والذي يتمثل في دعم الإدارة، والتواصل الجيد، والاعتراف بالجهود، يُعد من العوامل التي تقلل من معدلات التسرب. أما فرص الترقي الوظيفي فتُعد مؤشرًا أساسيًا للموظفين حول مستقبلهم المهني داخل المؤسسة، وأي غياب للشفافية أو الركود في هذا الجانب يؤدي إلى تآكل الالتزام الوظيفي وزيادة النية في المغادرة</w:t>
      </w:r>
      <w:r w:rsidRPr="009D2760">
        <w:rPr>
          <w:rFonts w:ascii="Sakkal Majalla" w:eastAsia="Arial" w:hAnsi="Sakkal Majalla" w:cs="Sakkal Majalla"/>
          <w:sz w:val="24"/>
        </w:rPr>
        <w:t>.</w:t>
      </w:r>
    </w:p>
    <w:p w14:paraId="6E791E54" w14:textId="77777777" w:rsidR="009D2760" w:rsidRPr="009D2760" w:rsidRDefault="009D2760" w:rsidP="003166F6">
      <w:pPr>
        <w:spacing w:after="0" w:line="413" w:lineRule="auto"/>
        <w:ind w:hanging="10"/>
        <w:jc w:val="both"/>
        <w:rPr>
          <w:rFonts w:ascii="Sakkal Majalla" w:eastAsia="Arial" w:hAnsi="Sakkal Majalla" w:cs="Sakkal Majalla"/>
          <w:sz w:val="24"/>
        </w:rPr>
      </w:pPr>
      <w:r w:rsidRPr="009D2760">
        <w:rPr>
          <w:rFonts w:ascii="Sakkal Majalla" w:eastAsia="Arial" w:hAnsi="Sakkal Majalla" w:cs="Sakkal Majalla"/>
          <w:sz w:val="24"/>
          <w:rtl/>
        </w:rPr>
        <w:t>إلى جانب ذلك، يؤثر أسلوب القيادة بشكل مباشر في استبقاء الموظفين، حيث إن القيادة الاستبدادية أو البيروقراطية تدفع الكفاءات الشابة إلى النفور، في حين أن القيادة التحفيزية القائمة على المشاركة تُسهم في تعزيز الانتماء. كما أن عبء العمل الزائد وتكرار ساعات العمل دون تعويض عادل من الأسباب المباشرة التي تدفع الموظفين إلى اتخاذ قرار الاستقالة</w:t>
      </w:r>
      <w:r w:rsidRPr="009D2760">
        <w:rPr>
          <w:rFonts w:ascii="Sakkal Majalla" w:eastAsia="Arial" w:hAnsi="Sakkal Majalla" w:cs="Sakkal Majalla"/>
          <w:sz w:val="24"/>
        </w:rPr>
        <w:t xml:space="preserve"> (</w:t>
      </w:r>
      <w:r w:rsidRPr="009D2760">
        <w:rPr>
          <w:rFonts w:ascii="Sakkal Majalla" w:eastAsia="Arial" w:hAnsi="Sakkal Majalla" w:cs="Sakkal Majalla"/>
          <w:sz w:val="24"/>
          <w:rtl/>
        </w:rPr>
        <w:t>الخليفي، 2022</w:t>
      </w:r>
      <w:r w:rsidRPr="009D2760">
        <w:rPr>
          <w:rFonts w:ascii="Sakkal Majalla" w:eastAsia="Arial" w:hAnsi="Sakkal Majalla" w:cs="Sakkal Majalla"/>
          <w:sz w:val="24"/>
        </w:rPr>
        <w:t>).</w:t>
      </w:r>
    </w:p>
    <w:p w14:paraId="378D7F1E" w14:textId="77777777" w:rsidR="009D2760" w:rsidRPr="009D2760" w:rsidRDefault="009D2760" w:rsidP="009D2760">
      <w:pPr>
        <w:spacing w:after="0" w:line="265" w:lineRule="auto"/>
        <w:jc w:val="both"/>
        <w:rPr>
          <w:rFonts w:ascii="Sakkal Majalla" w:hAnsi="Sakkal Majalla" w:cs="Sakkal Majalla"/>
          <w:b/>
          <w:bCs/>
          <w:lang w:val="en-US"/>
        </w:rPr>
      </w:pPr>
      <w:r w:rsidRPr="009D2760">
        <w:rPr>
          <w:rFonts w:ascii="Sakkal Majalla" w:hAnsi="Sakkal Majalla" w:cs="Sakkal Majalla"/>
          <w:b/>
          <w:bCs/>
          <w:rtl/>
          <w:lang w:val="en-US" w:bidi="ar-SA"/>
        </w:rPr>
        <w:t>العوامل الفردية والوظيفية</w:t>
      </w:r>
    </w:p>
    <w:p w14:paraId="4A526C74" w14:textId="77777777" w:rsidR="009D2760" w:rsidRPr="009D2760" w:rsidRDefault="009D2760" w:rsidP="003166F6">
      <w:pPr>
        <w:spacing w:after="0" w:line="413" w:lineRule="auto"/>
        <w:ind w:hanging="10"/>
        <w:jc w:val="both"/>
        <w:rPr>
          <w:rFonts w:ascii="Sakkal Majalla" w:eastAsia="Arial" w:hAnsi="Sakkal Majalla" w:cs="Sakkal Majalla"/>
          <w:sz w:val="24"/>
        </w:rPr>
      </w:pPr>
      <w:r w:rsidRPr="009D2760">
        <w:rPr>
          <w:rFonts w:ascii="Sakkal Majalla" w:eastAsia="Arial" w:hAnsi="Sakkal Majalla" w:cs="Sakkal Majalla"/>
          <w:sz w:val="24"/>
          <w:rtl/>
        </w:rPr>
        <w:lastRenderedPageBreak/>
        <w:t>تشير الدراسات إلى أن خصائص الموظف نفسه تلعب دورًا في تفسير الدوران الوظيفي</w:t>
      </w:r>
      <w:r w:rsidRPr="009D2760">
        <w:rPr>
          <w:rFonts w:ascii="Sakkal Majalla" w:eastAsia="Arial" w:hAnsi="Sakkal Majalla" w:cs="Sakkal Majalla"/>
          <w:sz w:val="24"/>
        </w:rPr>
        <w:t xml:space="preserve">. </w:t>
      </w:r>
      <w:r w:rsidRPr="009D2760">
        <w:rPr>
          <w:rFonts w:ascii="Sakkal Majalla" w:eastAsia="Arial" w:hAnsi="Sakkal Majalla" w:cs="Sakkal Majalla"/>
          <w:sz w:val="24"/>
          <w:rtl/>
        </w:rPr>
        <w:t>الرضا الوظيفي من أبرز هذه العوامل؛ فالموظفون غير الراضين عن بيئة عملهم أو عن وظائفهم يميلون أكثر إلى ترك العمل. كما أن الالتزام التنظيمي، الذي يعكس درجة ارتباط الموظف بالقيم والأهداف المؤسسية، يُعد من العوامل الجوهرية في بقائه</w:t>
      </w:r>
      <w:r w:rsidRPr="009D2760">
        <w:rPr>
          <w:rFonts w:ascii="Sakkal Majalla" w:eastAsia="Arial" w:hAnsi="Sakkal Majalla" w:cs="Sakkal Majalla"/>
          <w:sz w:val="24"/>
        </w:rPr>
        <w:t>.</w:t>
      </w:r>
    </w:p>
    <w:p w14:paraId="57176DB7" w14:textId="4B078A20" w:rsidR="009D2760" w:rsidRPr="009D2760" w:rsidRDefault="009D2760" w:rsidP="003166F6">
      <w:pPr>
        <w:spacing w:after="0" w:line="413" w:lineRule="auto"/>
        <w:ind w:hanging="10"/>
        <w:jc w:val="both"/>
        <w:rPr>
          <w:rFonts w:ascii="Sakkal Majalla" w:eastAsia="Arial" w:hAnsi="Sakkal Majalla" w:cs="Sakkal Majalla"/>
          <w:sz w:val="24"/>
        </w:rPr>
      </w:pPr>
      <w:r w:rsidRPr="009D2760">
        <w:rPr>
          <w:rFonts w:ascii="Sakkal Majalla" w:eastAsia="Arial" w:hAnsi="Sakkal Majalla" w:cs="Sakkal Majalla"/>
          <w:sz w:val="24"/>
          <w:rtl/>
        </w:rPr>
        <w:t xml:space="preserve">بالإضافة إلى ذلك، تلعب الخبرة والمهارة دورًا مزدوجًا؛ فمن جهة، الموظف الخبير قد يجد فرصًا بديلة بسهولة أكبر، ما يزيد احتمالية انتقاله، ومن جهة أخرى، قلة الخبرة قد تؤدي إلى عدم الاندماج وبالتالي الخروج من المنظمة. كما أن توقعات الموظف غير المحققة </w:t>
      </w:r>
      <w:r w:rsidRPr="009D2760">
        <w:rPr>
          <w:rFonts w:ascii="Sakkal Majalla" w:eastAsia="Arial" w:hAnsi="Sakkal Majalla" w:cs="Sakkal Majalla"/>
          <w:sz w:val="24"/>
        </w:rPr>
        <w:t xml:space="preserve">— </w:t>
      </w:r>
      <w:r w:rsidRPr="009D2760">
        <w:rPr>
          <w:rFonts w:ascii="Sakkal Majalla" w:eastAsia="Arial" w:hAnsi="Sakkal Majalla" w:cs="Sakkal Majalla"/>
          <w:sz w:val="24"/>
          <w:rtl/>
        </w:rPr>
        <w:t>سواء من حيث الترقي، أو التقدير، أو الاستقرار — تدفعه للبحث عن بدائل</w:t>
      </w:r>
      <w:r w:rsidRPr="009D2760">
        <w:rPr>
          <w:rFonts w:ascii="Sakkal Majalla" w:eastAsia="Arial" w:hAnsi="Sakkal Majalla" w:cs="Sakkal Majalla"/>
          <w:sz w:val="24"/>
        </w:rPr>
        <w:t xml:space="preserve"> (</w:t>
      </w:r>
      <w:r w:rsidRPr="009D2760">
        <w:rPr>
          <w:rFonts w:ascii="Sakkal Majalla" w:eastAsia="Arial" w:hAnsi="Sakkal Majalla" w:cs="Sakkal Majalla"/>
          <w:sz w:val="24"/>
          <w:rtl/>
        </w:rPr>
        <w:t>الشريف، 2023</w:t>
      </w:r>
      <w:r w:rsidR="003166F6">
        <w:rPr>
          <w:rFonts w:ascii="Sakkal Majalla" w:eastAsia="Arial" w:hAnsi="Sakkal Majalla" w:cs="Sakkal Majalla" w:hint="cs"/>
          <w:sz w:val="24"/>
          <w:rtl/>
        </w:rPr>
        <w:t>).</w:t>
      </w:r>
    </w:p>
    <w:p w14:paraId="38D8DB93" w14:textId="77777777" w:rsidR="009D2760" w:rsidRPr="009D2760" w:rsidRDefault="009D2760" w:rsidP="009D2760">
      <w:pPr>
        <w:spacing w:after="0" w:line="265" w:lineRule="auto"/>
        <w:jc w:val="both"/>
        <w:rPr>
          <w:rFonts w:ascii="Sakkal Majalla" w:hAnsi="Sakkal Majalla" w:cs="Sakkal Majalla"/>
          <w:b/>
          <w:bCs/>
          <w:lang w:val="en-US"/>
        </w:rPr>
      </w:pPr>
      <w:r w:rsidRPr="009D2760">
        <w:rPr>
          <w:rFonts w:ascii="Sakkal Majalla" w:hAnsi="Sakkal Majalla" w:cs="Sakkal Majalla"/>
          <w:b/>
          <w:bCs/>
          <w:rtl/>
          <w:lang w:val="en-US" w:bidi="ar-SA"/>
        </w:rPr>
        <w:t>عوامل سوق العمل والسياق الصناعي</w:t>
      </w:r>
    </w:p>
    <w:p w14:paraId="726C64ED" w14:textId="77777777" w:rsidR="009D2760" w:rsidRPr="009D2760" w:rsidRDefault="009D2760" w:rsidP="00885502">
      <w:pPr>
        <w:spacing w:after="0" w:line="413" w:lineRule="auto"/>
        <w:ind w:hanging="10"/>
        <w:jc w:val="both"/>
        <w:rPr>
          <w:rFonts w:ascii="Sakkal Majalla" w:eastAsia="Arial" w:hAnsi="Sakkal Majalla" w:cs="Sakkal Majalla"/>
          <w:sz w:val="24"/>
        </w:rPr>
      </w:pPr>
      <w:r w:rsidRPr="009D2760">
        <w:rPr>
          <w:rFonts w:ascii="Sakkal Majalla" w:eastAsia="Arial" w:hAnsi="Sakkal Majalla" w:cs="Sakkal Majalla"/>
          <w:sz w:val="24"/>
          <w:rtl/>
        </w:rPr>
        <w:t>يتأثر الدوران الوظيفي كذلك بعوامل ترتبط بسوق العمل المحلي والسياق الصناعي العام. فمثلاً، ارتفاع الطلب على المهارات المتخصصة في بعض القطاعات يعزز من فرص انتقال الموظفين إلى وظائف أفضل. كما أن شدة المنافسة بين المؤسسات الصناعية لجذب الكفاءات تؤدي إلى ضعف الولاء الوظيفي إذا لم تُقابل بعروض تنافسية من جهة العمل الحالية</w:t>
      </w:r>
      <w:r w:rsidRPr="009D2760">
        <w:rPr>
          <w:rFonts w:ascii="Sakkal Majalla" w:eastAsia="Arial" w:hAnsi="Sakkal Majalla" w:cs="Sakkal Majalla"/>
          <w:sz w:val="24"/>
        </w:rPr>
        <w:t>.</w:t>
      </w:r>
    </w:p>
    <w:p w14:paraId="4368BFB9" w14:textId="77777777" w:rsidR="009D2760" w:rsidRPr="009D2760" w:rsidRDefault="009D2760" w:rsidP="00885502">
      <w:pPr>
        <w:spacing w:after="0" w:line="413" w:lineRule="auto"/>
        <w:ind w:hanging="10"/>
        <w:jc w:val="both"/>
        <w:rPr>
          <w:rFonts w:ascii="Sakkal Majalla" w:eastAsia="Arial" w:hAnsi="Sakkal Majalla" w:cs="Sakkal Majalla"/>
          <w:sz w:val="24"/>
        </w:rPr>
      </w:pPr>
      <w:r w:rsidRPr="009D2760">
        <w:rPr>
          <w:rFonts w:ascii="Sakkal Majalla" w:eastAsia="Arial" w:hAnsi="Sakkal Majalla" w:cs="Sakkal Majalla"/>
          <w:sz w:val="24"/>
          <w:rtl/>
        </w:rPr>
        <w:t>كما أن طبيعة القطاع الصناعي، من حيث بيئة العمل الصعبة أو الروتين القاسي، قد تسهم في رفع معدلات التسرب مقارنة بالقطاعات الخدمية، بحسب ما أوضحه الجميلي</w:t>
      </w:r>
      <w:r w:rsidRPr="009D2760">
        <w:rPr>
          <w:rFonts w:ascii="Sakkal Majalla" w:eastAsia="Arial" w:hAnsi="Sakkal Majalla" w:cs="Sakkal Majalla"/>
          <w:sz w:val="24"/>
        </w:rPr>
        <w:t xml:space="preserve"> (2023).</w:t>
      </w:r>
    </w:p>
    <w:p w14:paraId="248FFE24" w14:textId="77777777" w:rsidR="009D2760" w:rsidRPr="009D2760" w:rsidRDefault="009D2760" w:rsidP="009D2760">
      <w:pPr>
        <w:spacing w:after="0" w:line="265" w:lineRule="auto"/>
        <w:jc w:val="both"/>
        <w:rPr>
          <w:rFonts w:ascii="Sakkal Majalla" w:hAnsi="Sakkal Majalla" w:cs="Sakkal Majalla"/>
          <w:b/>
          <w:bCs/>
          <w:lang w:val="en-US"/>
        </w:rPr>
      </w:pPr>
      <w:r w:rsidRPr="009D2760">
        <w:rPr>
          <w:rFonts w:ascii="Sakkal Majalla" w:hAnsi="Sakkal Majalla" w:cs="Sakkal Majalla"/>
          <w:b/>
          <w:bCs/>
          <w:rtl/>
          <w:lang w:val="en-US" w:bidi="ar-SA"/>
        </w:rPr>
        <w:t>آثار الدوران الوظيفي على المنظمة</w:t>
      </w:r>
    </w:p>
    <w:p w14:paraId="43156E10" w14:textId="77777777" w:rsidR="009D2760" w:rsidRPr="009D2760" w:rsidRDefault="009D2760" w:rsidP="00885502">
      <w:pPr>
        <w:spacing w:after="0" w:line="413" w:lineRule="auto"/>
        <w:ind w:hanging="10"/>
        <w:jc w:val="both"/>
        <w:rPr>
          <w:rFonts w:ascii="Sakkal Majalla" w:eastAsia="Arial" w:hAnsi="Sakkal Majalla" w:cs="Sakkal Majalla"/>
          <w:sz w:val="24"/>
        </w:rPr>
      </w:pPr>
      <w:r w:rsidRPr="009D2760">
        <w:rPr>
          <w:rFonts w:ascii="Sakkal Majalla" w:eastAsia="Arial" w:hAnsi="Sakkal Majalla" w:cs="Sakkal Majalla"/>
          <w:sz w:val="24"/>
          <w:rtl/>
        </w:rPr>
        <w:t>ينطوي الدوران الوظيفي المرتفع على جملة من الآثار السلبية التي تهدد استقرار المؤسسة. أول هذه الآثار هو التكلفة المالية، حيث تضطر المنظمة إلى إعادة التوظيف والتدريب باستمرار. أما على مستوى الأداء، فإن انخفاض الإنتاجية يعد نتيجة طبيعية لخسارة موظفين ذوي خبرة ومعرفة عميقة بالسياق الداخلي للمؤسسة</w:t>
      </w:r>
      <w:r w:rsidRPr="009D2760">
        <w:rPr>
          <w:rFonts w:ascii="Sakkal Majalla" w:eastAsia="Arial" w:hAnsi="Sakkal Majalla" w:cs="Sakkal Majalla"/>
          <w:sz w:val="24"/>
        </w:rPr>
        <w:t>.</w:t>
      </w:r>
    </w:p>
    <w:p w14:paraId="282C447D" w14:textId="46CD2E53" w:rsidR="009D2760" w:rsidRPr="009D2760" w:rsidRDefault="009D2760" w:rsidP="00885502">
      <w:pPr>
        <w:spacing w:after="0" w:line="413" w:lineRule="auto"/>
        <w:ind w:hanging="10"/>
        <w:jc w:val="both"/>
        <w:rPr>
          <w:rFonts w:ascii="Sakkal Majalla" w:eastAsia="Arial" w:hAnsi="Sakkal Majalla" w:cs="Sakkal Majalla"/>
          <w:sz w:val="24"/>
        </w:rPr>
      </w:pPr>
      <w:r w:rsidRPr="009D2760">
        <w:rPr>
          <w:rFonts w:ascii="Sakkal Majalla" w:eastAsia="Arial" w:hAnsi="Sakkal Majalla" w:cs="Sakkal Majalla"/>
          <w:sz w:val="24"/>
          <w:rtl/>
        </w:rPr>
        <w:t>بالإضافة إلى ذلك، يؤدي الدوران المرتفع إلى تراجع جودة الخدمات أو المنتجات بسبب دخول موظفين جدد يحتاجون إلى وقت للتأقلم. كما تفقد المؤسسة المعرفة الضمنية والتراكمية التي يصعب تعويضها بسرعة، ما يُضعف من قدرتها التنافسية على المدى البعيد</w:t>
      </w:r>
      <w:r w:rsidRPr="009D2760">
        <w:rPr>
          <w:rFonts w:ascii="Sakkal Majalla" w:eastAsia="Arial" w:hAnsi="Sakkal Majalla" w:cs="Sakkal Majalla"/>
          <w:sz w:val="24"/>
        </w:rPr>
        <w:t xml:space="preserve"> (</w:t>
      </w:r>
      <w:r w:rsidRPr="009D2760">
        <w:rPr>
          <w:rFonts w:ascii="Sakkal Majalla" w:eastAsia="Arial" w:hAnsi="Sakkal Majalla" w:cs="Sakkal Majalla"/>
          <w:sz w:val="24"/>
          <w:rtl/>
        </w:rPr>
        <w:t>السلمي، 2022</w:t>
      </w:r>
      <w:r w:rsidR="00885502">
        <w:rPr>
          <w:rFonts w:ascii="Sakkal Majalla" w:eastAsia="Arial" w:hAnsi="Sakkal Majalla" w:cs="Sakkal Majalla" w:hint="cs"/>
          <w:sz w:val="24"/>
          <w:rtl/>
        </w:rPr>
        <w:t>).</w:t>
      </w:r>
    </w:p>
    <w:p w14:paraId="3970F405" w14:textId="77777777" w:rsidR="009D2760" w:rsidRPr="009D2760" w:rsidRDefault="009D2760" w:rsidP="009D2760">
      <w:pPr>
        <w:spacing w:after="0" w:line="265" w:lineRule="auto"/>
        <w:jc w:val="both"/>
        <w:rPr>
          <w:rFonts w:ascii="Sakkal Majalla" w:hAnsi="Sakkal Majalla" w:cs="Sakkal Majalla"/>
          <w:b/>
          <w:bCs/>
          <w:lang w:val="en-US"/>
        </w:rPr>
      </w:pPr>
      <w:r w:rsidRPr="009D2760">
        <w:rPr>
          <w:rFonts w:ascii="Sakkal Majalla" w:hAnsi="Sakkal Majalla" w:cs="Sakkal Majalla"/>
          <w:b/>
          <w:bCs/>
          <w:rtl/>
          <w:lang w:val="en-US" w:bidi="ar-SA"/>
        </w:rPr>
        <w:t>خامسًا: الأطر/النظريات المفسرة للعلاقة بين ممارسات الموارد البشرية والدوران الوظيفي</w:t>
      </w:r>
    </w:p>
    <w:p w14:paraId="3D4E2874" w14:textId="4EAF7D97" w:rsidR="009D2760" w:rsidRPr="009D2760" w:rsidRDefault="009D2760" w:rsidP="00911D3F">
      <w:pPr>
        <w:spacing w:after="0" w:line="413" w:lineRule="auto"/>
        <w:ind w:hanging="10"/>
        <w:jc w:val="both"/>
        <w:rPr>
          <w:rFonts w:ascii="Sakkal Majalla" w:eastAsia="Arial" w:hAnsi="Sakkal Majalla" w:cs="Sakkal Majalla"/>
          <w:sz w:val="24"/>
        </w:rPr>
      </w:pPr>
      <w:r w:rsidRPr="009D2760">
        <w:rPr>
          <w:rFonts w:ascii="Sakkal Majalla" w:eastAsia="Arial" w:hAnsi="Sakkal Majalla" w:cs="Sakkal Majalla"/>
          <w:sz w:val="24"/>
          <w:rtl/>
        </w:rPr>
        <w:t xml:space="preserve">تستند العلاقة بين ممارسات إدارة الموارد البشرية ومعدلات الدوران الوظيفي إلى مجموعة من النظريات التي تفسر السلوك البشري في بيئة العمل وتوضح لماذا تؤدي الممارسات الجيدة إلى بقاء الموظفين واستقرارهم داخل المنظمة. من أبرز هذه النظريات نظرية التبادل الاجتماعي التي طوّرها “بلو” عام 1964، والتي ترى أن العلاقة بين الموظف والمنظمة تقوم على تبادل المنافع والدعم المتبادل. فحينما تقدم المنظمة التدريب، والتحفيز، والتقدير، يشعر الموظف بالالتزام الأخلاقي والمعنوي برد الجميل عبر البقاء والعمل بفعالية. وقد أكدت دراسة بجابة وآخرين (2022) </w:t>
      </w:r>
      <w:r w:rsidRPr="009D2760">
        <w:rPr>
          <w:rFonts w:ascii="Sakkal Majalla" w:eastAsia="Arial" w:hAnsi="Sakkal Majalla" w:cs="Sakkal Majalla"/>
          <w:sz w:val="24"/>
          <w:rtl/>
        </w:rPr>
        <w:lastRenderedPageBreak/>
        <w:t xml:space="preserve">أن الدعم الاجتماعي من العمل والأسرة يقلل نية ترك العمل عبر تعزيز التفاعل الإيجابي بين الحياة المهنية والأسرية، مما يعزز الالتزام ويخفض الدوران </w:t>
      </w:r>
      <w:r w:rsidRPr="009D2760">
        <w:rPr>
          <w:rFonts w:eastAsia="Arial"/>
          <w:sz w:val="24"/>
        </w:rPr>
        <w:t>(</w:t>
      </w:r>
      <w:proofErr w:type="spellStart"/>
      <w:r w:rsidRPr="009D2760">
        <w:rPr>
          <w:rFonts w:eastAsia="Arial"/>
          <w:sz w:val="24"/>
        </w:rPr>
        <w:t>Bajaba</w:t>
      </w:r>
      <w:proofErr w:type="spellEnd"/>
      <w:r w:rsidRPr="009D2760">
        <w:rPr>
          <w:rFonts w:eastAsia="Arial"/>
          <w:sz w:val="24"/>
        </w:rPr>
        <w:t xml:space="preserve"> </w:t>
      </w:r>
      <w:proofErr w:type="spellStart"/>
      <w:r w:rsidRPr="009D2760">
        <w:rPr>
          <w:rFonts w:eastAsia="Arial"/>
          <w:sz w:val="24"/>
        </w:rPr>
        <w:t>et</w:t>
      </w:r>
      <w:proofErr w:type="spellEnd"/>
      <w:r w:rsidRPr="009D2760">
        <w:rPr>
          <w:rFonts w:eastAsia="Arial"/>
          <w:sz w:val="24"/>
        </w:rPr>
        <w:t xml:space="preserve"> </w:t>
      </w:r>
      <w:proofErr w:type="spellStart"/>
      <w:r w:rsidRPr="009D2760">
        <w:rPr>
          <w:rFonts w:eastAsia="Arial"/>
          <w:sz w:val="24"/>
        </w:rPr>
        <w:t>al</w:t>
      </w:r>
      <w:proofErr w:type="spellEnd"/>
      <w:r w:rsidRPr="009D2760">
        <w:rPr>
          <w:rFonts w:eastAsia="Arial"/>
          <w:sz w:val="24"/>
        </w:rPr>
        <w:t>., 2022)</w:t>
      </w:r>
      <w:r w:rsidRPr="009D2760">
        <w:rPr>
          <w:rFonts w:ascii="Sakkal Majalla" w:eastAsia="Arial" w:hAnsi="Sakkal Majalla" w:cs="Sakkal Majalla"/>
          <w:sz w:val="24"/>
        </w:rPr>
        <w:t xml:space="preserve">. </w:t>
      </w:r>
      <w:r w:rsidRPr="009D2760">
        <w:rPr>
          <w:rFonts w:ascii="Sakkal Majalla" w:eastAsia="Arial" w:hAnsi="Sakkal Majalla" w:cs="Sakkal Majalla"/>
          <w:sz w:val="24"/>
          <w:rtl/>
        </w:rPr>
        <w:t xml:space="preserve">كما أظهرت دراسة </w:t>
      </w:r>
      <w:proofErr w:type="spellStart"/>
      <w:r w:rsidRPr="009D2760">
        <w:rPr>
          <w:rFonts w:ascii="Sakkal Majalla" w:eastAsia="Arial" w:hAnsi="Sakkal Majalla" w:cs="Sakkal Majalla"/>
          <w:sz w:val="24"/>
          <w:rtl/>
        </w:rPr>
        <w:t>سواعدان</w:t>
      </w:r>
      <w:proofErr w:type="spellEnd"/>
      <w:r w:rsidRPr="009D2760">
        <w:rPr>
          <w:rFonts w:ascii="Sakkal Majalla" w:eastAsia="Arial" w:hAnsi="Sakkal Majalla" w:cs="Sakkal Majalla"/>
          <w:sz w:val="24"/>
          <w:rtl/>
        </w:rPr>
        <w:t xml:space="preserve"> وآخرين (2022) أن الدعم التنظيمي المدرك والمناخ الأخلاقي في بيئة العمل يؤديان إلى رفع الرضا الوظيفي الذي يتوسط العلاقة بين الدعم ومعدلات الدوران، وهو ما يعزز المنطق القائم على نظرية التبادل الاجتماعي </w:t>
      </w:r>
      <w:r w:rsidRPr="009D2760">
        <w:rPr>
          <w:rFonts w:eastAsia="Arial"/>
          <w:sz w:val="24"/>
        </w:rPr>
        <w:t>(</w:t>
      </w:r>
      <w:proofErr w:type="spellStart"/>
      <w:r w:rsidRPr="009D2760">
        <w:rPr>
          <w:rFonts w:eastAsia="Arial"/>
          <w:sz w:val="24"/>
        </w:rPr>
        <w:t>Suwaidan</w:t>
      </w:r>
      <w:proofErr w:type="spellEnd"/>
      <w:r w:rsidRPr="009D2760">
        <w:rPr>
          <w:rFonts w:eastAsia="Arial"/>
          <w:sz w:val="24"/>
        </w:rPr>
        <w:t xml:space="preserve"> </w:t>
      </w:r>
      <w:proofErr w:type="spellStart"/>
      <w:r w:rsidRPr="009D2760">
        <w:rPr>
          <w:rFonts w:eastAsia="Arial"/>
          <w:sz w:val="24"/>
        </w:rPr>
        <w:t>et</w:t>
      </w:r>
      <w:proofErr w:type="spellEnd"/>
      <w:r w:rsidRPr="009D2760">
        <w:rPr>
          <w:rFonts w:eastAsia="Arial"/>
          <w:sz w:val="24"/>
        </w:rPr>
        <w:t xml:space="preserve"> </w:t>
      </w:r>
      <w:proofErr w:type="spellStart"/>
      <w:r w:rsidRPr="009D2760">
        <w:rPr>
          <w:rFonts w:eastAsia="Arial"/>
          <w:sz w:val="24"/>
        </w:rPr>
        <w:t>al</w:t>
      </w:r>
      <w:proofErr w:type="spellEnd"/>
      <w:r w:rsidRPr="009D2760">
        <w:rPr>
          <w:rFonts w:eastAsia="Arial"/>
          <w:sz w:val="24"/>
        </w:rPr>
        <w:t>., 2022)</w:t>
      </w:r>
      <w:r w:rsidRPr="009D2760">
        <w:rPr>
          <w:rFonts w:ascii="Sakkal Majalla" w:eastAsia="Arial" w:hAnsi="Sakkal Majalla" w:cs="Sakkal Majalla"/>
          <w:sz w:val="24"/>
        </w:rPr>
        <w:t>.</w:t>
      </w:r>
    </w:p>
    <w:p w14:paraId="7A72AC4D" w14:textId="5E8BABFC" w:rsidR="009D2760" w:rsidRPr="009D2760" w:rsidRDefault="009D2760" w:rsidP="00911D3F">
      <w:pPr>
        <w:spacing w:after="0" w:line="413" w:lineRule="auto"/>
        <w:ind w:hanging="10"/>
        <w:jc w:val="both"/>
        <w:rPr>
          <w:rFonts w:ascii="Sakkal Majalla" w:eastAsia="Arial" w:hAnsi="Sakkal Majalla" w:cs="Sakkal Majalla"/>
          <w:sz w:val="24"/>
        </w:rPr>
      </w:pPr>
      <w:r w:rsidRPr="009D2760">
        <w:rPr>
          <w:rFonts w:ascii="Sakkal Majalla" w:eastAsia="Arial" w:hAnsi="Sakkal Majalla" w:cs="Sakkal Majalla"/>
          <w:sz w:val="24"/>
          <w:rtl/>
        </w:rPr>
        <w:t xml:space="preserve">أما نظرية العقد النفسي، فتركز على التوقعات غير المكتوبة بين الموظف وصاحب العمل، مثل العدالة في الترقيات أو التقدير المعنوي. وعندما تنكسر هذه التوقعات – عبر غياب العدالة التنظيمية أو ضعف التواصل – يشعر الموظف بالإحباط مما يدفعه إلى التفكير في المغادرة. دراسة </w:t>
      </w:r>
      <w:proofErr w:type="spellStart"/>
      <w:r w:rsidRPr="009D2760">
        <w:rPr>
          <w:rFonts w:ascii="Sakkal Majalla" w:eastAsia="Arial" w:hAnsi="Sakkal Majalla" w:cs="Sakkal Majalla"/>
          <w:sz w:val="24"/>
          <w:rtl/>
        </w:rPr>
        <w:t>القبيلي</w:t>
      </w:r>
      <w:proofErr w:type="spellEnd"/>
      <w:r w:rsidRPr="009D2760">
        <w:rPr>
          <w:rFonts w:ascii="Sakkal Majalla" w:eastAsia="Arial" w:hAnsi="Sakkal Majalla" w:cs="Sakkal Majalla"/>
          <w:sz w:val="24"/>
          <w:rtl/>
        </w:rPr>
        <w:t xml:space="preserve"> والنعساني (2023) أثبتت أن العدالة التنظيمية والرضا الوظيفي يتوسطان العلاقة بين التوافق القيمي للموظف مع المنظمة وبين نية ترك العمل، مما يؤكد أن غياب العدالة أو الإخلال بالعقد النفسي يزيد احتمالية الدوران </w:t>
      </w:r>
      <w:r w:rsidRPr="009D2760">
        <w:rPr>
          <w:rFonts w:eastAsia="Arial"/>
          <w:sz w:val="24"/>
        </w:rPr>
        <w:t>(</w:t>
      </w:r>
      <w:proofErr w:type="spellStart"/>
      <w:r w:rsidRPr="009D2760">
        <w:rPr>
          <w:rFonts w:eastAsia="Arial"/>
          <w:sz w:val="24"/>
        </w:rPr>
        <w:t>Al-Qubaili</w:t>
      </w:r>
      <w:proofErr w:type="spellEnd"/>
      <w:r w:rsidRPr="009D2760">
        <w:rPr>
          <w:rFonts w:eastAsia="Arial"/>
          <w:sz w:val="24"/>
        </w:rPr>
        <w:t xml:space="preserve"> &amp; </w:t>
      </w:r>
      <w:proofErr w:type="spellStart"/>
      <w:r w:rsidRPr="009D2760">
        <w:rPr>
          <w:rFonts w:eastAsia="Arial"/>
          <w:sz w:val="24"/>
        </w:rPr>
        <w:t>Al-Nassani</w:t>
      </w:r>
      <w:proofErr w:type="spellEnd"/>
      <w:r w:rsidRPr="009D2760">
        <w:rPr>
          <w:rFonts w:eastAsia="Arial"/>
          <w:sz w:val="24"/>
        </w:rPr>
        <w:t>, 2023)</w:t>
      </w:r>
      <w:r w:rsidRPr="009D2760">
        <w:rPr>
          <w:rFonts w:ascii="Sakkal Majalla" w:eastAsia="Arial" w:hAnsi="Sakkal Majalla" w:cs="Sakkal Majalla"/>
          <w:sz w:val="24"/>
        </w:rPr>
        <w:t>.</w:t>
      </w:r>
    </w:p>
    <w:p w14:paraId="1C48EEBA" w14:textId="46046C8F" w:rsidR="009D2760" w:rsidRPr="009D2760" w:rsidRDefault="009D2760" w:rsidP="00911D3F">
      <w:pPr>
        <w:spacing w:after="0" w:line="413" w:lineRule="auto"/>
        <w:ind w:hanging="10"/>
        <w:jc w:val="both"/>
        <w:rPr>
          <w:rFonts w:ascii="Sakkal Majalla" w:eastAsia="Arial" w:hAnsi="Sakkal Majalla" w:cs="Sakkal Majalla"/>
          <w:sz w:val="24"/>
        </w:rPr>
      </w:pPr>
      <w:r w:rsidRPr="009D2760">
        <w:rPr>
          <w:rFonts w:ascii="Sakkal Majalla" w:eastAsia="Arial" w:hAnsi="Sakkal Majalla" w:cs="Sakkal Majalla"/>
          <w:sz w:val="24"/>
          <w:rtl/>
        </w:rPr>
        <w:t xml:space="preserve">ومن زاوية أخرى، تقدم نظرية الاندماج الوظيفي تفسيرًا نفسيًا للعلاقة بين ممارسات الموارد البشرية والاستبقاء، إذ ترى أن الموظفين الذين يشعرون بالاندماج في أعمالهم لديهم ارتباط عاطفي ومعنوي يمنعهم من التفكير في المغادرة. وقد بينت دراسة </w:t>
      </w:r>
      <w:proofErr w:type="spellStart"/>
      <w:r w:rsidRPr="009D2760">
        <w:rPr>
          <w:rFonts w:ascii="Sakkal Majalla" w:eastAsia="Arial" w:hAnsi="Sakkal Majalla" w:cs="Sakkal Majalla"/>
          <w:sz w:val="24"/>
          <w:rtl/>
        </w:rPr>
        <w:t>الجهاني</w:t>
      </w:r>
      <w:proofErr w:type="spellEnd"/>
      <w:r w:rsidRPr="009D2760">
        <w:rPr>
          <w:rFonts w:ascii="Sakkal Majalla" w:eastAsia="Arial" w:hAnsi="Sakkal Majalla" w:cs="Sakkal Majalla"/>
          <w:sz w:val="24"/>
          <w:rtl/>
        </w:rPr>
        <w:t xml:space="preserve"> (2018) أن الاندماج الوظيفي يتوسط العلاقة بين دعم المشرفين وفرص التعلم وبين نية ترك العمل، ما يعني أن توفير بيئة عمل محفزة ومليئة بفرص النمو يقلل من احتمالية الانفصال عن المنظمة </w:t>
      </w:r>
      <w:r w:rsidRPr="009D2760">
        <w:rPr>
          <w:rFonts w:eastAsia="Arial"/>
          <w:sz w:val="24"/>
        </w:rPr>
        <w:t>(Aljohani, 2018)</w:t>
      </w:r>
      <w:r w:rsidRPr="009D2760">
        <w:rPr>
          <w:rFonts w:ascii="Sakkal Majalla" w:eastAsia="Arial" w:hAnsi="Sakkal Majalla" w:cs="Sakkal Majalla"/>
          <w:sz w:val="24"/>
        </w:rPr>
        <w:t>.</w:t>
      </w:r>
    </w:p>
    <w:p w14:paraId="34FB06A6" w14:textId="341B8BB1" w:rsidR="009D2760" w:rsidRPr="009D2760" w:rsidRDefault="009D2760" w:rsidP="00911D3F">
      <w:pPr>
        <w:spacing w:after="0" w:line="413" w:lineRule="auto"/>
        <w:ind w:hanging="10"/>
        <w:jc w:val="both"/>
        <w:rPr>
          <w:rFonts w:ascii="Sakkal Majalla" w:eastAsia="Arial" w:hAnsi="Sakkal Majalla" w:cs="Sakkal Majalla"/>
          <w:sz w:val="24"/>
        </w:rPr>
      </w:pPr>
      <w:r w:rsidRPr="009D2760">
        <w:rPr>
          <w:rFonts w:ascii="Sakkal Majalla" w:eastAsia="Arial" w:hAnsi="Sakkal Majalla" w:cs="Sakkal Majalla"/>
          <w:sz w:val="24"/>
          <w:rtl/>
        </w:rPr>
        <w:t xml:space="preserve">كما أن نماذج قرار ترك العمل تفسر العلاقة عبر مسار منطقي يبدأ بعدم الرضا الوظيفي، يليه ضعف الالتزام، ثم نية المغادرة وأخيرًا الفعل ذاته. وقد دعمت دراسة </w:t>
      </w:r>
      <w:proofErr w:type="spellStart"/>
      <w:r w:rsidRPr="009D2760">
        <w:rPr>
          <w:rFonts w:ascii="Sakkal Majalla" w:eastAsia="Arial" w:hAnsi="Sakkal Majalla" w:cs="Sakkal Majalla"/>
          <w:sz w:val="24"/>
          <w:rtl/>
        </w:rPr>
        <w:t>جهانزيب</w:t>
      </w:r>
      <w:proofErr w:type="spellEnd"/>
      <w:r w:rsidRPr="009D2760">
        <w:rPr>
          <w:rFonts w:ascii="Sakkal Majalla" w:eastAsia="Arial" w:hAnsi="Sakkal Majalla" w:cs="Sakkal Majalla"/>
          <w:sz w:val="24"/>
          <w:rtl/>
        </w:rPr>
        <w:t xml:space="preserve"> وراشد (2013) هذا النموذج في القطاع الخاص السعودي، حيث أثبتت أن التدريب يزيد الالتزام التنظيمي، وأن الالتزام بدوره يخفض نية ترك العمل </w:t>
      </w:r>
      <w:r w:rsidRPr="009D2760">
        <w:rPr>
          <w:rFonts w:eastAsia="Arial"/>
          <w:sz w:val="24"/>
        </w:rPr>
        <w:t>(</w:t>
      </w:r>
      <w:proofErr w:type="spellStart"/>
      <w:r w:rsidRPr="009D2760">
        <w:rPr>
          <w:rFonts w:eastAsia="Arial"/>
          <w:sz w:val="24"/>
        </w:rPr>
        <w:t>Jehanzeb</w:t>
      </w:r>
      <w:proofErr w:type="spellEnd"/>
      <w:r w:rsidRPr="009D2760">
        <w:rPr>
          <w:rFonts w:eastAsia="Arial"/>
          <w:sz w:val="24"/>
        </w:rPr>
        <w:t xml:space="preserve"> &amp; </w:t>
      </w:r>
      <w:proofErr w:type="spellStart"/>
      <w:r w:rsidRPr="009D2760">
        <w:rPr>
          <w:rFonts w:eastAsia="Arial"/>
          <w:sz w:val="24"/>
        </w:rPr>
        <w:t>Rasheed</w:t>
      </w:r>
      <w:proofErr w:type="spellEnd"/>
      <w:r w:rsidRPr="009D2760">
        <w:rPr>
          <w:rFonts w:eastAsia="Arial"/>
          <w:sz w:val="24"/>
        </w:rPr>
        <w:t>, 2013)</w:t>
      </w:r>
      <w:r w:rsidRPr="009D2760">
        <w:rPr>
          <w:rFonts w:ascii="Sakkal Majalla" w:eastAsia="Arial" w:hAnsi="Sakkal Majalla" w:cs="Sakkal Majalla"/>
          <w:sz w:val="24"/>
        </w:rPr>
        <w:t>.</w:t>
      </w:r>
    </w:p>
    <w:p w14:paraId="77C346CB" w14:textId="56A2207B" w:rsidR="009D2760" w:rsidRPr="009D2760" w:rsidRDefault="009D2760" w:rsidP="00911D3F">
      <w:pPr>
        <w:spacing w:after="0" w:line="413" w:lineRule="auto"/>
        <w:ind w:hanging="10"/>
        <w:jc w:val="both"/>
        <w:rPr>
          <w:rFonts w:ascii="Sakkal Majalla" w:eastAsia="Arial" w:hAnsi="Sakkal Majalla" w:cs="Sakkal Majalla"/>
          <w:sz w:val="24"/>
        </w:rPr>
      </w:pPr>
      <w:r w:rsidRPr="009D2760">
        <w:rPr>
          <w:rFonts w:ascii="Sakkal Majalla" w:eastAsia="Arial" w:hAnsi="Sakkal Majalla" w:cs="Sakkal Majalla"/>
          <w:sz w:val="24"/>
          <w:rtl/>
        </w:rPr>
        <w:t xml:space="preserve">وتأتي نظرية رأس المال البشري لتوضح البعد الاقتصادي للعلاقة، إذ ترى أن الاستثمار في تدريب الموظفين وتحسين بيئة العمل يرفع من قيمتهم السوقية لكنه في الوقت ذاته يزيد من ولائهم، لأنهم يشعرون بأن المنظمة تستثمر فيهم كشركاء في النجاح. هذا ما أظهرته دراسة جون </w:t>
      </w:r>
      <w:proofErr w:type="spellStart"/>
      <w:r w:rsidRPr="009D2760">
        <w:rPr>
          <w:rFonts w:ascii="Sakkal Majalla" w:eastAsia="Arial" w:hAnsi="Sakkal Majalla" w:cs="Sakkal Majalla"/>
          <w:sz w:val="24"/>
          <w:rtl/>
        </w:rPr>
        <w:t>وإيكهاردت</w:t>
      </w:r>
      <w:proofErr w:type="spellEnd"/>
      <w:r w:rsidRPr="009D2760">
        <w:rPr>
          <w:rFonts w:ascii="Sakkal Majalla" w:eastAsia="Arial" w:hAnsi="Sakkal Majalla" w:cs="Sakkal Majalla"/>
          <w:sz w:val="24"/>
          <w:rtl/>
        </w:rPr>
        <w:t xml:space="preserve"> (2023) التي حللت العلاقة بين التدريب والدوران وفق منظور التكلفة–المنفعة، موضحة أن المنظمات التي تستثمر في رأس المال البشري تقل فيها معدلات المغادرة بشكل واضح </w:t>
      </w:r>
      <w:r w:rsidRPr="009D2760">
        <w:rPr>
          <w:rFonts w:eastAsia="Arial"/>
          <w:sz w:val="24"/>
        </w:rPr>
        <w:t>(</w:t>
      </w:r>
      <w:proofErr w:type="spellStart"/>
      <w:r w:rsidRPr="009D2760">
        <w:rPr>
          <w:rFonts w:eastAsia="Arial"/>
          <w:sz w:val="24"/>
        </w:rPr>
        <w:t>Jun</w:t>
      </w:r>
      <w:proofErr w:type="spellEnd"/>
      <w:r w:rsidRPr="009D2760">
        <w:rPr>
          <w:rFonts w:eastAsia="Arial"/>
          <w:sz w:val="24"/>
        </w:rPr>
        <w:t xml:space="preserve"> &amp; </w:t>
      </w:r>
      <w:proofErr w:type="spellStart"/>
      <w:r w:rsidRPr="009D2760">
        <w:rPr>
          <w:rFonts w:eastAsia="Arial"/>
          <w:sz w:val="24"/>
        </w:rPr>
        <w:t>Eckardt</w:t>
      </w:r>
      <w:proofErr w:type="spellEnd"/>
      <w:r w:rsidRPr="009D2760">
        <w:rPr>
          <w:rFonts w:eastAsia="Arial"/>
          <w:sz w:val="24"/>
        </w:rPr>
        <w:t>, 2023)</w:t>
      </w:r>
      <w:r w:rsidRPr="009D2760">
        <w:rPr>
          <w:rFonts w:ascii="Sakkal Majalla" w:eastAsia="Arial" w:hAnsi="Sakkal Majalla" w:cs="Sakkal Majalla"/>
          <w:sz w:val="24"/>
        </w:rPr>
        <w:t>.</w:t>
      </w:r>
    </w:p>
    <w:p w14:paraId="197FC259" w14:textId="77777777" w:rsidR="009D2760" w:rsidRPr="009D2760" w:rsidRDefault="009D2760" w:rsidP="009D2760">
      <w:pPr>
        <w:spacing w:after="0" w:line="265" w:lineRule="auto"/>
        <w:jc w:val="both"/>
        <w:rPr>
          <w:rFonts w:ascii="Sakkal Majalla" w:hAnsi="Sakkal Majalla" w:cs="Sakkal Majalla"/>
          <w:b/>
          <w:bCs/>
          <w:lang w:val="en-US"/>
        </w:rPr>
      </w:pPr>
      <w:r w:rsidRPr="009D2760">
        <w:rPr>
          <w:rFonts w:ascii="Sakkal Majalla" w:hAnsi="Sakkal Majalla" w:cs="Sakkal Majalla"/>
          <w:b/>
          <w:bCs/>
          <w:rtl/>
          <w:lang w:val="en-US" w:bidi="ar-SA"/>
        </w:rPr>
        <w:t>سادسًا: الربط النظري بين متغيرات الدراسة (منطق العلاقة)</w:t>
      </w:r>
    </w:p>
    <w:p w14:paraId="554F99B0" w14:textId="77777777" w:rsidR="009D2760" w:rsidRPr="009D2760" w:rsidRDefault="009D2760" w:rsidP="00911D3F">
      <w:pPr>
        <w:spacing w:after="0" w:line="413" w:lineRule="auto"/>
        <w:ind w:hanging="10"/>
        <w:jc w:val="both"/>
        <w:rPr>
          <w:rFonts w:ascii="Sakkal Majalla" w:eastAsia="Arial" w:hAnsi="Sakkal Majalla" w:cs="Sakkal Majalla"/>
          <w:sz w:val="24"/>
        </w:rPr>
      </w:pPr>
      <w:r w:rsidRPr="009D2760">
        <w:rPr>
          <w:rFonts w:ascii="Sakkal Majalla" w:eastAsia="Arial" w:hAnsi="Sakkal Majalla" w:cs="Sakkal Majalla"/>
          <w:sz w:val="24"/>
          <w:rtl/>
        </w:rPr>
        <w:t xml:space="preserve">يتضح من الأطر النظرية السابقة أن ممارسات إدارة الموارد البشرية الجيدة تؤدي إلى خفض معدلات الدوران الوظيفي من خلال مسارات متعددة. فوفق نظرية التبادل الاجتماعي، يشعر الموظف بالامتنان تجاه المنظمة التي توفر له التدريب والتقدير والتحفيز، مما يعزز التزامه ويقلل رغبته في المغادرة. ومن خلال نظرية العقد النفسي، فإن الالتزام بعدالة التقييم والترقية وتكافؤ الفرص يحافظ على الثقة بين الموظف </w:t>
      </w:r>
      <w:r w:rsidRPr="009D2760">
        <w:rPr>
          <w:rFonts w:ascii="Sakkal Majalla" w:eastAsia="Arial" w:hAnsi="Sakkal Majalla" w:cs="Sakkal Majalla"/>
          <w:sz w:val="24"/>
          <w:rtl/>
        </w:rPr>
        <w:lastRenderedPageBreak/>
        <w:t xml:space="preserve">والإدارة، ويمنع الشعور </w:t>
      </w:r>
      <w:proofErr w:type="spellStart"/>
      <w:r w:rsidRPr="009D2760">
        <w:rPr>
          <w:rFonts w:ascii="Sakkal Majalla" w:eastAsia="Arial" w:hAnsi="Sakkal Majalla" w:cs="Sakkal Majalla"/>
          <w:sz w:val="24"/>
          <w:rtl/>
        </w:rPr>
        <w:t>بالخذلان</w:t>
      </w:r>
      <w:proofErr w:type="spellEnd"/>
      <w:r w:rsidRPr="009D2760">
        <w:rPr>
          <w:rFonts w:ascii="Sakkal Majalla" w:eastAsia="Arial" w:hAnsi="Sakkal Majalla" w:cs="Sakkal Majalla"/>
          <w:sz w:val="24"/>
          <w:rtl/>
        </w:rPr>
        <w:t xml:space="preserve"> أو عدم الأمان الوظيفي الذي يدفع إلى الدوران. كما يوضح منظور الاندماج الوظيفي أن إشراك الموظفين في اتخاذ القرار وتحقيق التوازن بين متطلبات العمل وحياتهم الشخصية يرفع من مستويات الانتماء ويقلل نية المغادرة</w:t>
      </w:r>
      <w:r w:rsidRPr="009D2760">
        <w:rPr>
          <w:rFonts w:ascii="Sakkal Majalla" w:eastAsia="Arial" w:hAnsi="Sakkal Majalla" w:cs="Sakkal Majalla"/>
          <w:sz w:val="24"/>
        </w:rPr>
        <w:t>.</w:t>
      </w:r>
    </w:p>
    <w:p w14:paraId="69C7C81B" w14:textId="2C7A66A1" w:rsidR="009D2760" w:rsidRPr="009D2760" w:rsidRDefault="009D2760" w:rsidP="00911D3F">
      <w:pPr>
        <w:spacing w:after="0" w:line="413" w:lineRule="auto"/>
        <w:ind w:hanging="10"/>
        <w:jc w:val="both"/>
        <w:rPr>
          <w:rFonts w:ascii="Sakkal Majalla" w:eastAsia="Arial" w:hAnsi="Sakkal Majalla" w:cs="Sakkal Majalla"/>
          <w:sz w:val="24"/>
        </w:rPr>
      </w:pPr>
      <w:r w:rsidRPr="009D2760">
        <w:rPr>
          <w:rFonts w:ascii="Sakkal Majalla" w:eastAsia="Arial" w:hAnsi="Sakkal Majalla" w:cs="Sakkal Majalla"/>
          <w:sz w:val="24"/>
          <w:rtl/>
        </w:rPr>
        <w:t xml:space="preserve">وتشير الأدلة التجريبية إلى أن التأثير غير مباشر في أغلب الحالات؛ فالممارسات الفعالة لا تؤثر على الدوران مباشرة، بل عبر متغيرات وسيطة مثل الرضا الوظيفي، الالتزام التنظيمي، والعدالة المدركة </w:t>
      </w:r>
      <w:r w:rsidRPr="009D2760">
        <w:rPr>
          <w:rFonts w:eastAsia="Arial"/>
          <w:sz w:val="24"/>
        </w:rPr>
        <w:t>(</w:t>
      </w:r>
      <w:proofErr w:type="spellStart"/>
      <w:r w:rsidRPr="009D2760">
        <w:rPr>
          <w:rFonts w:eastAsia="Arial"/>
          <w:sz w:val="24"/>
        </w:rPr>
        <w:t>Suwaidan</w:t>
      </w:r>
      <w:proofErr w:type="spellEnd"/>
      <w:r w:rsidRPr="009D2760">
        <w:rPr>
          <w:rFonts w:eastAsia="Arial"/>
          <w:sz w:val="24"/>
        </w:rPr>
        <w:t xml:space="preserve"> </w:t>
      </w:r>
      <w:proofErr w:type="spellStart"/>
      <w:r w:rsidRPr="009D2760">
        <w:rPr>
          <w:rFonts w:eastAsia="Arial"/>
          <w:sz w:val="24"/>
        </w:rPr>
        <w:t>et</w:t>
      </w:r>
      <w:proofErr w:type="spellEnd"/>
      <w:r w:rsidRPr="009D2760">
        <w:rPr>
          <w:rFonts w:eastAsia="Arial"/>
          <w:sz w:val="24"/>
        </w:rPr>
        <w:t xml:space="preserve"> </w:t>
      </w:r>
      <w:proofErr w:type="spellStart"/>
      <w:r w:rsidRPr="009D2760">
        <w:rPr>
          <w:rFonts w:eastAsia="Arial"/>
          <w:sz w:val="24"/>
        </w:rPr>
        <w:t>al</w:t>
      </w:r>
      <w:proofErr w:type="spellEnd"/>
      <w:r w:rsidRPr="009D2760">
        <w:rPr>
          <w:rFonts w:eastAsia="Arial"/>
          <w:sz w:val="24"/>
        </w:rPr>
        <w:t>., 2022)</w:t>
      </w:r>
      <w:r w:rsidRPr="009D2760">
        <w:rPr>
          <w:rFonts w:ascii="Sakkal Majalla" w:eastAsia="Arial" w:hAnsi="Sakkal Majalla" w:cs="Sakkal Majalla"/>
          <w:sz w:val="24"/>
        </w:rPr>
        <w:t xml:space="preserve">. </w:t>
      </w:r>
      <w:r w:rsidRPr="009D2760">
        <w:rPr>
          <w:rFonts w:ascii="Sakkal Majalla" w:eastAsia="Arial" w:hAnsi="Sakkal Majalla" w:cs="Sakkal Majalla"/>
          <w:sz w:val="24"/>
          <w:rtl/>
        </w:rPr>
        <w:t>ويُتوقع أن يكون اتجاه العلاقة عكسيًا، أي كلما زادت جودة ممارسات الموارد البشرية، انخفضت معدلات الدوران</w:t>
      </w:r>
      <w:r w:rsidRPr="009D2760">
        <w:rPr>
          <w:rFonts w:ascii="Sakkal Majalla" w:eastAsia="Arial" w:hAnsi="Sakkal Majalla" w:cs="Sakkal Majalla"/>
          <w:sz w:val="24"/>
        </w:rPr>
        <w:t>.</w:t>
      </w:r>
    </w:p>
    <w:p w14:paraId="3054A57A" w14:textId="4102DE9E" w:rsidR="009D2760" w:rsidRPr="009D2760" w:rsidRDefault="009D2760" w:rsidP="00911D3F">
      <w:pPr>
        <w:spacing w:after="0" w:line="413" w:lineRule="auto"/>
        <w:ind w:hanging="10"/>
        <w:jc w:val="both"/>
        <w:rPr>
          <w:rFonts w:ascii="Sakkal Majalla" w:eastAsia="Arial" w:hAnsi="Sakkal Majalla" w:cs="Sakkal Majalla"/>
          <w:sz w:val="24"/>
        </w:rPr>
      </w:pPr>
      <w:r w:rsidRPr="009D2760">
        <w:rPr>
          <w:rFonts w:ascii="Sakkal Majalla" w:eastAsia="Arial" w:hAnsi="Sakkal Majalla" w:cs="Sakkal Majalla"/>
          <w:sz w:val="24"/>
          <w:rtl/>
        </w:rPr>
        <w:t xml:space="preserve">في سياق القطاع الصناعي السعودي، قد تختلف قوة هذه العلاقة تبعًا لخصائص كل منشأة، فالمؤسسات ذات البيئة الصناعية الصعبة أو التي تعتمد على عمالة منخفضة المهارة قد تواجه تحديات أكبر في الاستبقاء، بينما المصانع التي توفر بيئة آمنة وتدريباً مستمراً وتقديراً عادلاً للعاملين تشهد استقرارًا أعلى في القوى العاملة. وتشير دراسات مثل دراسة </w:t>
      </w:r>
      <w:proofErr w:type="spellStart"/>
      <w:r w:rsidRPr="009D2760">
        <w:rPr>
          <w:rFonts w:ascii="Sakkal Majalla" w:eastAsia="Arial" w:hAnsi="Sakkal Majalla" w:cs="Sakkal Majalla"/>
          <w:sz w:val="24"/>
          <w:rtl/>
        </w:rPr>
        <w:t>الأنهابي</w:t>
      </w:r>
      <w:proofErr w:type="spellEnd"/>
      <w:r w:rsidRPr="009D2760">
        <w:rPr>
          <w:rFonts w:ascii="Sakkal Majalla" w:eastAsia="Arial" w:hAnsi="Sakkal Majalla" w:cs="Sakkal Majalla"/>
          <w:sz w:val="24"/>
          <w:rtl/>
        </w:rPr>
        <w:t xml:space="preserve"> والمخلافي (2023) إلى أن الالتزام والهوية التنظيمية في الشركات السعودية يؤديان دورًا محوريًا في الحد من الدوران وتعزيز الولاء المؤسسي </w:t>
      </w:r>
      <w:r w:rsidRPr="009D2760">
        <w:rPr>
          <w:rFonts w:eastAsia="Arial"/>
          <w:sz w:val="24"/>
        </w:rPr>
        <w:t>(</w:t>
      </w:r>
      <w:proofErr w:type="spellStart"/>
      <w:r w:rsidRPr="009D2760">
        <w:rPr>
          <w:rFonts w:eastAsia="Arial"/>
          <w:sz w:val="24"/>
        </w:rPr>
        <w:t>Alnehabi</w:t>
      </w:r>
      <w:proofErr w:type="spellEnd"/>
      <w:r w:rsidRPr="009D2760">
        <w:rPr>
          <w:rFonts w:eastAsia="Arial"/>
          <w:sz w:val="24"/>
        </w:rPr>
        <w:t xml:space="preserve"> &amp; </w:t>
      </w:r>
      <w:proofErr w:type="spellStart"/>
      <w:r w:rsidRPr="009D2760">
        <w:rPr>
          <w:rFonts w:eastAsia="Arial"/>
          <w:sz w:val="24"/>
        </w:rPr>
        <w:t>Al-Mekhlafi</w:t>
      </w:r>
      <w:proofErr w:type="spellEnd"/>
      <w:r w:rsidRPr="009D2760">
        <w:rPr>
          <w:rFonts w:eastAsia="Arial"/>
          <w:sz w:val="24"/>
        </w:rPr>
        <w:t>, 2023)</w:t>
      </w:r>
      <w:r w:rsidRPr="009D2760">
        <w:rPr>
          <w:rFonts w:ascii="Sakkal Majalla" w:eastAsia="Arial" w:hAnsi="Sakkal Majalla" w:cs="Sakkal Majalla"/>
          <w:sz w:val="24"/>
        </w:rPr>
        <w:t>.</w:t>
      </w:r>
    </w:p>
    <w:p w14:paraId="3A5D01DA" w14:textId="77777777" w:rsidR="009D2760" w:rsidRPr="009D2760" w:rsidRDefault="009D2760" w:rsidP="00911D3F">
      <w:pPr>
        <w:spacing w:after="0" w:line="413" w:lineRule="auto"/>
        <w:ind w:hanging="10"/>
        <w:jc w:val="both"/>
        <w:rPr>
          <w:rFonts w:ascii="Sakkal Majalla" w:eastAsia="Arial" w:hAnsi="Sakkal Majalla" w:cs="Sakkal Majalla"/>
          <w:sz w:val="24"/>
        </w:rPr>
      </w:pPr>
      <w:r w:rsidRPr="009D2760">
        <w:rPr>
          <w:rFonts w:ascii="Sakkal Majalla" w:eastAsia="Arial" w:hAnsi="Sakkal Majalla" w:cs="Sakkal Majalla"/>
          <w:sz w:val="24"/>
          <w:rtl/>
        </w:rPr>
        <w:t>وعليه، فإن العلاقة النظرية بين المتغيرين تقوم على أن ممارسات الموارد البشرية الفعالة تمثل استثمارًا في العنصر البشري يؤدي إلى رفع الرضا والالتزام، بينما يؤدي ضعفها إلى الإحباط وفقدان الثقة وزيادة الدوران. هذا المنطق يمثل جوهر الفرضية النظرية التي تبني عليها الدراسة تحليلها للعلاقة بين ممارسات إدارة الموارد البشرية ومعدلات الدوران الوظيفي في القطاع الصناعي السعودي</w:t>
      </w:r>
      <w:r w:rsidRPr="009D2760">
        <w:rPr>
          <w:rFonts w:ascii="Sakkal Majalla" w:eastAsia="Arial" w:hAnsi="Sakkal Majalla" w:cs="Sakkal Majalla"/>
          <w:sz w:val="24"/>
        </w:rPr>
        <w:t>.</w:t>
      </w:r>
    </w:p>
    <w:p w14:paraId="3E3ADD2E" w14:textId="170F9E6D" w:rsidR="00B512EC" w:rsidRDefault="00F37482" w:rsidP="00F37482">
      <w:pPr>
        <w:spacing w:after="0" w:line="265" w:lineRule="auto"/>
        <w:jc w:val="both"/>
        <w:rPr>
          <w:rFonts w:ascii="Sakkal Majalla" w:hAnsi="Sakkal Majalla" w:cs="Sakkal Majalla"/>
          <w:b/>
          <w:bCs/>
          <w:rtl/>
          <w:lang w:val="en-US"/>
        </w:rPr>
      </w:pPr>
      <w:r w:rsidRPr="00F37482">
        <w:rPr>
          <w:rFonts w:ascii="Sakkal Majalla" w:hAnsi="Sakkal Majalla" w:cs="Sakkal Majalla"/>
          <w:b/>
          <w:bCs/>
          <w:rtl/>
          <w:lang w:val="en-US"/>
        </w:rPr>
        <w:t>الفصل الثاني: الدراسات السابقة</w:t>
      </w:r>
    </w:p>
    <w:p w14:paraId="274EDFF1" w14:textId="69F5EA47" w:rsidR="00F37482" w:rsidRPr="00F37482" w:rsidRDefault="00F37482" w:rsidP="00F37482">
      <w:pPr>
        <w:spacing w:after="0" w:line="265" w:lineRule="auto"/>
        <w:jc w:val="both"/>
        <w:rPr>
          <w:rFonts w:ascii="Sakkal Majalla" w:hAnsi="Sakkal Majalla" w:cs="Sakkal Majalla"/>
          <w:b/>
          <w:bCs/>
          <w:rtl/>
          <w:lang w:val="en-US"/>
        </w:rPr>
      </w:pPr>
      <w:r w:rsidRPr="00F37482">
        <w:rPr>
          <w:rFonts w:ascii="Sakkal Majalla" w:hAnsi="Sakkal Majalla" w:cs="Sakkal Majalla" w:hint="cs"/>
          <w:b/>
          <w:bCs/>
          <w:rtl/>
          <w:lang w:val="en-US"/>
        </w:rPr>
        <w:t>تمهيد:</w:t>
      </w:r>
    </w:p>
    <w:p w14:paraId="74C7C0E3" w14:textId="77777777" w:rsidR="00F37482" w:rsidRPr="00F37482" w:rsidRDefault="00F37482" w:rsidP="00911D3F">
      <w:pPr>
        <w:spacing w:after="0" w:line="413" w:lineRule="auto"/>
        <w:ind w:hanging="10"/>
        <w:jc w:val="both"/>
        <w:rPr>
          <w:rFonts w:ascii="Sakkal Majalla" w:eastAsia="Arial" w:hAnsi="Sakkal Majalla" w:cs="Sakkal Majalla"/>
          <w:sz w:val="24"/>
        </w:rPr>
      </w:pPr>
      <w:r w:rsidRPr="00F37482">
        <w:rPr>
          <w:rFonts w:ascii="Sakkal Majalla" w:eastAsia="Arial" w:hAnsi="Sakkal Majalla" w:cs="Sakkal Majalla"/>
          <w:sz w:val="24"/>
          <w:rtl/>
        </w:rPr>
        <w:t>يُعنى هذا الفصل بعرض الدراسات السابقة ذات الصلة بموضوع الدراسة، بهدف بناء فهم تراكمي لما توصلت إليه الأدبيات حول ممارسات إدارة الموارد البشرية والدوران الوظيفي، وكيف عالجت الدراسات العلاقة بينهما في سياقات تنظيمية وقطاعية مختلفة. ويساعد استعراض هذه الدراسات على تحديد الاتجاهات البحثية السائدة، ورصد أوجه الاتفاق والاختلاف في النتائج، وتفسير التباين المحتمل في ضوء اختلاف البيئات التنظيمية وخصائص العاملين والقطاعات. كما يتيح هذا الفصل الوقوف على المناهج والأساليب التي اعتمدتها الدراسات السابقة، وأبرز ما واجهته من قيود أو فجوات، بما يدعم صياغة مبررات الدراسة الحالية وتحديد موقعها ضمن الأدبيات</w:t>
      </w:r>
      <w:r w:rsidRPr="00F37482">
        <w:rPr>
          <w:rFonts w:ascii="Sakkal Majalla" w:eastAsia="Arial" w:hAnsi="Sakkal Majalla" w:cs="Sakkal Majalla"/>
          <w:sz w:val="24"/>
        </w:rPr>
        <w:t>.</w:t>
      </w:r>
    </w:p>
    <w:p w14:paraId="2E3FC891" w14:textId="77777777" w:rsidR="00F37482" w:rsidRPr="00F37482" w:rsidRDefault="00F37482" w:rsidP="00911D3F">
      <w:pPr>
        <w:spacing w:after="0" w:line="413" w:lineRule="auto"/>
        <w:ind w:hanging="10"/>
        <w:jc w:val="both"/>
        <w:rPr>
          <w:rFonts w:ascii="Sakkal Majalla" w:eastAsia="Arial" w:hAnsi="Sakkal Majalla" w:cs="Sakkal Majalla"/>
          <w:sz w:val="24"/>
        </w:rPr>
      </w:pPr>
      <w:r w:rsidRPr="00F37482">
        <w:rPr>
          <w:rFonts w:ascii="Sakkal Majalla" w:eastAsia="Arial" w:hAnsi="Sakkal Majalla" w:cs="Sakkal Majalla"/>
          <w:sz w:val="24"/>
          <w:rtl/>
        </w:rPr>
        <w:t>وسيتم تنظيم الدراسات السابقة وفق محاور موضوعية تبدأ بالدراسات التي تناولت الدوران الوظيفي ومحدداته وآثاره، ثم الدراسات التي بحثت ممارسات إدارة الموارد البشرية وأبعادها، يلي ذلك الدراسات التي اختبرت العلاقة بين ممارسات إدارة الموارد البشرية ومعدلات الدوران الوظيفي بصورة مباشرة. وفي ختام الفصل، تُقدَّم خلاصة نقدية تُبرز الفجوات المعرفية والسياقية التي لم تُغطَّ بصورة كافية، وتوضح ما الذي يميز الدراسة الحالية عن الدراسات السابقة، تمهيدًا لاستكمال بناء الدراسة ضمن إطارها المعرفي</w:t>
      </w:r>
      <w:r w:rsidRPr="00F37482">
        <w:rPr>
          <w:rFonts w:ascii="Sakkal Majalla" w:eastAsia="Arial" w:hAnsi="Sakkal Majalla" w:cs="Sakkal Majalla"/>
          <w:sz w:val="24"/>
        </w:rPr>
        <w:t>.</w:t>
      </w:r>
    </w:p>
    <w:p w14:paraId="458AF617" w14:textId="2E8663FE" w:rsidR="00F37482" w:rsidRPr="00F37482" w:rsidRDefault="00F37482" w:rsidP="00F37482">
      <w:pPr>
        <w:spacing w:after="0" w:line="265" w:lineRule="auto"/>
        <w:jc w:val="both"/>
        <w:rPr>
          <w:rFonts w:ascii="Sakkal Majalla" w:hAnsi="Sakkal Majalla" w:cs="Sakkal Majalla"/>
          <w:b/>
          <w:bCs/>
          <w:rtl/>
          <w:lang w:val="en-US"/>
        </w:rPr>
      </w:pPr>
      <w:r w:rsidRPr="00F37482">
        <w:rPr>
          <w:rFonts w:ascii="Sakkal Majalla" w:hAnsi="Sakkal Majalla" w:cs="Sakkal Majalla" w:hint="cs"/>
          <w:b/>
          <w:bCs/>
          <w:rtl/>
          <w:lang w:val="en-US"/>
        </w:rPr>
        <w:lastRenderedPageBreak/>
        <w:t>الدراسات السابقة:</w:t>
      </w:r>
    </w:p>
    <w:p w14:paraId="11081625" w14:textId="77777777" w:rsidR="00F37482" w:rsidRPr="00F37482" w:rsidRDefault="00F37482" w:rsidP="00911D3F">
      <w:pPr>
        <w:spacing w:after="0" w:line="413" w:lineRule="auto"/>
        <w:ind w:hanging="10"/>
        <w:jc w:val="both"/>
        <w:rPr>
          <w:rFonts w:ascii="Sakkal Majalla" w:eastAsia="Arial" w:hAnsi="Sakkal Majalla" w:cs="Sakkal Majalla"/>
          <w:sz w:val="24"/>
        </w:rPr>
      </w:pPr>
      <w:r w:rsidRPr="00F37482">
        <w:rPr>
          <w:rFonts w:ascii="Sakkal Majalla" w:eastAsia="Arial" w:hAnsi="Sakkal Majalla" w:cs="Sakkal Majalla"/>
          <w:sz w:val="24"/>
          <w:rtl/>
        </w:rPr>
        <w:t>في دراسة حديثة أجراها مصطفى محمد الجميلي</w:t>
      </w:r>
      <w:r w:rsidRPr="00F37482">
        <w:rPr>
          <w:rFonts w:ascii="Sakkal Majalla" w:eastAsia="Arial" w:hAnsi="Sakkal Majalla" w:cs="Sakkal Majalla"/>
          <w:sz w:val="24"/>
        </w:rPr>
        <w:t xml:space="preserve"> (2023) </w:t>
      </w:r>
      <w:r w:rsidRPr="00F37482">
        <w:rPr>
          <w:rFonts w:ascii="Sakkal Majalla" w:eastAsia="Arial" w:hAnsi="Sakkal Majalla" w:cs="Sakkal Majalla"/>
          <w:sz w:val="24"/>
          <w:rtl/>
        </w:rPr>
        <w:t xml:space="preserve">بعنوان </w:t>
      </w:r>
      <w:r w:rsidRPr="00F37482">
        <w:rPr>
          <w:rFonts w:ascii="Sakkal Majalla" w:eastAsia="Arial" w:hAnsi="Sakkal Majalla" w:cs="Sakkal Majalla"/>
          <w:sz w:val="24"/>
        </w:rPr>
        <w:t>"</w:t>
      </w:r>
      <w:r w:rsidRPr="00F37482">
        <w:rPr>
          <w:rFonts w:ascii="Sakkal Majalla" w:eastAsia="Arial" w:hAnsi="Sakkal Majalla" w:cs="Sakkal Majalla"/>
          <w:sz w:val="24"/>
          <w:rtl/>
        </w:rPr>
        <w:t>ممارسات الموارد البشرية وأثرها على تقليل الدوران الوظيفي في المؤسسات الصناعية</w:t>
      </w:r>
      <w:r w:rsidRPr="00F37482">
        <w:rPr>
          <w:rFonts w:ascii="Sakkal Majalla" w:eastAsia="Arial" w:hAnsi="Sakkal Majalla" w:cs="Sakkal Majalla"/>
          <w:sz w:val="24"/>
        </w:rPr>
        <w:t>"</w:t>
      </w:r>
      <w:r w:rsidRPr="00F37482">
        <w:rPr>
          <w:rFonts w:ascii="Sakkal Majalla" w:eastAsia="Arial" w:hAnsi="Sakkal Majalla" w:cs="Sakkal Majalla"/>
          <w:sz w:val="24"/>
          <w:rtl/>
        </w:rPr>
        <w:t>، استهدفت الدراسة فهم العلاقة بين تطبيق ممارسات إدارة الموارد البشرية ومعدلات التسرب الوظيفي في مؤسسات صناعية سعودية. أجريت الدراسة في سياق صناعي معتمد على الكفاءات الفنية، وأظهرت نتائجها وجود علاقة سلبية قوية بين فعالية ممارسات الموارد البشرية – خصوصًا الاستقطاب العادل، والتدريب المستمر، وأنظمة التحفيز – وبين ارتفاع معدلات الدوران. من أبرز ما يُحسب لهذه الدراسة هو استخدامها لأداة قياس ميدانية دقيقة، واعتمادها على بيانات كمية وتحليل إحصائي قوي. إلا أن ما يُؤخذ عليها هو اقتصارها على منطقة جغرافية واحدة، ما قد يحد من تعميم النتائج</w:t>
      </w:r>
      <w:r w:rsidRPr="00F37482">
        <w:rPr>
          <w:rFonts w:ascii="Sakkal Majalla" w:eastAsia="Arial" w:hAnsi="Sakkal Majalla" w:cs="Sakkal Majalla"/>
          <w:sz w:val="24"/>
        </w:rPr>
        <w:t>.</w:t>
      </w:r>
    </w:p>
    <w:p w14:paraId="7E4654F7" w14:textId="77777777" w:rsidR="00F37482" w:rsidRPr="00F37482" w:rsidRDefault="00F37482" w:rsidP="00911D3F">
      <w:pPr>
        <w:spacing w:after="0" w:line="413" w:lineRule="auto"/>
        <w:ind w:hanging="10"/>
        <w:jc w:val="both"/>
        <w:rPr>
          <w:rFonts w:ascii="Sakkal Majalla" w:eastAsia="Arial" w:hAnsi="Sakkal Majalla" w:cs="Sakkal Majalla"/>
          <w:sz w:val="24"/>
        </w:rPr>
      </w:pPr>
      <w:r w:rsidRPr="00F37482">
        <w:rPr>
          <w:rFonts w:ascii="Sakkal Majalla" w:eastAsia="Arial" w:hAnsi="Sakkal Majalla" w:cs="Sakkal Majalla"/>
          <w:sz w:val="24"/>
          <w:rtl/>
        </w:rPr>
        <w:t xml:space="preserve">وفي دراسة أخرى بعنوان </w:t>
      </w:r>
      <w:r w:rsidRPr="00F37482">
        <w:rPr>
          <w:rFonts w:ascii="Sakkal Majalla" w:eastAsia="Arial" w:hAnsi="Sakkal Majalla" w:cs="Sakkal Majalla"/>
          <w:sz w:val="24"/>
        </w:rPr>
        <w:t>"</w:t>
      </w:r>
      <w:r w:rsidRPr="00F37482">
        <w:rPr>
          <w:rFonts w:ascii="Sakkal Majalla" w:eastAsia="Arial" w:hAnsi="Sakkal Majalla" w:cs="Sakkal Majalla"/>
          <w:sz w:val="24"/>
          <w:rtl/>
        </w:rPr>
        <w:t>أثر ممارسات إدارة الموارد البشرية على الاحتفاظ بالكفاءات في المنظمات السعودية</w:t>
      </w:r>
      <w:r w:rsidRPr="00F37482">
        <w:rPr>
          <w:rFonts w:ascii="Sakkal Majalla" w:eastAsia="Arial" w:hAnsi="Sakkal Majalla" w:cs="Sakkal Majalla"/>
          <w:sz w:val="24"/>
        </w:rPr>
        <w:t>"</w:t>
      </w:r>
      <w:r w:rsidRPr="00F37482">
        <w:rPr>
          <w:rFonts w:ascii="Sakkal Majalla" w:eastAsia="Arial" w:hAnsi="Sakkal Majalla" w:cs="Sakkal Majalla"/>
          <w:sz w:val="24"/>
          <w:rtl/>
        </w:rPr>
        <w:t>، قدمها طلال محمد القرني</w:t>
      </w:r>
      <w:r w:rsidRPr="00F37482">
        <w:rPr>
          <w:rFonts w:ascii="Sakkal Majalla" w:eastAsia="Arial" w:hAnsi="Sakkal Majalla" w:cs="Sakkal Majalla"/>
          <w:sz w:val="24"/>
        </w:rPr>
        <w:t xml:space="preserve"> (2022)</w:t>
      </w:r>
      <w:r w:rsidRPr="00F37482">
        <w:rPr>
          <w:rFonts w:ascii="Sakkal Majalla" w:eastAsia="Arial" w:hAnsi="Sakkal Majalla" w:cs="Sakkal Majalla"/>
          <w:sz w:val="24"/>
          <w:rtl/>
        </w:rPr>
        <w:t>، سعت الدراسة لتحليل كيف تسهم الممارسات المختلفة للموارد البشرية في الاحتفاظ بالموظفين، ضمن بيئة عمل حكومية. ركزت النتائج على أهمية ممارسات العدالة التنظيمية والتحفيز المعنوي، وربطت بين ضعف هذه الجوانب وارتفاع نية ترك العمل. تميزت هذه الدراسة بمعالجتها للعوامل النفسية التي تؤثر على القرار الوظيفي، وهو ما يعطي بُعدًا نوعيًا مهمًا للموضوع. لكنها اعتمدت على أدوات تحليل تقليدية دون التوسع في تفسير العلاقة السببية</w:t>
      </w:r>
      <w:r w:rsidRPr="00F37482">
        <w:rPr>
          <w:rFonts w:ascii="Sakkal Majalla" w:eastAsia="Arial" w:hAnsi="Sakkal Majalla" w:cs="Sakkal Majalla"/>
          <w:sz w:val="24"/>
        </w:rPr>
        <w:t>.</w:t>
      </w:r>
    </w:p>
    <w:p w14:paraId="6B368B87" w14:textId="77777777" w:rsidR="00F37482" w:rsidRPr="00F37482" w:rsidRDefault="00F37482" w:rsidP="00911D3F">
      <w:pPr>
        <w:spacing w:after="0" w:line="413" w:lineRule="auto"/>
        <w:ind w:hanging="10"/>
        <w:jc w:val="both"/>
        <w:rPr>
          <w:rFonts w:ascii="Sakkal Majalla" w:eastAsia="Arial" w:hAnsi="Sakkal Majalla" w:cs="Sakkal Majalla"/>
          <w:sz w:val="24"/>
        </w:rPr>
      </w:pPr>
      <w:r w:rsidRPr="00F37482">
        <w:rPr>
          <w:rFonts w:ascii="Sakkal Majalla" w:eastAsia="Arial" w:hAnsi="Sakkal Majalla" w:cs="Sakkal Majalla"/>
          <w:sz w:val="24"/>
          <w:rtl/>
        </w:rPr>
        <w:t>أما دراسة ناصر بن سعيد الخليفي</w:t>
      </w:r>
      <w:r w:rsidRPr="00F37482">
        <w:rPr>
          <w:rFonts w:ascii="Sakkal Majalla" w:eastAsia="Arial" w:hAnsi="Sakkal Majalla" w:cs="Sakkal Majalla"/>
          <w:sz w:val="24"/>
        </w:rPr>
        <w:t xml:space="preserve"> (2022)</w:t>
      </w:r>
      <w:r w:rsidRPr="00F37482">
        <w:rPr>
          <w:rFonts w:ascii="Sakkal Majalla" w:eastAsia="Arial" w:hAnsi="Sakkal Majalla" w:cs="Sakkal Majalla"/>
          <w:sz w:val="24"/>
          <w:rtl/>
        </w:rPr>
        <w:t xml:space="preserve">، المعنونة بـ </w:t>
      </w:r>
      <w:r w:rsidRPr="00F37482">
        <w:rPr>
          <w:rFonts w:ascii="Sakkal Majalla" w:eastAsia="Arial" w:hAnsi="Sakkal Majalla" w:cs="Sakkal Majalla"/>
          <w:sz w:val="24"/>
        </w:rPr>
        <w:t>"</w:t>
      </w:r>
      <w:r w:rsidRPr="00F37482">
        <w:rPr>
          <w:rFonts w:ascii="Sakkal Majalla" w:eastAsia="Arial" w:hAnsi="Sakkal Majalla" w:cs="Sakkal Majalla"/>
          <w:sz w:val="24"/>
          <w:rtl/>
        </w:rPr>
        <w:t>تحول دور الموارد البشرية إلى دور استراتيجي في المنظمات السعودية</w:t>
      </w:r>
      <w:r w:rsidRPr="00F37482">
        <w:rPr>
          <w:rFonts w:ascii="Sakkal Majalla" w:eastAsia="Arial" w:hAnsi="Sakkal Majalla" w:cs="Sakkal Majalla"/>
          <w:sz w:val="24"/>
        </w:rPr>
        <w:t>"</w:t>
      </w:r>
      <w:r w:rsidRPr="00F37482">
        <w:rPr>
          <w:rFonts w:ascii="Sakkal Majalla" w:eastAsia="Arial" w:hAnsi="Sakkal Majalla" w:cs="Sakkal Majalla"/>
          <w:sz w:val="24"/>
          <w:rtl/>
        </w:rPr>
        <w:t>، فقد ركزت على التحول من النموذج التقليدي في إدارة الموارد البشرية إلى النموذج الاستراتيجي، وأثر هذا التحول على استقرار الموظفين ورضاهم. في السياق السعودي، أظهرت الدراسة أن المؤسسات التي تتبنى ممارسات استراتيجية تميل إلى خفض معدلات الدوران الوظيفي. وقد تميزت الدراسة بتقديم نموذج نظري تطبيقي يناسب البيئة الخليجية. ومع ذلك، يُلاحظ أن الدراسة لم تُفصّل في آليات تطبيق هذه الممارسات على المستوى التشغيلي</w:t>
      </w:r>
      <w:r w:rsidRPr="00F37482">
        <w:rPr>
          <w:rFonts w:ascii="Sakkal Majalla" w:eastAsia="Arial" w:hAnsi="Sakkal Majalla" w:cs="Sakkal Majalla"/>
          <w:sz w:val="24"/>
        </w:rPr>
        <w:t>.</w:t>
      </w:r>
    </w:p>
    <w:p w14:paraId="2693A75D" w14:textId="77777777" w:rsidR="00F37482" w:rsidRPr="00F37482" w:rsidRDefault="00F37482" w:rsidP="00911D3F">
      <w:pPr>
        <w:spacing w:after="0" w:line="413" w:lineRule="auto"/>
        <w:ind w:hanging="10"/>
        <w:jc w:val="both"/>
        <w:rPr>
          <w:rFonts w:ascii="Sakkal Majalla" w:eastAsia="Arial" w:hAnsi="Sakkal Majalla" w:cs="Sakkal Majalla"/>
          <w:sz w:val="24"/>
        </w:rPr>
      </w:pPr>
      <w:r w:rsidRPr="00F37482">
        <w:rPr>
          <w:rFonts w:ascii="Sakkal Majalla" w:eastAsia="Arial" w:hAnsi="Sakkal Majalla" w:cs="Sakkal Majalla"/>
          <w:sz w:val="24"/>
          <w:rtl/>
        </w:rPr>
        <w:t>كما تناولت دراسة أحمد صالح السلمي</w:t>
      </w:r>
      <w:r w:rsidRPr="00F37482">
        <w:rPr>
          <w:rFonts w:ascii="Sakkal Majalla" w:eastAsia="Arial" w:hAnsi="Sakkal Majalla" w:cs="Sakkal Majalla"/>
          <w:sz w:val="24"/>
        </w:rPr>
        <w:t xml:space="preserve"> (2022) </w:t>
      </w:r>
      <w:r w:rsidRPr="00F37482">
        <w:rPr>
          <w:rFonts w:ascii="Sakkal Majalla" w:eastAsia="Arial" w:hAnsi="Sakkal Majalla" w:cs="Sakkal Majalla"/>
          <w:sz w:val="24"/>
          <w:rtl/>
        </w:rPr>
        <w:t xml:space="preserve">بعنوان </w:t>
      </w:r>
      <w:r w:rsidRPr="00F37482">
        <w:rPr>
          <w:rFonts w:ascii="Sakkal Majalla" w:eastAsia="Arial" w:hAnsi="Sakkal Majalla" w:cs="Sakkal Majalla"/>
          <w:sz w:val="24"/>
        </w:rPr>
        <w:t>"</w:t>
      </w:r>
      <w:r w:rsidRPr="00F37482">
        <w:rPr>
          <w:rFonts w:ascii="Sakkal Majalla" w:eastAsia="Arial" w:hAnsi="Sakkal Majalla" w:cs="Sakkal Majalla"/>
          <w:sz w:val="24"/>
          <w:rtl/>
        </w:rPr>
        <w:t>دور ممارسات إدارة الموارد البشرية في تحقيق الأداء المتميز</w:t>
      </w:r>
      <w:r w:rsidRPr="00F37482">
        <w:rPr>
          <w:rFonts w:ascii="Sakkal Majalla" w:eastAsia="Arial" w:hAnsi="Sakkal Majalla" w:cs="Sakkal Majalla"/>
          <w:sz w:val="24"/>
        </w:rPr>
        <w:t>"</w:t>
      </w:r>
      <w:r w:rsidRPr="00F37482">
        <w:rPr>
          <w:rFonts w:ascii="Sakkal Majalla" w:eastAsia="Arial" w:hAnsi="Sakkal Majalla" w:cs="Sakkal Majalla"/>
          <w:sz w:val="24"/>
          <w:rtl/>
        </w:rPr>
        <w:t>، العلاقة بين تطبيق الحزم الحديثة للموارد البشرية ومستوى الأداء العام في المنظمات. أظهرت النتائج أن الممارسات التي تركز على تطوير الموظف وتنميته تسهم بشكل غير مباشر في خفض الدوران من خلال رفع مستوى الالتزام والرضا. تحسب لهذه الدراسة أنها ربطت بين الأداء الوظيفي والاستبقاء الوظيفي، لكنها لم تفرد حيّزًا كافيًا لمتغيرات السوق والتنافسية الخارجية</w:t>
      </w:r>
      <w:r w:rsidRPr="00F37482">
        <w:rPr>
          <w:rFonts w:ascii="Sakkal Majalla" w:eastAsia="Arial" w:hAnsi="Sakkal Majalla" w:cs="Sakkal Majalla"/>
          <w:sz w:val="24"/>
        </w:rPr>
        <w:t>.</w:t>
      </w:r>
    </w:p>
    <w:p w14:paraId="0988753A" w14:textId="77777777" w:rsidR="00F37482" w:rsidRPr="00F37482" w:rsidRDefault="00F37482" w:rsidP="00911D3F">
      <w:pPr>
        <w:spacing w:after="0" w:line="413" w:lineRule="auto"/>
        <w:ind w:hanging="10"/>
        <w:jc w:val="both"/>
        <w:rPr>
          <w:rFonts w:ascii="Sakkal Majalla" w:eastAsia="Arial" w:hAnsi="Sakkal Majalla" w:cs="Sakkal Majalla"/>
          <w:sz w:val="24"/>
        </w:rPr>
      </w:pPr>
      <w:r w:rsidRPr="00F37482">
        <w:rPr>
          <w:rFonts w:ascii="Sakkal Majalla" w:eastAsia="Arial" w:hAnsi="Sakkal Majalla" w:cs="Sakkal Majalla"/>
          <w:sz w:val="24"/>
          <w:rtl/>
        </w:rPr>
        <w:t xml:space="preserve">وفي دراسة أكثر تركيزًا على البيئة التعليمية، قدم علاء </w:t>
      </w:r>
      <w:proofErr w:type="spellStart"/>
      <w:r w:rsidRPr="00F37482">
        <w:rPr>
          <w:rFonts w:ascii="Sakkal Majalla" w:eastAsia="Arial" w:hAnsi="Sakkal Majalla" w:cs="Sakkal Majalla"/>
          <w:sz w:val="24"/>
          <w:rtl/>
        </w:rPr>
        <w:t>الغراغير</w:t>
      </w:r>
      <w:proofErr w:type="spellEnd"/>
      <w:r w:rsidRPr="00F37482">
        <w:rPr>
          <w:rFonts w:ascii="Sakkal Majalla" w:eastAsia="Arial" w:hAnsi="Sakkal Majalla" w:cs="Sakkal Majalla"/>
          <w:sz w:val="24"/>
        </w:rPr>
        <w:t xml:space="preserve"> (2022) </w:t>
      </w:r>
      <w:r w:rsidRPr="00F37482">
        <w:rPr>
          <w:rFonts w:ascii="Sakkal Majalla" w:eastAsia="Arial" w:hAnsi="Sakkal Majalla" w:cs="Sakkal Majalla"/>
          <w:sz w:val="24"/>
          <w:rtl/>
        </w:rPr>
        <w:t xml:space="preserve">بحثًا بعنوان </w:t>
      </w:r>
      <w:r w:rsidRPr="00F37482">
        <w:rPr>
          <w:rFonts w:ascii="Sakkal Majalla" w:eastAsia="Arial" w:hAnsi="Sakkal Majalla" w:cs="Sakkal Majalla"/>
          <w:sz w:val="24"/>
        </w:rPr>
        <w:t>"</w:t>
      </w:r>
      <w:r w:rsidRPr="00F37482">
        <w:rPr>
          <w:rFonts w:ascii="Sakkal Majalla" w:eastAsia="Arial" w:hAnsi="Sakkal Majalla" w:cs="Sakkal Majalla"/>
          <w:sz w:val="24"/>
          <w:rtl/>
        </w:rPr>
        <w:t>أثر جودة ممارسات الموارد البشرية على الدوران الوظيفي في مديرية تربية لواء دير علا</w:t>
      </w:r>
      <w:r w:rsidRPr="00F37482">
        <w:rPr>
          <w:rFonts w:ascii="Sakkal Majalla" w:eastAsia="Arial" w:hAnsi="Sakkal Majalla" w:cs="Sakkal Majalla"/>
          <w:sz w:val="24"/>
        </w:rPr>
        <w:t>"</w:t>
      </w:r>
      <w:r w:rsidRPr="00F37482">
        <w:rPr>
          <w:rFonts w:ascii="Sakkal Majalla" w:eastAsia="Arial" w:hAnsi="Sakkal Majalla" w:cs="Sakkal Majalla"/>
          <w:sz w:val="24"/>
          <w:rtl/>
        </w:rPr>
        <w:t xml:space="preserve">، إذ استخدمت الدراسة أسلوبًا تحليليًا كميًا لقياس العلاقة بين جودة الممارسات (مثل الشفافية، العدالة، فرص </w:t>
      </w:r>
      <w:r w:rsidRPr="00F37482">
        <w:rPr>
          <w:rFonts w:ascii="Sakkal Majalla" w:eastAsia="Arial" w:hAnsi="Sakkal Majalla" w:cs="Sakkal Majalla"/>
          <w:sz w:val="24"/>
          <w:rtl/>
        </w:rPr>
        <w:lastRenderedPageBreak/>
        <w:t>الترقية) والدوران الفعلي. وخلصت إلى أن غياب الشفافية في التقييم والتطوير من أبرز محفزات التسرب. ما يُحسب لهذه الدراسة هو الدقة في تحليل البيانات الكمية، ولكن ما يُؤخذ عليها هو محدودية السياق العام، حيث يصعب تعميم نتائجها على القطاعات الصناعية</w:t>
      </w:r>
      <w:r w:rsidRPr="00F37482">
        <w:rPr>
          <w:rFonts w:ascii="Sakkal Majalla" w:eastAsia="Arial" w:hAnsi="Sakkal Majalla" w:cs="Sakkal Majalla"/>
          <w:sz w:val="24"/>
        </w:rPr>
        <w:t>.</w:t>
      </w:r>
    </w:p>
    <w:p w14:paraId="5305EEC3" w14:textId="77777777" w:rsidR="00F37482" w:rsidRPr="00F37482" w:rsidRDefault="00F37482" w:rsidP="00911D3F">
      <w:pPr>
        <w:spacing w:after="0" w:line="413" w:lineRule="auto"/>
        <w:ind w:hanging="10"/>
        <w:jc w:val="both"/>
        <w:rPr>
          <w:rFonts w:ascii="Sakkal Majalla" w:eastAsia="Arial" w:hAnsi="Sakkal Majalla" w:cs="Sakkal Majalla"/>
          <w:sz w:val="24"/>
        </w:rPr>
      </w:pPr>
      <w:r w:rsidRPr="00F37482">
        <w:rPr>
          <w:rFonts w:ascii="Sakkal Majalla" w:eastAsia="Arial" w:hAnsi="Sakkal Majalla" w:cs="Sakkal Majalla"/>
          <w:sz w:val="24"/>
          <w:rtl/>
        </w:rPr>
        <w:t>أمّا دراسة عادل حسن الشريف</w:t>
      </w:r>
      <w:r w:rsidRPr="00F37482">
        <w:rPr>
          <w:rFonts w:ascii="Sakkal Majalla" w:eastAsia="Arial" w:hAnsi="Sakkal Majalla" w:cs="Sakkal Majalla"/>
          <w:sz w:val="24"/>
        </w:rPr>
        <w:t xml:space="preserve"> (2023) </w:t>
      </w:r>
      <w:r w:rsidRPr="00F37482">
        <w:rPr>
          <w:rFonts w:ascii="Sakkal Majalla" w:eastAsia="Arial" w:hAnsi="Sakkal Majalla" w:cs="Sakkal Majalla"/>
          <w:sz w:val="24"/>
          <w:rtl/>
        </w:rPr>
        <w:t xml:space="preserve">المعنونة بـ </w:t>
      </w:r>
      <w:r w:rsidRPr="00F37482">
        <w:rPr>
          <w:rFonts w:ascii="Sakkal Majalla" w:eastAsia="Arial" w:hAnsi="Sakkal Majalla" w:cs="Sakkal Majalla"/>
          <w:sz w:val="24"/>
        </w:rPr>
        <w:t>"</w:t>
      </w:r>
      <w:r w:rsidRPr="00F37482">
        <w:rPr>
          <w:rFonts w:ascii="Sakkal Majalla" w:eastAsia="Arial" w:hAnsi="Sakkal Majalla" w:cs="Sakkal Majalla"/>
          <w:sz w:val="24"/>
          <w:rtl/>
        </w:rPr>
        <w:t>العلاقة بين ممارسات الموارد البشرية والاستغراق الوظيفي في المنظمات الصناعية</w:t>
      </w:r>
      <w:r w:rsidRPr="00F37482">
        <w:rPr>
          <w:rFonts w:ascii="Sakkal Majalla" w:eastAsia="Arial" w:hAnsi="Sakkal Majalla" w:cs="Sakkal Majalla"/>
          <w:sz w:val="24"/>
        </w:rPr>
        <w:t xml:space="preserve">" </w:t>
      </w:r>
      <w:r w:rsidRPr="00F37482">
        <w:rPr>
          <w:rFonts w:ascii="Sakkal Majalla" w:eastAsia="Arial" w:hAnsi="Sakkal Majalla" w:cs="Sakkal Majalla"/>
          <w:sz w:val="24"/>
          <w:rtl/>
        </w:rPr>
        <w:t>فقد سعت إلى فهم التأثير غير المباشر لممارسات الموارد البشرية على الدوران الوظيفي من خلال متغير الاستغراق الوظيفي. وقد أظهرت النتائج أن تعزيز الشعور بالاندماج في العمل يقلل من النية لترك الوظيفة. امتازت هذه الدراسة بالربط بين متغيرات نفسية وتنظيمية معًا، ما يُعد نقطة قوة، لكن يظل ضعف التغطية القطاعية أحد نواقصها</w:t>
      </w:r>
      <w:r w:rsidRPr="00F37482">
        <w:rPr>
          <w:rFonts w:ascii="Sakkal Majalla" w:eastAsia="Arial" w:hAnsi="Sakkal Majalla" w:cs="Sakkal Majalla"/>
          <w:sz w:val="24"/>
        </w:rPr>
        <w:t>.</w:t>
      </w:r>
    </w:p>
    <w:p w14:paraId="25A58DA0" w14:textId="77777777" w:rsidR="00F37482" w:rsidRPr="00F37482" w:rsidRDefault="00F37482" w:rsidP="00911D3F">
      <w:pPr>
        <w:spacing w:after="0" w:line="413" w:lineRule="auto"/>
        <w:ind w:hanging="10"/>
        <w:jc w:val="both"/>
        <w:rPr>
          <w:rFonts w:ascii="Sakkal Majalla" w:eastAsia="Arial" w:hAnsi="Sakkal Majalla" w:cs="Sakkal Majalla"/>
          <w:sz w:val="24"/>
        </w:rPr>
      </w:pPr>
      <w:r w:rsidRPr="00F37482">
        <w:rPr>
          <w:rFonts w:ascii="Sakkal Majalla" w:eastAsia="Arial" w:hAnsi="Sakkal Majalla" w:cs="Sakkal Majalla"/>
          <w:sz w:val="24"/>
          <w:rtl/>
        </w:rPr>
        <w:t>وأخيرًا، تقدم ماجد محمد عبد الجواد</w:t>
      </w:r>
      <w:r w:rsidRPr="00F37482">
        <w:rPr>
          <w:rFonts w:ascii="Sakkal Majalla" w:eastAsia="Arial" w:hAnsi="Sakkal Majalla" w:cs="Sakkal Majalla"/>
          <w:sz w:val="24"/>
        </w:rPr>
        <w:t xml:space="preserve"> (2023) </w:t>
      </w:r>
      <w:r w:rsidRPr="00F37482">
        <w:rPr>
          <w:rFonts w:ascii="Sakkal Majalla" w:eastAsia="Arial" w:hAnsi="Sakkal Majalla" w:cs="Sakkal Majalla"/>
          <w:sz w:val="24"/>
          <w:rtl/>
        </w:rPr>
        <w:t xml:space="preserve">في دراسته </w:t>
      </w:r>
      <w:r w:rsidRPr="00F37482">
        <w:rPr>
          <w:rFonts w:ascii="Sakkal Majalla" w:eastAsia="Arial" w:hAnsi="Sakkal Majalla" w:cs="Sakkal Majalla"/>
          <w:sz w:val="24"/>
        </w:rPr>
        <w:t>"</w:t>
      </w:r>
      <w:r w:rsidRPr="00F37482">
        <w:rPr>
          <w:rFonts w:ascii="Sakkal Majalla" w:eastAsia="Arial" w:hAnsi="Sakkal Majalla" w:cs="Sakkal Majalla"/>
          <w:sz w:val="24"/>
          <w:rtl/>
        </w:rPr>
        <w:t>دور ممارسات الموارد البشرية في تعزيز رضا الموظفين والحد من التسرب الوظيفي</w:t>
      </w:r>
      <w:r w:rsidRPr="00F37482">
        <w:rPr>
          <w:rFonts w:ascii="Sakkal Majalla" w:eastAsia="Arial" w:hAnsi="Sakkal Majalla" w:cs="Sakkal Majalla"/>
          <w:sz w:val="24"/>
        </w:rPr>
        <w:t xml:space="preserve">" </w:t>
      </w:r>
      <w:r w:rsidRPr="00F37482">
        <w:rPr>
          <w:rFonts w:ascii="Sakkal Majalla" w:eastAsia="Arial" w:hAnsi="Sakkal Majalla" w:cs="Sakkal Majalla"/>
          <w:sz w:val="24"/>
          <w:rtl/>
        </w:rPr>
        <w:t>تحليلًا شاملًا للبيئة التنظيمية في بعض المؤسسات السعودية. كشفت الدراسة أن توفير بيئة عمل داعمة والتواصل الإداري الفعّال هما عنصران حاسمان في خفض الدوران الوظيفي. وتُحسب للدراسة شموليّتها في تناول أبعاد متعددة، لكنها لم تقدم نموذجًا إحصائيًا متكاملًا لقياس التأثيرات المتبادلة</w:t>
      </w:r>
      <w:r w:rsidRPr="00F37482">
        <w:rPr>
          <w:rFonts w:ascii="Sakkal Majalla" w:eastAsia="Arial" w:hAnsi="Sakkal Majalla" w:cs="Sakkal Majalla"/>
          <w:sz w:val="24"/>
        </w:rPr>
        <w:t>.</w:t>
      </w:r>
    </w:p>
    <w:p w14:paraId="69DA69E2" w14:textId="1844C46A" w:rsidR="00F37482" w:rsidRPr="00F37482" w:rsidRDefault="00F37482" w:rsidP="00911D3F">
      <w:pPr>
        <w:spacing w:after="0" w:line="413" w:lineRule="auto"/>
        <w:ind w:hanging="10"/>
        <w:jc w:val="both"/>
        <w:rPr>
          <w:rFonts w:ascii="Sakkal Majalla" w:eastAsia="Arial" w:hAnsi="Sakkal Majalla" w:cs="Sakkal Majalla"/>
          <w:sz w:val="24"/>
        </w:rPr>
      </w:pPr>
      <w:r w:rsidRPr="00F37482">
        <w:rPr>
          <w:rFonts w:ascii="Sakkal Majalla" w:eastAsia="Arial" w:hAnsi="Sakkal Majalla" w:cs="Sakkal Majalla"/>
          <w:sz w:val="24"/>
          <w:rtl/>
        </w:rPr>
        <w:t xml:space="preserve">تناولت دراسة سُهام </w:t>
      </w:r>
      <w:proofErr w:type="spellStart"/>
      <w:r w:rsidRPr="00F37482">
        <w:rPr>
          <w:rFonts w:ascii="Sakkal Majalla" w:eastAsia="Arial" w:hAnsi="Sakkal Majalla" w:cs="Sakkal Majalla"/>
          <w:sz w:val="24"/>
          <w:rtl/>
        </w:rPr>
        <w:t>العصميل</w:t>
      </w:r>
      <w:proofErr w:type="spellEnd"/>
      <w:r w:rsidRPr="00F37482">
        <w:rPr>
          <w:rFonts w:ascii="Sakkal Majalla" w:eastAsia="Arial" w:hAnsi="Sakkal Majalla" w:cs="Sakkal Majalla"/>
          <w:sz w:val="24"/>
        </w:rPr>
        <w:t xml:space="preserve"> (2023) </w:t>
      </w:r>
      <w:r w:rsidRPr="00F37482">
        <w:rPr>
          <w:rFonts w:ascii="Sakkal Majalla" w:eastAsia="Arial" w:hAnsi="Sakkal Majalla" w:cs="Sakkal Majalla"/>
          <w:sz w:val="24"/>
          <w:rtl/>
        </w:rPr>
        <w:t xml:space="preserve">أثر ممارسات إدارة الموارد البشرية على السلوكيات الوظيفية للعاملين في القطاع الصناعي السعودي، ولا سيما في قطاعات توليد الطاقة، والاتصالات، واستكشاف الغاز، والبتروكيماويات. هدفت الدراسة إلى تحليل العلاقة بين تطبيق ممارسات الموارد البشرية مثل التدريب، والتحفيز، والتقييم، </w:t>
      </w:r>
      <w:proofErr w:type="gramStart"/>
      <w:r w:rsidRPr="00F37482">
        <w:rPr>
          <w:rFonts w:ascii="Sakkal Majalla" w:eastAsia="Arial" w:hAnsi="Sakkal Majalla" w:cs="Sakkal Majalla"/>
          <w:sz w:val="24"/>
          <w:rtl/>
        </w:rPr>
        <w:t xml:space="preserve">ومستوى الالتزام </w:t>
      </w:r>
      <w:proofErr w:type="gramEnd"/>
      <w:r w:rsidRPr="00F37482">
        <w:rPr>
          <w:rFonts w:ascii="Sakkal Majalla" w:eastAsia="Arial" w:hAnsi="Sakkal Majalla" w:cs="Sakkal Majalla"/>
          <w:sz w:val="24"/>
          <w:rtl/>
        </w:rPr>
        <w:t xml:space="preserve">والأداء والإنتاجية. وأظهرت النتائج وجود علاقة إيجابية قوية بين ممارسات الموارد البشرية وكل من الالتزام التنظيمي والأداء، بينما وُجدت علاقة سلبية بين هذه الممارسات وبين معدلات الدوران والسلوكيات السلبية كالتغيب والتنمر الوظيفي. تُحسب لهذه الدراسة شموليتها للقطاع الصناعي الأوسع في السعودية، غير أن ما يُؤخذ عليها هو محدودية التعميم بسبب الاقتصار على عينة من 300 موظف فقط </w:t>
      </w:r>
      <w:r w:rsidRPr="00F37482">
        <w:rPr>
          <w:rFonts w:eastAsia="Arial"/>
          <w:sz w:val="24"/>
        </w:rPr>
        <w:t>(</w:t>
      </w:r>
      <w:proofErr w:type="spellStart"/>
      <w:r w:rsidRPr="00F37482">
        <w:rPr>
          <w:rFonts w:eastAsia="Arial"/>
          <w:sz w:val="24"/>
        </w:rPr>
        <w:t>Alismail</w:t>
      </w:r>
      <w:proofErr w:type="spellEnd"/>
      <w:r w:rsidRPr="00F37482">
        <w:rPr>
          <w:rFonts w:eastAsia="Arial"/>
          <w:sz w:val="24"/>
        </w:rPr>
        <w:t>, 2023)</w:t>
      </w:r>
      <w:r w:rsidRPr="00F37482">
        <w:rPr>
          <w:rFonts w:ascii="Sakkal Majalla" w:eastAsia="Arial" w:hAnsi="Sakkal Majalla" w:cs="Sakkal Majalla"/>
          <w:sz w:val="24"/>
        </w:rPr>
        <w:t>.</w:t>
      </w:r>
    </w:p>
    <w:p w14:paraId="7B1CE4F4" w14:textId="043468A4" w:rsidR="00F37482" w:rsidRPr="00F37482" w:rsidRDefault="00F37482" w:rsidP="00911D3F">
      <w:pPr>
        <w:spacing w:after="0" w:line="413" w:lineRule="auto"/>
        <w:ind w:hanging="10"/>
        <w:jc w:val="both"/>
        <w:rPr>
          <w:rFonts w:ascii="Sakkal Majalla" w:eastAsia="Arial" w:hAnsi="Sakkal Majalla" w:cs="Sakkal Majalla"/>
          <w:sz w:val="24"/>
        </w:rPr>
      </w:pPr>
      <w:r w:rsidRPr="00F37482">
        <w:rPr>
          <w:rFonts w:ascii="Sakkal Majalla" w:eastAsia="Arial" w:hAnsi="Sakkal Majalla" w:cs="Sakkal Majalla"/>
          <w:sz w:val="24"/>
          <w:rtl/>
        </w:rPr>
        <w:t xml:space="preserve">أما دراسة العتيبي </w:t>
      </w:r>
      <w:proofErr w:type="spellStart"/>
      <w:r w:rsidRPr="00F37482">
        <w:rPr>
          <w:rFonts w:ascii="Sakkal Majalla" w:eastAsia="Arial" w:hAnsi="Sakkal Majalla" w:cs="Sakkal Majalla"/>
          <w:sz w:val="24"/>
          <w:rtl/>
        </w:rPr>
        <w:t>والقهطمي</w:t>
      </w:r>
      <w:proofErr w:type="spellEnd"/>
      <w:r w:rsidRPr="00F37482">
        <w:rPr>
          <w:rFonts w:ascii="Sakkal Majalla" w:eastAsia="Arial" w:hAnsi="Sakkal Majalla" w:cs="Sakkal Majalla"/>
          <w:sz w:val="24"/>
        </w:rPr>
        <w:t xml:space="preserve"> (2023) </w:t>
      </w:r>
      <w:r w:rsidRPr="00F37482">
        <w:rPr>
          <w:rFonts w:ascii="Sakkal Majalla" w:eastAsia="Arial" w:hAnsi="Sakkal Majalla" w:cs="Sakkal Majalla"/>
          <w:sz w:val="24"/>
          <w:rtl/>
        </w:rPr>
        <w:t xml:space="preserve">فقد ركزت على نظام الموارد البشرية القائم على الالتزام العالي، وتأثيره في نية ترك العمل داخل الشركات السعودية. أظهرت النتائج أن تبني ممارسات موارد بشرية تُعزز الالتزام العاطفي لدى العاملين يسهم في خفض نية ترك العمل، في حين أن عبء العمل الزائد يضعف هذا التأثير. تميزت الدراسة بتسليط الضوء على الدور الوسيط للالتزام العاطفي بين ممارسات الموارد البشرية والدوران الوظيفي، غير أن محدودية العينة (82 موظفًا فقط) تُعد من أبرز القيود المنهجية فيها </w:t>
      </w:r>
      <w:r w:rsidRPr="00F37482">
        <w:rPr>
          <w:rFonts w:eastAsia="Arial"/>
          <w:sz w:val="24"/>
        </w:rPr>
        <w:t>(</w:t>
      </w:r>
      <w:proofErr w:type="spellStart"/>
      <w:r w:rsidRPr="00F37482">
        <w:rPr>
          <w:rFonts w:eastAsia="Arial"/>
          <w:sz w:val="24"/>
        </w:rPr>
        <w:t>Alotaibi</w:t>
      </w:r>
      <w:proofErr w:type="spellEnd"/>
      <w:r w:rsidRPr="00F37482">
        <w:rPr>
          <w:rFonts w:eastAsia="Arial"/>
          <w:sz w:val="24"/>
        </w:rPr>
        <w:t xml:space="preserve"> &amp; </w:t>
      </w:r>
      <w:proofErr w:type="spellStart"/>
      <w:r w:rsidRPr="00F37482">
        <w:rPr>
          <w:rFonts w:eastAsia="Arial"/>
          <w:sz w:val="24"/>
        </w:rPr>
        <w:t>Algethami</w:t>
      </w:r>
      <w:proofErr w:type="spellEnd"/>
      <w:r w:rsidRPr="00F37482">
        <w:rPr>
          <w:rFonts w:eastAsia="Arial"/>
          <w:sz w:val="24"/>
        </w:rPr>
        <w:t>, 2023)</w:t>
      </w:r>
      <w:r w:rsidRPr="00F37482">
        <w:rPr>
          <w:rFonts w:ascii="Sakkal Majalla" w:eastAsia="Arial" w:hAnsi="Sakkal Majalla" w:cs="Sakkal Majalla"/>
          <w:sz w:val="24"/>
        </w:rPr>
        <w:t>.</w:t>
      </w:r>
    </w:p>
    <w:p w14:paraId="1E886D63" w14:textId="21339848" w:rsidR="00F37482" w:rsidRPr="00F37482" w:rsidRDefault="00F37482" w:rsidP="00911D3F">
      <w:pPr>
        <w:spacing w:after="0" w:line="413" w:lineRule="auto"/>
        <w:ind w:hanging="10"/>
        <w:jc w:val="both"/>
        <w:rPr>
          <w:rFonts w:ascii="Sakkal Majalla" w:eastAsia="Arial" w:hAnsi="Sakkal Majalla" w:cs="Sakkal Majalla"/>
          <w:sz w:val="24"/>
        </w:rPr>
      </w:pPr>
      <w:r w:rsidRPr="00F37482">
        <w:rPr>
          <w:rFonts w:ascii="Sakkal Majalla" w:eastAsia="Arial" w:hAnsi="Sakkal Majalla" w:cs="Sakkal Majalla"/>
          <w:sz w:val="24"/>
          <w:rtl/>
        </w:rPr>
        <w:t xml:space="preserve">وقد تناولت دراسة </w:t>
      </w:r>
      <w:proofErr w:type="spellStart"/>
      <w:r w:rsidRPr="00F37482">
        <w:rPr>
          <w:rFonts w:ascii="Sakkal Majalla" w:eastAsia="Arial" w:hAnsi="Sakkal Majalla" w:cs="Sakkal Majalla"/>
          <w:sz w:val="24"/>
          <w:rtl/>
        </w:rPr>
        <w:t>الجهاني</w:t>
      </w:r>
      <w:proofErr w:type="spellEnd"/>
      <w:r w:rsidRPr="00F37482">
        <w:rPr>
          <w:rFonts w:ascii="Sakkal Majalla" w:eastAsia="Arial" w:hAnsi="Sakkal Majalla" w:cs="Sakkal Majalla"/>
          <w:sz w:val="24"/>
        </w:rPr>
        <w:t xml:space="preserve"> (2018) </w:t>
      </w:r>
      <w:r w:rsidRPr="00F37482">
        <w:rPr>
          <w:rFonts w:ascii="Sakkal Majalla" w:eastAsia="Arial" w:hAnsi="Sakkal Majalla" w:cs="Sakkal Majalla"/>
          <w:sz w:val="24"/>
          <w:rtl/>
        </w:rPr>
        <w:t xml:space="preserve">العلاقة بين الموارد الوظيفية (مثل دعم المشرفين وفرص التعلم والتغذية الراجعة) ونية ترك العمل، مع اختبار الدور الوسيط للاندماج الوظيفي بين المتغيرين. أجريت الدراسة على 320 ممرضة في الهيئة الملكية بينبع، وأثبتت أن ارتفاع مستوى </w:t>
      </w:r>
      <w:r w:rsidRPr="00F37482">
        <w:rPr>
          <w:rFonts w:ascii="Sakkal Majalla" w:eastAsia="Arial" w:hAnsi="Sakkal Majalla" w:cs="Sakkal Majalla"/>
          <w:sz w:val="24"/>
          <w:rtl/>
        </w:rPr>
        <w:lastRenderedPageBreak/>
        <w:t xml:space="preserve">الاندماج الوظيفي يقلل من نية ترك العمل بشكل ملموس. ما يُحسب للدراسة هو ربطها بين بيئة العمل الصحية ومستوى الاستقرار الوظيفي، بينما يُؤخذ عليها اقتصارها على قطاع صحي واحد مما يقلل من تعميم نتائجها </w:t>
      </w:r>
      <w:r w:rsidRPr="00F37482">
        <w:rPr>
          <w:rFonts w:eastAsia="Arial"/>
          <w:sz w:val="24"/>
        </w:rPr>
        <w:t>(Aljohani, 2018)</w:t>
      </w:r>
      <w:r w:rsidRPr="00F37482">
        <w:rPr>
          <w:rFonts w:ascii="Sakkal Majalla" w:eastAsia="Arial" w:hAnsi="Sakkal Majalla" w:cs="Sakkal Majalla"/>
          <w:sz w:val="24"/>
        </w:rPr>
        <w:t>.</w:t>
      </w:r>
    </w:p>
    <w:p w14:paraId="72D93578" w14:textId="3F2ADEDB" w:rsidR="00F37482" w:rsidRPr="00F37482" w:rsidRDefault="00F37482" w:rsidP="00911D3F">
      <w:pPr>
        <w:spacing w:after="0" w:line="413" w:lineRule="auto"/>
        <w:ind w:hanging="10"/>
        <w:jc w:val="both"/>
        <w:rPr>
          <w:rFonts w:ascii="Sakkal Majalla" w:eastAsia="Arial" w:hAnsi="Sakkal Majalla" w:cs="Sakkal Majalla"/>
          <w:sz w:val="24"/>
        </w:rPr>
      </w:pPr>
      <w:r w:rsidRPr="00F37482">
        <w:rPr>
          <w:rFonts w:ascii="Sakkal Majalla" w:eastAsia="Arial" w:hAnsi="Sakkal Majalla" w:cs="Sakkal Majalla"/>
          <w:sz w:val="24"/>
          <w:rtl/>
        </w:rPr>
        <w:t xml:space="preserve">كما أجرت </w:t>
      </w:r>
      <w:proofErr w:type="spellStart"/>
      <w:r w:rsidRPr="00F37482">
        <w:rPr>
          <w:rFonts w:ascii="Sakkal Majalla" w:eastAsia="Arial" w:hAnsi="Sakkal Majalla" w:cs="Sakkal Majalla"/>
          <w:sz w:val="24"/>
          <w:rtl/>
        </w:rPr>
        <w:t>سواعدان</w:t>
      </w:r>
      <w:proofErr w:type="spellEnd"/>
      <w:r w:rsidRPr="00F37482">
        <w:rPr>
          <w:rFonts w:ascii="Sakkal Majalla" w:eastAsia="Arial" w:hAnsi="Sakkal Majalla" w:cs="Sakkal Majalla"/>
          <w:sz w:val="24"/>
          <w:rtl/>
        </w:rPr>
        <w:t xml:space="preserve"> وآخرون</w:t>
      </w:r>
      <w:r w:rsidRPr="00F37482">
        <w:rPr>
          <w:rFonts w:ascii="Sakkal Majalla" w:eastAsia="Arial" w:hAnsi="Sakkal Majalla" w:cs="Sakkal Majalla"/>
          <w:sz w:val="24"/>
        </w:rPr>
        <w:t xml:space="preserve"> (2022) </w:t>
      </w:r>
      <w:r w:rsidRPr="00F37482">
        <w:rPr>
          <w:rFonts w:ascii="Sakkal Majalla" w:eastAsia="Arial" w:hAnsi="Sakkal Majalla" w:cs="Sakkal Majalla"/>
          <w:sz w:val="24"/>
          <w:rtl/>
        </w:rPr>
        <w:t>دراسة لتحليل تأثير الدعم التنظيمي والمناخ الأخلاقي على نية ترك العمل في بيئات العمل السعودية، مع اختبار الدور الوسيط للرضا الوظيفي. بينت النتائج أن كلاً من الدعم التنظيمي والمناخ الأخلاقي له تأثير إيجابي في الرضا الوظيفي، وأن هذا الرضا يقلل نية ترك العمل. تسهم الدراسة في دعم نظرية التبادل الاجتماعي في تفسير العلاقة، إلا أن الاعتماد على بيانات ذاتية (</w:t>
      </w:r>
      <w:proofErr w:type="gramStart"/>
      <w:r w:rsidRPr="00F37482">
        <w:rPr>
          <w:rFonts w:ascii="Sakkal Majalla" w:eastAsia="Arial" w:hAnsi="Sakkal Majalla" w:cs="Sakkal Majalla"/>
          <w:sz w:val="24"/>
          <w:rtl/>
        </w:rPr>
        <w:t>استبيان</w:t>
      </w:r>
      <w:proofErr w:type="gramEnd"/>
      <w:r w:rsidRPr="00F37482">
        <w:rPr>
          <w:rFonts w:ascii="Sakkal Majalla" w:eastAsia="Arial" w:hAnsi="Sakkal Majalla" w:cs="Sakkal Majalla"/>
          <w:sz w:val="24"/>
          <w:rtl/>
        </w:rPr>
        <w:t xml:space="preserve"> إلكتروني) يمثل أحد حدودها المنهجية </w:t>
      </w:r>
      <w:r w:rsidRPr="00F37482">
        <w:rPr>
          <w:rFonts w:eastAsia="Arial"/>
          <w:sz w:val="24"/>
        </w:rPr>
        <w:t>(</w:t>
      </w:r>
      <w:proofErr w:type="spellStart"/>
      <w:r w:rsidRPr="00F37482">
        <w:rPr>
          <w:rFonts w:eastAsia="Arial"/>
          <w:sz w:val="24"/>
        </w:rPr>
        <w:t>Suwaidan</w:t>
      </w:r>
      <w:proofErr w:type="spellEnd"/>
      <w:r w:rsidRPr="00F37482">
        <w:rPr>
          <w:rFonts w:eastAsia="Arial"/>
          <w:sz w:val="24"/>
        </w:rPr>
        <w:t xml:space="preserve"> </w:t>
      </w:r>
      <w:proofErr w:type="spellStart"/>
      <w:r w:rsidRPr="00F37482">
        <w:rPr>
          <w:rFonts w:eastAsia="Arial"/>
          <w:sz w:val="24"/>
        </w:rPr>
        <w:t>et</w:t>
      </w:r>
      <w:proofErr w:type="spellEnd"/>
      <w:r w:rsidRPr="00F37482">
        <w:rPr>
          <w:rFonts w:eastAsia="Arial"/>
          <w:sz w:val="24"/>
        </w:rPr>
        <w:t xml:space="preserve"> </w:t>
      </w:r>
      <w:proofErr w:type="spellStart"/>
      <w:r w:rsidRPr="00F37482">
        <w:rPr>
          <w:rFonts w:eastAsia="Arial"/>
          <w:sz w:val="24"/>
        </w:rPr>
        <w:t>al</w:t>
      </w:r>
      <w:proofErr w:type="spellEnd"/>
      <w:r w:rsidRPr="00F37482">
        <w:rPr>
          <w:rFonts w:eastAsia="Arial"/>
          <w:sz w:val="24"/>
        </w:rPr>
        <w:t>., 2022)</w:t>
      </w:r>
      <w:r w:rsidRPr="00F37482">
        <w:rPr>
          <w:rFonts w:ascii="Sakkal Majalla" w:eastAsia="Arial" w:hAnsi="Sakkal Majalla" w:cs="Sakkal Majalla"/>
          <w:sz w:val="24"/>
        </w:rPr>
        <w:t>.</w:t>
      </w:r>
    </w:p>
    <w:p w14:paraId="11E539E1" w14:textId="605E0F1B" w:rsidR="00F37482" w:rsidRPr="00F37482" w:rsidRDefault="00F37482" w:rsidP="00911D3F">
      <w:pPr>
        <w:spacing w:after="0" w:line="413" w:lineRule="auto"/>
        <w:ind w:hanging="10"/>
        <w:jc w:val="both"/>
        <w:rPr>
          <w:rFonts w:ascii="Sakkal Majalla" w:eastAsia="Arial" w:hAnsi="Sakkal Majalla" w:cs="Sakkal Majalla"/>
          <w:sz w:val="24"/>
        </w:rPr>
      </w:pPr>
      <w:r w:rsidRPr="00F37482">
        <w:rPr>
          <w:rFonts w:ascii="Sakkal Majalla" w:eastAsia="Arial" w:hAnsi="Sakkal Majalla" w:cs="Sakkal Majalla"/>
          <w:sz w:val="24"/>
          <w:rtl/>
        </w:rPr>
        <w:t xml:space="preserve">وفي دراسة </w:t>
      </w:r>
      <w:proofErr w:type="spellStart"/>
      <w:r w:rsidRPr="00F37482">
        <w:rPr>
          <w:rFonts w:ascii="Sakkal Majalla" w:eastAsia="Arial" w:hAnsi="Sakkal Majalla" w:cs="Sakkal Majalla"/>
          <w:sz w:val="24"/>
          <w:rtl/>
        </w:rPr>
        <w:t>الصلّامي</w:t>
      </w:r>
      <w:proofErr w:type="spellEnd"/>
      <w:r w:rsidRPr="00F37482">
        <w:rPr>
          <w:rFonts w:ascii="Sakkal Majalla" w:eastAsia="Arial" w:hAnsi="Sakkal Majalla" w:cs="Sakkal Majalla"/>
          <w:sz w:val="24"/>
          <w:rtl/>
        </w:rPr>
        <w:t xml:space="preserve"> والقرني</w:t>
      </w:r>
      <w:r w:rsidRPr="00F37482">
        <w:rPr>
          <w:rFonts w:ascii="Sakkal Majalla" w:eastAsia="Arial" w:hAnsi="Sakkal Majalla" w:cs="Sakkal Majalla"/>
          <w:sz w:val="24"/>
        </w:rPr>
        <w:t xml:space="preserve"> (2023) </w:t>
      </w:r>
      <w:r w:rsidRPr="00F37482">
        <w:rPr>
          <w:rFonts w:ascii="Sakkal Majalla" w:eastAsia="Arial" w:hAnsi="Sakkal Majalla" w:cs="Sakkal Majalla"/>
          <w:sz w:val="24"/>
          <w:rtl/>
        </w:rPr>
        <w:t xml:space="preserve">جرى تحليل العلاقة بين التدريب ونية ترك العمل في القطاع الخاص السعودي. خلصت النتائج إلى أن توافر فرص التدريب وإدراك الموظف لفوائدها يسهمان في تقليل نية ترك العمل وتعزيز الرضا الوظيفي. وتُعد هذه الدراسة من أوائل الدراسات التي تناولت التدريب كعامل رئيسي في تفسير الدوران في القطاع الخاص، غير أن عينة الدراسة (120 موظفًا) لا تمثل كل الأنشطة الاقتصادية في المملكة </w:t>
      </w:r>
      <w:r w:rsidRPr="00F37482">
        <w:rPr>
          <w:rFonts w:eastAsia="Arial"/>
          <w:sz w:val="24"/>
        </w:rPr>
        <w:t>(</w:t>
      </w:r>
      <w:proofErr w:type="spellStart"/>
      <w:r w:rsidRPr="00F37482">
        <w:rPr>
          <w:rFonts w:eastAsia="Arial"/>
          <w:sz w:val="24"/>
        </w:rPr>
        <w:t>Alsulami</w:t>
      </w:r>
      <w:proofErr w:type="spellEnd"/>
      <w:r w:rsidRPr="00F37482">
        <w:rPr>
          <w:rFonts w:eastAsia="Arial"/>
          <w:sz w:val="24"/>
        </w:rPr>
        <w:t xml:space="preserve"> &amp; </w:t>
      </w:r>
      <w:proofErr w:type="spellStart"/>
      <w:r w:rsidRPr="00F37482">
        <w:rPr>
          <w:rFonts w:eastAsia="Arial"/>
          <w:sz w:val="24"/>
        </w:rPr>
        <w:t>Alqarni</w:t>
      </w:r>
      <w:proofErr w:type="spellEnd"/>
      <w:r w:rsidRPr="00F37482">
        <w:rPr>
          <w:rFonts w:eastAsia="Arial"/>
          <w:sz w:val="24"/>
        </w:rPr>
        <w:t>, 2023)</w:t>
      </w:r>
      <w:r w:rsidRPr="00F37482">
        <w:rPr>
          <w:rFonts w:ascii="Sakkal Majalla" w:eastAsia="Arial" w:hAnsi="Sakkal Majalla" w:cs="Sakkal Majalla"/>
          <w:sz w:val="24"/>
        </w:rPr>
        <w:t>.</w:t>
      </w:r>
    </w:p>
    <w:p w14:paraId="21EA14D4" w14:textId="4BC31E32" w:rsidR="00F37482" w:rsidRPr="00F37482" w:rsidRDefault="00F37482" w:rsidP="00911D3F">
      <w:pPr>
        <w:spacing w:after="0" w:line="413" w:lineRule="auto"/>
        <w:ind w:hanging="10"/>
        <w:jc w:val="both"/>
        <w:rPr>
          <w:rFonts w:ascii="Sakkal Majalla" w:eastAsia="Arial" w:hAnsi="Sakkal Majalla" w:cs="Sakkal Majalla"/>
          <w:sz w:val="24"/>
        </w:rPr>
      </w:pPr>
      <w:r w:rsidRPr="00F37482">
        <w:rPr>
          <w:rFonts w:ascii="Sakkal Majalla" w:eastAsia="Arial" w:hAnsi="Sakkal Majalla" w:cs="Sakkal Majalla"/>
          <w:sz w:val="24"/>
          <w:rtl/>
        </w:rPr>
        <w:t>وفي السياق ذاته، استهدفت دراسة الشمري وآخرين</w:t>
      </w:r>
      <w:r w:rsidRPr="00F37482">
        <w:rPr>
          <w:rFonts w:ascii="Sakkal Majalla" w:eastAsia="Arial" w:hAnsi="Sakkal Majalla" w:cs="Sakkal Majalla"/>
          <w:sz w:val="24"/>
        </w:rPr>
        <w:t xml:space="preserve"> (2021) </w:t>
      </w:r>
      <w:r w:rsidRPr="00F37482">
        <w:rPr>
          <w:rFonts w:ascii="Sakkal Majalla" w:eastAsia="Arial" w:hAnsi="Sakkal Majalla" w:cs="Sakkal Majalla"/>
          <w:sz w:val="24"/>
          <w:rtl/>
        </w:rPr>
        <w:t xml:space="preserve">تحليل أسباب دوران الممرضين الأجانب العاملين في المستشفيات السعودية. أظهرت النتائج أن العوامل الأكثر تأثيرًا في قرار المغادرة تشمل الأجور، وساعات العمل، ونقص التقدير، وضعف المرافق السكنية، وأن تحسين بيئة العمل والدعم الإداري يقللان من معدلات الدوران. يُحسب للدراسة دقتها في تحديد العوامل المهنية والاجتماعية المرتبطة بالدوران، لكن يُؤخذ عليها تركيزها على فئة الوافدين دون مقارنة بالموظفين المحليين </w:t>
      </w:r>
      <w:r w:rsidRPr="00F37482">
        <w:rPr>
          <w:rFonts w:eastAsia="Arial"/>
          <w:sz w:val="24"/>
        </w:rPr>
        <w:t>(</w:t>
      </w:r>
      <w:proofErr w:type="spellStart"/>
      <w:r w:rsidRPr="00F37482">
        <w:rPr>
          <w:rFonts w:eastAsia="Arial"/>
          <w:sz w:val="24"/>
        </w:rPr>
        <w:t>Alreshidi</w:t>
      </w:r>
      <w:proofErr w:type="spellEnd"/>
      <w:r w:rsidRPr="00F37482">
        <w:rPr>
          <w:rFonts w:eastAsia="Arial"/>
          <w:sz w:val="24"/>
        </w:rPr>
        <w:t xml:space="preserve"> </w:t>
      </w:r>
      <w:proofErr w:type="spellStart"/>
      <w:r w:rsidRPr="00F37482">
        <w:rPr>
          <w:rFonts w:eastAsia="Arial"/>
          <w:sz w:val="24"/>
        </w:rPr>
        <w:t>et</w:t>
      </w:r>
      <w:proofErr w:type="spellEnd"/>
      <w:r w:rsidRPr="00F37482">
        <w:rPr>
          <w:rFonts w:eastAsia="Arial"/>
          <w:sz w:val="24"/>
        </w:rPr>
        <w:t xml:space="preserve"> </w:t>
      </w:r>
      <w:proofErr w:type="spellStart"/>
      <w:r w:rsidRPr="00F37482">
        <w:rPr>
          <w:rFonts w:eastAsia="Arial"/>
          <w:sz w:val="24"/>
        </w:rPr>
        <w:t>al</w:t>
      </w:r>
      <w:proofErr w:type="spellEnd"/>
      <w:r w:rsidRPr="00F37482">
        <w:rPr>
          <w:rFonts w:eastAsia="Arial"/>
          <w:sz w:val="24"/>
        </w:rPr>
        <w:t>., 2021)</w:t>
      </w:r>
      <w:r w:rsidRPr="00F37482">
        <w:rPr>
          <w:rFonts w:ascii="Sakkal Majalla" w:eastAsia="Arial" w:hAnsi="Sakkal Majalla" w:cs="Sakkal Majalla"/>
          <w:sz w:val="24"/>
        </w:rPr>
        <w:t>.</w:t>
      </w:r>
    </w:p>
    <w:p w14:paraId="2C2DC350" w14:textId="5CFFFD61" w:rsidR="00F37482" w:rsidRPr="00F37482" w:rsidRDefault="00F37482" w:rsidP="00911D3F">
      <w:pPr>
        <w:spacing w:after="0" w:line="413" w:lineRule="auto"/>
        <w:ind w:hanging="10"/>
        <w:jc w:val="both"/>
        <w:rPr>
          <w:rFonts w:ascii="Sakkal Majalla" w:eastAsia="Arial" w:hAnsi="Sakkal Majalla" w:cs="Sakkal Majalla"/>
          <w:sz w:val="24"/>
        </w:rPr>
      </w:pPr>
      <w:r w:rsidRPr="00F37482">
        <w:rPr>
          <w:rFonts w:ascii="Sakkal Majalla" w:eastAsia="Arial" w:hAnsi="Sakkal Majalla" w:cs="Sakkal Majalla"/>
          <w:sz w:val="24"/>
          <w:rtl/>
        </w:rPr>
        <w:t>وفي دراسة القاضي</w:t>
      </w:r>
      <w:r w:rsidRPr="00F37482">
        <w:rPr>
          <w:rFonts w:ascii="Sakkal Majalla" w:eastAsia="Arial" w:hAnsi="Sakkal Majalla" w:cs="Sakkal Majalla"/>
          <w:sz w:val="24"/>
        </w:rPr>
        <w:t xml:space="preserve"> (2017) </w:t>
      </w:r>
      <w:r w:rsidRPr="00F37482">
        <w:rPr>
          <w:rFonts w:ascii="Sakkal Majalla" w:eastAsia="Arial" w:hAnsi="Sakkal Majalla" w:cs="Sakkal Majalla"/>
          <w:sz w:val="24"/>
          <w:rtl/>
        </w:rPr>
        <w:t xml:space="preserve">على البنوك الخاصة السعودية، تم تحليل أثر ممارسات الموارد البشرية مثل التدريب، التقييم، العمل الجماعي، المشاركة، والتعويضات على الرضا الوظيفي. أظهرت النتائج أن جميع الممارسات باستثناء التدريب كان لها أثر إيجابي في الرضا، وأن الرضا بدوره عامل رئيسي في تقليل نية ترك العمل. امتازت الدراسة بتطبيقها نموذجاً إحصائياً متعدد المتغيرات، بينما اقتصرت على قطاع واحد دون تحليل الفروق بين المؤسسات </w:t>
      </w:r>
      <w:r w:rsidRPr="00F37482">
        <w:rPr>
          <w:rFonts w:eastAsia="Arial"/>
          <w:sz w:val="24"/>
        </w:rPr>
        <w:t>(</w:t>
      </w:r>
      <w:proofErr w:type="spellStart"/>
      <w:r w:rsidRPr="00F37482">
        <w:rPr>
          <w:rFonts w:eastAsia="Arial"/>
          <w:sz w:val="24"/>
        </w:rPr>
        <w:t>Qazi</w:t>
      </w:r>
      <w:proofErr w:type="spellEnd"/>
      <w:r w:rsidRPr="00F37482">
        <w:rPr>
          <w:rFonts w:eastAsia="Arial"/>
          <w:sz w:val="24"/>
        </w:rPr>
        <w:t>, 2017)</w:t>
      </w:r>
      <w:r w:rsidRPr="00F37482">
        <w:rPr>
          <w:rFonts w:ascii="Sakkal Majalla" w:eastAsia="Arial" w:hAnsi="Sakkal Majalla" w:cs="Sakkal Majalla"/>
          <w:sz w:val="24"/>
        </w:rPr>
        <w:t>.</w:t>
      </w:r>
    </w:p>
    <w:p w14:paraId="72AA93AD" w14:textId="43F4BE36" w:rsidR="00F37482" w:rsidRPr="00F37482" w:rsidRDefault="00F37482" w:rsidP="00911D3F">
      <w:pPr>
        <w:spacing w:after="0" w:line="413" w:lineRule="auto"/>
        <w:ind w:hanging="10"/>
        <w:jc w:val="both"/>
        <w:rPr>
          <w:rFonts w:ascii="Sakkal Majalla" w:eastAsia="Arial" w:hAnsi="Sakkal Majalla" w:cs="Sakkal Majalla"/>
          <w:sz w:val="24"/>
        </w:rPr>
      </w:pPr>
      <w:r w:rsidRPr="00F37482">
        <w:rPr>
          <w:rFonts w:ascii="Sakkal Majalla" w:eastAsia="Arial" w:hAnsi="Sakkal Majalla" w:cs="Sakkal Majalla"/>
          <w:sz w:val="24"/>
          <w:rtl/>
        </w:rPr>
        <w:t>كما ركزت دراسة محمد</w:t>
      </w:r>
      <w:r w:rsidRPr="00F37482">
        <w:rPr>
          <w:rFonts w:ascii="Sakkal Majalla" w:eastAsia="Arial" w:hAnsi="Sakkal Majalla" w:cs="Sakkal Majalla"/>
          <w:sz w:val="24"/>
        </w:rPr>
        <w:t xml:space="preserve"> (2013) </w:t>
      </w:r>
      <w:r w:rsidRPr="00F37482">
        <w:rPr>
          <w:rFonts w:ascii="Sakkal Majalla" w:eastAsia="Arial" w:hAnsi="Sakkal Majalla" w:cs="Sakkal Majalla"/>
          <w:sz w:val="24"/>
          <w:rtl/>
        </w:rPr>
        <w:t xml:space="preserve">على ممارسات الاستقطاب والاختيار والاحتفاظ في المؤسسات الصغيرة والمتوسطة المملوكة لعائلات سعودية. بينت النتائج أن غياب الأقسام المتخصصة في الموارد البشرية وضعف السياسات الرسمية يؤدي إلى ارتفاع معدلات الدوران، وأن تحسين نظم التوظيف والتعويضات يساعد على الاستبقاء. ما يُحسب للدراسة هو تناولها واقع قطاع مهم في الاقتصاد السعودي، غير أن محدودية أدوات القياس تجعلها وصفية أكثر من تحليلية </w:t>
      </w:r>
      <w:r w:rsidRPr="00F37482">
        <w:rPr>
          <w:rFonts w:eastAsia="Arial"/>
          <w:sz w:val="24"/>
        </w:rPr>
        <w:t>(</w:t>
      </w:r>
      <w:proofErr w:type="spellStart"/>
      <w:r w:rsidRPr="00F37482">
        <w:rPr>
          <w:rFonts w:eastAsia="Arial"/>
          <w:sz w:val="24"/>
        </w:rPr>
        <w:t>Mohammad</w:t>
      </w:r>
      <w:proofErr w:type="spellEnd"/>
      <w:r w:rsidRPr="00F37482">
        <w:rPr>
          <w:rFonts w:eastAsia="Arial"/>
          <w:sz w:val="24"/>
        </w:rPr>
        <w:t>, 2013)</w:t>
      </w:r>
      <w:r w:rsidRPr="00F37482">
        <w:rPr>
          <w:rFonts w:ascii="Sakkal Majalla" w:eastAsia="Arial" w:hAnsi="Sakkal Majalla" w:cs="Sakkal Majalla"/>
          <w:sz w:val="24"/>
        </w:rPr>
        <w:t>.</w:t>
      </w:r>
    </w:p>
    <w:p w14:paraId="14F035DB" w14:textId="4ADF5FC2" w:rsidR="00F37482" w:rsidRPr="00F37482" w:rsidRDefault="00F37482" w:rsidP="00911D3F">
      <w:pPr>
        <w:spacing w:after="0" w:line="413" w:lineRule="auto"/>
        <w:ind w:hanging="10"/>
        <w:jc w:val="both"/>
        <w:rPr>
          <w:rFonts w:ascii="Sakkal Majalla" w:eastAsia="Arial" w:hAnsi="Sakkal Majalla" w:cs="Sakkal Majalla"/>
          <w:sz w:val="24"/>
        </w:rPr>
      </w:pPr>
      <w:r w:rsidRPr="00F37482">
        <w:rPr>
          <w:rFonts w:ascii="Sakkal Majalla" w:eastAsia="Arial" w:hAnsi="Sakkal Majalla" w:cs="Sakkal Majalla"/>
          <w:sz w:val="24"/>
          <w:rtl/>
        </w:rPr>
        <w:lastRenderedPageBreak/>
        <w:t>أخيراً، تناولت دراسة أحمد الماطر</w:t>
      </w:r>
      <w:r w:rsidRPr="00F37482">
        <w:rPr>
          <w:rFonts w:ascii="Sakkal Majalla" w:eastAsia="Arial" w:hAnsi="Sakkal Majalla" w:cs="Sakkal Majalla"/>
          <w:sz w:val="24"/>
        </w:rPr>
        <w:t xml:space="preserve"> (2022) </w:t>
      </w:r>
      <w:r w:rsidRPr="00F37482">
        <w:rPr>
          <w:rFonts w:ascii="Sakkal Majalla" w:eastAsia="Arial" w:hAnsi="Sakkal Majalla" w:cs="Sakkal Majalla"/>
          <w:sz w:val="24"/>
          <w:rtl/>
        </w:rPr>
        <w:t xml:space="preserve">أثر ممارسات الموارد البشرية الاستراتيجية على أداء المؤسسات الصغيرة والمتوسطة في المنطقة الشرقية. خلصت إلى وجود علاقة إيجابية بين عمليات الاستقطاب والتدريب والتعويضات وبين الأداء التنظيمي، مشيرة إلى أن ضعف تطبيق هذه الممارسات يؤدي إلى ضعف الالتزام وارتفاع الدوران. تتميز الدراسة بتركيزها على البعد الاستراتيجي للموارد البشرية في المنشآت الصغيرة، إلا أنها لم تختبر متغير الدوران </w:t>
      </w:r>
      <w:proofErr w:type="gramStart"/>
      <w:r w:rsidRPr="00F37482">
        <w:rPr>
          <w:rFonts w:ascii="Sakkal Majalla" w:eastAsia="Arial" w:hAnsi="Sakkal Majalla" w:cs="Sakkal Majalla"/>
          <w:sz w:val="24"/>
          <w:rtl/>
        </w:rPr>
        <w:t>مباشرة</w:t>
      </w:r>
      <w:proofErr w:type="gramEnd"/>
      <w:r w:rsidRPr="00F37482">
        <w:rPr>
          <w:rFonts w:ascii="Sakkal Majalla" w:eastAsia="Arial" w:hAnsi="Sakkal Majalla" w:cs="Sakkal Majalla"/>
          <w:sz w:val="24"/>
          <w:rtl/>
        </w:rPr>
        <w:t xml:space="preserve"> بل ضمن مؤشرات الأداء العامة </w:t>
      </w:r>
      <w:r w:rsidRPr="00F37482">
        <w:rPr>
          <w:rFonts w:eastAsia="Arial"/>
          <w:sz w:val="24"/>
        </w:rPr>
        <w:t>(</w:t>
      </w:r>
      <w:proofErr w:type="spellStart"/>
      <w:r w:rsidRPr="00F37482">
        <w:rPr>
          <w:rFonts w:eastAsia="Arial"/>
          <w:sz w:val="24"/>
        </w:rPr>
        <w:t>Almatter</w:t>
      </w:r>
      <w:proofErr w:type="spellEnd"/>
      <w:r w:rsidRPr="00F37482">
        <w:rPr>
          <w:rFonts w:eastAsia="Arial"/>
          <w:sz w:val="24"/>
        </w:rPr>
        <w:t>, 2022)</w:t>
      </w:r>
      <w:r w:rsidRPr="00F37482">
        <w:rPr>
          <w:rFonts w:ascii="Sakkal Majalla" w:eastAsia="Arial" w:hAnsi="Sakkal Majalla" w:cs="Sakkal Majalla"/>
          <w:sz w:val="24"/>
        </w:rPr>
        <w:t>.</w:t>
      </w:r>
    </w:p>
    <w:p w14:paraId="29C71F90" w14:textId="5F412D6E" w:rsidR="00F37482" w:rsidRPr="00F37482" w:rsidRDefault="00F37482" w:rsidP="00911D3F">
      <w:pPr>
        <w:spacing w:after="0" w:line="413" w:lineRule="auto"/>
        <w:ind w:hanging="10"/>
        <w:jc w:val="both"/>
        <w:rPr>
          <w:rFonts w:ascii="Sakkal Majalla" w:eastAsia="Arial" w:hAnsi="Sakkal Majalla" w:cs="Sakkal Majalla"/>
          <w:sz w:val="24"/>
        </w:rPr>
      </w:pPr>
      <w:r w:rsidRPr="00F37482">
        <w:rPr>
          <w:rFonts w:ascii="Sakkal Majalla" w:eastAsia="Arial" w:hAnsi="Sakkal Majalla" w:cs="Sakkal Majalla"/>
          <w:sz w:val="24"/>
          <w:rtl/>
        </w:rPr>
        <w:t xml:space="preserve">تُعد دراسة </w:t>
      </w:r>
      <w:proofErr w:type="spellStart"/>
      <w:r w:rsidRPr="00F37482">
        <w:rPr>
          <w:rFonts w:ascii="Sakkal Majalla" w:eastAsia="Arial" w:hAnsi="Sakkal Majalla" w:cs="Sakkal Majalla"/>
          <w:sz w:val="24"/>
          <w:rtl/>
        </w:rPr>
        <w:t>جهانزيب</w:t>
      </w:r>
      <w:proofErr w:type="spellEnd"/>
      <w:r w:rsidRPr="00F37482">
        <w:rPr>
          <w:rFonts w:ascii="Sakkal Majalla" w:eastAsia="Arial" w:hAnsi="Sakkal Majalla" w:cs="Sakkal Majalla"/>
          <w:sz w:val="24"/>
          <w:rtl/>
        </w:rPr>
        <w:t xml:space="preserve"> وراشد</w:t>
      </w:r>
      <w:r w:rsidRPr="00F37482">
        <w:rPr>
          <w:rFonts w:ascii="Sakkal Majalla" w:eastAsia="Arial" w:hAnsi="Sakkal Majalla" w:cs="Sakkal Majalla"/>
          <w:sz w:val="24"/>
        </w:rPr>
        <w:t xml:space="preserve"> (2013) </w:t>
      </w:r>
      <w:r w:rsidRPr="00F37482">
        <w:rPr>
          <w:rFonts w:ascii="Sakkal Majalla" w:eastAsia="Arial" w:hAnsi="Sakkal Majalla" w:cs="Sakkal Majalla"/>
          <w:sz w:val="24"/>
          <w:rtl/>
        </w:rPr>
        <w:t xml:space="preserve">من الدراسات الرائدة التي بحثت العلاقة بين الالتزام التنظيمي ونية ترك العمل في القطاع الخاص السعودي، مع التركيز على أثر التدريب في تعزيز الالتزام وتقليل الدوران. شملت العينة 251 موظفًا من مؤسسات سعودية خاصة، وأظهرت النتائج وجود علاقة سلبية قوية بين الالتزام التنظيمي ونية ترك العمل، في حين تبين أن التدريب يسهم في رفع مستوى الالتزام الوظيفي، مما يؤدي بدوره إلى تقليل نية المغادرة. تُحسب لهذه الدراسة دقتها في اختبار النماذج النظرية باستخدام تحليل المسار، غير أنها تقتصر على القطاع الخاص فقط، مما يحد من التعميم على قطاعات أخرى </w:t>
      </w:r>
      <w:r w:rsidRPr="00F37482">
        <w:rPr>
          <w:rFonts w:eastAsia="Arial"/>
          <w:sz w:val="24"/>
        </w:rPr>
        <w:t>(</w:t>
      </w:r>
      <w:proofErr w:type="spellStart"/>
      <w:r w:rsidRPr="00F37482">
        <w:rPr>
          <w:rFonts w:eastAsia="Arial"/>
          <w:sz w:val="24"/>
        </w:rPr>
        <w:t>Jehanzeb</w:t>
      </w:r>
      <w:proofErr w:type="spellEnd"/>
      <w:r w:rsidRPr="00F37482">
        <w:rPr>
          <w:rFonts w:eastAsia="Arial"/>
          <w:sz w:val="24"/>
        </w:rPr>
        <w:t xml:space="preserve"> &amp; </w:t>
      </w:r>
      <w:proofErr w:type="spellStart"/>
      <w:r w:rsidRPr="00F37482">
        <w:rPr>
          <w:rFonts w:eastAsia="Arial"/>
          <w:sz w:val="24"/>
        </w:rPr>
        <w:t>Rasheed</w:t>
      </w:r>
      <w:proofErr w:type="spellEnd"/>
      <w:r w:rsidRPr="00F37482">
        <w:rPr>
          <w:rFonts w:eastAsia="Arial"/>
          <w:sz w:val="24"/>
        </w:rPr>
        <w:t>, 2013)</w:t>
      </w:r>
      <w:r w:rsidRPr="00F37482">
        <w:rPr>
          <w:rFonts w:ascii="Sakkal Majalla" w:eastAsia="Arial" w:hAnsi="Sakkal Majalla" w:cs="Sakkal Majalla"/>
          <w:sz w:val="24"/>
        </w:rPr>
        <w:t>.</w:t>
      </w:r>
    </w:p>
    <w:p w14:paraId="57129C3F" w14:textId="56381A17" w:rsidR="00F37482" w:rsidRPr="00F37482" w:rsidRDefault="00F37482" w:rsidP="00911D3F">
      <w:pPr>
        <w:spacing w:after="0" w:line="413" w:lineRule="auto"/>
        <w:ind w:hanging="10"/>
        <w:jc w:val="both"/>
        <w:rPr>
          <w:rFonts w:ascii="Sakkal Majalla" w:eastAsia="Arial" w:hAnsi="Sakkal Majalla" w:cs="Sakkal Majalla"/>
          <w:sz w:val="24"/>
        </w:rPr>
      </w:pPr>
      <w:r w:rsidRPr="00F37482">
        <w:rPr>
          <w:rFonts w:ascii="Sakkal Majalla" w:eastAsia="Arial" w:hAnsi="Sakkal Majalla" w:cs="Sakkal Majalla"/>
          <w:sz w:val="24"/>
          <w:rtl/>
        </w:rPr>
        <w:t xml:space="preserve">وفي دراسة </w:t>
      </w:r>
      <w:proofErr w:type="spellStart"/>
      <w:r w:rsidRPr="00F37482">
        <w:rPr>
          <w:rFonts w:ascii="Sakkal Majalla" w:eastAsia="Arial" w:hAnsi="Sakkal Majalla" w:cs="Sakkal Majalla"/>
          <w:sz w:val="24"/>
          <w:rtl/>
        </w:rPr>
        <w:t>الرايح</w:t>
      </w:r>
      <w:proofErr w:type="spellEnd"/>
      <w:r w:rsidRPr="00F37482">
        <w:rPr>
          <w:rFonts w:ascii="Sakkal Majalla" w:eastAsia="Arial" w:hAnsi="Sakkal Majalla" w:cs="Sakkal Majalla"/>
          <w:sz w:val="24"/>
          <w:rtl/>
        </w:rPr>
        <w:t xml:space="preserve"> ومبخوت</w:t>
      </w:r>
      <w:r w:rsidRPr="00F37482">
        <w:rPr>
          <w:rFonts w:ascii="Sakkal Majalla" w:eastAsia="Arial" w:hAnsi="Sakkal Majalla" w:cs="Sakkal Majalla"/>
          <w:sz w:val="24"/>
        </w:rPr>
        <w:t xml:space="preserve"> (2023) </w:t>
      </w:r>
      <w:r w:rsidRPr="00F37482">
        <w:rPr>
          <w:rFonts w:ascii="Sakkal Majalla" w:eastAsia="Arial" w:hAnsi="Sakkal Majalla" w:cs="Sakkal Majalla"/>
          <w:sz w:val="24"/>
          <w:rtl/>
        </w:rPr>
        <w:t xml:space="preserve">تناول الباحثان أثر الالتزام التنظيمي على نية ترك العمل في القطاع الحكومي السعودي مع اختبار دور الرضا الوظيفي وبيئة العمل كوسيطين. توصلت النتائج إلى أن الالتزام التنظيمي يؤثر سلبًا على نية ترك العمل، وأن الرضا الوظيفي وبيئة العمل يخففان من العلاقة السلبية بين الالتزام والدوران. هذه الدراسة أضافت بعدًا إداريًا مهما من خلال اقتراح تدخلات لتحسين بيئة العمل لرفع الرضا، غير أن اعتمادها على عينة محدودة من موظفي القطاع الحكومي يقيد إمكانية تعميم النتائج </w:t>
      </w:r>
      <w:r w:rsidRPr="00F37482">
        <w:rPr>
          <w:rFonts w:eastAsia="Arial"/>
          <w:sz w:val="24"/>
        </w:rPr>
        <w:t>(</w:t>
      </w:r>
      <w:proofErr w:type="spellStart"/>
      <w:r w:rsidRPr="00F37482">
        <w:rPr>
          <w:rFonts w:eastAsia="Arial"/>
          <w:sz w:val="24"/>
        </w:rPr>
        <w:t>Elrayah</w:t>
      </w:r>
      <w:proofErr w:type="spellEnd"/>
      <w:r w:rsidRPr="00F37482">
        <w:rPr>
          <w:rFonts w:eastAsia="Arial"/>
          <w:sz w:val="24"/>
        </w:rPr>
        <w:t xml:space="preserve"> &amp; </w:t>
      </w:r>
      <w:proofErr w:type="spellStart"/>
      <w:r w:rsidRPr="00F37482">
        <w:rPr>
          <w:rFonts w:eastAsia="Arial"/>
          <w:sz w:val="24"/>
        </w:rPr>
        <w:t>Mabkhot</w:t>
      </w:r>
      <w:proofErr w:type="spellEnd"/>
      <w:r w:rsidRPr="00F37482">
        <w:rPr>
          <w:rFonts w:eastAsia="Arial"/>
          <w:sz w:val="24"/>
        </w:rPr>
        <w:t>, 2023)</w:t>
      </w:r>
      <w:r w:rsidRPr="00F37482">
        <w:rPr>
          <w:rFonts w:ascii="Sakkal Majalla" w:eastAsia="Arial" w:hAnsi="Sakkal Majalla" w:cs="Sakkal Majalla"/>
          <w:sz w:val="24"/>
        </w:rPr>
        <w:t>.</w:t>
      </w:r>
    </w:p>
    <w:p w14:paraId="0000FAED" w14:textId="0360049C" w:rsidR="00F37482" w:rsidRPr="00F37482" w:rsidRDefault="00F37482" w:rsidP="00911D3F">
      <w:pPr>
        <w:spacing w:after="0" w:line="413" w:lineRule="auto"/>
        <w:ind w:hanging="10"/>
        <w:jc w:val="both"/>
        <w:rPr>
          <w:rFonts w:ascii="Sakkal Majalla" w:eastAsia="Arial" w:hAnsi="Sakkal Majalla" w:cs="Sakkal Majalla"/>
          <w:sz w:val="24"/>
        </w:rPr>
      </w:pPr>
      <w:r w:rsidRPr="00F37482">
        <w:rPr>
          <w:rFonts w:ascii="Sakkal Majalla" w:eastAsia="Arial" w:hAnsi="Sakkal Majalla" w:cs="Sakkal Majalla"/>
          <w:sz w:val="24"/>
          <w:rtl/>
        </w:rPr>
        <w:t xml:space="preserve">كما درست </w:t>
      </w:r>
      <w:proofErr w:type="spellStart"/>
      <w:r w:rsidRPr="00F37482">
        <w:rPr>
          <w:rFonts w:ascii="Sakkal Majalla" w:eastAsia="Arial" w:hAnsi="Sakkal Majalla" w:cs="Sakkal Majalla"/>
          <w:sz w:val="24"/>
          <w:rtl/>
        </w:rPr>
        <w:t>القبيلي</w:t>
      </w:r>
      <w:proofErr w:type="spellEnd"/>
      <w:r w:rsidRPr="00F37482">
        <w:rPr>
          <w:rFonts w:ascii="Sakkal Majalla" w:eastAsia="Arial" w:hAnsi="Sakkal Majalla" w:cs="Sakkal Majalla"/>
          <w:sz w:val="24"/>
          <w:rtl/>
        </w:rPr>
        <w:t xml:space="preserve"> والنعساني</w:t>
      </w:r>
      <w:r w:rsidRPr="00F37482">
        <w:rPr>
          <w:rFonts w:ascii="Sakkal Majalla" w:eastAsia="Arial" w:hAnsi="Sakkal Majalla" w:cs="Sakkal Majalla"/>
          <w:sz w:val="24"/>
        </w:rPr>
        <w:t xml:space="preserve"> (2023) </w:t>
      </w:r>
      <w:r w:rsidRPr="00F37482">
        <w:rPr>
          <w:rFonts w:ascii="Sakkal Majalla" w:eastAsia="Arial" w:hAnsi="Sakkal Majalla" w:cs="Sakkal Majalla"/>
          <w:sz w:val="24"/>
          <w:rtl/>
        </w:rPr>
        <w:t xml:space="preserve">العلاقة بين التوافق القيمي بين الموظف والمنظمة ونية ترك العمل، مع اختبار الدور الوسيط للعدالة التنظيمية والرضا الوظيفي. أظهرت النتائج أن التوافق القيمي يرفع من العدالة المدركة والرضا، مما يقلل من نية ترك العمل. وتبرز أهمية هذه الدراسة في إبرازها لمفهوم العقد النفسي غير المكتوب بين العامل والمنظمة، لكنها لم تتناول مباشرة أثر الممارسات الإدارية في تشكيل هذا التوافق </w:t>
      </w:r>
      <w:r w:rsidRPr="00F37482">
        <w:rPr>
          <w:rFonts w:eastAsia="Arial"/>
          <w:sz w:val="24"/>
        </w:rPr>
        <w:t>(</w:t>
      </w:r>
      <w:proofErr w:type="spellStart"/>
      <w:r w:rsidRPr="00F37482">
        <w:rPr>
          <w:rFonts w:eastAsia="Arial"/>
          <w:sz w:val="24"/>
        </w:rPr>
        <w:t>Al-Qubaili</w:t>
      </w:r>
      <w:proofErr w:type="spellEnd"/>
      <w:r w:rsidRPr="00F37482">
        <w:rPr>
          <w:rFonts w:eastAsia="Arial"/>
          <w:sz w:val="24"/>
        </w:rPr>
        <w:t xml:space="preserve"> &amp; </w:t>
      </w:r>
      <w:proofErr w:type="spellStart"/>
      <w:r w:rsidRPr="00F37482">
        <w:rPr>
          <w:rFonts w:eastAsia="Arial"/>
          <w:sz w:val="24"/>
        </w:rPr>
        <w:t>Al-Nassani</w:t>
      </w:r>
      <w:proofErr w:type="spellEnd"/>
      <w:r w:rsidRPr="00F37482">
        <w:rPr>
          <w:rFonts w:eastAsia="Arial"/>
          <w:sz w:val="24"/>
        </w:rPr>
        <w:t>, 2023)</w:t>
      </w:r>
      <w:r w:rsidRPr="00F37482">
        <w:rPr>
          <w:rFonts w:ascii="Sakkal Majalla" w:eastAsia="Arial" w:hAnsi="Sakkal Majalla" w:cs="Sakkal Majalla"/>
          <w:sz w:val="24"/>
        </w:rPr>
        <w:t>.</w:t>
      </w:r>
    </w:p>
    <w:p w14:paraId="40A70800" w14:textId="1F9F30C9" w:rsidR="00F37482" w:rsidRPr="00F37482" w:rsidRDefault="00F37482" w:rsidP="00911D3F">
      <w:pPr>
        <w:spacing w:after="0" w:line="413" w:lineRule="auto"/>
        <w:ind w:hanging="10"/>
        <w:jc w:val="both"/>
        <w:rPr>
          <w:rFonts w:ascii="Sakkal Majalla" w:eastAsia="Arial" w:hAnsi="Sakkal Majalla" w:cs="Sakkal Majalla"/>
          <w:sz w:val="24"/>
        </w:rPr>
      </w:pPr>
      <w:r w:rsidRPr="00F37482">
        <w:rPr>
          <w:rFonts w:ascii="Sakkal Majalla" w:eastAsia="Arial" w:hAnsi="Sakkal Majalla" w:cs="Sakkal Majalla"/>
          <w:sz w:val="24"/>
          <w:rtl/>
        </w:rPr>
        <w:t xml:space="preserve">وفي السياق ذاته، ناقشت دراسة </w:t>
      </w:r>
      <w:proofErr w:type="spellStart"/>
      <w:r w:rsidRPr="00F37482">
        <w:rPr>
          <w:rFonts w:ascii="Sakkal Majalla" w:eastAsia="Arial" w:hAnsi="Sakkal Majalla" w:cs="Sakkal Majalla"/>
          <w:sz w:val="24"/>
          <w:rtl/>
        </w:rPr>
        <w:t>سواعدان</w:t>
      </w:r>
      <w:proofErr w:type="spellEnd"/>
      <w:r w:rsidRPr="00F37482">
        <w:rPr>
          <w:rFonts w:ascii="Sakkal Majalla" w:eastAsia="Arial" w:hAnsi="Sakkal Majalla" w:cs="Sakkal Majalla"/>
          <w:sz w:val="24"/>
          <w:rtl/>
        </w:rPr>
        <w:t xml:space="preserve"> وآخرين</w:t>
      </w:r>
      <w:r w:rsidRPr="00F37482">
        <w:rPr>
          <w:rFonts w:ascii="Sakkal Majalla" w:eastAsia="Arial" w:hAnsi="Sakkal Majalla" w:cs="Sakkal Majalla"/>
          <w:sz w:val="24"/>
        </w:rPr>
        <w:t xml:space="preserve"> (2022) </w:t>
      </w:r>
      <w:r w:rsidRPr="00F37482">
        <w:rPr>
          <w:rFonts w:ascii="Sakkal Majalla" w:eastAsia="Arial" w:hAnsi="Sakkal Majalla" w:cs="Sakkal Majalla"/>
          <w:sz w:val="24"/>
          <w:rtl/>
        </w:rPr>
        <w:t xml:space="preserve">أثر الدعم التنظيمي والمناخ الأخلاقي على نية ترك العمل من خلال الرضا الوظيفي كوسيط. أكدت النتائج أن الدعم التنظيمي القوي والمناخ الأخلاقي الإيجابي يرفعان من مستوى الرضا ويقللان نية ترك العمل، مما يدعم فرضية نظرية التبادل الاجتماعي في تفسير العلاقة. تميزت هذه الدراسة بإدماجها لمتغيرات سلوكية أخلاقية جديدة في الأدبيات الإدارية السعودية </w:t>
      </w:r>
      <w:r w:rsidRPr="00F37482">
        <w:rPr>
          <w:rFonts w:eastAsia="Arial"/>
          <w:sz w:val="24"/>
        </w:rPr>
        <w:t>(</w:t>
      </w:r>
      <w:proofErr w:type="spellStart"/>
      <w:r w:rsidRPr="00F37482">
        <w:rPr>
          <w:rFonts w:eastAsia="Arial"/>
          <w:sz w:val="24"/>
        </w:rPr>
        <w:t>Suwaidan</w:t>
      </w:r>
      <w:proofErr w:type="spellEnd"/>
      <w:r w:rsidRPr="00F37482">
        <w:rPr>
          <w:rFonts w:eastAsia="Arial"/>
          <w:sz w:val="24"/>
        </w:rPr>
        <w:t xml:space="preserve"> </w:t>
      </w:r>
      <w:proofErr w:type="spellStart"/>
      <w:r w:rsidRPr="00F37482">
        <w:rPr>
          <w:rFonts w:eastAsia="Arial"/>
          <w:sz w:val="24"/>
        </w:rPr>
        <w:t>et</w:t>
      </w:r>
      <w:proofErr w:type="spellEnd"/>
      <w:r w:rsidRPr="00F37482">
        <w:rPr>
          <w:rFonts w:eastAsia="Arial"/>
          <w:sz w:val="24"/>
        </w:rPr>
        <w:t xml:space="preserve"> </w:t>
      </w:r>
      <w:proofErr w:type="spellStart"/>
      <w:r w:rsidRPr="00F37482">
        <w:rPr>
          <w:rFonts w:eastAsia="Arial"/>
          <w:sz w:val="24"/>
        </w:rPr>
        <w:t>al</w:t>
      </w:r>
      <w:proofErr w:type="spellEnd"/>
      <w:r w:rsidRPr="00F37482">
        <w:rPr>
          <w:rFonts w:eastAsia="Arial"/>
          <w:sz w:val="24"/>
        </w:rPr>
        <w:t>., 2022)</w:t>
      </w:r>
      <w:r w:rsidRPr="00F37482">
        <w:rPr>
          <w:rFonts w:ascii="Sakkal Majalla" w:eastAsia="Arial" w:hAnsi="Sakkal Majalla" w:cs="Sakkal Majalla"/>
          <w:sz w:val="24"/>
        </w:rPr>
        <w:t>.</w:t>
      </w:r>
    </w:p>
    <w:p w14:paraId="62EAC0CA" w14:textId="37A8B0D3" w:rsidR="00F37482" w:rsidRPr="00F37482" w:rsidRDefault="00F37482" w:rsidP="00911D3F">
      <w:pPr>
        <w:spacing w:after="0" w:line="413" w:lineRule="auto"/>
        <w:ind w:hanging="10"/>
        <w:jc w:val="both"/>
        <w:rPr>
          <w:rFonts w:ascii="Sakkal Majalla" w:eastAsia="Arial" w:hAnsi="Sakkal Majalla" w:cs="Sakkal Majalla"/>
          <w:sz w:val="24"/>
        </w:rPr>
      </w:pPr>
      <w:r w:rsidRPr="00F37482">
        <w:rPr>
          <w:rFonts w:ascii="Sakkal Majalla" w:eastAsia="Arial" w:hAnsi="Sakkal Majalla" w:cs="Sakkal Majalla"/>
          <w:sz w:val="24"/>
          <w:rtl/>
        </w:rPr>
        <w:lastRenderedPageBreak/>
        <w:t xml:space="preserve">أما دراسة </w:t>
      </w:r>
      <w:proofErr w:type="spellStart"/>
      <w:r w:rsidRPr="00F37482">
        <w:rPr>
          <w:rFonts w:ascii="Sakkal Majalla" w:eastAsia="Arial" w:hAnsi="Sakkal Majalla" w:cs="Sakkal Majalla"/>
          <w:sz w:val="24"/>
          <w:rtl/>
        </w:rPr>
        <w:t>النصّاني</w:t>
      </w:r>
      <w:proofErr w:type="spellEnd"/>
      <w:r w:rsidRPr="00F37482">
        <w:rPr>
          <w:rFonts w:ascii="Sakkal Majalla" w:eastAsia="Arial" w:hAnsi="Sakkal Majalla" w:cs="Sakkal Majalla"/>
          <w:sz w:val="24"/>
          <w:rtl/>
        </w:rPr>
        <w:t xml:space="preserve"> والتويجري</w:t>
      </w:r>
      <w:r w:rsidRPr="00F37482">
        <w:rPr>
          <w:rFonts w:ascii="Sakkal Majalla" w:eastAsia="Arial" w:hAnsi="Sakkal Majalla" w:cs="Sakkal Majalla"/>
          <w:sz w:val="24"/>
        </w:rPr>
        <w:t xml:space="preserve"> (2021) </w:t>
      </w:r>
      <w:r w:rsidRPr="00F37482">
        <w:rPr>
          <w:rFonts w:ascii="Sakkal Majalla" w:eastAsia="Arial" w:hAnsi="Sakkal Majalla" w:cs="Sakkal Majalla"/>
          <w:sz w:val="24"/>
          <w:rtl/>
        </w:rPr>
        <w:t xml:space="preserve">فقد حللت تأثير ثقافة التعلم التنظيمي على الرضا والالتزام ونية ترك العمل في القطاع الخاص السعودي. خلصت النتائج إلى أن ثقافة التعلم تؤثر إيجابًا في الرضا والالتزام، وسلبًا في نية ترك العمل، ما يعني أن بيئة التعلم النشطة تسهم في رفع الاستقرار الوظيفي. غير أن الدراسة أشارت إلى ضعف الارتباط في بعض الحالات بين الالتزام ونية المغادرة، مما يعكس احتمالية وجود متغيرات وسيطة لم تُختبر بعد </w:t>
      </w:r>
      <w:r w:rsidRPr="00F37482">
        <w:rPr>
          <w:rFonts w:eastAsia="Arial"/>
          <w:sz w:val="24"/>
        </w:rPr>
        <w:t>(</w:t>
      </w:r>
      <w:proofErr w:type="spellStart"/>
      <w:r w:rsidRPr="00F37482">
        <w:rPr>
          <w:rFonts w:eastAsia="Arial"/>
          <w:sz w:val="24"/>
        </w:rPr>
        <w:t>Nassani</w:t>
      </w:r>
      <w:proofErr w:type="spellEnd"/>
      <w:r w:rsidRPr="00F37482">
        <w:rPr>
          <w:rFonts w:eastAsia="Arial"/>
          <w:sz w:val="24"/>
        </w:rPr>
        <w:t xml:space="preserve"> &amp; </w:t>
      </w:r>
      <w:proofErr w:type="spellStart"/>
      <w:r w:rsidRPr="00F37482">
        <w:rPr>
          <w:rFonts w:eastAsia="Arial"/>
          <w:sz w:val="24"/>
        </w:rPr>
        <w:t>Altuwaijri</w:t>
      </w:r>
      <w:proofErr w:type="spellEnd"/>
      <w:r w:rsidRPr="00F37482">
        <w:rPr>
          <w:rFonts w:eastAsia="Arial"/>
          <w:sz w:val="24"/>
        </w:rPr>
        <w:t>, 2021)</w:t>
      </w:r>
      <w:r w:rsidRPr="00F37482">
        <w:rPr>
          <w:rFonts w:ascii="Sakkal Majalla" w:eastAsia="Arial" w:hAnsi="Sakkal Majalla" w:cs="Sakkal Majalla"/>
          <w:sz w:val="24"/>
        </w:rPr>
        <w:t>.</w:t>
      </w:r>
    </w:p>
    <w:p w14:paraId="62F2F673" w14:textId="66337B3C" w:rsidR="00F37482" w:rsidRPr="00F37482" w:rsidRDefault="00F37482" w:rsidP="00911D3F">
      <w:pPr>
        <w:spacing w:after="0" w:line="413" w:lineRule="auto"/>
        <w:ind w:hanging="10"/>
        <w:jc w:val="both"/>
        <w:rPr>
          <w:rFonts w:ascii="Sakkal Majalla" w:eastAsia="Arial" w:hAnsi="Sakkal Majalla" w:cs="Sakkal Majalla"/>
          <w:sz w:val="24"/>
        </w:rPr>
      </w:pPr>
      <w:r w:rsidRPr="00F37482">
        <w:rPr>
          <w:rFonts w:ascii="Sakkal Majalla" w:eastAsia="Arial" w:hAnsi="Sakkal Majalla" w:cs="Sakkal Majalla"/>
          <w:sz w:val="24"/>
          <w:rtl/>
        </w:rPr>
        <w:t>وتناولت دراسة العنزي وآخرين</w:t>
      </w:r>
      <w:r w:rsidRPr="00F37482">
        <w:rPr>
          <w:rFonts w:ascii="Sakkal Majalla" w:eastAsia="Arial" w:hAnsi="Sakkal Majalla" w:cs="Sakkal Majalla"/>
          <w:sz w:val="24"/>
        </w:rPr>
        <w:t xml:space="preserve"> (2024) </w:t>
      </w:r>
      <w:r w:rsidRPr="00F37482">
        <w:rPr>
          <w:rFonts w:ascii="Sakkal Majalla" w:eastAsia="Arial" w:hAnsi="Sakkal Majalla" w:cs="Sakkal Majalla"/>
          <w:sz w:val="24"/>
          <w:rtl/>
        </w:rPr>
        <w:t xml:space="preserve">العلاقة بين الرضا الوظيفي، الالتزام، والنية في البقاء لدى الممرضين في الرياض. أظهرت النتائج أن الرضا والالتزام يرتبطان إيجابيًا بنية البقاء، وسلبًا بنية المغادرة، مؤكدة أن الدعم الإداري والفعالية الذاتية للموظفين تلعب دورًا مهمًا في تقليل الدوران. تُحسب للدراسة شموليتها لمتغيرات نفسية متعددة واهتمامها بسياق القطاع الصحي الحساس </w:t>
      </w:r>
      <w:r w:rsidRPr="00F37482">
        <w:rPr>
          <w:rFonts w:eastAsia="Arial"/>
          <w:sz w:val="24"/>
        </w:rPr>
        <w:t>(</w:t>
      </w:r>
      <w:proofErr w:type="spellStart"/>
      <w:r w:rsidRPr="00F37482">
        <w:rPr>
          <w:rFonts w:eastAsia="Arial"/>
          <w:sz w:val="24"/>
        </w:rPr>
        <w:t>Alshaibani</w:t>
      </w:r>
      <w:proofErr w:type="spellEnd"/>
      <w:r w:rsidRPr="00F37482">
        <w:rPr>
          <w:rFonts w:eastAsia="Arial"/>
          <w:sz w:val="24"/>
        </w:rPr>
        <w:t xml:space="preserve"> </w:t>
      </w:r>
      <w:proofErr w:type="spellStart"/>
      <w:r w:rsidRPr="00F37482">
        <w:rPr>
          <w:rFonts w:eastAsia="Arial"/>
          <w:sz w:val="24"/>
        </w:rPr>
        <w:t>et</w:t>
      </w:r>
      <w:proofErr w:type="spellEnd"/>
      <w:r w:rsidRPr="00F37482">
        <w:rPr>
          <w:rFonts w:eastAsia="Arial"/>
          <w:sz w:val="24"/>
        </w:rPr>
        <w:t xml:space="preserve"> </w:t>
      </w:r>
      <w:proofErr w:type="spellStart"/>
      <w:r w:rsidRPr="00F37482">
        <w:rPr>
          <w:rFonts w:eastAsia="Arial"/>
          <w:sz w:val="24"/>
        </w:rPr>
        <w:t>al</w:t>
      </w:r>
      <w:proofErr w:type="spellEnd"/>
      <w:r w:rsidRPr="00F37482">
        <w:rPr>
          <w:rFonts w:eastAsia="Arial"/>
          <w:sz w:val="24"/>
        </w:rPr>
        <w:t>., 2024)</w:t>
      </w:r>
      <w:r w:rsidRPr="00F37482">
        <w:rPr>
          <w:rFonts w:ascii="Sakkal Majalla" w:eastAsia="Arial" w:hAnsi="Sakkal Majalla" w:cs="Sakkal Majalla"/>
          <w:sz w:val="24"/>
        </w:rPr>
        <w:t>.</w:t>
      </w:r>
    </w:p>
    <w:p w14:paraId="1DE5774A" w14:textId="6A9D094B" w:rsidR="00F37482" w:rsidRPr="00F37482" w:rsidRDefault="00F37482" w:rsidP="00911D3F">
      <w:pPr>
        <w:spacing w:after="0" w:line="413" w:lineRule="auto"/>
        <w:ind w:hanging="10"/>
        <w:jc w:val="both"/>
        <w:rPr>
          <w:rFonts w:ascii="Sakkal Majalla" w:eastAsia="Arial" w:hAnsi="Sakkal Majalla" w:cs="Sakkal Majalla"/>
          <w:sz w:val="24"/>
        </w:rPr>
      </w:pPr>
      <w:r w:rsidRPr="00F37482">
        <w:rPr>
          <w:rFonts w:ascii="Sakkal Majalla" w:eastAsia="Arial" w:hAnsi="Sakkal Majalla" w:cs="Sakkal Majalla"/>
          <w:sz w:val="24"/>
          <w:rtl/>
        </w:rPr>
        <w:t>وفي دراسة النهبي والمخلافي</w:t>
      </w:r>
      <w:r w:rsidRPr="00F37482">
        <w:rPr>
          <w:rFonts w:ascii="Sakkal Majalla" w:eastAsia="Arial" w:hAnsi="Sakkal Majalla" w:cs="Sakkal Majalla"/>
          <w:sz w:val="24"/>
        </w:rPr>
        <w:t xml:space="preserve"> (2023) </w:t>
      </w:r>
      <w:r w:rsidRPr="00F37482">
        <w:rPr>
          <w:rFonts w:ascii="Sakkal Majalla" w:eastAsia="Arial" w:hAnsi="Sakkal Majalla" w:cs="Sakkal Majalla"/>
          <w:sz w:val="24"/>
          <w:rtl/>
        </w:rPr>
        <w:t xml:space="preserve">التي تناولت العلاقة بين المسؤولية الاجتماعية للمؤسسات والأداء ونية ترك العمل، تبين أن الالتزام التنظيمي والهوية المؤسسية يلعبان دورًا وسيطًا أساسيًا في تخفيض نية المغادرة. وخلصت الدراسة إلى أن المنظمات التي تتبنى ممارسات اجتماعية وأخلاقية مسؤولة تحظى بولاء أكبر من موظفيها، مما ينعكس في انخفاض معدلات الدوران </w:t>
      </w:r>
      <w:r w:rsidRPr="00F37482">
        <w:rPr>
          <w:rFonts w:eastAsia="Arial"/>
          <w:sz w:val="24"/>
        </w:rPr>
        <w:t>(</w:t>
      </w:r>
      <w:proofErr w:type="spellStart"/>
      <w:r w:rsidRPr="00F37482">
        <w:rPr>
          <w:rFonts w:eastAsia="Arial"/>
          <w:sz w:val="24"/>
        </w:rPr>
        <w:t>Alnehabi</w:t>
      </w:r>
      <w:proofErr w:type="spellEnd"/>
      <w:r w:rsidRPr="00F37482">
        <w:rPr>
          <w:rFonts w:eastAsia="Arial"/>
          <w:sz w:val="24"/>
        </w:rPr>
        <w:t xml:space="preserve"> &amp; </w:t>
      </w:r>
      <w:proofErr w:type="spellStart"/>
      <w:r w:rsidRPr="00F37482">
        <w:rPr>
          <w:rFonts w:eastAsia="Arial"/>
          <w:sz w:val="24"/>
        </w:rPr>
        <w:t>Al-Mekhlafi</w:t>
      </w:r>
      <w:proofErr w:type="spellEnd"/>
      <w:r w:rsidRPr="00F37482">
        <w:rPr>
          <w:rFonts w:eastAsia="Arial"/>
          <w:sz w:val="24"/>
        </w:rPr>
        <w:t>, 2023)</w:t>
      </w:r>
      <w:r w:rsidRPr="00F37482">
        <w:rPr>
          <w:rFonts w:ascii="Sakkal Majalla" w:eastAsia="Arial" w:hAnsi="Sakkal Majalla" w:cs="Sakkal Majalla"/>
          <w:sz w:val="24"/>
        </w:rPr>
        <w:t>.</w:t>
      </w:r>
    </w:p>
    <w:p w14:paraId="071E1FBD" w14:textId="6D3579F8" w:rsidR="00F37482" w:rsidRPr="00F37482" w:rsidRDefault="00F37482" w:rsidP="00911D3F">
      <w:pPr>
        <w:spacing w:after="0" w:line="413" w:lineRule="auto"/>
        <w:ind w:hanging="10"/>
        <w:jc w:val="both"/>
        <w:rPr>
          <w:rFonts w:ascii="Sakkal Majalla" w:eastAsia="Arial" w:hAnsi="Sakkal Majalla" w:cs="Sakkal Majalla"/>
          <w:sz w:val="24"/>
        </w:rPr>
      </w:pPr>
      <w:r w:rsidRPr="00F37482">
        <w:rPr>
          <w:rFonts w:ascii="Sakkal Majalla" w:eastAsia="Arial" w:hAnsi="Sakkal Majalla" w:cs="Sakkal Majalla"/>
          <w:sz w:val="24"/>
          <w:rtl/>
        </w:rPr>
        <w:t>أما دراسة المطر</w:t>
      </w:r>
      <w:r w:rsidRPr="00F37482">
        <w:rPr>
          <w:rFonts w:ascii="Sakkal Majalla" w:eastAsia="Arial" w:hAnsi="Sakkal Majalla" w:cs="Sakkal Majalla"/>
          <w:sz w:val="24"/>
        </w:rPr>
        <w:t xml:space="preserve"> (2022) </w:t>
      </w:r>
      <w:r w:rsidRPr="00F37482">
        <w:rPr>
          <w:rFonts w:ascii="Sakkal Majalla" w:eastAsia="Arial" w:hAnsi="Sakkal Majalla" w:cs="Sakkal Majalla"/>
          <w:sz w:val="24"/>
          <w:rtl/>
        </w:rPr>
        <w:t xml:space="preserve">في القطاع الصناعي فقد أظهرت أن ممارسات الموارد البشرية مثل التدريب والتعويضات تؤثر إيجابًا على الالتزام التنظيمي، وأن الالتزام بدوره يحد من نية المغادرة. وأكدت الدراسة على أهمية الدور الوسيط للالتزام كعامل أساسي يربط بين الممارسات الإدارية والاستقرار الوظيفي في المصانع السعودية </w:t>
      </w:r>
      <w:r w:rsidRPr="00F37482">
        <w:rPr>
          <w:rFonts w:eastAsia="Arial"/>
          <w:sz w:val="24"/>
        </w:rPr>
        <w:t>(</w:t>
      </w:r>
      <w:proofErr w:type="spellStart"/>
      <w:r w:rsidRPr="00F37482">
        <w:rPr>
          <w:rFonts w:eastAsia="Arial"/>
          <w:sz w:val="24"/>
        </w:rPr>
        <w:t>Almatter</w:t>
      </w:r>
      <w:proofErr w:type="spellEnd"/>
      <w:r w:rsidRPr="00F37482">
        <w:rPr>
          <w:rFonts w:eastAsia="Arial"/>
          <w:sz w:val="24"/>
        </w:rPr>
        <w:t>, 2022)</w:t>
      </w:r>
      <w:r w:rsidRPr="00F37482">
        <w:rPr>
          <w:rFonts w:ascii="Sakkal Majalla" w:eastAsia="Arial" w:hAnsi="Sakkal Majalla" w:cs="Sakkal Majalla"/>
          <w:sz w:val="24"/>
        </w:rPr>
        <w:t>.</w:t>
      </w:r>
    </w:p>
    <w:p w14:paraId="2443659A" w14:textId="0B7AEDB4" w:rsidR="00F37482" w:rsidRPr="00F37482" w:rsidRDefault="00F37482" w:rsidP="00F37482">
      <w:pPr>
        <w:spacing w:after="0" w:line="265" w:lineRule="auto"/>
        <w:jc w:val="both"/>
        <w:rPr>
          <w:rFonts w:ascii="Sakkal Majalla" w:hAnsi="Sakkal Majalla" w:cs="Sakkal Majalla"/>
          <w:b/>
          <w:bCs/>
          <w:rtl/>
          <w:lang w:val="en-US"/>
        </w:rPr>
      </w:pPr>
      <w:r w:rsidRPr="00F37482">
        <w:rPr>
          <w:rFonts w:ascii="Sakkal Majalla" w:hAnsi="Sakkal Majalla" w:cs="Sakkal Majalla" w:hint="cs"/>
          <w:b/>
          <w:bCs/>
          <w:rtl/>
          <w:lang w:val="en-US"/>
        </w:rPr>
        <w:t>التعليق على الدراسات السابقة:</w:t>
      </w:r>
    </w:p>
    <w:p w14:paraId="4572C74C" w14:textId="72766243" w:rsidR="00F37482" w:rsidRPr="00F37482" w:rsidRDefault="004477DB" w:rsidP="00911D3F">
      <w:pPr>
        <w:spacing w:after="0" w:line="413" w:lineRule="auto"/>
        <w:ind w:hanging="10"/>
        <w:jc w:val="both"/>
        <w:rPr>
          <w:rFonts w:ascii="Sakkal Majalla" w:eastAsia="Arial" w:hAnsi="Sakkal Majalla" w:cs="Sakkal Majalla"/>
          <w:sz w:val="24"/>
        </w:rPr>
      </w:pPr>
      <w:r w:rsidRPr="00911D3F">
        <w:rPr>
          <w:rFonts w:ascii="Sakkal Majalla" w:eastAsia="Arial" w:hAnsi="Sakkal Majalla" w:cs="Sakkal Majalla"/>
          <w:sz w:val="24"/>
          <w:rtl/>
        </w:rPr>
        <w:t xml:space="preserve">تدل مجمل الدراسات السابقة على اتجاه متقارب مفاده أن ممارسات إدارة الموارد البشرية ترتبط بانخفاض الدوران الوظيفي أو نية ترك العمل، سواء في السياق الصناعي أو في قطاعات أخرى داخل السعودية وخارجها، مع تكرار الإشارة إلى دور ممارسات مثل التدريب والتطوير، ونظم التحفيز والتعويضات، وعدالة التقييم والشفافية، وتهيئة بيئة عمل داعمة في تعزيز الاستقرار الوظيفي والحد من التسرب (الجميلي، 2023؛ عبد الجواد، 2023؛ </w:t>
      </w:r>
      <w:proofErr w:type="spellStart"/>
      <w:r w:rsidRPr="00911D3F">
        <w:rPr>
          <w:rFonts w:ascii="Sakkal Majalla" w:eastAsia="Arial" w:hAnsi="Sakkal Majalla" w:cs="Sakkal Majalla"/>
          <w:sz w:val="24"/>
        </w:rPr>
        <w:t>Alismail</w:t>
      </w:r>
      <w:proofErr w:type="spellEnd"/>
      <w:r w:rsidRPr="00911D3F">
        <w:rPr>
          <w:rFonts w:ascii="Sakkal Majalla" w:eastAsia="Arial" w:hAnsi="Sakkal Majalla" w:cs="Sakkal Majalla"/>
          <w:sz w:val="24"/>
        </w:rPr>
        <w:t>, 2023</w:t>
      </w:r>
      <w:r w:rsidRPr="00911D3F">
        <w:rPr>
          <w:rFonts w:ascii="Sakkal Majalla" w:eastAsia="Arial" w:hAnsi="Sakkal Majalla" w:cs="Sakkal Majalla"/>
          <w:sz w:val="24"/>
          <w:rtl/>
        </w:rPr>
        <w:t xml:space="preserve">؛ </w:t>
      </w:r>
      <w:proofErr w:type="spellStart"/>
      <w:r w:rsidRPr="00911D3F">
        <w:rPr>
          <w:rFonts w:ascii="Sakkal Majalla" w:eastAsia="Arial" w:hAnsi="Sakkal Majalla" w:cs="Sakkal Majalla"/>
          <w:sz w:val="24"/>
        </w:rPr>
        <w:t>Alsulami</w:t>
      </w:r>
      <w:proofErr w:type="spellEnd"/>
      <w:r w:rsidRPr="00911D3F">
        <w:rPr>
          <w:rFonts w:ascii="Sakkal Majalla" w:eastAsia="Arial" w:hAnsi="Sakkal Majalla" w:cs="Sakkal Majalla"/>
          <w:sz w:val="24"/>
        </w:rPr>
        <w:t xml:space="preserve"> &amp; Alqarni, 2023</w:t>
      </w:r>
      <w:r w:rsidRPr="00911D3F">
        <w:rPr>
          <w:rFonts w:ascii="Sakkal Majalla" w:eastAsia="Arial" w:hAnsi="Sakkal Majalla" w:cs="Sakkal Majalla"/>
          <w:sz w:val="24"/>
          <w:rtl/>
        </w:rPr>
        <w:t xml:space="preserve">؛ </w:t>
      </w:r>
      <w:r w:rsidRPr="00911D3F">
        <w:rPr>
          <w:rFonts w:ascii="Sakkal Majalla" w:eastAsia="Arial" w:hAnsi="Sakkal Majalla" w:cs="Sakkal Majalla"/>
          <w:sz w:val="24"/>
        </w:rPr>
        <w:t>Mohammad, 2013</w:t>
      </w:r>
      <w:r w:rsidRPr="00911D3F">
        <w:rPr>
          <w:rFonts w:ascii="Sakkal Majalla" w:eastAsia="Arial" w:hAnsi="Sakkal Majalla" w:cs="Sakkal Majalla"/>
          <w:sz w:val="24"/>
          <w:rtl/>
        </w:rPr>
        <w:t>). كما يتضح أن جانبًا معتبرًا من الأدلة لا يعرض العلاقة على أنها مباشرة فقط، بل يفسرها عبر مسارات وسيطة مشتركة تتكرر في أكثر من دراسة، أبرزها الرضا الوظيفي والالتزام التنظيمي والاندماج/الاستغراق الوظيفي؛ إذ تشير النتائج إلى أن تحسين ممارسات الموارد البشرية يرفع الرضا والالتزام والاندماج، وهو ما ينعكس في انخفاض نية المغادرة أو تعزيز نية البقاء (</w:t>
      </w:r>
      <w:r w:rsidRPr="00911D3F">
        <w:rPr>
          <w:rFonts w:ascii="Sakkal Majalla" w:eastAsia="Arial" w:hAnsi="Sakkal Majalla" w:cs="Sakkal Majalla"/>
          <w:sz w:val="24"/>
        </w:rPr>
        <w:t>Jehanzeb &amp; Rasheed, 2013</w:t>
      </w:r>
      <w:r w:rsidRPr="00911D3F">
        <w:rPr>
          <w:rFonts w:ascii="Sakkal Majalla" w:eastAsia="Arial" w:hAnsi="Sakkal Majalla" w:cs="Sakkal Majalla"/>
          <w:sz w:val="24"/>
          <w:rtl/>
        </w:rPr>
        <w:t xml:space="preserve">؛ </w:t>
      </w:r>
      <w:r w:rsidRPr="00911D3F">
        <w:rPr>
          <w:rFonts w:ascii="Sakkal Majalla" w:eastAsia="Arial" w:hAnsi="Sakkal Majalla" w:cs="Sakkal Majalla"/>
          <w:sz w:val="24"/>
        </w:rPr>
        <w:t>Qazi, 2017</w:t>
      </w:r>
      <w:r w:rsidRPr="00911D3F">
        <w:rPr>
          <w:rFonts w:ascii="Sakkal Majalla" w:eastAsia="Arial" w:hAnsi="Sakkal Majalla" w:cs="Sakkal Majalla"/>
          <w:sz w:val="24"/>
          <w:rtl/>
        </w:rPr>
        <w:t xml:space="preserve">؛ </w:t>
      </w:r>
      <w:r w:rsidRPr="00911D3F">
        <w:rPr>
          <w:rFonts w:ascii="Sakkal Majalla" w:eastAsia="Arial" w:hAnsi="Sakkal Majalla" w:cs="Sakkal Majalla"/>
          <w:sz w:val="24"/>
        </w:rPr>
        <w:t>Suwaidan et al., 2022</w:t>
      </w:r>
      <w:r w:rsidRPr="00911D3F">
        <w:rPr>
          <w:rFonts w:ascii="Sakkal Majalla" w:eastAsia="Arial" w:hAnsi="Sakkal Majalla" w:cs="Sakkal Majalla"/>
          <w:sz w:val="24"/>
          <w:rtl/>
        </w:rPr>
        <w:t xml:space="preserve">؛ </w:t>
      </w:r>
      <w:r w:rsidRPr="00911D3F">
        <w:rPr>
          <w:rFonts w:ascii="Sakkal Majalla" w:eastAsia="Arial" w:hAnsi="Sakkal Majalla" w:cs="Sakkal Majalla"/>
          <w:sz w:val="24"/>
        </w:rPr>
        <w:t>Aljohani, 2018</w:t>
      </w:r>
      <w:r w:rsidRPr="00911D3F">
        <w:rPr>
          <w:rFonts w:ascii="Sakkal Majalla" w:eastAsia="Arial" w:hAnsi="Sakkal Majalla" w:cs="Sakkal Majalla"/>
          <w:sz w:val="24"/>
          <w:rtl/>
        </w:rPr>
        <w:t xml:space="preserve">؛ </w:t>
      </w:r>
      <w:proofErr w:type="spellStart"/>
      <w:r w:rsidRPr="00911D3F">
        <w:rPr>
          <w:rFonts w:ascii="Sakkal Majalla" w:eastAsia="Arial" w:hAnsi="Sakkal Majalla" w:cs="Sakkal Majalla"/>
          <w:sz w:val="24"/>
        </w:rPr>
        <w:t>Elrayah</w:t>
      </w:r>
      <w:proofErr w:type="spellEnd"/>
      <w:r w:rsidRPr="00911D3F">
        <w:rPr>
          <w:rFonts w:ascii="Sakkal Majalla" w:eastAsia="Arial" w:hAnsi="Sakkal Majalla" w:cs="Sakkal Majalla"/>
          <w:sz w:val="24"/>
        </w:rPr>
        <w:t xml:space="preserve"> &amp; Mabkhot, 2023</w:t>
      </w:r>
      <w:r w:rsidRPr="00911D3F">
        <w:rPr>
          <w:rFonts w:ascii="Sakkal Majalla" w:eastAsia="Arial" w:hAnsi="Sakkal Majalla" w:cs="Sakkal Majalla"/>
          <w:sz w:val="24"/>
          <w:rtl/>
        </w:rPr>
        <w:t xml:space="preserve">؛ </w:t>
      </w:r>
      <w:r w:rsidRPr="00911D3F">
        <w:rPr>
          <w:rFonts w:ascii="Sakkal Majalla" w:eastAsia="Arial" w:hAnsi="Sakkal Majalla" w:cs="Sakkal Majalla"/>
          <w:sz w:val="24"/>
        </w:rPr>
        <w:t xml:space="preserve">Alotaibi &amp; </w:t>
      </w:r>
      <w:proofErr w:type="spellStart"/>
      <w:r w:rsidRPr="00911D3F">
        <w:rPr>
          <w:rFonts w:ascii="Sakkal Majalla" w:eastAsia="Arial" w:hAnsi="Sakkal Majalla" w:cs="Sakkal Majalla"/>
          <w:sz w:val="24"/>
        </w:rPr>
        <w:t>Algethami</w:t>
      </w:r>
      <w:proofErr w:type="spellEnd"/>
      <w:r w:rsidRPr="00911D3F">
        <w:rPr>
          <w:rFonts w:ascii="Sakkal Majalla" w:eastAsia="Arial" w:hAnsi="Sakkal Majalla" w:cs="Sakkal Majalla"/>
          <w:sz w:val="24"/>
        </w:rPr>
        <w:t>, 2023</w:t>
      </w:r>
      <w:r w:rsidRPr="00911D3F">
        <w:rPr>
          <w:rFonts w:ascii="Sakkal Majalla" w:eastAsia="Arial" w:hAnsi="Sakkal Majalla" w:cs="Sakkal Majalla"/>
          <w:sz w:val="24"/>
          <w:rtl/>
        </w:rPr>
        <w:t>).</w:t>
      </w:r>
    </w:p>
    <w:p w14:paraId="74C799DE" w14:textId="2CACE52E" w:rsidR="00F37482" w:rsidRDefault="00F37482" w:rsidP="00911D3F">
      <w:pPr>
        <w:spacing w:after="0" w:line="413" w:lineRule="auto"/>
        <w:ind w:hanging="10"/>
        <w:jc w:val="both"/>
        <w:rPr>
          <w:rFonts w:ascii="Sakkal Majalla" w:eastAsia="Arial" w:hAnsi="Sakkal Majalla" w:cs="Sakkal Majalla"/>
          <w:sz w:val="24"/>
          <w:rtl/>
        </w:rPr>
      </w:pPr>
      <w:r w:rsidRPr="00911D3F">
        <w:rPr>
          <w:rFonts w:ascii="Sakkal Majalla" w:eastAsia="Arial" w:hAnsi="Sakkal Majalla" w:cs="Sakkal Majalla"/>
          <w:sz w:val="24"/>
          <w:rtl/>
        </w:rPr>
        <w:lastRenderedPageBreak/>
        <w:t>في المقابل، تظهر اختلافات بين الدراسات في طبيعة القياس ونطاق التفسير وسياق التطبيق؛ فبعضها يقيس “الدوران الفعلي” بينما يركز بعضها الآخر على “نية ترك العمل”، ما قد يفسر تباينًا في قوة العلاقات واتجاهاتها بحسب المؤشر المستخدم (</w:t>
      </w:r>
      <w:proofErr w:type="spellStart"/>
      <w:r w:rsidRPr="00911D3F">
        <w:rPr>
          <w:rFonts w:ascii="Sakkal Majalla" w:eastAsia="Arial" w:hAnsi="Sakkal Majalla" w:cs="Sakkal Majalla"/>
          <w:sz w:val="24"/>
        </w:rPr>
        <w:t>Alreshidi</w:t>
      </w:r>
      <w:proofErr w:type="spellEnd"/>
      <w:r w:rsidRPr="00911D3F">
        <w:rPr>
          <w:rFonts w:ascii="Sakkal Majalla" w:eastAsia="Arial" w:hAnsi="Sakkal Majalla" w:cs="Sakkal Majalla"/>
          <w:sz w:val="24"/>
        </w:rPr>
        <w:t xml:space="preserve"> et al., 2021</w:t>
      </w:r>
      <w:r w:rsidRPr="00911D3F">
        <w:rPr>
          <w:rFonts w:ascii="Sakkal Majalla" w:eastAsia="Arial" w:hAnsi="Sakkal Majalla" w:cs="Sakkal Majalla"/>
          <w:sz w:val="24"/>
          <w:rtl/>
        </w:rPr>
        <w:t xml:space="preserve">؛ </w:t>
      </w:r>
      <w:r w:rsidRPr="00911D3F">
        <w:rPr>
          <w:rFonts w:ascii="Sakkal Majalla" w:eastAsia="Arial" w:hAnsi="Sakkal Majalla" w:cs="Sakkal Majalla"/>
          <w:sz w:val="24"/>
        </w:rPr>
        <w:t>Qazi, 2017</w:t>
      </w:r>
      <w:r w:rsidRPr="00911D3F">
        <w:rPr>
          <w:rFonts w:ascii="Sakkal Majalla" w:eastAsia="Arial" w:hAnsi="Sakkal Majalla" w:cs="Sakkal Majalla"/>
          <w:sz w:val="24"/>
          <w:rtl/>
        </w:rPr>
        <w:t xml:space="preserve">؛ </w:t>
      </w:r>
      <w:r w:rsidRPr="00911D3F">
        <w:rPr>
          <w:rFonts w:ascii="Sakkal Majalla" w:eastAsia="Arial" w:hAnsi="Sakkal Majalla" w:cs="Sakkal Majalla"/>
          <w:sz w:val="24"/>
        </w:rPr>
        <w:t>Aljohani, 2018</w:t>
      </w:r>
      <w:r w:rsidRPr="00911D3F">
        <w:rPr>
          <w:rFonts w:ascii="Sakkal Majalla" w:eastAsia="Arial" w:hAnsi="Sakkal Majalla" w:cs="Sakkal Majalla"/>
          <w:sz w:val="24"/>
          <w:rtl/>
        </w:rPr>
        <w:t>). كذلك تختلف الدراسات في اتساع نموذج الممارسات؛ إذ تكتفي بعض الأعمال بممارسة واحدة أو بعد محدد (مثل التدريب)، بينما تعتمد أعمال أخرى حزمًا أشمل من الممارسات، الأمر الذي يجعل المقارنة المباشرة بين النتائج مشروطة باختلاف أدوات القياس وبناء المتغيرات (</w:t>
      </w:r>
      <w:proofErr w:type="spellStart"/>
      <w:r w:rsidRPr="00911D3F">
        <w:rPr>
          <w:rFonts w:ascii="Sakkal Majalla" w:eastAsia="Arial" w:hAnsi="Sakkal Majalla" w:cs="Sakkal Majalla"/>
          <w:sz w:val="24"/>
        </w:rPr>
        <w:t>Alsulami</w:t>
      </w:r>
      <w:proofErr w:type="spellEnd"/>
      <w:r w:rsidRPr="00911D3F">
        <w:rPr>
          <w:rFonts w:ascii="Sakkal Majalla" w:eastAsia="Arial" w:hAnsi="Sakkal Majalla" w:cs="Sakkal Majalla"/>
          <w:sz w:val="24"/>
        </w:rPr>
        <w:t xml:space="preserve"> &amp; Alqarni, 2023</w:t>
      </w:r>
      <w:r w:rsidRPr="00911D3F">
        <w:rPr>
          <w:rFonts w:ascii="Sakkal Majalla" w:eastAsia="Arial" w:hAnsi="Sakkal Majalla" w:cs="Sakkal Majalla"/>
          <w:sz w:val="24"/>
          <w:rtl/>
        </w:rPr>
        <w:t xml:space="preserve">؛ </w:t>
      </w:r>
      <w:proofErr w:type="spellStart"/>
      <w:r w:rsidRPr="00911D3F">
        <w:rPr>
          <w:rFonts w:ascii="Sakkal Majalla" w:eastAsia="Arial" w:hAnsi="Sakkal Majalla" w:cs="Sakkal Majalla"/>
          <w:sz w:val="24"/>
        </w:rPr>
        <w:t>Nassani</w:t>
      </w:r>
      <w:proofErr w:type="spellEnd"/>
      <w:r w:rsidRPr="00911D3F">
        <w:rPr>
          <w:rFonts w:ascii="Sakkal Majalla" w:eastAsia="Arial" w:hAnsi="Sakkal Majalla" w:cs="Sakkal Majalla"/>
          <w:sz w:val="24"/>
        </w:rPr>
        <w:t xml:space="preserve"> &amp; </w:t>
      </w:r>
      <w:proofErr w:type="spellStart"/>
      <w:r w:rsidRPr="00911D3F">
        <w:rPr>
          <w:rFonts w:ascii="Sakkal Majalla" w:eastAsia="Arial" w:hAnsi="Sakkal Majalla" w:cs="Sakkal Majalla"/>
          <w:sz w:val="24"/>
        </w:rPr>
        <w:t>Altuwaijri</w:t>
      </w:r>
      <w:proofErr w:type="spellEnd"/>
      <w:r w:rsidRPr="00911D3F">
        <w:rPr>
          <w:rFonts w:ascii="Sakkal Majalla" w:eastAsia="Arial" w:hAnsi="Sakkal Majalla" w:cs="Sakkal Majalla"/>
          <w:sz w:val="24"/>
        </w:rPr>
        <w:t>, 2021</w:t>
      </w:r>
      <w:r w:rsidRPr="00911D3F">
        <w:rPr>
          <w:rFonts w:ascii="Sakkal Majalla" w:eastAsia="Arial" w:hAnsi="Sakkal Majalla" w:cs="Sakkal Majalla"/>
          <w:sz w:val="24"/>
          <w:rtl/>
        </w:rPr>
        <w:t xml:space="preserve">؛ </w:t>
      </w:r>
      <w:proofErr w:type="spellStart"/>
      <w:r w:rsidRPr="00911D3F">
        <w:rPr>
          <w:rFonts w:ascii="Sakkal Majalla" w:eastAsia="Arial" w:hAnsi="Sakkal Majalla" w:cs="Sakkal Majalla"/>
          <w:sz w:val="24"/>
        </w:rPr>
        <w:t>Alismail</w:t>
      </w:r>
      <w:proofErr w:type="spellEnd"/>
      <w:r w:rsidRPr="00911D3F">
        <w:rPr>
          <w:rFonts w:ascii="Sakkal Majalla" w:eastAsia="Arial" w:hAnsi="Sakkal Majalla" w:cs="Sakkal Majalla"/>
          <w:sz w:val="24"/>
        </w:rPr>
        <w:t>, 2023</w:t>
      </w:r>
      <w:r w:rsidRPr="00911D3F">
        <w:rPr>
          <w:rFonts w:ascii="Sakkal Majalla" w:eastAsia="Arial" w:hAnsi="Sakkal Majalla" w:cs="Sakkal Majalla"/>
          <w:sz w:val="24"/>
          <w:rtl/>
        </w:rPr>
        <w:t>). ويضاف إلى ذلك أن اختلاف السياقات القطاعية (صناعي، صحي، تعليمي، مصرفي) يحد من التعميم الآلي، لأن طبيعة العمل والحوافز وخصائص القوى العاملة تختلف من قطاع لآخر، وقد تُعيد ترتيب الممارسات الأكثر تأثيرًا على الاستقرار الوظيفي (</w:t>
      </w:r>
      <w:proofErr w:type="spellStart"/>
      <w:r w:rsidRPr="00911D3F">
        <w:rPr>
          <w:rFonts w:ascii="Sakkal Majalla" w:eastAsia="Arial" w:hAnsi="Sakkal Majalla" w:cs="Sakkal Majalla"/>
          <w:sz w:val="24"/>
          <w:rtl/>
        </w:rPr>
        <w:t>الغـراغير</w:t>
      </w:r>
      <w:proofErr w:type="spellEnd"/>
      <w:r w:rsidRPr="00911D3F">
        <w:rPr>
          <w:rFonts w:ascii="Sakkal Majalla" w:eastAsia="Arial" w:hAnsi="Sakkal Majalla" w:cs="Sakkal Majalla"/>
          <w:sz w:val="24"/>
          <w:rtl/>
        </w:rPr>
        <w:t xml:space="preserve">، 2022؛ </w:t>
      </w:r>
      <w:proofErr w:type="spellStart"/>
      <w:r w:rsidRPr="00911D3F">
        <w:rPr>
          <w:rFonts w:ascii="Sakkal Majalla" w:eastAsia="Arial" w:hAnsi="Sakkal Majalla" w:cs="Sakkal Majalla"/>
          <w:sz w:val="24"/>
        </w:rPr>
        <w:t>Alreshidi</w:t>
      </w:r>
      <w:proofErr w:type="spellEnd"/>
      <w:r w:rsidRPr="00911D3F">
        <w:rPr>
          <w:rFonts w:ascii="Sakkal Majalla" w:eastAsia="Arial" w:hAnsi="Sakkal Majalla" w:cs="Sakkal Majalla"/>
          <w:sz w:val="24"/>
        </w:rPr>
        <w:t xml:space="preserve"> et al., 2021</w:t>
      </w:r>
      <w:r w:rsidRPr="00911D3F">
        <w:rPr>
          <w:rFonts w:ascii="Sakkal Majalla" w:eastAsia="Arial" w:hAnsi="Sakkal Majalla" w:cs="Sakkal Majalla"/>
          <w:sz w:val="24"/>
          <w:rtl/>
        </w:rPr>
        <w:t xml:space="preserve">؛ </w:t>
      </w:r>
      <w:r w:rsidRPr="00911D3F">
        <w:rPr>
          <w:rFonts w:ascii="Sakkal Majalla" w:eastAsia="Arial" w:hAnsi="Sakkal Majalla" w:cs="Sakkal Majalla"/>
          <w:sz w:val="24"/>
        </w:rPr>
        <w:t>Qazi, 2017</w:t>
      </w:r>
      <w:r w:rsidRPr="00911D3F">
        <w:rPr>
          <w:rFonts w:ascii="Sakkal Majalla" w:eastAsia="Arial" w:hAnsi="Sakkal Majalla" w:cs="Sakkal Majalla"/>
          <w:sz w:val="24"/>
          <w:rtl/>
        </w:rPr>
        <w:t>). ومن الناحية المنهجية، تُظهر بعض الدراسات قيودًا متكررة مثل محدودية حجم العينة أو الاعتماد على بيانات ذاتية مقطعية، وهو ما قد يقيد الاستدلال السببي ويجعل النتائج أكثر ارتباطًا بخصائص العينة والسياق (</w:t>
      </w:r>
      <w:r w:rsidRPr="00911D3F">
        <w:rPr>
          <w:rFonts w:ascii="Sakkal Majalla" w:eastAsia="Arial" w:hAnsi="Sakkal Majalla" w:cs="Sakkal Majalla"/>
          <w:sz w:val="24"/>
        </w:rPr>
        <w:t xml:space="preserve">Alotaibi &amp; </w:t>
      </w:r>
      <w:proofErr w:type="spellStart"/>
      <w:r w:rsidRPr="00911D3F">
        <w:rPr>
          <w:rFonts w:ascii="Sakkal Majalla" w:eastAsia="Arial" w:hAnsi="Sakkal Majalla" w:cs="Sakkal Majalla"/>
          <w:sz w:val="24"/>
        </w:rPr>
        <w:t>Algethami</w:t>
      </w:r>
      <w:proofErr w:type="spellEnd"/>
      <w:r w:rsidRPr="00911D3F">
        <w:rPr>
          <w:rFonts w:ascii="Sakkal Majalla" w:eastAsia="Arial" w:hAnsi="Sakkal Majalla" w:cs="Sakkal Majalla"/>
          <w:sz w:val="24"/>
        </w:rPr>
        <w:t>, 2023</w:t>
      </w:r>
      <w:r w:rsidRPr="00911D3F">
        <w:rPr>
          <w:rFonts w:ascii="Sakkal Majalla" w:eastAsia="Arial" w:hAnsi="Sakkal Majalla" w:cs="Sakkal Majalla"/>
          <w:sz w:val="24"/>
          <w:rtl/>
        </w:rPr>
        <w:t xml:space="preserve">؛ </w:t>
      </w:r>
      <w:r w:rsidRPr="00911D3F">
        <w:rPr>
          <w:rFonts w:ascii="Sakkal Majalla" w:eastAsia="Arial" w:hAnsi="Sakkal Majalla" w:cs="Sakkal Majalla"/>
          <w:sz w:val="24"/>
        </w:rPr>
        <w:t>Suwaidan et al., 2022</w:t>
      </w:r>
      <w:r w:rsidRPr="00911D3F">
        <w:rPr>
          <w:rFonts w:ascii="Sakkal Majalla" w:eastAsia="Arial" w:hAnsi="Sakkal Majalla" w:cs="Sakkal Majalla"/>
          <w:sz w:val="24"/>
          <w:rtl/>
        </w:rPr>
        <w:t xml:space="preserve">؛ </w:t>
      </w:r>
      <w:proofErr w:type="spellStart"/>
      <w:r w:rsidRPr="00911D3F">
        <w:rPr>
          <w:rFonts w:ascii="Sakkal Majalla" w:eastAsia="Arial" w:hAnsi="Sakkal Majalla" w:cs="Sakkal Majalla"/>
          <w:sz w:val="24"/>
        </w:rPr>
        <w:t>Alismail</w:t>
      </w:r>
      <w:proofErr w:type="spellEnd"/>
      <w:r w:rsidRPr="00911D3F">
        <w:rPr>
          <w:rFonts w:ascii="Sakkal Majalla" w:eastAsia="Arial" w:hAnsi="Sakkal Majalla" w:cs="Sakkal Majalla"/>
          <w:sz w:val="24"/>
        </w:rPr>
        <w:t>, 2023</w:t>
      </w:r>
      <w:r w:rsidRPr="00911D3F">
        <w:rPr>
          <w:rFonts w:ascii="Sakkal Majalla" w:eastAsia="Arial" w:hAnsi="Sakkal Majalla" w:cs="Sakkal Majalla"/>
          <w:sz w:val="24"/>
          <w:rtl/>
        </w:rPr>
        <w:t xml:space="preserve">). وبناءً على ذلك، تتبلور حاجة بحثية إلى دراسة تركز على القطاع الصناعي السعودي بنطاق تمثيلي أوضح، وتدمج الممارسات الرئيسة في إطار واحد، مع ضبط مؤشر الدوران/نية ترك العمل وإبراز المسارات الوسيطة المحتملة بما يوضح الإضافة التي تقدمها الدراسة الحالية مقارنة بما سبق (الشريف، 2023؛ </w:t>
      </w:r>
      <w:proofErr w:type="spellStart"/>
      <w:r w:rsidRPr="00911D3F">
        <w:rPr>
          <w:rFonts w:ascii="Sakkal Majalla" w:eastAsia="Arial" w:hAnsi="Sakkal Majalla" w:cs="Sakkal Majalla"/>
          <w:sz w:val="24"/>
        </w:rPr>
        <w:t>Almatter</w:t>
      </w:r>
      <w:proofErr w:type="spellEnd"/>
      <w:r w:rsidRPr="00911D3F">
        <w:rPr>
          <w:rFonts w:ascii="Sakkal Majalla" w:eastAsia="Arial" w:hAnsi="Sakkal Majalla" w:cs="Sakkal Majalla"/>
          <w:sz w:val="24"/>
        </w:rPr>
        <w:t>, 2022</w:t>
      </w:r>
      <w:r w:rsidRPr="00911D3F">
        <w:rPr>
          <w:rFonts w:ascii="Sakkal Majalla" w:eastAsia="Arial" w:hAnsi="Sakkal Majalla" w:cs="Sakkal Majalla"/>
          <w:sz w:val="24"/>
          <w:rtl/>
        </w:rPr>
        <w:t xml:space="preserve">؛ </w:t>
      </w:r>
      <w:proofErr w:type="spellStart"/>
      <w:r w:rsidRPr="00911D3F">
        <w:rPr>
          <w:rFonts w:ascii="Sakkal Majalla" w:eastAsia="Arial" w:hAnsi="Sakkal Majalla" w:cs="Sakkal Majalla"/>
          <w:sz w:val="24"/>
        </w:rPr>
        <w:t>Jehanzeb</w:t>
      </w:r>
      <w:proofErr w:type="spellEnd"/>
      <w:r w:rsidRPr="00911D3F">
        <w:rPr>
          <w:rFonts w:ascii="Sakkal Majalla" w:eastAsia="Arial" w:hAnsi="Sakkal Majalla" w:cs="Sakkal Majalla"/>
          <w:sz w:val="24"/>
        </w:rPr>
        <w:t xml:space="preserve"> &amp; </w:t>
      </w:r>
      <w:proofErr w:type="spellStart"/>
      <w:r w:rsidRPr="00911D3F">
        <w:rPr>
          <w:rFonts w:ascii="Sakkal Majalla" w:eastAsia="Arial" w:hAnsi="Sakkal Majalla" w:cs="Sakkal Majalla"/>
          <w:sz w:val="24"/>
        </w:rPr>
        <w:t>Rasheed</w:t>
      </w:r>
      <w:proofErr w:type="spellEnd"/>
      <w:r w:rsidRPr="00911D3F">
        <w:rPr>
          <w:rFonts w:ascii="Sakkal Majalla" w:eastAsia="Arial" w:hAnsi="Sakkal Majalla" w:cs="Sakkal Majalla"/>
          <w:sz w:val="24"/>
        </w:rPr>
        <w:t>, 2013</w:t>
      </w:r>
      <w:r w:rsidRPr="00911D3F">
        <w:rPr>
          <w:rFonts w:ascii="Sakkal Majalla" w:eastAsia="Arial" w:hAnsi="Sakkal Majalla" w:cs="Sakkal Majalla"/>
          <w:sz w:val="24"/>
          <w:rtl/>
        </w:rPr>
        <w:t>).</w:t>
      </w:r>
    </w:p>
    <w:p w14:paraId="28FF09AB" w14:textId="4C93040B" w:rsidR="00827BCB" w:rsidRPr="00827BCB" w:rsidRDefault="00827BCB" w:rsidP="00911D3F">
      <w:pPr>
        <w:spacing w:after="0" w:line="413" w:lineRule="auto"/>
        <w:ind w:hanging="10"/>
        <w:jc w:val="both"/>
        <w:rPr>
          <w:rFonts w:ascii="Sakkal Majalla" w:eastAsia="Arial" w:hAnsi="Sakkal Majalla" w:cs="Sakkal Majalla"/>
          <w:b/>
          <w:bCs/>
          <w:sz w:val="24"/>
          <w:rtl/>
        </w:rPr>
      </w:pPr>
      <w:r w:rsidRPr="00827BCB">
        <w:rPr>
          <w:rFonts w:ascii="Sakkal Majalla" w:eastAsia="Arial" w:hAnsi="Sakkal Majalla" w:cs="Sakkal Majalla" w:hint="cs"/>
          <w:b/>
          <w:bCs/>
          <w:sz w:val="24"/>
          <w:rtl/>
        </w:rPr>
        <w:t>المراجع:</w:t>
      </w:r>
    </w:p>
    <w:p w14:paraId="0A386F92" w14:textId="77777777" w:rsidR="00827BCB" w:rsidRPr="00827BCB" w:rsidRDefault="00827BCB" w:rsidP="00827BCB">
      <w:pPr>
        <w:numPr>
          <w:ilvl w:val="0"/>
          <w:numId w:val="13"/>
        </w:numPr>
        <w:tabs>
          <w:tab w:val="num" w:pos="720"/>
        </w:tabs>
        <w:spacing w:after="0" w:line="413" w:lineRule="auto"/>
        <w:jc w:val="both"/>
        <w:rPr>
          <w:rFonts w:ascii="Sakkal Majalla" w:eastAsia="Arial" w:hAnsi="Sakkal Majalla" w:cs="Sakkal Majalla"/>
          <w:sz w:val="24"/>
          <w:lang w:bidi="ar-SA"/>
        </w:rPr>
      </w:pPr>
      <w:r w:rsidRPr="00827BCB">
        <w:rPr>
          <w:rFonts w:ascii="Sakkal Majalla" w:eastAsia="Arial" w:hAnsi="Sakkal Majalla" w:cs="Sakkal Majalla"/>
          <w:sz w:val="24"/>
          <w:rtl/>
          <w:lang w:bidi="ar-SA"/>
        </w:rPr>
        <w:t xml:space="preserve">الجميلي، مصطفى محمد </w:t>
      </w:r>
      <w:r w:rsidRPr="00827BCB">
        <w:rPr>
          <w:rFonts w:ascii="Sakkal Majalla" w:eastAsia="Arial" w:hAnsi="Sakkal Majalla" w:cs="Sakkal Majalla"/>
          <w:sz w:val="24"/>
          <w:lang w:bidi="ar-SA"/>
        </w:rPr>
        <w:t xml:space="preserve">(2023). </w:t>
      </w:r>
      <w:r w:rsidRPr="00827BCB">
        <w:rPr>
          <w:rFonts w:ascii="Sakkal Majalla" w:eastAsia="Arial" w:hAnsi="Sakkal Majalla" w:cs="Sakkal Majalla"/>
          <w:sz w:val="24"/>
          <w:rtl/>
          <w:lang w:bidi="ar-SA"/>
        </w:rPr>
        <w:t>ممارسات الموارد البشرية وأثرها على تقليل الدوران الوظيفي في المؤسسات الصناعية</w:t>
      </w:r>
      <w:r w:rsidRPr="00827BCB">
        <w:rPr>
          <w:rFonts w:ascii="Sakkal Majalla" w:eastAsia="Arial" w:hAnsi="Sakkal Majalla" w:cs="Sakkal Majalla"/>
          <w:sz w:val="24"/>
          <w:lang w:bidi="ar-SA"/>
        </w:rPr>
        <w:t xml:space="preserve">. </w:t>
      </w:r>
      <w:r w:rsidRPr="00827BCB">
        <w:rPr>
          <w:rFonts w:ascii="Sakkal Majalla" w:eastAsia="Arial" w:hAnsi="Sakkal Majalla" w:cs="Sakkal Majalla"/>
          <w:sz w:val="24"/>
          <w:rtl/>
          <w:lang w:bidi="ar-SA"/>
        </w:rPr>
        <w:t>مجلة الاقتصاد والإدارة</w:t>
      </w:r>
      <w:r w:rsidRPr="00827BCB">
        <w:rPr>
          <w:rFonts w:ascii="Sakkal Majalla" w:eastAsia="Arial" w:hAnsi="Sakkal Majalla" w:cs="Sakkal Majalla"/>
          <w:sz w:val="24"/>
          <w:lang w:bidi="ar-SA"/>
        </w:rPr>
        <w:t>.</w:t>
      </w:r>
    </w:p>
    <w:p w14:paraId="3D808537" w14:textId="77777777" w:rsidR="00827BCB" w:rsidRPr="00827BCB" w:rsidRDefault="00827BCB" w:rsidP="00827BCB">
      <w:pPr>
        <w:numPr>
          <w:ilvl w:val="0"/>
          <w:numId w:val="13"/>
        </w:numPr>
        <w:tabs>
          <w:tab w:val="num" w:pos="720"/>
        </w:tabs>
        <w:spacing w:after="0" w:line="413" w:lineRule="auto"/>
        <w:jc w:val="both"/>
        <w:rPr>
          <w:rFonts w:ascii="Sakkal Majalla" w:eastAsia="Arial" w:hAnsi="Sakkal Majalla" w:cs="Sakkal Majalla"/>
          <w:sz w:val="24"/>
          <w:lang w:bidi="ar-SA"/>
        </w:rPr>
      </w:pPr>
      <w:r w:rsidRPr="00827BCB">
        <w:rPr>
          <w:rFonts w:ascii="Sakkal Majalla" w:eastAsia="Arial" w:hAnsi="Sakkal Majalla" w:cs="Sakkal Majalla"/>
          <w:sz w:val="24"/>
          <w:rtl/>
          <w:lang w:bidi="ar-SA"/>
        </w:rPr>
        <w:t xml:space="preserve">الخليفي، ناصر بن سعيد </w:t>
      </w:r>
      <w:r w:rsidRPr="00827BCB">
        <w:rPr>
          <w:rFonts w:ascii="Sakkal Majalla" w:eastAsia="Arial" w:hAnsi="Sakkal Majalla" w:cs="Sakkal Majalla"/>
          <w:sz w:val="24"/>
          <w:lang w:bidi="ar-SA"/>
        </w:rPr>
        <w:t xml:space="preserve">(2022). </w:t>
      </w:r>
      <w:r w:rsidRPr="00827BCB">
        <w:rPr>
          <w:rFonts w:ascii="Sakkal Majalla" w:eastAsia="Arial" w:hAnsi="Sakkal Majalla" w:cs="Sakkal Majalla"/>
          <w:sz w:val="24"/>
          <w:rtl/>
          <w:lang w:bidi="ar-SA"/>
        </w:rPr>
        <w:t>تحول دور الموارد البشرية إلى دور استراتيجي في المنظمات السعودية</w:t>
      </w:r>
      <w:r w:rsidRPr="00827BCB">
        <w:rPr>
          <w:rFonts w:ascii="Sakkal Majalla" w:eastAsia="Arial" w:hAnsi="Sakkal Majalla" w:cs="Sakkal Majalla"/>
          <w:sz w:val="24"/>
          <w:lang w:bidi="ar-SA"/>
        </w:rPr>
        <w:t xml:space="preserve">. </w:t>
      </w:r>
      <w:r w:rsidRPr="00827BCB">
        <w:rPr>
          <w:rFonts w:ascii="Sakkal Majalla" w:eastAsia="Arial" w:hAnsi="Sakkal Majalla" w:cs="Sakkal Majalla"/>
          <w:sz w:val="24"/>
          <w:rtl/>
          <w:lang w:bidi="ar-SA"/>
        </w:rPr>
        <w:t>مجلة العلوم الإدارية، 7</w:t>
      </w:r>
      <w:r w:rsidRPr="00827BCB">
        <w:rPr>
          <w:rFonts w:ascii="Sakkal Majalla" w:eastAsia="Arial" w:hAnsi="Sakkal Majalla" w:cs="Sakkal Majalla"/>
          <w:sz w:val="24"/>
          <w:lang w:bidi="ar-SA"/>
        </w:rPr>
        <w:t>(3).</w:t>
      </w:r>
    </w:p>
    <w:p w14:paraId="12A893B0" w14:textId="77777777" w:rsidR="00827BCB" w:rsidRPr="00827BCB" w:rsidRDefault="00827BCB" w:rsidP="00827BCB">
      <w:pPr>
        <w:numPr>
          <w:ilvl w:val="0"/>
          <w:numId w:val="13"/>
        </w:numPr>
        <w:tabs>
          <w:tab w:val="num" w:pos="720"/>
        </w:tabs>
        <w:spacing w:after="0" w:line="413" w:lineRule="auto"/>
        <w:jc w:val="both"/>
        <w:rPr>
          <w:rFonts w:ascii="Sakkal Majalla" w:eastAsia="Arial" w:hAnsi="Sakkal Majalla" w:cs="Sakkal Majalla"/>
          <w:sz w:val="24"/>
          <w:lang w:bidi="ar-SA"/>
        </w:rPr>
      </w:pPr>
      <w:r w:rsidRPr="00827BCB">
        <w:rPr>
          <w:rFonts w:ascii="Sakkal Majalla" w:eastAsia="Arial" w:hAnsi="Sakkal Majalla" w:cs="Sakkal Majalla"/>
          <w:sz w:val="24"/>
          <w:rtl/>
          <w:lang w:bidi="ar-SA"/>
        </w:rPr>
        <w:t xml:space="preserve">السلمي، أحمد صالح </w:t>
      </w:r>
      <w:r w:rsidRPr="00827BCB">
        <w:rPr>
          <w:rFonts w:ascii="Sakkal Majalla" w:eastAsia="Arial" w:hAnsi="Sakkal Majalla" w:cs="Sakkal Majalla"/>
          <w:sz w:val="24"/>
          <w:lang w:bidi="ar-SA"/>
        </w:rPr>
        <w:t xml:space="preserve">(2022). </w:t>
      </w:r>
      <w:r w:rsidRPr="00827BCB">
        <w:rPr>
          <w:rFonts w:ascii="Sakkal Majalla" w:eastAsia="Arial" w:hAnsi="Sakkal Majalla" w:cs="Sakkal Majalla"/>
          <w:sz w:val="24"/>
          <w:rtl/>
          <w:lang w:bidi="ar-SA"/>
        </w:rPr>
        <w:t>دور ممارسات إدارة الموارد البشرية في تحقيق الأداء المتميز</w:t>
      </w:r>
      <w:r w:rsidRPr="00827BCB">
        <w:rPr>
          <w:rFonts w:ascii="Sakkal Majalla" w:eastAsia="Arial" w:hAnsi="Sakkal Majalla" w:cs="Sakkal Majalla"/>
          <w:sz w:val="24"/>
          <w:lang w:bidi="ar-SA"/>
        </w:rPr>
        <w:t xml:space="preserve">. </w:t>
      </w:r>
      <w:r w:rsidRPr="00827BCB">
        <w:rPr>
          <w:rFonts w:ascii="Sakkal Majalla" w:eastAsia="Arial" w:hAnsi="Sakkal Majalla" w:cs="Sakkal Majalla"/>
          <w:sz w:val="24"/>
          <w:rtl/>
          <w:lang w:bidi="ar-SA"/>
        </w:rPr>
        <w:t>مجلة العلوم الإنسانية والاجتماعية، 4</w:t>
      </w:r>
      <w:r w:rsidRPr="00827BCB">
        <w:rPr>
          <w:rFonts w:ascii="Sakkal Majalla" w:eastAsia="Arial" w:hAnsi="Sakkal Majalla" w:cs="Sakkal Majalla"/>
          <w:sz w:val="24"/>
          <w:lang w:bidi="ar-SA"/>
        </w:rPr>
        <w:t>(2).</w:t>
      </w:r>
    </w:p>
    <w:p w14:paraId="0DE61BF7" w14:textId="77777777" w:rsidR="00827BCB" w:rsidRPr="00827BCB" w:rsidRDefault="00827BCB" w:rsidP="00827BCB">
      <w:pPr>
        <w:numPr>
          <w:ilvl w:val="0"/>
          <w:numId w:val="13"/>
        </w:numPr>
        <w:tabs>
          <w:tab w:val="num" w:pos="720"/>
        </w:tabs>
        <w:spacing w:after="0" w:line="413" w:lineRule="auto"/>
        <w:jc w:val="both"/>
        <w:rPr>
          <w:rFonts w:ascii="Sakkal Majalla" w:eastAsia="Arial" w:hAnsi="Sakkal Majalla" w:cs="Sakkal Majalla"/>
          <w:sz w:val="24"/>
          <w:lang w:bidi="ar-SA"/>
        </w:rPr>
      </w:pPr>
      <w:r w:rsidRPr="00827BCB">
        <w:rPr>
          <w:rFonts w:ascii="Sakkal Majalla" w:eastAsia="Arial" w:hAnsi="Sakkal Majalla" w:cs="Sakkal Majalla"/>
          <w:sz w:val="24"/>
          <w:rtl/>
          <w:lang w:bidi="ar-SA"/>
        </w:rPr>
        <w:t xml:space="preserve">الشريف، عادل حسن </w:t>
      </w:r>
      <w:r w:rsidRPr="00827BCB">
        <w:rPr>
          <w:rFonts w:ascii="Sakkal Majalla" w:eastAsia="Arial" w:hAnsi="Sakkal Majalla" w:cs="Sakkal Majalla"/>
          <w:sz w:val="24"/>
          <w:lang w:bidi="ar-SA"/>
        </w:rPr>
        <w:t xml:space="preserve">(2023). </w:t>
      </w:r>
      <w:r w:rsidRPr="00827BCB">
        <w:rPr>
          <w:rFonts w:ascii="Sakkal Majalla" w:eastAsia="Arial" w:hAnsi="Sakkal Majalla" w:cs="Sakkal Majalla"/>
          <w:sz w:val="24"/>
          <w:rtl/>
          <w:lang w:bidi="ar-SA"/>
        </w:rPr>
        <w:t>العلاقة بين ممارسات الموارد البشرية والاستغراق الوظيفي في المنظمات الصناعية</w:t>
      </w:r>
      <w:r w:rsidRPr="00827BCB">
        <w:rPr>
          <w:rFonts w:ascii="Sakkal Majalla" w:eastAsia="Arial" w:hAnsi="Sakkal Majalla" w:cs="Sakkal Majalla"/>
          <w:sz w:val="24"/>
          <w:lang w:bidi="ar-SA"/>
        </w:rPr>
        <w:t xml:space="preserve">. </w:t>
      </w:r>
      <w:r w:rsidRPr="00827BCB">
        <w:rPr>
          <w:rFonts w:ascii="Sakkal Majalla" w:eastAsia="Arial" w:hAnsi="Sakkal Majalla" w:cs="Sakkal Majalla"/>
          <w:sz w:val="24"/>
          <w:rtl/>
          <w:lang w:bidi="ar-SA"/>
        </w:rPr>
        <w:t>المجلة العربية للعلوم الإدارية</w:t>
      </w:r>
      <w:r w:rsidRPr="00827BCB">
        <w:rPr>
          <w:rFonts w:ascii="Sakkal Majalla" w:eastAsia="Arial" w:hAnsi="Sakkal Majalla" w:cs="Sakkal Majalla"/>
          <w:sz w:val="24"/>
          <w:lang w:bidi="ar-SA"/>
        </w:rPr>
        <w:t>.</w:t>
      </w:r>
    </w:p>
    <w:p w14:paraId="1DF15B64" w14:textId="77777777" w:rsidR="00827BCB" w:rsidRPr="00827BCB" w:rsidRDefault="00827BCB" w:rsidP="00827BCB">
      <w:pPr>
        <w:numPr>
          <w:ilvl w:val="0"/>
          <w:numId w:val="13"/>
        </w:numPr>
        <w:tabs>
          <w:tab w:val="num" w:pos="720"/>
        </w:tabs>
        <w:spacing w:after="0" w:line="413" w:lineRule="auto"/>
        <w:jc w:val="both"/>
        <w:rPr>
          <w:rFonts w:ascii="Sakkal Majalla" w:eastAsia="Arial" w:hAnsi="Sakkal Majalla" w:cs="Sakkal Majalla"/>
          <w:sz w:val="24"/>
          <w:lang w:bidi="ar-SA"/>
        </w:rPr>
      </w:pPr>
      <w:r w:rsidRPr="00827BCB">
        <w:rPr>
          <w:rFonts w:ascii="Sakkal Majalla" w:eastAsia="Arial" w:hAnsi="Sakkal Majalla" w:cs="Sakkal Majalla"/>
          <w:sz w:val="24"/>
          <w:rtl/>
          <w:lang w:bidi="ar-SA"/>
        </w:rPr>
        <w:t xml:space="preserve">عبد الجواد، ماجد محمد </w:t>
      </w:r>
      <w:r w:rsidRPr="00827BCB">
        <w:rPr>
          <w:rFonts w:ascii="Sakkal Majalla" w:eastAsia="Arial" w:hAnsi="Sakkal Majalla" w:cs="Sakkal Majalla"/>
          <w:sz w:val="24"/>
          <w:lang w:bidi="ar-SA"/>
        </w:rPr>
        <w:t xml:space="preserve">(2023). </w:t>
      </w:r>
      <w:r w:rsidRPr="00827BCB">
        <w:rPr>
          <w:rFonts w:ascii="Sakkal Majalla" w:eastAsia="Arial" w:hAnsi="Sakkal Majalla" w:cs="Sakkal Majalla"/>
          <w:sz w:val="24"/>
          <w:rtl/>
          <w:lang w:bidi="ar-SA"/>
        </w:rPr>
        <w:t>دور ممارسات الموارد البشرية في تعزيز رضا الموظفين والحد من التسرب الوظيفي</w:t>
      </w:r>
      <w:r w:rsidRPr="00827BCB">
        <w:rPr>
          <w:rFonts w:ascii="Sakkal Majalla" w:eastAsia="Arial" w:hAnsi="Sakkal Majalla" w:cs="Sakkal Majalla"/>
          <w:sz w:val="24"/>
          <w:lang w:bidi="ar-SA"/>
        </w:rPr>
        <w:t xml:space="preserve">. </w:t>
      </w:r>
      <w:r w:rsidRPr="00827BCB">
        <w:rPr>
          <w:rFonts w:ascii="Sakkal Majalla" w:eastAsia="Arial" w:hAnsi="Sakkal Majalla" w:cs="Sakkal Majalla"/>
          <w:sz w:val="24"/>
          <w:rtl/>
          <w:lang w:bidi="ar-SA"/>
        </w:rPr>
        <w:t>المجلة العربية للإدارة العامة</w:t>
      </w:r>
      <w:r w:rsidRPr="00827BCB">
        <w:rPr>
          <w:rFonts w:ascii="Sakkal Majalla" w:eastAsia="Arial" w:hAnsi="Sakkal Majalla" w:cs="Sakkal Majalla"/>
          <w:sz w:val="24"/>
          <w:lang w:bidi="ar-SA"/>
        </w:rPr>
        <w:t>.</w:t>
      </w:r>
    </w:p>
    <w:p w14:paraId="0F054B08" w14:textId="77777777" w:rsidR="00827BCB" w:rsidRPr="00827BCB" w:rsidRDefault="00827BCB" w:rsidP="00827BCB">
      <w:pPr>
        <w:numPr>
          <w:ilvl w:val="0"/>
          <w:numId w:val="13"/>
        </w:numPr>
        <w:tabs>
          <w:tab w:val="num" w:pos="720"/>
        </w:tabs>
        <w:spacing w:after="0" w:line="413" w:lineRule="auto"/>
        <w:jc w:val="both"/>
        <w:rPr>
          <w:rFonts w:ascii="Sakkal Majalla" w:eastAsia="Arial" w:hAnsi="Sakkal Majalla" w:cs="Sakkal Majalla"/>
          <w:sz w:val="24"/>
          <w:lang w:bidi="ar-SA"/>
        </w:rPr>
      </w:pPr>
      <w:r w:rsidRPr="00827BCB">
        <w:rPr>
          <w:rFonts w:ascii="Sakkal Majalla" w:eastAsia="Arial" w:hAnsi="Sakkal Majalla" w:cs="Sakkal Majalla"/>
          <w:sz w:val="24"/>
          <w:rtl/>
          <w:lang w:bidi="ar-SA"/>
        </w:rPr>
        <w:t xml:space="preserve">عبد الله، إبراهيم أبكر </w:t>
      </w:r>
      <w:r w:rsidRPr="00827BCB">
        <w:rPr>
          <w:rFonts w:ascii="Sakkal Majalla" w:eastAsia="Arial" w:hAnsi="Sakkal Majalla" w:cs="Sakkal Majalla"/>
          <w:sz w:val="24"/>
          <w:lang w:bidi="ar-SA"/>
        </w:rPr>
        <w:t xml:space="preserve">(2022). </w:t>
      </w:r>
      <w:r w:rsidRPr="00827BCB">
        <w:rPr>
          <w:rFonts w:ascii="Sakkal Majalla" w:eastAsia="Arial" w:hAnsi="Sakkal Majalla" w:cs="Sakkal Majalla"/>
          <w:sz w:val="24"/>
          <w:rtl/>
          <w:lang w:bidi="ar-SA"/>
        </w:rPr>
        <w:t>تأثير ممارسات إدارة الموارد البشرية على التميز المؤسسي في وزارة الداخلية</w:t>
      </w:r>
      <w:r w:rsidRPr="00827BCB">
        <w:rPr>
          <w:rFonts w:ascii="Sakkal Majalla" w:eastAsia="Arial" w:hAnsi="Sakkal Majalla" w:cs="Sakkal Majalla"/>
          <w:sz w:val="24"/>
          <w:lang w:bidi="ar-SA"/>
        </w:rPr>
        <w:t xml:space="preserve">. </w:t>
      </w:r>
      <w:r w:rsidRPr="00827BCB">
        <w:rPr>
          <w:rFonts w:ascii="Sakkal Majalla" w:eastAsia="Arial" w:hAnsi="Sakkal Majalla" w:cs="Sakkal Majalla"/>
          <w:sz w:val="24"/>
          <w:rtl/>
          <w:lang w:bidi="ar-SA"/>
        </w:rPr>
        <w:t>مجلة العلوم الإنسانية</w:t>
      </w:r>
      <w:r w:rsidRPr="00827BCB">
        <w:rPr>
          <w:rFonts w:ascii="Sakkal Majalla" w:eastAsia="Arial" w:hAnsi="Sakkal Majalla" w:cs="Sakkal Majalla"/>
          <w:sz w:val="24"/>
          <w:lang w:bidi="ar-SA"/>
        </w:rPr>
        <w:t>.</w:t>
      </w:r>
    </w:p>
    <w:p w14:paraId="591C1B1E" w14:textId="77777777" w:rsidR="00827BCB" w:rsidRPr="00827BCB" w:rsidRDefault="00827BCB" w:rsidP="00827BCB">
      <w:pPr>
        <w:numPr>
          <w:ilvl w:val="0"/>
          <w:numId w:val="13"/>
        </w:numPr>
        <w:tabs>
          <w:tab w:val="num" w:pos="720"/>
        </w:tabs>
        <w:spacing w:after="0" w:line="413" w:lineRule="auto"/>
        <w:jc w:val="both"/>
        <w:rPr>
          <w:rFonts w:ascii="Sakkal Majalla" w:eastAsia="Arial" w:hAnsi="Sakkal Majalla" w:cs="Sakkal Majalla"/>
          <w:sz w:val="24"/>
          <w:lang w:bidi="ar-SA"/>
        </w:rPr>
      </w:pPr>
      <w:proofErr w:type="gramStart"/>
      <w:r w:rsidRPr="00827BCB">
        <w:rPr>
          <w:rFonts w:ascii="Sakkal Majalla" w:eastAsia="Arial" w:hAnsi="Sakkal Majalla" w:cs="Sakkal Majalla"/>
          <w:sz w:val="24"/>
          <w:rtl/>
          <w:lang w:bidi="ar-SA"/>
        </w:rPr>
        <w:lastRenderedPageBreak/>
        <w:t>عبدالرحمن</w:t>
      </w:r>
      <w:proofErr w:type="gramEnd"/>
      <w:r w:rsidRPr="00827BCB">
        <w:rPr>
          <w:rFonts w:ascii="Sakkal Majalla" w:eastAsia="Arial" w:hAnsi="Sakkal Majalla" w:cs="Sakkal Majalla"/>
          <w:sz w:val="24"/>
          <w:rtl/>
          <w:lang w:bidi="ar-SA"/>
        </w:rPr>
        <w:t xml:space="preserve"> الزين النور، أبكر عيسى </w:t>
      </w:r>
      <w:proofErr w:type="spellStart"/>
      <w:r w:rsidRPr="00827BCB">
        <w:rPr>
          <w:rFonts w:ascii="Sakkal Majalla" w:eastAsia="Arial" w:hAnsi="Sakkal Majalla" w:cs="Sakkal Majalla"/>
          <w:sz w:val="24"/>
          <w:rtl/>
          <w:lang w:bidi="ar-SA"/>
        </w:rPr>
        <w:t>داؤد</w:t>
      </w:r>
      <w:proofErr w:type="spellEnd"/>
      <w:r w:rsidRPr="00827BCB">
        <w:rPr>
          <w:rFonts w:ascii="Sakkal Majalla" w:eastAsia="Arial" w:hAnsi="Sakkal Majalla" w:cs="Sakkal Majalla"/>
          <w:sz w:val="24"/>
          <w:rtl/>
          <w:lang w:bidi="ar-SA"/>
        </w:rPr>
        <w:t xml:space="preserve"> </w:t>
      </w:r>
      <w:r w:rsidRPr="00827BCB">
        <w:rPr>
          <w:rFonts w:ascii="Sakkal Majalla" w:eastAsia="Arial" w:hAnsi="Sakkal Majalla" w:cs="Sakkal Majalla"/>
          <w:sz w:val="24"/>
          <w:lang w:bidi="ar-SA"/>
        </w:rPr>
        <w:t xml:space="preserve">(2022). </w:t>
      </w:r>
      <w:r w:rsidRPr="00827BCB">
        <w:rPr>
          <w:rFonts w:ascii="Sakkal Majalla" w:eastAsia="Arial" w:hAnsi="Sakkal Majalla" w:cs="Sakkal Majalla"/>
          <w:sz w:val="24"/>
          <w:rtl/>
          <w:lang w:bidi="ar-SA"/>
        </w:rPr>
        <w:t>الدور المعدل للعدالة التنظيمية في العلاقة بين ممارسات إدارة الموارد البشرية والالتزام التنظيمي</w:t>
      </w:r>
      <w:r w:rsidRPr="00827BCB">
        <w:rPr>
          <w:rFonts w:ascii="Sakkal Majalla" w:eastAsia="Arial" w:hAnsi="Sakkal Majalla" w:cs="Sakkal Majalla"/>
          <w:sz w:val="24"/>
          <w:lang w:bidi="ar-SA"/>
        </w:rPr>
        <w:t xml:space="preserve">. </w:t>
      </w:r>
      <w:r w:rsidRPr="00827BCB">
        <w:rPr>
          <w:rFonts w:ascii="Sakkal Majalla" w:eastAsia="Arial" w:hAnsi="Sakkal Majalla" w:cs="Sakkal Majalla"/>
          <w:sz w:val="24"/>
          <w:rtl/>
          <w:lang w:bidi="ar-SA"/>
        </w:rPr>
        <w:t>مجلة العلوم الإنسانية</w:t>
      </w:r>
      <w:r w:rsidRPr="00827BCB">
        <w:rPr>
          <w:rFonts w:ascii="Sakkal Majalla" w:eastAsia="Arial" w:hAnsi="Sakkal Majalla" w:cs="Sakkal Majalla"/>
          <w:sz w:val="24"/>
          <w:lang w:bidi="ar-SA"/>
        </w:rPr>
        <w:t>.</w:t>
      </w:r>
    </w:p>
    <w:p w14:paraId="264923FE" w14:textId="77777777" w:rsidR="00827BCB" w:rsidRPr="00827BCB" w:rsidRDefault="00827BCB" w:rsidP="00827BCB">
      <w:pPr>
        <w:numPr>
          <w:ilvl w:val="0"/>
          <w:numId w:val="13"/>
        </w:numPr>
        <w:tabs>
          <w:tab w:val="num" w:pos="720"/>
        </w:tabs>
        <w:spacing w:after="0" w:line="413" w:lineRule="auto"/>
        <w:jc w:val="both"/>
        <w:rPr>
          <w:rFonts w:ascii="Sakkal Majalla" w:eastAsia="Arial" w:hAnsi="Sakkal Majalla" w:cs="Sakkal Majalla"/>
          <w:sz w:val="24"/>
          <w:lang w:bidi="ar-SA"/>
        </w:rPr>
      </w:pPr>
      <w:proofErr w:type="spellStart"/>
      <w:r w:rsidRPr="00827BCB">
        <w:rPr>
          <w:rFonts w:ascii="Sakkal Majalla" w:eastAsia="Arial" w:hAnsi="Sakkal Majalla" w:cs="Sakkal Majalla"/>
          <w:sz w:val="24"/>
          <w:rtl/>
          <w:lang w:bidi="ar-SA"/>
        </w:rPr>
        <w:t>الغراغير</w:t>
      </w:r>
      <w:proofErr w:type="spellEnd"/>
      <w:r w:rsidRPr="00827BCB">
        <w:rPr>
          <w:rFonts w:ascii="Sakkal Majalla" w:eastAsia="Arial" w:hAnsi="Sakkal Majalla" w:cs="Sakkal Majalla"/>
          <w:sz w:val="24"/>
          <w:rtl/>
          <w:lang w:bidi="ar-SA"/>
        </w:rPr>
        <w:t xml:space="preserve">، علاء محمد محمود </w:t>
      </w:r>
      <w:r w:rsidRPr="00827BCB">
        <w:rPr>
          <w:rFonts w:ascii="Sakkal Majalla" w:eastAsia="Arial" w:hAnsi="Sakkal Majalla" w:cs="Sakkal Majalla"/>
          <w:sz w:val="24"/>
          <w:lang w:bidi="ar-SA"/>
        </w:rPr>
        <w:t xml:space="preserve">(2022). </w:t>
      </w:r>
      <w:r w:rsidRPr="00827BCB">
        <w:rPr>
          <w:rFonts w:ascii="Sakkal Majalla" w:eastAsia="Arial" w:hAnsi="Sakkal Majalla" w:cs="Sakkal Majalla"/>
          <w:sz w:val="24"/>
          <w:rtl/>
          <w:lang w:bidi="ar-SA"/>
        </w:rPr>
        <w:t>أثر جودة ممارسات إدارة الموارد البشرية على الدوران الوظيفي</w:t>
      </w:r>
      <w:r w:rsidRPr="00827BCB">
        <w:rPr>
          <w:rFonts w:ascii="Sakkal Majalla" w:eastAsia="Arial" w:hAnsi="Sakkal Majalla" w:cs="Sakkal Majalla"/>
          <w:sz w:val="24"/>
          <w:lang w:bidi="ar-SA"/>
        </w:rPr>
        <w:t xml:space="preserve">. </w:t>
      </w:r>
      <w:r w:rsidRPr="00827BCB">
        <w:rPr>
          <w:rFonts w:ascii="Sakkal Majalla" w:eastAsia="Arial" w:hAnsi="Sakkal Majalla" w:cs="Sakkal Majalla"/>
          <w:sz w:val="24"/>
          <w:rtl/>
          <w:lang w:bidi="ar-SA"/>
        </w:rPr>
        <w:t>مجلة العلوم الإنسانية والطبيعية، 3</w:t>
      </w:r>
      <w:r w:rsidRPr="00827BCB">
        <w:rPr>
          <w:rFonts w:ascii="Sakkal Majalla" w:eastAsia="Arial" w:hAnsi="Sakkal Majalla" w:cs="Sakkal Majalla"/>
          <w:sz w:val="24"/>
          <w:lang w:bidi="ar-SA"/>
        </w:rPr>
        <w:t>(1).</w:t>
      </w:r>
    </w:p>
    <w:p w14:paraId="34DD9ABC" w14:textId="77777777" w:rsidR="00827BCB" w:rsidRPr="00827BCB" w:rsidRDefault="00827BCB" w:rsidP="00827BCB">
      <w:pPr>
        <w:numPr>
          <w:ilvl w:val="0"/>
          <w:numId w:val="13"/>
        </w:numPr>
        <w:tabs>
          <w:tab w:val="num" w:pos="720"/>
        </w:tabs>
        <w:spacing w:after="0" w:line="413" w:lineRule="auto"/>
        <w:jc w:val="both"/>
        <w:rPr>
          <w:rFonts w:ascii="Sakkal Majalla" w:eastAsia="Arial" w:hAnsi="Sakkal Majalla" w:cs="Sakkal Majalla"/>
          <w:sz w:val="24"/>
          <w:lang w:bidi="ar-SA"/>
        </w:rPr>
      </w:pPr>
      <w:r w:rsidRPr="00827BCB">
        <w:rPr>
          <w:rFonts w:ascii="Sakkal Majalla" w:eastAsia="Arial" w:hAnsi="Sakkal Majalla" w:cs="Sakkal Majalla"/>
          <w:sz w:val="24"/>
          <w:rtl/>
          <w:lang w:bidi="ar-SA"/>
        </w:rPr>
        <w:t xml:space="preserve">الفهيد، لطيفة زيد </w:t>
      </w:r>
      <w:r w:rsidRPr="00827BCB">
        <w:rPr>
          <w:rFonts w:ascii="Sakkal Majalla" w:eastAsia="Arial" w:hAnsi="Sakkal Majalla" w:cs="Sakkal Majalla"/>
          <w:sz w:val="24"/>
          <w:lang w:bidi="ar-SA"/>
        </w:rPr>
        <w:t xml:space="preserve">(2024). </w:t>
      </w:r>
      <w:r w:rsidRPr="00827BCB">
        <w:rPr>
          <w:rFonts w:ascii="Sakkal Majalla" w:eastAsia="Arial" w:hAnsi="Sakkal Majalla" w:cs="Sakkal Majalla"/>
          <w:sz w:val="24"/>
          <w:rtl/>
          <w:lang w:bidi="ar-SA"/>
        </w:rPr>
        <w:t>دور إدارة الموارد البشرية في دعم الاستغراق الوظيفي لدى الموظفين</w:t>
      </w:r>
      <w:r w:rsidRPr="00827BCB">
        <w:rPr>
          <w:rFonts w:ascii="Sakkal Majalla" w:eastAsia="Arial" w:hAnsi="Sakkal Majalla" w:cs="Sakkal Majalla"/>
          <w:sz w:val="24"/>
          <w:lang w:bidi="ar-SA"/>
        </w:rPr>
        <w:t xml:space="preserve">. </w:t>
      </w:r>
      <w:r w:rsidRPr="00827BCB">
        <w:rPr>
          <w:rFonts w:ascii="Sakkal Majalla" w:eastAsia="Arial" w:hAnsi="Sakkal Majalla" w:cs="Sakkal Majalla"/>
          <w:sz w:val="24"/>
          <w:rtl/>
          <w:lang w:bidi="ar-SA"/>
        </w:rPr>
        <w:t>مجلة العلوم الإنسانية والطبيعية، 5</w:t>
      </w:r>
      <w:r w:rsidRPr="00827BCB">
        <w:rPr>
          <w:rFonts w:ascii="Sakkal Majalla" w:eastAsia="Arial" w:hAnsi="Sakkal Majalla" w:cs="Sakkal Majalla"/>
          <w:sz w:val="24"/>
          <w:lang w:bidi="ar-SA"/>
        </w:rPr>
        <w:t>(5).</w:t>
      </w:r>
    </w:p>
    <w:p w14:paraId="13C0BA8D" w14:textId="77777777" w:rsidR="00827BCB" w:rsidRPr="00827BCB" w:rsidRDefault="00827BCB" w:rsidP="00827BCB">
      <w:pPr>
        <w:numPr>
          <w:ilvl w:val="0"/>
          <w:numId w:val="13"/>
        </w:numPr>
        <w:tabs>
          <w:tab w:val="num" w:pos="720"/>
        </w:tabs>
        <w:spacing w:after="0" w:line="413" w:lineRule="auto"/>
        <w:jc w:val="both"/>
        <w:rPr>
          <w:rFonts w:ascii="Sakkal Majalla" w:eastAsia="Arial" w:hAnsi="Sakkal Majalla" w:cs="Sakkal Majalla"/>
          <w:sz w:val="24"/>
          <w:lang w:bidi="ar-SA"/>
        </w:rPr>
      </w:pPr>
      <w:r w:rsidRPr="00827BCB">
        <w:rPr>
          <w:rFonts w:ascii="Sakkal Majalla" w:eastAsia="Arial" w:hAnsi="Sakkal Majalla" w:cs="Sakkal Majalla"/>
          <w:sz w:val="24"/>
          <w:rtl/>
          <w:lang w:bidi="ar-SA"/>
        </w:rPr>
        <w:t>القرني، طلال محمد</w:t>
      </w:r>
      <w:r w:rsidRPr="00827BCB">
        <w:rPr>
          <w:rFonts w:ascii="Sakkal Majalla" w:eastAsia="Arial" w:hAnsi="Sakkal Majalla" w:cs="Sakkal Majalla"/>
          <w:sz w:val="24"/>
          <w:lang w:bidi="ar-SA"/>
        </w:rPr>
        <w:t xml:space="preserve">. (2022). </w:t>
      </w:r>
      <w:r w:rsidRPr="00827BCB">
        <w:rPr>
          <w:rFonts w:ascii="Sakkal Majalla" w:eastAsia="Arial" w:hAnsi="Sakkal Majalla" w:cs="Sakkal Majalla"/>
          <w:sz w:val="24"/>
          <w:rtl/>
          <w:lang w:bidi="ar-SA"/>
        </w:rPr>
        <w:t>أثر ممارسات إدارة الموارد البشرية على الاحتفاظ بالكفاءات</w:t>
      </w:r>
      <w:r w:rsidRPr="00827BCB">
        <w:rPr>
          <w:rFonts w:ascii="Sakkal Majalla" w:eastAsia="Arial" w:hAnsi="Sakkal Majalla" w:cs="Sakkal Majalla"/>
          <w:sz w:val="24"/>
          <w:lang w:bidi="ar-SA"/>
        </w:rPr>
        <w:t xml:space="preserve">. </w:t>
      </w:r>
      <w:r w:rsidRPr="00827BCB">
        <w:rPr>
          <w:rFonts w:ascii="Sakkal Majalla" w:eastAsia="Arial" w:hAnsi="Sakkal Majalla" w:cs="Sakkal Majalla"/>
          <w:sz w:val="24"/>
          <w:rtl/>
          <w:lang w:bidi="ar-SA"/>
        </w:rPr>
        <w:t>مجلة الإدارة والتنمية</w:t>
      </w:r>
      <w:r w:rsidRPr="00827BCB">
        <w:rPr>
          <w:rFonts w:ascii="Sakkal Majalla" w:eastAsia="Arial" w:hAnsi="Sakkal Majalla" w:cs="Sakkal Majalla"/>
          <w:sz w:val="24"/>
          <w:lang w:bidi="ar-SA"/>
        </w:rPr>
        <w:t>.</w:t>
      </w:r>
    </w:p>
    <w:p w14:paraId="045B4449" w14:textId="77777777" w:rsidR="00AF6F84" w:rsidRPr="00AF6F84" w:rsidRDefault="00AF6F84" w:rsidP="00827BCB">
      <w:pPr>
        <w:bidi w:val="0"/>
        <w:spacing w:after="0" w:line="413" w:lineRule="auto"/>
        <w:ind w:hanging="10"/>
        <w:jc w:val="both"/>
        <w:rPr>
          <w:rFonts w:asciiTheme="majorBidi" w:eastAsia="Arial" w:hAnsiTheme="majorBidi" w:cstheme="majorBidi"/>
          <w:sz w:val="24"/>
          <w:rtl/>
        </w:rPr>
      </w:pPr>
      <w:proofErr w:type="spellStart"/>
      <w:r w:rsidRPr="00AF6F84">
        <w:rPr>
          <w:rFonts w:asciiTheme="majorBidi" w:eastAsia="Arial" w:hAnsiTheme="majorBidi" w:cstheme="majorBidi"/>
          <w:sz w:val="24"/>
          <w:lang w:val="en-US"/>
        </w:rPr>
        <w:t>Alismail</w:t>
      </w:r>
      <w:proofErr w:type="spellEnd"/>
      <w:r w:rsidRPr="00AF6F84">
        <w:rPr>
          <w:rFonts w:asciiTheme="majorBidi" w:eastAsia="Arial" w:hAnsiTheme="majorBidi" w:cstheme="majorBidi"/>
          <w:sz w:val="24"/>
          <w:lang w:val="en-US"/>
        </w:rPr>
        <w:t>, S. (2023). Impact of Human Resource Management Practice and Employees’ Behavioural Outcomes in the Saudi Arabian Manufacturing Sector. </w:t>
      </w:r>
      <w:r w:rsidRPr="00AF6F84">
        <w:rPr>
          <w:rFonts w:asciiTheme="majorBidi" w:eastAsia="Arial" w:hAnsiTheme="majorBidi" w:cstheme="majorBidi"/>
          <w:i/>
          <w:iCs/>
          <w:sz w:val="24"/>
          <w:lang w:val="en-US"/>
        </w:rPr>
        <w:t>DESIGN, CONSTRUCTION, MAINTENANCE</w:t>
      </w:r>
      <w:r w:rsidRPr="00AF6F84">
        <w:rPr>
          <w:rFonts w:asciiTheme="majorBidi" w:eastAsia="Arial" w:hAnsiTheme="majorBidi" w:cstheme="majorBidi"/>
          <w:sz w:val="24"/>
          <w:lang w:val="en-US"/>
        </w:rPr>
        <w:t xml:space="preserve">. </w:t>
      </w:r>
      <w:hyperlink r:id="rId7" w:history="1">
        <w:r w:rsidRPr="00AF6F84">
          <w:rPr>
            <w:rStyle w:val="Hyperlink"/>
            <w:rFonts w:asciiTheme="majorBidi" w:eastAsia="Arial" w:hAnsiTheme="majorBidi" w:cstheme="majorBidi"/>
            <w:sz w:val="24"/>
            <w:lang w:val="en-US"/>
          </w:rPr>
          <w:t>https://doi.org/10.37394/232022.2023.3.10</w:t>
        </w:r>
      </w:hyperlink>
      <w:r w:rsidRPr="00AF6F84">
        <w:rPr>
          <w:rFonts w:asciiTheme="majorBidi" w:eastAsia="Arial" w:hAnsiTheme="majorBidi" w:cstheme="majorBidi"/>
          <w:sz w:val="24"/>
          <w:lang w:val="en-US"/>
        </w:rPr>
        <w:t>.</w:t>
      </w:r>
    </w:p>
    <w:p w14:paraId="7F980F21" w14:textId="77777777" w:rsidR="00AF6F84" w:rsidRPr="00AF6F84" w:rsidRDefault="00AF6F84" w:rsidP="00827BCB">
      <w:pPr>
        <w:bidi w:val="0"/>
        <w:spacing w:after="0" w:line="413" w:lineRule="auto"/>
        <w:ind w:hanging="10"/>
        <w:jc w:val="both"/>
        <w:rPr>
          <w:rFonts w:asciiTheme="majorBidi" w:eastAsia="Arial" w:hAnsiTheme="majorBidi" w:cstheme="majorBidi"/>
          <w:sz w:val="24"/>
          <w:rtl/>
        </w:rPr>
      </w:pPr>
      <w:r w:rsidRPr="00AF6F84">
        <w:rPr>
          <w:rFonts w:asciiTheme="majorBidi" w:eastAsia="Arial" w:hAnsiTheme="majorBidi" w:cstheme="majorBidi"/>
          <w:sz w:val="24"/>
          <w:lang w:val="en-US"/>
        </w:rPr>
        <w:t>Aljohani, M. (2018). Work Engagement as Mediator in the Relationship between Job Resources and Employees Turnover Intention among Nursing Practitioners in Saudia Arabia. </w:t>
      </w:r>
      <w:r w:rsidRPr="00AF6F84">
        <w:rPr>
          <w:rFonts w:asciiTheme="majorBidi" w:eastAsia="Arial" w:hAnsiTheme="majorBidi" w:cstheme="majorBidi"/>
          <w:i/>
          <w:iCs/>
          <w:sz w:val="24"/>
          <w:lang w:val="en-US"/>
        </w:rPr>
        <w:t>International Journal of Business and Management</w:t>
      </w:r>
      <w:r w:rsidRPr="00AF6F84">
        <w:rPr>
          <w:rFonts w:asciiTheme="majorBidi" w:eastAsia="Arial" w:hAnsiTheme="majorBidi" w:cstheme="majorBidi"/>
          <w:sz w:val="24"/>
          <w:lang w:val="en-US"/>
        </w:rPr>
        <w:t xml:space="preserve">. </w:t>
      </w:r>
      <w:hyperlink r:id="rId8" w:history="1">
        <w:r w:rsidRPr="00AF6F84">
          <w:rPr>
            <w:rStyle w:val="Hyperlink"/>
            <w:rFonts w:asciiTheme="majorBidi" w:eastAsia="Arial" w:hAnsiTheme="majorBidi" w:cstheme="majorBidi"/>
            <w:sz w:val="24"/>
            <w:lang w:val="en-US"/>
          </w:rPr>
          <w:t>https://doi.org/10.5539/ijbm.v17n4p64</w:t>
        </w:r>
      </w:hyperlink>
      <w:r w:rsidRPr="00AF6F84">
        <w:rPr>
          <w:rFonts w:asciiTheme="majorBidi" w:eastAsia="Arial" w:hAnsiTheme="majorBidi" w:cstheme="majorBidi"/>
          <w:sz w:val="24"/>
          <w:lang w:val="en-US"/>
        </w:rPr>
        <w:t>.</w:t>
      </w:r>
    </w:p>
    <w:p w14:paraId="3E4F0B4A" w14:textId="77777777" w:rsidR="00AF6F84" w:rsidRPr="00AF6F84" w:rsidRDefault="00AF6F84" w:rsidP="00827BCB">
      <w:pPr>
        <w:bidi w:val="0"/>
        <w:spacing w:after="0" w:line="413" w:lineRule="auto"/>
        <w:ind w:hanging="10"/>
        <w:jc w:val="both"/>
        <w:rPr>
          <w:rFonts w:asciiTheme="majorBidi" w:eastAsia="Arial" w:hAnsiTheme="majorBidi" w:cstheme="majorBidi"/>
          <w:sz w:val="24"/>
          <w:rtl/>
        </w:rPr>
      </w:pPr>
      <w:proofErr w:type="spellStart"/>
      <w:r w:rsidRPr="00AF6F84">
        <w:rPr>
          <w:rFonts w:asciiTheme="majorBidi" w:eastAsia="Arial" w:hAnsiTheme="majorBidi" w:cstheme="majorBidi"/>
          <w:sz w:val="24"/>
          <w:lang w:val="en-US"/>
        </w:rPr>
        <w:t>Almatter</w:t>
      </w:r>
      <w:proofErr w:type="spellEnd"/>
      <w:r w:rsidRPr="00AF6F84">
        <w:rPr>
          <w:rFonts w:asciiTheme="majorBidi" w:eastAsia="Arial" w:hAnsiTheme="majorBidi" w:cstheme="majorBidi"/>
          <w:sz w:val="24"/>
          <w:lang w:val="en-US"/>
        </w:rPr>
        <w:t>, A. (2022). The Impact of Human Resource Management Strategies Practices on the Performance of Organizations SMEs Companies (A Case Study in the Eastern Province - Saudi Arabia). </w:t>
      </w:r>
      <w:r w:rsidRPr="00AF6F84">
        <w:rPr>
          <w:rFonts w:asciiTheme="majorBidi" w:eastAsia="Arial" w:hAnsiTheme="majorBidi" w:cstheme="majorBidi"/>
          <w:i/>
          <w:iCs/>
          <w:sz w:val="24"/>
          <w:lang w:val="en-US"/>
        </w:rPr>
        <w:t>International Journal of Research and Studies Publishing</w:t>
      </w:r>
      <w:r w:rsidRPr="00AF6F84">
        <w:rPr>
          <w:rFonts w:asciiTheme="majorBidi" w:eastAsia="Arial" w:hAnsiTheme="majorBidi" w:cstheme="majorBidi"/>
          <w:sz w:val="24"/>
          <w:lang w:val="en-US"/>
        </w:rPr>
        <w:t xml:space="preserve">. </w:t>
      </w:r>
      <w:hyperlink r:id="rId9" w:history="1">
        <w:r w:rsidRPr="00AF6F84">
          <w:rPr>
            <w:rStyle w:val="Hyperlink"/>
            <w:rFonts w:asciiTheme="majorBidi" w:eastAsia="Arial" w:hAnsiTheme="majorBidi" w:cstheme="majorBidi"/>
            <w:sz w:val="24"/>
            <w:lang w:val="en-US"/>
          </w:rPr>
          <w:t>https://doi.org/10.52133/ijrsp.v3.34.8</w:t>
        </w:r>
      </w:hyperlink>
      <w:r w:rsidRPr="00AF6F84">
        <w:rPr>
          <w:rFonts w:asciiTheme="majorBidi" w:eastAsia="Arial" w:hAnsiTheme="majorBidi" w:cstheme="majorBidi"/>
          <w:sz w:val="24"/>
          <w:lang w:val="en-US"/>
        </w:rPr>
        <w:t>.</w:t>
      </w:r>
    </w:p>
    <w:p w14:paraId="77463885" w14:textId="77777777" w:rsidR="00AF6F84" w:rsidRPr="00AF6F84" w:rsidRDefault="00AF6F84" w:rsidP="00827BCB">
      <w:pPr>
        <w:bidi w:val="0"/>
        <w:spacing w:after="0" w:line="413" w:lineRule="auto"/>
        <w:ind w:hanging="10"/>
        <w:jc w:val="both"/>
        <w:rPr>
          <w:rFonts w:asciiTheme="majorBidi" w:eastAsia="Arial" w:hAnsiTheme="majorBidi" w:cstheme="majorBidi"/>
          <w:sz w:val="24"/>
          <w:rtl/>
        </w:rPr>
      </w:pPr>
      <w:r w:rsidRPr="00AF6F84">
        <w:rPr>
          <w:rFonts w:asciiTheme="majorBidi" w:eastAsia="Arial" w:hAnsiTheme="majorBidi" w:cstheme="majorBidi"/>
          <w:sz w:val="24"/>
          <w:lang w:val="it-IT"/>
        </w:rPr>
        <w:t xml:space="preserve">Alnehabi, M., &amp; Al-Mekhlafi, A. (2023). </w:t>
      </w:r>
      <w:r w:rsidRPr="00AF6F84">
        <w:rPr>
          <w:rFonts w:asciiTheme="majorBidi" w:eastAsia="Arial" w:hAnsiTheme="majorBidi" w:cstheme="majorBidi"/>
          <w:sz w:val="24"/>
          <w:lang w:val="en-US"/>
        </w:rPr>
        <w:t>The Association between Corporate Social Responsibility, Employee Performance, and Turnover Intention Moderated by Organizational Identification and Commitment. </w:t>
      </w:r>
      <w:r w:rsidRPr="00AF6F84">
        <w:rPr>
          <w:rFonts w:asciiTheme="majorBidi" w:eastAsia="Arial" w:hAnsiTheme="majorBidi" w:cstheme="majorBidi"/>
          <w:i/>
          <w:iCs/>
          <w:sz w:val="24"/>
          <w:lang w:val="en-US"/>
        </w:rPr>
        <w:t>Sustainability</w:t>
      </w:r>
      <w:r w:rsidRPr="00AF6F84">
        <w:rPr>
          <w:rFonts w:asciiTheme="majorBidi" w:eastAsia="Arial" w:hAnsiTheme="majorBidi" w:cstheme="majorBidi"/>
          <w:sz w:val="24"/>
          <w:lang w:val="en-US"/>
        </w:rPr>
        <w:t xml:space="preserve">. </w:t>
      </w:r>
      <w:hyperlink r:id="rId10" w:history="1">
        <w:r w:rsidRPr="00AF6F84">
          <w:rPr>
            <w:rStyle w:val="Hyperlink"/>
            <w:rFonts w:asciiTheme="majorBidi" w:eastAsia="Arial" w:hAnsiTheme="majorBidi" w:cstheme="majorBidi"/>
            <w:sz w:val="24"/>
            <w:lang w:val="en-US"/>
          </w:rPr>
          <w:t>https://doi.org/10.3390/su151914202</w:t>
        </w:r>
      </w:hyperlink>
      <w:r w:rsidRPr="00AF6F84">
        <w:rPr>
          <w:rFonts w:asciiTheme="majorBidi" w:eastAsia="Arial" w:hAnsiTheme="majorBidi" w:cstheme="majorBidi"/>
          <w:sz w:val="24"/>
          <w:lang w:val="en-US"/>
        </w:rPr>
        <w:t>.</w:t>
      </w:r>
    </w:p>
    <w:p w14:paraId="1B2AD900" w14:textId="77777777" w:rsidR="00AF6F84" w:rsidRPr="00AF6F84" w:rsidRDefault="00AF6F84" w:rsidP="00827BCB">
      <w:pPr>
        <w:bidi w:val="0"/>
        <w:spacing w:after="0" w:line="413" w:lineRule="auto"/>
        <w:ind w:hanging="10"/>
        <w:jc w:val="both"/>
        <w:rPr>
          <w:rFonts w:asciiTheme="majorBidi" w:eastAsia="Arial" w:hAnsiTheme="majorBidi" w:cstheme="majorBidi"/>
          <w:sz w:val="24"/>
          <w:rtl/>
        </w:rPr>
      </w:pPr>
      <w:proofErr w:type="spellStart"/>
      <w:r w:rsidRPr="00AF6F84">
        <w:rPr>
          <w:rFonts w:asciiTheme="majorBidi" w:eastAsia="Arial" w:hAnsiTheme="majorBidi" w:cstheme="majorBidi"/>
          <w:sz w:val="24"/>
        </w:rPr>
        <w:t>Alotaibi</w:t>
      </w:r>
      <w:proofErr w:type="spellEnd"/>
      <w:r w:rsidRPr="00AF6F84">
        <w:rPr>
          <w:rFonts w:asciiTheme="majorBidi" w:eastAsia="Arial" w:hAnsiTheme="majorBidi" w:cstheme="majorBidi"/>
          <w:sz w:val="24"/>
        </w:rPr>
        <w:t>,</w:t>
      </w:r>
      <w:proofErr w:type="gramStart"/>
      <w:r w:rsidRPr="00AF6F84">
        <w:rPr>
          <w:rFonts w:asciiTheme="majorBidi" w:eastAsia="Arial" w:hAnsiTheme="majorBidi" w:cstheme="majorBidi"/>
          <w:sz w:val="24"/>
        </w:rPr>
        <w:t xml:space="preserve"> ,</w:t>
      </w:r>
      <w:proofErr w:type="gramEnd"/>
      <w:r w:rsidRPr="00AF6F84">
        <w:rPr>
          <w:rFonts w:asciiTheme="majorBidi" w:eastAsia="Arial" w:hAnsiTheme="majorBidi" w:cstheme="majorBidi"/>
          <w:sz w:val="24"/>
        </w:rPr>
        <w:t xml:space="preserve">., &amp; </w:t>
      </w:r>
      <w:proofErr w:type="spellStart"/>
      <w:r w:rsidRPr="00AF6F84">
        <w:rPr>
          <w:rFonts w:asciiTheme="majorBidi" w:eastAsia="Arial" w:hAnsiTheme="majorBidi" w:cstheme="majorBidi"/>
          <w:sz w:val="24"/>
        </w:rPr>
        <w:t>Algethami</w:t>
      </w:r>
      <w:proofErr w:type="spellEnd"/>
      <w:r w:rsidRPr="00AF6F84">
        <w:rPr>
          <w:rFonts w:asciiTheme="majorBidi" w:eastAsia="Arial" w:hAnsiTheme="majorBidi" w:cstheme="majorBidi"/>
          <w:sz w:val="24"/>
        </w:rPr>
        <w:t xml:space="preserve">, A. (2023). </w:t>
      </w:r>
      <w:proofErr w:type="spellStart"/>
      <w:r w:rsidRPr="00AF6F84">
        <w:rPr>
          <w:rFonts w:asciiTheme="majorBidi" w:eastAsia="Arial" w:hAnsiTheme="majorBidi" w:cstheme="majorBidi"/>
          <w:sz w:val="24"/>
        </w:rPr>
        <w:t>High</w:t>
      </w:r>
      <w:proofErr w:type="spellEnd"/>
      <w:r w:rsidRPr="00AF6F84">
        <w:rPr>
          <w:rFonts w:asciiTheme="majorBidi" w:eastAsia="Arial" w:hAnsiTheme="majorBidi" w:cstheme="majorBidi"/>
          <w:sz w:val="24"/>
        </w:rPr>
        <w:t xml:space="preserve"> </w:t>
      </w:r>
      <w:proofErr w:type="spellStart"/>
      <w:r w:rsidRPr="00AF6F84">
        <w:rPr>
          <w:rFonts w:asciiTheme="majorBidi" w:eastAsia="Arial" w:hAnsiTheme="majorBidi" w:cstheme="majorBidi"/>
          <w:sz w:val="24"/>
        </w:rPr>
        <w:t>Commitments</w:t>
      </w:r>
      <w:proofErr w:type="spellEnd"/>
      <w:r w:rsidRPr="00AF6F84">
        <w:rPr>
          <w:rFonts w:asciiTheme="majorBidi" w:eastAsia="Arial" w:hAnsiTheme="majorBidi" w:cstheme="majorBidi"/>
          <w:sz w:val="24"/>
        </w:rPr>
        <w:t xml:space="preserve"> </w:t>
      </w:r>
      <w:proofErr w:type="spellStart"/>
      <w:r w:rsidRPr="00AF6F84">
        <w:rPr>
          <w:rFonts w:asciiTheme="majorBidi" w:eastAsia="Arial" w:hAnsiTheme="majorBidi" w:cstheme="majorBidi"/>
          <w:sz w:val="24"/>
        </w:rPr>
        <w:t>HR</w:t>
      </w:r>
      <w:proofErr w:type="spellEnd"/>
      <w:r w:rsidRPr="00AF6F84">
        <w:rPr>
          <w:rFonts w:asciiTheme="majorBidi" w:eastAsia="Arial" w:hAnsiTheme="majorBidi" w:cstheme="majorBidi"/>
          <w:sz w:val="24"/>
        </w:rPr>
        <w:t xml:space="preserve"> </w:t>
      </w:r>
      <w:proofErr w:type="spellStart"/>
      <w:r w:rsidRPr="00AF6F84">
        <w:rPr>
          <w:rFonts w:asciiTheme="majorBidi" w:eastAsia="Arial" w:hAnsiTheme="majorBidi" w:cstheme="majorBidi"/>
          <w:sz w:val="24"/>
        </w:rPr>
        <w:t>System</w:t>
      </w:r>
      <w:proofErr w:type="spellEnd"/>
      <w:r w:rsidRPr="00AF6F84">
        <w:rPr>
          <w:rFonts w:asciiTheme="majorBidi" w:eastAsia="Arial" w:hAnsiTheme="majorBidi" w:cstheme="majorBidi"/>
          <w:sz w:val="24"/>
        </w:rPr>
        <w:t xml:space="preserve"> </w:t>
      </w:r>
      <w:proofErr w:type="spellStart"/>
      <w:r w:rsidRPr="00AF6F84">
        <w:rPr>
          <w:rFonts w:asciiTheme="majorBidi" w:eastAsia="Arial" w:hAnsiTheme="majorBidi" w:cstheme="majorBidi"/>
          <w:sz w:val="24"/>
        </w:rPr>
        <w:t>and</w:t>
      </w:r>
      <w:proofErr w:type="spellEnd"/>
      <w:r w:rsidRPr="00AF6F84">
        <w:rPr>
          <w:rFonts w:asciiTheme="majorBidi" w:eastAsia="Arial" w:hAnsiTheme="majorBidi" w:cstheme="majorBidi"/>
          <w:sz w:val="24"/>
        </w:rPr>
        <w:t xml:space="preserve"> </w:t>
      </w:r>
      <w:proofErr w:type="spellStart"/>
      <w:r w:rsidRPr="00AF6F84">
        <w:rPr>
          <w:rFonts w:asciiTheme="majorBidi" w:eastAsia="Arial" w:hAnsiTheme="majorBidi" w:cstheme="majorBidi"/>
          <w:sz w:val="24"/>
        </w:rPr>
        <w:t>Turnover</w:t>
      </w:r>
      <w:proofErr w:type="spellEnd"/>
      <w:r w:rsidRPr="00AF6F84">
        <w:rPr>
          <w:rFonts w:asciiTheme="majorBidi" w:eastAsia="Arial" w:hAnsiTheme="majorBidi" w:cstheme="majorBidi"/>
          <w:sz w:val="24"/>
        </w:rPr>
        <w:t xml:space="preserve"> </w:t>
      </w:r>
      <w:proofErr w:type="spellStart"/>
      <w:r w:rsidRPr="00AF6F84">
        <w:rPr>
          <w:rFonts w:asciiTheme="majorBidi" w:eastAsia="Arial" w:hAnsiTheme="majorBidi" w:cstheme="majorBidi"/>
          <w:sz w:val="24"/>
        </w:rPr>
        <w:t>Intention</w:t>
      </w:r>
      <w:proofErr w:type="spellEnd"/>
      <w:r w:rsidRPr="00AF6F84">
        <w:rPr>
          <w:rFonts w:asciiTheme="majorBidi" w:eastAsia="Arial" w:hAnsiTheme="majorBidi" w:cstheme="majorBidi"/>
          <w:sz w:val="24"/>
        </w:rPr>
        <w:t xml:space="preserve">: </w:t>
      </w:r>
      <w:proofErr w:type="spellStart"/>
      <w:r w:rsidRPr="00AF6F84">
        <w:rPr>
          <w:rFonts w:asciiTheme="majorBidi" w:eastAsia="Arial" w:hAnsiTheme="majorBidi" w:cstheme="majorBidi"/>
          <w:sz w:val="24"/>
        </w:rPr>
        <w:t>Mediating</w:t>
      </w:r>
      <w:proofErr w:type="spellEnd"/>
      <w:r w:rsidRPr="00AF6F84">
        <w:rPr>
          <w:rFonts w:asciiTheme="majorBidi" w:eastAsia="Arial" w:hAnsiTheme="majorBidi" w:cstheme="majorBidi"/>
          <w:sz w:val="24"/>
        </w:rPr>
        <w:t xml:space="preserve"> </w:t>
      </w:r>
      <w:proofErr w:type="spellStart"/>
      <w:r w:rsidRPr="00AF6F84">
        <w:rPr>
          <w:rFonts w:asciiTheme="majorBidi" w:eastAsia="Arial" w:hAnsiTheme="majorBidi" w:cstheme="majorBidi"/>
          <w:sz w:val="24"/>
        </w:rPr>
        <w:t>Effect</w:t>
      </w:r>
      <w:proofErr w:type="spellEnd"/>
      <w:r w:rsidRPr="00AF6F84">
        <w:rPr>
          <w:rFonts w:asciiTheme="majorBidi" w:eastAsia="Arial" w:hAnsiTheme="majorBidi" w:cstheme="majorBidi"/>
          <w:sz w:val="24"/>
        </w:rPr>
        <w:t xml:space="preserve"> of </w:t>
      </w:r>
      <w:proofErr w:type="spellStart"/>
      <w:r w:rsidRPr="00AF6F84">
        <w:rPr>
          <w:rFonts w:asciiTheme="majorBidi" w:eastAsia="Arial" w:hAnsiTheme="majorBidi" w:cstheme="majorBidi"/>
          <w:sz w:val="24"/>
        </w:rPr>
        <w:t>Affective</w:t>
      </w:r>
      <w:proofErr w:type="spellEnd"/>
      <w:r w:rsidRPr="00AF6F84">
        <w:rPr>
          <w:rFonts w:asciiTheme="majorBidi" w:eastAsia="Arial" w:hAnsiTheme="majorBidi" w:cstheme="majorBidi"/>
          <w:sz w:val="24"/>
        </w:rPr>
        <w:t xml:space="preserve"> </w:t>
      </w:r>
      <w:proofErr w:type="spellStart"/>
      <w:r w:rsidRPr="00AF6F84">
        <w:rPr>
          <w:rFonts w:asciiTheme="majorBidi" w:eastAsia="Arial" w:hAnsiTheme="majorBidi" w:cstheme="majorBidi"/>
          <w:sz w:val="24"/>
        </w:rPr>
        <w:t>Commitment</w:t>
      </w:r>
      <w:proofErr w:type="spellEnd"/>
      <w:r w:rsidRPr="00AF6F84">
        <w:rPr>
          <w:rFonts w:asciiTheme="majorBidi" w:eastAsia="Arial" w:hAnsiTheme="majorBidi" w:cstheme="majorBidi"/>
          <w:sz w:val="24"/>
        </w:rPr>
        <w:t xml:space="preserve"> </w:t>
      </w:r>
      <w:proofErr w:type="spellStart"/>
      <w:r w:rsidRPr="00AF6F84">
        <w:rPr>
          <w:rFonts w:asciiTheme="majorBidi" w:eastAsia="Arial" w:hAnsiTheme="majorBidi" w:cstheme="majorBidi"/>
          <w:sz w:val="24"/>
        </w:rPr>
        <w:t>and</w:t>
      </w:r>
      <w:proofErr w:type="spellEnd"/>
      <w:r w:rsidRPr="00AF6F84">
        <w:rPr>
          <w:rFonts w:asciiTheme="majorBidi" w:eastAsia="Arial" w:hAnsiTheme="majorBidi" w:cstheme="majorBidi"/>
          <w:sz w:val="24"/>
        </w:rPr>
        <w:t xml:space="preserve"> </w:t>
      </w:r>
      <w:proofErr w:type="spellStart"/>
      <w:r w:rsidRPr="00AF6F84">
        <w:rPr>
          <w:rFonts w:asciiTheme="majorBidi" w:eastAsia="Arial" w:hAnsiTheme="majorBidi" w:cstheme="majorBidi"/>
          <w:sz w:val="24"/>
        </w:rPr>
        <w:t>Workload</w:t>
      </w:r>
      <w:proofErr w:type="spellEnd"/>
      <w:r w:rsidRPr="00AF6F84">
        <w:rPr>
          <w:rFonts w:asciiTheme="majorBidi" w:eastAsia="Arial" w:hAnsiTheme="majorBidi" w:cstheme="majorBidi"/>
          <w:sz w:val="24"/>
        </w:rPr>
        <w:t xml:space="preserve"> </w:t>
      </w:r>
      <w:proofErr w:type="spellStart"/>
      <w:r w:rsidRPr="00AF6F84">
        <w:rPr>
          <w:rFonts w:asciiTheme="majorBidi" w:eastAsia="Arial" w:hAnsiTheme="majorBidi" w:cstheme="majorBidi"/>
          <w:sz w:val="24"/>
        </w:rPr>
        <w:t>Among</w:t>
      </w:r>
      <w:proofErr w:type="spellEnd"/>
      <w:r w:rsidRPr="00AF6F84">
        <w:rPr>
          <w:rFonts w:asciiTheme="majorBidi" w:eastAsia="Arial" w:hAnsiTheme="majorBidi" w:cstheme="majorBidi"/>
          <w:sz w:val="24"/>
        </w:rPr>
        <w:t xml:space="preserve"> </w:t>
      </w:r>
      <w:proofErr w:type="spellStart"/>
      <w:r w:rsidRPr="00AF6F84">
        <w:rPr>
          <w:rFonts w:asciiTheme="majorBidi" w:eastAsia="Arial" w:hAnsiTheme="majorBidi" w:cstheme="majorBidi"/>
          <w:sz w:val="24"/>
        </w:rPr>
        <w:t>Saudi</w:t>
      </w:r>
      <w:proofErr w:type="spellEnd"/>
      <w:r w:rsidRPr="00AF6F84">
        <w:rPr>
          <w:rFonts w:asciiTheme="majorBidi" w:eastAsia="Arial" w:hAnsiTheme="majorBidi" w:cstheme="majorBidi"/>
          <w:sz w:val="24"/>
        </w:rPr>
        <w:t xml:space="preserve"> </w:t>
      </w:r>
      <w:proofErr w:type="spellStart"/>
      <w:r w:rsidRPr="00AF6F84">
        <w:rPr>
          <w:rFonts w:asciiTheme="majorBidi" w:eastAsia="Arial" w:hAnsiTheme="majorBidi" w:cstheme="majorBidi"/>
          <w:sz w:val="24"/>
        </w:rPr>
        <w:t>Firms</w:t>
      </w:r>
      <w:proofErr w:type="spellEnd"/>
      <w:r w:rsidRPr="00AF6F84">
        <w:rPr>
          <w:rFonts w:asciiTheme="majorBidi" w:eastAsia="Arial" w:hAnsiTheme="majorBidi" w:cstheme="majorBidi"/>
          <w:sz w:val="24"/>
        </w:rPr>
        <w:t>. </w:t>
      </w:r>
      <w:r w:rsidRPr="00AF6F84">
        <w:rPr>
          <w:rFonts w:asciiTheme="majorBidi" w:eastAsia="Arial" w:hAnsiTheme="majorBidi" w:cstheme="majorBidi"/>
          <w:i/>
          <w:iCs/>
          <w:sz w:val="24"/>
          <w:rtl/>
        </w:rPr>
        <w:t>التجارة والتمويل</w:t>
      </w:r>
      <w:r w:rsidRPr="00AF6F84">
        <w:rPr>
          <w:rFonts w:asciiTheme="majorBidi" w:eastAsia="Arial" w:hAnsiTheme="majorBidi" w:cstheme="majorBidi"/>
          <w:sz w:val="24"/>
        </w:rPr>
        <w:t xml:space="preserve">. </w:t>
      </w:r>
      <w:hyperlink r:id="rId11" w:history="1">
        <w:r w:rsidRPr="00AF6F84">
          <w:rPr>
            <w:rStyle w:val="Hyperlink"/>
            <w:rFonts w:asciiTheme="majorBidi" w:eastAsia="Arial" w:hAnsiTheme="majorBidi" w:cstheme="majorBidi"/>
            <w:sz w:val="24"/>
            <w:lang w:val="en-US"/>
          </w:rPr>
          <w:t>https://doi.org/10.21608/caf.2023.283863</w:t>
        </w:r>
      </w:hyperlink>
      <w:r w:rsidRPr="00AF6F84">
        <w:rPr>
          <w:rFonts w:asciiTheme="majorBidi" w:eastAsia="Arial" w:hAnsiTheme="majorBidi" w:cstheme="majorBidi"/>
          <w:sz w:val="24"/>
          <w:lang w:val="en-US"/>
        </w:rPr>
        <w:t>.</w:t>
      </w:r>
    </w:p>
    <w:p w14:paraId="33F2EAC5" w14:textId="77777777" w:rsidR="00AF6F84" w:rsidRPr="00AF6F84" w:rsidRDefault="00AF6F84" w:rsidP="00827BCB">
      <w:pPr>
        <w:bidi w:val="0"/>
        <w:spacing w:after="0" w:line="413" w:lineRule="auto"/>
        <w:ind w:hanging="10"/>
        <w:jc w:val="both"/>
        <w:rPr>
          <w:rFonts w:asciiTheme="majorBidi" w:eastAsia="Arial" w:hAnsiTheme="majorBidi" w:cstheme="majorBidi"/>
          <w:sz w:val="24"/>
          <w:rtl/>
        </w:rPr>
      </w:pPr>
      <w:proofErr w:type="spellStart"/>
      <w:r w:rsidRPr="00AF6F84">
        <w:rPr>
          <w:rFonts w:asciiTheme="majorBidi" w:eastAsia="Arial" w:hAnsiTheme="majorBidi" w:cstheme="majorBidi"/>
          <w:sz w:val="24"/>
        </w:rPr>
        <w:t>Alreshidi</w:t>
      </w:r>
      <w:proofErr w:type="spellEnd"/>
      <w:r w:rsidRPr="00AF6F84">
        <w:rPr>
          <w:rFonts w:asciiTheme="majorBidi" w:eastAsia="Arial" w:hAnsiTheme="majorBidi" w:cstheme="majorBidi"/>
          <w:sz w:val="24"/>
        </w:rPr>
        <w:t xml:space="preserve">, N., </w:t>
      </w:r>
      <w:proofErr w:type="spellStart"/>
      <w:r w:rsidRPr="00AF6F84">
        <w:rPr>
          <w:rFonts w:asciiTheme="majorBidi" w:eastAsia="Arial" w:hAnsiTheme="majorBidi" w:cstheme="majorBidi"/>
          <w:sz w:val="24"/>
        </w:rPr>
        <w:t>Alrashidi</w:t>
      </w:r>
      <w:proofErr w:type="spellEnd"/>
      <w:r w:rsidRPr="00AF6F84">
        <w:rPr>
          <w:rFonts w:asciiTheme="majorBidi" w:eastAsia="Arial" w:hAnsiTheme="majorBidi" w:cstheme="majorBidi"/>
          <w:sz w:val="24"/>
        </w:rPr>
        <w:t xml:space="preserve">, L., </w:t>
      </w:r>
      <w:proofErr w:type="spellStart"/>
      <w:r w:rsidRPr="00AF6F84">
        <w:rPr>
          <w:rFonts w:asciiTheme="majorBidi" w:eastAsia="Arial" w:hAnsiTheme="majorBidi" w:cstheme="majorBidi"/>
          <w:sz w:val="24"/>
        </w:rPr>
        <w:t>Alanazi</w:t>
      </w:r>
      <w:proofErr w:type="spellEnd"/>
      <w:r w:rsidRPr="00AF6F84">
        <w:rPr>
          <w:rFonts w:asciiTheme="majorBidi" w:eastAsia="Arial" w:hAnsiTheme="majorBidi" w:cstheme="majorBidi"/>
          <w:sz w:val="24"/>
        </w:rPr>
        <w:t xml:space="preserve">, A., &amp; </w:t>
      </w:r>
      <w:proofErr w:type="spellStart"/>
      <w:r w:rsidRPr="00AF6F84">
        <w:rPr>
          <w:rFonts w:asciiTheme="majorBidi" w:eastAsia="Arial" w:hAnsiTheme="majorBidi" w:cstheme="majorBidi"/>
          <w:sz w:val="24"/>
        </w:rPr>
        <w:t>Alshammri</w:t>
      </w:r>
      <w:proofErr w:type="spellEnd"/>
      <w:r w:rsidRPr="00AF6F84">
        <w:rPr>
          <w:rFonts w:asciiTheme="majorBidi" w:eastAsia="Arial" w:hAnsiTheme="majorBidi" w:cstheme="majorBidi"/>
          <w:sz w:val="24"/>
        </w:rPr>
        <w:t xml:space="preserve">, E. (2021). </w:t>
      </w:r>
      <w:r w:rsidRPr="00AF6F84">
        <w:rPr>
          <w:rFonts w:asciiTheme="majorBidi" w:eastAsia="Arial" w:hAnsiTheme="majorBidi" w:cstheme="majorBidi"/>
          <w:sz w:val="24"/>
          <w:lang w:val="en-US"/>
        </w:rPr>
        <w:t>Turnover among foreign nurses in Saudi Arabia. </w:t>
      </w:r>
      <w:r w:rsidRPr="00AF6F84">
        <w:rPr>
          <w:rFonts w:asciiTheme="majorBidi" w:eastAsia="Arial" w:hAnsiTheme="majorBidi" w:cstheme="majorBidi"/>
          <w:i/>
          <w:iCs/>
          <w:sz w:val="24"/>
          <w:lang w:val="en-US"/>
        </w:rPr>
        <w:t>Journal of Public Health Research</w:t>
      </w:r>
      <w:r w:rsidRPr="00AF6F84">
        <w:rPr>
          <w:rFonts w:asciiTheme="majorBidi" w:eastAsia="Arial" w:hAnsiTheme="majorBidi" w:cstheme="majorBidi"/>
          <w:sz w:val="24"/>
          <w:lang w:val="en-US"/>
        </w:rPr>
        <w:t xml:space="preserve">, 10. </w:t>
      </w:r>
      <w:hyperlink r:id="rId12" w:history="1">
        <w:r w:rsidRPr="00AF6F84">
          <w:rPr>
            <w:rStyle w:val="Hyperlink"/>
            <w:rFonts w:asciiTheme="majorBidi" w:eastAsia="Arial" w:hAnsiTheme="majorBidi" w:cstheme="majorBidi"/>
            <w:sz w:val="24"/>
            <w:lang w:val="en-US"/>
          </w:rPr>
          <w:t>https://doi.org/10.4081/jphr.2021.1971</w:t>
        </w:r>
      </w:hyperlink>
      <w:r w:rsidRPr="00AF6F84">
        <w:rPr>
          <w:rFonts w:asciiTheme="majorBidi" w:eastAsia="Arial" w:hAnsiTheme="majorBidi" w:cstheme="majorBidi"/>
          <w:sz w:val="24"/>
          <w:lang w:val="en-US"/>
        </w:rPr>
        <w:t>.</w:t>
      </w:r>
    </w:p>
    <w:p w14:paraId="7AC5FC90" w14:textId="77777777" w:rsidR="00AF6F84" w:rsidRPr="00AF6F84" w:rsidRDefault="00AF6F84" w:rsidP="00827BCB">
      <w:pPr>
        <w:bidi w:val="0"/>
        <w:spacing w:after="0" w:line="413" w:lineRule="auto"/>
        <w:ind w:hanging="10"/>
        <w:jc w:val="both"/>
        <w:rPr>
          <w:rFonts w:asciiTheme="majorBidi" w:eastAsia="Arial" w:hAnsiTheme="majorBidi" w:cstheme="majorBidi"/>
          <w:sz w:val="24"/>
          <w:rtl/>
        </w:rPr>
      </w:pPr>
      <w:proofErr w:type="spellStart"/>
      <w:r w:rsidRPr="00AF6F84">
        <w:rPr>
          <w:rFonts w:asciiTheme="majorBidi" w:eastAsia="Arial" w:hAnsiTheme="majorBidi" w:cstheme="majorBidi"/>
          <w:sz w:val="24"/>
          <w:lang w:val="en-US"/>
        </w:rPr>
        <w:lastRenderedPageBreak/>
        <w:t>Alshaibani</w:t>
      </w:r>
      <w:proofErr w:type="spellEnd"/>
      <w:r w:rsidRPr="00AF6F84">
        <w:rPr>
          <w:rFonts w:asciiTheme="majorBidi" w:eastAsia="Arial" w:hAnsiTheme="majorBidi" w:cstheme="majorBidi"/>
          <w:sz w:val="24"/>
          <w:lang w:val="en-US"/>
        </w:rPr>
        <w:t xml:space="preserve">, N., </w:t>
      </w:r>
      <w:proofErr w:type="spellStart"/>
      <w:r w:rsidRPr="00AF6F84">
        <w:rPr>
          <w:rFonts w:asciiTheme="majorBidi" w:eastAsia="Arial" w:hAnsiTheme="majorBidi" w:cstheme="majorBidi"/>
          <w:sz w:val="24"/>
          <w:lang w:val="en-US"/>
        </w:rPr>
        <w:t>Aboshaiqah</w:t>
      </w:r>
      <w:proofErr w:type="spellEnd"/>
      <w:r w:rsidRPr="00AF6F84">
        <w:rPr>
          <w:rFonts w:asciiTheme="majorBidi" w:eastAsia="Arial" w:hAnsiTheme="majorBidi" w:cstheme="majorBidi"/>
          <w:sz w:val="24"/>
          <w:lang w:val="en-US"/>
        </w:rPr>
        <w:t>, A., &amp; Alanazi, N. (2024). Association of Job Satisfaction, Intention to Stay, Organizational Commitment, and General Self-Efficacy Among Clinical Nurses in Riyadh, Saudi Arabia. </w:t>
      </w:r>
      <w:r w:rsidRPr="00AF6F84">
        <w:rPr>
          <w:rFonts w:asciiTheme="majorBidi" w:eastAsia="Arial" w:hAnsiTheme="majorBidi" w:cstheme="majorBidi"/>
          <w:i/>
          <w:iCs/>
          <w:sz w:val="24"/>
          <w:lang w:val="en-US"/>
        </w:rPr>
        <w:t>Behavioral Sciences</w:t>
      </w:r>
      <w:r w:rsidRPr="00AF6F84">
        <w:rPr>
          <w:rFonts w:asciiTheme="majorBidi" w:eastAsia="Arial" w:hAnsiTheme="majorBidi" w:cstheme="majorBidi"/>
          <w:sz w:val="24"/>
          <w:lang w:val="en-US"/>
        </w:rPr>
        <w:t xml:space="preserve">, 14. </w:t>
      </w:r>
      <w:hyperlink r:id="rId13" w:history="1">
        <w:r w:rsidRPr="00AF6F84">
          <w:rPr>
            <w:rStyle w:val="Hyperlink"/>
            <w:rFonts w:asciiTheme="majorBidi" w:eastAsia="Arial" w:hAnsiTheme="majorBidi" w:cstheme="majorBidi"/>
            <w:sz w:val="24"/>
            <w:lang w:val="en-US"/>
          </w:rPr>
          <w:t>https://doi.org/10.3390/bs14121140</w:t>
        </w:r>
      </w:hyperlink>
      <w:r w:rsidRPr="00AF6F84">
        <w:rPr>
          <w:rFonts w:asciiTheme="majorBidi" w:eastAsia="Arial" w:hAnsiTheme="majorBidi" w:cstheme="majorBidi"/>
          <w:sz w:val="24"/>
          <w:lang w:val="en-US"/>
        </w:rPr>
        <w:t>.</w:t>
      </w:r>
    </w:p>
    <w:p w14:paraId="18770ADD" w14:textId="77777777" w:rsidR="00AF6F84" w:rsidRPr="00AF6F84" w:rsidRDefault="00AF6F84" w:rsidP="00827BCB">
      <w:pPr>
        <w:bidi w:val="0"/>
        <w:spacing w:after="0" w:line="413" w:lineRule="auto"/>
        <w:ind w:hanging="10"/>
        <w:jc w:val="both"/>
        <w:rPr>
          <w:rFonts w:asciiTheme="majorBidi" w:eastAsia="Arial" w:hAnsiTheme="majorBidi" w:cstheme="majorBidi"/>
          <w:sz w:val="24"/>
          <w:rtl/>
          <w:lang w:val="en-US"/>
        </w:rPr>
      </w:pPr>
      <w:proofErr w:type="spellStart"/>
      <w:r w:rsidRPr="00AF6F84">
        <w:rPr>
          <w:rFonts w:asciiTheme="majorBidi" w:eastAsia="Arial" w:hAnsiTheme="majorBidi" w:cstheme="majorBidi"/>
          <w:sz w:val="24"/>
          <w:lang w:val="en-US"/>
        </w:rPr>
        <w:t>Alsulami</w:t>
      </w:r>
      <w:proofErr w:type="spellEnd"/>
      <w:r w:rsidRPr="00AF6F84">
        <w:rPr>
          <w:rFonts w:asciiTheme="majorBidi" w:eastAsia="Arial" w:hAnsiTheme="majorBidi" w:cstheme="majorBidi"/>
          <w:sz w:val="24"/>
          <w:lang w:val="en-US"/>
        </w:rPr>
        <w:t>, A., &amp; Alqarni, S. (2023). The Relationship Between Training and Employee Turnover Intentions in the Private Sector in Saudi Arabia. </w:t>
      </w:r>
      <w:r w:rsidRPr="00AF6F84">
        <w:rPr>
          <w:rFonts w:asciiTheme="majorBidi" w:eastAsia="Arial" w:hAnsiTheme="majorBidi" w:cstheme="majorBidi"/>
          <w:i/>
          <w:iCs/>
          <w:sz w:val="24"/>
          <w:lang w:val="en-US"/>
        </w:rPr>
        <w:t>International Journal of Intellectual Human Resource Management (</w:t>
      </w:r>
      <w:proofErr w:type="spellStart"/>
      <w:r w:rsidRPr="00AF6F84">
        <w:rPr>
          <w:rFonts w:asciiTheme="majorBidi" w:eastAsia="Arial" w:hAnsiTheme="majorBidi" w:cstheme="majorBidi"/>
          <w:i/>
          <w:iCs/>
          <w:sz w:val="24"/>
          <w:lang w:val="en-US"/>
        </w:rPr>
        <w:t>IJIHRM</w:t>
      </w:r>
      <w:proofErr w:type="spellEnd"/>
      <w:r w:rsidRPr="00AF6F84">
        <w:rPr>
          <w:rFonts w:asciiTheme="majorBidi" w:eastAsia="Arial" w:hAnsiTheme="majorBidi" w:cstheme="majorBidi"/>
          <w:i/>
          <w:iCs/>
          <w:sz w:val="24"/>
          <w:lang w:val="en-US"/>
        </w:rPr>
        <w:t>)</w:t>
      </w:r>
      <w:r w:rsidRPr="00AF6F84">
        <w:rPr>
          <w:rFonts w:asciiTheme="majorBidi" w:eastAsia="Arial" w:hAnsiTheme="majorBidi" w:cstheme="majorBidi"/>
          <w:sz w:val="24"/>
          <w:lang w:val="en-US"/>
        </w:rPr>
        <w:t xml:space="preserve">. </w:t>
      </w:r>
      <w:hyperlink r:id="rId14" w:history="1">
        <w:r w:rsidRPr="00AF6F84">
          <w:rPr>
            <w:rStyle w:val="Hyperlink"/>
            <w:rFonts w:asciiTheme="majorBidi" w:eastAsia="Arial" w:hAnsiTheme="majorBidi" w:cstheme="majorBidi"/>
            <w:sz w:val="24"/>
            <w:lang w:val="it-IT"/>
          </w:rPr>
          <w:t>https://doi.org/10.46988/ijihrm.04.02.2023.004</w:t>
        </w:r>
      </w:hyperlink>
      <w:r w:rsidRPr="00AF6F84">
        <w:rPr>
          <w:rFonts w:asciiTheme="majorBidi" w:eastAsia="Arial" w:hAnsiTheme="majorBidi" w:cstheme="majorBidi"/>
          <w:sz w:val="24"/>
          <w:lang w:val="it-IT"/>
        </w:rPr>
        <w:t>.</w:t>
      </w:r>
    </w:p>
    <w:p w14:paraId="29E87F27" w14:textId="77777777" w:rsidR="00AF6F84" w:rsidRPr="00AF6F84" w:rsidRDefault="00AF6F84" w:rsidP="00AF6F84">
      <w:pPr>
        <w:bidi w:val="0"/>
        <w:spacing w:after="0" w:line="413" w:lineRule="auto"/>
        <w:ind w:hanging="10"/>
        <w:jc w:val="both"/>
        <w:rPr>
          <w:rFonts w:asciiTheme="majorBidi" w:eastAsia="Arial" w:hAnsiTheme="majorBidi" w:cstheme="majorBidi"/>
          <w:sz w:val="24"/>
          <w:rtl/>
        </w:rPr>
      </w:pPr>
      <w:r w:rsidRPr="00AF6F84">
        <w:rPr>
          <w:rFonts w:asciiTheme="majorBidi" w:eastAsia="Arial" w:hAnsiTheme="majorBidi" w:cstheme="majorBidi"/>
          <w:sz w:val="24"/>
          <w:lang w:val="en-US"/>
        </w:rPr>
        <w:t xml:space="preserve">Alzahrani, A., &amp; </w:t>
      </w:r>
      <w:proofErr w:type="spellStart"/>
      <w:r w:rsidRPr="00AF6F84">
        <w:rPr>
          <w:rFonts w:asciiTheme="majorBidi" w:eastAsia="Arial" w:hAnsiTheme="majorBidi" w:cstheme="majorBidi"/>
          <w:sz w:val="24"/>
          <w:lang w:val="en-US"/>
        </w:rPr>
        <w:t>Shaddady</w:t>
      </w:r>
      <w:proofErr w:type="spellEnd"/>
      <w:r w:rsidRPr="00AF6F84">
        <w:rPr>
          <w:rFonts w:asciiTheme="majorBidi" w:eastAsia="Arial" w:hAnsiTheme="majorBidi" w:cstheme="majorBidi"/>
          <w:sz w:val="24"/>
          <w:lang w:val="en-US"/>
        </w:rPr>
        <w:t>, A. (2021). Influences of Financial and Non-Financial Compensation on Employees’ Turnover Intention in the Energy Sector: The Case of Aramco IPO. </w:t>
      </w:r>
      <w:r w:rsidRPr="00AF6F84">
        <w:rPr>
          <w:rFonts w:asciiTheme="majorBidi" w:eastAsia="Arial" w:hAnsiTheme="majorBidi" w:cstheme="majorBidi"/>
          <w:i/>
          <w:iCs/>
          <w:sz w:val="24"/>
          <w:lang w:val="en-US"/>
        </w:rPr>
        <w:t>International Business Research</w:t>
      </w:r>
      <w:r w:rsidRPr="00AF6F84">
        <w:rPr>
          <w:rFonts w:asciiTheme="majorBidi" w:eastAsia="Arial" w:hAnsiTheme="majorBidi" w:cstheme="majorBidi"/>
          <w:sz w:val="24"/>
          <w:lang w:val="en-US"/>
        </w:rPr>
        <w:t xml:space="preserve">, 14, 108. </w:t>
      </w:r>
      <w:hyperlink r:id="rId15" w:history="1">
        <w:r w:rsidRPr="00AF6F84">
          <w:rPr>
            <w:rStyle w:val="Hyperlink"/>
            <w:rFonts w:asciiTheme="majorBidi" w:eastAsia="Arial" w:hAnsiTheme="majorBidi" w:cstheme="majorBidi"/>
            <w:sz w:val="24"/>
            <w:lang w:val="en-US"/>
          </w:rPr>
          <w:t>https://doi.org/10.5539/ibr.v14n6p108</w:t>
        </w:r>
      </w:hyperlink>
      <w:r w:rsidRPr="00AF6F84">
        <w:rPr>
          <w:rFonts w:asciiTheme="majorBidi" w:eastAsia="Arial" w:hAnsiTheme="majorBidi" w:cstheme="majorBidi"/>
          <w:sz w:val="24"/>
          <w:lang w:val="en-US"/>
        </w:rPr>
        <w:t>.</w:t>
      </w:r>
    </w:p>
    <w:p w14:paraId="5762BDDA" w14:textId="77777777" w:rsidR="00AF6F84" w:rsidRPr="00AF6F84" w:rsidRDefault="00AF6F84" w:rsidP="00AF6F84">
      <w:pPr>
        <w:bidi w:val="0"/>
        <w:spacing w:after="0" w:line="413" w:lineRule="auto"/>
        <w:ind w:hanging="10"/>
        <w:jc w:val="both"/>
        <w:rPr>
          <w:rFonts w:asciiTheme="majorBidi" w:eastAsia="Arial" w:hAnsiTheme="majorBidi" w:cstheme="majorBidi"/>
          <w:sz w:val="24"/>
          <w:rtl/>
        </w:rPr>
      </w:pPr>
      <w:proofErr w:type="spellStart"/>
      <w:r w:rsidRPr="00AF6F84">
        <w:rPr>
          <w:rFonts w:asciiTheme="majorBidi" w:eastAsia="Arial" w:hAnsiTheme="majorBidi" w:cstheme="majorBidi"/>
          <w:sz w:val="24"/>
          <w:lang w:val="en-US"/>
        </w:rPr>
        <w:t>Bajaba</w:t>
      </w:r>
      <w:proofErr w:type="spellEnd"/>
      <w:r w:rsidRPr="00AF6F84">
        <w:rPr>
          <w:rFonts w:asciiTheme="majorBidi" w:eastAsia="Arial" w:hAnsiTheme="majorBidi" w:cstheme="majorBidi"/>
          <w:sz w:val="24"/>
          <w:lang w:val="en-US"/>
        </w:rPr>
        <w:t>, S., Azim, M., &amp; Uddin, M. (2022). Social Support and Employee Turnover Intention: Mediating Role of Work-Family Conflict. </w:t>
      </w:r>
      <w:r w:rsidRPr="00AF6F84">
        <w:rPr>
          <w:rFonts w:asciiTheme="majorBidi" w:eastAsia="Arial" w:hAnsiTheme="majorBidi" w:cstheme="majorBidi"/>
          <w:i/>
          <w:iCs/>
          <w:sz w:val="24"/>
          <w:lang w:val="en-US"/>
        </w:rPr>
        <w:t>Review of Business Management</w:t>
      </w:r>
      <w:r w:rsidRPr="00AF6F84">
        <w:rPr>
          <w:rFonts w:asciiTheme="majorBidi" w:eastAsia="Arial" w:hAnsiTheme="majorBidi" w:cstheme="majorBidi"/>
          <w:sz w:val="24"/>
          <w:lang w:val="en-US"/>
        </w:rPr>
        <w:t xml:space="preserve">. </w:t>
      </w:r>
      <w:hyperlink r:id="rId16" w:history="1">
        <w:r w:rsidRPr="00AF6F84">
          <w:rPr>
            <w:rStyle w:val="Hyperlink"/>
            <w:rFonts w:asciiTheme="majorBidi" w:eastAsia="Arial" w:hAnsiTheme="majorBidi" w:cstheme="majorBidi"/>
            <w:sz w:val="24"/>
            <w:lang w:val="en-US"/>
          </w:rPr>
          <w:t>https://doi.org/10.7819/rbgn.v24i1.4153</w:t>
        </w:r>
      </w:hyperlink>
      <w:r w:rsidRPr="00AF6F84">
        <w:rPr>
          <w:rFonts w:asciiTheme="majorBidi" w:eastAsia="Arial" w:hAnsiTheme="majorBidi" w:cstheme="majorBidi"/>
          <w:sz w:val="24"/>
          <w:lang w:val="en-US"/>
        </w:rPr>
        <w:t>.</w:t>
      </w:r>
    </w:p>
    <w:p w14:paraId="021A475D" w14:textId="77777777" w:rsidR="00AF6F84" w:rsidRPr="00AF6F84" w:rsidRDefault="00AF6F84" w:rsidP="00827BCB">
      <w:pPr>
        <w:bidi w:val="0"/>
        <w:spacing w:after="0" w:line="413" w:lineRule="auto"/>
        <w:ind w:hanging="10"/>
        <w:jc w:val="both"/>
        <w:rPr>
          <w:rFonts w:asciiTheme="majorBidi" w:eastAsia="Arial" w:hAnsiTheme="majorBidi" w:cstheme="majorBidi"/>
          <w:sz w:val="24"/>
          <w:rtl/>
        </w:rPr>
      </w:pPr>
      <w:proofErr w:type="spellStart"/>
      <w:r w:rsidRPr="00AF6F84">
        <w:rPr>
          <w:rFonts w:asciiTheme="majorBidi" w:eastAsia="Arial" w:hAnsiTheme="majorBidi" w:cstheme="majorBidi"/>
          <w:sz w:val="24"/>
        </w:rPr>
        <w:t>Elrayah</w:t>
      </w:r>
      <w:proofErr w:type="spellEnd"/>
      <w:r w:rsidRPr="00AF6F84">
        <w:rPr>
          <w:rFonts w:asciiTheme="majorBidi" w:eastAsia="Arial" w:hAnsiTheme="majorBidi" w:cstheme="majorBidi"/>
          <w:sz w:val="24"/>
        </w:rPr>
        <w:t xml:space="preserve">, M., &amp; </w:t>
      </w:r>
      <w:proofErr w:type="spellStart"/>
      <w:r w:rsidRPr="00AF6F84">
        <w:rPr>
          <w:rFonts w:asciiTheme="majorBidi" w:eastAsia="Arial" w:hAnsiTheme="majorBidi" w:cstheme="majorBidi"/>
          <w:sz w:val="24"/>
        </w:rPr>
        <w:t>Mabkhot</w:t>
      </w:r>
      <w:proofErr w:type="spellEnd"/>
      <w:r w:rsidRPr="00AF6F84">
        <w:rPr>
          <w:rFonts w:asciiTheme="majorBidi" w:eastAsia="Arial" w:hAnsiTheme="majorBidi" w:cstheme="majorBidi"/>
          <w:sz w:val="24"/>
        </w:rPr>
        <w:t xml:space="preserve">, H. (2023). </w:t>
      </w:r>
      <w:r w:rsidRPr="00AF6F84">
        <w:rPr>
          <w:rFonts w:asciiTheme="majorBidi" w:eastAsia="Arial" w:hAnsiTheme="majorBidi" w:cstheme="majorBidi"/>
          <w:sz w:val="24"/>
          <w:lang w:val="en-US"/>
        </w:rPr>
        <w:t xml:space="preserve">Organizational Commitment and Employees Turnover Intention in Saudi Public Sector: The Mediating Role of Job Satisfaction and Work </w:t>
      </w:r>
      <w:proofErr w:type="spellStart"/>
      <w:r w:rsidRPr="00AF6F84">
        <w:rPr>
          <w:rFonts w:asciiTheme="majorBidi" w:eastAsia="Arial" w:hAnsiTheme="majorBidi" w:cstheme="majorBidi"/>
          <w:sz w:val="24"/>
          <w:lang w:val="en-US"/>
        </w:rPr>
        <w:t>Environemnt</w:t>
      </w:r>
      <w:proofErr w:type="spellEnd"/>
      <w:r w:rsidRPr="00AF6F84">
        <w:rPr>
          <w:rFonts w:asciiTheme="majorBidi" w:eastAsia="Arial" w:hAnsiTheme="majorBidi" w:cstheme="majorBidi"/>
          <w:sz w:val="24"/>
          <w:lang w:val="en-US"/>
        </w:rPr>
        <w:t>. </w:t>
      </w:r>
      <w:r w:rsidRPr="00AF6F84">
        <w:rPr>
          <w:rFonts w:asciiTheme="majorBidi" w:eastAsia="Arial" w:hAnsiTheme="majorBidi" w:cstheme="majorBidi"/>
          <w:i/>
          <w:iCs/>
          <w:sz w:val="24"/>
          <w:lang w:val="en-US"/>
        </w:rPr>
        <w:t>International Journal of Professional Business Review</w:t>
      </w:r>
      <w:r w:rsidRPr="00AF6F84">
        <w:rPr>
          <w:rFonts w:asciiTheme="majorBidi" w:eastAsia="Arial" w:hAnsiTheme="majorBidi" w:cstheme="majorBidi"/>
          <w:sz w:val="24"/>
          <w:lang w:val="en-US"/>
        </w:rPr>
        <w:t xml:space="preserve">. </w:t>
      </w:r>
      <w:hyperlink r:id="rId17" w:history="1">
        <w:r w:rsidRPr="00AF6F84">
          <w:rPr>
            <w:rStyle w:val="Hyperlink"/>
            <w:rFonts w:asciiTheme="majorBidi" w:eastAsia="Arial" w:hAnsiTheme="majorBidi" w:cstheme="majorBidi"/>
            <w:sz w:val="24"/>
            <w:lang w:val="en-US"/>
          </w:rPr>
          <w:t>https://doi.org/10.26668/businessreview/2023.v8i10.3788</w:t>
        </w:r>
      </w:hyperlink>
      <w:r w:rsidRPr="00AF6F84">
        <w:rPr>
          <w:rFonts w:asciiTheme="majorBidi" w:eastAsia="Arial" w:hAnsiTheme="majorBidi" w:cstheme="majorBidi"/>
          <w:sz w:val="24"/>
          <w:lang w:val="en-US"/>
        </w:rPr>
        <w:t>.</w:t>
      </w:r>
    </w:p>
    <w:p w14:paraId="4530753B" w14:textId="77777777" w:rsidR="00AF6F84" w:rsidRPr="00AF6F84" w:rsidRDefault="00AF6F84" w:rsidP="00AF6F84">
      <w:pPr>
        <w:bidi w:val="0"/>
        <w:spacing w:after="0" w:line="413" w:lineRule="auto"/>
        <w:ind w:hanging="10"/>
        <w:jc w:val="both"/>
        <w:rPr>
          <w:rFonts w:asciiTheme="majorBidi" w:eastAsia="Arial" w:hAnsiTheme="majorBidi" w:cstheme="majorBidi"/>
          <w:sz w:val="24"/>
          <w:rtl/>
        </w:rPr>
      </w:pPr>
      <w:r w:rsidRPr="00AF6F84">
        <w:rPr>
          <w:rFonts w:asciiTheme="majorBidi" w:eastAsia="Arial" w:hAnsiTheme="majorBidi" w:cstheme="majorBidi"/>
          <w:sz w:val="24"/>
          <w:lang w:val="en-US"/>
        </w:rPr>
        <w:t>Faisal, S., Naushad, M., &amp; Faridi, M. (2020). A study on the level and relationship of job embeddedness and turnover intentions among Saudi Arabian working-class. </w:t>
      </w:r>
      <w:proofErr w:type="spellStart"/>
      <w:r w:rsidRPr="00AF6F84">
        <w:rPr>
          <w:rFonts w:asciiTheme="majorBidi" w:eastAsia="Arial" w:hAnsiTheme="majorBidi" w:cstheme="majorBidi"/>
          <w:i/>
          <w:iCs/>
          <w:sz w:val="24"/>
        </w:rPr>
        <w:t>Management</w:t>
      </w:r>
      <w:proofErr w:type="spellEnd"/>
      <w:r w:rsidRPr="00AF6F84">
        <w:rPr>
          <w:rFonts w:asciiTheme="majorBidi" w:eastAsia="Arial" w:hAnsiTheme="majorBidi" w:cstheme="majorBidi"/>
          <w:i/>
          <w:iCs/>
          <w:sz w:val="24"/>
        </w:rPr>
        <w:t xml:space="preserve"> </w:t>
      </w:r>
      <w:proofErr w:type="spellStart"/>
      <w:r w:rsidRPr="00AF6F84">
        <w:rPr>
          <w:rFonts w:asciiTheme="majorBidi" w:eastAsia="Arial" w:hAnsiTheme="majorBidi" w:cstheme="majorBidi"/>
          <w:i/>
          <w:iCs/>
          <w:sz w:val="24"/>
        </w:rPr>
        <w:t>Science</w:t>
      </w:r>
      <w:proofErr w:type="spellEnd"/>
      <w:r w:rsidRPr="00AF6F84">
        <w:rPr>
          <w:rFonts w:asciiTheme="majorBidi" w:eastAsia="Arial" w:hAnsiTheme="majorBidi" w:cstheme="majorBidi"/>
          <w:i/>
          <w:iCs/>
          <w:sz w:val="24"/>
        </w:rPr>
        <w:t xml:space="preserve"> </w:t>
      </w:r>
      <w:proofErr w:type="spellStart"/>
      <w:r w:rsidRPr="00AF6F84">
        <w:rPr>
          <w:rFonts w:asciiTheme="majorBidi" w:eastAsia="Arial" w:hAnsiTheme="majorBidi" w:cstheme="majorBidi"/>
          <w:i/>
          <w:iCs/>
          <w:sz w:val="24"/>
        </w:rPr>
        <w:t>Letters</w:t>
      </w:r>
      <w:proofErr w:type="spellEnd"/>
      <w:r w:rsidRPr="00AF6F84">
        <w:rPr>
          <w:rFonts w:asciiTheme="majorBidi" w:eastAsia="Arial" w:hAnsiTheme="majorBidi" w:cstheme="majorBidi"/>
          <w:sz w:val="24"/>
        </w:rPr>
        <w:t xml:space="preserve">, 10, 3167-3172. </w:t>
      </w:r>
      <w:hyperlink r:id="rId18" w:history="1">
        <w:r w:rsidRPr="00AF6F84">
          <w:rPr>
            <w:rStyle w:val="Hyperlink"/>
            <w:rFonts w:asciiTheme="majorBidi" w:eastAsia="Arial" w:hAnsiTheme="majorBidi" w:cstheme="majorBidi"/>
            <w:sz w:val="24"/>
            <w:lang w:val="en-US"/>
          </w:rPr>
          <w:t>https://doi.org/10.5267/j.msl.2020.5.005</w:t>
        </w:r>
      </w:hyperlink>
      <w:r w:rsidRPr="00AF6F84">
        <w:rPr>
          <w:rFonts w:asciiTheme="majorBidi" w:eastAsia="Arial" w:hAnsiTheme="majorBidi" w:cstheme="majorBidi"/>
          <w:sz w:val="24"/>
          <w:lang w:val="en-US"/>
        </w:rPr>
        <w:t>.</w:t>
      </w:r>
    </w:p>
    <w:p w14:paraId="6F0E25FC" w14:textId="77777777" w:rsidR="00AF6F84" w:rsidRPr="00AF6F84" w:rsidRDefault="00AF6F84" w:rsidP="00AF6F84">
      <w:pPr>
        <w:bidi w:val="0"/>
        <w:spacing w:after="0" w:line="413" w:lineRule="auto"/>
        <w:ind w:hanging="10"/>
        <w:jc w:val="both"/>
        <w:rPr>
          <w:rFonts w:asciiTheme="majorBidi" w:eastAsia="Arial" w:hAnsiTheme="majorBidi" w:cstheme="majorBidi"/>
          <w:sz w:val="24"/>
          <w:rtl/>
        </w:rPr>
      </w:pPr>
      <w:r w:rsidRPr="00AF6F84">
        <w:rPr>
          <w:rFonts w:asciiTheme="majorBidi" w:eastAsia="Arial" w:hAnsiTheme="majorBidi" w:cstheme="majorBidi"/>
          <w:sz w:val="24"/>
          <w:lang w:val="en-US"/>
        </w:rPr>
        <w:t>Jamjoom, Y. (2023). Managing Saudi Arabia's Talent in a Time of Crisis: How Does it Work?. </w:t>
      </w:r>
      <w:r w:rsidRPr="00AF6F84">
        <w:rPr>
          <w:rFonts w:asciiTheme="majorBidi" w:eastAsia="Arial" w:hAnsiTheme="majorBidi" w:cstheme="majorBidi"/>
          <w:i/>
          <w:iCs/>
          <w:sz w:val="24"/>
          <w:lang w:val="en-US"/>
        </w:rPr>
        <w:t>International Journal of Professional Business Review</w:t>
      </w:r>
      <w:r w:rsidRPr="00AF6F84">
        <w:rPr>
          <w:rFonts w:asciiTheme="majorBidi" w:eastAsia="Arial" w:hAnsiTheme="majorBidi" w:cstheme="majorBidi"/>
          <w:sz w:val="24"/>
          <w:lang w:val="en-US"/>
        </w:rPr>
        <w:t xml:space="preserve">. </w:t>
      </w:r>
      <w:hyperlink r:id="rId19" w:history="1">
        <w:r w:rsidRPr="00AF6F84">
          <w:rPr>
            <w:rStyle w:val="Hyperlink"/>
            <w:rFonts w:asciiTheme="majorBidi" w:eastAsia="Arial" w:hAnsiTheme="majorBidi" w:cstheme="majorBidi"/>
            <w:sz w:val="24"/>
            <w:lang w:val="en-US"/>
          </w:rPr>
          <w:t>https://doi.org/10.26668/businessreview/2023.v8i3.631</w:t>
        </w:r>
      </w:hyperlink>
      <w:r w:rsidRPr="00AF6F84">
        <w:rPr>
          <w:rFonts w:asciiTheme="majorBidi" w:eastAsia="Arial" w:hAnsiTheme="majorBidi" w:cstheme="majorBidi"/>
          <w:sz w:val="24"/>
          <w:lang w:val="en-US"/>
        </w:rPr>
        <w:t>.</w:t>
      </w:r>
    </w:p>
    <w:p w14:paraId="0CD42551" w14:textId="77777777" w:rsidR="00AF6F84" w:rsidRPr="00AF6F84" w:rsidRDefault="00AF6F84" w:rsidP="00827BCB">
      <w:pPr>
        <w:bidi w:val="0"/>
        <w:spacing w:after="0" w:line="413" w:lineRule="auto"/>
        <w:ind w:hanging="10"/>
        <w:jc w:val="both"/>
        <w:rPr>
          <w:rFonts w:asciiTheme="majorBidi" w:eastAsia="Arial" w:hAnsiTheme="majorBidi" w:cstheme="majorBidi"/>
          <w:sz w:val="24"/>
          <w:rtl/>
        </w:rPr>
      </w:pPr>
      <w:r w:rsidRPr="00AF6F84">
        <w:rPr>
          <w:rFonts w:asciiTheme="majorBidi" w:eastAsia="Arial" w:hAnsiTheme="majorBidi" w:cstheme="majorBidi"/>
          <w:sz w:val="24"/>
          <w:lang w:val="en-US"/>
        </w:rPr>
        <w:t>Jehanzeb, K., Rasheed, A., &amp; Rasheed, M. (2013). Organizational Commitment and Turnover Intentions: Impact of Employee's Training in Private Sector of Saudi Arabia. </w:t>
      </w:r>
      <w:r w:rsidRPr="00AF6F84">
        <w:rPr>
          <w:rFonts w:asciiTheme="majorBidi" w:eastAsia="Arial" w:hAnsiTheme="majorBidi" w:cstheme="majorBidi"/>
          <w:i/>
          <w:iCs/>
          <w:sz w:val="24"/>
          <w:lang w:val="en-US"/>
        </w:rPr>
        <w:t>International Journal of Biometrics</w:t>
      </w:r>
      <w:r w:rsidRPr="00AF6F84">
        <w:rPr>
          <w:rFonts w:asciiTheme="majorBidi" w:eastAsia="Arial" w:hAnsiTheme="majorBidi" w:cstheme="majorBidi"/>
          <w:sz w:val="24"/>
          <w:lang w:val="en-US"/>
        </w:rPr>
        <w:t xml:space="preserve">, 8, 79. </w:t>
      </w:r>
      <w:hyperlink r:id="rId20" w:history="1">
        <w:r w:rsidRPr="00AF6F84">
          <w:rPr>
            <w:rStyle w:val="Hyperlink"/>
            <w:rFonts w:asciiTheme="majorBidi" w:eastAsia="Arial" w:hAnsiTheme="majorBidi" w:cstheme="majorBidi"/>
            <w:sz w:val="24"/>
            <w:lang w:val="en-US"/>
          </w:rPr>
          <w:t>https://doi.org/10.5539/ijbm.v8n8p79</w:t>
        </w:r>
      </w:hyperlink>
      <w:r w:rsidRPr="00AF6F84">
        <w:rPr>
          <w:rFonts w:asciiTheme="majorBidi" w:eastAsia="Arial" w:hAnsiTheme="majorBidi" w:cstheme="majorBidi"/>
          <w:sz w:val="24"/>
          <w:lang w:val="en-US"/>
        </w:rPr>
        <w:t>.</w:t>
      </w:r>
    </w:p>
    <w:p w14:paraId="71FD6204" w14:textId="77777777" w:rsidR="00AF6F84" w:rsidRPr="00AF6F84" w:rsidRDefault="00AF6F84" w:rsidP="00AF6F84">
      <w:pPr>
        <w:bidi w:val="0"/>
        <w:spacing w:after="0" w:line="413" w:lineRule="auto"/>
        <w:ind w:hanging="10"/>
        <w:jc w:val="both"/>
        <w:rPr>
          <w:rFonts w:asciiTheme="majorBidi" w:eastAsia="Arial" w:hAnsiTheme="majorBidi" w:cstheme="majorBidi"/>
          <w:sz w:val="24"/>
          <w:rtl/>
        </w:rPr>
      </w:pPr>
      <w:r w:rsidRPr="00AF6F84">
        <w:rPr>
          <w:rFonts w:asciiTheme="majorBidi" w:eastAsia="Arial" w:hAnsiTheme="majorBidi" w:cstheme="majorBidi"/>
          <w:sz w:val="24"/>
          <w:lang w:val="en-US"/>
        </w:rPr>
        <w:lastRenderedPageBreak/>
        <w:t>Jehanzeb, K., Rasheed, A., &amp; Rasheed, M. (2013). Organizational Commitment and Turnover Intentions: Impact of Employee's Training in Private Sector of Saudi Arabia. </w:t>
      </w:r>
      <w:proofErr w:type="spellStart"/>
      <w:r w:rsidRPr="00AF6F84">
        <w:rPr>
          <w:rFonts w:asciiTheme="majorBidi" w:eastAsia="Arial" w:hAnsiTheme="majorBidi" w:cstheme="majorBidi"/>
          <w:i/>
          <w:iCs/>
          <w:sz w:val="24"/>
        </w:rPr>
        <w:t>International</w:t>
      </w:r>
      <w:proofErr w:type="spellEnd"/>
      <w:r w:rsidRPr="00AF6F84">
        <w:rPr>
          <w:rFonts w:asciiTheme="majorBidi" w:eastAsia="Arial" w:hAnsiTheme="majorBidi" w:cstheme="majorBidi"/>
          <w:i/>
          <w:iCs/>
          <w:sz w:val="24"/>
        </w:rPr>
        <w:t xml:space="preserve"> </w:t>
      </w:r>
      <w:proofErr w:type="spellStart"/>
      <w:r w:rsidRPr="00AF6F84">
        <w:rPr>
          <w:rFonts w:asciiTheme="majorBidi" w:eastAsia="Arial" w:hAnsiTheme="majorBidi" w:cstheme="majorBidi"/>
          <w:i/>
          <w:iCs/>
          <w:sz w:val="24"/>
        </w:rPr>
        <w:t>Journal</w:t>
      </w:r>
      <w:proofErr w:type="spellEnd"/>
      <w:r w:rsidRPr="00AF6F84">
        <w:rPr>
          <w:rFonts w:asciiTheme="majorBidi" w:eastAsia="Arial" w:hAnsiTheme="majorBidi" w:cstheme="majorBidi"/>
          <w:i/>
          <w:iCs/>
          <w:sz w:val="24"/>
        </w:rPr>
        <w:t xml:space="preserve"> of </w:t>
      </w:r>
      <w:proofErr w:type="spellStart"/>
      <w:r w:rsidRPr="00AF6F84">
        <w:rPr>
          <w:rFonts w:asciiTheme="majorBidi" w:eastAsia="Arial" w:hAnsiTheme="majorBidi" w:cstheme="majorBidi"/>
          <w:i/>
          <w:iCs/>
          <w:sz w:val="24"/>
        </w:rPr>
        <w:t>Biometrics</w:t>
      </w:r>
      <w:proofErr w:type="spellEnd"/>
      <w:r w:rsidRPr="00AF6F84">
        <w:rPr>
          <w:rFonts w:asciiTheme="majorBidi" w:eastAsia="Arial" w:hAnsiTheme="majorBidi" w:cstheme="majorBidi"/>
          <w:sz w:val="24"/>
        </w:rPr>
        <w:t xml:space="preserve">, 8, 79. </w:t>
      </w:r>
      <w:hyperlink r:id="rId21" w:history="1">
        <w:r w:rsidRPr="00AF6F84">
          <w:rPr>
            <w:rStyle w:val="Hyperlink"/>
            <w:rFonts w:asciiTheme="majorBidi" w:eastAsia="Arial" w:hAnsiTheme="majorBidi" w:cstheme="majorBidi"/>
            <w:sz w:val="24"/>
            <w:lang w:val="en-US"/>
          </w:rPr>
          <w:t>https://doi.org/10.5539/ijbm.v8n8p79</w:t>
        </w:r>
      </w:hyperlink>
      <w:r w:rsidRPr="00AF6F84">
        <w:rPr>
          <w:rFonts w:asciiTheme="majorBidi" w:eastAsia="Arial" w:hAnsiTheme="majorBidi" w:cstheme="majorBidi"/>
          <w:sz w:val="24"/>
          <w:lang w:val="en-US"/>
        </w:rPr>
        <w:t>.</w:t>
      </w:r>
    </w:p>
    <w:p w14:paraId="20ABA1B7" w14:textId="77777777" w:rsidR="00AF6F84" w:rsidRPr="00AF6F84" w:rsidRDefault="00AF6F84" w:rsidP="00AF6F84">
      <w:pPr>
        <w:bidi w:val="0"/>
        <w:spacing w:after="0" w:line="413" w:lineRule="auto"/>
        <w:ind w:hanging="10"/>
        <w:jc w:val="both"/>
        <w:rPr>
          <w:rFonts w:asciiTheme="majorBidi" w:eastAsia="Arial" w:hAnsiTheme="majorBidi" w:cstheme="majorBidi"/>
          <w:sz w:val="24"/>
          <w:rtl/>
        </w:rPr>
      </w:pPr>
      <w:r w:rsidRPr="00AF6F84">
        <w:rPr>
          <w:rFonts w:asciiTheme="majorBidi" w:eastAsia="Arial" w:hAnsiTheme="majorBidi" w:cstheme="majorBidi"/>
          <w:sz w:val="24"/>
          <w:lang w:val="en-US"/>
        </w:rPr>
        <w:t>Jun, M., &amp; Eckardt, R. (2023). Training and employee turnover: A social exchange perspective. </w:t>
      </w:r>
      <w:proofErr w:type="spellStart"/>
      <w:r w:rsidRPr="00AF6F84">
        <w:rPr>
          <w:rFonts w:asciiTheme="majorBidi" w:eastAsia="Arial" w:hAnsiTheme="majorBidi" w:cstheme="majorBidi"/>
          <w:i/>
          <w:iCs/>
          <w:sz w:val="24"/>
        </w:rPr>
        <w:t>BRQ</w:t>
      </w:r>
      <w:proofErr w:type="spellEnd"/>
      <w:r w:rsidRPr="00AF6F84">
        <w:rPr>
          <w:rFonts w:asciiTheme="majorBidi" w:eastAsia="Arial" w:hAnsiTheme="majorBidi" w:cstheme="majorBidi"/>
          <w:i/>
          <w:iCs/>
          <w:sz w:val="24"/>
        </w:rPr>
        <w:t xml:space="preserve"> </w:t>
      </w:r>
      <w:proofErr w:type="spellStart"/>
      <w:r w:rsidRPr="00AF6F84">
        <w:rPr>
          <w:rFonts w:asciiTheme="majorBidi" w:eastAsia="Arial" w:hAnsiTheme="majorBidi" w:cstheme="majorBidi"/>
          <w:i/>
          <w:iCs/>
          <w:sz w:val="24"/>
        </w:rPr>
        <w:t>Business</w:t>
      </w:r>
      <w:proofErr w:type="spellEnd"/>
      <w:r w:rsidRPr="00AF6F84">
        <w:rPr>
          <w:rFonts w:asciiTheme="majorBidi" w:eastAsia="Arial" w:hAnsiTheme="majorBidi" w:cstheme="majorBidi"/>
          <w:i/>
          <w:iCs/>
          <w:sz w:val="24"/>
        </w:rPr>
        <w:t xml:space="preserve"> </w:t>
      </w:r>
      <w:proofErr w:type="spellStart"/>
      <w:r w:rsidRPr="00AF6F84">
        <w:rPr>
          <w:rFonts w:asciiTheme="majorBidi" w:eastAsia="Arial" w:hAnsiTheme="majorBidi" w:cstheme="majorBidi"/>
          <w:i/>
          <w:iCs/>
          <w:sz w:val="24"/>
        </w:rPr>
        <w:t>Research</w:t>
      </w:r>
      <w:proofErr w:type="spellEnd"/>
      <w:r w:rsidRPr="00AF6F84">
        <w:rPr>
          <w:rFonts w:asciiTheme="majorBidi" w:eastAsia="Arial" w:hAnsiTheme="majorBidi" w:cstheme="majorBidi"/>
          <w:i/>
          <w:iCs/>
          <w:sz w:val="24"/>
        </w:rPr>
        <w:t xml:space="preserve"> </w:t>
      </w:r>
      <w:proofErr w:type="spellStart"/>
      <w:r w:rsidRPr="00AF6F84">
        <w:rPr>
          <w:rFonts w:asciiTheme="majorBidi" w:eastAsia="Arial" w:hAnsiTheme="majorBidi" w:cstheme="majorBidi"/>
          <w:i/>
          <w:iCs/>
          <w:sz w:val="24"/>
        </w:rPr>
        <w:t>Quarterly</w:t>
      </w:r>
      <w:proofErr w:type="spellEnd"/>
      <w:r w:rsidRPr="00AF6F84">
        <w:rPr>
          <w:rFonts w:asciiTheme="majorBidi" w:eastAsia="Arial" w:hAnsiTheme="majorBidi" w:cstheme="majorBidi"/>
          <w:sz w:val="24"/>
        </w:rPr>
        <w:t xml:space="preserve">, 28, 304 - 323. </w:t>
      </w:r>
      <w:hyperlink r:id="rId22" w:history="1">
        <w:r w:rsidRPr="00AF6F84">
          <w:rPr>
            <w:rStyle w:val="Hyperlink"/>
            <w:rFonts w:asciiTheme="majorBidi" w:eastAsia="Arial" w:hAnsiTheme="majorBidi" w:cstheme="majorBidi"/>
            <w:sz w:val="24"/>
            <w:lang w:val="en-US"/>
          </w:rPr>
          <w:t>https://doi.org/10.1177/23409444231184482</w:t>
        </w:r>
      </w:hyperlink>
      <w:r w:rsidRPr="00AF6F84">
        <w:rPr>
          <w:rFonts w:asciiTheme="majorBidi" w:eastAsia="Arial" w:hAnsiTheme="majorBidi" w:cstheme="majorBidi"/>
          <w:sz w:val="24"/>
          <w:lang w:val="en-US"/>
        </w:rPr>
        <w:t>.</w:t>
      </w:r>
    </w:p>
    <w:p w14:paraId="7367AB44" w14:textId="77777777" w:rsidR="00AF6F84" w:rsidRPr="00AF6F84" w:rsidRDefault="00AF6F84" w:rsidP="00827BCB">
      <w:pPr>
        <w:bidi w:val="0"/>
        <w:spacing w:after="0" w:line="413" w:lineRule="auto"/>
        <w:ind w:hanging="10"/>
        <w:jc w:val="both"/>
        <w:rPr>
          <w:rFonts w:asciiTheme="majorBidi" w:eastAsia="Arial" w:hAnsiTheme="majorBidi" w:cstheme="majorBidi"/>
          <w:sz w:val="24"/>
          <w:rtl/>
        </w:rPr>
      </w:pPr>
      <w:r w:rsidRPr="00AF6F84">
        <w:rPr>
          <w:rFonts w:asciiTheme="majorBidi" w:eastAsia="Arial" w:hAnsiTheme="majorBidi" w:cstheme="majorBidi"/>
          <w:sz w:val="24"/>
          <w:lang w:val="en-US"/>
        </w:rPr>
        <w:t>Mohammad, A. (2013). Employee Recruitment, Selection and Retention in Saudi Arabian Family Owned Small and Medium Scale Enterprises (SMEs)</w:t>
      </w:r>
      <w:proofErr w:type="gramStart"/>
      <w:r w:rsidRPr="00AF6F84">
        <w:rPr>
          <w:rFonts w:asciiTheme="majorBidi" w:eastAsia="Arial" w:hAnsiTheme="majorBidi" w:cstheme="majorBidi"/>
          <w:sz w:val="24"/>
          <w:lang w:val="en-US"/>
        </w:rPr>
        <w:t>. .</w:t>
      </w:r>
      <w:proofErr w:type="gramEnd"/>
      <w:r w:rsidRPr="00AF6F84">
        <w:rPr>
          <w:rFonts w:asciiTheme="majorBidi" w:eastAsia="Arial" w:hAnsiTheme="majorBidi" w:cstheme="majorBidi"/>
          <w:sz w:val="24"/>
          <w:lang w:val="en-US"/>
        </w:rPr>
        <w:t xml:space="preserve"> </w:t>
      </w:r>
      <w:hyperlink r:id="rId23" w:history="1">
        <w:r w:rsidRPr="00AF6F84">
          <w:rPr>
            <w:rStyle w:val="Hyperlink"/>
            <w:rFonts w:asciiTheme="majorBidi" w:eastAsia="Arial" w:hAnsiTheme="majorBidi" w:cstheme="majorBidi"/>
            <w:sz w:val="24"/>
            <w:lang w:val="en-US"/>
          </w:rPr>
          <w:t>https://doi.org/10.5281/zenodo.37738</w:t>
        </w:r>
      </w:hyperlink>
      <w:r w:rsidRPr="00AF6F84">
        <w:rPr>
          <w:rFonts w:asciiTheme="majorBidi" w:eastAsia="Arial" w:hAnsiTheme="majorBidi" w:cstheme="majorBidi"/>
          <w:sz w:val="24"/>
          <w:lang w:val="en-US"/>
        </w:rPr>
        <w:t>.</w:t>
      </w:r>
    </w:p>
    <w:p w14:paraId="6B223BF9" w14:textId="77777777" w:rsidR="00AF6F84" w:rsidRPr="00AF6F84" w:rsidRDefault="00AF6F84" w:rsidP="00827BCB">
      <w:pPr>
        <w:bidi w:val="0"/>
        <w:spacing w:after="0" w:line="413" w:lineRule="auto"/>
        <w:ind w:hanging="10"/>
        <w:jc w:val="both"/>
        <w:rPr>
          <w:rFonts w:asciiTheme="majorBidi" w:eastAsia="Arial" w:hAnsiTheme="majorBidi" w:cstheme="majorBidi"/>
          <w:sz w:val="24"/>
          <w:rtl/>
        </w:rPr>
      </w:pPr>
      <w:proofErr w:type="spellStart"/>
      <w:r w:rsidRPr="00AF6F84">
        <w:rPr>
          <w:rFonts w:asciiTheme="majorBidi" w:eastAsia="Arial" w:hAnsiTheme="majorBidi" w:cstheme="majorBidi"/>
          <w:sz w:val="24"/>
          <w:lang w:val="en-US"/>
        </w:rPr>
        <w:t>Nassani</w:t>
      </w:r>
      <w:proofErr w:type="spellEnd"/>
      <w:r w:rsidRPr="00AF6F84">
        <w:rPr>
          <w:rFonts w:asciiTheme="majorBidi" w:eastAsia="Arial" w:hAnsiTheme="majorBidi" w:cstheme="majorBidi"/>
          <w:sz w:val="24"/>
          <w:lang w:val="en-US"/>
        </w:rPr>
        <w:t xml:space="preserve">, A., &amp; </w:t>
      </w:r>
      <w:proofErr w:type="spellStart"/>
      <w:r w:rsidRPr="00AF6F84">
        <w:rPr>
          <w:rFonts w:asciiTheme="majorBidi" w:eastAsia="Arial" w:hAnsiTheme="majorBidi" w:cstheme="majorBidi"/>
          <w:sz w:val="24"/>
          <w:lang w:val="en-US"/>
        </w:rPr>
        <w:t>Altuwaijri</w:t>
      </w:r>
      <w:proofErr w:type="spellEnd"/>
      <w:r w:rsidRPr="00AF6F84">
        <w:rPr>
          <w:rFonts w:asciiTheme="majorBidi" w:eastAsia="Arial" w:hAnsiTheme="majorBidi" w:cstheme="majorBidi"/>
          <w:sz w:val="24"/>
          <w:lang w:val="en-US"/>
        </w:rPr>
        <w:t>, F. (2021). The Impact of organizational Learning Culture's on Job Satisfaction, Organizational Commitment, and Turnover Intention among Privet sector in Saudi Arabia. </w:t>
      </w:r>
      <w:r w:rsidRPr="00AF6F84">
        <w:rPr>
          <w:rFonts w:asciiTheme="majorBidi" w:eastAsia="Arial" w:hAnsiTheme="majorBidi" w:cstheme="majorBidi"/>
          <w:i/>
          <w:iCs/>
          <w:sz w:val="24"/>
          <w:lang w:val="en-US"/>
        </w:rPr>
        <w:t>European Journal of Business and Management</w:t>
      </w:r>
      <w:r w:rsidRPr="00AF6F84">
        <w:rPr>
          <w:rFonts w:asciiTheme="majorBidi" w:eastAsia="Arial" w:hAnsiTheme="majorBidi" w:cstheme="majorBidi"/>
          <w:sz w:val="24"/>
          <w:lang w:val="en-US"/>
        </w:rPr>
        <w:t xml:space="preserve">. </w:t>
      </w:r>
      <w:hyperlink r:id="rId24" w:history="1">
        <w:r w:rsidRPr="00AF6F84">
          <w:rPr>
            <w:rStyle w:val="Hyperlink"/>
            <w:rFonts w:asciiTheme="majorBidi" w:eastAsia="Arial" w:hAnsiTheme="majorBidi" w:cstheme="majorBidi"/>
            <w:sz w:val="24"/>
            <w:lang w:val="en-US"/>
          </w:rPr>
          <w:t>https://doi.org/10.7176/ejbm/13-8-17</w:t>
        </w:r>
      </w:hyperlink>
      <w:r w:rsidRPr="00AF6F84">
        <w:rPr>
          <w:rFonts w:asciiTheme="majorBidi" w:eastAsia="Arial" w:hAnsiTheme="majorBidi" w:cstheme="majorBidi"/>
          <w:sz w:val="24"/>
          <w:lang w:val="en-US"/>
        </w:rPr>
        <w:t>.</w:t>
      </w:r>
    </w:p>
    <w:p w14:paraId="1B63AB6E" w14:textId="77777777" w:rsidR="00AF6F84" w:rsidRPr="00AF6F84" w:rsidRDefault="00AF6F84" w:rsidP="00827BCB">
      <w:pPr>
        <w:bidi w:val="0"/>
        <w:spacing w:after="0" w:line="413" w:lineRule="auto"/>
        <w:ind w:hanging="10"/>
        <w:jc w:val="both"/>
        <w:rPr>
          <w:rFonts w:asciiTheme="majorBidi" w:eastAsia="Arial" w:hAnsiTheme="majorBidi" w:cstheme="majorBidi"/>
          <w:sz w:val="24"/>
          <w:rtl/>
        </w:rPr>
      </w:pPr>
      <w:r w:rsidRPr="00AF6F84">
        <w:rPr>
          <w:rFonts w:asciiTheme="majorBidi" w:eastAsia="Arial" w:hAnsiTheme="majorBidi" w:cstheme="majorBidi"/>
          <w:sz w:val="24"/>
          <w:lang w:val="en-US"/>
        </w:rPr>
        <w:t>Qazi, S. (2017). Human Resources Management Practices and Job Satisfaction in Critical Economy, An Empirical Study of Private Banking Sector of Saudi Arabia.. </w:t>
      </w:r>
      <w:r w:rsidRPr="00AF6F84">
        <w:rPr>
          <w:rFonts w:asciiTheme="majorBidi" w:eastAsia="Arial" w:hAnsiTheme="majorBidi" w:cstheme="majorBidi"/>
          <w:i/>
          <w:iCs/>
          <w:sz w:val="24"/>
          <w:lang w:val="en-US"/>
        </w:rPr>
        <w:t>The International Journal of Business and Management</w:t>
      </w:r>
      <w:r w:rsidRPr="00AF6F84">
        <w:rPr>
          <w:rFonts w:asciiTheme="majorBidi" w:eastAsia="Arial" w:hAnsiTheme="majorBidi" w:cstheme="majorBidi"/>
          <w:sz w:val="24"/>
          <w:lang w:val="en-US"/>
        </w:rPr>
        <w:t xml:space="preserve">, 7, 43-52. </w:t>
      </w:r>
      <w:hyperlink r:id="rId25" w:history="1">
        <w:r w:rsidRPr="00AF6F84">
          <w:rPr>
            <w:rStyle w:val="Hyperlink"/>
            <w:rFonts w:asciiTheme="majorBidi" w:eastAsia="Arial" w:hAnsiTheme="majorBidi" w:cstheme="majorBidi"/>
            <w:sz w:val="24"/>
            <w:lang w:val="en-US"/>
          </w:rPr>
          <w:t>https://doi.org/10.24247/ijbmrdec20175</w:t>
        </w:r>
      </w:hyperlink>
      <w:r w:rsidRPr="00AF6F84">
        <w:rPr>
          <w:rFonts w:asciiTheme="majorBidi" w:eastAsia="Arial" w:hAnsiTheme="majorBidi" w:cstheme="majorBidi"/>
          <w:sz w:val="24"/>
          <w:lang w:val="en-US"/>
        </w:rPr>
        <w:t>.</w:t>
      </w:r>
    </w:p>
    <w:p w14:paraId="59B46B0F" w14:textId="77777777" w:rsidR="00AF6F84" w:rsidRPr="00AF6F84" w:rsidRDefault="00AF6F84" w:rsidP="00AF6F84">
      <w:pPr>
        <w:bidi w:val="0"/>
        <w:spacing w:after="0" w:line="413" w:lineRule="auto"/>
        <w:ind w:hanging="10"/>
        <w:jc w:val="both"/>
        <w:rPr>
          <w:rFonts w:asciiTheme="majorBidi" w:eastAsia="Arial" w:hAnsiTheme="majorBidi" w:cstheme="majorBidi"/>
          <w:sz w:val="24"/>
          <w:rtl/>
        </w:rPr>
      </w:pPr>
      <w:proofErr w:type="spellStart"/>
      <w:r w:rsidRPr="00AF6F84">
        <w:rPr>
          <w:rFonts w:asciiTheme="majorBidi" w:eastAsia="Arial" w:hAnsiTheme="majorBidi" w:cstheme="majorBidi"/>
          <w:sz w:val="24"/>
        </w:rPr>
        <w:t>Saleh</w:t>
      </w:r>
      <w:proofErr w:type="spellEnd"/>
      <w:r w:rsidRPr="00AF6F84">
        <w:rPr>
          <w:rFonts w:asciiTheme="majorBidi" w:eastAsia="Arial" w:hAnsiTheme="majorBidi" w:cstheme="majorBidi"/>
          <w:sz w:val="24"/>
        </w:rPr>
        <w:t xml:space="preserve">, Z., </w:t>
      </w:r>
      <w:proofErr w:type="spellStart"/>
      <w:r w:rsidRPr="00AF6F84">
        <w:rPr>
          <w:rFonts w:asciiTheme="majorBidi" w:eastAsia="Arial" w:hAnsiTheme="majorBidi" w:cstheme="majorBidi"/>
          <w:sz w:val="24"/>
        </w:rPr>
        <w:t>Aslanoğlu</w:t>
      </w:r>
      <w:proofErr w:type="spellEnd"/>
      <w:r w:rsidRPr="00AF6F84">
        <w:rPr>
          <w:rFonts w:asciiTheme="majorBidi" w:eastAsia="Arial" w:hAnsiTheme="majorBidi" w:cstheme="majorBidi"/>
          <w:sz w:val="24"/>
        </w:rPr>
        <w:t xml:space="preserve">, A., </w:t>
      </w:r>
      <w:proofErr w:type="spellStart"/>
      <w:r w:rsidRPr="00AF6F84">
        <w:rPr>
          <w:rFonts w:asciiTheme="majorBidi" w:eastAsia="Arial" w:hAnsiTheme="majorBidi" w:cstheme="majorBidi"/>
          <w:sz w:val="24"/>
        </w:rPr>
        <w:t>Elshatarat</w:t>
      </w:r>
      <w:proofErr w:type="spellEnd"/>
      <w:r w:rsidRPr="00AF6F84">
        <w:rPr>
          <w:rFonts w:asciiTheme="majorBidi" w:eastAsia="Arial" w:hAnsiTheme="majorBidi" w:cstheme="majorBidi"/>
          <w:sz w:val="24"/>
        </w:rPr>
        <w:t xml:space="preserve">, R., </w:t>
      </w:r>
      <w:proofErr w:type="spellStart"/>
      <w:r w:rsidRPr="00AF6F84">
        <w:rPr>
          <w:rFonts w:asciiTheme="majorBidi" w:eastAsia="Arial" w:hAnsiTheme="majorBidi" w:cstheme="majorBidi"/>
          <w:sz w:val="24"/>
        </w:rPr>
        <w:t>Al-Za’areer</w:t>
      </w:r>
      <w:proofErr w:type="spellEnd"/>
      <w:r w:rsidRPr="00AF6F84">
        <w:rPr>
          <w:rFonts w:asciiTheme="majorBidi" w:eastAsia="Arial" w:hAnsiTheme="majorBidi" w:cstheme="majorBidi"/>
          <w:sz w:val="24"/>
        </w:rPr>
        <w:t xml:space="preserve">, M., </w:t>
      </w:r>
      <w:proofErr w:type="spellStart"/>
      <w:r w:rsidRPr="00AF6F84">
        <w:rPr>
          <w:rFonts w:asciiTheme="majorBidi" w:eastAsia="Arial" w:hAnsiTheme="majorBidi" w:cstheme="majorBidi"/>
          <w:sz w:val="24"/>
        </w:rPr>
        <w:t>Almagharbeh</w:t>
      </w:r>
      <w:proofErr w:type="spellEnd"/>
      <w:r w:rsidRPr="00AF6F84">
        <w:rPr>
          <w:rFonts w:asciiTheme="majorBidi" w:eastAsia="Arial" w:hAnsiTheme="majorBidi" w:cstheme="majorBidi"/>
          <w:sz w:val="24"/>
        </w:rPr>
        <w:t xml:space="preserve">, W., </w:t>
      </w:r>
      <w:proofErr w:type="spellStart"/>
      <w:r w:rsidRPr="00AF6F84">
        <w:rPr>
          <w:rFonts w:asciiTheme="majorBidi" w:eastAsia="Arial" w:hAnsiTheme="majorBidi" w:cstheme="majorBidi"/>
          <w:sz w:val="24"/>
        </w:rPr>
        <w:t>Alhejaili</w:t>
      </w:r>
      <w:proofErr w:type="spellEnd"/>
      <w:r w:rsidRPr="00AF6F84">
        <w:rPr>
          <w:rFonts w:asciiTheme="majorBidi" w:eastAsia="Arial" w:hAnsiTheme="majorBidi" w:cstheme="majorBidi"/>
          <w:sz w:val="24"/>
        </w:rPr>
        <w:t xml:space="preserve">, A., </w:t>
      </w:r>
      <w:proofErr w:type="spellStart"/>
      <w:r w:rsidRPr="00AF6F84">
        <w:rPr>
          <w:rFonts w:asciiTheme="majorBidi" w:eastAsia="Arial" w:hAnsiTheme="majorBidi" w:cstheme="majorBidi"/>
          <w:sz w:val="24"/>
        </w:rPr>
        <w:t>Alhumaidi</w:t>
      </w:r>
      <w:proofErr w:type="spellEnd"/>
      <w:r w:rsidRPr="00AF6F84">
        <w:rPr>
          <w:rFonts w:asciiTheme="majorBidi" w:eastAsia="Arial" w:hAnsiTheme="majorBidi" w:cstheme="majorBidi"/>
          <w:sz w:val="24"/>
        </w:rPr>
        <w:t xml:space="preserve">, B., </w:t>
      </w:r>
      <w:proofErr w:type="spellStart"/>
      <w:r w:rsidRPr="00AF6F84">
        <w:rPr>
          <w:rFonts w:asciiTheme="majorBidi" w:eastAsia="Arial" w:hAnsiTheme="majorBidi" w:cstheme="majorBidi"/>
          <w:sz w:val="24"/>
        </w:rPr>
        <w:t>Al-Akash</w:t>
      </w:r>
      <w:proofErr w:type="spellEnd"/>
      <w:r w:rsidRPr="00AF6F84">
        <w:rPr>
          <w:rFonts w:asciiTheme="majorBidi" w:eastAsia="Arial" w:hAnsiTheme="majorBidi" w:cstheme="majorBidi"/>
          <w:sz w:val="24"/>
        </w:rPr>
        <w:t xml:space="preserve">, H., </w:t>
      </w:r>
      <w:proofErr w:type="spellStart"/>
      <w:r w:rsidRPr="00AF6F84">
        <w:rPr>
          <w:rFonts w:asciiTheme="majorBidi" w:eastAsia="Arial" w:hAnsiTheme="majorBidi" w:cstheme="majorBidi"/>
          <w:sz w:val="24"/>
        </w:rPr>
        <w:t>Al-Momani</w:t>
      </w:r>
      <w:proofErr w:type="spellEnd"/>
      <w:r w:rsidRPr="00AF6F84">
        <w:rPr>
          <w:rFonts w:asciiTheme="majorBidi" w:eastAsia="Arial" w:hAnsiTheme="majorBidi" w:cstheme="majorBidi"/>
          <w:sz w:val="24"/>
        </w:rPr>
        <w:t xml:space="preserve">, M., </w:t>
      </w:r>
      <w:proofErr w:type="spellStart"/>
      <w:r w:rsidRPr="00AF6F84">
        <w:rPr>
          <w:rFonts w:asciiTheme="majorBidi" w:eastAsia="Arial" w:hAnsiTheme="majorBidi" w:cstheme="majorBidi"/>
          <w:sz w:val="24"/>
        </w:rPr>
        <w:t>Alfanash</w:t>
      </w:r>
      <w:proofErr w:type="spellEnd"/>
      <w:r w:rsidRPr="00AF6F84">
        <w:rPr>
          <w:rFonts w:asciiTheme="majorBidi" w:eastAsia="Arial" w:hAnsiTheme="majorBidi" w:cstheme="majorBidi"/>
          <w:sz w:val="24"/>
        </w:rPr>
        <w:t xml:space="preserve">, H., &amp; </w:t>
      </w:r>
      <w:proofErr w:type="spellStart"/>
      <w:r w:rsidRPr="00AF6F84">
        <w:rPr>
          <w:rFonts w:asciiTheme="majorBidi" w:eastAsia="Arial" w:hAnsiTheme="majorBidi" w:cstheme="majorBidi"/>
          <w:sz w:val="24"/>
        </w:rPr>
        <w:t>Alasmari</w:t>
      </w:r>
      <w:proofErr w:type="spellEnd"/>
      <w:r w:rsidRPr="00AF6F84">
        <w:rPr>
          <w:rFonts w:asciiTheme="majorBidi" w:eastAsia="Arial" w:hAnsiTheme="majorBidi" w:cstheme="majorBidi"/>
          <w:sz w:val="24"/>
        </w:rPr>
        <w:t xml:space="preserve">, A. (2025). </w:t>
      </w:r>
      <w:r w:rsidRPr="00AF6F84">
        <w:rPr>
          <w:rFonts w:asciiTheme="majorBidi" w:eastAsia="Arial" w:hAnsiTheme="majorBidi" w:cstheme="majorBidi"/>
          <w:sz w:val="24"/>
          <w:lang w:val="en-US"/>
        </w:rPr>
        <w:t>Exploring the reasons and significant influencing factors of serious turnover intentions among nurses in Saudi Arabia. </w:t>
      </w:r>
      <w:r w:rsidRPr="00AF6F84">
        <w:rPr>
          <w:rFonts w:asciiTheme="majorBidi" w:eastAsia="Arial" w:hAnsiTheme="majorBidi" w:cstheme="majorBidi"/>
          <w:i/>
          <w:iCs/>
          <w:sz w:val="24"/>
          <w:lang w:val="en-US"/>
        </w:rPr>
        <w:t>Journal of Education and Health Promotion</w:t>
      </w:r>
      <w:r w:rsidRPr="00AF6F84">
        <w:rPr>
          <w:rFonts w:asciiTheme="majorBidi" w:eastAsia="Arial" w:hAnsiTheme="majorBidi" w:cstheme="majorBidi"/>
          <w:sz w:val="24"/>
          <w:lang w:val="en-US"/>
        </w:rPr>
        <w:t xml:space="preserve">, 14. </w:t>
      </w:r>
      <w:hyperlink r:id="rId26" w:history="1">
        <w:r w:rsidRPr="00AF6F84">
          <w:rPr>
            <w:rStyle w:val="Hyperlink"/>
            <w:rFonts w:asciiTheme="majorBidi" w:eastAsia="Arial" w:hAnsiTheme="majorBidi" w:cstheme="majorBidi"/>
            <w:sz w:val="24"/>
            <w:lang w:val="en-US"/>
          </w:rPr>
          <w:t>https://doi.org/10.4103/jehp.jehp_1227_24</w:t>
        </w:r>
      </w:hyperlink>
      <w:r w:rsidRPr="00AF6F84">
        <w:rPr>
          <w:rFonts w:asciiTheme="majorBidi" w:eastAsia="Arial" w:hAnsiTheme="majorBidi" w:cstheme="majorBidi"/>
          <w:sz w:val="24"/>
          <w:lang w:val="en-US"/>
        </w:rPr>
        <w:t>.</w:t>
      </w:r>
    </w:p>
    <w:p w14:paraId="797BFEF4" w14:textId="77777777" w:rsidR="00AF6F84" w:rsidRPr="00AF6F84" w:rsidRDefault="00AF6F84" w:rsidP="00AF6F84">
      <w:pPr>
        <w:bidi w:val="0"/>
        <w:spacing w:after="0" w:line="413" w:lineRule="auto"/>
        <w:ind w:hanging="10"/>
        <w:jc w:val="both"/>
        <w:rPr>
          <w:rFonts w:asciiTheme="majorBidi" w:eastAsia="Arial" w:hAnsiTheme="majorBidi" w:cstheme="majorBidi"/>
          <w:sz w:val="24"/>
          <w:rtl/>
        </w:rPr>
      </w:pPr>
      <w:r w:rsidRPr="00AF6F84">
        <w:rPr>
          <w:rFonts w:asciiTheme="majorBidi" w:eastAsia="Arial" w:hAnsiTheme="majorBidi" w:cstheme="majorBidi"/>
          <w:sz w:val="24"/>
          <w:lang w:val="it-IT"/>
        </w:rPr>
        <w:t xml:space="preserve">Salem, A., &amp; Al-Dubai, M. (2024). </w:t>
      </w:r>
      <w:r w:rsidRPr="00AF6F84">
        <w:rPr>
          <w:rFonts w:asciiTheme="majorBidi" w:eastAsia="Arial" w:hAnsiTheme="majorBidi" w:cstheme="majorBidi"/>
          <w:sz w:val="24"/>
          <w:lang w:val="en-US"/>
        </w:rPr>
        <w:t>Linking Human Resources Management Practices and Organizational Performance: Evidence from Private Food Industrial Companies in Jeddah, KSA. </w:t>
      </w:r>
      <w:r w:rsidRPr="00AF6F84">
        <w:rPr>
          <w:rFonts w:asciiTheme="majorBidi" w:eastAsia="Arial" w:hAnsiTheme="majorBidi" w:cstheme="majorBidi"/>
          <w:i/>
          <w:iCs/>
          <w:sz w:val="24"/>
          <w:lang w:val="en-US"/>
        </w:rPr>
        <w:t>European Journal of Business and Management Research</w:t>
      </w:r>
      <w:r w:rsidRPr="00AF6F84">
        <w:rPr>
          <w:rFonts w:asciiTheme="majorBidi" w:eastAsia="Arial" w:hAnsiTheme="majorBidi" w:cstheme="majorBidi"/>
          <w:sz w:val="24"/>
          <w:lang w:val="en-US"/>
        </w:rPr>
        <w:t xml:space="preserve">. </w:t>
      </w:r>
      <w:hyperlink r:id="rId27" w:history="1">
        <w:r w:rsidRPr="00AF6F84">
          <w:rPr>
            <w:rStyle w:val="Hyperlink"/>
            <w:rFonts w:asciiTheme="majorBidi" w:eastAsia="Arial" w:hAnsiTheme="majorBidi" w:cstheme="majorBidi"/>
            <w:sz w:val="24"/>
            <w:lang w:val="en-US"/>
          </w:rPr>
          <w:t>https://doi.org/10.24018/ejbmr.2024.9.4.2341</w:t>
        </w:r>
      </w:hyperlink>
      <w:r w:rsidRPr="00AF6F84">
        <w:rPr>
          <w:rFonts w:asciiTheme="majorBidi" w:eastAsia="Arial" w:hAnsiTheme="majorBidi" w:cstheme="majorBidi"/>
          <w:sz w:val="24"/>
          <w:lang w:val="en-US"/>
        </w:rPr>
        <w:t>.</w:t>
      </w:r>
    </w:p>
    <w:p w14:paraId="4629F152" w14:textId="77777777" w:rsidR="00AF6F84" w:rsidRPr="00AF6F84" w:rsidRDefault="00AF6F84" w:rsidP="00827BCB">
      <w:pPr>
        <w:bidi w:val="0"/>
        <w:spacing w:after="0" w:line="413" w:lineRule="auto"/>
        <w:ind w:hanging="10"/>
        <w:jc w:val="both"/>
        <w:rPr>
          <w:rFonts w:asciiTheme="majorBidi" w:eastAsia="Arial" w:hAnsiTheme="majorBidi" w:cstheme="majorBidi"/>
          <w:sz w:val="24"/>
          <w:rtl/>
        </w:rPr>
      </w:pPr>
      <w:r w:rsidRPr="00AF6F84">
        <w:rPr>
          <w:rFonts w:asciiTheme="majorBidi" w:eastAsia="Arial" w:hAnsiTheme="majorBidi" w:cstheme="majorBidi"/>
          <w:sz w:val="24"/>
          <w:lang w:val="it-IT"/>
        </w:rPr>
        <w:t>Suwaidan, H., Alsubaie, S., Nassani, A., &amp; Aljarallah, K. (2022). The Impact of Organizational Support and Ethical Climate on Turnover Intention: Job Satisfaction as a Mediator. </w:t>
      </w:r>
      <w:r w:rsidRPr="00AF6F84">
        <w:rPr>
          <w:rFonts w:asciiTheme="majorBidi" w:eastAsia="Arial" w:hAnsiTheme="majorBidi" w:cstheme="majorBidi"/>
          <w:i/>
          <w:iCs/>
          <w:sz w:val="24"/>
          <w:rtl/>
        </w:rPr>
        <w:t xml:space="preserve">المجلة </w:t>
      </w:r>
      <w:proofErr w:type="spellStart"/>
      <w:r w:rsidRPr="00AF6F84">
        <w:rPr>
          <w:rFonts w:asciiTheme="majorBidi" w:eastAsia="Arial" w:hAnsiTheme="majorBidi" w:cstheme="majorBidi"/>
          <w:i/>
          <w:iCs/>
          <w:sz w:val="24"/>
          <w:rtl/>
        </w:rPr>
        <w:t>العربیة</w:t>
      </w:r>
      <w:proofErr w:type="spellEnd"/>
      <w:r w:rsidRPr="00AF6F84">
        <w:rPr>
          <w:rFonts w:asciiTheme="majorBidi" w:eastAsia="Arial" w:hAnsiTheme="majorBidi" w:cstheme="majorBidi"/>
          <w:i/>
          <w:iCs/>
          <w:sz w:val="24"/>
          <w:rtl/>
        </w:rPr>
        <w:t xml:space="preserve"> للإدارة</w:t>
      </w:r>
      <w:r w:rsidRPr="00AF6F84">
        <w:rPr>
          <w:rFonts w:asciiTheme="majorBidi" w:eastAsia="Arial" w:hAnsiTheme="majorBidi" w:cstheme="majorBidi"/>
          <w:sz w:val="24"/>
          <w:lang w:val="it-IT"/>
        </w:rPr>
        <w:t xml:space="preserve">. </w:t>
      </w:r>
      <w:hyperlink r:id="rId28" w:history="1">
        <w:r w:rsidRPr="00AF6F84">
          <w:rPr>
            <w:rStyle w:val="Hyperlink"/>
            <w:rFonts w:asciiTheme="majorBidi" w:eastAsia="Arial" w:hAnsiTheme="majorBidi" w:cstheme="majorBidi"/>
            <w:sz w:val="24"/>
            <w:lang w:val="it-IT"/>
          </w:rPr>
          <w:t>https://doi.org/10.21608/aja.2022.140340.1252</w:t>
        </w:r>
      </w:hyperlink>
      <w:r w:rsidRPr="00AF6F84">
        <w:rPr>
          <w:rFonts w:asciiTheme="majorBidi" w:eastAsia="Arial" w:hAnsiTheme="majorBidi" w:cstheme="majorBidi"/>
          <w:sz w:val="24"/>
          <w:lang w:val="it-IT"/>
        </w:rPr>
        <w:t>.</w:t>
      </w:r>
    </w:p>
    <w:p w14:paraId="09E112D9" w14:textId="77777777" w:rsidR="00AF6F84" w:rsidRPr="00AF6F84" w:rsidRDefault="00AF6F84" w:rsidP="00827BCB">
      <w:pPr>
        <w:bidi w:val="0"/>
        <w:spacing w:after="0" w:line="413" w:lineRule="auto"/>
        <w:ind w:hanging="10"/>
        <w:jc w:val="both"/>
        <w:rPr>
          <w:rFonts w:asciiTheme="majorBidi" w:eastAsia="Arial" w:hAnsiTheme="majorBidi" w:cstheme="majorBidi"/>
          <w:sz w:val="24"/>
          <w:rtl/>
        </w:rPr>
      </w:pPr>
      <w:proofErr w:type="spellStart"/>
      <w:proofErr w:type="gramStart"/>
      <w:r w:rsidRPr="00AF6F84">
        <w:rPr>
          <w:rFonts w:asciiTheme="majorBidi" w:eastAsia="Arial" w:hAnsiTheme="majorBidi" w:cstheme="majorBidi"/>
          <w:sz w:val="24"/>
          <w:rtl/>
        </w:rPr>
        <w:lastRenderedPageBreak/>
        <w:t>القبيلي</w:t>
      </w:r>
      <w:proofErr w:type="spellEnd"/>
      <w:r w:rsidRPr="00AF6F84">
        <w:rPr>
          <w:rFonts w:asciiTheme="majorBidi" w:eastAsia="Arial" w:hAnsiTheme="majorBidi" w:cstheme="majorBidi"/>
          <w:sz w:val="24"/>
          <w:rtl/>
        </w:rPr>
        <w:t>,</w:t>
      </w:r>
      <w:proofErr w:type="gramEnd"/>
      <w:r w:rsidRPr="00AF6F84">
        <w:rPr>
          <w:rFonts w:asciiTheme="majorBidi" w:eastAsia="Arial" w:hAnsiTheme="majorBidi" w:cstheme="majorBidi"/>
          <w:sz w:val="24"/>
          <w:rtl/>
        </w:rPr>
        <w:t xml:space="preserve"> </w:t>
      </w:r>
      <w:proofErr w:type="gramStart"/>
      <w:r w:rsidRPr="00AF6F84">
        <w:rPr>
          <w:rFonts w:asciiTheme="majorBidi" w:eastAsia="Arial" w:hAnsiTheme="majorBidi" w:cstheme="majorBidi"/>
          <w:sz w:val="24"/>
          <w:rtl/>
        </w:rPr>
        <w:t>ن</w:t>
      </w:r>
      <w:r w:rsidRPr="00AF6F84">
        <w:rPr>
          <w:rFonts w:asciiTheme="majorBidi" w:eastAsia="Arial" w:hAnsiTheme="majorBidi" w:cstheme="majorBidi"/>
          <w:sz w:val="24"/>
        </w:rPr>
        <w:t>.,</w:t>
      </w:r>
      <w:proofErr w:type="gramEnd"/>
      <w:r w:rsidRPr="00AF6F84">
        <w:rPr>
          <w:rFonts w:asciiTheme="majorBidi" w:eastAsia="Arial" w:hAnsiTheme="majorBidi" w:cstheme="majorBidi"/>
          <w:sz w:val="24"/>
        </w:rPr>
        <w:t xml:space="preserve"> &amp; </w:t>
      </w:r>
      <w:proofErr w:type="gramStart"/>
      <w:r w:rsidRPr="00AF6F84">
        <w:rPr>
          <w:rFonts w:asciiTheme="majorBidi" w:eastAsia="Arial" w:hAnsiTheme="majorBidi" w:cstheme="majorBidi"/>
          <w:sz w:val="24"/>
          <w:rtl/>
        </w:rPr>
        <w:t>النعساني,</w:t>
      </w:r>
      <w:proofErr w:type="gramEnd"/>
      <w:r w:rsidRPr="00AF6F84">
        <w:rPr>
          <w:rFonts w:asciiTheme="majorBidi" w:eastAsia="Arial" w:hAnsiTheme="majorBidi" w:cstheme="majorBidi"/>
          <w:sz w:val="24"/>
          <w:rtl/>
        </w:rPr>
        <w:t xml:space="preserve"> ع</w:t>
      </w:r>
      <w:r w:rsidRPr="00AF6F84">
        <w:rPr>
          <w:rFonts w:asciiTheme="majorBidi" w:eastAsia="Arial" w:hAnsiTheme="majorBidi" w:cstheme="majorBidi"/>
          <w:sz w:val="24"/>
        </w:rPr>
        <w:t xml:space="preserve">. (2023). The </w:t>
      </w:r>
      <w:proofErr w:type="spellStart"/>
      <w:r w:rsidRPr="00AF6F84">
        <w:rPr>
          <w:rFonts w:asciiTheme="majorBidi" w:eastAsia="Arial" w:hAnsiTheme="majorBidi" w:cstheme="majorBidi"/>
          <w:sz w:val="24"/>
        </w:rPr>
        <w:t>Relationship</w:t>
      </w:r>
      <w:proofErr w:type="spellEnd"/>
      <w:r w:rsidRPr="00AF6F84">
        <w:rPr>
          <w:rFonts w:asciiTheme="majorBidi" w:eastAsia="Arial" w:hAnsiTheme="majorBidi" w:cstheme="majorBidi"/>
          <w:sz w:val="24"/>
        </w:rPr>
        <w:t xml:space="preserve"> between </w:t>
      </w:r>
      <w:proofErr w:type="spellStart"/>
      <w:r w:rsidRPr="00AF6F84">
        <w:rPr>
          <w:rFonts w:asciiTheme="majorBidi" w:eastAsia="Arial" w:hAnsiTheme="majorBidi" w:cstheme="majorBidi"/>
          <w:sz w:val="24"/>
        </w:rPr>
        <w:t>Person</w:t>
      </w:r>
      <w:proofErr w:type="spellEnd"/>
      <w:r w:rsidRPr="00AF6F84">
        <w:rPr>
          <w:rFonts w:asciiTheme="majorBidi" w:eastAsia="Arial" w:hAnsiTheme="majorBidi" w:cstheme="majorBidi"/>
          <w:sz w:val="24"/>
        </w:rPr>
        <w:t xml:space="preserve">-Organization </w:t>
      </w:r>
      <w:proofErr w:type="spellStart"/>
      <w:r w:rsidRPr="00AF6F84">
        <w:rPr>
          <w:rFonts w:asciiTheme="majorBidi" w:eastAsia="Arial" w:hAnsiTheme="majorBidi" w:cstheme="majorBidi"/>
          <w:sz w:val="24"/>
        </w:rPr>
        <w:t>Fit</w:t>
      </w:r>
      <w:proofErr w:type="spellEnd"/>
      <w:r w:rsidRPr="00AF6F84">
        <w:rPr>
          <w:rFonts w:asciiTheme="majorBidi" w:eastAsia="Arial" w:hAnsiTheme="majorBidi" w:cstheme="majorBidi"/>
          <w:sz w:val="24"/>
        </w:rPr>
        <w:t xml:space="preserve"> </w:t>
      </w:r>
      <w:proofErr w:type="spellStart"/>
      <w:r w:rsidRPr="00AF6F84">
        <w:rPr>
          <w:rFonts w:asciiTheme="majorBidi" w:eastAsia="Arial" w:hAnsiTheme="majorBidi" w:cstheme="majorBidi"/>
          <w:sz w:val="24"/>
        </w:rPr>
        <w:t>and</w:t>
      </w:r>
      <w:proofErr w:type="spellEnd"/>
      <w:r w:rsidRPr="00AF6F84">
        <w:rPr>
          <w:rFonts w:asciiTheme="majorBidi" w:eastAsia="Arial" w:hAnsiTheme="majorBidi" w:cstheme="majorBidi"/>
          <w:sz w:val="24"/>
        </w:rPr>
        <w:t xml:space="preserve"> </w:t>
      </w:r>
      <w:proofErr w:type="spellStart"/>
      <w:r w:rsidRPr="00AF6F84">
        <w:rPr>
          <w:rFonts w:asciiTheme="majorBidi" w:eastAsia="Arial" w:hAnsiTheme="majorBidi" w:cstheme="majorBidi"/>
          <w:sz w:val="24"/>
        </w:rPr>
        <w:t>Turnover</w:t>
      </w:r>
      <w:proofErr w:type="spellEnd"/>
      <w:r w:rsidRPr="00AF6F84">
        <w:rPr>
          <w:rFonts w:asciiTheme="majorBidi" w:eastAsia="Arial" w:hAnsiTheme="majorBidi" w:cstheme="majorBidi"/>
          <w:sz w:val="24"/>
        </w:rPr>
        <w:t xml:space="preserve"> </w:t>
      </w:r>
      <w:proofErr w:type="spellStart"/>
      <w:r w:rsidRPr="00AF6F84">
        <w:rPr>
          <w:rFonts w:asciiTheme="majorBidi" w:eastAsia="Arial" w:hAnsiTheme="majorBidi" w:cstheme="majorBidi"/>
          <w:sz w:val="24"/>
        </w:rPr>
        <w:t>Intention</w:t>
      </w:r>
      <w:proofErr w:type="spellEnd"/>
      <w:r w:rsidRPr="00AF6F84">
        <w:rPr>
          <w:rFonts w:asciiTheme="majorBidi" w:eastAsia="Arial" w:hAnsiTheme="majorBidi" w:cstheme="majorBidi"/>
          <w:sz w:val="24"/>
        </w:rPr>
        <w:t xml:space="preserve">: The </w:t>
      </w:r>
      <w:proofErr w:type="spellStart"/>
      <w:r w:rsidRPr="00AF6F84">
        <w:rPr>
          <w:rFonts w:asciiTheme="majorBidi" w:eastAsia="Arial" w:hAnsiTheme="majorBidi" w:cstheme="majorBidi"/>
          <w:sz w:val="24"/>
        </w:rPr>
        <w:t>Mediating</w:t>
      </w:r>
      <w:proofErr w:type="spellEnd"/>
      <w:r w:rsidRPr="00AF6F84">
        <w:rPr>
          <w:rFonts w:asciiTheme="majorBidi" w:eastAsia="Arial" w:hAnsiTheme="majorBidi" w:cstheme="majorBidi"/>
          <w:sz w:val="24"/>
        </w:rPr>
        <w:t xml:space="preserve"> Role of </w:t>
      </w:r>
      <w:proofErr w:type="spellStart"/>
      <w:r w:rsidRPr="00AF6F84">
        <w:rPr>
          <w:rFonts w:asciiTheme="majorBidi" w:eastAsia="Arial" w:hAnsiTheme="majorBidi" w:cstheme="majorBidi"/>
          <w:sz w:val="24"/>
        </w:rPr>
        <w:t>Organizational</w:t>
      </w:r>
      <w:proofErr w:type="spellEnd"/>
      <w:r w:rsidRPr="00AF6F84">
        <w:rPr>
          <w:rFonts w:asciiTheme="majorBidi" w:eastAsia="Arial" w:hAnsiTheme="majorBidi" w:cstheme="majorBidi"/>
          <w:sz w:val="24"/>
        </w:rPr>
        <w:t xml:space="preserve"> </w:t>
      </w:r>
      <w:proofErr w:type="spellStart"/>
      <w:r w:rsidRPr="00AF6F84">
        <w:rPr>
          <w:rFonts w:asciiTheme="majorBidi" w:eastAsia="Arial" w:hAnsiTheme="majorBidi" w:cstheme="majorBidi"/>
          <w:sz w:val="24"/>
        </w:rPr>
        <w:t>Justice</w:t>
      </w:r>
      <w:proofErr w:type="spellEnd"/>
      <w:r w:rsidRPr="00AF6F84">
        <w:rPr>
          <w:rFonts w:asciiTheme="majorBidi" w:eastAsia="Arial" w:hAnsiTheme="majorBidi" w:cstheme="majorBidi"/>
          <w:sz w:val="24"/>
        </w:rPr>
        <w:t xml:space="preserve"> </w:t>
      </w:r>
      <w:proofErr w:type="spellStart"/>
      <w:r w:rsidRPr="00AF6F84">
        <w:rPr>
          <w:rFonts w:asciiTheme="majorBidi" w:eastAsia="Arial" w:hAnsiTheme="majorBidi" w:cstheme="majorBidi"/>
          <w:sz w:val="24"/>
        </w:rPr>
        <w:t>and</w:t>
      </w:r>
      <w:proofErr w:type="spellEnd"/>
      <w:r w:rsidRPr="00AF6F84">
        <w:rPr>
          <w:rFonts w:asciiTheme="majorBidi" w:eastAsia="Arial" w:hAnsiTheme="majorBidi" w:cstheme="majorBidi"/>
          <w:sz w:val="24"/>
        </w:rPr>
        <w:t xml:space="preserve"> </w:t>
      </w:r>
      <w:proofErr w:type="spellStart"/>
      <w:r w:rsidRPr="00AF6F84">
        <w:rPr>
          <w:rFonts w:asciiTheme="majorBidi" w:eastAsia="Arial" w:hAnsiTheme="majorBidi" w:cstheme="majorBidi"/>
          <w:sz w:val="24"/>
        </w:rPr>
        <w:t>Job</w:t>
      </w:r>
      <w:proofErr w:type="spellEnd"/>
      <w:r w:rsidRPr="00AF6F84">
        <w:rPr>
          <w:rFonts w:asciiTheme="majorBidi" w:eastAsia="Arial" w:hAnsiTheme="majorBidi" w:cstheme="majorBidi"/>
          <w:sz w:val="24"/>
        </w:rPr>
        <w:t xml:space="preserve"> </w:t>
      </w:r>
      <w:proofErr w:type="spellStart"/>
      <w:r w:rsidRPr="00AF6F84">
        <w:rPr>
          <w:rFonts w:asciiTheme="majorBidi" w:eastAsia="Arial" w:hAnsiTheme="majorBidi" w:cstheme="majorBidi"/>
          <w:sz w:val="24"/>
        </w:rPr>
        <w:t>Satisfaction</w:t>
      </w:r>
      <w:proofErr w:type="spellEnd"/>
      <w:r w:rsidRPr="00AF6F84">
        <w:rPr>
          <w:rFonts w:asciiTheme="majorBidi" w:eastAsia="Arial" w:hAnsiTheme="majorBidi" w:cstheme="majorBidi"/>
          <w:sz w:val="24"/>
        </w:rPr>
        <w:t>.. </w:t>
      </w:r>
      <w:r w:rsidRPr="00AF6F84">
        <w:rPr>
          <w:rFonts w:asciiTheme="majorBidi" w:eastAsia="Arial" w:hAnsiTheme="majorBidi" w:cstheme="majorBidi"/>
          <w:i/>
          <w:iCs/>
          <w:sz w:val="24"/>
          <w:rtl/>
        </w:rPr>
        <w:t>المجلة العربية للإدارة</w:t>
      </w:r>
      <w:r w:rsidRPr="00AF6F84">
        <w:rPr>
          <w:rFonts w:asciiTheme="majorBidi" w:eastAsia="Arial" w:hAnsiTheme="majorBidi" w:cstheme="majorBidi"/>
          <w:sz w:val="24"/>
        </w:rPr>
        <w:t xml:space="preserve">. </w:t>
      </w:r>
      <w:hyperlink r:id="rId29" w:history="1">
        <w:r w:rsidRPr="00AF6F84">
          <w:rPr>
            <w:rStyle w:val="Hyperlink"/>
            <w:rFonts w:asciiTheme="majorBidi" w:eastAsia="Arial" w:hAnsiTheme="majorBidi" w:cstheme="majorBidi"/>
            <w:sz w:val="24"/>
          </w:rPr>
          <w:t>https://doi.org/10.21608/aja.2023.214355.1459</w:t>
        </w:r>
      </w:hyperlink>
      <w:r w:rsidRPr="00AF6F84">
        <w:rPr>
          <w:rFonts w:asciiTheme="majorBidi" w:eastAsia="Arial" w:hAnsiTheme="majorBidi" w:cstheme="majorBidi"/>
          <w:sz w:val="24"/>
        </w:rPr>
        <w:t>.</w:t>
      </w:r>
    </w:p>
    <w:p w14:paraId="3F2F01E8" w14:textId="77777777" w:rsidR="00AF6F84" w:rsidRPr="00AF6F84" w:rsidRDefault="00AF6F84" w:rsidP="00AF6F84">
      <w:pPr>
        <w:bidi w:val="0"/>
        <w:spacing w:after="0" w:line="413" w:lineRule="auto"/>
        <w:ind w:hanging="10"/>
        <w:jc w:val="both"/>
        <w:rPr>
          <w:rFonts w:ascii="Sakkal Majalla" w:eastAsia="Arial" w:hAnsi="Sakkal Majalla" w:cs="Sakkal Majalla" w:hint="cs"/>
          <w:sz w:val="24"/>
          <w:rtl/>
          <w:lang w:val="en-US"/>
        </w:rPr>
      </w:pPr>
    </w:p>
    <w:sectPr w:rsidR="00AF6F84" w:rsidRPr="00AF6F84" w:rsidSect="00F16A68">
      <w:headerReference w:type="even" r:id="rId30"/>
      <w:headerReference w:type="default" r:id="rId31"/>
      <w:headerReference w:type="first" r:id="rId32"/>
      <w:footerReference w:type="first" r:id="rId33"/>
      <w:pgSz w:w="11910" w:h="16845"/>
      <w:pgMar w:top="1440" w:right="1418" w:bottom="1440" w:left="1418" w:header="624" w:footer="740" w:gutter="0"/>
      <w:cols w:space="720"/>
      <w:bidi/>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497CB3" w14:textId="77777777" w:rsidR="00274C93" w:rsidRDefault="00274C93">
      <w:pPr>
        <w:spacing w:after="0" w:line="240" w:lineRule="auto"/>
      </w:pPr>
      <w:r>
        <w:separator/>
      </w:r>
    </w:p>
  </w:endnote>
  <w:endnote w:type="continuationSeparator" w:id="0">
    <w:p w14:paraId="3C804142" w14:textId="77777777" w:rsidR="00274C93" w:rsidRDefault="00274C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Noto Sans">
    <w:charset w:val="00"/>
    <w:family w:val="swiss"/>
    <w:pitch w:val="variable"/>
    <w:sig w:usb0="E00082FF" w:usb1="400078F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EE9A7" w14:textId="77777777" w:rsidR="00E341FB" w:rsidRDefault="005C5A9A">
    <w:pPr>
      <w:bidi w:val="0"/>
      <w:spacing w:after="0"/>
      <w:ind w:left="115"/>
      <w:jc w:val="left"/>
    </w:pPr>
    <w:r>
      <w:fldChar w:fldCharType="begin"/>
    </w:r>
    <w:r>
      <w:instrText xml:space="preserve"> PAGE   \* MERGEFORMAT </w:instrText>
    </w:r>
    <w:r>
      <w:fldChar w:fldCharType="separate"/>
    </w:r>
    <w:r>
      <w:rPr>
        <w:rFonts w:ascii="Noto Sans" w:eastAsia="Noto Sans" w:hAnsi="Noto Sans" w:cs="Noto Sans"/>
        <w:sz w:val="40"/>
      </w:rPr>
      <w:t>2</w:t>
    </w:r>
    <w:r>
      <w:rPr>
        <w:rFonts w:ascii="Noto Sans" w:eastAsia="Noto Sans" w:hAnsi="Noto Sans" w:cs="Noto Sans"/>
        <w:sz w:val="4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B8C67B" w14:textId="77777777" w:rsidR="00274C93" w:rsidRDefault="00274C93">
      <w:pPr>
        <w:spacing w:after="0" w:line="240" w:lineRule="auto"/>
      </w:pPr>
      <w:r>
        <w:separator/>
      </w:r>
    </w:p>
  </w:footnote>
  <w:footnote w:type="continuationSeparator" w:id="0">
    <w:p w14:paraId="335754F8" w14:textId="77777777" w:rsidR="00274C93" w:rsidRDefault="00274C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FAAA5" w14:textId="5B086246" w:rsidR="00E341FB" w:rsidRDefault="005C5A9A" w:rsidP="00F16A68">
    <w:pPr>
      <w:tabs>
        <w:tab w:val="left" w:pos="1323"/>
      </w:tabs>
      <w:bidi w:val="0"/>
      <w:spacing w:after="0"/>
      <w:ind w:right="8152"/>
      <w:jc w:val="left"/>
    </w:pPr>
    <w:r>
      <w:rPr>
        <w:noProof/>
      </w:rPr>
      <w:drawing>
        <wp:anchor distT="0" distB="0" distL="114300" distR="114300" simplePos="0" relativeHeight="251670528" behindDoc="0" locked="0" layoutInCell="1" allowOverlap="0" wp14:anchorId="302C0536" wp14:editId="6BAEFB3B">
          <wp:simplePos x="0" y="0"/>
          <wp:positionH relativeFrom="page">
            <wp:posOffset>446176</wp:posOffset>
          </wp:positionH>
          <wp:positionV relativeFrom="page">
            <wp:posOffset>423640</wp:posOffset>
          </wp:positionV>
          <wp:extent cx="1619860" cy="667001"/>
          <wp:effectExtent l="0" t="0" r="0" b="0"/>
          <wp:wrapSquare wrapText="bothSides"/>
          <wp:docPr id="1134863178" name="Picture 495"/>
          <wp:cNvGraphicFramePr/>
          <a:graphic xmlns:a="http://schemas.openxmlformats.org/drawingml/2006/main">
            <a:graphicData uri="http://schemas.openxmlformats.org/drawingml/2006/picture">
              <pic:pic xmlns:pic="http://schemas.openxmlformats.org/drawingml/2006/picture">
                <pic:nvPicPr>
                  <pic:cNvPr id="495" name="Picture 495"/>
                  <pic:cNvPicPr/>
                </pic:nvPicPr>
                <pic:blipFill>
                  <a:blip r:embed="rId1"/>
                  <a:stretch>
                    <a:fillRect/>
                  </a:stretch>
                </pic:blipFill>
                <pic:spPr>
                  <a:xfrm>
                    <a:off x="0" y="0"/>
                    <a:ext cx="1619860" cy="667001"/>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4B1843" w14:textId="77777777" w:rsidR="00E341FB" w:rsidRDefault="005C5A9A">
    <w:pPr>
      <w:bidi w:val="0"/>
      <w:spacing w:after="0"/>
      <w:ind w:left="-692" w:right="8152"/>
      <w:jc w:val="left"/>
    </w:pPr>
    <w:r>
      <w:rPr>
        <w:noProof/>
      </w:rPr>
      <w:drawing>
        <wp:anchor distT="0" distB="0" distL="114300" distR="114300" simplePos="0" relativeHeight="251672576" behindDoc="0" locked="0" layoutInCell="1" allowOverlap="0" wp14:anchorId="25BCEC9B" wp14:editId="5BCDC103">
          <wp:simplePos x="0" y="0"/>
          <wp:positionH relativeFrom="page">
            <wp:posOffset>446176</wp:posOffset>
          </wp:positionH>
          <wp:positionV relativeFrom="page">
            <wp:posOffset>423640</wp:posOffset>
          </wp:positionV>
          <wp:extent cx="1619860" cy="667001"/>
          <wp:effectExtent l="0" t="0" r="0" b="0"/>
          <wp:wrapSquare wrapText="bothSides"/>
          <wp:docPr id="1657157998" name="Picture 495"/>
          <wp:cNvGraphicFramePr/>
          <a:graphic xmlns:a="http://schemas.openxmlformats.org/drawingml/2006/main">
            <a:graphicData uri="http://schemas.openxmlformats.org/drawingml/2006/picture">
              <pic:pic xmlns:pic="http://schemas.openxmlformats.org/drawingml/2006/picture">
                <pic:nvPicPr>
                  <pic:cNvPr id="495" name="Picture 495"/>
                  <pic:cNvPicPr/>
                </pic:nvPicPr>
                <pic:blipFill>
                  <a:blip r:embed="rId1"/>
                  <a:stretch>
                    <a:fillRect/>
                  </a:stretch>
                </pic:blipFill>
                <pic:spPr>
                  <a:xfrm>
                    <a:off x="0" y="0"/>
                    <a:ext cx="1619860" cy="667001"/>
                  </a:xfrm>
                  <a:prstGeom prst="rect">
                    <a:avLst/>
                  </a:prstGeom>
                </pic:spPr>
              </pic:pic>
            </a:graphicData>
          </a:graphic>
        </wp:anchor>
      </w:drawing>
    </w:r>
  </w:p>
  <w:p w14:paraId="49EEA698" w14:textId="7806BC1B" w:rsidR="00E341FB" w:rsidRDefault="00E341FB"/>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FFE35" w14:textId="77777777" w:rsidR="00E341FB" w:rsidRDefault="005C5A9A">
    <w:pPr>
      <w:bidi w:val="0"/>
      <w:spacing w:after="0"/>
      <w:ind w:left="-692" w:right="8152"/>
      <w:jc w:val="left"/>
    </w:pPr>
    <w:r>
      <w:rPr>
        <w:noProof/>
      </w:rPr>
      <w:drawing>
        <wp:anchor distT="0" distB="0" distL="114300" distR="114300" simplePos="0" relativeHeight="251674624" behindDoc="0" locked="0" layoutInCell="1" allowOverlap="0" wp14:anchorId="28EAB376" wp14:editId="4EF3770E">
          <wp:simplePos x="0" y="0"/>
          <wp:positionH relativeFrom="page">
            <wp:posOffset>446176</wp:posOffset>
          </wp:positionH>
          <wp:positionV relativeFrom="page">
            <wp:posOffset>423640</wp:posOffset>
          </wp:positionV>
          <wp:extent cx="1619860" cy="667001"/>
          <wp:effectExtent l="0" t="0" r="0" b="0"/>
          <wp:wrapSquare wrapText="bothSides"/>
          <wp:docPr id="1206962444" name="Picture 495"/>
          <wp:cNvGraphicFramePr/>
          <a:graphic xmlns:a="http://schemas.openxmlformats.org/drawingml/2006/main">
            <a:graphicData uri="http://schemas.openxmlformats.org/drawingml/2006/picture">
              <pic:pic xmlns:pic="http://schemas.openxmlformats.org/drawingml/2006/picture">
                <pic:nvPicPr>
                  <pic:cNvPr id="495" name="Picture 495"/>
                  <pic:cNvPicPr/>
                </pic:nvPicPr>
                <pic:blipFill>
                  <a:blip r:embed="rId1"/>
                  <a:stretch>
                    <a:fillRect/>
                  </a:stretch>
                </pic:blipFill>
                <pic:spPr>
                  <a:xfrm>
                    <a:off x="0" y="0"/>
                    <a:ext cx="1619860" cy="667001"/>
                  </a:xfrm>
                  <a:prstGeom prst="rect">
                    <a:avLst/>
                  </a:prstGeom>
                </pic:spPr>
              </pic:pic>
            </a:graphicData>
          </a:graphic>
        </wp:anchor>
      </w:drawing>
    </w:r>
  </w:p>
  <w:p w14:paraId="43382A7E" w14:textId="77777777" w:rsidR="00E341FB" w:rsidRDefault="005C5A9A">
    <w:r>
      <w:rPr>
        <w:noProof/>
      </w:rPr>
      <mc:AlternateContent>
        <mc:Choice Requires="wpg">
          <w:drawing>
            <wp:anchor distT="0" distB="0" distL="114300" distR="114300" simplePos="0" relativeHeight="251675648" behindDoc="1" locked="0" layoutInCell="1" allowOverlap="1" wp14:anchorId="6D2B2EF9" wp14:editId="2CB5ECF6">
              <wp:simplePos x="0" y="0"/>
              <wp:positionH relativeFrom="page">
                <wp:posOffset>114248</wp:posOffset>
              </wp:positionH>
              <wp:positionV relativeFrom="page">
                <wp:posOffset>146854</wp:posOffset>
              </wp:positionV>
              <wp:extent cx="7346542" cy="10452861"/>
              <wp:effectExtent l="0" t="0" r="0" b="0"/>
              <wp:wrapNone/>
              <wp:docPr id="827717" name="Group 827717"/>
              <wp:cNvGraphicFramePr/>
              <a:graphic xmlns:a="http://schemas.openxmlformats.org/drawingml/2006/main">
                <a:graphicData uri="http://schemas.microsoft.com/office/word/2010/wordprocessingGroup">
                  <wpg:wgp>
                    <wpg:cNvGrpSpPr/>
                    <wpg:grpSpPr>
                      <a:xfrm>
                        <a:off x="0" y="0"/>
                        <a:ext cx="7346542" cy="10452861"/>
                        <a:chOff x="0" y="0"/>
                        <a:chExt cx="7346542" cy="10452861"/>
                      </a:xfrm>
                    </wpg:grpSpPr>
                    <pic:pic xmlns:pic="http://schemas.openxmlformats.org/drawingml/2006/picture">
                      <pic:nvPicPr>
                        <pic:cNvPr id="827718" name="Picture 827718"/>
                        <pic:cNvPicPr/>
                      </pic:nvPicPr>
                      <pic:blipFill>
                        <a:blip r:embed="rId2"/>
                        <a:stretch>
                          <a:fillRect/>
                        </a:stretch>
                      </pic:blipFill>
                      <pic:spPr>
                        <a:xfrm>
                          <a:off x="0" y="0"/>
                          <a:ext cx="7346542" cy="10452861"/>
                        </a:xfrm>
                        <a:prstGeom prst="rect">
                          <a:avLst/>
                        </a:prstGeom>
                      </pic:spPr>
                    </pic:pic>
                  </wpg:wgp>
                </a:graphicData>
              </a:graphic>
            </wp:anchor>
          </w:drawing>
        </mc:Choice>
        <mc:Fallback xmlns:a="http://schemas.openxmlformats.org/drawingml/2006/main">
          <w:pict>
            <v:group id="Group 827717" style="width:578.468pt;height:823.06pt;position:absolute;z-index:-2147483648;mso-position-horizontal-relative:page;mso-position-horizontal:absolute;margin-left:8.99589pt;mso-position-vertical-relative:page;margin-top:11.5633pt;" coordsize="73465,104528">
              <v:shape id="Picture 827718" style="position:absolute;width:73465;height:104528;left:0;top:0;" filled="f">
                <v:imagedata r:id="rId24"/>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F54615"/>
    <w:multiLevelType w:val="hybridMultilevel"/>
    <w:tmpl w:val="FFFFFFFF"/>
    <w:lvl w:ilvl="0" w:tplc="8FDC8C68">
      <w:start w:val="1"/>
      <w:numFmt w:val="decimal"/>
      <w:lvlText w:val="%1."/>
      <w:lvlJc w:val="left"/>
      <w:pPr>
        <w:ind w:left="263"/>
      </w:pPr>
      <w:rPr>
        <w:rFonts w:ascii="Arial" w:eastAsia="Arial" w:hAnsi="Arial" w:cs="Arial"/>
        <w:b w:val="0"/>
        <w:i w:val="0"/>
        <w:strike w:val="0"/>
        <w:dstrike w:val="0"/>
        <w:color w:val="000000"/>
        <w:sz w:val="25"/>
        <w:szCs w:val="25"/>
        <w:u w:val="none" w:color="000000"/>
        <w:bdr w:val="none" w:sz="0" w:space="0" w:color="auto"/>
        <w:shd w:val="clear" w:color="auto" w:fill="auto"/>
        <w:vertAlign w:val="baseline"/>
      </w:rPr>
    </w:lvl>
    <w:lvl w:ilvl="1" w:tplc="EA1E25A4">
      <w:start w:val="1"/>
      <w:numFmt w:val="lowerLetter"/>
      <w:lvlText w:val="%2"/>
      <w:lvlJc w:val="left"/>
      <w:pPr>
        <w:ind w:left="1080"/>
      </w:pPr>
      <w:rPr>
        <w:rFonts w:ascii="Arial" w:eastAsia="Arial" w:hAnsi="Arial" w:cs="Arial"/>
        <w:b w:val="0"/>
        <w:i w:val="0"/>
        <w:strike w:val="0"/>
        <w:dstrike w:val="0"/>
        <w:color w:val="000000"/>
        <w:sz w:val="25"/>
        <w:szCs w:val="25"/>
        <w:u w:val="none" w:color="000000"/>
        <w:bdr w:val="none" w:sz="0" w:space="0" w:color="auto"/>
        <w:shd w:val="clear" w:color="auto" w:fill="auto"/>
        <w:vertAlign w:val="baseline"/>
      </w:rPr>
    </w:lvl>
    <w:lvl w:ilvl="2" w:tplc="58427406">
      <w:start w:val="1"/>
      <w:numFmt w:val="lowerRoman"/>
      <w:lvlText w:val="%3"/>
      <w:lvlJc w:val="left"/>
      <w:pPr>
        <w:ind w:left="1800"/>
      </w:pPr>
      <w:rPr>
        <w:rFonts w:ascii="Arial" w:eastAsia="Arial" w:hAnsi="Arial" w:cs="Arial"/>
        <w:b w:val="0"/>
        <w:i w:val="0"/>
        <w:strike w:val="0"/>
        <w:dstrike w:val="0"/>
        <w:color w:val="000000"/>
        <w:sz w:val="25"/>
        <w:szCs w:val="25"/>
        <w:u w:val="none" w:color="000000"/>
        <w:bdr w:val="none" w:sz="0" w:space="0" w:color="auto"/>
        <w:shd w:val="clear" w:color="auto" w:fill="auto"/>
        <w:vertAlign w:val="baseline"/>
      </w:rPr>
    </w:lvl>
    <w:lvl w:ilvl="3" w:tplc="7CFA0AF2">
      <w:start w:val="1"/>
      <w:numFmt w:val="decimal"/>
      <w:lvlText w:val="%4"/>
      <w:lvlJc w:val="left"/>
      <w:pPr>
        <w:ind w:left="2520"/>
      </w:pPr>
      <w:rPr>
        <w:rFonts w:ascii="Arial" w:eastAsia="Arial" w:hAnsi="Arial" w:cs="Arial"/>
        <w:b w:val="0"/>
        <w:i w:val="0"/>
        <w:strike w:val="0"/>
        <w:dstrike w:val="0"/>
        <w:color w:val="000000"/>
        <w:sz w:val="25"/>
        <w:szCs w:val="25"/>
        <w:u w:val="none" w:color="000000"/>
        <w:bdr w:val="none" w:sz="0" w:space="0" w:color="auto"/>
        <w:shd w:val="clear" w:color="auto" w:fill="auto"/>
        <w:vertAlign w:val="baseline"/>
      </w:rPr>
    </w:lvl>
    <w:lvl w:ilvl="4" w:tplc="2FF88B4A">
      <w:start w:val="1"/>
      <w:numFmt w:val="lowerLetter"/>
      <w:lvlText w:val="%5"/>
      <w:lvlJc w:val="left"/>
      <w:pPr>
        <w:ind w:left="3240"/>
      </w:pPr>
      <w:rPr>
        <w:rFonts w:ascii="Arial" w:eastAsia="Arial" w:hAnsi="Arial" w:cs="Arial"/>
        <w:b w:val="0"/>
        <w:i w:val="0"/>
        <w:strike w:val="0"/>
        <w:dstrike w:val="0"/>
        <w:color w:val="000000"/>
        <w:sz w:val="25"/>
        <w:szCs w:val="25"/>
        <w:u w:val="none" w:color="000000"/>
        <w:bdr w:val="none" w:sz="0" w:space="0" w:color="auto"/>
        <w:shd w:val="clear" w:color="auto" w:fill="auto"/>
        <w:vertAlign w:val="baseline"/>
      </w:rPr>
    </w:lvl>
    <w:lvl w:ilvl="5" w:tplc="35C2A768">
      <w:start w:val="1"/>
      <w:numFmt w:val="lowerRoman"/>
      <w:lvlText w:val="%6"/>
      <w:lvlJc w:val="left"/>
      <w:pPr>
        <w:ind w:left="3960"/>
      </w:pPr>
      <w:rPr>
        <w:rFonts w:ascii="Arial" w:eastAsia="Arial" w:hAnsi="Arial" w:cs="Arial"/>
        <w:b w:val="0"/>
        <w:i w:val="0"/>
        <w:strike w:val="0"/>
        <w:dstrike w:val="0"/>
        <w:color w:val="000000"/>
        <w:sz w:val="25"/>
        <w:szCs w:val="25"/>
        <w:u w:val="none" w:color="000000"/>
        <w:bdr w:val="none" w:sz="0" w:space="0" w:color="auto"/>
        <w:shd w:val="clear" w:color="auto" w:fill="auto"/>
        <w:vertAlign w:val="baseline"/>
      </w:rPr>
    </w:lvl>
    <w:lvl w:ilvl="6" w:tplc="BF1632D8">
      <w:start w:val="1"/>
      <w:numFmt w:val="decimal"/>
      <w:lvlText w:val="%7"/>
      <w:lvlJc w:val="left"/>
      <w:pPr>
        <w:ind w:left="4680"/>
      </w:pPr>
      <w:rPr>
        <w:rFonts w:ascii="Arial" w:eastAsia="Arial" w:hAnsi="Arial" w:cs="Arial"/>
        <w:b w:val="0"/>
        <w:i w:val="0"/>
        <w:strike w:val="0"/>
        <w:dstrike w:val="0"/>
        <w:color w:val="000000"/>
        <w:sz w:val="25"/>
        <w:szCs w:val="25"/>
        <w:u w:val="none" w:color="000000"/>
        <w:bdr w:val="none" w:sz="0" w:space="0" w:color="auto"/>
        <w:shd w:val="clear" w:color="auto" w:fill="auto"/>
        <w:vertAlign w:val="baseline"/>
      </w:rPr>
    </w:lvl>
    <w:lvl w:ilvl="7" w:tplc="CF10560A">
      <w:start w:val="1"/>
      <w:numFmt w:val="lowerLetter"/>
      <w:lvlText w:val="%8"/>
      <w:lvlJc w:val="left"/>
      <w:pPr>
        <w:ind w:left="5400"/>
      </w:pPr>
      <w:rPr>
        <w:rFonts w:ascii="Arial" w:eastAsia="Arial" w:hAnsi="Arial" w:cs="Arial"/>
        <w:b w:val="0"/>
        <w:i w:val="0"/>
        <w:strike w:val="0"/>
        <w:dstrike w:val="0"/>
        <w:color w:val="000000"/>
        <w:sz w:val="25"/>
        <w:szCs w:val="25"/>
        <w:u w:val="none" w:color="000000"/>
        <w:bdr w:val="none" w:sz="0" w:space="0" w:color="auto"/>
        <w:shd w:val="clear" w:color="auto" w:fill="auto"/>
        <w:vertAlign w:val="baseline"/>
      </w:rPr>
    </w:lvl>
    <w:lvl w:ilvl="8" w:tplc="2D0A5288">
      <w:start w:val="1"/>
      <w:numFmt w:val="lowerRoman"/>
      <w:lvlText w:val="%9"/>
      <w:lvlJc w:val="left"/>
      <w:pPr>
        <w:ind w:left="6120"/>
      </w:pPr>
      <w:rPr>
        <w:rFonts w:ascii="Arial" w:eastAsia="Arial" w:hAnsi="Arial" w:cs="Arial"/>
        <w:b w:val="0"/>
        <w:i w:val="0"/>
        <w:strike w:val="0"/>
        <w:dstrike w:val="0"/>
        <w:color w:val="000000"/>
        <w:sz w:val="25"/>
        <w:szCs w:val="25"/>
        <w:u w:val="none" w:color="000000"/>
        <w:bdr w:val="none" w:sz="0" w:space="0" w:color="auto"/>
        <w:shd w:val="clear" w:color="auto" w:fill="auto"/>
        <w:vertAlign w:val="baseline"/>
      </w:rPr>
    </w:lvl>
  </w:abstractNum>
  <w:abstractNum w:abstractNumId="1" w15:restartNumberingAfterBreak="0">
    <w:nsid w:val="270F2EDF"/>
    <w:multiLevelType w:val="hybridMultilevel"/>
    <w:tmpl w:val="FFFFFFFF"/>
    <w:lvl w:ilvl="0" w:tplc="A9C2E592">
      <w:start w:val="3"/>
      <w:numFmt w:val="decimal"/>
      <w:lvlText w:val="%1."/>
      <w:lvlJc w:val="left"/>
      <w:pPr>
        <w:ind w:left="463"/>
      </w:pPr>
      <w:rPr>
        <w:rFonts w:ascii="Arial" w:eastAsia="Arial" w:hAnsi="Arial" w:cs="Arial"/>
        <w:b w:val="0"/>
        <w:i w:val="0"/>
        <w:strike w:val="0"/>
        <w:dstrike w:val="0"/>
        <w:color w:val="000000"/>
        <w:sz w:val="27"/>
        <w:szCs w:val="27"/>
        <w:u w:val="none" w:color="000000"/>
        <w:bdr w:val="none" w:sz="0" w:space="0" w:color="auto"/>
        <w:shd w:val="clear" w:color="auto" w:fill="auto"/>
        <w:vertAlign w:val="baseline"/>
      </w:rPr>
    </w:lvl>
    <w:lvl w:ilvl="1" w:tplc="93521D9A">
      <w:start w:val="1"/>
      <w:numFmt w:val="lowerLetter"/>
      <w:lvlText w:val="%2"/>
      <w:lvlJc w:val="left"/>
      <w:pPr>
        <w:ind w:left="1176"/>
      </w:pPr>
      <w:rPr>
        <w:rFonts w:ascii="Arial" w:eastAsia="Arial" w:hAnsi="Arial" w:cs="Arial"/>
        <w:b w:val="0"/>
        <w:i w:val="0"/>
        <w:strike w:val="0"/>
        <w:dstrike w:val="0"/>
        <w:color w:val="000000"/>
        <w:sz w:val="27"/>
        <w:szCs w:val="27"/>
        <w:u w:val="none" w:color="000000"/>
        <w:bdr w:val="none" w:sz="0" w:space="0" w:color="auto"/>
        <w:shd w:val="clear" w:color="auto" w:fill="auto"/>
        <w:vertAlign w:val="baseline"/>
      </w:rPr>
    </w:lvl>
    <w:lvl w:ilvl="2" w:tplc="0CE64FF2">
      <w:start w:val="1"/>
      <w:numFmt w:val="lowerRoman"/>
      <w:lvlText w:val="%3"/>
      <w:lvlJc w:val="left"/>
      <w:pPr>
        <w:ind w:left="1896"/>
      </w:pPr>
      <w:rPr>
        <w:rFonts w:ascii="Arial" w:eastAsia="Arial" w:hAnsi="Arial" w:cs="Arial"/>
        <w:b w:val="0"/>
        <w:i w:val="0"/>
        <w:strike w:val="0"/>
        <w:dstrike w:val="0"/>
        <w:color w:val="000000"/>
        <w:sz w:val="27"/>
        <w:szCs w:val="27"/>
        <w:u w:val="none" w:color="000000"/>
        <w:bdr w:val="none" w:sz="0" w:space="0" w:color="auto"/>
        <w:shd w:val="clear" w:color="auto" w:fill="auto"/>
        <w:vertAlign w:val="baseline"/>
      </w:rPr>
    </w:lvl>
    <w:lvl w:ilvl="3" w:tplc="4C92E2F0">
      <w:start w:val="1"/>
      <w:numFmt w:val="decimal"/>
      <w:lvlText w:val="%4"/>
      <w:lvlJc w:val="left"/>
      <w:pPr>
        <w:ind w:left="2616"/>
      </w:pPr>
      <w:rPr>
        <w:rFonts w:ascii="Arial" w:eastAsia="Arial" w:hAnsi="Arial" w:cs="Arial"/>
        <w:b w:val="0"/>
        <w:i w:val="0"/>
        <w:strike w:val="0"/>
        <w:dstrike w:val="0"/>
        <w:color w:val="000000"/>
        <w:sz w:val="27"/>
        <w:szCs w:val="27"/>
        <w:u w:val="none" w:color="000000"/>
        <w:bdr w:val="none" w:sz="0" w:space="0" w:color="auto"/>
        <w:shd w:val="clear" w:color="auto" w:fill="auto"/>
        <w:vertAlign w:val="baseline"/>
      </w:rPr>
    </w:lvl>
    <w:lvl w:ilvl="4" w:tplc="B032E682">
      <w:start w:val="1"/>
      <w:numFmt w:val="lowerLetter"/>
      <w:lvlText w:val="%5"/>
      <w:lvlJc w:val="left"/>
      <w:pPr>
        <w:ind w:left="3336"/>
      </w:pPr>
      <w:rPr>
        <w:rFonts w:ascii="Arial" w:eastAsia="Arial" w:hAnsi="Arial" w:cs="Arial"/>
        <w:b w:val="0"/>
        <w:i w:val="0"/>
        <w:strike w:val="0"/>
        <w:dstrike w:val="0"/>
        <w:color w:val="000000"/>
        <w:sz w:val="27"/>
        <w:szCs w:val="27"/>
        <w:u w:val="none" w:color="000000"/>
        <w:bdr w:val="none" w:sz="0" w:space="0" w:color="auto"/>
        <w:shd w:val="clear" w:color="auto" w:fill="auto"/>
        <w:vertAlign w:val="baseline"/>
      </w:rPr>
    </w:lvl>
    <w:lvl w:ilvl="5" w:tplc="A58C9CA0">
      <w:start w:val="1"/>
      <w:numFmt w:val="lowerRoman"/>
      <w:lvlText w:val="%6"/>
      <w:lvlJc w:val="left"/>
      <w:pPr>
        <w:ind w:left="4056"/>
      </w:pPr>
      <w:rPr>
        <w:rFonts w:ascii="Arial" w:eastAsia="Arial" w:hAnsi="Arial" w:cs="Arial"/>
        <w:b w:val="0"/>
        <w:i w:val="0"/>
        <w:strike w:val="0"/>
        <w:dstrike w:val="0"/>
        <w:color w:val="000000"/>
        <w:sz w:val="27"/>
        <w:szCs w:val="27"/>
        <w:u w:val="none" w:color="000000"/>
        <w:bdr w:val="none" w:sz="0" w:space="0" w:color="auto"/>
        <w:shd w:val="clear" w:color="auto" w:fill="auto"/>
        <w:vertAlign w:val="baseline"/>
      </w:rPr>
    </w:lvl>
    <w:lvl w:ilvl="6" w:tplc="53927D7A">
      <w:start w:val="1"/>
      <w:numFmt w:val="decimal"/>
      <w:lvlText w:val="%7"/>
      <w:lvlJc w:val="left"/>
      <w:pPr>
        <w:ind w:left="4776"/>
      </w:pPr>
      <w:rPr>
        <w:rFonts w:ascii="Arial" w:eastAsia="Arial" w:hAnsi="Arial" w:cs="Arial"/>
        <w:b w:val="0"/>
        <w:i w:val="0"/>
        <w:strike w:val="0"/>
        <w:dstrike w:val="0"/>
        <w:color w:val="000000"/>
        <w:sz w:val="27"/>
        <w:szCs w:val="27"/>
        <w:u w:val="none" w:color="000000"/>
        <w:bdr w:val="none" w:sz="0" w:space="0" w:color="auto"/>
        <w:shd w:val="clear" w:color="auto" w:fill="auto"/>
        <w:vertAlign w:val="baseline"/>
      </w:rPr>
    </w:lvl>
    <w:lvl w:ilvl="7" w:tplc="47FA8EB0">
      <w:start w:val="1"/>
      <w:numFmt w:val="lowerLetter"/>
      <w:lvlText w:val="%8"/>
      <w:lvlJc w:val="left"/>
      <w:pPr>
        <w:ind w:left="5496"/>
      </w:pPr>
      <w:rPr>
        <w:rFonts w:ascii="Arial" w:eastAsia="Arial" w:hAnsi="Arial" w:cs="Arial"/>
        <w:b w:val="0"/>
        <w:i w:val="0"/>
        <w:strike w:val="0"/>
        <w:dstrike w:val="0"/>
        <w:color w:val="000000"/>
        <w:sz w:val="27"/>
        <w:szCs w:val="27"/>
        <w:u w:val="none" w:color="000000"/>
        <w:bdr w:val="none" w:sz="0" w:space="0" w:color="auto"/>
        <w:shd w:val="clear" w:color="auto" w:fill="auto"/>
        <w:vertAlign w:val="baseline"/>
      </w:rPr>
    </w:lvl>
    <w:lvl w:ilvl="8" w:tplc="5DDE9F28">
      <w:start w:val="1"/>
      <w:numFmt w:val="lowerRoman"/>
      <w:lvlText w:val="%9"/>
      <w:lvlJc w:val="left"/>
      <w:pPr>
        <w:ind w:left="6216"/>
      </w:pPr>
      <w:rPr>
        <w:rFonts w:ascii="Arial" w:eastAsia="Arial" w:hAnsi="Arial" w:cs="Arial"/>
        <w:b w:val="0"/>
        <w:i w:val="0"/>
        <w:strike w:val="0"/>
        <w:dstrike w:val="0"/>
        <w:color w:val="000000"/>
        <w:sz w:val="27"/>
        <w:szCs w:val="27"/>
        <w:u w:val="none" w:color="000000"/>
        <w:bdr w:val="none" w:sz="0" w:space="0" w:color="auto"/>
        <w:shd w:val="clear" w:color="auto" w:fill="auto"/>
        <w:vertAlign w:val="baseline"/>
      </w:rPr>
    </w:lvl>
  </w:abstractNum>
  <w:abstractNum w:abstractNumId="2" w15:restartNumberingAfterBreak="0">
    <w:nsid w:val="2D666197"/>
    <w:multiLevelType w:val="hybridMultilevel"/>
    <w:tmpl w:val="FFFFFFFF"/>
    <w:lvl w:ilvl="0" w:tplc="50E6FB38">
      <w:start w:val="1"/>
      <w:numFmt w:val="decimal"/>
      <w:lvlText w:val="%1."/>
      <w:lvlJc w:val="left"/>
      <w:pPr>
        <w:ind w:left="295"/>
      </w:pPr>
      <w:rPr>
        <w:rFonts w:ascii="Arial" w:eastAsia="Arial" w:hAnsi="Arial" w:cs="Arial"/>
        <w:b/>
        <w:bCs/>
        <w:i w:val="0"/>
        <w:strike w:val="0"/>
        <w:dstrike w:val="0"/>
        <w:color w:val="000000"/>
        <w:sz w:val="29"/>
        <w:szCs w:val="29"/>
        <w:u w:val="none" w:color="000000"/>
        <w:bdr w:val="none" w:sz="0" w:space="0" w:color="auto"/>
        <w:shd w:val="clear" w:color="auto" w:fill="auto"/>
        <w:vertAlign w:val="baseline"/>
      </w:rPr>
    </w:lvl>
    <w:lvl w:ilvl="1" w:tplc="34002D1C">
      <w:start w:val="1"/>
      <w:numFmt w:val="lowerLetter"/>
      <w:lvlText w:val="%2"/>
      <w:lvlJc w:val="left"/>
      <w:pPr>
        <w:ind w:left="1080"/>
      </w:pPr>
      <w:rPr>
        <w:rFonts w:ascii="Arial" w:eastAsia="Arial" w:hAnsi="Arial" w:cs="Arial"/>
        <w:b/>
        <w:bCs/>
        <w:i w:val="0"/>
        <w:strike w:val="0"/>
        <w:dstrike w:val="0"/>
        <w:color w:val="000000"/>
        <w:sz w:val="29"/>
        <w:szCs w:val="29"/>
        <w:u w:val="none" w:color="000000"/>
        <w:bdr w:val="none" w:sz="0" w:space="0" w:color="auto"/>
        <w:shd w:val="clear" w:color="auto" w:fill="auto"/>
        <w:vertAlign w:val="baseline"/>
      </w:rPr>
    </w:lvl>
    <w:lvl w:ilvl="2" w:tplc="DB002032">
      <w:start w:val="1"/>
      <w:numFmt w:val="lowerRoman"/>
      <w:lvlText w:val="%3"/>
      <w:lvlJc w:val="left"/>
      <w:pPr>
        <w:ind w:left="1800"/>
      </w:pPr>
      <w:rPr>
        <w:rFonts w:ascii="Arial" w:eastAsia="Arial" w:hAnsi="Arial" w:cs="Arial"/>
        <w:b/>
        <w:bCs/>
        <w:i w:val="0"/>
        <w:strike w:val="0"/>
        <w:dstrike w:val="0"/>
        <w:color w:val="000000"/>
        <w:sz w:val="29"/>
        <w:szCs w:val="29"/>
        <w:u w:val="none" w:color="000000"/>
        <w:bdr w:val="none" w:sz="0" w:space="0" w:color="auto"/>
        <w:shd w:val="clear" w:color="auto" w:fill="auto"/>
        <w:vertAlign w:val="baseline"/>
      </w:rPr>
    </w:lvl>
    <w:lvl w:ilvl="3" w:tplc="9FE80E68">
      <w:start w:val="1"/>
      <w:numFmt w:val="decimal"/>
      <w:lvlText w:val="%4"/>
      <w:lvlJc w:val="left"/>
      <w:pPr>
        <w:ind w:left="2520"/>
      </w:pPr>
      <w:rPr>
        <w:rFonts w:ascii="Arial" w:eastAsia="Arial" w:hAnsi="Arial" w:cs="Arial"/>
        <w:b/>
        <w:bCs/>
        <w:i w:val="0"/>
        <w:strike w:val="0"/>
        <w:dstrike w:val="0"/>
        <w:color w:val="000000"/>
        <w:sz w:val="29"/>
        <w:szCs w:val="29"/>
        <w:u w:val="none" w:color="000000"/>
        <w:bdr w:val="none" w:sz="0" w:space="0" w:color="auto"/>
        <w:shd w:val="clear" w:color="auto" w:fill="auto"/>
        <w:vertAlign w:val="baseline"/>
      </w:rPr>
    </w:lvl>
    <w:lvl w:ilvl="4" w:tplc="04ACB638">
      <w:start w:val="1"/>
      <w:numFmt w:val="lowerLetter"/>
      <w:lvlText w:val="%5"/>
      <w:lvlJc w:val="left"/>
      <w:pPr>
        <w:ind w:left="3240"/>
      </w:pPr>
      <w:rPr>
        <w:rFonts w:ascii="Arial" w:eastAsia="Arial" w:hAnsi="Arial" w:cs="Arial"/>
        <w:b/>
        <w:bCs/>
        <w:i w:val="0"/>
        <w:strike w:val="0"/>
        <w:dstrike w:val="0"/>
        <w:color w:val="000000"/>
        <w:sz w:val="29"/>
        <w:szCs w:val="29"/>
        <w:u w:val="none" w:color="000000"/>
        <w:bdr w:val="none" w:sz="0" w:space="0" w:color="auto"/>
        <w:shd w:val="clear" w:color="auto" w:fill="auto"/>
        <w:vertAlign w:val="baseline"/>
      </w:rPr>
    </w:lvl>
    <w:lvl w:ilvl="5" w:tplc="3A08C9C0">
      <w:start w:val="1"/>
      <w:numFmt w:val="lowerRoman"/>
      <w:lvlText w:val="%6"/>
      <w:lvlJc w:val="left"/>
      <w:pPr>
        <w:ind w:left="3960"/>
      </w:pPr>
      <w:rPr>
        <w:rFonts w:ascii="Arial" w:eastAsia="Arial" w:hAnsi="Arial" w:cs="Arial"/>
        <w:b/>
        <w:bCs/>
        <w:i w:val="0"/>
        <w:strike w:val="0"/>
        <w:dstrike w:val="0"/>
        <w:color w:val="000000"/>
        <w:sz w:val="29"/>
        <w:szCs w:val="29"/>
        <w:u w:val="none" w:color="000000"/>
        <w:bdr w:val="none" w:sz="0" w:space="0" w:color="auto"/>
        <w:shd w:val="clear" w:color="auto" w:fill="auto"/>
        <w:vertAlign w:val="baseline"/>
      </w:rPr>
    </w:lvl>
    <w:lvl w:ilvl="6" w:tplc="5502A9DC">
      <w:start w:val="1"/>
      <w:numFmt w:val="decimal"/>
      <w:lvlText w:val="%7"/>
      <w:lvlJc w:val="left"/>
      <w:pPr>
        <w:ind w:left="4680"/>
      </w:pPr>
      <w:rPr>
        <w:rFonts w:ascii="Arial" w:eastAsia="Arial" w:hAnsi="Arial" w:cs="Arial"/>
        <w:b/>
        <w:bCs/>
        <w:i w:val="0"/>
        <w:strike w:val="0"/>
        <w:dstrike w:val="0"/>
        <w:color w:val="000000"/>
        <w:sz w:val="29"/>
        <w:szCs w:val="29"/>
        <w:u w:val="none" w:color="000000"/>
        <w:bdr w:val="none" w:sz="0" w:space="0" w:color="auto"/>
        <w:shd w:val="clear" w:color="auto" w:fill="auto"/>
        <w:vertAlign w:val="baseline"/>
      </w:rPr>
    </w:lvl>
    <w:lvl w:ilvl="7" w:tplc="CBDA2780">
      <w:start w:val="1"/>
      <w:numFmt w:val="lowerLetter"/>
      <w:lvlText w:val="%8"/>
      <w:lvlJc w:val="left"/>
      <w:pPr>
        <w:ind w:left="5400"/>
      </w:pPr>
      <w:rPr>
        <w:rFonts w:ascii="Arial" w:eastAsia="Arial" w:hAnsi="Arial" w:cs="Arial"/>
        <w:b/>
        <w:bCs/>
        <w:i w:val="0"/>
        <w:strike w:val="0"/>
        <w:dstrike w:val="0"/>
        <w:color w:val="000000"/>
        <w:sz w:val="29"/>
        <w:szCs w:val="29"/>
        <w:u w:val="none" w:color="000000"/>
        <w:bdr w:val="none" w:sz="0" w:space="0" w:color="auto"/>
        <w:shd w:val="clear" w:color="auto" w:fill="auto"/>
        <w:vertAlign w:val="baseline"/>
      </w:rPr>
    </w:lvl>
    <w:lvl w:ilvl="8" w:tplc="BA480B4C">
      <w:start w:val="1"/>
      <w:numFmt w:val="lowerRoman"/>
      <w:lvlText w:val="%9"/>
      <w:lvlJc w:val="left"/>
      <w:pPr>
        <w:ind w:left="6120"/>
      </w:pPr>
      <w:rPr>
        <w:rFonts w:ascii="Arial" w:eastAsia="Arial" w:hAnsi="Arial" w:cs="Arial"/>
        <w:b/>
        <w:bCs/>
        <w:i w:val="0"/>
        <w:strike w:val="0"/>
        <w:dstrike w:val="0"/>
        <w:color w:val="000000"/>
        <w:sz w:val="29"/>
        <w:szCs w:val="29"/>
        <w:u w:val="none" w:color="000000"/>
        <w:bdr w:val="none" w:sz="0" w:space="0" w:color="auto"/>
        <w:shd w:val="clear" w:color="auto" w:fill="auto"/>
        <w:vertAlign w:val="baseline"/>
      </w:rPr>
    </w:lvl>
  </w:abstractNum>
  <w:abstractNum w:abstractNumId="3" w15:restartNumberingAfterBreak="0">
    <w:nsid w:val="31B66006"/>
    <w:multiLevelType w:val="multilevel"/>
    <w:tmpl w:val="FFFFFFFF"/>
    <w:lvl w:ilvl="0">
      <w:start w:val="6"/>
      <w:numFmt w:val="decimal"/>
      <w:lvlText w:val="%1"/>
      <w:lvlJc w:val="left"/>
      <w:pPr>
        <w:ind w:left="360"/>
      </w:pPr>
      <w:rPr>
        <w:rFonts w:ascii="Arial" w:eastAsia="Arial" w:hAnsi="Arial" w:cs="Arial"/>
        <w:b/>
        <w:bCs/>
        <w:i w:val="0"/>
        <w:strike w:val="0"/>
        <w:dstrike w:val="0"/>
        <w:color w:val="000000"/>
        <w:sz w:val="27"/>
        <w:szCs w:val="27"/>
        <w:u w:val="none" w:color="000000"/>
        <w:bdr w:val="none" w:sz="0" w:space="0" w:color="auto"/>
        <w:shd w:val="clear" w:color="auto" w:fill="auto"/>
        <w:vertAlign w:val="baseline"/>
      </w:rPr>
    </w:lvl>
    <w:lvl w:ilvl="1">
      <w:start w:val="5"/>
      <w:numFmt w:val="decimal"/>
      <w:lvlRestart w:val="0"/>
      <w:lvlText w:val="%1.%2"/>
      <w:lvlJc w:val="left"/>
      <w:pPr>
        <w:ind w:left="432"/>
      </w:pPr>
      <w:rPr>
        <w:rFonts w:ascii="Arial" w:eastAsia="Arial" w:hAnsi="Arial" w:cs="Arial"/>
        <w:b/>
        <w:bCs/>
        <w:i w:val="0"/>
        <w:strike w:val="0"/>
        <w:dstrike w:val="0"/>
        <w:color w:val="000000"/>
        <w:sz w:val="27"/>
        <w:szCs w:val="27"/>
        <w:u w:val="none" w:color="000000"/>
        <w:bdr w:val="none" w:sz="0" w:space="0" w:color="auto"/>
        <w:shd w:val="clear" w:color="auto" w:fill="auto"/>
        <w:vertAlign w:val="baseline"/>
      </w:rPr>
    </w:lvl>
    <w:lvl w:ilvl="2">
      <w:start w:val="1"/>
      <w:numFmt w:val="lowerRoman"/>
      <w:lvlText w:val="%3"/>
      <w:lvlJc w:val="left"/>
      <w:pPr>
        <w:ind w:left="1317"/>
      </w:pPr>
      <w:rPr>
        <w:rFonts w:ascii="Arial" w:eastAsia="Arial" w:hAnsi="Arial" w:cs="Arial"/>
        <w:b/>
        <w:bCs/>
        <w:i w:val="0"/>
        <w:strike w:val="0"/>
        <w:dstrike w:val="0"/>
        <w:color w:val="000000"/>
        <w:sz w:val="27"/>
        <w:szCs w:val="27"/>
        <w:u w:val="none" w:color="000000"/>
        <w:bdr w:val="none" w:sz="0" w:space="0" w:color="auto"/>
        <w:shd w:val="clear" w:color="auto" w:fill="auto"/>
        <w:vertAlign w:val="baseline"/>
      </w:rPr>
    </w:lvl>
    <w:lvl w:ilvl="3">
      <w:start w:val="1"/>
      <w:numFmt w:val="decimal"/>
      <w:lvlText w:val="%4"/>
      <w:lvlJc w:val="left"/>
      <w:pPr>
        <w:ind w:left="2037"/>
      </w:pPr>
      <w:rPr>
        <w:rFonts w:ascii="Arial" w:eastAsia="Arial" w:hAnsi="Arial" w:cs="Arial"/>
        <w:b/>
        <w:bCs/>
        <w:i w:val="0"/>
        <w:strike w:val="0"/>
        <w:dstrike w:val="0"/>
        <w:color w:val="000000"/>
        <w:sz w:val="27"/>
        <w:szCs w:val="27"/>
        <w:u w:val="none" w:color="000000"/>
        <w:bdr w:val="none" w:sz="0" w:space="0" w:color="auto"/>
        <w:shd w:val="clear" w:color="auto" w:fill="auto"/>
        <w:vertAlign w:val="baseline"/>
      </w:rPr>
    </w:lvl>
    <w:lvl w:ilvl="4">
      <w:start w:val="1"/>
      <w:numFmt w:val="lowerLetter"/>
      <w:lvlText w:val="%5"/>
      <w:lvlJc w:val="left"/>
      <w:pPr>
        <w:ind w:left="2757"/>
      </w:pPr>
      <w:rPr>
        <w:rFonts w:ascii="Arial" w:eastAsia="Arial" w:hAnsi="Arial" w:cs="Arial"/>
        <w:b/>
        <w:bCs/>
        <w:i w:val="0"/>
        <w:strike w:val="0"/>
        <w:dstrike w:val="0"/>
        <w:color w:val="000000"/>
        <w:sz w:val="27"/>
        <w:szCs w:val="27"/>
        <w:u w:val="none" w:color="000000"/>
        <w:bdr w:val="none" w:sz="0" w:space="0" w:color="auto"/>
        <w:shd w:val="clear" w:color="auto" w:fill="auto"/>
        <w:vertAlign w:val="baseline"/>
      </w:rPr>
    </w:lvl>
    <w:lvl w:ilvl="5">
      <w:start w:val="1"/>
      <w:numFmt w:val="lowerRoman"/>
      <w:lvlText w:val="%6"/>
      <w:lvlJc w:val="left"/>
      <w:pPr>
        <w:ind w:left="3477"/>
      </w:pPr>
      <w:rPr>
        <w:rFonts w:ascii="Arial" w:eastAsia="Arial" w:hAnsi="Arial" w:cs="Arial"/>
        <w:b/>
        <w:bCs/>
        <w:i w:val="0"/>
        <w:strike w:val="0"/>
        <w:dstrike w:val="0"/>
        <w:color w:val="000000"/>
        <w:sz w:val="27"/>
        <w:szCs w:val="27"/>
        <w:u w:val="none" w:color="000000"/>
        <w:bdr w:val="none" w:sz="0" w:space="0" w:color="auto"/>
        <w:shd w:val="clear" w:color="auto" w:fill="auto"/>
        <w:vertAlign w:val="baseline"/>
      </w:rPr>
    </w:lvl>
    <w:lvl w:ilvl="6">
      <w:start w:val="1"/>
      <w:numFmt w:val="decimal"/>
      <w:lvlText w:val="%7"/>
      <w:lvlJc w:val="left"/>
      <w:pPr>
        <w:ind w:left="4197"/>
      </w:pPr>
      <w:rPr>
        <w:rFonts w:ascii="Arial" w:eastAsia="Arial" w:hAnsi="Arial" w:cs="Arial"/>
        <w:b/>
        <w:bCs/>
        <w:i w:val="0"/>
        <w:strike w:val="0"/>
        <w:dstrike w:val="0"/>
        <w:color w:val="000000"/>
        <w:sz w:val="27"/>
        <w:szCs w:val="27"/>
        <w:u w:val="none" w:color="000000"/>
        <w:bdr w:val="none" w:sz="0" w:space="0" w:color="auto"/>
        <w:shd w:val="clear" w:color="auto" w:fill="auto"/>
        <w:vertAlign w:val="baseline"/>
      </w:rPr>
    </w:lvl>
    <w:lvl w:ilvl="7">
      <w:start w:val="1"/>
      <w:numFmt w:val="lowerLetter"/>
      <w:lvlText w:val="%8"/>
      <w:lvlJc w:val="left"/>
      <w:pPr>
        <w:ind w:left="4917"/>
      </w:pPr>
      <w:rPr>
        <w:rFonts w:ascii="Arial" w:eastAsia="Arial" w:hAnsi="Arial" w:cs="Arial"/>
        <w:b/>
        <w:bCs/>
        <w:i w:val="0"/>
        <w:strike w:val="0"/>
        <w:dstrike w:val="0"/>
        <w:color w:val="000000"/>
        <w:sz w:val="27"/>
        <w:szCs w:val="27"/>
        <w:u w:val="none" w:color="000000"/>
        <w:bdr w:val="none" w:sz="0" w:space="0" w:color="auto"/>
        <w:shd w:val="clear" w:color="auto" w:fill="auto"/>
        <w:vertAlign w:val="baseline"/>
      </w:rPr>
    </w:lvl>
    <w:lvl w:ilvl="8">
      <w:start w:val="1"/>
      <w:numFmt w:val="lowerRoman"/>
      <w:lvlText w:val="%9"/>
      <w:lvlJc w:val="left"/>
      <w:pPr>
        <w:ind w:left="5637"/>
      </w:pPr>
      <w:rPr>
        <w:rFonts w:ascii="Arial" w:eastAsia="Arial" w:hAnsi="Arial" w:cs="Arial"/>
        <w:b/>
        <w:bCs/>
        <w:i w:val="0"/>
        <w:strike w:val="0"/>
        <w:dstrike w:val="0"/>
        <w:color w:val="000000"/>
        <w:sz w:val="27"/>
        <w:szCs w:val="27"/>
        <w:u w:val="none" w:color="000000"/>
        <w:bdr w:val="none" w:sz="0" w:space="0" w:color="auto"/>
        <w:shd w:val="clear" w:color="auto" w:fill="auto"/>
        <w:vertAlign w:val="baseline"/>
      </w:rPr>
    </w:lvl>
  </w:abstractNum>
  <w:abstractNum w:abstractNumId="4" w15:restartNumberingAfterBreak="0">
    <w:nsid w:val="3FC52676"/>
    <w:multiLevelType w:val="hybridMultilevel"/>
    <w:tmpl w:val="FFFFFFFF"/>
    <w:lvl w:ilvl="0" w:tplc="794CE1B6">
      <w:start w:val="1"/>
      <w:numFmt w:val="decimal"/>
      <w:lvlText w:val="%1."/>
      <w:lvlJc w:val="left"/>
      <w:pPr>
        <w:ind w:left="975"/>
      </w:pPr>
      <w:rPr>
        <w:rFonts w:ascii="Arial" w:eastAsia="Arial" w:hAnsi="Arial" w:cs="Arial"/>
        <w:b/>
        <w:bCs/>
        <w:i w:val="0"/>
        <w:strike w:val="0"/>
        <w:dstrike w:val="0"/>
        <w:color w:val="000000"/>
        <w:sz w:val="26"/>
        <w:szCs w:val="26"/>
        <w:u w:val="none" w:color="000000"/>
        <w:bdr w:val="none" w:sz="0" w:space="0" w:color="auto"/>
        <w:shd w:val="clear" w:color="auto" w:fill="auto"/>
        <w:vertAlign w:val="baseline"/>
      </w:rPr>
    </w:lvl>
    <w:lvl w:ilvl="1" w:tplc="C61E0084">
      <w:start w:val="1"/>
      <w:numFmt w:val="lowerLetter"/>
      <w:lvlText w:val="%2"/>
      <w:lvlJc w:val="left"/>
      <w:pPr>
        <w:ind w:left="1374"/>
      </w:pPr>
      <w:rPr>
        <w:rFonts w:ascii="Arial" w:eastAsia="Arial" w:hAnsi="Arial" w:cs="Arial"/>
        <w:b/>
        <w:bCs/>
        <w:i w:val="0"/>
        <w:strike w:val="0"/>
        <w:dstrike w:val="0"/>
        <w:color w:val="000000"/>
        <w:sz w:val="26"/>
        <w:szCs w:val="26"/>
        <w:u w:val="none" w:color="000000"/>
        <w:bdr w:val="none" w:sz="0" w:space="0" w:color="auto"/>
        <w:shd w:val="clear" w:color="auto" w:fill="auto"/>
        <w:vertAlign w:val="baseline"/>
      </w:rPr>
    </w:lvl>
    <w:lvl w:ilvl="2" w:tplc="28E8CDF0">
      <w:start w:val="1"/>
      <w:numFmt w:val="lowerRoman"/>
      <w:lvlText w:val="%3"/>
      <w:lvlJc w:val="left"/>
      <w:pPr>
        <w:ind w:left="2094"/>
      </w:pPr>
      <w:rPr>
        <w:rFonts w:ascii="Arial" w:eastAsia="Arial" w:hAnsi="Arial" w:cs="Arial"/>
        <w:b/>
        <w:bCs/>
        <w:i w:val="0"/>
        <w:strike w:val="0"/>
        <w:dstrike w:val="0"/>
        <w:color w:val="000000"/>
        <w:sz w:val="26"/>
        <w:szCs w:val="26"/>
        <w:u w:val="none" w:color="000000"/>
        <w:bdr w:val="none" w:sz="0" w:space="0" w:color="auto"/>
        <w:shd w:val="clear" w:color="auto" w:fill="auto"/>
        <w:vertAlign w:val="baseline"/>
      </w:rPr>
    </w:lvl>
    <w:lvl w:ilvl="3" w:tplc="EF7611E6">
      <w:start w:val="1"/>
      <w:numFmt w:val="decimal"/>
      <w:lvlText w:val="%4"/>
      <w:lvlJc w:val="left"/>
      <w:pPr>
        <w:ind w:left="2814"/>
      </w:pPr>
      <w:rPr>
        <w:rFonts w:ascii="Arial" w:eastAsia="Arial" w:hAnsi="Arial" w:cs="Arial"/>
        <w:b/>
        <w:bCs/>
        <w:i w:val="0"/>
        <w:strike w:val="0"/>
        <w:dstrike w:val="0"/>
        <w:color w:val="000000"/>
        <w:sz w:val="26"/>
        <w:szCs w:val="26"/>
        <w:u w:val="none" w:color="000000"/>
        <w:bdr w:val="none" w:sz="0" w:space="0" w:color="auto"/>
        <w:shd w:val="clear" w:color="auto" w:fill="auto"/>
        <w:vertAlign w:val="baseline"/>
      </w:rPr>
    </w:lvl>
    <w:lvl w:ilvl="4" w:tplc="E0549A2C">
      <w:start w:val="1"/>
      <w:numFmt w:val="lowerLetter"/>
      <w:lvlText w:val="%5"/>
      <w:lvlJc w:val="left"/>
      <w:pPr>
        <w:ind w:left="3534"/>
      </w:pPr>
      <w:rPr>
        <w:rFonts w:ascii="Arial" w:eastAsia="Arial" w:hAnsi="Arial" w:cs="Arial"/>
        <w:b/>
        <w:bCs/>
        <w:i w:val="0"/>
        <w:strike w:val="0"/>
        <w:dstrike w:val="0"/>
        <w:color w:val="000000"/>
        <w:sz w:val="26"/>
        <w:szCs w:val="26"/>
        <w:u w:val="none" w:color="000000"/>
        <w:bdr w:val="none" w:sz="0" w:space="0" w:color="auto"/>
        <w:shd w:val="clear" w:color="auto" w:fill="auto"/>
        <w:vertAlign w:val="baseline"/>
      </w:rPr>
    </w:lvl>
    <w:lvl w:ilvl="5" w:tplc="129C5A3E">
      <w:start w:val="1"/>
      <w:numFmt w:val="lowerRoman"/>
      <w:lvlText w:val="%6"/>
      <w:lvlJc w:val="left"/>
      <w:pPr>
        <w:ind w:left="4254"/>
      </w:pPr>
      <w:rPr>
        <w:rFonts w:ascii="Arial" w:eastAsia="Arial" w:hAnsi="Arial" w:cs="Arial"/>
        <w:b/>
        <w:bCs/>
        <w:i w:val="0"/>
        <w:strike w:val="0"/>
        <w:dstrike w:val="0"/>
        <w:color w:val="000000"/>
        <w:sz w:val="26"/>
        <w:szCs w:val="26"/>
        <w:u w:val="none" w:color="000000"/>
        <w:bdr w:val="none" w:sz="0" w:space="0" w:color="auto"/>
        <w:shd w:val="clear" w:color="auto" w:fill="auto"/>
        <w:vertAlign w:val="baseline"/>
      </w:rPr>
    </w:lvl>
    <w:lvl w:ilvl="6" w:tplc="4FE45994">
      <w:start w:val="1"/>
      <w:numFmt w:val="decimal"/>
      <w:lvlText w:val="%7"/>
      <w:lvlJc w:val="left"/>
      <w:pPr>
        <w:ind w:left="4974"/>
      </w:pPr>
      <w:rPr>
        <w:rFonts w:ascii="Arial" w:eastAsia="Arial" w:hAnsi="Arial" w:cs="Arial"/>
        <w:b/>
        <w:bCs/>
        <w:i w:val="0"/>
        <w:strike w:val="0"/>
        <w:dstrike w:val="0"/>
        <w:color w:val="000000"/>
        <w:sz w:val="26"/>
        <w:szCs w:val="26"/>
        <w:u w:val="none" w:color="000000"/>
        <w:bdr w:val="none" w:sz="0" w:space="0" w:color="auto"/>
        <w:shd w:val="clear" w:color="auto" w:fill="auto"/>
        <w:vertAlign w:val="baseline"/>
      </w:rPr>
    </w:lvl>
    <w:lvl w:ilvl="7" w:tplc="031824B6">
      <w:start w:val="1"/>
      <w:numFmt w:val="lowerLetter"/>
      <w:lvlText w:val="%8"/>
      <w:lvlJc w:val="left"/>
      <w:pPr>
        <w:ind w:left="5694"/>
      </w:pPr>
      <w:rPr>
        <w:rFonts w:ascii="Arial" w:eastAsia="Arial" w:hAnsi="Arial" w:cs="Arial"/>
        <w:b/>
        <w:bCs/>
        <w:i w:val="0"/>
        <w:strike w:val="0"/>
        <w:dstrike w:val="0"/>
        <w:color w:val="000000"/>
        <w:sz w:val="26"/>
        <w:szCs w:val="26"/>
        <w:u w:val="none" w:color="000000"/>
        <w:bdr w:val="none" w:sz="0" w:space="0" w:color="auto"/>
        <w:shd w:val="clear" w:color="auto" w:fill="auto"/>
        <w:vertAlign w:val="baseline"/>
      </w:rPr>
    </w:lvl>
    <w:lvl w:ilvl="8" w:tplc="CB062088">
      <w:start w:val="1"/>
      <w:numFmt w:val="lowerRoman"/>
      <w:lvlText w:val="%9"/>
      <w:lvlJc w:val="left"/>
      <w:pPr>
        <w:ind w:left="6414"/>
      </w:pPr>
      <w:rPr>
        <w:rFonts w:ascii="Arial" w:eastAsia="Arial" w:hAnsi="Arial" w:cs="Arial"/>
        <w:b/>
        <w:bCs/>
        <w:i w:val="0"/>
        <w:strike w:val="0"/>
        <w:dstrike w:val="0"/>
        <w:color w:val="000000"/>
        <w:sz w:val="26"/>
        <w:szCs w:val="26"/>
        <w:u w:val="none" w:color="000000"/>
        <w:bdr w:val="none" w:sz="0" w:space="0" w:color="auto"/>
        <w:shd w:val="clear" w:color="auto" w:fill="auto"/>
        <w:vertAlign w:val="baseline"/>
      </w:rPr>
    </w:lvl>
  </w:abstractNum>
  <w:abstractNum w:abstractNumId="5" w15:restartNumberingAfterBreak="0">
    <w:nsid w:val="42F27D26"/>
    <w:multiLevelType w:val="hybridMultilevel"/>
    <w:tmpl w:val="E4820BA4"/>
    <w:lvl w:ilvl="0" w:tplc="04090001">
      <w:start w:val="1"/>
      <w:numFmt w:val="bullet"/>
      <w:lvlText w:val=""/>
      <w:lvlJc w:val="left"/>
      <w:pPr>
        <w:ind w:left="710" w:hanging="360"/>
      </w:pPr>
      <w:rPr>
        <w:rFonts w:ascii="Symbol" w:hAnsi="Symbol" w:hint="default"/>
      </w:rPr>
    </w:lvl>
    <w:lvl w:ilvl="1" w:tplc="04090003" w:tentative="1">
      <w:start w:val="1"/>
      <w:numFmt w:val="bullet"/>
      <w:lvlText w:val="o"/>
      <w:lvlJc w:val="left"/>
      <w:pPr>
        <w:ind w:left="1430" w:hanging="360"/>
      </w:pPr>
      <w:rPr>
        <w:rFonts w:ascii="Courier New" w:hAnsi="Courier New" w:cs="Courier New" w:hint="default"/>
      </w:rPr>
    </w:lvl>
    <w:lvl w:ilvl="2" w:tplc="04090005" w:tentative="1">
      <w:start w:val="1"/>
      <w:numFmt w:val="bullet"/>
      <w:lvlText w:val=""/>
      <w:lvlJc w:val="left"/>
      <w:pPr>
        <w:ind w:left="2150" w:hanging="360"/>
      </w:pPr>
      <w:rPr>
        <w:rFonts w:ascii="Wingdings" w:hAnsi="Wingdings" w:hint="default"/>
      </w:rPr>
    </w:lvl>
    <w:lvl w:ilvl="3" w:tplc="04090001" w:tentative="1">
      <w:start w:val="1"/>
      <w:numFmt w:val="bullet"/>
      <w:lvlText w:val=""/>
      <w:lvlJc w:val="left"/>
      <w:pPr>
        <w:ind w:left="2870" w:hanging="360"/>
      </w:pPr>
      <w:rPr>
        <w:rFonts w:ascii="Symbol" w:hAnsi="Symbol" w:hint="default"/>
      </w:rPr>
    </w:lvl>
    <w:lvl w:ilvl="4" w:tplc="04090003" w:tentative="1">
      <w:start w:val="1"/>
      <w:numFmt w:val="bullet"/>
      <w:lvlText w:val="o"/>
      <w:lvlJc w:val="left"/>
      <w:pPr>
        <w:ind w:left="3590" w:hanging="360"/>
      </w:pPr>
      <w:rPr>
        <w:rFonts w:ascii="Courier New" w:hAnsi="Courier New" w:cs="Courier New" w:hint="default"/>
      </w:rPr>
    </w:lvl>
    <w:lvl w:ilvl="5" w:tplc="04090005" w:tentative="1">
      <w:start w:val="1"/>
      <w:numFmt w:val="bullet"/>
      <w:lvlText w:val=""/>
      <w:lvlJc w:val="left"/>
      <w:pPr>
        <w:ind w:left="4310" w:hanging="360"/>
      </w:pPr>
      <w:rPr>
        <w:rFonts w:ascii="Wingdings" w:hAnsi="Wingdings" w:hint="default"/>
      </w:rPr>
    </w:lvl>
    <w:lvl w:ilvl="6" w:tplc="04090001" w:tentative="1">
      <w:start w:val="1"/>
      <w:numFmt w:val="bullet"/>
      <w:lvlText w:val=""/>
      <w:lvlJc w:val="left"/>
      <w:pPr>
        <w:ind w:left="5030" w:hanging="360"/>
      </w:pPr>
      <w:rPr>
        <w:rFonts w:ascii="Symbol" w:hAnsi="Symbol" w:hint="default"/>
      </w:rPr>
    </w:lvl>
    <w:lvl w:ilvl="7" w:tplc="04090003" w:tentative="1">
      <w:start w:val="1"/>
      <w:numFmt w:val="bullet"/>
      <w:lvlText w:val="o"/>
      <w:lvlJc w:val="left"/>
      <w:pPr>
        <w:ind w:left="5750" w:hanging="360"/>
      </w:pPr>
      <w:rPr>
        <w:rFonts w:ascii="Courier New" w:hAnsi="Courier New" w:cs="Courier New" w:hint="default"/>
      </w:rPr>
    </w:lvl>
    <w:lvl w:ilvl="8" w:tplc="04090005" w:tentative="1">
      <w:start w:val="1"/>
      <w:numFmt w:val="bullet"/>
      <w:lvlText w:val=""/>
      <w:lvlJc w:val="left"/>
      <w:pPr>
        <w:ind w:left="6470" w:hanging="360"/>
      </w:pPr>
      <w:rPr>
        <w:rFonts w:ascii="Wingdings" w:hAnsi="Wingdings" w:hint="default"/>
      </w:rPr>
    </w:lvl>
  </w:abstractNum>
  <w:abstractNum w:abstractNumId="6" w15:restartNumberingAfterBreak="0">
    <w:nsid w:val="5EB75FA5"/>
    <w:multiLevelType w:val="multilevel"/>
    <w:tmpl w:val="1A7E972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5EC4420F"/>
    <w:multiLevelType w:val="hybridMultilevel"/>
    <w:tmpl w:val="FFFFFFFF"/>
    <w:lvl w:ilvl="0" w:tplc="1AA22236">
      <w:start w:val="1"/>
      <w:numFmt w:val="decimal"/>
      <w:lvlText w:val="%1."/>
      <w:lvlJc w:val="left"/>
      <w:pPr>
        <w:ind w:left="11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C32CE770">
      <w:start w:val="1"/>
      <w:numFmt w:val="lowerLetter"/>
      <w:lvlText w:val="%2"/>
      <w:lvlJc w:val="left"/>
      <w:pPr>
        <w:ind w:left="186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4796A1EA">
      <w:start w:val="1"/>
      <w:numFmt w:val="lowerRoman"/>
      <w:lvlText w:val="%3"/>
      <w:lvlJc w:val="left"/>
      <w:pPr>
        <w:ind w:left="258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337200A4">
      <w:start w:val="1"/>
      <w:numFmt w:val="decimal"/>
      <w:lvlText w:val="%4"/>
      <w:lvlJc w:val="left"/>
      <w:pPr>
        <w:ind w:left="330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F32C93E6">
      <w:start w:val="1"/>
      <w:numFmt w:val="lowerLetter"/>
      <w:lvlText w:val="%5"/>
      <w:lvlJc w:val="left"/>
      <w:pPr>
        <w:ind w:left="402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57B40836">
      <w:start w:val="1"/>
      <w:numFmt w:val="lowerRoman"/>
      <w:lvlText w:val="%6"/>
      <w:lvlJc w:val="left"/>
      <w:pPr>
        <w:ind w:left="474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5ABE9DE0">
      <w:start w:val="1"/>
      <w:numFmt w:val="decimal"/>
      <w:lvlText w:val="%7"/>
      <w:lvlJc w:val="left"/>
      <w:pPr>
        <w:ind w:left="546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30B6FE1E">
      <w:start w:val="1"/>
      <w:numFmt w:val="lowerLetter"/>
      <w:lvlText w:val="%8"/>
      <w:lvlJc w:val="left"/>
      <w:pPr>
        <w:ind w:left="618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799029B2">
      <w:start w:val="1"/>
      <w:numFmt w:val="lowerRoman"/>
      <w:lvlText w:val="%9"/>
      <w:lvlJc w:val="left"/>
      <w:pPr>
        <w:ind w:left="6909"/>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627A396C"/>
    <w:multiLevelType w:val="hybridMultilevel"/>
    <w:tmpl w:val="FFFFFFFF"/>
    <w:lvl w:ilvl="0" w:tplc="40B6012E">
      <w:start w:val="1"/>
      <w:numFmt w:val="decimal"/>
      <w:lvlText w:val="%1."/>
      <w:lvlJc w:val="left"/>
      <w:pPr>
        <w:ind w:left="129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BDA26D6A">
      <w:start w:val="1"/>
      <w:numFmt w:val="lowerLetter"/>
      <w:lvlText w:val="%2"/>
      <w:lvlJc w:val="left"/>
      <w:pPr>
        <w:ind w:left="187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E43EE1BA">
      <w:start w:val="1"/>
      <w:numFmt w:val="lowerRoman"/>
      <w:lvlText w:val="%3"/>
      <w:lvlJc w:val="left"/>
      <w:pPr>
        <w:ind w:left="259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59EC0EBA">
      <w:start w:val="1"/>
      <w:numFmt w:val="decimal"/>
      <w:lvlText w:val="%4"/>
      <w:lvlJc w:val="left"/>
      <w:pPr>
        <w:ind w:left="331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5826427C">
      <w:start w:val="1"/>
      <w:numFmt w:val="lowerLetter"/>
      <w:lvlText w:val="%5"/>
      <w:lvlJc w:val="left"/>
      <w:pPr>
        <w:ind w:left="403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F93AC262">
      <w:start w:val="1"/>
      <w:numFmt w:val="lowerRoman"/>
      <w:lvlText w:val="%6"/>
      <w:lvlJc w:val="left"/>
      <w:pPr>
        <w:ind w:left="475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A8DED108">
      <w:start w:val="1"/>
      <w:numFmt w:val="decimal"/>
      <w:lvlText w:val="%7"/>
      <w:lvlJc w:val="left"/>
      <w:pPr>
        <w:ind w:left="547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D504AFB8">
      <w:start w:val="1"/>
      <w:numFmt w:val="lowerLetter"/>
      <w:lvlText w:val="%8"/>
      <w:lvlJc w:val="left"/>
      <w:pPr>
        <w:ind w:left="619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95324286">
      <w:start w:val="1"/>
      <w:numFmt w:val="lowerRoman"/>
      <w:lvlText w:val="%9"/>
      <w:lvlJc w:val="left"/>
      <w:pPr>
        <w:ind w:left="691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9" w15:restartNumberingAfterBreak="0">
    <w:nsid w:val="65F372DB"/>
    <w:multiLevelType w:val="hybridMultilevel"/>
    <w:tmpl w:val="FFFFFFFF"/>
    <w:lvl w:ilvl="0" w:tplc="0592EE1C">
      <w:start w:val="1"/>
      <w:numFmt w:val="bullet"/>
      <w:lvlText w:val="•"/>
      <w:lvlJc w:val="left"/>
      <w:pPr>
        <w:ind w:left="246"/>
      </w:pPr>
      <w:rPr>
        <w:rFonts w:ascii="Arial" w:eastAsia="Arial" w:hAnsi="Arial" w:cs="Arial"/>
        <w:b/>
        <w:bCs/>
        <w:i w:val="0"/>
        <w:strike w:val="0"/>
        <w:dstrike w:val="0"/>
        <w:color w:val="000000"/>
        <w:sz w:val="26"/>
        <w:szCs w:val="26"/>
        <w:u w:val="none" w:color="000000"/>
        <w:bdr w:val="none" w:sz="0" w:space="0" w:color="auto"/>
        <w:shd w:val="clear" w:color="auto" w:fill="auto"/>
        <w:vertAlign w:val="baseline"/>
      </w:rPr>
    </w:lvl>
    <w:lvl w:ilvl="1" w:tplc="56E8710E">
      <w:start w:val="1"/>
      <w:numFmt w:val="bullet"/>
      <w:lvlText w:val="o"/>
      <w:lvlJc w:val="left"/>
      <w:pPr>
        <w:ind w:left="1080"/>
      </w:pPr>
      <w:rPr>
        <w:rFonts w:ascii="Arial" w:eastAsia="Arial" w:hAnsi="Arial" w:cs="Arial"/>
        <w:b/>
        <w:bCs/>
        <w:i w:val="0"/>
        <w:strike w:val="0"/>
        <w:dstrike w:val="0"/>
        <w:color w:val="000000"/>
        <w:sz w:val="26"/>
        <w:szCs w:val="26"/>
        <w:u w:val="none" w:color="000000"/>
        <w:bdr w:val="none" w:sz="0" w:space="0" w:color="auto"/>
        <w:shd w:val="clear" w:color="auto" w:fill="auto"/>
        <w:vertAlign w:val="baseline"/>
      </w:rPr>
    </w:lvl>
    <w:lvl w:ilvl="2" w:tplc="7F627804">
      <w:start w:val="1"/>
      <w:numFmt w:val="bullet"/>
      <w:lvlText w:val="▪"/>
      <w:lvlJc w:val="left"/>
      <w:pPr>
        <w:ind w:left="1800"/>
      </w:pPr>
      <w:rPr>
        <w:rFonts w:ascii="Arial" w:eastAsia="Arial" w:hAnsi="Arial" w:cs="Arial"/>
        <w:b/>
        <w:bCs/>
        <w:i w:val="0"/>
        <w:strike w:val="0"/>
        <w:dstrike w:val="0"/>
        <w:color w:val="000000"/>
        <w:sz w:val="26"/>
        <w:szCs w:val="26"/>
        <w:u w:val="none" w:color="000000"/>
        <w:bdr w:val="none" w:sz="0" w:space="0" w:color="auto"/>
        <w:shd w:val="clear" w:color="auto" w:fill="auto"/>
        <w:vertAlign w:val="baseline"/>
      </w:rPr>
    </w:lvl>
    <w:lvl w:ilvl="3" w:tplc="BDD8AC12">
      <w:start w:val="1"/>
      <w:numFmt w:val="bullet"/>
      <w:lvlText w:val="•"/>
      <w:lvlJc w:val="left"/>
      <w:pPr>
        <w:ind w:left="2520"/>
      </w:pPr>
      <w:rPr>
        <w:rFonts w:ascii="Arial" w:eastAsia="Arial" w:hAnsi="Arial" w:cs="Arial"/>
        <w:b/>
        <w:bCs/>
        <w:i w:val="0"/>
        <w:strike w:val="0"/>
        <w:dstrike w:val="0"/>
        <w:color w:val="000000"/>
        <w:sz w:val="26"/>
        <w:szCs w:val="26"/>
        <w:u w:val="none" w:color="000000"/>
        <w:bdr w:val="none" w:sz="0" w:space="0" w:color="auto"/>
        <w:shd w:val="clear" w:color="auto" w:fill="auto"/>
        <w:vertAlign w:val="baseline"/>
      </w:rPr>
    </w:lvl>
    <w:lvl w:ilvl="4" w:tplc="A8705BF0">
      <w:start w:val="1"/>
      <w:numFmt w:val="bullet"/>
      <w:lvlText w:val="o"/>
      <w:lvlJc w:val="left"/>
      <w:pPr>
        <w:ind w:left="3240"/>
      </w:pPr>
      <w:rPr>
        <w:rFonts w:ascii="Arial" w:eastAsia="Arial" w:hAnsi="Arial" w:cs="Arial"/>
        <w:b/>
        <w:bCs/>
        <w:i w:val="0"/>
        <w:strike w:val="0"/>
        <w:dstrike w:val="0"/>
        <w:color w:val="000000"/>
        <w:sz w:val="26"/>
        <w:szCs w:val="26"/>
        <w:u w:val="none" w:color="000000"/>
        <w:bdr w:val="none" w:sz="0" w:space="0" w:color="auto"/>
        <w:shd w:val="clear" w:color="auto" w:fill="auto"/>
        <w:vertAlign w:val="baseline"/>
      </w:rPr>
    </w:lvl>
    <w:lvl w:ilvl="5" w:tplc="6D0026DE">
      <w:start w:val="1"/>
      <w:numFmt w:val="bullet"/>
      <w:lvlText w:val="▪"/>
      <w:lvlJc w:val="left"/>
      <w:pPr>
        <w:ind w:left="3960"/>
      </w:pPr>
      <w:rPr>
        <w:rFonts w:ascii="Arial" w:eastAsia="Arial" w:hAnsi="Arial" w:cs="Arial"/>
        <w:b/>
        <w:bCs/>
        <w:i w:val="0"/>
        <w:strike w:val="0"/>
        <w:dstrike w:val="0"/>
        <w:color w:val="000000"/>
        <w:sz w:val="26"/>
        <w:szCs w:val="26"/>
        <w:u w:val="none" w:color="000000"/>
        <w:bdr w:val="none" w:sz="0" w:space="0" w:color="auto"/>
        <w:shd w:val="clear" w:color="auto" w:fill="auto"/>
        <w:vertAlign w:val="baseline"/>
      </w:rPr>
    </w:lvl>
    <w:lvl w:ilvl="6" w:tplc="904C439E">
      <w:start w:val="1"/>
      <w:numFmt w:val="bullet"/>
      <w:lvlText w:val="•"/>
      <w:lvlJc w:val="left"/>
      <w:pPr>
        <w:ind w:left="4680"/>
      </w:pPr>
      <w:rPr>
        <w:rFonts w:ascii="Arial" w:eastAsia="Arial" w:hAnsi="Arial" w:cs="Arial"/>
        <w:b/>
        <w:bCs/>
        <w:i w:val="0"/>
        <w:strike w:val="0"/>
        <w:dstrike w:val="0"/>
        <w:color w:val="000000"/>
        <w:sz w:val="26"/>
        <w:szCs w:val="26"/>
        <w:u w:val="none" w:color="000000"/>
        <w:bdr w:val="none" w:sz="0" w:space="0" w:color="auto"/>
        <w:shd w:val="clear" w:color="auto" w:fill="auto"/>
        <w:vertAlign w:val="baseline"/>
      </w:rPr>
    </w:lvl>
    <w:lvl w:ilvl="7" w:tplc="64B602CA">
      <w:start w:val="1"/>
      <w:numFmt w:val="bullet"/>
      <w:lvlText w:val="o"/>
      <w:lvlJc w:val="left"/>
      <w:pPr>
        <w:ind w:left="5400"/>
      </w:pPr>
      <w:rPr>
        <w:rFonts w:ascii="Arial" w:eastAsia="Arial" w:hAnsi="Arial" w:cs="Arial"/>
        <w:b/>
        <w:bCs/>
        <w:i w:val="0"/>
        <w:strike w:val="0"/>
        <w:dstrike w:val="0"/>
        <w:color w:val="000000"/>
        <w:sz w:val="26"/>
        <w:szCs w:val="26"/>
        <w:u w:val="none" w:color="000000"/>
        <w:bdr w:val="none" w:sz="0" w:space="0" w:color="auto"/>
        <w:shd w:val="clear" w:color="auto" w:fill="auto"/>
        <w:vertAlign w:val="baseline"/>
      </w:rPr>
    </w:lvl>
    <w:lvl w:ilvl="8" w:tplc="4C4EE0EE">
      <w:start w:val="1"/>
      <w:numFmt w:val="bullet"/>
      <w:lvlText w:val="▪"/>
      <w:lvlJc w:val="left"/>
      <w:pPr>
        <w:ind w:left="6120"/>
      </w:pPr>
      <w:rPr>
        <w:rFonts w:ascii="Arial" w:eastAsia="Arial" w:hAnsi="Arial" w:cs="Arial"/>
        <w:b/>
        <w:bCs/>
        <w:i w:val="0"/>
        <w:strike w:val="0"/>
        <w:dstrike w:val="0"/>
        <w:color w:val="000000"/>
        <w:sz w:val="26"/>
        <w:szCs w:val="26"/>
        <w:u w:val="none" w:color="000000"/>
        <w:bdr w:val="none" w:sz="0" w:space="0" w:color="auto"/>
        <w:shd w:val="clear" w:color="auto" w:fill="auto"/>
        <w:vertAlign w:val="baseline"/>
      </w:rPr>
    </w:lvl>
  </w:abstractNum>
  <w:abstractNum w:abstractNumId="10" w15:restartNumberingAfterBreak="0">
    <w:nsid w:val="6600511C"/>
    <w:multiLevelType w:val="multilevel"/>
    <w:tmpl w:val="FFFFFFFF"/>
    <w:lvl w:ilvl="0">
      <w:start w:val="5"/>
      <w:numFmt w:val="decimal"/>
      <w:lvlText w:val="%1"/>
      <w:lvlJc w:val="left"/>
      <w:pPr>
        <w:ind w:left="360"/>
      </w:pPr>
      <w:rPr>
        <w:rFonts w:ascii="Arial" w:eastAsia="Arial" w:hAnsi="Arial" w:cs="Arial"/>
        <w:b/>
        <w:bCs/>
        <w:i w:val="0"/>
        <w:strike w:val="0"/>
        <w:dstrike w:val="0"/>
        <w:color w:val="000000"/>
        <w:sz w:val="29"/>
        <w:szCs w:val="29"/>
        <w:u w:val="none" w:color="000000"/>
        <w:bdr w:val="none" w:sz="0" w:space="0" w:color="auto"/>
        <w:shd w:val="clear" w:color="auto" w:fill="auto"/>
        <w:vertAlign w:val="baseline"/>
      </w:rPr>
    </w:lvl>
    <w:lvl w:ilvl="1">
      <w:start w:val="2"/>
      <w:numFmt w:val="decimal"/>
      <w:lvlRestart w:val="0"/>
      <w:lvlText w:val="%1.%2"/>
      <w:lvlJc w:val="left"/>
      <w:pPr>
        <w:ind w:left="542"/>
      </w:pPr>
      <w:rPr>
        <w:rFonts w:ascii="Arial" w:eastAsia="Arial" w:hAnsi="Arial" w:cs="Arial"/>
        <w:b/>
        <w:bCs/>
        <w:i w:val="0"/>
        <w:strike w:val="0"/>
        <w:dstrike w:val="0"/>
        <w:color w:val="000000"/>
        <w:sz w:val="29"/>
        <w:szCs w:val="29"/>
        <w:u w:val="none" w:color="000000"/>
        <w:bdr w:val="none" w:sz="0" w:space="0" w:color="auto"/>
        <w:shd w:val="clear" w:color="auto" w:fill="auto"/>
        <w:vertAlign w:val="baseline"/>
      </w:rPr>
    </w:lvl>
    <w:lvl w:ilvl="2">
      <w:start w:val="1"/>
      <w:numFmt w:val="lowerRoman"/>
      <w:lvlText w:val="%3"/>
      <w:lvlJc w:val="left"/>
      <w:pPr>
        <w:ind w:left="1318"/>
      </w:pPr>
      <w:rPr>
        <w:rFonts w:ascii="Arial" w:eastAsia="Arial" w:hAnsi="Arial" w:cs="Arial"/>
        <w:b/>
        <w:bCs/>
        <w:i w:val="0"/>
        <w:strike w:val="0"/>
        <w:dstrike w:val="0"/>
        <w:color w:val="000000"/>
        <w:sz w:val="29"/>
        <w:szCs w:val="29"/>
        <w:u w:val="none" w:color="000000"/>
        <w:bdr w:val="none" w:sz="0" w:space="0" w:color="auto"/>
        <w:shd w:val="clear" w:color="auto" w:fill="auto"/>
        <w:vertAlign w:val="baseline"/>
      </w:rPr>
    </w:lvl>
    <w:lvl w:ilvl="3">
      <w:start w:val="1"/>
      <w:numFmt w:val="decimal"/>
      <w:lvlText w:val="%4"/>
      <w:lvlJc w:val="left"/>
      <w:pPr>
        <w:ind w:left="2038"/>
      </w:pPr>
      <w:rPr>
        <w:rFonts w:ascii="Arial" w:eastAsia="Arial" w:hAnsi="Arial" w:cs="Arial"/>
        <w:b/>
        <w:bCs/>
        <w:i w:val="0"/>
        <w:strike w:val="0"/>
        <w:dstrike w:val="0"/>
        <w:color w:val="000000"/>
        <w:sz w:val="29"/>
        <w:szCs w:val="29"/>
        <w:u w:val="none" w:color="000000"/>
        <w:bdr w:val="none" w:sz="0" w:space="0" w:color="auto"/>
        <w:shd w:val="clear" w:color="auto" w:fill="auto"/>
        <w:vertAlign w:val="baseline"/>
      </w:rPr>
    </w:lvl>
    <w:lvl w:ilvl="4">
      <w:start w:val="1"/>
      <w:numFmt w:val="lowerLetter"/>
      <w:lvlText w:val="%5"/>
      <w:lvlJc w:val="left"/>
      <w:pPr>
        <w:ind w:left="2758"/>
      </w:pPr>
      <w:rPr>
        <w:rFonts w:ascii="Arial" w:eastAsia="Arial" w:hAnsi="Arial" w:cs="Arial"/>
        <w:b/>
        <w:bCs/>
        <w:i w:val="0"/>
        <w:strike w:val="0"/>
        <w:dstrike w:val="0"/>
        <w:color w:val="000000"/>
        <w:sz w:val="29"/>
        <w:szCs w:val="29"/>
        <w:u w:val="none" w:color="000000"/>
        <w:bdr w:val="none" w:sz="0" w:space="0" w:color="auto"/>
        <w:shd w:val="clear" w:color="auto" w:fill="auto"/>
        <w:vertAlign w:val="baseline"/>
      </w:rPr>
    </w:lvl>
    <w:lvl w:ilvl="5">
      <w:start w:val="1"/>
      <w:numFmt w:val="lowerRoman"/>
      <w:lvlText w:val="%6"/>
      <w:lvlJc w:val="left"/>
      <w:pPr>
        <w:ind w:left="3478"/>
      </w:pPr>
      <w:rPr>
        <w:rFonts w:ascii="Arial" w:eastAsia="Arial" w:hAnsi="Arial" w:cs="Arial"/>
        <w:b/>
        <w:bCs/>
        <w:i w:val="0"/>
        <w:strike w:val="0"/>
        <w:dstrike w:val="0"/>
        <w:color w:val="000000"/>
        <w:sz w:val="29"/>
        <w:szCs w:val="29"/>
        <w:u w:val="none" w:color="000000"/>
        <w:bdr w:val="none" w:sz="0" w:space="0" w:color="auto"/>
        <w:shd w:val="clear" w:color="auto" w:fill="auto"/>
        <w:vertAlign w:val="baseline"/>
      </w:rPr>
    </w:lvl>
    <w:lvl w:ilvl="6">
      <w:start w:val="1"/>
      <w:numFmt w:val="decimal"/>
      <w:lvlText w:val="%7"/>
      <w:lvlJc w:val="left"/>
      <w:pPr>
        <w:ind w:left="4198"/>
      </w:pPr>
      <w:rPr>
        <w:rFonts w:ascii="Arial" w:eastAsia="Arial" w:hAnsi="Arial" w:cs="Arial"/>
        <w:b/>
        <w:bCs/>
        <w:i w:val="0"/>
        <w:strike w:val="0"/>
        <w:dstrike w:val="0"/>
        <w:color w:val="000000"/>
        <w:sz w:val="29"/>
        <w:szCs w:val="29"/>
        <w:u w:val="none" w:color="000000"/>
        <w:bdr w:val="none" w:sz="0" w:space="0" w:color="auto"/>
        <w:shd w:val="clear" w:color="auto" w:fill="auto"/>
        <w:vertAlign w:val="baseline"/>
      </w:rPr>
    </w:lvl>
    <w:lvl w:ilvl="7">
      <w:start w:val="1"/>
      <w:numFmt w:val="lowerLetter"/>
      <w:lvlText w:val="%8"/>
      <w:lvlJc w:val="left"/>
      <w:pPr>
        <w:ind w:left="4918"/>
      </w:pPr>
      <w:rPr>
        <w:rFonts w:ascii="Arial" w:eastAsia="Arial" w:hAnsi="Arial" w:cs="Arial"/>
        <w:b/>
        <w:bCs/>
        <w:i w:val="0"/>
        <w:strike w:val="0"/>
        <w:dstrike w:val="0"/>
        <w:color w:val="000000"/>
        <w:sz w:val="29"/>
        <w:szCs w:val="29"/>
        <w:u w:val="none" w:color="000000"/>
        <w:bdr w:val="none" w:sz="0" w:space="0" w:color="auto"/>
        <w:shd w:val="clear" w:color="auto" w:fill="auto"/>
        <w:vertAlign w:val="baseline"/>
      </w:rPr>
    </w:lvl>
    <w:lvl w:ilvl="8">
      <w:start w:val="1"/>
      <w:numFmt w:val="lowerRoman"/>
      <w:lvlText w:val="%9"/>
      <w:lvlJc w:val="left"/>
      <w:pPr>
        <w:ind w:left="5638"/>
      </w:pPr>
      <w:rPr>
        <w:rFonts w:ascii="Arial" w:eastAsia="Arial" w:hAnsi="Arial" w:cs="Arial"/>
        <w:b/>
        <w:bCs/>
        <w:i w:val="0"/>
        <w:strike w:val="0"/>
        <w:dstrike w:val="0"/>
        <w:color w:val="000000"/>
        <w:sz w:val="29"/>
        <w:szCs w:val="29"/>
        <w:u w:val="none" w:color="000000"/>
        <w:bdr w:val="none" w:sz="0" w:space="0" w:color="auto"/>
        <w:shd w:val="clear" w:color="auto" w:fill="auto"/>
        <w:vertAlign w:val="baseline"/>
      </w:rPr>
    </w:lvl>
  </w:abstractNum>
  <w:abstractNum w:abstractNumId="11" w15:restartNumberingAfterBreak="0">
    <w:nsid w:val="67154DCE"/>
    <w:multiLevelType w:val="multilevel"/>
    <w:tmpl w:val="2D627E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A591979"/>
    <w:multiLevelType w:val="hybridMultilevel"/>
    <w:tmpl w:val="FFFFFFFF"/>
    <w:lvl w:ilvl="0" w:tplc="F50C5896">
      <w:start w:val="26"/>
      <w:numFmt w:val="decimal"/>
      <w:lvlText w:val="%1."/>
      <w:lvlJc w:val="left"/>
      <w:pPr>
        <w:ind w:left="1205"/>
      </w:pPr>
      <w:rPr>
        <w:rFonts w:ascii="Arial" w:eastAsia="Arial" w:hAnsi="Arial" w:cs="Arial"/>
        <w:b/>
        <w:bCs/>
        <w:i w:val="0"/>
        <w:strike w:val="0"/>
        <w:dstrike w:val="0"/>
        <w:color w:val="000000"/>
        <w:sz w:val="26"/>
        <w:szCs w:val="26"/>
        <w:u w:val="none" w:color="000000"/>
        <w:bdr w:val="none" w:sz="0" w:space="0" w:color="auto"/>
        <w:shd w:val="clear" w:color="auto" w:fill="auto"/>
        <w:vertAlign w:val="baseline"/>
      </w:rPr>
    </w:lvl>
    <w:lvl w:ilvl="1" w:tplc="E5EC1482">
      <w:start w:val="1"/>
      <w:numFmt w:val="lowerLetter"/>
      <w:lvlText w:val="%2"/>
      <w:lvlJc w:val="left"/>
      <w:pPr>
        <w:ind w:left="1201"/>
      </w:pPr>
      <w:rPr>
        <w:rFonts w:ascii="Arial" w:eastAsia="Arial" w:hAnsi="Arial" w:cs="Arial"/>
        <w:b/>
        <w:bCs/>
        <w:i w:val="0"/>
        <w:strike w:val="0"/>
        <w:dstrike w:val="0"/>
        <w:color w:val="000000"/>
        <w:sz w:val="26"/>
        <w:szCs w:val="26"/>
        <w:u w:val="none" w:color="000000"/>
        <w:bdr w:val="none" w:sz="0" w:space="0" w:color="auto"/>
        <w:shd w:val="clear" w:color="auto" w:fill="auto"/>
        <w:vertAlign w:val="baseline"/>
      </w:rPr>
    </w:lvl>
    <w:lvl w:ilvl="2" w:tplc="1C4018F6">
      <w:start w:val="1"/>
      <w:numFmt w:val="lowerRoman"/>
      <w:lvlText w:val="%3"/>
      <w:lvlJc w:val="left"/>
      <w:pPr>
        <w:ind w:left="1921"/>
      </w:pPr>
      <w:rPr>
        <w:rFonts w:ascii="Arial" w:eastAsia="Arial" w:hAnsi="Arial" w:cs="Arial"/>
        <w:b/>
        <w:bCs/>
        <w:i w:val="0"/>
        <w:strike w:val="0"/>
        <w:dstrike w:val="0"/>
        <w:color w:val="000000"/>
        <w:sz w:val="26"/>
        <w:szCs w:val="26"/>
        <w:u w:val="none" w:color="000000"/>
        <w:bdr w:val="none" w:sz="0" w:space="0" w:color="auto"/>
        <w:shd w:val="clear" w:color="auto" w:fill="auto"/>
        <w:vertAlign w:val="baseline"/>
      </w:rPr>
    </w:lvl>
    <w:lvl w:ilvl="3" w:tplc="F14A4DD2">
      <w:start w:val="1"/>
      <w:numFmt w:val="decimal"/>
      <w:lvlText w:val="%4"/>
      <w:lvlJc w:val="left"/>
      <w:pPr>
        <w:ind w:left="2641"/>
      </w:pPr>
      <w:rPr>
        <w:rFonts w:ascii="Arial" w:eastAsia="Arial" w:hAnsi="Arial" w:cs="Arial"/>
        <w:b/>
        <w:bCs/>
        <w:i w:val="0"/>
        <w:strike w:val="0"/>
        <w:dstrike w:val="0"/>
        <w:color w:val="000000"/>
        <w:sz w:val="26"/>
        <w:szCs w:val="26"/>
        <w:u w:val="none" w:color="000000"/>
        <w:bdr w:val="none" w:sz="0" w:space="0" w:color="auto"/>
        <w:shd w:val="clear" w:color="auto" w:fill="auto"/>
        <w:vertAlign w:val="baseline"/>
      </w:rPr>
    </w:lvl>
    <w:lvl w:ilvl="4" w:tplc="DE248808">
      <w:start w:val="1"/>
      <w:numFmt w:val="lowerLetter"/>
      <w:lvlText w:val="%5"/>
      <w:lvlJc w:val="left"/>
      <w:pPr>
        <w:ind w:left="3361"/>
      </w:pPr>
      <w:rPr>
        <w:rFonts w:ascii="Arial" w:eastAsia="Arial" w:hAnsi="Arial" w:cs="Arial"/>
        <w:b/>
        <w:bCs/>
        <w:i w:val="0"/>
        <w:strike w:val="0"/>
        <w:dstrike w:val="0"/>
        <w:color w:val="000000"/>
        <w:sz w:val="26"/>
        <w:szCs w:val="26"/>
        <w:u w:val="none" w:color="000000"/>
        <w:bdr w:val="none" w:sz="0" w:space="0" w:color="auto"/>
        <w:shd w:val="clear" w:color="auto" w:fill="auto"/>
        <w:vertAlign w:val="baseline"/>
      </w:rPr>
    </w:lvl>
    <w:lvl w:ilvl="5" w:tplc="306C251C">
      <w:start w:val="1"/>
      <w:numFmt w:val="lowerRoman"/>
      <w:lvlText w:val="%6"/>
      <w:lvlJc w:val="left"/>
      <w:pPr>
        <w:ind w:left="4081"/>
      </w:pPr>
      <w:rPr>
        <w:rFonts w:ascii="Arial" w:eastAsia="Arial" w:hAnsi="Arial" w:cs="Arial"/>
        <w:b/>
        <w:bCs/>
        <w:i w:val="0"/>
        <w:strike w:val="0"/>
        <w:dstrike w:val="0"/>
        <w:color w:val="000000"/>
        <w:sz w:val="26"/>
        <w:szCs w:val="26"/>
        <w:u w:val="none" w:color="000000"/>
        <w:bdr w:val="none" w:sz="0" w:space="0" w:color="auto"/>
        <w:shd w:val="clear" w:color="auto" w:fill="auto"/>
        <w:vertAlign w:val="baseline"/>
      </w:rPr>
    </w:lvl>
    <w:lvl w:ilvl="6" w:tplc="2508E528">
      <w:start w:val="1"/>
      <w:numFmt w:val="decimal"/>
      <w:lvlText w:val="%7"/>
      <w:lvlJc w:val="left"/>
      <w:pPr>
        <w:ind w:left="4801"/>
      </w:pPr>
      <w:rPr>
        <w:rFonts w:ascii="Arial" w:eastAsia="Arial" w:hAnsi="Arial" w:cs="Arial"/>
        <w:b/>
        <w:bCs/>
        <w:i w:val="0"/>
        <w:strike w:val="0"/>
        <w:dstrike w:val="0"/>
        <w:color w:val="000000"/>
        <w:sz w:val="26"/>
        <w:szCs w:val="26"/>
        <w:u w:val="none" w:color="000000"/>
        <w:bdr w:val="none" w:sz="0" w:space="0" w:color="auto"/>
        <w:shd w:val="clear" w:color="auto" w:fill="auto"/>
        <w:vertAlign w:val="baseline"/>
      </w:rPr>
    </w:lvl>
    <w:lvl w:ilvl="7" w:tplc="F6443706">
      <w:start w:val="1"/>
      <w:numFmt w:val="lowerLetter"/>
      <w:lvlText w:val="%8"/>
      <w:lvlJc w:val="left"/>
      <w:pPr>
        <w:ind w:left="5521"/>
      </w:pPr>
      <w:rPr>
        <w:rFonts w:ascii="Arial" w:eastAsia="Arial" w:hAnsi="Arial" w:cs="Arial"/>
        <w:b/>
        <w:bCs/>
        <w:i w:val="0"/>
        <w:strike w:val="0"/>
        <w:dstrike w:val="0"/>
        <w:color w:val="000000"/>
        <w:sz w:val="26"/>
        <w:szCs w:val="26"/>
        <w:u w:val="none" w:color="000000"/>
        <w:bdr w:val="none" w:sz="0" w:space="0" w:color="auto"/>
        <w:shd w:val="clear" w:color="auto" w:fill="auto"/>
        <w:vertAlign w:val="baseline"/>
      </w:rPr>
    </w:lvl>
    <w:lvl w:ilvl="8" w:tplc="5F941B70">
      <w:start w:val="1"/>
      <w:numFmt w:val="lowerRoman"/>
      <w:lvlText w:val="%9"/>
      <w:lvlJc w:val="left"/>
      <w:pPr>
        <w:ind w:left="6241"/>
      </w:pPr>
      <w:rPr>
        <w:rFonts w:ascii="Arial" w:eastAsia="Arial" w:hAnsi="Arial" w:cs="Arial"/>
        <w:b/>
        <w:bCs/>
        <w:i w:val="0"/>
        <w:strike w:val="0"/>
        <w:dstrike w:val="0"/>
        <w:color w:val="000000"/>
        <w:sz w:val="26"/>
        <w:szCs w:val="26"/>
        <w:u w:val="none" w:color="000000"/>
        <w:bdr w:val="none" w:sz="0" w:space="0" w:color="auto"/>
        <w:shd w:val="clear" w:color="auto" w:fill="auto"/>
        <w:vertAlign w:val="baseline"/>
      </w:rPr>
    </w:lvl>
  </w:abstractNum>
  <w:abstractNum w:abstractNumId="13" w15:restartNumberingAfterBreak="0">
    <w:nsid w:val="7E7A5517"/>
    <w:multiLevelType w:val="hybridMultilevel"/>
    <w:tmpl w:val="FFFFFFFF"/>
    <w:lvl w:ilvl="0" w:tplc="37DC6A3C">
      <w:start w:val="1"/>
      <w:numFmt w:val="decimal"/>
      <w:lvlText w:val="%1."/>
      <w:lvlJc w:val="left"/>
      <w:pPr>
        <w:ind w:left="975"/>
      </w:pPr>
      <w:rPr>
        <w:rFonts w:ascii="Arial" w:eastAsia="Arial" w:hAnsi="Arial" w:cs="Arial"/>
        <w:b/>
        <w:bCs/>
        <w:i w:val="0"/>
        <w:strike w:val="0"/>
        <w:dstrike w:val="0"/>
        <w:color w:val="000000"/>
        <w:sz w:val="26"/>
        <w:szCs w:val="26"/>
        <w:u w:val="none" w:color="000000"/>
        <w:bdr w:val="none" w:sz="0" w:space="0" w:color="auto"/>
        <w:shd w:val="clear" w:color="auto" w:fill="auto"/>
        <w:vertAlign w:val="baseline"/>
      </w:rPr>
    </w:lvl>
    <w:lvl w:ilvl="1" w:tplc="0DDAA3FC">
      <w:start w:val="1"/>
      <w:numFmt w:val="lowerLetter"/>
      <w:lvlText w:val="%2"/>
      <w:lvlJc w:val="left"/>
      <w:pPr>
        <w:ind w:left="1522"/>
      </w:pPr>
      <w:rPr>
        <w:rFonts w:ascii="Arial" w:eastAsia="Arial" w:hAnsi="Arial" w:cs="Arial"/>
        <w:b/>
        <w:bCs/>
        <w:i w:val="0"/>
        <w:strike w:val="0"/>
        <w:dstrike w:val="0"/>
        <w:color w:val="000000"/>
        <w:sz w:val="26"/>
        <w:szCs w:val="26"/>
        <w:u w:val="none" w:color="000000"/>
        <w:bdr w:val="none" w:sz="0" w:space="0" w:color="auto"/>
        <w:shd w:val="clear" w:color="auto" w:fill="auto"/>
        <w:vertAlign w:val="baseline"/>
      </w:rPr>
    </w:lvl>
    <w:lvl w:ilvl="2" w:tplc="AE6C1BC8">
      <w:start w:val="1"/>
      <w:numFmt w:val="lowerRoman"/>
      <w:lvlText w:val="%3"/>
      <w:lvlJc w:val="left"/>
      <w:pPr>
        <w:ind w:left="2242"/>
      </w:pPr>
      <w:rPr>
        <w:rFonts w:ascii="Arial" w:eastAsia="Arial" w:hAnsi="Arial" w:cs="Arial"/>
        <w:b/>
        <w:bCs/>
        <w:i w:val="0"/>
        <w:strike w:val="0"/>
        <w:dstrike w:val="0"/>
        <w:color w:val="000000"/>
        <w:sz w:val="26"/>
        <w:szCs w:val="26"/>
        <w:u w:val="none" w:color="000000"/>
        <w:bdr w:val="none" w:sz="0" w:space="0" w:color="auto"/>
        <w:shd w:val="clear" w:color="auto" w:fill="auto"/>
        <w:vertAlign w:val="baseline"/>
      </w:rPr>
    </w:lvl>
    <w:lvl w:ilvl="3" w:tplc="0B2CD488">
      <w:start w:val="1"/>
      <w:numFmt w:val="decimal"/>
      <w:lvlText w:val="%4"/>
      <w:lvlJc w:val="left"/>
      <w:pPr>
        <w:ind w:left="2962"/>
      </w:pPr>
      <w:rPr>
        <w:rFonts w:ascii="Arial" w:eastAsia="Arial" w:hAnsi="Arial" w:cs="Arial"/>
        <w:b/>
        <w:bCs/>
        <w:i w:val="0"/>
        <w:strike w:val="0"/>
        <w:dstrike w:val="0"/>
        <w:color w:val="000000"/>
        <w:sz w:val="26"/>
        <w:szCs w:val="26"/>
        <w:u w:val="none" w:color="000000"/>
        <w:bdr w:val="none" w:sz="0" w:space="0" w:color="auto"/>
        <w:shd w:val="clear" w:color="auto" w:fill="auto"/>
        <w:vertAlign w:val="baseline"/>
      </w:rPr>
    </w:lvl>
    <w:lvl w:ilvl="4" w:tplc="E16A5F0E">
      <w:start w:val="1"/>
      <w:numFmt w:val="lowerLetter"/>
      <w:lvlText w:val="%5"/>
      <w:lvlJc w:val="left"/>
      <w:pPr>
        <w:ind w:left="3682"/>
      </w:pPr>
      <w:rPr>
        <w:rFonts w:ascii="Arial" w:eastAsia="Arial" w:hAnsi="Arial" w:cs="Arial"/>
        <w:b/>
        <w:bCs/>
        <w:i w:val="0"/>
        <w:strike w:val="0"/>
        <w:dstrike w:val="0"/>
        <w:color w:val="000000"/>
        <w:sz w:val="26"/>
        <w:szCs w:val="26"/>
        <w:u w:val="none" w:color="000000"/>
        <w:bdr w:val="none" w:sz="0" w:space="0" w:color="auto"/>
        <w:shd w:val="clear" w:color="auto" w:fill="auto"/>
        <w:vertAlign w:val="baseline"/>
      </w:rPr>
    </w:lvl>
    <w:lvl w:ilvl="5" w:tplc="23E0B54C">
      <w:start w:val="1"/>
      <w:numFmt w:val="lowerRoman"/>
      <w:lvlText w:val="%6"/>
      <w:lvlJc w:val="left"/>
      <w:pPr>
        <w:ind w:left="4402"/>
      </w:pPr>
      <w:rPr>
        <w:rFonts w:ascii="Arial" w:eastAsia="Arial" w:hAnsi="Arial" w:cs="Arial"/>
        <w:b/>
        <w:bCs/>
        <w:i w:val="0"/>
        <w:strike w:val="0"/>
        <w:dstrike w:val="0"/>
        <w:color w:val="000000"/>
        <w:sz w:val="26"/>
        <w:szCs w:val="26"/>
        <w:u w:val="none" w:color="000000"/>
        <w:bdr w:val="none" w:sz="0" w:space="0" w:color="auto"/>
        <w:shd w:val="clear" w:color="auto" w:fill="auto"/>
        <w:vertAlign w:val="baseline"/>
      </w:rPr>
    </w:lvl>
    <w:lvl w:ilvl="6" w:tplc="9DA66634">
      <w:start w:val="1"/>
      <w:numFmt w:val="decimal"/>
      <w:lvlText w:val="%7"/>
      <w:lvlJc w:val="left"/>
      <w:pPr>
        <w:ind w:left="5122"/>
      </w:pPr>
      <w:rPr>
        <w:rFonts w:ascii="Arial" w:eastAsia="Arial" w:hAnsi="Arial" w:cs="Arial"/>
        <w:b/>
        <w:bCs/>
        <w:i w:val="0"/>
        <w:strike w:val="0"/>
        <w:dstrike w:val="0"/>
        <w:color w:val="000000"/>
        <w:sz w:val="26"/>
        <w:szCs w:val="26"/>
        <w:u w:val="none" w:color="000000"/>
        <w:bdr w:val="none" w:sz="0" w:space="0" w:color="auto"/>
        <w:shd w:val="clear" w:color="auto" w:fill="auto"/>
        <w:vertAlign w:val="baseline"/>
      </w:rPr>
    </w:lvl>
    <w:lvl w:ilvl="7" w:tplc="5748DFB0">
      <w:start w:val="1"/>
      <w:numFmt w:val="lowerLetter"/>
      <w:lvlText w:val="%8"/>
      <w:lvlJc w:val="left"/>
      <w:pPr>
        <w:ind w:left="5842"/>
      </w:pPr>
      <w:rPr>
        <w:rFonts w:ascii="Arial" w:eastAsia="Arial" w:hAnsi="Arial" w:cs="Arial"/>
        <w:b/>
        <w:bCs/>
        <w:i w:val="0"/>
        <w:strike w:val="0"/>
        <w:dstrike w:val="0"/>
        <w:color w:val="000000"/>
        <w:sz w:val="26"/>
        <w:szCs w:val="26"/>
        <w:u w:val="none" w:color="000000"/>
        <w:bdr w:val="none" w:sz="0" w:space="0" w:color="auto"/>
        <w:shd w:val="clear" w:color="auto" w:fill="auto"/>
        <w:vertAlign w:val="baseline"/>
      </w:rPr>
    </w:lvl>
    <w:lvl w:ilvl="8" w:tplc="076ADE0E">
      <w:start w:val="1"/>
      <w:numFmt w:val="lowerRoman"/>
      <w:lvlText w:val="%9"/>
      <w:lvlJc w:val="left"/>
      <w:pPr>
        <w:ind w:left="6562"/>
      </w:pPr>
      <w:rPr>
        <w:rFonts w:ascii="Arial" w:eastAsia="Arial" w:hAnsi="Arial" w:cs="Arial"/>
        <w:b/>
        <w:bCs/>
        <w:i w:val="0"/>
        <w:strike w:val="0"/>
        <w:dstrike w:val="0"/>
        <w:color w:val="000000"/>
        <w:sz w:val="26"/>
        <w:szCs w:val="26"/>
        <w:u w:val="none" w:color="000000"/>
        <w:bdr w:val="none" w:sz="0" w:space="0" w:color="auto"/>
        <w:shd w:val="clear" w:color="auto" w:fill="auto"/>
        <w:vertAlign w:val="baseline"/>
      </w:rPr>
    </w:lvl>
  </w:abstractNum>
  <w:num w:numId="1" w16cid:durableId="1819108485">
    <w:abstractNumId w:val="8"/>
  </w:num>
  <w:num w:numId="2" w16cid:durableId="166213832">
    <w:abstractNumId w:val="7"/>
  </w:num>
  <w:num w:numId="3" w16cid:durableId="286589145">
    <w:abstractNumId w:val="4"/>
  </w:num>
  <w:num w:numId="4" w16cid:durableId="1440293812">
    <w:abstractNumId w:val="13"/>
  </w:num>
  <w:num w:numId="5" w16cid:durableId="354890664">
    <w:abstractNumId w:val="9"/>
  </w:num>
  <w:num w:numId="6" w16cid:durableId="1473982498">
    <w:abstractNumId w:val="1"/>
  </w:num>
  <w:num w:numId="7" w16cid:durableId="1554998147">
    <w:abstractNumId w:val="12"/>
  </w:num>
  <w:num w:numId="8" w16cid:durableId="566650213">
    <w:abstractNumId w:val="0"/>
  </w:num>
  <w:num w:numId="9" w16cid:durableId="1801877817">
    <w:abstractNumId w:val="10"/>
  </w:num>
  <w:num w:numId="10" w16cid:durableId="1464696359">
    <w:abstractNumId w:val="2"/>
  </w:num>
  <w:num w:numId="11" w16cid:durableId="1462917090">
    <w:abstractNumId w:val="3"/>
  </w:num>
  <w:num w:numId="12" w16cid:durableId="419185179">
    <w:abstractNumId w:val="5"/>
  </w:num>
  <w:num w:numId="13" w16cid:durableId="1760519713">
    <w:abstractNumId w:val="6"/>
  </w:num>
  <w:num w:numId="14" w16cid:durableId="11121779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41FB"/>
    <w:rsid w:val="00023614"/>
    <w:rsid w:val="00033A3B"/>
    <w:rsid w:val="00073E5B"/>
    <w:rsid w:val="0007466C"/>
    <w:rsid w:val="00076279"/>
    <w:rsid w:val="00120A75"/>
    <w:rsid w:val="00146220"/>
    <w:rsid w:val="001B6C1E"/>
    <w:rsid w:val="001C4E6E"/>
    <w:rsid w:val="00207B3C"/>
    <w:rsid w:val="002505EE"/>
    <w:rsid w:val="00253F71"/>
    <w:rsid w:val="00274C93"/>
    <w:rsid w:val="002751D9"/>
    <w:rsid w:val="002911C3"/>
    <w:rsid w:val="00296EE4"/>
    <w:rsid w:val="002A2974"/>
    <w:rsid w:val="002C226D"/>
    <w:rsid w:val="002C75F1"/>
    <w:rsid w:val="002F3BC4"/>
    <w:rsid w:val="003145BF"/>
    <w:rsid w:val="003166F6"/>
    <w:rsid w:val="00332FFB"/>
    <w:rsid w:val="0034176A"/>
    <w:rsid w:val="00383EA3"/>
    <w:rsid w:val="00391193"/>
    <w:rsid w:val="004477DB"/>
    <w:rsid w:val="004B7FE8"/>
    <w:rsid w:val="004C1BBE"/>
    <w:rsid w:val="004E131F"/>
    <w:rsid w:val="004E684B"/>
    <w:rsid w:val="004E6C8C"/>
    <w:rsid w:val="00532995"/>
    <w:rsid w:val="005844B7"/>
    <w:rsid w:val="00592231"/>
    <w:rsid w:val="0059699F"/>
    <w:rsid w:val="005A630D"/>
    <w:rsid w:val="005C477A"/>
    <w:rsid w:val="005C5A9A"/>
    <w:rsid w:val="005C6680"/>
    <w:rsid w:val="00616C95"/>
    <w:rsid w:val="006D6DBB"/>
    <w:rsid w:val="006E483B"/>
    <w:rsid w:val="006F0169"/>
    <w:rsid w:val="00713D26"/>
    <w:rsid w:val="00720A3D"/>
    <w:rsid w:val="0074374F"/>
    <w:rsid w:val="007C02D4"/>
    <w:rsid w:val="0082059C"/>
    <w:rsid w:val="00827BCB"/>
    <w:rsid w:val="00885502"/>
    <w:rsid w:val="0089431F"/>
    <w:rsid w:val="00911D3F"/>
    <w:rsid w:val="00977878"/>
    <w:rsid w:val="009A1678"/>
    <w:rsid w:val="009B399D"/>
    <w:rsid w:val="009C349C"/>
    <w:rsid w:val="009D2760"/>
    <w:rsid w:val="009E2E7B"/>
    <w:rsid w:val="00A36045"/>
    <w:rsid w:val="00A452DD"/>
    <w:rsid w:val="00A67206"/>
    <w:rsid w:val="00A86297"/>
    <w:rsid w:val="00AA2177"/>
    <w:rsid w:val="00AC1312"/>
    <w:rsid w:val="00AE7E06"/>
    <w:rsid w:val="00AF2E22"/>
    <w:rsid w:val="00AF6F84"/>
    <w:rsid w:val="00B43144"/>
    <w:rsid w:val="00B512EC"/>
    <w:rsid w:val="00BA371D"/>
    <w:rsid w:val="00BC2508"/>
    <w:rsid w:val="00BE7C0D"/>
    <w:rsid w:val="00C327F9"/>
    <w:rsid w:val="00C34BDD"/>
    <w:rsid w:val="00C4456C"/>
    <w:rsid w:val="00DC654A"/>
    <w:rsid w:val="00E341FB"/>
    <w:rsid w:val="00E55CE4"/>
    <w:rsid w:val="00E97F08"/>
    <w:rsid w:val="00F16A68"/>
    <w:rsid w:val="00F221C7"/>
    <w:rsid w:val="00F22237"/>
    <w:rsid w:val="00F37482"/>
    <w:rsid w:val="00F508CA"/>
    <w:rsid w:val="00F51A4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DB9339"/>
  <w15:docId w15:val="{54F5D346-E485-DC47-AE52-1B85FE774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spacing w:line="259" w:lineRule="auto"/>
      <w:jc w:val="right"/>
    </w:pPr>
    <w:rPr>
      <w:rFonts w:ascii="Calibri" w:eastAsia="Calibri" w:hAnsi="Calibri" w:cs="Calibri"/>
      <w:color w:val="000000"/>
      <w:sz w:val="22"/>
      <w:lang w:val="ar-EG" w:eastAsia="ar-EG" w:bidi="ar-EG"/>
    </w:rPr>
  </w:style>
  <w:style w:type="paragraph" w:styleId="Heading1">
    <w:name w:val="heading 1"/>
    <w:next w:val="Normal"/>
    <w:link w:val="Heading1Char"/>
    <w:uiPriority w:val="9"/>
    <w:qFormat/>
    <w:pPr>
      <w:keepNext/>
      <w:keepLines/>
      <w:bidi/>
      <w:spacing w:after="246" w:line="259" w:lineRule="auto"/>
      <w:ind w:left="453"/>
      <w:outlineLvl w:val="0"/>
    </w:pPr>
    <w:rPr>
      <w:rFonts w:ascii="Arial" w:eastAsia="Arial" w:hAnsi="Arial" w:cs="Arial"/>
      <w:color w:val="000000"/>
      <w:sz w:val="50"/>
    </w:rPr>
  </w:style>
  <w:style w:type="paragraph" w:styleId="Heading2">
    <w:name w:val="heading 2"/>
    <w:next w:val="Normal"/>
    <w:link w:val="Heading2Char"/>
    <w:uiPriority w:val="9"/>
    <w:unhideWhenUsed/>
    <w:qFormat/>
    <w:pPr>
      <w:keepNext/>
      <w:keepLines/>
      <w:bidi/>
      <w:spacing w:after="421" w:line="259" w:lineRule="auto"/>
      <w:ind w:left="589"/>
      <w:outlineLvl w:val="1"/>
    </w:pPr>
    <w:rPr>
      <w:rFonts w:ascii="Arial" w:eastAsia="Arial" w:hAnsi="Arial" w:cs="Arial"/>
      <w:b/>
      <w:color w:val="000000"/>
      <w:sz w:val="42"/>
    </w:rPr>
  </w:style>
  <w:style w:type="paragraph" w:styleId="Heading3">
    <w:name w:val="heading 3"/>
    <w:next w:val="Normal"/>
    <w:link w:val="Heading3Char"/>
    <w:uiPriority w:val="9"/>
    <w:unhideWhenUsed/>
    <w:qFormat/>
    <w:pPr>
      <w:keepNext/>
      <w:keepLines/>
      <w:bidi/>
      <w:spacing w:after="36" w:line="259" w:lineRule="auto"/>
      <w:ind w:left="538"/>
      <w:outlineLvl w:val="2"/>
    </w:pPr>
    <w:rPr>
      <w:rFonts w:ascii="Arial" w:eastAsia="Arial" w:hAnsi="Arial" w:cs="Arial"/>
      <w:b/>
      <w:color w:val="000000"/>
      <w:sz w:val="39"/>
    </w:rPr>
  </w:style>
  <w:style w:type="paragraph" w:styleId="Heading4">
    <w:name w:val="heading 4"/>
    <w:next w:val="Normal"/>
    <w:link w:val="Heading4Char"/>
    <w:uiPriority w:val="9"/>
    <w:unhideWhenUsed/>
    <w:qFormat/>
    <w:pPr>
      <w:keepNext/>
      <w:keepLines/>
      <w:spacing w:after="52" w:line="259" w:lineRule="auto"/>
      <w:ind w:right="1006"/>
      <w:jc w:val="right"/>
      <w:outlineLvl w:val="3"/>
    </w:pPr>
    <w:rPr>
      <w:rFonts w:ascii="Arial" w:eastAsia="Arial" w:hAnsi="Arial" w:cs="Arial"/>
      <w:b/>
      <w:color w:val="000000"/>
      <w:sz w:val="3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rPr>
      <w:rFonts w:ascii="Arial" w:eastAsia="Arial" w:hAnsi="Arial" w:cs="Arial"/>
      <w:b/>
      <w:color w:val="000000"/>
      <w:sz w:val="31"/>
    </w:rPr>
  </w:style>
  <w:style w:type="character" w:customStyle="1" w:styleId="Heading3Char">
    <w:name w:val="Heading 3 Char"/>
    <w:link w:val="Heading3"/>
    <w:rPr>
      <w:rFonts w:ascii="Arial" w:eastAsia="Arial" w:hAnsi="Arial" w:cs="Arial"/>
      <w:b/>
      <w:color w:val="000000"/>
      <w:sz w:val="39"/>
    </w:rPr>
  </w:style>
  <w:style w:type="character" w:customStyle="1" w:styleId="Heading2Char">
    <w:name w:val="Heading 2 Char"/>
    <w:link w:val="Heading2"/>
    <w:rPr>
      <w:rFonts w:ascii="Arial" w:eastAsia="Arial" w:hAnsi="Arial" w:cs="Arial"/>
      <w:b/>
      <w:color w:val="000000"/>
      <w:sz w:val="42"/>
    </w:rPr>
  </w:style>
  <w:style w:type="character" w:customStyle="1" w:styleId="Heading1Char">
    <w:name w:val="Heading 1 Char"/>
    <w:link w:val="Heading1"/>
    <w:rPr>
      <w:rFonts w:ascii="Arial" w:eastAsia="Arial" w:hAnsi="Arial" w:cs="Arial"/>
      <w:color w:val="000000"/>
      <w:sz w:val="50"/>
    </w:rPr>
  </w:style>
  <w:style w:type="paragraph" w:styleId="ListParagraph">
    <w:name w:val="List Paragraph"/>
    <w:basedOn w:val="Normal"/>
    <w:uiPriority w:val="34"/>
    <w:qFormat/>
    <w:rsid w:val="006E483B"/>
    <w:pPr>
      <w:ind w:left="720"/>
      <w:contextualSpacing/>
    </w:pPr>
  </w:style>
  <w:style w:type="paragraph" w:styleId="Footer">
    <w:name w:val="footer"/>
    <w:basedOn w:val="Normal"/>
    <w:link w:val="FooterChar"/>
    <w:uiPriority w:val="99"/>
    <w:unhideWhenUsed/>
    <w:rsid w:val="004C1BBE"/>
    <w:pPr>
      <w:tabs>
        <w:tab w:val="center" w:pos="4320"/>
        <w:tab w:val="right" w:pos="8640"/>
      </w:tabs>
      <w:spacing w:after="0" w:line="240" w:lineRule="auto"/>
    </w:pPr>
  </w:style>
  <w:style w:type="character" w:customStyle="1" w:styleId="FooterChar">
    <w:name w:val="Footer Char"/>
    <w:basedOn w:val="DefaultParagraphFont"/>
    <w:link w:val="Footer"/>
    <w:uiPriority w:val="99"/>
    <w:rsid w:val="004C1BBE"/>
    <w:rPr>
      <w:rFonts w:ascii="Calibri" w:eastAsia="Calibri" w:hAnsi="Calibri" w:cs="Calibri"/>
      <w:color w:val="000000"/>
      <w:sz w:val="22"/>
      <w:lang w:val="ar-EG" w:eastAsia="ar-EG" w:bidi="ar-EG"/>
    </w:rPr>
  </w:style>
  <w:style w:type="character" w:styleId="Hyperlink">
    <w:name w:val="Hyperlink"/>
    <w:basedOn w:val="DefaultParagraphFont"/>
    <w:uiPriority w:val="99"/>
    <w:unhideWhenUsed/>
    <w:rsid w:val="00253F71"/>
    <w:rPr>
      <w:color w:val="0563C1" w:themeColor="hyperlink"/>
      <w:u w:val="single"/>
    </w:rPr>
  </w:style>
  <w:style w:type="character" w:styleId="UnresolvedMention">
    <w:name w:val="Unresolved Mention"/>
    <w:basedOn w:val="DefaultParagraphFont"/>
    <w:uiPriority w:val="99"/>
    <w:semiHidden/>
    <w:unhideWhenUsed/>
    <w:rsid w:val="00253F71"/>
    <w:rPr>
      <w:color w:val="605E5C"/>
      <w:shd w:val="clear" w:color="auto" w:fill="E1DFDD"/>
    </w:rPr>
  </w:style>
  <w:style w:type="paragraph" w:styleId="NormalWeb">
    <w:name w:val="Normal (Web)"/>
    <w:basedOn w:val="Normal"/>
    <w:uiPriority w:val="99"/>
    <w:semiHidden/>
    <w:unhideWhenUsed/>
    <w:rsid w:val="00827BCB"/>
    <w:pPr>
      <w:bidi w:val="0"/>
      <w:spacing w:before="100" w:beforeAutospacing="1" w:after="100" w:afterAutospacing="1" w:line="240" w:lineRule="auto"/>
      <w:jc w:val="left"/>
    </w:pPr>
    <w:rPr>
      <w:rFonts w:ascii="Times New Roman" w:eastAsia="Times New Roman" w:hAnsi="Times New Roman" w:cs="Times New Roman"/>
      <w:color w:val="auto"/>
      <w:kern w:val="0"/>
      <w:sz w:val="24"/>
      <w:lang w:val="en-US" w:eastAsia="en-US" w:bidi="ar-SA"/>
      <w14:ligatures w14:val="none"/>
    </w:rPr>
  </w:style>
  <w:style w:type="character" w:styleId="Strong">
    <w:name w:val="Strong"/>
    <w:basedOn w:val="DefaultParagraphFont"/>
    <w:uiPriority w:val="22"/>
    <w:qFormat/>
    <w:rsid w:val="00827BCB"/>
    <w:rPr>
      <w:b/>
      <w:bCs/>
    </w:rPr>
  </w:style>
  <w:style w:type="character" w:styleId="Emphasis">
    <w:name w:val="Emphasis"/>
    <w:basedOn w:val="DefaultParagraphFont"/>
    <w:uiPriority w:val="20"/>
    <w:qFormat/>
    <w:rsid w:val="00827BC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doi.org/10.3390/bs14121140" TargetMode="External"/><Relationship Id="rId18" Type="http://schemas.openxmlformats.org/officeDocument/2006/relationships/hyperlink" Target="https://doi.org/10.5267/j.msl.2020.5.005" TargetMode="External"/><Relationship Id="rId26" Type="http://schemas.openxmlformats.org/officeDocument/2006/relationships/hyperlink" Target="https://doi.org/10.4103/jehp.jehp_1227_24" TargetMode="External"/><Relationship Id="rId3" Type="http://schemas.openxmlformats.org/officeDocument/2006/relationships/settings" Target="settings.xml"/><Relationship Id="rId21" Type="http://schemas.openxmlformats.org/officeDocument/2006/relationships/hyperlink" Target="https://doi.org/10.5539/ijbm.v8n8p79" TargetMode="External"/><Relationship Id="rId34" Type="http://schemas.openxmlformats.org/officeDocument/2006/relationships/fontTable" Target="fontTable.xml"/><Relationship Id="rId7" Type="http://schemas.openxmlformats.org/officeDocument/2006/relationships/hyperlink" Target="https://doi.org/10.37394/232022.2023.3.10" TargetMode="External"/><Relationship Id="rId12" Type="http://schemas.openxmlformats.org/officeDocument/2006/relationships/hyperlink" Target="https://doi.org/10.4081/jphr.2021.1971" TargetMode="External"/><Relationship Id="rId17" Type="http://schemas.openxmlformats.org/officeDocument/2006/relationships/hyperlink" Target="https://doi.org/10.26668/businessreview/2023.v8i10.3788" TargetMode="External"/><Relationship Id="rId25" Type="http://schemas.openxmlformats.org/officeDocument/2006/relationships/hyperlink" Target="https://doi.org/10.24247/ijbmrdec20175"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doi.org/10.7819/rbgn.v24i1.4153" TargetMode="External"/><Relationship Id="rId20" Type="http://schemas.openxmlformats.org/officeDocument/2006/relationships/hyperlink" Target="https://doi.org/10.5539/ijbm.v8n8p79" TargetMode="External"/><Relationship Id="rId29" Type="http://schemas.openxmlformats.org/officeDocument/2006/relationships/hyperlink" Target="https://doi.org/10.21608/aja.2023.214355.145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21608/caf.2023.283863" TargetMode="External"/><Relationship Id="rId24" Type="http://schemas.openxmlformats.org/officeDocument/2006/relationships/hyperlink" Target="https://doi.org/10.7176/ejbm/13-8-17" TargetMode="External"/><Relationship Id="rId32"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doi.org/10.5539/ibr.v14n6p108" TargetMode="External"/><Relationship Id="rId23" Type="http://schemas.openxmlformats.org/officeDocument/2006/relationships/hyperlink" Target="https://doi.org/10.5281/zenodo.37738" TargetMode="External"/><Relationship Id="rId28" Type="http://schemas.openxmlformats.org/officeDocument/2006/relationships/hyperlink" Target="https://doi.org/10.21608/aja.2022.140340.1252" TargetMode="External"/><Relationship Id="rId10" Type="http://schemas.openxmlformats.org/officeDocument/2006/relationships/hyperlink" Target="https://doi.org/10.3390/su151914202" TargetMode="External"/><Relationship Id="rId19" Type="http://schemas.openxmlformats.org/officeDocument/2006/relationships/hyperlink" Target="https://doi.org/10.26668/businessreview/2023.v8i3.631" TargetMode="External"/><Relationship Id="rId31"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doi.org/10.52133/ijrsp.v3.34.8" TargetMode="External"/><Relationship Id="rId14" Type="http://schemas.openxmlformats.org/officeDocument/2006/relationships/hyperlink" Target="https://doi.org/10.46988/ijihrm.04.02.2023.004" TargetMode="External"/><Relationship Id="rId22" Type="http://schemas.openxmlformats.org/officeDocument/2006/relationships/hyperlink" Target="https://doi.org/10.1177/23409444231184482" TargetMode="External"/><Relationship Id="rId27" Type="http://schemas.openxmlformats.org/officeDocument/2006/relationships/hyperlink" Target="https://doi.org/10.24018/ejbmr.2024.9.4.2341" TargetMode="External"/><Relationship Id="rId30" Type="http://schemas.openxmlformats.org/officeDocument/2006/relationships/header" Target="header1.xml"/><Relationship Id="rId35" Type="http://schemas.openxmlformats.org/officeDocument/2006/relationships/theme" Target="theme/theme1.xml"/><Relationship Id="rId8" Type="http://schemas.openxmlformats.org/officeDocument/2006/relationships/hyperlink" Target="https://doi.org/10.5539/ijbm.v17n4p64"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 Id="rId24" Type="http://schemas.openxmlformats.org/officeDocument/2006/relationships/image" Target="media/image0.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360</TotalTime>
  <Pages>23</Pages>
  <Words>7600</Words>
  <Characters>43326</Characters>
  <Application>Microsoft Office Word</Application>
  <DocSecurity>0</DocSecurity>
  <Lines>361</Lines>
  <Paragraphs>101</Paragraphs>
  <ScaleCrop>false</ScaleCrop>
  <HeadingPairs>
    <vt:vector size="2" baseType="variant">
      <vt:variant>
        <vt:lpstr>Title</vt:lpstr>
      </vt:variant>
      <vt:variant>
        <vt:i4>1</vt:i4>
      </vt:variant>
    </vt:vector>
  </HeadingPairs>
  <TitlesOfParts>
    <vt:vector size="1" baseType="lpstr">
      <vt:lpstr>بحث</vt:lpstr>
    </vt:vector>
  </TitlesOfParts>
  <Company/>
  <LinksUpToDate>false</LinksUpToDate>
  <CharactersWithSpaces>50825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بحث</dc:title>
  <dc:subject/>
  <dc:creator>pbchgthbvy</dc:creator>
  <cp:keywords>DAG4-ypwcLg,BAFRc67TDtg,0</cp:keywords>
  <cp:lastModifiedBy>20812020100803</cp:lastModifiedBy>
  <cp:revision>83</cp:revision>
  <dcterms:created xsi:type="dcterms:W3CDTF">2025-12-08T12:43:00Z</dcterms:created>
  <dcterms:modified xsi:type="dcterms:W3CDTF">2025-12-08T18:42:00Z</dcterms:modified>
</cp:coreProperties>
</file>