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FDE12" w14:textId="77777777" w:rsidR="008F22B3" w:rsidRDefault="008F22B3" w:rsidP="008F22B3">
      <w:pPr>
        <w:jc w:val="center"/>
        <w:rPr>
          <w:rFonts w:ascii="Times New Roman" w:eastAsia="Times New Roman" w:hAnsi="Times New Roman" w:hint="cs"/>
          <w:b/>
          <w:sz w:val="32"/>
          <w:rtl/>
          <w:lang w:bidi="ar-K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27"/>
        <w:gridCol w:w="5258"/>
        <w:gridCol w:w="2087"/>
      </w:tblGrid>
      <w:tr w:rsidR="00DD65E1" w14:paraId="6B36591B" w14:textId="77777777" w:rsidTr="00DD65E1">
        <w:trPr>
          <w:trHeight w:val="1260"/>
          <w:jc w:val="center"/>
        </w:trPr>
        <w:tc>
          <w:tcPr>
            <w:tcW w:w="3727" w:type="dxa"/>
          </w:tcPr>
          <w:p w14:paraId="4A5754B2" w14:textId="77777777" w:rsidR="00DD65E1" w:rsidRDefault="00DD65E1" w:rsidP="009C190A">
            <w:pPr>
              <w:pStyle w:val="TableParagraph"/>
              <w:spacing w:before="9"/>
              <w:ind w:left="0"/>
              <w:jc w:val="left"/>
              <w:rPr>
                <w:sz w:val="9"/>
              </w:rPr>
            </w:pPr>
          </w:p>
          <w:p w14:paraId="135906C2" w14:textId="77777777" w:rsidR="00DD65E1" w:rsidRDefault="00DD65E1" w:rsidP="009C190A">
            <w:pPr>
              <w:pStyle w:val="TableParagraph"/>
              <w:ind w:left="278"/>
              <w:jc w:val="left"/>
              <w:rPr>
                <w:sz w:val="20"/>
              </w:rPr>
            </w:pPr>
            <w:r>
              <w:rPr>
                <w:noProof/>
                <w:sz w:val="20"/>
              </w:rPr>
              <w:drawing>
                <wp:inline distT="0" distB="0" distL="0" distR="0" wp14:anchorId="1F05571F" wp14:editId="2AEC12E9">
                  <wp:extent cx="2054975" cy="663511"/>
                  <wp:effectExtent l="0" t="0" r="0" b="0"/>
                  <wp:docPr id="4" name="Image 4" descr="A black and white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ack and white logo  Description automatically generated"/>
                          <pic:cNvPicPr/>
                        </pic:nvPicPr>
                        <pic:blipFill>
                          <a:blip r:embed="rId8" cstate="print"/>
                          <a:stretch>
                            <a:fillRect/>
                          </a:stretch>
                        </pic:blipFill>
                        <pic:spPr>
                          <a:xfrm>
                            <a:off x="0" y="0"/>
                            <a:ext cx="2054975" cy="663511"/>
                          </a:xfrm>
                          <a:prstGeom prst="rect">
                            <a:avLst/>
                          </a:prstGeom>
                        </pic:spPr>
                      </pic:pic>
                    </a:graphicData>
                  </a:graphic>
                </wp:inline>
              </w:drawing>
            </w:r>
          </w:p>
        </w:tc>
        <w:tc>
          <w:tcPr>
            <w:tcW w:w="5258" w:type="dxa"/>
          </w:tcPr>
          <w:p w14:paraId="59650F00" w14:textId="77777777" w:rsidR="00DD65E1" w:rsidRDefault="00DD65E1" w:rsidP="009C190A">
            <w:pPr>
              <w:pStyle w:val="TableParagraph"/>
              <w:spacing w:before="1"/>
              <w:ind w:left="2"/>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14:paraId="14FD5AA1" w14:textId="77777777" w:rsidR="00DD65E1" w:rsidRDefault="00DD65E1" w:rsidP="009C190A">
            <w:pPr>
              <w:pStyle w:val="TableParagraph"/>
              <w:spacing w:before="2"/>
              <w:ind w:left="0"/>
              <w:jc w:val="left"/>
              <w:rPr>
                <w:sz w:val="24"/>
              </w:rPr>
            </w:pPr>
          </w:p>
          <w:p w14:paraId="568A8DFB" w14:textId="77777777" w:rsidR="00DD65E1" w:rsidRDefault="00DD65E1" w:rsidP="009C190A">
            <w:pPr>
              <w:pStyle w:val="TableParagraph"/>
              <w:spacing w:before="1"/>
              <w:ind w:left="2225" w:right="2216" w:firstLine="1"/>
              <w:rPr>
                <w:b/>
                <w:sz w:val="24"/>
              </w:rPr>
            </w:pPr>
            <w:hyperlink r:id="rId9">
              <w:r>
                <w:rPr>
                  <w:b/>
                  <w:color w:val="0000FF"/>
                  <w:spacing w:val="-2"/>
                  <w:sz w:val="24"/>
                  <w:u w:val="single" w:color="0000FF"/>
                </w:rPr>
                <w:t>https://</w:t>
              </w:r>
            </w:hyperlink>
            <w:r>
              <w:rPr>
                <w:b/>
                <w:color w:val="0000FF"/>
                <w:spacing w:val="-2"/>
                <w:sz w:val="24"/>
              </w:rPr>
              <w:t xml:space="preserve"> </w:t>
            </w:r>
            <w:r>
              <w:rPr>
                <w:b/>
                <w:spacing w:val="-2"/>
                <w:sz w:val="24"/>
              </w:rPr>
              <w:t>e-</w:t>
            </w:r>
            <w:r>
              <w:rPr>
                <w:b/>
                <w:spacing w:val="-4"/>
                <w:sz w:val="24"/>
              </w:rPr>
              <w:t>ISSN:</w:t>
            </w:r>
          </w:p>
        </w:tc>
        <w:tc>
          <w:tcPr>
            <w:tcW w:w="2087" w:type="dxa"/>
          </w:tcPr>
          <w:p w14:paraId="1C75B891" w14:textId="77777777" w:rsidR="00DD65E1" w:rsidRDefault="00DD65E1" w:rsidP="009C190A">
            <w:pPr>
              <w:pStyle w:val="TableParagraph"/>
              <w:ind w:left="0"/>
              <w:jc w:val="left"/>
            </w:pPr>
          </w:p>
        </w:tc>
      </w:tr>
    </w:tbl>
    <w:p w14:paraId="11982DC8" w14:textId="77777777" w:rsidR="008F22B3" w:rsidRDefault="008F22B3" w:rsidP="008F22B3">
      <w:pPr>
        <w:jc w:val="center"/>
        <w:rPr>
          <w:rFonts w:ascii="Times New Roman" w:eastAsia="Times New Roman" w:hAnsi="Times New Roman"/>
          <w:b/>
          <w:sz w:val="32"/>
        </w:rPr>
      </w:pPr>
    </w:p>
    <w:p w14:paraId="0B6CFF6D" w14:textId="77777777" w:rsidR="008F22B3" w:rsidRDefault="008F22B3" w:rsidP="008F22B3">
      <w:pPr>
        <w:jc w:val="center"/>
        <w:rPr>
          <w:rFonts w:ascii="Times New Roman" w:eastAsia="Times New Roman" w:hAnsi="Times New Roman"/>
          <w:b/>
          <w:sz w:val="32"/>
        </w:rPr>
      </w:pPr>
    </w:p>
    <w:p w14:paraId="3DBBA7DF" w14:textId="24751C0C" w:rsidR="004200AA" w:rsidRPr="004200AA" w:rsidRDefault="004200AA" w:rsidP="004200AA">
      <w:pPr>
        <w:spacing w:line="240" w:lineRule="auto"/>
        <w:jc w:val="center"/>
        <w:rPr>
          <w:rFonts w:ascii="Times New Roman" w:eastAsia="Times New Roman" w:hAnsi="Times New Roman"/>
          <w:b/>
          <w:sz w:val="32"/>
        </w:rPr>
      </w:pPr>
      <w:r w:rsidRPr="004200AA">
        <w:rPr>
          <w:rFonts w:ascii="Times New Roman" w:eastAsia="Times New Roman" w:hAnsi="Times New Roman"/>
          <w:b/>
          <w:sz w:val="32"/>
        </w:rPr>
        <w:t>The Role of the Internet of Things in Monitoring Patients with Diabetes During and After COVID-19</w:t>
      </w:r>
    </w:p>
    <w:p w14:paraId="5CF37E5C" w14:textId="1F257CC9" w:rsidR="004200AA" w:rsidRDefault="00000000" w:rsidP="008F22B3">
      <w:pPr>
        <w:spacing w:line="240" w:lineRule="auto"/>
        <w:jc w:val="center"/>
        <w:rPr>
          <w:rFonts w:ascii="Times New Roman" w:eastAsia="Times New Roman" w:hAnsi="Times New Roman"/>
          <w:sz w:val="24"/>
        </w:rPr>
      </w:pPr>
      <w:r w:rsidRPr="008F22B3">
        <w:rPr>
          <w:rFonts w:ascii="Times New Roman" w:eastAsia="Times New Roman" w:hAnsi="Times New Roman"/>
          <w:b/>
          <w:bCs/>
          <w:sz w:val="24"/>
        </w:rPr>
        <w:t>First Researcher</w:t>
      </w:r>
      <w:r>
        <w:rPr>
          <w:rFonts w:ascii="Times New Roman" w:eastAsia="Times New Roman" w:hAnsi="Times New Roman"/>
          <w:sz w:val="24"/>
        </w:rPr>
        <w:t xml:space="preserve">: Mohammed Ayidh Almalki | </w:t>
      </w:r>
    </w:p>
    <w:p w14:paraId="74C96EF5" w14:textId="6FFBA851" w:rsidR="004200AA" w:rsidRPr="004200AA" w:rsidRDefault="00000000" w:rsidP="004200AA">
      <w:pPr>
        <w:spacing w:line="240" w:lineRule="auto"/>
        <w:jc w:val="center"/>
        <w:rPr>
          <w:rFonts w:ascii="Times New Roman" w:eastAsia="Times New Roman" w:hAnsi="Times New Roman"/>
          <w:sz w:val="24"/>
        </w:rPr>
      </w:pPr>
      <w:r>
        <w:rPr>
          <w:rFonts w:ascii="Times New Roman" w:eastAsia="Times New Roman" w:hAnsi="Times New Roman"/>
          <w:sz w:val="24"/>
        </w:rPr>
        <w:t>ORCID: 0009-0003-2569-6008</w:t>
      </w:r>
    </w:p>
    <w:p w14:paraId="6C5ABC6E" w14:textId="47270167" w:rsidR="004200AA" w:rsidRDefault="004200AA" w:rsidP="004200AA">
      <w:pPr>
        <w:spacing w:line="240" w:lineRule="auto"/>
        <w:jc w:val="center"/>
        <w:rPr>
          <w:rFonts w:ascii="Times New Roman" w:eastAsia="Times New Roman" w:hAnsi="Times New Roman"/>
          <w:b/>
          <w:bCs/>
          <w:sz w:val="24"/>
          <w:lang w:val="en-GB"/>
        </w:rPr>
      </w:pPr>
      <w:r w:rsidRPr="004200AA">
        <w:rPr>
          <w:rFonts w:ascii="Times New Roman" w:eastAsia="Times New Roman" w:hAnsi="Times New Roman"/>
          <w:b/>
          <w:bCs/>
          <w:sz w:val="24"/>
          <w:lang w:val="en-GB"/>
        </w:rPr>
        <w:t>Artificial Intelligence – College of Informatics – Midocean University – Comoros</w:t>
      </w:r>
    </w:p>
    <w:p w14:paraId="13536C39" w14:textId="13F9AC7C" w:rsidR="00590248" w:rsidRPr="004200AA" w:rsidRDefault="00000000" w:rsidP="004200AA">
      <w:pPr>
        <w:spacing w:line="240" w:lineRule="auto"/>
        <w:jc w:val="center"/>
        <w:rPr>
          <w:rFonts w:ascii="Times New Roman" w:eastAsia="Times New Roman" w:hAnsi="Times New Roman"/>
          <w:b/>
          <w:bCs/>
          <w:sz w:val="24"/>
          <w:lang w:val="en-GB"/>
        </w:rPr>
      </w:pPr>
      <w:r>
        <w:rPr>
          <w:rFonts w:ascii="Times New Roman" w:eastAsia="Times New Roman" w:hAnsi="Times New Roman"/>
          <w:sz w:val="24"/>
        </w:rPr>
        <w:t xml:space="preserve">Email: </w:t>
      </w:r>
      <w:r w:rsidR="008F22B3">
        <w:rPr>
          <w:rFonts w:ascii="Times New Roman" w:eastAsia="Times New Roman" w:hAnsi="Times New Roman"/>
          <w:sz w:val="24"/>
        </w:rPr>
        <w:t>mte.almalki@gmail.com</w:t>
      </w:r>
    </w:p>
    <w:p w14:paraId="55DE26E8" w14:textId="7DF65037" w:rsidR="008F22B3" w:rsidRPr="0091250C" w:rsidRDefault="004200AA" w:rsidP="0091250C">
      <w:pPr>
        <w:spacing w:line="240" w:lineRule="auto"/>
        <w:jc w:val="center"/>
        <w:rPr>
          <w:rFonts w:ascii="Times New Roman" w:eastAsia="Times New Roman" w:hAnsi="Times New Roman"/>
          <w:b/>
          <w:sz w:val="28"/>
        </w:rPr>
      </w:pPr>
      <w:r w:rsidRPr="0091250C">
        <w:rPr>
          <w:rFonts w:ascii="Times New Roman" w:eastAsia="Times New Roman" w:hAnsi="Times New Roman"/>
          <w:b/>
          <w:sz w:val="28"/>
        </w:rPr>
        <w:t xml:space="preserve">Dr. Amgad </w:t>
      </w:r>
      <w:proofErr w:type="spellStart"/>
      <w:r w:rsidRPr="0091250C">
        <w:rPr>
          <w:rFonts w:ascii="Times New Roman" w:eastAsia="Times New Roman" w:hAnsi="Times New Roman"/>
          <w:b/>
          <w:sz w:val="28"/>
        </w:rPr>
        <w:t>Qatish</w:t>
      </w:r>
      <w:proofErr w:type="spellEnd"/>
      <w:r w:rsidRPr="0091250C">
        <w:rPr>
          <w:rFonts w:ascii="Times New Roman" w:eastAsia="Times New Roman" w:hAnsi="Times New Roman"/>
          <w:b/>
          <w:sz w:val="28"/>
        </w:rPr>
        <w:t xml:space="preserve"> – Computer Science – College of Informatics – Midocean University – Comoros</w:t>
      </w:r>
    </w:p>
    <w:p w14:paraId="4EF47F33" w14:textId="77777777" w:rsidR="0006124F" w:rsidRDefault="0006124F">
      <w:pPr>
        <w:spacing w:line="240" w:lineRule="auto"/>
        <w:rPr>
          <w:rFonts w:ascii="Times New Roman" w:eastAsia="Times New Roman" w:hAnsi="Times New Roman"/>
          <w:b/>
          <w:sz w:val="28"/>
        </w:rPr>
      </w:pPr>
    </w:p>
    <w:p w14:paraId="026B782A" w14:textId="0CC72574" w:rsidR="00590248" w:rsidRPr="0006124F" w:rsidRDefault="00000000" w:rsidP="0006124F">
      <w:pPr>
        <w:spacing w:line="240" w:lineRule="auto"/>
        <w:rPr>
          <w:rFonts w:ascii="Simplified Arabic" w:hAnsi="Simplified Arabic" w:cs="Simplified Arabic"/>
        </w:rPr>
      </w:pPr>
      <w:r w:rsidRPr="0006124F">
        <w:rPr>
          <w:rFonts w:ascii="Simplified Arabic" w:eastAsia="Times New Roman" w:hAnsi="Simplified Arabic" w:cs="Simplified Arabic"/>
          <w:b/>
          <w:sz w:val="28"/>
        </w:rPr>
        <w:t>Abstract</w:t>
      </w:r>
    </w:p>
    <w:p w14:paraId="5285BF77" w14:textId="29E28C21" w:rsidR="0006124F" w:rsidRPr="0006124F" w:rsidRDefault="0006124F" w:rsidP="0006124F">
      <w:pPr>
        <w:spacing w:line="240" w:lineRule="auto"/>
        <w:rPr>
          <w:rFonts w:ascii="Simplified Arabic" w:eastAsia="Times New Roman" w:hAnsi="Simplified Arabic" w:cs="Simplified Arabic"/>
          <w:sz w:val="24"/>
          <w:lang w:val="en-GB"/>
        </w:rPr>
      </w:pPr>
      <w:r w:rsidRPr="0006124F">
        <w:rPr>
          <w:rFonts w:ascii="Simplified Arabic" w:eastAsia="Times New Roman" w:hAnsi="Simplified Arabic" w:cs="Simplified Arabic"/>
          <w:sz w:val="24"/>
          <w:lang w:val="en-GB"/>
        </w:rPr>
        <w:t xml:space="preserve"> </w:t>
      </w:r>
      <w:r>
        <w:rPr>
          <w:rFonts w:ascii="Simplified Arabic" w:eastAsia="Times New Roman" w:hAnsi="Simplified Arabic" w:cs="Simplified Arabic"/>
          <w:sz w:val="24"/>
          <w:lang w:val="en-GB"/>
        </w:rPr>
        <w:t>Objective:</w:t>
      </w:r>
      <w:r w:rsidRPr="0006124F">
        <w:rPr>
          <w:rFonts w:ascii="Simplified Arabic" w:eastAsia="Times New Roman" w:hAnsi="Simplified Arabic" w:cs="Simplified Arabic"/>
          <w:sz w:val="24"/>
          <w:lang w:val="en-GB"/>
        </w:rPr>
        <w:t xml:space="preserve"> This study aims to design and evaluate an Internet of Things (IoT)-based remote monitoring system for patients with diabetes during and after the COVID-19 pandemic, addressing limitations of traditional rule-based monitoring systems such as delayed alerts, high false-alarm rates, and lack of personalization.</w:t>
      </w:r>
      <w:r w:rsidRPr="0006124F">
        <w:rPr>
          <w:rFonts w:ascii="Simplified Arabic" w:eastAsia="Times New Roman" w:hAnsi="Simplified Arabic" w:cs="Simplified Arabic"/>
          <w:sz w:val="24"/>
          <w:lang w:val="en-GB"/>
        </w:rPr>
        <w:br/>
        <w:t>Study Location: The study is based on a simulated home-care and remote healthcare environment using multimodal physiological datasets representative of diabetic patient monitoring scenarios.</w:t>
      </w:r>
      <w:r w:rsidRPr="0006124F">
        <w:rPr>
          <w:rFonts w:ascii="Simplified Arabic" w:eastAsia="Times New Roman" w:hAnsi="Simplified Arabic" w:cs="Simplified Arabic"/>
          <w:sz w:val="24"/>
          <w:lang w:val="en-GB"/>
        </w:rPr>
        <w:br/>
        <w:t xml:space="preserve">Methodology: A hybrid edge–cloud IoT architecture was developed integrating wearable sensors for continuous glucose monitoring, blood oxygen saturation, heart rate, and body temperature. Advanced preprocessing techniques including Kalman filtering, median smoothing, and K-nearest </w:t>
      </w:r>
      <w:proofErr w:type="spellStart"/>
      <w:proofErr w:type="gramStart"/>
      <w:r w:rsidRPr="0006124F">
        <w:rPr>
          <w:rFonts w:ascii="Simplified Arabic" w:eastAsia="Times New Roman" w:hAnsi="Simplified Arabic" w:cs="Simplified Arabic"/>
          <w:sz w:val="24"/>
          <w:lang w:val="en-GB"/>
        </w:rPr>
        <w:t>neighbors</w:t>
      </w:r>
      <w:proofErr w:type="spellEnd"/>
      <w:proofErr w:type="gramEnd"/>
      <w:r w:rsidRPr="0006124F">
        <w:rPr>
          <w:rFonts w:ascii="Simplified Arabic" w:eastAsia="Times New Roman" w:hAnsi="Simplified Arabic" w:cs="Simplified Arabic"/>
          <w:sz w:val="24"/>
          <w:lang w:val="en-GB"/>
        </w:rPr>
        <w:t xml:space="preserve"> imputation were applied. A lightweight 1D-CNN–LSTM deep learning model was deployed at the edge for real-time inference, while federated learning enabled privacy-preserving model updates. Explainable AI using SHAP values was incorporated to enhance clinical interpretability.</w:t>
      </w:r>
      <w:r w:rsidRPr="0006124F">
        <w:rPr>
          <w:rFonts w:ascii="Simplified Arabic" w:eastAsia="Times New Roman" w:hAnsi="Simplified Arabic" w:cs="Simplified Arabic"/>
          <w:sz w:val="24"/>
          <w:lang w:val="en-GB"/>
        </w:rPr>
        <w:br/>
        <w:t>Results: Experimental evaluation demonstrated high predictive accuracy, reduced false-</w:t>
      </w:r>
      <w:r w:rsidRPr="0006124F">
        <w:rPr>
          <w:rFonts w:ascii="Simplified Arabic" w:eastAsia="Times New Roman" w:hAnsi="Simplified Arabic" w:cs="Simplified Arabic"/>
          <w:sz w:val="24"/>
          <w:lang w:val="en-GB"/>
        </w:rPr>
        <w:lastRenderedPageBreak/>
        <w:t>alarm rates compared to static threshold systems, and real-time inference latency below 100 milliseconds, making the system suitable for continuous home-based monitoring.</w:t>
      </w:r>
      <w:r w:rsidRPr="0006124F">
        <w:rPr>
          <w:rFonts w:ascii="Simplified Arabic" w:eastAsia="Times New Roman" w:hAnsi="Simplified Arabic" w:cs="Simplified Arabic"/>
          <w:sz w:val="24"/>
          <w:lang w:val="en-GB"/>
        </w:rPr>
        <w:br/>
        <w:t>Recommendations: The proposed framework is recommended as a scalable, privacy-preserving, and clinically reliable solution for remote diabetic patient monitoring in future digital healthcare systems.</w:t>
      </w:r>
    </w:p>
    <w:p w14:paraId="700F1537" w14:textId="77777777" w:rsidR="0006124F" w:rsidRPr="0006124F" w:rsidRDefault="0006124F" w:rsidP="0006124F">
      <w:pPr>
        <w:spacing w:line="240" w:lineRule="auto"/>
        <w:rPr>
          <w:rFonts w:ascii="Times New Roman" w:eastAsia="Times New Roman" w:hAnsi="Times New Roman"/>
          <w:sz w:val="24"/>
          <w:lang w:val="en-GB"/>
        </w:rPr>
      </w:pPr>
      <w:r w:rsidRPr="0006124F">
        <w:rPr>
          <w:rFonts w:ascii="Times New Roman" w:eastAsia="Times New Roman" w:hAnsi="Times New Roman"/>
          <w:b/>
          <w:bCs/>
          <w:sz w:val="24"/>
          <w:lang w:val="en-GB"/>
        </w:rPr>
        <w:t>Keywords:</w:t>
      </w:r>
      <w:r w:rsidRPr="0006124F">
        <w:rPr>
          <w:rFonts w:ascii="Times New Roman" w:eastAsia="Times New Roman" w:hAnsi="Times New Roman"/>
          <w:sz w:val="24"/>
          <w:lang w:val="en-GB"/>
        </w:rPr>
        <w:t xml:space="preserve"> Internet of Things, Diabetes Monitoring, Edge AI, Federated Learning, Explainable AI</w:t>
      </w:r>
    </w:p>
    <w:p w14:paraId="0DED10D3" w14:textId="77777777" w:rsidR="0006124F" w:rsidRDefault="0006124F" w:rsidP="008F22B3">
      <w:pPr>
        <w:bidi/>
        <w:spacing w:line="240" w:lineRule="auto"/>
        <w:rPr>
          <w:rFonts w:asciiTheme="majorHAnsi" w:eastAsia="Simplified Arabic" w:hAnsiTheme="majorHAnsi" w:cstheme="majorHAnsi"/>
          <w:b/>
          <w:sz w:val="28"/>
        </w:rPr>
      </w:pPr>
    </w:p>
    <w:p w14:paraId="2B94321D" w14:textId="77777777" w:rsidR="0006124F" w:rsidRDefault="0006124F" w:rsidP="0006124F">
      <w:pPr>
        <w:bidi/>
        <w:spacing w:line="240" w:lineRule="auto"/>
        <w:rPr>
          <w:rFonts w:asciiTheme="majorHAnsi" w:eastAsia="Simplified Arabic" w:hAnsiTheme="majorHAnsi" w:cstheme="majorHAnsi"/>
          <w:b/>
          <w:sz w:val="28"/>
        </w:rPr>
      </w:pPr>
    </w:p>
    <w:p w14:paraId="69EF38DC" w14:textId="770E9597" w:rsidR="0006124F" w:rsidRPr="0006124F" w:rsidRDefault="0006124F" w:rsidP="0006124F">
      <w:pPr>
        <w:spacing w:line="240" w:lineRule="auto"/>
        <w:jc w:val="right"/>
        <w:rPr>
          <w:rFonts w:ascii="Simplified Arabic" w:eastAsia="Times New Roman" w:hAnsi="Simplified Arabic" w:cs="Simplified Arabic"/>
          <w:bCs/>
          <w:sz w:val="36"/>
          <w:szCs w:val="28"/>
          <w:rtl/>
        </w:rPr>
      </w:pPr>
      <w:r w:rsidRPr="0006124F">
        <w:rPr>
          <w:rFonts w:ascii="Simplified Arabic" w:eastAsia="Times New Roman" w:hAnsi="Simplified Arabic" w:cs="Simplified Arabic" w:hint="cs"/>
          <w:bCs/>
          <w:sz w:val="36"/>
          <w:szCs w:val="28"/>
          <w:rtl/>
        </w:rPr>
        <w:t xml:space="preserve">الملخص : </w:t>
      </w:r>
    </w:p>
    <w:p w14:paraId="336993DC" w14:textId="3E9569FC" w:rsidR="0006124F" w:rsidRPr="0006124F" w:rsidRDefault="0006124F" w:rsidP="0006124F">
      <w:pPr>
        <w:bidi/>
        <w:spacing w:line="240" w:lineRule="auto"/>
        <w:rPr>
          <w:rFonts w:ascii="Simplified Arabic" w:eastAsia="Simplified Arabic" w:hAnsi="Simplified Arabic" w:cs="Simplified Arabic"/>
          <w:b/>
          <w:sz w:val="28"/>
          <w:szCs w:val="28"/>
          <w:lang w:val="en-GB" w:bidi="ar-KW"/>
        </w:rPr>
      </w:pPr>
      <w:r w:rsidRPr="0006124F">
        <w:rPr>
          <w:rFonts w:ascii="Simplified Arabic" w:eastAsia="Simplified Arabic" w:hAnsi="Simplified Arabic" w:cs="Simplified Arabic"/>
          <w:b/>
          <w:sz w:val="28"/>
          <w:szCs w:val="28"/>
          <w:rtl/>
        </w:rPr>
        <w:t>الأهداف: تهدف هذه الدراسة إلى تصميم وتقييم نظام مراقبة صحية عن بُعد قائم على إنترنت الأشياء لمرضى السكري أثناء وبعد جائحة كوفيد-19، وذلك لمعالجة القصور في أنظمة المراقبة التقليدية المعتمدة على حدود ثابتة مثل تأخر التنبيهات وارتفاع معدل الإنذارات الخاطئة وعدم مراعاة الفروقات الفردية بين المرضى</w:t>
      </w:r>
      <w:r w:rsidRPr="0006124F">
        <w:rPr>
          <w:rFonts w:ascii="Simplified Arabic" w:eastAsia="Simplified Arabic" w:hAnsi="Simplified Arabic" w:cs="Simplified Arabic"/>
          <w:b/>
          <w:sz w:val="28"/>
          <w:szCs w:val="28"/>
          <w:lang w:val="en-GB" w:bidi="ar-KW"/>
        </w:rPr>
        <w:t>.</w:t>
      </w:r>
      <w:r w:rsidRPr="0006124F">
        <w:rPr>
          <w:rFonts w:ascii="Simplified Arabic" w:eastAsia="Simplified Arabic" w:hAnsi="Simplified Arabic" w:cs="Simplified Arabic"/>
          <w:b/>
          <w:sz w:val="28"/>
          <w:szCs w:val="28"/>
          <w:lang w:val="en-GB" w:bidi="ar-KW"/>
        </w:rPr>
        <w:br/>
      </w:r>
      <w:r w:rsidRPr="0006124F">
        <w:rPr>
          <w:rFonts w:ascii="Simplified Arabic" w:eastAsia="Simplified Arabic" w:hAnsi="Simplified Arabic" w:cs="Simplified Arabic"/>
          <w:b/>
          <w:sz w:val="28"/>
          <w:szCs w:val="28"/>
          <w:rtl/>
        </w:rPr>
        <w:t>موقع الدراسة: تعتمد الدراسة على بيئة رعاية صحية منزلية ومحاكاة للرعاية عن بُعد باستخدام بيانات فسيولوجية متعددة الوسائط تمثل سيناريوهات مراقبة مرضى السكري</w:t>
      </w:r>
      <w:r w:rsidRPr="0006124F">
        <w:rPr>
          <w:rFonts w:ascii="Simplified Arabic" w:eastAsia="Simplified Arabic" w:hAnsi="Simplified Arabic" w:cs="Simplified Arabic"/>
          <w:b/>
          <w:sz w:val="28"/>
          <w:szCs w:val="28"/>
          <w:lang w:val="en-GB" w:bidi="ar-KW"/>
        </w:rPr>
        <w:t>.</w:t>
      </w:r>
      <w:r w:rsidRPr="0006124F">
        <w:rPr>
          <w:rFonts w:ascii="Simplified Arabic" w:eastAsia="Simplified Arabic" w:hAnsi="Simplified Arabic" w:cs="Simplified Arabic"/>
          <w:b/>
          <w:sz w:val="28"/>
          <w:szCs w:val="28"/>
          <w:lang w:val="en-GB" w:bidi="ar-KW"/>
        </w:rPr>
        <w:br/>
      </w:r>
      <w:r w:rsidRPr="0006124F">
        <w:rPr>
          <w:rFonts w:ascii="Simplified Arabic" w:eastAsia="Simplified Arabic" w:hAnsi="Simplified Arabic" w:cs="Simplified Arabic"/>
          <w:b/>
          <w:sz w:val="28"/>
          <w:szCs w:val="28"/>
          <w:rtl/>
        </w:rPr>
        <w:t xml:space="preserve">المنهجية: تم تطوير بنية هجينة تعتمد على الحوسبة الطرفية والسحابية، وتتكامل مع حساسات قابلة للارتداء لقياس مستوى الجلوكوز في الدم، ونسبة تشبع الأكسجين، ومعدل ضربات القلب، ودرجة حرارة الجسم. شملت المعالجة المسبقة استخدام مرشحات كالمان، والتنعيم الوسيط، وتقنيات تعويض القيم المفقودة باستخدام أقرب الجيران. كما تم توظيف نموذج تعلم عميق خفيف الوزن من نوع </w:t>
      </w:r>
      <w:r w:rsidRPr="0006124F">
        <w:rPr>
          <w:rFonts w:ascii="Simplified Arabic" w:eastAsia="Simplified Arabic" w:hAnsi="Simplified Arabic" w:cs="Simplified Arabic"/>
          <w:b/>
          <w:sz w:val="28"/>
          <w:szCs w:val="28"/>
          <w:lang w:val="en-GB" w:bidi="ar-KW"/>
        </w:rPr>
        <w:t>D-CNN</w:t>
      </w:r>
      <w:r>
        <w:rPr>
          <w:rFonts w:ascii="Simplified Arabic" w:eastAsia="Simplified Arabic" w:hAnsi="Simplified Arabic" w:cs="Simplified Arabic" w:hint="cs"/>
          <w:b/>
          <w:sz w:val="28"/>
          <w:szCs w:val="28"/>
          <w:rtl/>
          <w:lang w:val="en-GB" w:bidi="ar-KW"/>
        </w:rPr>
        <w:t>1</w:t>
      </w:r>
      <w:r w:rsidRPr="0006124F">
        <w:rPr>
          <w:rFonts w:ascii="Simplified Arabic" w:eastAsia="Simplified Arabic" w:hAnsi="Simplified Arabic" w:cs="Simplified Arabic"/>
          <w:b/>
          <w:sz w:val="28"/>
          <w:szCs w:val="28"/>
          <w:lang w:val="en-GB" w:bidi="ar-KW"/>
        </w:rPr>
        <w:t xml:space="preserve"> </w:t>
      </w:r>
      <w:r>
        <w:rPr>
          <w:rFonts w:ascii="Simplified Arabic" w:eastAsia="Simplified Arabic" w:hAnsi="Simplified Arabic" w:cs="Simplified Arabic" w:hint="cs"/>
          <w:b/>
          <w:sz w:val="28"/>
          <w:szCs w:val="28"/>
          <w:rtl/>
          <w:lang w:val="en-GB" w:bidi="ar-KW"/>
        </w:rPr>
        <w:t xml:space="preserve"> </w:t>
      </w:r>
      <w:r w:rsidRPr="0006124F">
        <w:rPr>
          <w:rFonts w:ascii="Simplified Arabic" w:eastAsia="Simplified Arabic" w:hAnsi="Simplified Arabic" w:cs="Simplified Arabic"/>
          <w:b/>
          <w:sz w:val="28"/>
          <w:szCs w:val="28"/>
          <w:rtl/>
        </w:rPr>
        <w:t>و</w:t>
      </w:r>
      <w:r>
        <w:rPr>
          <w:rFonts w:ascii="Simplified Arabic" w:eastAsia="Simplified Arabic" w:hAnsi="Simplified Arabic" w:cs="Simplified Arabic"/>
          <w:b/>
          <w:sz w:val="28"/>
          <w:szCs w:val="28"/>
          <w:lang w:val="en-GB" w:bidi="ar-KW"/>
        </w:rPr>
        <w:t xml:space="preserve"> </w:t>
      </w:r>
      <w:r w:rsidRPr="0006124F">
        <w:rPr>
          <w:rFonts w:ascii="Simplified Arabic" w:eastAsia="Simplified Arabic" w:hAnsi="Simplified Arabic" w:cs="Simplified Arabic"/>
          <w:b/>
          <w:sz w:val="28"/>
          <w:szCs w:val="28"/>
          <w:lang w:val="en-GB" w:bidi="ar-KW"/>
        </w:rPr>
        <w:t>LSTM</w:t>
      </w:r>
      <w:r>
        <w:rPr>
          <w:rFonts w:ascii="Simplified Arabic" w:eastAsia="Simplified Arabic" w:hAnsi="Simplified Arabic" w:cs="Simplified Arabic" w:hint="cs"/>
          <w:b/>
          <w:sz w:val="28"/>
          <w:szCs w:val="28"/>
          <w:rtl/>
          <w:lang w:val="en-GB" w:bidi="ar-KW"/>
        </w:rPr>
        <w:t xml:space="preserve"> </w:t>
      </w:r>
      <w:r w:rsidRPr="0006124F">
        <w:rPr>
          <w:rFonts w:ascii="Simplified Arabic" w:eastAsia="Simplified Arabic" w:hAnsi="Simplified Arabic" w:cs="Simplified Arabic"/>
          <w:b/>
          <w:sz w:val="28"/>
          <w:szCs w:val="28"/>
          <w:lang w:val="en-GB" w:bidi="ar-KW"/>
        </w:rPr>
        <w:t xml:space="preserve"> </w:t>
      </w:r>
      <w:r w:rsidRPr="0006124F">
        <w:rPr>
          <w:rFonts w:ascii="Simplified Arabic" w:eastAsia="Simplified Arabic" w:hAnsi="Simplified Arabic" w:cs="Simplified Arabic"/>
          <w:b/>
          <w:sz w:val="28"/>
          <w:szCs w:val="28"/>
          <w:rtl/>
        </w:rPr>
        <w:t>للتنبؤ الفوري، مع تطبيق التعلم الاتحادي للحفاظ على خصوصية البيانات، إلى جانب استخدام الذكاء الاصطناعي القابل للتفسير لتحسين شفافية القرارات السريرية</w:t>
      </w:r>
      <w:r w:rsidRPr="0006124F">
        <w:rPr>
          <w:rFonts w:ascii="Simplified Arabic" w:eastAsia="Simplified Arabic" w:hAnsi="Simplified Arabic" w:cs="Simplified Arabic"/>
          <w:b/>
          <w:sz w:val="28"/>
          <w:szCs w:val="28"/>
          <w:lang w:val="en-GB" w:bidi="ar-KW"/>
        </w:rPr>
        <w:t>.</w:t>
      </w:r>
      <w:r w:rsidRPr="0006124F">
        <w:rPr>
          <w:rFonts w:ascii="Simplified Arabic" w:eastAsia="Simplified Arabic" w:hAnsi="Simplified Arabic" w:cs="Simplified Arabic"/>
          <w:b/>
          <w:sz w:val="28"/>
          <w:szCs w:val="28"/>
          <w:lang w:val="en-GB" w:bidi="ar-KW"/>
        </w:rPr>
        <w:br/>
      </w:r>
      <w:r w:rsidRPr="0006124F">
        <w:rPr>
          <w:rFonts w:ascii="Simplified Arabic" w:eastAsia="Simplified Arabic" w:hAnsi="Simplified Arabic" w:cs="Simplified Arabic"/>
          <w:b/>
          <w:sz w:val="28"/>
          <w:szCs w:val="28"/>
          <w:rtl/>
        </w:rPr>
        <w:t>النتائج: أظهرت النتائج دقة تنبؤ مرتفعة، وانخفاضاً ملحوظاً في معدل الإنذارات الخاطئة مقارنة بالأنظمة التقليدية، وزمن استجابة أقل من 100 مللي ثانية، مما يدعم إمكانية الاستخدام الفعلي في البيئات المنزلية</w:t>
      </w:r>
      <w:r w:rsidRPr="0006124F">
        <w:rPr>
          <w:rFonts w:ascii="Simplified Arabic" w:eastAsia="Simplified Arabic" w:hAnsi="Simplified Arabic" w:cs="Simplified Arabic"/>
          <w:b/>
          <w:sz w:val="28"/>
          <w:szCs w:val="28"/>
          <w:lang w:val="en-GB" w:bidi="ar-KW"/>
        </w:rPr>
        <w:t>.</w:t>
      </w:r>
      <w:r w:rsidRPr="0006124F">
        <w:rPr>
          <w:rFonts w:ascii="Simplified Arabic" w:eastAsia="Simplified Arabic" w:hAnsi="Simplified Arabic" w:cs="Simplified Arabic"/>
          <w:b/>
          <w:sz w:val="28"/>
          <w:szCs w:val="28"/>
          <w:lang w:val="en-GB" w:bidi="ar-KW"/>
        </w:rPr>
        <w:br/>
      </w:r>
      <w:r w:rsidRPr="0006124F">
        <w:rPr>
          <w:rFonts w:ascii="Simplified Arabic" w:eastAsia="Simplified Arabic" w:hAnsi="Simplified Arabic" w:cs="Simplified Arabic"/>
          <w:b/>
          <w:sz w:val="28"/>
          <w:szCs w:val="28"/>
          <w:rtl/>
        </w:rPr>
        <w:t>التوصيات: توصي الدراسة بتبني النظام المقترح كحل موثوق وقابل للتوسع لمراقبة مرضى السكري عن بُعد ضمن تطبيقات الرعاية الصحية الرقمية المستقبلية</w:t>
      </w:r>
      <w:r w:rsidRPr="0006124F">
        <w:rPr>
          <w:rFonts w:ascii="Simplified Arabic" w:eastAsia="Simplified Arabic" w:hAnsi="Simplified Arabic" w:cs="Simplified Arabic"/>
          <w:b/>
          <w:sz w:val="28"/>
          <w:szCs w:val="28"/>
          <w:lang w:val="en-GB" w:bidi="ar-KW"/>
        </w:rPr>
        <w:t>.</w:t>
      </w:r>
    </w:p>
    <w:p w14:paraId="745A249A" w14:textId="77777777" w:rsidR="0006124F" w:rsidRPr="0006124F" w:rsidRDefault="0006124F" w:rsidP="0006124F">
      <w:pPr>
        <w:bidi/>
        <w:spacing w:line="240" w:lineRule="auto"/>
        <w:rPr>
          <w:rFonts w:ascii="Simplified Arabic" w:eastAsia="Simplified Arabic" w:hAnsi="Simplified Arabic" w:cs="Simplified Arabic"/>
          <w:b/>
          <w:sz w:val="28"/>
          <w:szCs w:val="28"/>
          <w:lang w:val="en-GB" w:bidi="ar-KW"/>
        </w:rPr>
      </w:pPr>
      <w:r w:rsidRPr="0006124F">
        <w:rPr>
          <w:rFonts w:ascii="Simplified Arabic" w:eastAsia="Simplified Arabic" w:hAnsi="Simplified Arabic" w:cs="Simplified Arabic"/>
          <w:b/>
          <w:bCs/>
          <w:sz w:val="28"/>
          <w:szCs w:val="28"/>
          <w:rtl/>
        </w:rPr>
        <w:t>الكلمات المفتاحية</w:t>
      </w:r>
      <w:r w:rsidRPr="0006124F">
        <w:rPr>
          <w:rFonts w:ascii="Simplified Arabic" w:eastAsia="Simplified Arabic" w:hAnsi="Simplified Arabic" w:cs="Simplified Arabic"/>
          <w:b/>
          <w:bCs/>
          <w:sz w:val="28"/>
          <w:szCs w:val="28"/>
          <w:lang w:val="en-GB" w:bidi="ar-KW"/>
        </w:rPr>
        <w:t>:</w:t>
      </w:r>
      <w:r w:rsidRPr="0006124F">
        <w:rPr>
          <w:rFonts w:ascii="Simplified Arabic" w:eastAsia="Simplified Arabic" w:hAnsi="Simplified Arabic" w:cs="Simplified Arabic"/>
          <w:b/>
          <w:sz w:val="28"/>
          <w:szCs w:val="28"/>
          <w:lang w:val="en-GB" w:bidi="ar-KW"/>
        </w:rPr>
        <w:t xml:space="preserve"> </w:t>
      </w:r>
      <w:r w:rsidRPr="0006124F">
        <w:rPr>
          <w:rFonts w:ascii="Simplified Arabic" w:eastAsia="Simplified Arabic" w:hAnsi="Simplified Arabic" w:cs="Simplified Arabic"/>
          <w:b/>
          <w:sz w:val="28"/>
          <w:szCs w:val="28"/>
          <w:rtl/>
        </w:rPr>
        <w:t>إنترنت الأشياء، مراقبة مرضى السكري، الذكاء الاصطناعي الطرفي، التعلم الاتحادي، الذكاء الاصطناعي القابل للتفسير</w:t>
      </w:r>
    </w:p>
    <w:p w14:paraId="11AB3136" w14:textId="77777777" w:rsidR="0006124F" w:rsidRPr="0006124F" w:rsidRDefault="0006124F" w:rsidP="0006124F">
      <w:pPr>
        <w:bidi/>
        <w:spacing w:line="240" w:lineRule="auto"/>
        <w:rPr>
          <w:rFonts w:asciiTheme="majorHAnsi" w:eastAsia="Simplified Arabic" w:hAnsiTheme="majorHAnsi" w:cstheme="majorHAnsi"/>
          <w:b/>
          <w:sz w:val="28"/>
          <w:rtl/>
          <w:lang w:val="en-GB" w:bidi="ar-KW"/>
        </w:rPr>
      </w:pPr>
    </w:p>
    <w:p w14:paraId="71CD8338" w14:textId="77777777" w:rsidR="0006124F" w:rsidRDefault="0006124F" w:rsidP="0006124F">
      <w:pPr>
        <w:bidi/>
        <w:spacing w:line="240" w:lineRule="auto"/>
        <w:rPr>
          <w:rFonts w:asciiTheme="majorHAnsi" w:eastAsia="Simplified Arabic" w:hAnsiTheme="majorHAnsi" w:cstheme="majorHAnsi"/>
          <w:b/>
          <w:sz w:val="28"/>
        </w:rPr>
      </w:pPr>
    </w:p>
    <w:p w14:paraId="63EF20D8" w14:textId="77777777" w:rsidR="009F4651" w:rsidRDefault="009F4651">
      <w:pPr>
        <w:spacing w:line="240" w:lineRule="auto"/>
        <w:rPr>
          <w:rFonts w:ascii="Times New Roman" w:eastAsia="Times New Roman" w:hAnsi="Times New Roman"/>
          <w:b/>
          <w:sz w:val="28"/>
        </w:rPr>
      </w:pPr>
    </w:p>
    <w:p w14:paraId="26A36132" w14:textId="569D19AF" w:rsidR="00590248" w:rsidRPr="009F4651" w:rsidRDefault="00000000">
      <w:pPr>
        <w:spacing w:line="240" w:lineRule="auto"/>
        <w:rPr>
          <w:rFonts w:ascii="Simplified Arabic" w:hAnsi="Simplified Arabic" w:cs="Simplified Arabic"/>
        </w:rPr>
      </w:pPr>
      <w:r w:rsidRPr="009F4651">
        <w:rPr>
          <w:rFonts w:ascii="Simplified Arabic" w:eastAsia="Times New Roman" w:hAnsi="Simplified Arabic" w:cs="Simplified Arabic"/>
          <w:b/>
          <w:sz w:val="28"/>
        </w:rPr>
        <w:t>1. Introduction</w:t>
      </w:r>
    </w:p>
    <w:p w14:paraId="096D6C29" w14:textId="77777777" w:rsidR="009F4651" w:rsidRPr="009F4651" w:rsidRDefault="008F22B3" w:rsidP="009F4651">
      <w:pPr>
        <w:spacing w:line="240" w:lineRule="auto"/>
        <w:rPr>
          <w:rFonts w:ascii="Simplified Arabic" w:eastAsia="Times New Roman" w:hAnsi="Simplified Arabic" w:cs="Simplified Arabic"/>
          <w:sz w:val="24"/>
          <w:szCs w:val="24"/>
          <w:lang w:val="en-GB"/>
        </w:rPr>
      </w:pPr>
      <w:r>
        <w:rPr>
          <w:rFonts w:ascii="Times New Roman" w:eastAsia="Times New Roman" w:hAnsi="Times New Roman"/>
          <w:sz w:val="24"/>
        </w:rPr>
        <w:t xml:space="preserve">   </w:t>
      </w:r>
      <w:r w:rsidR="009F4651" w:rsidRPr="009F4651">
        <w:rPr>
          <w:rFonts w:ascii="Simplified Arabic" w:eastAsia="Times New Roman" w:hAnsi="Simplified Arabic" w:cs="Simplified Arabic"/>
          <w:sz w:val="24"/>
          <w:szCs w:val="24"/>
          <w:lang w:val="en-GB"/>
        </w:rPr>
        <w:t>The COVID-19 pandemic has exposed significant challenges in the delivery of continuous healthcare services, particularly for high-risk populations such as patients with diabetes. Clinical evidence has consistently shown that individuals with diabetes are more vulnerable to severe complications, hospitalization, and mortality during infectious disease outbreaks due to impaired immune responses and unstable glycaemic control. During periods of lockdown, restricted mobility, and overwhelmed healthcare facilities, traditional in-person monitoring and follow-up approaches proved insufficient to ensure timely and continuous care for these patients.</w:t>
      </w:r>
    </w:p>
    <w:p w14:paraId="45DB1C50" w14:textId="77777777" w:rsidR="009F4651" w:rsidRPr="009F4651" w:rsidRDefault="009F4651" w:rsidP="009F4651">
      <w:pPr>
        <w:spacing w:line="240" w:lineRule="auto"/>
        <w:rPr>
          <w:rFonts w:ascii="Simplified Arabic" w:eastAsia="Times New Roman" w:hAnsi="Simplified Arabic" w:cs="Simplified Arabic"/>
          <w:sz w:val="24"/>
          <w:szCs w:val="24"/>
          <w:lang w:val="en-GB"/>
        </w:rPr>
      </w:pPr>
      <w:r w:rsidRPr="009F4651">
        <w:rPr>
          <w:rFonts w:ascii="Simplified Arabic" w:eastAsia="Times New Roman" w:hAnsi="Simplified Arabic" w:cs="Simplified Arabic"/>
          <w:sz w:val="24"/>
          <w:szCs w:val="24"/>
          <w:lang w:val="en-GB"/>
        </w:rPr>
        <w:t>In response to these challenges, Internet of Things (IoT) technologies have emerged as a promising solution for enabling remote health monitoring through continuous acquisition of physiological data, including blood glucose levels, blood oxygen saturation (SpO</w:t>
      </w:r>
      <w:r w:rsidRPr="009F4651">
        <w:rPr>
          <w:rFonts w:ascii="Cambria Math" w:eastAsia="Times New Roman" w:hAnsi="Cambria Math" w:cs="Cambria Math"/>
          <w:sz w:val="24"/>
          <w:szCs w:val="24"/>
          <w:lang w:val="en-GB"/>
        </w:rPr>
        <w:t>₂</w:t>
      </w:r>
      <w:r w:rsidRPr="009F4651">
        <w:rPr>
          <w:rFonts w:ascii="Simplified Arabic" w:eastAsia="Times New Roman" w:hAnsi="Simplified Arabic" w:cs="Simplified Arabic"/>
          <w:sz w:val="24"/>
          <w:szCs w:val="24"/>
          <w:lang w:val="en-GB"/>
        </w:rPr>
        <w:t>), heart rate, and body temperature. Several studies have demonstrated that IoT-based monitoring systems can support early detection of clinical deterioration, reduce emergency department visits, and enhance patient–clinician communication. However, despite these advantages, most existing IoT healthcare solutions rely on static, rule-based alert mechanisms that apply fixed thresholds across all patients. Such approaches fail to account for inter-patient variability and physiological heterogeneity, often resulting in delayed alerts or excessive false alarms.</w:t>
      </w:r>
    </w:p>
    <w:p w14:paraId="01DA047B" w14:textId="77777777" w:rsidR="009F4651" w:rsidRPr="009F4651" w:rsidRDefault="009F4651" w:rsidP="009F4651">
      <w:pPr>
        <w:spacing w:line="240" w:lineRule="auto"/>
        <w:rPr>
          <w:rFonts w:ascii="Simplified Arabic" w:eastAsia="Times New Roman" w:hAnsi="Simplified Arabic" w:cs="Simplified Arabic"/>
          <w:sz w:val="24"/>
          <w:szCs w:val="24"/>
          <w:lang w:val="en-GB"/>
        </w:rPr>
      </w:pPr>
      <w:r w:rsidRPr="009F4651">
        <w:rPr>
          <w:rFonts w:ascii="Simplified Arabic" w:eastAsia="Times New Roman" w:hAnsi="Simplified Arabic" w:cs="Simplified Arabic"/>
          <w:sz w:val="24"/>
          <w:szCs w:val="24"/>
          <w:lang w:val="en-GB"/>
        </w:rPr>
        <w:t>Furthermore, current remote monitoring systems face technical limitations related to sensor noise, missing data, and inconsistent signal quality, which negatively affect predictive accuracy and reliability. Privacy and data security concerns also remain major barriers to large-scale adoption, particularly when sensitive patient data are transmitted to centralized cloud infrastructures. In addition, cloud-dependent processing may introduce latency that limits the effectiveness of real-time intervention, especially in critical health scenarios.</w:t>
      </w:r>
    </w:p>
    <w:p w14:paraId="23EA86E0" w14:textId="77777777" w:rsidR="009F4651" w:rsidRPr="009F4651" w:rsidRDefault="009F4651" w:rsidP="009F4651">
      <w:pPr>
        <w:spacing w:line="240" w:lineRule="auto"/>
        <w:rPr>
          <w:rFonts w:ascii="Simplified Arabic" w:eastAsia="Times New Roman" w:hAnsi="Simplified Arabic" w:cs="Simplified Arabic"/>
          <w:sz w:val="24"/>
          <w:szCs w:val="24"/>
          <w:lang w:val="en-GB"/>
        </w:rPr>
      </w:pPr>
      <w:r w:rsidRPr="009F4651">
        <w:rPr>
          <w:rFonts w:ascii="Simplified Arabic" w:eastAsia="Times New Roman" w:hAnsi="Simplified Arabic" w:cs="Simplified Arabic"/>
          <w:sz w:val="24"/>
          <w:szCs w:val="24"/>
          <w:lang w:val="en-GB"/>
        </w:rPr>
        <w:t xml:space="preserve">To address these limitations, this study proposes an advanced IoT-based remote monitoring framework that integrates edge computing, deep learning, federated learning, and explainable artificial intelligence. The proposed system combines multimodal wearable sensors with a lightweight hybrid 1D-CNN and LSTM model deployed at the edge to enable </w:t>
      </w:r>
      <w:r w:rsidRPr="009F4651">
        <w:rPr>
          <w:rFonts w:ascii="Simplified Arabic" w:eastAsia="Times New Roman" w:hAnsi="Simplified Arabic" w:cs="Simplified Arabic"/>
          <w:sz w:val="24"/>
          <w:szCs w:val="24"/>
          <w:lang w:val="en-GB"/>
        </w:rPr>
        <w:lastRenderedPageBreak/>
        <w:t>real-time inference with minimal latency. Advanced data preprocessing techniques, including Kalman filtering and missing-data imputation, are employed to enhance data quality, while adaptive and personalized thresholding mechanisms reduce false alarms. Federated learning is utilized to preserve patient privacy by ensuring that raw data remain at the local level, and explainable AI techniques are incorporated to provide transparent and clinically interpretable alerts.</w:t>
      </w:r>
    </w:p>
    <w:p w14:paraId="77450EF3" w14:textId="77777777" w:rsidR="009F4651" w:rsidRPr="009F4651" w:rsidRDefault="009F4651" w:rsidP="009F4651">
      <w:pPr>
        <w:spacing w:line="240" w:lineRule="auto"/>
        <w:rPr>
          <w:rFonts w:ascii="Simplified Arabic" w:eastAsia="Times New Roman" w:hAnsi="Simplified Arabic" w:cs="Simplified Arabic"/>
          <w:sz w:val="24"/>
          <w:szCs w:val="24"/>
          <w:lang w:val="en-GB"/>
        </w:rPr>
      </w:pPr>
      <w:r w:rsidRPr="009F4651">
        <w:rPr>
          <w:rFonts w:ascii="Simplified Arabic" w:eastAsia="Times New Roman" w:hAnsi="Simplified Arabic" w:cs="Simplified Arabic"/>
          <w:sz w:val="24"/>
          <w:szCs w:val="24"/>
          <w:lang w:val="en-GB"/>
        </w:rPr>
        <w:t>The scientific contribution of this research lies in presenting a comprehensive, privacy-preserving, and low-latency IoT–AI framework for diabetic patient monitoring that overcomes key limitations identified in prior studies. Practically, the proposed approach supports more reliable remote healthcare delivery and offers a scalable solution for managing chronic diseases during pandemics and in post-pandemic digital health environments.</w:t>
      </w:r>
    </w:p>
    <w:p w14:paraId="1D887935" w14:textId="2F5B6D60" w:rsidR="008F22B3" w:rsidRDefault="008F22B3" w:rsidP="009F4651">
      <w:pPr>
        <w:spacing w:line="240" w:lineRule="auto"/>
      </w:pPr>
    </w:p>
    <w:p w14:paraId="16EC7238" w14:textId="6129D976" w:rsidR="00590248" w:rsidRPr="009F4651" w:rsidRDefault="00000000" w:rsidP="008F22B3">
      <w:pPr>
        <w:rPr>
          <w:rFonts w:ascii="Simplified Arabic" w:hAnsi="Simplified Arabic" w:cs="Simplified Arabic"/>
        </w:rPr>
      </w:pPr>
      <w:r w:rsidRPr="009F4651">
        <w:rPr>
          <w:rFonts w:ascii="Simplified Arabic" w:eastAsia="Times New Roman" w:hAnsi="Simplified Arabic" w:cs="Simplified Arabic"/>
          <w:b/>
          <w:sz w:val="28"/>
        </w:rPr>
        <w:t>2. Research Problem</w:t>
      </w:r>
    </w:p>
    <w:p w14:paraId="20060BA4" w14:textId="49A6A817" w:rsidR="009F4651" w:rsidRPr="009F4651" w:rsidRDefault="009F4651" w:rsidP="009F4651">
      <w:pPr>
        <w:rPr>
          <w:rFonts w:ascii="Simplified Arabic" w:eastAsia="Times New Roman" w:hAnsi="Simplified Arabic" w:cs="Simplified Arabic"/>
          <w:sz w:val="24"/>
          <w:lang w:val="en-GB"/>
        </w:rPr>
      </w:pPr>
      <w:r>
        <w:rPr>
          <w:rFonts w:ascii="Simplified Arabic" w:eastAsia="Times New Roman" w:hAnsi="Simplified Arabic" w:cs="Simplified Arabic"/>
          <w:sz w:val="24"/>
          <w:lang w:val="en-GB"/>
        </w:rPr>
        <w:t xml:space="preserve">  </w:t>
      </w:r>
      <w:r w:rsidRPr="009F4651">
        <w:rPr>
          <w:rFonts w:ascii="Simplified Arabic" w:eastAsia="Times New Roman" w:hAnsi="Simplified Arabic" w:cs="Simplified Arabic"/>
          <w:sz w:val="24"/>
          <w:lang w:val="en-GB"/>
        </w:rPr>
        <w:t>The rapid spread of COVID-19 highlighted critical weaknesses in existing healthcare monitoring systems, particularly for patients with chronic conditions such as diabetes who require continuous and proactive medical supervision. Traditional healthcare models rely heavily on in-person visits and hospital-based monitoring, which became impractical during lockdowns, travel restrictions, and periods of healthcare system overload. As a result, many diabetic patients experienced delayed medical interventions, insufficient monitoring of physiological changes, and increased risk of severe complications.</w:t>
      </w:r>
    </w:p>
    <w:p w14:paraId="22F948FA"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Although Internet of Things (IoT)-based remote monitoring systems have been introduced to mitigate these challenges, most current solutions suffer from fundamental limitations. A major issue lies in the widespread dependence on static, rule-based alert mechanisms that use fixed physiological thresholds for all patients. These systems do not account for individual variability in baseline glucose levels, heart rate, or oxygen saturation, leading to frequent false alarms or, conversely, missed early warning signs. This lack of personalization reduces clinical trust in automated monitoring systems and contributes to alert fatigue among healthcare providers.</w:t>
      </w:r>
    </w:p>
    <w:p w14:paraId="507173B7"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lastRenderedPageBreak/>
        <w:t>In addition, real-world IoT healthcare data are often affected by noise, signal artifacts, and missing values due to sensor limitations, patient movement, or connectivity disruptions. Many existing monitoring platforms lack robust data preprocessing and validation mechanisms, which undermines predictive accuracy and limits the reliability of automated decision-making. Furthermore, the reliance on centralized cloud-based processing raises serious concerns related to patient privacy, data security, and compliance with healthcare data protection regulations. Cloud dependency may also introduce latency that delays critical alerts, reducing the effectiveness of early intervention.</w:t>
      </w:r>
    </w:p>
    <w:p w14:paraId="2B71059A"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From a societal perspective, these limitations directly impact patient safety, healthcare efficiency, and the sustainability of healthcare systems, especially during public health emergencies. Diabetic patients represent a large and growing segment of the population, and failure to provide reliable remote monitoring increases the burden on hospitals, healthcare professionals, and caregivers. Addressing this research problem is therefore essential to improving health outcomes, reducing preventable complications, and enabling equitable access to continuous care.</w:t>
      </w:r>
    </w:p>
    <w:p w14:paraId="29F0C1C8"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This study addresses these challenges by investigating how advanced IoT architectures combined with edge intelligence, adaptive learning models, and privacy-preserving mechanisms can overcome the shortcomings of existing systems. By focusing on accuracy, personalization, low latency, and data privacy, the research contributes to the development of more trustworthy and socially impactful remote healthcare solutions capable of supporting diabetic patients during pandemics and in long-term chronic disease management.</w:t>
      </w:r>
    </w:p>
    <w:p w14:paraId="0F4B21A7" w14:textId="77777777" w:rsidR="008F22B3" w:rsidRPr="009F4651" w:rsidRDefault="008F22B3" w:rsidP="008F22B3">
      <w:pPr>
        <w:rPr>
          <w:lang w:val="en-GB"/>
        </w:rPr>
      </w:pPr>
    </w:p>
    <w:p w14:paraId="6BD90636" w14:textId="7D99BD22" w:rsidR="00590248" w:rsidRPr="009F4651" w:rsidRDefault="00000000" w:rsidP="008F22B3">
      <w:pPr>
        <w:rPr>
          <w:rFonts w:ascii="Simplified Arabic" w:hAnsi="Simplified Arabic" w:cs="Simplified Arabic"/>
        </w:rPr>
      </w:pPr>
      <w:r w:rsidRPr="009F4651">
        <w:rPr>
          <w:rFonts w:ascii="Simplified Arabic" w:eastAsia="Times New Roman" w:hAnsi="Simplified Arabic" w:cs="Simplified Arabic"/>
          <w:b/>
          <w:sz w:val="28"/>
        </w:rPr>
        <w:t>3. Importance of the Study</w:t>
      </w:r>
      <w:r w:rsidR="009F4651">
        <w:rPr>
          <w:rFonts w:ascii="Simplified Arabic" w:eastAsia="Times New Roman" w:hAnsi="Simplified Arabic" w:cs="Simplified Arabic"/>
          <w:b/>
          <w:sz w:val="28"/>
        </w:rPr>
        <w:t>:</w:t>
      </w:r>
    </w:p>
    <w:p w14:paraId="136131DC" w14:textId="26E01531" w:rsidR="009F4651" w:rsidRPr="009F4651" w:rsidRDefault="009F4651" w:rsidP="009F4651">
      <w:pPr>
        <w:rPr>
          <w:rFonts w:ascii="Simplified Arabic" w:eastAsia="Times New Roman" w:hAnsi="Simplified Arabic" w:cs="Simplified Arabic"/>
          <w:sz w:val="24"/>
          <w:lang w:val="en-GB"/>
        </w:rPr>
      </w:pPr>
      <w:r>
        <w:rPr>
          <w:rFonts w:ascii="Simplified Arabic" w:eastAsia="Times New Roman" w:hAnsi="Simplified Arabic" w:cs="Simplified Arabic"/>
          <w:sz w:val="24"/>
          <w:lang w:val="en-GB"/>
        </w:rPr>
        <w:t xml:space="preserve">  </w:t>
      </w:r>
      <w:r w:rsidRPr="009F4651">
        <w:rPr>
          <w:rFonts w:ascii="Simplified Arabic" w:eastAsia="Times New Roman" w:hAnsi="Simplified Arabic" w:cs="Simplified Arabic"/>
          <w:sz w:val="24"/>
          <w:lang w:val="en-GB"/>
        </w:rPr>
        <w:t>The importance of this study is reflected in its scientific contribution to the field of digital healthcare and its practical relevance to real-world clinical practice, particularly in the context of managing chronic diseases during public health emergencies.</w:t>
      </w:r>
    </w:p>
    <w:p w14:paraId="12C26F8F"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From a scientific perspective, this research advances existing knowledge by proposing an integrated IoT–AI framework that combines edge computing, deep learning, federated </w:t>
      </w:r>
      <w:r w:rsidRPr="009F4651">
        <w:rPr>
          <w:rFonts w:ascii="Simplified Arabic" w:eastAsia="Times New Roman" w:hAnsi="Simplified Arabic" w:cs="Simplified Arabic"/>
          <w:sz w:val="24"/>
          <w:lang w:val="en-GB"/>
        </w:rPr>
        <w:lastRenderedPageBreak/>
        <w:t xml:space="preserve">learning, and explainable artificial intelligence for remote diabetic patient monitoring. Unlike conventional IoT healthcare systems that rely on static threshold-based alerts, this study introduces adaptive and personalized monitoring mechanisms capable of accounting for individual physiological variability. The integration of a hybrid 1D-CNN and LSTM model enables both short-term pattern recognition and long-term temporal dependency </w:t>
      </w:r>
      <w:proofErr w:type="spellStart"/>
      <w:r w:rsidRPr="009F4651">
        <w:rPr>
          <w:rFonts w:ascii="Simplified Arabic" w:eastAsia="Times New Roman" w:hAnsi="Simplified Arabic" w:cs="Simplified Arabic"/>
          <w:sz w:val="24"/>
          <w:lang w:val="en-GB"/>
        </w:rPr>
        <w:t>modeling</w:t>
      </w:r>
      <w:proofErr w:type="spellEnd"/>
      <w:r w:rsidRPr="009F4651">
        <w:rPr>
          <w:rFonts w:ascii="Simplified Arabic" w:eastAsia="Times New Roman" w:hAnsi="Simplified Arabic" w:cs="Simplified Arabic"/>
          <w:sz w:val="24"/>
          <w:lang w:val="en-GB"/>
        </w:rPr>
        <w:t>, improving the accuracy and robustness of health deterioration detection. Additionally, the application of advanced data preprocessing techniques, including Kalman filtering and missing-data imputation, addresses a critical gap in prior research related to noisy and incomplete sensor data. The inclusion of explainable AI further enhances scientific value by improving model transparency and interpretability, which are essential for the acceptance of artificial intelligence in medical decision support systems.</w:t>
      </w:r>
    </w:p>
    <w:p w14:paraId="483E81FD"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From a practical and societal perspective, the study provides a scalable and privacy-preserving solution for continuous remote monitoring of diabetic patients, a population that represents a significant burden on healthcare systems worldwide. By enabling real-time inference at the edge with low latency, the proposed system supports early detection of adverse health events and timely clinical intervention, reducing the need for unnecessary hospital visits and minimizing the risk of severe complications. The use of federated learning ensures that sensitive patient data remain local, addressing critical concerns related to data privacy, security, and regulatory compliance. This is particularly important in building trust among patients, healthcare providers, and policymakers.</w:t>
      </w:r>
    </w:p>
    <w:p w14:paraId="210D93DD"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Moreover, the outcomes of this study contribute to improving healthcare accessibility and resilience, especially during pandemics or in regions with limited medical resources. By reducing false alarms and alert fatigue, the proposed approach enhances clinician confidence in automated monitoring systems and promotes more efficient utilization of healthcare resources. Ultimately, the study supports the broader societal goal of transitioning toward sustainable, technology-driven healthcare models capable of managing chronic diseases effectively in both emergency situations and long-term care environments.</w:t>
      </w:r>
    </w:p>
    <w:p w14:paraId="1EB8F156" w14:textId="77777777" w:rsidR="008F22B3" w:rsidRPr="009F4651" w:rsidRDefault="008F22B3" w:rsidP="008F22B3">
      <w:pPr>
        <w:rPr>
          <w:lang w:val="en-GB"/>
        </w:rPr>
      </w:pPr>
    </w:p>
    <w:p w14:paraId="3C897801" w14:textId="77777777" w:rsidR="009F4651" w:rsidRDefault="009F4651" w:rsidP="008F22B3">
      <w:pPr>
        <w:rPr>
          <w:rFonts w:ascii="Times New Roman" w:eastAsia="Times New Roman" w:hAnsi="Times New Roman"/>
          <w:b/>
          <w:sz w:val="28"/>
        </w:rPr>
      </w:pPr>
    </w:p>
    <w:p w14:paraId="3C51A850" w14:textId="2AEF61D8" w:rsidR="00590248" w:rsidRPr="009F4651" w:rsidRDefault="00000000" w:rsidP="008F22B3">
      <w:pPr>
        <w:rPr>
          <w:rFonts w:ascii="Simplified Arabic" w:hAnsi="Simplified Arabic" w:cs="Simplified Arabic"/>
        </w:rPr>
      </w:pPr>
      <w:r w:rsidRPr="009F4651">
        <w:rPr>
          <w:rFonts w:ascii="Simplified Arabic" w:eastAsia="Times New Roman" w:hAnsi="Simplified Arabic" w:cs="Simplified Arabic"/>
          <w:b/>
          <w:sz w:val="28"/>
        </w:rPr>
        <w:lastRenderedPageBreak/>
        <w:t>4. Study Objectives</w:t>
      </w:r>
    </w:p>
    <w:p w14:paraId="5DFB3BB6" w14:textId="27874D8C" w:rsidR="009F4651" w:rsidRPr="009F4651" w:rsidRDefault="009F4651" w:rsidP="009F4651">
      <w:pPr>
        <w:spacing w:line="240" w:lineRule="auto"/>
        <w:rPr>
          <w:rFonts w:ascii="Simplified Arabic" w:eastAsia="Times New Roman" w:hAnsi="Simplified Arabic" w:cs="Simplified Arabic"/>
          <w:lang w:val="en-GB"/>
        </w:rPr>
      </w:pPr>
      <w:r>
        <w:rPr>
          <w:rFonts w:ascii="Simplified Arabic" w:eastAsia="Times New Roman" w:hAnsi="Simplified Arabic" w:cs="Simplified Arabic"/>
          <w:sz w:val="24"/>
        </w:rPr>
        <w:t xml:space="preserve"> </w:t>
      </w:r>
      <w:r w:rsidR="008F22B3" w:rsidRPr="009F4651">
        <w:rPr>
          <w:rFonts w:ascii="Simplified Arabic" w:eastAsia="Times New Roman" w:hAnsi="Simplified Arabic" w:cs="Simplified Arabic"/>
          <w:sz w:val="24"/>
        </w:rPr>
        <w:t xml:space="preserve"> </w:t>
      </w:r>
      <w:r w:rsidRPr="009F4651">
        <w:rPr>
          <w:rFonts w:ascii="Simplified Arabic" w:eastAsia="Times New Roman" w:hAnsi="Simplified Arabic" w:cs="Simplified Arabic"/>
          <w:lang w:val="en-GB"/>
        </w:rPr>
        <w:t>The primary objective of this study is to design, implement, and evaluate an advanced Internet of Things (IoT)-based remote monitoring system for patients with diabetes during and after the COVID-19 pandemic, addressing the limitations of conventional monitoring approaches.</w:t>
      </w:r>
    </w:p>
    <w:p w14:paraId="0A2E9E78" w14:textId="77777777" w:rsidR="009F4651" w:rsidRPr="009F4651" w:rsidRDefault="009F4651" w:rsidP="009F4651">
      <w:p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The specific objectives of the study are as follows:</w:t>
      </w:r>
    </w:p>
    <w:p w14:paraId="398223E8"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develop a hybrid IoT monitoring architecture that integrates wearable sensors, edge computing, and cloud services to enable continuous and real-time monitoring of key physiological parameters, including blood glucose, blood oxygen saturation, heart rate, and body temperature.</w:t>
      </w:r>
    </w:p>
    <w:p w14:paraId="50A84B9B"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design and deploy a lightweight hybrid deep learning model based on one-dimensional convolutional neural networks (1D-CNN) and long short-term memory (LSTM) networks at the edge, enabling early detection of abnormal physiological patterns with inference latency below 100 milliseconds.</w:t>
      </w:r>
    </w:p>
    <w:p w14:paraId="6369485B"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implement adaptive and personalized alert mechanisms using statistical techniques such as z-score normalization and exponentially weighted moving averages (EWMA), with the aim of reducing false-alarm rates and improving the clinical reliability of alerts.</w:t>
      </w:r>
    </w:p>
    <w:p w14:paraId="5909BD19"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To enhance data quality and model robustness by integrating advanced preprocessing techniques, including noise reduction through Kalman filtering and missing-data handling using K-nearest </w:t>
      </w:r>
      <w:proofErr w:type="spellStart"/>
      <w:r w:rsidRPr="009F4651">
        <w:rPr>
          <w:rFonts w:ascii="Simplified Arabic" w:eastAsia="Times New Roman" w:hAnsi="Simplified Arabic" w:cs="Simplified Arabic"/>
          <w:sz w:val="24"/>
          <w:lang w:val="en-GB"/>
        </w:rPr>
        <w:t>neighbors</w:t>
      </w:r>
      <w:proofErr w:type="spellEnd"/>
      <w:r w:rsidRPr="009F4651">
        <w:rPr>
          <w:rFonts w:ascii="Simplified Arabic" w:eastAsia="Times New Roman" w:hAnsi="Simplified Arabic" w:cs="Simplified Arabic"/>
          <w:sz w:val="24"/>
          <w:lang w:val="en-GB"/>
        </w:rPr>
        <w:t xml:space="preserve"> (KNN) imputation.</w:t>
      </w:r>
    </w:p>
    <w:p w14:paraId="65A85374"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preserve patient privacy and ensure secure model generalization across multiple users by employing a federated learning framework that enables collaborative model training without sharing raw patient data.</w:t>
      </w:r>
    </w:p>
    <w:p w14:paraId="05966E26"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incorporate explainable artificial intelligence techniques to provide transparent and interpretable alerts, supporting clinician trust and facilitating informed medical decision-making.</w:t>
      </w:r>
    </w:p>
    <w:p w14:paraId="770C5595" w14:textId="77777777" w:rsidR="009F4651" w:rsidRPr="009F4651" w:rsidRDefault="009F4651" w:rsidP="009F4651">
      <w:pPr>
        <w:numPr>
          <w:ilvl w:val="0"/>
          <w:numId w:val="10"/>
        </w:numPr>
        <w:spacing w:line="240" w:lineRule="auto"/>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To evaluate the performance of the proposed system using appropriate quantitative metrics, including predictive accuracy, false-alarm rate, and inference latency, and to compare its effectiveness against traditional rule-based monitoring systems.</w:t>
      </w:r>
    </w:p>
    <w:p w14:paraId="1AEE2CA0" w14:textId="2F3C34A9" w:rsidR="008F22B3" w:rsidRDefault="008F22B3" w:rsidP="009F4651">
      <w:pPr>
        <w:spacing w:line="240" w:lineRule="auto"/>
      </w:pPr>
    </w:p>
    <w:p w14:paraId="3A33B883" w14:textId="77777777" w:rsidR="008F22B3" w:rsidRDefault="008F22B3" w:rsidP="008F22B3"/>
    <w:p w14:paraId="0261CFCE" w14:textId="3E32B417" w:rsidR="00590248" w:rsidRPr="009F4651" w:rsidRDefault="00000000" w:rsidP="008F22B3">
      <w:pPr>
        <w:rPr>
          <w:rFonts w:ascii="Simplified Arabic" w:hAnsi="Simplified Arabic" w:cs="Simplified Arabic"/>
        </w:rPr>
      </w:pPr>
      <w:r w:rsidRPr="009F4651">
        <w:rPr>
          <w:rFonts w:ascii="Simplified Arabic" w:eastAsia="Times New Roman" w:hAnsi="Simplified Arabic" w:cs="Simplified Arabic"/>
          <w:b/>
          <w:sz w:val="28"/>
        </w:rPr>
        <w:t>5. Theoretical Literature of the Study</w:t>
      </w:r>
    </w:p>
    <w:p w14:paraId="072B241E"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The theoretical foundation of this study is built upon the integration of Internet of Things (IoT) technologies, edge and cloud computing paradigms, machine learning theory, and privacy-preserving data analytics within the context of digital healthcare. These interrelated concepts form the basis for understanding how intelligent remote monitoring systems can support the continuous management of chronic diseases such as diabetes.</w:t>
      </w:r>
    </w:p>
    <w:p w14:paraId="1D1541BB"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Internet of Things in Healthcare</w:t>
      </w:r>
    </w:p>
    <w:p w14:paraId="53876A90"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IoT in healthcare refers to the use of interconnected sensing devices capable of collecting, transmitting, and </w:t>
      </w:r>
      <w:proofErr w:type="spellStart"/>
      <w:r w:rsidRPr="009F4651">
        <w:rPr>
          <w:rFonts w:ascii="Simplified Arabic" w:eastAsia="Times New Roman" w:hAnsi="Simplified Arabic" w:cs="Simplified Arabic"/>
          <w:sz w:val="24"/>
          <w:lang w:val="en-GB"/>
        </w:rPr>
        <w:t>analyzing</w:t>
      </w:r>
      <w:proofErr w:type="spellEnd"/>
      <w:r w:rsidRPr="009F4651">
        <w:rPr>
          <w:rFonts w:ascii="Simplified Arabic" w:eastAsia="Times New Roman" w:hAnsi="Simplified Arabic" w:cs="Simplified Arabic"/>
          <w:sz w:val="24"/>
          <w:lang w:val="en-GB"/>
        </w:rPr>
        <w:t xml:space="preserve"> physiological data in real time. Wearable IoT sensors enable continuous monitoring of vital signs such as blood glucose, oxygen saturation, heart rate, and body temperature, allowing healthcare providers to observe patient conditions beyond traditional clinical settings. Theoretical models of IoT-based healthcare emphasize real-time data acquisition, system interoperability, and reliability as key dimensions for effective patient monitoring. In the context of this study, IoT serves as the foundational layer that enables uninterrupted physiological data collection necessary for early detection of health deterioration.</w:t>
      </w:r>
    </w:p>
    <w:p w14:paraId="0D100908"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Edge–Cloud Computing Paradigm</w:t>
      </w:r>
    </w:p>
    <w:p w14:paraId="3B372EE7"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The edge–cloud computing model is a central theoretical framework supporting this research. Edge computing theory posits that data processing and inference performed closer to the data source reduce latency, bandwidth usage, and dependency on centralized cloud infrastructure. In healthcare applications, this paradigm is particularly relevant where timely responses are critical. Cloud computing complements edge processing by providing scalable resources for model aggregation, long-term analytics, and system optimization. This study applies the edge–cloud paradigm by deploying real-time inference models at the edge while leveraging cloud services for federated model coordination and performance enhancement.</w:t>
      </w:r>
    </w:p>
    <w:p w14:paraId="4F0F3A32"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Machine Learning for Time-Series Health Data</w:t>
      </w:r>
    </w:p>
    <w:p w14:paraId="163867AF"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lastRenderedPageBreak/>
        <w:t>Theoretical principles of machine learning for time-series analysis underpin the predictive component of this study. Deep learning architectures such as one-dimensional convolutional neural networks (1D-CNN) are effective in capturing local temporal patterns in physiological signals, while long short-term memory (LSTM) networks model long-range temporal dependencies and trends. The combination of CNN and LSTM architectures aligns with theoretical models for multivariate time-series classification and anomaly detection in healthcare. This hybrid approach enables the system to learn both short-term fluctuations and long-term physiological changes, which are essential for accurate health monitoring.</w:t>
      </w:r>
    </w:p>
    <w:p w14:paraId="0CEE5E0C"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Personalization and Adaptive Monitoring Theory</w:t>
      </w:r>
    </w:p>
    <w:p w14:paraId="2F9AB20D"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Personalized healthcare theory emphasizes tailoring monitoring and intervention strategies to individual patient characteristics rather than applying uniform thresholds. Statistical process control concepts, including z-score normalization and exponentially weighted moving averages (EWMA), support adaptive thresholding by accounting for individual baseline variability. In this study, these theories are applied to reduce false alarms and enhance clinical relevance, aligning system </w:t>
      </w:r>
      <w:proofErr w:type="spellStart"/>
      <w:r w:rsidRPr="009F4651">
        <w:rPr>
          <w:rFonts w:ascii="Simplified Arabic" w:eastAsia="Times New Roman" w:hAnsi="Simplified Arabic" w:cs="Simplified Arabic"/>
          <w:sz w:val="24"/>
          <w:lang w:val="en-GB"/>
        </w:rPr>
        <w:t>behavior</w:t>
      </w:r>
      <w:proofErr w:type="spellEnd"/>
      <w:r w:rsidRPr="009F4651">
        <w:rPr>
          <w:rFonts w:ascii="Simplified Arabic" w:eastAsia="Times New Roman" w:hAnsi="Simplified Arabic" w:cs="Simplified Arabic"/>
          <w:sz w:val="24"/>
          <w:lang w:val="en-GB"/>
        </w:rPr>
        <w:t xml:space="preserve"> with patient-specific physiological patterns.</w:t>
      </w:r>
    </w:p>
    <w:p w14:paraId="5CAD5F55"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Federated Learning and Privacy-Preserving Analytics</w:t>
      </w:r>
    </w:p>
    <w:p w14:paraId="022F2C14"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Federated learning theory provides a decentralized approach to model training, allowing multiple devices to collaboratively learn a shared model without exchanging raw data. This paradigm addresses critical privacy and security concerns in healthcare by ensuring that sensitive patient information remains localized. The study adopts federated learning as a theoretical mechanism to achieve model generalization across users while complying with ethical and regulatory requirements for data protection.</w:t>
      </w:r>
    </w:p>
    <w:p w14:paraId="66BAB9D4"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Explainable Artificial Intelligence in Clinical Decision Support</w:t>
      </w:r>
    </w:p>
    <w:p w14:paraId="2477ED8F"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 xml:space="preserve">Explainable artificial intelligence (XAI) theory highlights the importance of transparency and interpretability in AI-driven decision-making, especially in medical applications. Techniques such as </w:t>
      </w:r>
      <w:proofErr w:type="spellStart"/>
      <w:r w:rsidRPr="009F4651">
        <w:rPr>
          <w:rFonts w:ascii="Simplified Arabic" w:eastAsia="Times New Roman" w:hAnsi="Simplified Arabic" w:cs="Simplified Arabic"/>
          <w:sz w:val="24"/>
          <w:lang w:val="en-GB"/>
        </w:rPr>
        <w:t>SHapley</w:t>
      </w:r>
      <w:proofErr w:type="spellEnd"/>
      <w:r w:rsidRPr="009F4651">
        <w:rPr>
          <w:rFonts w:ascii="Simplified Arabic" w:eastAsia="Times New Roman" w:hAnsi="Simplified Arabic" w:cs="Simplified Arabic"/>
          <w:sz w:val="24"/>
          <w:lang w:val="en-GB"/>
        </w:rPr>
        <w:t xml:space="preserve"> Additive </w:t>
      </w:r>
      <w:proofErr w:type="spellStart"/>
      <w:r w:rsidRPr="009F4651">
        <w:rPr>
          <w:rFonts w:ascii="Simplified Arabic" w:eastAsia="Times New Roman" w:hAnsi="Simplified Arabic" w:cs="Simplified Arabic"/>
          <w:sz w:val="24"/>
          <w:lang w:val="en-GB"/>
        </w:rPr>
        <w:t>exPlanations</w:t>
      </w:r>
      <w:proofErr w:type="spellEnd"/>
      <w:r w:rsidRPr="009F4651">
        <w:rPr>
          <w:rFonts w:ascii="Simplified Arabic" w:eastAsia="Times New Roman" w:hAnsi="Simplified Arabic" w:cs="Simplified Arabic"/>
          <w:sz w:val="24"/>
          <w:lang w:val="en-GB"/>
        </w:rPr>
        <w:t xml:space="preserve"> (SHAP) provide insight into feature contributions and model reasoning. In this study, XAI principles are applied to enhance clinician trust and </w:t>
      </w:r>
      <w:r w:rsidRPr="009F4651">
        <w:rPr>
          <w:rFonts w:ascii="Simplified Arabic" w:eastAsia="Times New Roman" w:hAnsi="Simplified Arabic" w:cs="Simplified Arabic"/>
          <w:sz w:val="24"/>
          <w:lang w:val="en-GB"/>
        </w:rPr>
        <w:lastRenderedPageBreak/>
        <w:t>facilitate informed medical decisions by clearly explaining the factors influencing automated alerts.</w:t>
      </w:r>
    </w:p>
    <w:p w14:paraId="27E154E0" w14:textId="77777777" w:rsidR="009F4651" w:rsidRPr="009F4651" w:rsidRDefault="009F4651" w:rsidP="009F4651">
      <w:pPr>
        <w:rPr>
          <w:rFonts w:ascii="Simplified Arabic" w:eastAsia="Times New Roman" w:hAnsi="Simplified Arabic" w:cs="Simplified Arabic"/>
          <w:b/>
          <w:bCs/>
          <w:sz w:val="24"/>
          <w:lang w:val="en-GB"/>
        </w:rPr>
      </w:pPr>
      <w:r w:rsidRPr="009F4651">
        <w:rPr>
          <w:rFonts w:ascii="Simplified Arabic" w:eastAsia="Times New Roman" w:hAnsi="Simplified Arabic" w:cs="Simplified Arabic"/>
          <w:b/>
          <w:bCs/>
          <w:sz w:val="24"/>
          <w:lang w:val="en-GB"/>
        </w:rPr>
        <w:t>Theoretical Alignment with the Study</w:t>
      </w:r>
    </w:p>
    <w:p w14:paraId="0A81EB9F" w14:textId="77777777" w:rsidR="009F4651" w:rsidRPr="009F4651" w:rsidRDefault="009F4651" w:rsidP="009F4651">
      <w:pPr>
        <w:rPr>
          <w:rFonts w:ascii="Simplified Arabic" w:eastAsia="Times New Roman" w:hAnsi="Simplified Arabic" w:cs="Simplified Arabic"/>
          <w:sz w:val="24"/>
          <w:lang w:val="en-GB"/>
        </w:rPr>
      </w:pPr>
      <w:r w:rsidRPr="009F4651">
        <w:rPr>
          <w:rFonts w:ascii="Simplified Arabic" w:eastAsia="Times New Roman" w:hAnsi="Simplified Arabic" w:cs="Simplified Arabic"/>
          <w:sz w:val="24"/>
          <w:lang w:val="en-GB"/>
        </w:rPr>
        <w:t>By integrating IoT theory, edge–cloud computing, machine learning for time-series data, personalization models, federated learning, and explainable AI, this study establishes a comprehensive theoretical framework aligned with its objectives. These theoretical dimensions collectively support the hypothesis that intelligent, privacy-preserving, and personalized IoT-based monitoring systems can significantly improve the reliability and effectiveness of remote diabetic patient care during pandemics and in long-term disease management.</w:t>
      </w:r>
    </w:p>
    <w:p w14:paraId="7234B6B2" w14:textId="77777777" w:rsidR="008F22B3" w:rsidRPr="009F4651" w:rsidRDefault="008F22B3" w:rsidP="008F22B3">
      <w:pPr>
        <w:rPr>
          <w:lang w:val="en-GB"/>
        </w:rPr>
      </w:pPr>
    </w:p>
    <w:p w14:paraId="12BED7F6" w14:textId="11A496AA" w:rsidR="00590248" w:rsidRPr="008210FB" w:rsidRDefault="00000000" w:rsidP="008F22B3">
      <w:pPr>
        <w:rPr>
          <w:rFonts w:ascii="Simplified Arabic" w:hAnsi="Simplified Arabic" w:cs="Simplified Arabic"/>
        </w:rPr>
      </w:pPr>
      <w:r w:rsidRPr="008210FB">
        <w:rPr>
          <w:rFonts w:ascii="Simplified Arabic" w:eastAsia="Times New Roman" w:hAnsi="Simplified Arabic" w:cs="Simplified Arabic"/>
          <w:b/>
          <w:sz w:val="28"/>
        </w:rPr>
        <w:t>6. Review of Previous Studies</w:t>
      </w:r>
    </w:p>
    <w:p w14:paraId="5841EC43"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Recent research has extensively explored the use of Internet of Things (IoT) technologies for remote healthcare monitoring, particularly during the COVID-19 pandemic. Prior studies can be categorized into several thematic groups based on their methodological approaches, technological focus, and clinical objectives.</w:t>
      </w:r>
    </w:p>
    <w:p w14:paraId="7411A20D"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IoT-Based Rule-Based Monitoring Systems</w:t>
      </w:r>
    </w:p>
    <w:p w14:paraId="6382BE9D"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 xml:space="preserve">A significant portion of early IoT healthcare systems relied on rule-based alert mechanisms using predefined physiological thresholds. Alotaibi et al. (2021) developed a wrist-worn IoT system integrating continuous glucose monitoring and oxygen saturation sensors to support diabetic patients during COVID-19. Their system demonstrated reduced hospital visits and faster alert delivery; however, the use of static thresholds limited personalization and led to potential false alarms. Similarly, Singh and Verma (2020) implemented a </w:t>
      </w:r>
      <w:proofErr w:type="spellStart"/>
      <w:r w:rsidRPr="008210FB">
        <w:rPr>
          <w:rFonts w:ascii="Simplified Arabic" w:eastAsia="Times New Roman" w:hAnsi="Simplified Arabic" w:cs="Simplified Arabic"/>
          <w:sz w:val="24"/>
          <w:lang w:val="en-GB"/>
        </w:rPr>
        <w:t>LoRaWAN</w:t>
      </w:r>
      <w:proofErr w:type="spellEnd"/>
      <w:r w:rsidRPr="008210FB">
        <w:rPr>
          <w:rFonts w:ascii="Simplified Arabic" w:eastAsia="Times New Roman" w:hAnsi="Simplified Arabic" w:cs="Simplified Arabic"/>
          <w:sz w:val="24"/>
          <w:lang w:val="en-GB"/>
        </w:rPr>
        <w:t>-based remote monitoring platform for diabetic patients in quarantine, reporting improved glycaemic control and early symptom detection. Despite these benefits, the system lacked adaptive intelligence and individualized alert mechanisms.</w:t>
      </w:r>
    </w:p>
    <w:p w14:paraId="29D76A79"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lastRenderedPageBreak/>
        <w:t>Other studies, such as Patel et al. (2021) and El-Sayed and Abdelrahman (2022), also employed threshold-based anomaly detection to identify fever or abnormal glucose levels. While these approaches are simple and interpretable, they are inherently limited in handling inter-patient variability and dynamic physiological changes, particularly in real-world deployment scenarios.</w:t>
      </w:r>
    </w:p>
    <w:p w14:paraId="481C6AD7"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Machine Learning-Based IoT Monitoring Systems</w:t>
      </w:r>
    </w:p>
    <w:p w14:paraId="053B8D81"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 xml:space="preserve">More recent studies have incorporated machine learning techniques to enhance predictive accuracy and early detection capabilities. Chen et al. (2021) proposed an edge-based IoT system utilizing a one-dimensional convolutional neural network (1D-CNN) deployed on a Raspberry Pi for real-time health deterioration prediction. Their work demonstrated low inference latency and high accuracy; however, the evaluation relied on simulated or retrospective data, limiting real-world generalizability. Zhang et al. (2023) employed an </w:t>
      </w:r>
      <w:proofErr w:type="spellStart"/>
      <w:r w:rsidRPr="008210FB">
        <w:rPr>
          <w:rFonts w:ascii="Simplified Arabic" w:eastAsia="Times New Roman" w:hAnsi="Simplified Arabic" w:cs="Simplified Arabic"/>
          <w:sz w:val="24"/>
          <w:lang w:val="en-GB"/>
        </w:rPr>
        <w:t>XGBoost</w:t>
      </w:r>
      <w:proofErr w:type="spellEnd"/>
      <w:r w:rsidRPr="008210FB">
        <w:rPr>
          <w:rFonts w:ascii="Simplified Arabic" w:eastAsia="Times New Roman" w:hAnsi="Simplified Arabic" w:cs="Simplified Arabic"/>
          <w:sz w:val="24"/>
          <w:lang w:val="en-GB"/>
        </w:rPr>
        <w:t xml:space="preserve"> ensemble model with SHAP-based interpretability for COVID-19 severity stratification in diabetic patients using NB-IoT connectivity. Although the model achieved strong predictive performance, it was trained on retrospective datasets and lacked real-time edge deployment.</w:t>
      </w:r>
    </w:p>
    <w:p w14:paraId="58B047B5"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These machine learning-based systems highlight the potential of data-driven approaches in improving monitoring accuracy. Nevertheless, many studies focus on centralized cloud processing, which introduces latency and raises concerns regarding data privacy and security.</w:t>
      </w:r>
    </w:p>
    <w:p w14:paraId="7DBBCD48"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Data Quality, Privacy, and Connectivity-Oriented Studies</w:t>
      </w:r>
    </w:p>
    <w:p w14:paraId="28BF3DE4"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Several studies have addressed specific challenges related to data quality, privacy, and communication reliability. Hussain et al. (2022) integrated multimodal sensors with Kalman filter-based fusion to improve anomaly detection accuracy, though calibration and motion artifacts remained challenges. Ghosh and Patil (2021) explored blockchain-based IoT architectures to ensure data integrity and security, demonstrating strong resistance to data tampering but without incorporating predictive analytics.</w:t>
      </w:r>
    </w:p>
    <w:p w14:paraId="4BB61BAF"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lastRenderedPageBreak/>
        <w:t>Connectivity-focused studies, such as Lopez et al. (2022) and Smith and Alsharif (2022), evaluated NB-IoT and LTE technologies for remote health monitoring, reporting improved reliability in rural and resource-constrained environments. While these works address infrastructure-level challenges, they do not integrate intelligent alerting or personalized monitoring mechanisms.</w:t>
      </w:r>
    </w:p>
    <w:p w14:paraId="2450E9D5"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Human-</w:t>
      </w:r>
      <w:proofErr w:type="spellStart"/>
      <w:r w:rsidRPr="008210FB">
        <w:rPr>
          <w:rFonts w:ascii="Simplified Arabic" w:eastAsia="Times New Roman" w:hAnsi="Simplified Arabic" w:cs="Simplified Arabic"/>
          <w:b/>
          <w:bCs/>
          <w:sz w:val="24"/>
          <w:lang w:val="en-GB"/>
        </w:rPr>
        <w:t>Centered</w:t>
      </w:r>
      <w:proofErr w:type="spellEnd"/>
      <w:r w:rsidRPr="008210FB">
        <w:rPr>
          <w:rFonts w:ascii="Simplified Arabic" w:eastAsia="Times New Roman" w:hAnsi="Simplified Arabic" w:cs="Simplified Arabic"/>
          <w:b/>
          <w:bCs/>
          <w:sz w:val="24"/>
          <w:lang w:val="en-GB"/>
        </w:rPr>
        <w:t xml:space="preserve"> and Usability-Oriented Studies</w:t>
      </w:r>
    </w:p>
    <w:p w14:paraId="4F276160"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Research by Routh et al. (2020) and Ahmad et al. (2022) emphasized usability, patient engagement, and interface design in IoT healthcare systems. These studies reported high user satisfaction and improved self-monitoring adherence but lacked predictive intelligence and automated clinical decision support, limiting their effectiveness in early deterioration detection.</w:t>
      </w:r>
    </w:p>
    <w:p w14:paraId="34CF8747" w14:textId="77777777" w:rsidR="008210FB" w:rsidRPr="008210FB" w:rsidRDefault="008210FB" w:rsidP="008210FB">
      <w:pPr>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Research Gap and Motivation</w:t>
      </w:r>
    </w:p>
    <w:p w14:paraId="18857BBF"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Despite the progress demonstrated in prior studies, several critical gaps remain. First, many IoT-based monitoring systems continue to rely on static thresholds that do not adapt to individual patient baselines, leading to high false-alarm rates. Second, machine learning-based approaches often depend on centralized cloud processing and retrospective data, which limits real-time responsiveness and raises privacy concerns. Third, few studies provide comprehensive solutions that simultaneously address data quality, personalization, low-latency inference, privacy preservation, and clinical interpretability.</w:t>
      </w:r>
    </w:p>
    <w:p w14:paraId="53E916C4" w14:textId="77777777" w:rsidR="008210FB" w:rsidRPr="008210FB" w:rsidRDefault="008210FB" w:rsidP="008210FB">
      <w:pPr>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This study addresses these gaps by proposing a unified IoT-based monitoring framework that integrates edge-level deep learning, adaptive personalization, federated learning for privacy preservation, and explainable artificial intelligence. By combining these elements, the proposed approach advances beyond existing solutions and provides a more reliable, scalable, and clinically acceptable system for remote diabetic patient monitoring during pandemics and in long-term care settings.</w:t>
      </w:r>
    </w:p>
    <w:p w14:paraId="4CD61C18" w14:textId="77777777" w:rsidR="00590248" w:rsidRDefault="00000000">
      <w:r>
        <w:br w:type="page"/>
      </w:r>
    </w:p>
    <w:p w14:paraId="4D00A095" w14:textId="77777777" w:rsidR="00590248" w:rsidRPr="008210FB" w:rsidRDefault="00000000">
      <w:pPr>
        <w:spacing w:line="240" w:lineRule="auto"/>
        <w:rPr>
          <w:rFonts w:ascii="Simplified Arabic" w:hAnsi="Simplified Arabic" w:cs="Simplified Arabic"/>
        </w:rPr>
      </w:pPr>
      <w:r w:rsidRPr="008210FB">
        <w:rPr>
          <w:rFonts w:ascii="Simplified Arabic" w:eastAsia="Times New Roman" w:hAnsi="Simplified Arabic" w:cs="Simplified Arabic"/>
          <w:b/>
          <w:sz w:val="28"/>
        </w:rPr>
        <w:lastRenderedPageBreak/>
        <w:t>7. Methodology</w:t>
      </w:r>
    </w:p>
    <w:p w14:paraId="7629BC34"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7.1 Type of Study</w:t>
      </w:r>
    </w:p>
    <w:p w14:paraId="3A26130C"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This research adopts a quantitative, experimental, and design-oriented study approach. The study focuses on the design, implementation, and evaluation of an Internet of Things (IoT)-based remote monitoring system for diabetic patients. Experimental validation is conducted using multimodal physiological datasets representative of real-world diabetic monitoring scenarios, enabling objective performance assessment of the proposed system.</w:t>
      </w:r>
    </w:p>
    <w:p w14:paraId="61B58C73"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7.2 Research Methodology</w:t>
      </w:r>
    </w:p>
    <w:p w14:paraId="0CD9F07F"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 xml:space="preserve">The methodology follows a system-oriented and data-driven framework, integrating IoT architecture design with machine learning–based predictive </w:t>
      </w:r>
      <w:proofErr w:type="spellStart"/>
      <w:r w:rsidRPr="008210FB">
        <w:rPr>
          <w:rFonts w:ascii="Simplified Arabic" w:hAnsi="Simplified Arabic" w:cs="Simplified Arabic"/>
          <w:sz w:val="24"/>
          <w:szCs w:val="24"/>
          <w:lang w:val="en-GB"/>
        </w:rPr>
        <w:t>modeling</w:t>
      </w:r>
      <w:proofErr w:type="spellEnd"/>
      <w:r w:rsidRPr="008210FB">
        <w:rPr>
          <w:rFonts w:ascii="Simplified Arabic" w:hAnsi="Simplified Arabic" w:cs="Simplified Arabic"/>
          <w:sz w:val="24"/>
          <w:szCs w:val="24"/>
          <w:lang w:val="en-GB"/>
        </w:rPr>
        <w:t>. The study combines edge computing, cloud services, and privacy-preserving learning techniques to evaluate system effectiveness in terms of accuracy, latency, and reliability. A hybrid deep learning model based on one-dimensional convolutional neural networks (1D-CNN) and long short-term memory (LSTM) networks is employed for real-time health status prediction, while federated learning supports distributed model training without sharing raw patient data.</w:t>
      </w:r>
    </w:p>
    <w:p w14:paraId="1FEBEE03"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7.3 Study Boundaries</w:t>
      </w:r>
    </w:p>
    <w:p w14:paraId="3916B392"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The study is bounded by the following constraints:</w:t>
      </w:r>
    </w:p>
    <w:p w14:paraId="36F3B0A5" w14:textId="77777777" w:rsidR="008210FB" w:rsidRPr="008210FB" w:rsidRDefault="008210FB" w:rsidP="008210FB">
      <w:pPr>
        <w:numPr>
          <w:ilvl w:val="0"/>
          <w:numId w:val="11"/>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Physiological scope:</w:t>
      </w:r>
      <w:r w:rsidRPr="008210FB">
        <w:rPr>
          <w:rFonts w:ascii="Simplified Arabic" w:hAnsi="Simplified Arabic" w:cs="Simplified Arabic"/>
          <w:sz w:val="24"/>
          <w:szCs w:val="24"/>
          <w:lang w:val="en-GB"/>
        </w:rPr>
        <w:t xml:space="preserve"> The system focuses on monitoring four key physiological parameters relevant to diabetic patient deterioration: blood glucose level, blood oxygen saturation (SpO</w:t>
      </w:r>
      <w:r w:rsidRPr="008210FB">
        <w:rPr>
          <w:rFonts w:ascii="Cambria Math" w:hAnsi="Cambria Math" w:cs="Cambria Math"/>
          <w:sz w:val="24"/>
          <w:szCs w:val="24"/>
          <w:lang w:val="en-GB"/>
        </w:rPr>
        <w:t>₂</w:t>
      </w:r>
      <w:r w:rsidRPr="008210FB">
        <w:rPr>
          <w:rFonts w:ascii="Simplified Arabic" w:hAnsi="Simplified Arabic" w:cs="Simplified Arabic"/>
          <w:sz w:val="24"/>
          <w:szCs w:val="24"/>
          <w:lang w:val="en-GB"/>
        </w:rPr>
        <w:t>), heart rate, and body temperature.</w:t>
      </w:r>
    </w:p>
    <w:p w14:paraId="3DCC8428" w14:textId="77777777" w:rsidR="008210FB" w:rsidRPr="008210FB" w:rsidRDefault="008210FB" w:rsidP="008210FB">
      <w:pPr>
        <w:numPr>
          <w:ilvl w:val="0"/>
          <w:numId w:val="11"/>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Application scope:</w:t>
      </w:r>
      <w:r w:rsidRPr="008210FB">
        <w:rPr>
          <w:rFonts w:ascii="Simplified Arabic" w:hAnsi="Simplified Arabic" w:cs="Simplified Arabic"/>
          <w:sz w:val="24"/>
          <w:szCs w:val="24"/>
          <w:lang w:val="en-GB"/>
        </w:rPr>
        <w:t xml:space="preserve"> The proposed framework is evaluated in a remote </w:t>
      </w:r>
      <w:proofErr w:type="gramStart"/>
      <w:r w:rsidRPr="008210FB">
        <w:rPr>
          <w:rFonts w:ascii="Simplified Arabic" w:hAnsi="Simplified Arabic" w:cs="Simplified Arabic"/>
          <w:sz w:val="24"/>
          <w:szCs w:val="24"/>
          <w:lang w:val="en-GB"/>
        </w:rPr>
        <w:t>home-care</w:t>
      </w:r>
      <w:proofErr w:type="gramEnd"/>
      <w:r w:rsidRPr="008210FB">
        <w:rPr>
          <w:rFonts w:ascii="Simplified Arabic" w:hAnsi="Simplified Arabic" w:cs="Simplified Arabic"/>
          <w:sz w:val="24"/>
          <w:szCs w:val="24"/>
          <w:lang w:val="en-GB"/>
        </w:rPr>
        <w:t xml:space="preserve"> and telehealth context, particularly relevant during and after the COVID-19 pandemic.</w:t>
      </w:r>
    </w:p>
    <w:p w14:paraId="69F6C0AE" w14:textId="77777777" w:rsidR="008210FB" w:rsidRPr="008210FB" w:rsidRDefault="008210FB" w:rsidP="008210FB">
      <w:pPr>
        <w:numPr>
          <w:ilvl w:val="0"/>
          <w:numId w:val="11"/>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Technical scope:</w:t>
      </w:r>
      <w:r w:rsidRPr="008210FB">
        <w:rPr>
          <w:rFonts w:ascii="Simplified Arabic" w:hAnsi="Simplified Arabic" w:cs="Simplified Arabic"/>
          <w:sz w:val="24"/>
          <w:szCs w:val="24"/>
          <w:lang w:val="en-GB"/>
        </w:rPr>
        <w:t xml:space="preserve"> Evaluation is conducted using edge-device simulations and cloud-based aggregation, without direct deployment in live clinical environments.</w:t>
      </w:r>
    </w:p>
    <w:p w14:paraId="3A4ABE5C" w14:textId="77777777" w:rsidR="008210FB" w:rsidRPr="008210FB" w:rsidRDefault="008210FB" w:rsidP="008210FB">
      <w:pPr>
        <w:numPr>
          <w:ilvl w:val="0"/>
          <w:numId w:val="11"/>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lastRenderedPageBreak/>
        <w:t>Data scope:</w:t>
      </w:r>
      <w:r w:rsidRPr="008210FB">
        <w:rPr>
          <w:rFonts w:ascii="Simplified Arabic" w:hAnsi="Simplified Arabic" w:cs="Simplified Arabic"/>
          <w:sz w:val="24"/>
          <w:szCs w:val="24"/>
          <w:lang w:val="en-GB"/>
        </w:rPr>
        <w:t xml:space="preserve"> The study relies on de-identified multimodal physiological datasets and does not include direct patient recruitment.</w:t>
      </w:r>
    </w:p>
    <w:p w14:paraId="60759F85"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7.4 Study Population and Sample</w:t>
      </w:r>
    </w:p>
    <w:p w14:paraId="1B7591D4"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 xml:space="preserve">The study population represents adult patients with diabetes (Type 1 and Type 2) who require continuous physiological monitoring. The experimental sample is derived from the GE-71 multimodal physiological dataset and supplementary de-identified clinical data, comprising recordings from approximately 25 to 40 adult diabetic subjects. These data reflect realistic variations in physiological </w:t>
      </w:r>
      <w:proofErr w:type="spellStart"/>
      <w:r w:rsidRPr="008210FB">
        <w:rPr>
          <w:rFonts w:ascii="Simplified Arabic" w:hAnsi="Simplified Arabic" w:cs="Simplified Arabic"/>
          <w:sz w:val="24"/>
          <w:szCs w:val="24"/>
          <w:lang w:val="en-GB"/>
        </w:rPr>
        <w:t>behavior</w:t>
      </w:r>
      <w:proofErr w:type="spellEnd"/>
      <w:r w:rsidRPr="008210FB">
        <w:rPr>
          <w:rFonts w:ascii="Simplified Arabic" w:hAnsi="Simplified Arabic" w:cs="Simplified Arabic"/>
          <w:sz w:val="24"/>
          <w:szCs w:val="24"/>
          <w:lang w:val="en-GB"/>
        </w:rPr>
        <w:t xml:space="preserve"> and sensor-generated signals relevant to diabetic monitoring. Data splitting is performed at the subject level to avoid data leakage, ensuring proper separation between training, validation, and testing sets.</w:t>
      </w:r>
    </w:p>
    <w:p w14:paraId="086823B2"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7.5 Study Tools and Instruments</w:t>
      </w:r>
    </w:p>
    <w:p w14:paraId="1E2E278D"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The primary study tools include:</w:t>
      </w:r>
    </w:p>
    <w:p w14:paraId="6BB0156D"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IoT sensing tools:</w:t>
      </w:r>
      <w:r w:rsidRPr="008210FB">
        <w:rPr>
          <w:rFonts w:ascii="Simplified Arabic" w:hAnsi="Simplified Arabic" w:cs="Simplified Arabic"/>
          <w:sz w:val="24"/>
          <w:szCs w:val="24"/>
          <w:lang w:val="en-GB"/>
        </w:rPr>
        <w:t xml:space="preserve"> Continuous glucose monitors, pulse oximeters, heart rate sensors, and temperature sensors.</w:t>
      </w:r>
    </w:p>
    <w:p w14:paraId="5D32E231"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Edge computing platform:</w:t>
      </w:r>
      <w:r w:rsidRPr="008210FB">
        <w:rPr>
          <w:rFonts w:ascii="Simplified Arabic" w:hAnsi="Simplified Arabic" w:cs="Simplified Arabic"/>
          <w:sz w:val="24"/>
          <w:szCs w:val="24"/>
          <w:lang w:val="en-GB"/>
        </w:rPr>
        <w:t xml:space="preserve"> Lightweight edge devices simulating home-based monitoring environments.</w:t>
      </w:r>
    </w:p>
    <w:p w14:paraId="041C6BB7"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Software tools:</w:t>
      </w:r>
      <w:r w:rsidRPr="008210FB">
        <w:rPr>
          <w:rFonts w:ascii="Simplified Arabic" w:hAnsi="Simplified Arabic" w:cs="Simplified Arabic"/>
          <w:sz w:val="24"/>
          <w:szCs w:val="24"/>
          <w:lang w:val="en-GB"/>
        </w:rPr>
        <w:t xml:space="preserve"> Python-based data processing pipelines, deep learning frameworks, and federated learning modules.</w:t>
      </w:r>
    </w:p>
    <w:p w14:paraId="515CECE6"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Machine learning models:</w:t>
      </w:r>
      <w:r w:rsidRPr="008210FB">
        <w:rPr>
          <w:rFonts w:ascii="Simplified Arabic" w:hAnsi="Simplified Arabic" w:cs="Simplified Arabic"/>
          <w:sz w:val="24"/>
          <w:szCs w:val="24"/>
          <w:lang w:val="en-GB"/>
        </w:rPr>
        <w:t xml:space="preserve"> A hybrid 1D-CNN–LSTM model for time-series analysis, autoencoder-based anomaly detection, and an </w:t>
      </w:r>
      <w:proofErr w:type="spellStart"/>
      <w:r w:rsidRPr="008210FB">
        <w:rPr>
          <w:rFonts w:ascii="Simplified Arabic" w:hAnsi="Simplified Arabic" w:cs="Simplified Arabic"/>
          <w:sz w:val="24"/>
          <w:szCs w:val="24"/>
          <w:lang w:val="en-GB"/>
        </w:rPr>
        <w:t>XGBoost</w:t>
      </w:r>
      <w:proofErr w:type="spellEnd"/>
      <w:r w:rsidRPr="008210FB">
        <w:rPr>
          <w:rFonts w:ascii="Simplified Arabic" w:hAnsi="Simplified Arabic" w:cs="Simplified Arabic"/>
          <w:sz w:val="24"/>
          <w:szCs w:val="24"/>
          <w:lang w:val="en-GB"/>
        </w:rPr>
        <w:t xml:space="preserve"> ensemble model for cloud-level aggregation.</w:t>
      </w:r>
    </w:p>
    <w:p w14:paraId="74F90DD7" w14:textId="77777777" w:rsidR="008210FB" w:rsidRPr="008210FB" w:rsidRDefault="008210FB" w:rsidP="008210FB">
      <w:pPr>
        <w:numPr>
          <w:ilvl w:val="0"/>
          <w:numId w:val="12"/>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Explainability tools:</w:t>
      </w:r>
      <w:r w:rsidRPr="008210FB">
        <w:rPr>
          <w:rFonts w:ascii="Simplified Arabic" w:hAnsi="Simplified Arabic" w:cs="Simplified Arabic"/>
          <w:sz w:val="24"/>
          <w:szCs w:val="24"/>
          <w:lang w:val="en-GB"/>
        </w:rPr>
        <w:t xml:space="preserve"> </w:t>
      </w:r>
      <w:proofErr w:type="spellStart"/>
      <w:r w:rsidRPr="008210FB">
        <w:rPr>
          <w:rFonts w:ascii="Simplified Arabic" w:hAnsi="Simplified Arabic" w:cs="Simplified Arabic"/>
          <w:sz w:val="24"/>
          <w:szCs w:val="24"/>
          <w:lang w:val="en-GB"/>
        </w:rPr>
        <w:t>SHapley</w:t>
      </w:r>
      <w:proofErr w:type="spellEnd"/>
      <w:r w:rsidRPr="008210FB">
        <w:rPr>
          <w:rFonts w:ascii="Simplified Arabic" w:hAnsi="Simplified Arabic" w:cs="Simplified Arabic"/>
          <w:sz w:val="24"/>
          <w:szCs w:val="24"/>
          <w:lang w:val="en-GB"/>
        </w:rPr>
        <w:t xml:space="preserve"> Additive </w:t>
      </w:r>
      <w:proofErr w:type="spellStart"/>
      <w:r w:rsidRPr="008210FB">
        <w:rPr>
          <w:rFonts w:ascii="Simplified Arabic" w:hAnsi="Simplified Arabic" w:cs="Simplified Arabic"/>
          <w:sz w:val="24"/>
          <w:szCs w:val="24"/>
          <w:lang w:val="en-GB"/>
        </w:rPr>
        <w:t>exPlanations</w:t>
      </w:r>
      <w:proofErr w:type="spellEnd"/>
      <w:r w:rsidRPr="008210FB">
        <w:rPr>
          <w:rFonts w:ascii="Simplified Arabic" w:hAnsi="Simplified Arabic" w:cs="Simplified Arabic"/>
          <w:sz w:val="24"/>
          <w:szCs w:val="24"/>
          <w:lang w:val="en-GB"/>
        </w:rPr>
        <w:t xml:space="preserve"> (SHAP) for model interpretability.</w:t>
      </w:r>
    </w:p>
    <w:p w14:paraId="48C1A477" w14:textId="77777777" w:rsidR="0091250C" w:rsidRDefault="0091250C" w:rsidP="008210FB">
      <w:pPr>
        <w:rPr>
          <w:rFonts w:ascii="Simplified Arabic" w:hAnsi="Simplified Arabic" w:cs="Simplified Arabic"/>
          <w:b/>
          <w:bCs/>
          <w:sz w:val="24"/>
          <w:szCs w:val="24"/>
          <w:lang w:val="en-GB"/>
        </w:rPr>
      </w:pPr>
    </w:p>
    <w:p w14:paraId="739AE5BD" w14:textId="77777777" w:rsidR="0091250C" w:rsidRDefault="0091250C" w:rsidP="008210FB">
      <w:pPr>
        <w:rPr>
          <w:rFonts w:ascii="Simplified Arabic" w:hAnsi="Simplified Arabic" w:cs="Simplified Arabic"/>
          <w:b/>
          <w:bCs/>
          <w:sz w:val="24"/>
          <w:szCs w:val="24"/>
          <w:lang w:val="en-GB"/>
        </w:rPr>
      </w:pPr>
    </w:p>
    <w:p w14:paraId="1194EC97" w14:textId="47CF37C2"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lastRenderedPageBreak/>
        <w:t>7.6 Data Collection and Procedures</w:t>
      </w:r>
    </w:p>
    <w:p w14:paraId="19451D85"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 xml:space="preserve">Data collection follows a structured pipeline beginning with the acquisition of multimodal physiological signals. The collected signals undergo timestamp alignment and resampling to a uniform temporal resolution. Noise reduction is performed using Kalman filtering and median smoothing, while missing values are handled using K-nearest </w:t>
      </w:r>
      <w:proofErr w:type="spellStart"/>
      <w:r w:rsidRPr="008210FB">
        <w:rPr>
          <w:rFonts w:ascii="Simplified Arabic" w:hAnsi="Simplified Arabic" w:cs="Simplified Arabic"/>
          <w:sz w:val="24"/>
          <w:szCs w:val="24"/>
          <w:lang w:val="en-GB"/>
        </w:rPr>
        <w:t>neighbors</w:t>
      </w:r>
      <w:proofErr w:type="spellEnd"/>
      <w:r w:rsidRPr="008210FB">
        <w:rPr>
          <w:rFonts w:ascii="Simplified Arabic" w:hAnsi="Simplified Arabic" w:cs="Simplified Arabic"/>
          <w:sz w:val="24"/>
          <w:szCs w:val="24"/>
          <w:lang w:val="en-GB"/>
        </w:rPr>
        <w:t xml:space="preserve"> (KNN) imputation. Feature extraction is conducted using sliding-window techniques to generate statistical and temporal indicators.</w:t>
      </w:r>
    </w:p>
    <w:p w14:paraId="0B8A47CB"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The processed data are then fed into the edge-level deep learning model for real-time inference. Model updates are periodically coordinated through a federated learning framework, where encrypted model parameters are aggregated at the cloud level. Explainable AI mechanisms are applied to generate interpretable alerts for clinical decision support.</w:t>
      </w:r>
    </w:p>
    <w:p w14:paraId="52F0ED5E" w14:textId="77777777"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t>7.7 Measures and Evaluation Metrics</w:t>
      </w:r>
    </w:p>
    <w:p w14:paraId="7FCF18F2"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System performance is evaluated using quantitative measures, including:</w:t>
      </w:r>
    </w:p>
    <w:p w14:paraId="46FCE809" w14:textId="77777777" w:rsidR="008210FB" w:rsidRPr="008210FB" w:rsidRDefault="008210FB" w:rsidP="008210FB">
      <w:pPr>
        <w:numPr>
          <w:ilvl w:val="0"/>
          <w:numId w:val="13"/>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Predictive performance:</w:t>
      </w:r>
      <w:r w:rsidRPr="008210FB">
        <w:rPr>
          <w:rFonts w:ascii="Simplified Arabic" w:hAnsi="Simplified Arabic" w:cs="Simplified Arabic"/>
          <w:sz w:val="24"/>
          <w:szCs w:val="24"/>
          <w:lang w:val="en-GB"/>
        </w:rPr>
        <w:t xml:space="preserve"> Area Under the Receiver Operating Characteristic Curve (AUROC) and Area Under the Precision–Recall Curve (AUPRC).</w:t>
      </w:r>
    </w:p>
    <w:p w14:paraId="6F5E7F4D" w14:textId="77777777" w:rsidR="008210FB" w:rsidRPr="008210FB" w:rsidRDefault="008210FB" w:rsidP="008210FB">
      <w:pPr>
        <w:numPr>
          <w:ilvl w:val="0"/>
          <w:numId w:val="13"/>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Operational efficiency:</w:t>
      </w:r>
      <w:r w:rsidRPr="008210FB">
        <w:rPr>
          <w:rFonts w:ascii="Simplified Arabic" w:hAnsi="Simplified Arabic" w:cs="Simplified Arabic"/>
          <w:sz w:val="24"/>
          <w:szCs w:val="24"/>
          <w:lang w:val="en-GB"/>
        </w:rPr>
        <w:t xml:space="preserve"> Inference latency measured at the edge, with a target of less than 100 milliseconds.</w:t>
      </w:r>
    </w:p>
    <w:p w14:paraId="1746AB9B" w14:textId="77777777" w:rsidR="008210FB" w:rsidRPr="008210FB" w:rsidRDefault="008210FB" w:rsidP="008210FB">
      <w:pPr>
        <w:numPr>
          <w:ilvl w:val="0"/>
          <w:numId w:val="13"/>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Alert reliability:</w:t>
      </w:r>
      <w:r w:rsidRPr="008210FB">
        <w:rPr>
          <w:rFonts w:ascii="Simplified Arabic" w:hAnsi="Simplified Arabic" w:cs="Simplified Arabic"/>
          <w:sz w:val="24"/>
          <w:szCs w:val="24"/>
          <w:lang w:val="en-GB"/>
        </w:rPr>
        <w:t xml:space="preserve"> False-alarm rate calculated as the number of incorrect alerts per patient-day.</w:t>
      </w:r>
    </w:p>
    <w:p w14:paraId="0D320BE3" w14:textId="77777777" w:rsidR="008210FB" w:rsidRPr="008210FB" w:rsidRDefault="008210FB" w:rsidP="008210FB">
      <w:pPr>
        <w:numPr>
          <w:ilvl w:val="0"/>
          <w:numId w:val="13"/>
        </w:numPr>
        <w:rPr>
          <w:rFonts w:ascii="Simplified Arabic" w:hAnsi="Simplified Arabic" w:cs="Simplified Arabic"/>
          <w:sz w:val="24"/>
          <w:szCs w:val="24"/>
          <w:lang w:val="en-GB"/>
        </w:rPr>
      </w:pPr>
      <w:r w:rsidRPr="008210FB">
        <w:rPr>
          <w:rFonts w:ascii="Simplified Arabic" w:hAnsi="Simplified Arabic" w:cs="Simplified Arabic"/>
          <w:b/>
          <w:bCs/>
          <w:sz w:val="24"/>
          <w:szCs w:val="24"/>
          <w:lang w:val="en-GB"/>
        </w:rPr>
        <w:t>Early detection capability:</w:t>
      </w:r>
      <w:r w:rsidRPr="008210FB">
        <w:rPr>
          <w:rFonts w:ascii="Simplified Arabic" w:hAnsi="Simplified Arabic" w:cs="Simplified Arabic"/>
          <w:sz w:val="24"/>
          <w:szCs w:val="24"/>
          <w:lang w:val="en-GB"/>
        </w:rPr>
        <w:t xml:space="preserve"> Time-to-event lead time compared to annotated physiological events.</w:t>
      </w:r>
    </w:p>
    <w:p w14:paraId="53FECE3E"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These metrics are selected to reflect both technical accuracy and clinical usability.</w:t>
      </w:r>
    </w:p>
    <w:p w14:paraId="4E22822B" w14:textId="77777777" w:rsidR="00DD65E1" w:rsidRDefault="00DD65E1" w:rsidP="008210FB">
      <w:pPr>
        <w:rPr>
          <w:rFonts w:ascii="Simplified Arabic" w:hAnsi="Simplified Arabic" w:cs="Simplified Arabic"/>
          <w:b/>
          <w:bCs/>
          <w:sz w:val="24"/>
          <w:szCs w:val="24"/>
          <w:lang w:val="en-GB"/>
        </w:rPr>
      </w:pPr>
    </w:p>
    <w:p w14:paraId="22DB68EF" w14:textId="77777777" w:rsidR="00DD65E1" w:rsidRDefault="00DD65E1" w:rsidP="008210FB">
      <w:pPr>
        <w:rPr>
          <w:rFonts w:ascii="Simplified Arabic" w:hAnsi="Simplified Arabic" w:cs="Simplified Arabic"/>
          <w:b/>
          <w:bCs/>
          <w:sz w:val="24"/>
          <w:szCs w:val="24"/>
          <w:lang w:val="en-GB"/>
        </w:rPr>
      </w:pPr>
    </w:p>
    <w:p w14:paraId="713B0500" w14:textId="1CE89CFD" w:rsidR="008210FB" w:rsidRPr="008210FB" w:rsidRDefault="008210FB" w:rsidP="008210FB">
      <w:pPr>
        <w:rPr>
          <w:rFonts w:ascii="Simplified Arabic" w:hAnsi="Simplified Arabic" w:cs="Simplified Arabic"/>
          <w:b/>
          <w:bCs/>
          <w:sz w:val="24"/>
          <w:szCs w:val="24"/>
          <w:lang w:val="en-GB"/>
        </w:rPr>
      </w:pPr>
      <w:r w:rsidRPr="008210FB">
        <w:rPr>
          <w:rFonts w:ascii="Simplified Arabic" w:hAnsi="Simplified Arabic" w:cs="Simplified Arabic"/>
          <w:b/>
          <w:bCs/>
          <w:sz w:val="24"/>
          <w:szCs w:val="24"/>
          <w:lang w:val="en-GB"/>
        </w:rPr>
        <w:lastRenderedPageBreak/>
        <w:t>7.8 Validity and Reliability</w:t>
      </w:r>
    </w:p>
    <w:p w14:paraId="003BC119"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 xml:space="preserve">To ensure internal validity, consistent preprocessing procedures and standardized evaluation protocols are applied across all experiments. Subject-level data splitting prevents information leakage between training and testing phases. </w:t>
      </w:r>
      <w:r w:rsidRPr="008210FB">
        <w:rPr>
          <w:rFonts w:ascii="Simplified Arabic" w:hAnsi="Simplified Arabic" w:cs="Simplified Arabic"/>
          <w:b/>
          <w:bCs/>
          <w:sz w:val="24"/>
          <w:szCs w:val="24"/>
          <w:lang w:val="en-GB"/>
        </w:rPr>
        <w:t>Reliability</w:t>
      </w:r>
      <w:r w:rsidRPr="008210FB">
        <w:rPr>
          <w:rFonts w:ascii="Simplified Arabic" w:hAnsi="Simplified Arabic" w:cs="Simplified Arabic"/>
          <w:sz w:val="24"/>
          <w:szCs w:val="24"/>
          <w:lang w:val="en-GB"/>
        </w:rPr>
        <w:t xml:space="preserve"> is assessed by repeating experiments across multiple runs and validating performance stability under varying noise and data-loss conditions. The use of multimodal data and ensemble </w:t>
      </w:r>
      <w:proofErr w:type="spellStart"/>
      <w:r w:rsidRPr="008210FB">
        <w:rPr>
          <w:rFonts w:ascii="Simplified Arabic" w:hAnsi="Simplified Arabic" w:cs="Simplified Arabic"/>
          <w:sz w:val="24"/>
          <w:szCs w:val="24"/>
          <w:lang w:val="en-GB"/>
        </w:rPr>
        <w:t>modeling</w:t>
      </w:r>
      <w:proofErr w:type="spellEnd"/>
      <w:r w:rsidRPr="008210FB">
        <w:rPr>
          <w:rFonts w:ascii="Simplified Arabic" w:hAnsi="Simplified Arabic" w:cs="Simplified Arabic"/>
          <w:sz w:val="24"/>
          <w:szCs w:val="24"/>
          <w:lang w:val="en-GB"/>
        </w:rPr>
        <w:t xml:space="preserve"> further enhances robustness and reduces dependence on individual sensor reliability.</w:t>
      </w:r>
    </w:p>
    <w:p w14:paraId="0F6B855F" w14:textId="77777777" w:rsidR="008210FB" w:rsidRPr="008210FB" w:rsidRDefault="008210FB" w:rsidP="008210FB">
      <w:pPr>
        <w:rPr>
          <w:rFonts w:ascii="Simplified Arabic" w:hAnsi="Simplified Arabic" w:cs="Simplified Arabic"/>
          <w:sz w:val="24"/>
          <w:szCs w:val="24"/>
          <w:lang w:val="en-GB"/>
        </w:rPr>
      </w:pPr>
      <w:r w:rsidRPr="008210FB">
        <w:rPr>
          <w:rFonts w:ascii="Simplified Arabic" w:hAnsi="Simplified Arabic" w:cs="Simplified Arabic"/>
          <w:sz w:val="24"/>
          <w:szCs w:val="24"/>
          <w:lang w:val="en-GB"/>
        </w:rPr>
        <w:t>Overall, the methodological framework ensures that the proposed system is rigorously evaluated, reproducible, and aligned with the study objectives, supporting reliable conclusions regarding its applicability for remote diabetic patient monitoring.</w:t>
      </w:r>
    </w:p>
    <w:p w14:paraId="28F11771" w14:textId="77777777" w:rsidR="008F22B3" w:rsidRPr="008210FB" w:rsidRDefault="008F22B3" w:rsidP="008F22B3">
      <w:pPr>
        <w:rPr>
          <w:lang w:val="en-GB"/>
        </w:rPr>
      </w:pPr>
    </w:p>
    <w:p w14:paraId="0744B65E" w14:textId="77777777" w:rsidR="008F22B3" w:rsidRDefault="008F22B3" w:rsidP="008F22B3">
      <w:pPr>
        <w:rPr>
          <w:rFonts w:ascii="Times New Roman" w:eastAsia="Times New Roman" w:hAnsi="Times New Roman"/>
          <w:b/>
          <w:sz w:val="28"/>
        </w:rPr>
      </w:pPr>
    </w:p>
    <w:p w14:paraId="78649D00" w14:textId="522241D7" w:rsidR="00590248" w:rsidRPr="008210FB" w:rsidRDefault="00000000" w:rsidP="008F22B3">
      <w:pPr>
        <w:rPr>
          <w:rFonts w:ascii="Simplified Arabic" w:hAnsi="Simplified Arabic" w:cs="Simplified Arabic"/>
        </w:rPr>
      </w:pPr>
      <w:r w:rsidRPr="008210FB">
        <w:rPr>
          <w:rFonts w:ascii="Simplified Arabic" w:eastAsia="Times New Roman" w:hAnsi="Simplified Arabic" w:cs="Simplified Arabic"/>
          <w:b/>
          <w:sz w:val="28"/>
        </w:rPr>
        <w:t>8. Results</w:t>
      </w:r>
    </w:p>
    <w:p w14:paraId="1694C3AF" w14:textId="77777777" w:rsidR="008210FB" w:rsidRPr="001D2DCC" w:rsidRDefault="008F22B3" w:rsidP="008210FB">
      <w:pPr>
        <w:spacing w:line="240" w:lineRule="auto"/>
        <w:rPr>
          <w:rFonts w:ascii="Simplified Arabic" w:eastAsia="Times New Roman" w:hAnsi="Simplified Arabic" w:cs="Simplified Arabic"/>
          <w:lang w:val="en-GB"/>
        </w:rPr>
      </w:pPr>
      <w:r w:rsidRPr="001D2DCC">
        <w:rPr>
          <w:rFonts w:ascii="Simplified Arabic" w:eastAsia="Times New Roman" w:hAnsi="Simplified Arabic" w:cs="Simplified Arabic"/>
          <w:sz w:val="24"/>
        </w:rPr>
        <w:t xml:space="preserve">   </w:t>
      </w:r>
      <w:r w:rsidR="008210FB" w:rsidRPr="001D2DCC">
        <w:rPr>
          <w:rFonts w:ascii="Simplified Arabic" w:eastAsia="Times New Roman" w:hAnsi="Simplified Arabic" w:cs="Simplified Arabic"/>
          <w:lang w:val="en-GB"/>
        </w:rPr>
        <w:t>This section presents the experimental results of the proposed IoT-based remote monitoring system for diabetic patients. The results address the study objectives and evaluate whether the proposed framework improves predictive accuracy, reduces false-alarm rates, and achieves real-time performance compared to traditional rule-based monitoring systems.</w:t>
      </w:r>
    </w:p>
    <w:p w14:paraId="6423CE63"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evaluation was conducted using multimodal physiological data, including continuous glucose monitoring, blood oxygen saturation (SpO</w:t>
      </w:r>
      <w:r w:rsidRPr="008210FB">
        <w:rPr>
          <w:rFonts w:ascii="Cambria Math" w:eastAsia="Times New Roman" w:hAnsi="Cambria Math" w:cs="Cambria Math"/>
          <w:sz w:val="24"/>
          <w:lang w:val="en-GB"/>
        </w:rPr>
        <w:t>₂</w:t>
      </w:r>
      <w:r w:rsidRPr="008210FB">
        <w:rPr>
          <w:rFonts w:ascii="Simplified Arabic" w:eastAsia="Times New Roman" w:hAnsi="Simplified Arabic" w:cs="Simplified Arabic"/>
          <w:sz w:val="24"/>
          <w:lang w:val="en-GB"/>
        </w:rPr>
        <w:t>), heart rate, and body temperature. Performance was assessed using standardized quantitative metrics to ensure scientific validity and reproducibility.</w:t>
      </w:r>
    </w:p>
    <w:p w14:paraId="4CB1A68C" w14:textId="77777777" w:rsidR="008210FB" w:rsidRPr="008210FB" w:rsidRDefault="00000000" w:rsidP="008210FB">
      <w:pPr>
        <w:spacing w:line="240" w:lineRule="auto"/>
        <w:rPr>
          <w:rFonts w:ascii="Simplified Arabic" w:eastAsia="Times New Roman" w:hAnsi="Simplified Arabic" w:cs="Simplified Arabic"/>
          <w:sz w:val="24"/>
          <w:lang w:val="en-GB"/>
        </w:rPr>
      </w:pPr>
      <w:r>
        <w:rPr>
          <w:rFonts w:ascii="Simplified Arabic" w:eastAsia="Times New Roman" w:hAnsi="Simplified Arabic" w:cs="Simplified Arabic"/>
          <w:sz w:val="24"/>
          <w:lang w:val="en-GB"/>
        </w:rPr>
        <w:pict w14:anchorId="0B012ED5">
          <v:rect id="_x0000_i1025" style="width:0;height:1.5pt" o:hralign="center" o:hrstd="t" o:hr="t" fillcolor="#a0a0a0" stroked="f"/>
        </w:pict>
      </w:r>
    </w:p>
    <w:p w14:paraId="564F28FE"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8.1 Predictive Performance of the Edge Deep Learning Model</w:t>
      </w:r>
    </w:p>
    <w:p w14:paraId="35E473D6"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first objective of the study was to determine whether the proposed edge-deployed hybrid 1D-CNN–LSTM model could accurately detect abnormal physiological patterns. Table (1) presents the predictive performance of the edge model using AUROC and AUPRC metrics.</w:t>
      </w:r>
    </w:p>
    <w:tbl>
      <w:tblPr>
        <w:tblpPr w:leftFromText="180" w:rightFromText="180" w:vertAnchor="text" w:horzAnchor="margin" w:tblpY="279"/>
        <w:tblOverlap w:val="never"/>
        <w:tblW w:w="9270" w:type="dxa"/>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7"/>
        <w:gridCol w:w="6393"/>
      </w:tblGrid>
      <w:tr w:rsidR="001D2DCC" w:rsidRPr="001D2DCC" w14:paraId="123672E0" w14:textId="77777777" w:rsidTr="001D2DCC">
        <w:trPr>
          <w:tblHeader/>
          <w:tblCellSpacing w:w="15" w:type="dxa"/>
        </w:trPr>
        <w:tc>
          <w:tcPr>
            <w:tcW w:w="2832" w:type="dxa"/>
            <w:vAlign w:val="center"/>
            <w:hideMark/>
          </w:tcPr>
          <w:p w14:paraId="312CB43B" w14:textId="77777777" w:rsidR="001D2DCC" w:rsidRPr="001D2DCC" w:rsidRDefault="001D2DCC" w:rsidP="001D2DCC">
            <w:pPr>
              <w:spacing w:after="0" w:line="240" w:lineRule="auto"/>
              <w:jc w:val="center"/>
              <w:rPr>
                <w:rFonts w:ascii="Times New Roman" w:eastAsia="Times New Roman" w:hAnsi="Times New Roman" w:cs="Times New Roman"/>
                <w:b/>
                <w:bCs/>
                <w:sz w:val="20"/>
                <w:szCs w:val="20"/>
                <w:lang w:val="en-GB" w:eastAsia="en-GB"/>
              </w:rPr>
            </w:pPr>
            <w:r w:rsidRPr="001D2DCC">
              <w:rPr>
                <w:rFonts w:ascii="Times New Roman" w:eastAsia="Times New Roman" w:hAnsi="Times New Roman" w:cs="Times New Roman"/>
                <w:b/>
                <w:bCs/>
                <w:sz w:val="20"/>
                <w:szCs w:val="20"/>
                <w:lang w:val="en-GB" w:eastAsia="en-GB"/>
              </w:rPr>
              <w:lastRenderedPageBreak/>
              <w:t>Metric</w:t>
            </w:r>
          </w:p>
        </w:tc>
        <w:tc>
          <w:tcPr>
            <w:tcW w:w="6348" w:type="dxa"/>
            <w:vAlign w:val="center"/>
            <w:hideMark/>
          </w:tcPr>
          <w:p w14:paraId="1B0B0E76" w14:textId="77777777" w:rsidR="001D2DCC" w:rsidRPr="001D2DCC" w:rsidRDefault="001D2DCC" w:rsidP="001D2DCC">
            <w:pPr>
              <w:spacing w:after="0" w:line="240" w:lineRule="auto"/>
              <w:jc w:val="center"/>
              <w:rPr>
                <w:rFonts w:ascii="Times New Roman" w:eastAsia="Times New Roman" w:hAnsi="Times New Roman" w:cs="Times New Roman"/>
                <w:b/>
                <w:bCs/>
                <w:sz w:val="20"/>
                <w:szCs w:val="20"/>
                <w:lang w:val="en-GB" w:eastAsia="en-GB"/>
              </w:rPr>
            </w:pPr>
            <w:r w:rsidRPr="001D2DCC">
              <w:rPr>
                <w:rFonts w:ascii="Times New Roman" w:eastAsia="Times New Roman" w:hAnsi="Times New Roman" w:cs="Times New Roman"/>
                <w:b/>
                <w:bCs/>
                <w:sz w:val="20"/>
                <w:szCs w:val="20"/>
                <w:lang w:val="en-GB" w:eastAsia="en-GB"/>
              </w:rPr>
              <w:t>Value</w:t>
            </w:r>
          </w:p>
        </w:tc>
      </w:tr>
      <w:tr w:rsidR="001D2DCC" w:rsidRPr="001D2DCC" w14:paraId="1F077685" w14:textId="77777777" w:rsidTr="001D2DCC">
        <w:trPr>
          <w:tblCellSpacing w:w="15" w:type="dxa"/>
        </w:trPr>
        <w:tc>
          <w:tcPr>
            <w:tcW w:w="2832" w:type="dxa"/>
            <w:vAlign w:val="center"/>
            <w:hideMark/>
          </w:tcPr>
          <w:p w14:paraId="4DE1C315"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AUROC</w:t>
            </w:r>
          </w:p>
        </w:tc>
        <w:tc>
          <w:tcPr>
            <w:tcW w:w="6348" w:type="dxa"/>
            <w:vAlign w:val="center"/>
            <w:hideMark/>
          </w:tcPr>
          <w:p w14:paraId="6905CFF2"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0.91</w:t>
            </w:r>
          </w:p>
        </w:tc>
      </w:tr>
      <w:tr w:rsidR="001D2DCC" w:rsidRPr="001D2DCC" w14:paraId="41B97DA4" w14:textId="77777777" w:rsidTr="001D2DCC">
        <w:trPr>
          <w:tblCellSpacing w:w="15" w:type="dxa"/>
        </w:trPr>
        <w:tc>
          <w:tcPr>
            <w:tcW w:w="2832" w:type="dxa"/>
            <w:vAlign w:val="center"/>
            <w:hideMark/>
          </w:tcPr>
          <w:p w14:paraId="7C5A8C9A"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AUPRC</w:t>
            </w:r>
          </w:p>
        </w:tc>
        <w:tc>
          <w:tcPr>
            <w:tcW w:w="6348" w:type="dxa"/>
            <w:vAlign w:val="center"/>
            <w:hideMark/>
          </w:tcPr>
          <w:p w14:paraId="38D0EA4E"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0.88</w:t>
            </w:r>
          </w:p>
        </w:tc>
      </w:tr>
      <w:tr w:rsidR="001D2DCC" w:rsidRPr="001D2DCC" w14:paraId="39925925" w14:textId="77777777" w:rsidTr="001D2DCC">
        <w:trPr>
          <w:tblCellSpacing w:w="15" w:type="dxa"/>
        </w:trPr>
        <w:tc>
          <w:tcPr>
            <w:tcW w:w="2832" w:type="dxa"/>
            <w:vAlign w:val="center"/>
            <w:hideMark/>
          </w:tcPr>
          <w:p w14:paraId="0415C51D"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Accuracy</w:t>
            </w:r>
          </w:p>
        </w:tc>
        <w:tc>
          <w:tcPr>
            <w:tcW w:w="6348" w:type="dxa"/>
            <w:vAlign w:val="center"/>
            <w:hideMark/>
          </w:tcPr>
          <w:p w14:paraId="5237966B"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89%</w:t>
            </w:r>
          </w:p>
        </w:tc>
      </w:tr>
      <w:tr w:rsidR="001D2DCC" w:rsidRPr="001D2DCC" w14:paraId="427DAAAD" w14:textId="77777777" w:rsidTr="001D2DCC">
        <w:trPr>
          <w:tblCellSpacing w:w="15" w:type="dxa"/>
        </w:trPr>
        <w:tc>
          <w:tcPr>
            <w:tcW w:w="2832" w:type="dxa"/>
            <w:vAlign w:val="center"/>
            <w:hideMark/>
          </w:tcPr>
          <w:p w14:paraId="3E72A4DA"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Sensitivity</w:t>
            </w:r>
          </w:p>
        </w:tc>
        <w:tc>
          <w:tcPr>
            <w:tcW w:w="6348" w:type="dxa"/>
            <w:vAlign w:val="center"/>
            <w:hideMark/>
          </w:tcPr>
          <w:p w14:paraId="4F2B12D1"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90%</w:t>
            </w:r>
          </w:p>
        </w:tc>
      </w:tr>
      <w:tr w:rsidR="001D2DCC" w:rsidRPr="001D2DCC" w14:paraId="71108A6B" w14:textId="77777777" w:rsidTr="001D2DCC">
        <w:trPr>
          <w:tblCellSpacing w:w="15" w:type="dxa"/>
        </w:trPr>
        <w:tc>
          <w:tcPr>
            <w:tcW w:w="2832" w:type="dxa"/>
            <w:vAlign w:val="center"/>
            <w:hideMark/>
          </w:tcPr>
          <w:p w14:paraId="6A098503"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Specificity</w:t>
            </w:r>
          </w:p>
        </w:tc>
        <w:tc>
          <w:tcPr>
            <w:tcW w:w="6348" w:type="dxa"/>
            <w:vAlign w:val="center"/>
            <w:hideMark/>
          </w:tcPr>
          <w:p w14:paraId="0A40BFF3" w14:textId="77777777" w:rsidR="001D2DCC" w:rsidRPr="001D2DCC" w:rsidRDefault="001D2DCC" w:rsidP="001D2DCC">
            <w:pPr>
              <w:spacing w:after="0" w:line="240" w:lineRule="auto"/>
              <w:jc w:val="center"/>
              <w:rPr>
                <w:rFonts w:ascii="Times New Roman" w:eastAsia="Times New Roman" w:hAnsi="Times New Roman" w:cs="Times New Roman"/>
                <w:sz w:val="20"/>
                <w:szCs w:val="20"/>
                <w:lang w:val="en-GB" w:eastAsia="en-GB"/>
              </w:rPr>
            </w:pPr>
            <w:r w:rsidRPr="001D2DCC">
              <w:rPr>
                <w:rFonts w:ascii="Times New Roman" w:eastAsia="Times New Roman" w:hAnsi="Times New Roman" w:cs="Times New Roman"/>
                <w:sz w:val="20"/>
                <w:szCs w:val="20"/>
                <w:lang w:val="en-GB" w:eastAsia="en-GB"/>
              </w:rPr>
              <w:t>87%</w:t>
            </w:r>
          </w:p>
        </w:tc>
      </w:tr>
    </w:tbl>
    <w:p w14:paraId="183CB13C" w14:textId="72EB3C95"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b/>
          <w:bCs/>
          <w:sz w:val="20"/>
          <w:szCs w:val="18"/>
          <w:lang w:val="en-GB"/>
        </w:rPr>
        <w:t>Table (1): Performance Evaluation of the Edge CNN–LSTM Model</w:t>
      </w:r>
    </w:p>
    <w:p w14:paraId="5A39E4A7"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results demonstrate that the hybrid deep learning model achieved high discriminative capability, indicating its effectiveness in distinguishing between normal and abnormal physiological states. These findings confirm that the study hypothesis regarding the suitability of deep learning for real-time diabetic monitoring is supported.</w:t>
      </w:r>
    </w:p>
    <w:p w14:paraId="7A05C9EF" w14:textId="77777777" w:rsidR="008210FB" w:rsidRPr="008210FB" w:rsidRDefault="00000000" w:rsidP="008210FB">
      <w:pPr>
        <w:spacing w:line="240" w:lineRule="auto"/>
        <w:rPr>
          <w:rFonts w:ascii="Times New Roman" w:eastAsia="Times New Roman" w:hAnsi="Times New Roman"/>
          <w:sz w:val="24"/>
          <w:lang w:val="en-GB"/>
        </w:rPr>
      </w:pPr>
      <w:r>
        <w:rPr>
          <w:rFonts w:ascii="Times New Roman" w:eastAsia="Times New Roman" w:hAnsi="Times New Roman"/>
          <w:sz w:val="24"/>
          <w:lang w:val="en-GB"/>
        </w:rPr>
        <w:pict w14:anchorId="476E66C3">
          <v:rect id="_x0000_i1026" style="width:0;height:1.5pt" o:hralign="center" o:hrstd="t" o:hr="t" fillcolor="#a0a0a0" stroked="f"/>
        </w:pict>
      </w:r>
    </w:p>
    <w:p w14:paraId="4B20CBE9"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8.2 Impact of Adaptive Thresholding on False Alarms</w:t>
      </w:r>
    </w:p>
    <w:p w14:paraId="443B8DAD"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To evaluate the effectiveness of personalized and adaptive thresholding mechanisms, the proposed system was compared with conventional static threshold-based monitoring. Table (2) illustrates the average false-alarm rate per patient-day.</w:t>
      </w:r>
    </w:p>
    <w:p w14:paraId="3BB6EC22" w14:textId="10009AE2"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b/>
          <w:bCs/>
          <w:sz w:val="24"/>
          <w:lang w:val="en-GB"/>
        </w:rPr>
        <w:t>Table (2): Comparison of False-Alarm Rates</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20"/>
        <w:gridCol w:w="3820"/>
      </w:tblGrid>
      <w:tr w:rsidR="008210FB" w:rsidRPr="008210FB" w14:paraId="19C3F51E" w14:textId="77777777" w:rsidTr="003239EB">
        <w:trPr>
          <w:tblHeader/>
          <w:tblCellSpacing w:w="15" w:type="dxa"/>
          <w:jc w:val="center"/>
        </w:trPr>
        <w:tc>
          <w:tcPr>
            <w:tcW w:w="4275" w:type="dxa"/>
            <w:vAlign w:val="center"/>
            <w:hideMark/>
          </w:tcPr>
          <w:p w14:paraId="738D965C" w14:textId="77777777" w:rsidR="008210FB" w:rsidRPr="008210FB" w:rsidRDefault="008210FB" w:rsidP="003239EB">
            <w:pPr>
              <w:spacing w:line="240" w:lineRule="auto"/>
              <w:jc w:val="center"/>
              <w:rPr>
                <w:rFonts w:ascii="Times New Roman" w:eastAsia="Times New Roman" w:hAnsi="Times New Roman"/>
                <w:b/>
                <w:bCs/>
                <w:sz w:val="20"/>
                <w:szCs w:val="18"/>
                <w:lang w:val="en-GB"/>
              </w:rPr>
            </w:pPr>
            <w:r w:rsidRPr="008210FB">
              <w:rPr>
                <w:rFonts w:ascii="Times New Roman" w:eastAsia="Times New Roman" w:hAnsi="Times New Roman"/>
                <w:b/>
                <w:bCs/>
                <w:sz w:val="20"/>
                <w:szCs w:val="18"/>
                <w:lang w:val="en-GB"/>
              </w:rPr>
              <w:t>Monitoring Approach</w:t>
            </w:r>
          </w:p>
        </w:tc>
        <w:tc>
          <w:tcPr>
            <w:tcW w:w="3775" w:type="dxa"/>
            <w:vAlign w:val="center"/>
            <w:hideMark/>
          </w:tcPr>
          <w:p w14:paraId="19CE489A" w14:textId="77777777" w:rsidR="008210FB" w:rsidRPr="008210FB" w:rsidRDefault="008210FB" w:rsidP="003239EB">
            <w:pPr>
              <w:spacing w:line="240" w:lineRule="auto"/>
              <w:jc w:val="center"/>
              <w:rPr>
                <w:rFonts w:ascii="Times New Roman" w:eastAsia="Times New Roman" w:hAnsi="Times New Roman"/>
                <w:b/>
                <w:bCs/>
                <w:sz w:val="20"/>
                <w:szCs w:val="18"/>
                <w:lang w:val="en-GB"/>
              </w:rPr>
            </w:pPr>
            <w:r w:rsidRPr="008210FB">
              <w:rPr>
                <w:rFonts w:ascii="Times New Roman" w:eastAsia="Times New Roman" w:hAnsi="Times New Roman"/>
                <w:b/>
                <w:bCs/>
                <w:sz w:val="20"/>
                <w:szCs w:val="18"/>
                <w:lang w:val="en-GB"/>
              </w:rPr>
              <w:t>False Alarms / Patient-Day</w:t>
            </w:r>
          </w:p>
        </w:tc>
      </w:tr>
      <w:tr w:rsidR="008210FB" w:rsidRPr="008210FB" w14:paraId="4AB9181F" w14:textId="77777777" w:rsidTr="003239EB">
        <w:trPr>
          <w:tblCellSpacing w:w="15" w:type="dxa"/>
          <w:jc w:val="center"/>
        </w:trPr>
        <w:tc>
          <w:tcPr>
            <w:tcW w:w="4275" w:type="dxa"/>
            <w:vAlign w:val="center"/>
            <w:hideMark/>
          </w:tcPr>
          <w:p w14:paraId="0D9F4A15" w14:textId="77777777" w:rsidR="008210FB" w:rsidRPr="008210FB" w:rsidRDefault="008210FB" w:rsidP="003239EB">
            <w:pPr>
              <w:spacing w:line="240" w:lineRule="auto"/>
              <w:jc w:val="center"/>
              <w:rPr>
                <w:rFonts w:ascii="Times New Roman" w:eastAsia="Times New Roman" w:hAnsi="Times New Roman"/>
                <w:sz w:val="20"/>
                <w:szCs w:val="18"/>
                <w:lang w:val="en-GB"/>
              </w:rPr>
            </w:pPr>
            <w:r w:rsidRPr="008210FB">
              <w:rPr>
                <w:rFonts w:ascii="Times New Roman" w:eastAsia="Times New Roman" w:hAnsi="Times New Roman"/>
                <w:sz w:val="20"/>
                <w:szCs w:val="18"/>
                <w:lang w:val="en-GB"/>
              </w:rPr>
              <w:t>Static Threshold System</w:t>
            </w:r>
          </w:p>
        </w:tc>
        <w:tc>
          <w:tcPr>
            <w:tcW w:w="3775" w:type="dxa"/>
            <w:vAlign w:val="center"/>
            <w:hideMark/>
          </w:tcPr>
          <w:p w14:paraId="32E9B45D" w14:textId="77777777" w:rsidR="008210FB" w:rsidRPr="008210FB" w:rsidRDefault="008210FB" w:rsidP="003239EB">
            <w:pPr>
              <w:spacing w:line="240" w:lineRule="auto"/>
              <w:jc w:val="center"/>
              <w:rPr>
                <w:rFonts w:ascii="Times New Roman" w:eastAsia="Times New Roman" w:hAnsi="Times New Roman"/>
                <w:sz w:val="20"/>
                <w:szCs w:val="18"/>
                <w:lang w:val="en-GB"/>
              </w:rPr>
            </w:pPr>
            <w:r w:rsidRPr="008210FB">
              <w:rPr>
                <w:rFonts w:ascii="Times New Roman" w:eastAsia="Times New Roman" w:hAnsi="Times New Roman"/>
                <w:sz w:val="20"/>
                <w:szCs w:val="18"/>
                <w:lang w:val="en-GB"/>
              </w:rPr>
              <w:t>5.6</w:t>
            </w:r>
          </w:p>
        </w:tc>
      </w:tr>
      <w:tr w:rsidR="008210FB" w:rsidRPr="008210FB" w14:paraId="5FC23588" w14:textId="77777777" w:rsidTr="003239EB">
        <w:trPr>
          <w:tblCellSpacing w:w="15" w:type="dxa"/>
          <w:jc w:val="center"/>
        </w:trPr>
        <w:tc>
          <w:tcPr>
            <w:tcW w:w="4275" w:type="dxa"/>
            <w:vAlign w:val="center"/>
            <w:hideMark/>
          </w:tcPr>
          <w:p w14:paraId="39DF29EA" w14:textId="77777777" w:rsidR="008210FB" w:rsidRPr="008210FB" w:rsidRDefault="008210FB" w:rsidP="003239EB">
            <w:pPr>
              <w:spacing w:line="240" w:lineRule="auto"/>
              <w:jc w:val="center"/>
              <w:rPr>
                <w:rFonts w:ascii="Times New Roman" w:eastAsia="Times New Roman" w:hAnsi="Times New Roman"/>
                <w:sz w:val="20"/>
                <w:szCs w:val="18"/>
                <w:lang w:val="en-GB"/>
              </w:rPr>
            </w:pPr>
            <w:r w:rsidRPr="008210FB">
              <w:rPr>
                <w:rFonts w:ascii="Times New Roman" w:eastAsia="Times New Roman" w:hAnsi="Times New Roman"/>
                <w:sz w:val="20"/>
                <w:szCs w:val="18"/>
                <w:lang w:val="en-GB"/>
              </w:rPr>
              <w:t>Adaptive Threshold (EWMA + Z-score)</w:t>
            </w:r>
          </w:p>
        </w:tc>
        <w:tc>
          <w:tcPr>
            <w:tcW w:w="3775" w:type="dxa"/>
            <w:vAlign w:val="center"/>
            <w:hideMark/>
          </w:tcPr>
          <w:p w14:paraId="4157C8E1" w14:textId="77777777" w:rsidR="008210FB" w:rsidRPr="008210FB" w:rsidRDefault="008210FB" w:rsidP="003239EB">
            <w:pPr>
              <w:spacing w:line="240" w:lineRule="auto"/>
              <w:jc w:val="center"/>
              <w:rPr>
                <w:rFonts w:ascii="Times New Roman" w:eastAsia="Times New Roman" w:hAnsi="Times New Roman"/>
                <w:sz w:val="20"/>
                <w:szCs w:val="18"/>
                <w:lang w:val="en-GB"/>
              </w:rPr>
            </w:pPr>
            <w:r w:rsidRPr="008210FB">
              <w:rPr>
                <w:rFonts w:ascii="Times New Roman" w:eastAsia="Times New Roman" w:hAnsi="Times New Roman"/>
                <w:sz w:val="20"/>
                <w:szCs w:val="18"/>
                <w:lang w:val="en-GB"/>
              </w:rPr>
              <w:t>2.1</w:t>
            </w:r>
          </w:p>
        </w:tc>
      </w:tr>
    </w:tbl>
    <w:p w14:paraId="388C7B6C" w14:textId="77777777"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sz w:val="24"/>
          <w:lang w:val="en-GB"/>
        </w:rPr>
        <w:t>The adaptive thresholding approach significantly reduced false alarms compared to static thresholds. This reduction directly addresses the problem of alert fatigue and enhances the clinical reliability of the monitoring system.</w:t>
      </w:r>
    </w:p>
    <w:p w14:paraId="0067AFFC" w14:textId="77777777" w:rsidR="008210FB" w:rsidRPr="008210FB" w:rsidRDefault="00000000" w:rsidP="008210FB">
      <w:pPr>
        <w:spacing w:line="240" w:lineRule="auto"/>
        <w:rPr>
          <w:rFonts w:ascii="Times New Roman" w:eastAsia="Times New Roman" w:hAnsi="Times New Roman"/>
          <w:sz w:val="24"/>
          <w:lang w:val="en-GB"/>
        </w:rPr>
      </w:pPr>
      <w:r>
        <w:rPr>
          <w:rFonts w:ascii="Times New Roman" w:eastAsia="Times New Roman" w:hAnsi="Times New Roman"/>
          <w:sz w:val="24"/>
          <w:lang w:val="en-GB"/>
        </w:rPr>
        <w:pict w14:anchorId="71692852">
          <v:rect id="_x0000_i1027" style="width:0;height:1.5pt" o:hralign="center" o:hrstd="t" o:hr="t" fillcolor="#a0a0a0" stroked="f"/>
        </w:pict>
      </w:r>
    </w:p>
    <w:p w14:paraId="24D7108B"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8.3 Edge Inference Latency Analysis</w:t>
      </w:r>
    </w:p>
    <w:p w14:paraId="69A26E99"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A key hypothesis of the study was that deploying intelligence at the edge would achieve real-time responsiveness. Table (3) summarizes the inference latency measured on edge devices.</w:t>
      </w:r>
    </w:p>
    <w:p w14:paraId="22D86693" w14:textId="77777777" w:rsidR="00DD65E1" w:rsidRDefault="00DD65E1" w:rsidP="008210FB">
      <w:pPr>
        <w:spacing w:line="240" w:lineRule="auto"/>
        <w:rPr>
          <w:rFonts w:ascii="Times New Roman" w:eastAsia="Times New Roman" w:hAnsi="Times New Roman"/>
          <w:b/>
          <w:bCs/>
          <w:sz w:val="24"/>
          <w:lang w:val="en-GB"/>
        </w:rPr>
      </w:pPr>
    </w:p>
    <w:p w14:paraId="5C443BDE" w14:textId="77777777" w:rsidR="00DD65E1" w:rsidRDefault="00DD65E1" w:rsidP="008210FB">
      <w:pPr>
        <w:spacing w:line="240" w:lineRule="auto"/>
        <w:rPr>
          <w:rFonts w:ascii="Times New Roman" w:eastAsia="Times New Roman" w:hAnsi="Times New Roman"/>
          <w:b/>
          <w:bCs/>
          <w:sz w:val="24"/>
          <w:lang w:val="en-GB"/>
        </w:rPr>
      </w:pPr>
    </w:p>
    <w:p w14:paraId="2C6CA3F1" w14:textId="77777777" w:rsidR="00DD65E1" w:rsidRDefault="00DD65E1" w:rsidP="008210FB">
      <w:pPr>
        <w:spacing w:line="240" w:lineRule="auto"/>
        <w:rPr>
          <w:rFonts w:ascii="Times New Roman" w:eastAsia="Times New Roman" w:hAnsi="Times New Roman"/>
          <w:b/>
          <w:bCs/>
          <w:sz w:val="24"/>
          <w:lang w:val="en-GB"/>
        </w:rPr>
      </w:pPr>
    </w:p>
    <w:p w14:paraId="71105C92" w14:textId="77777777" w:rsidR="00DD65E1" w:rsidRDefault="00DD65E1" w:rsidP="008210FB">
      <w:pPr>
        <w:spacing w:line="240" w:lineRule="auto"/>
        <w:rPr>
          <w:rFonts w:ascii="Times New Roman" w:eastAsia="Times New Roman" w:hAnsi="Times New Roman"/>
          <w:b/>
          <w:bCs/>
          <w:sz w:val="24"/>
          <w:lang w:val="en-GB"/>
        </w:rPr>
      </w:pPr>
    </w:p>
    <w:p w14:paraId="1779E476" w14:textId="5EDA2027"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b/>
          <w:bCs/>
          <w:sz w:val="24"/>
          <w:lang w:val="en-GB"/>
        </w:rPr>
        <w:lastRenderedPageBreak/>
        <w:t>Table (3): Edge Inference Latency Performance</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0"/>
        <w:gridCol w:w="4013"/>
      </w:tblGrid>
      <w:tr w:rsidR="008210FB" w:rsidRPr="008210FB" w14:paraId="4DDD885A" w14:textId="77777777" w:rsidTr="003239EB">
        <w:trPr>
          <w:trHeight w:val="329"/>
          <w:tblHeader/>
          <w:tblCellSpacing w:w="15" w:type="dxa"/>
          <w:jc w:val="center"/>
        </w:trPr>
        <w:tc>
          <w:tcPr>
            <w:tcW w:w="4005" w:type="dxa"/>
            <w:vAlign w:val="center"/>
            <w:hideMark/>
          </w:tcPr>
          <w:p w14:paraId="3A3E4687"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Processing Stage</w:t>
            </w:r>
          </w:p>
        </w:tc>
        <w:tc>
          <w:tcPr>
            <w:tcW w:w="3968" w:type="dxa"/>
            <w:vAlign w:val="center"/>
            <w:hideMark/>
          </w:tcPr>
          <w:p w14:paraId="022483B6"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Average Latency (</w:t>
            </w:r>
            <w:proofErr w:type="spellStart"/>
            <w:r w:rsidRPr="008210FB">
              <w:rPr>
                <w:rFonts w:ascii="Times New Roman" w:eastAsia="Times New Roman" w:hAnsi="Times New Roman"/>
                <w:b/>
                <w:bCs/>
                <w:sz w:val="24"/>
                <w:lang w:val="en-GB"/>
              </w:rPr>
              <w:t>ms</w:t>
            </w:r>
            <w:proofErr w:type="spellEnd"/>
            <w:r w:rsidRPr="008210FB">
              <w:rPr>
                <w:rFonts w:ascii="Times New Roman" w:eastAsia="Times New Roman" w:hAnsi="Times New Roman"/>
                <w:b/>
                <w:bCs/>
                <w:sz w:val="24"/>
                <w:lang w:val="en-GB"/>
              </w:rPr>
              <w:t>)</w:t>
            </w:r>
          </w:p>
        </w:tc>
      </w:tr>
      <w:tr w:rsidR="008210FB" w:rsidRPr="008210FB" w14:paraId="5A67D08F" w14:textId="77777777" w:rsidTr="003239EB">
        <w:trPr>
          <w:trHeight w:val="226"/>
          <w:tblCellSpacing w:w="15" w:type="dxa"/>
          <w:jc w:val="center"/>
        </w:trPr>
        <w:tc>
          <w:tcPr>
            <w:tcW w:w="4005" w:type="dxa"/>
            <w:vAlign w:val="center"/>
            <w:hideMark/>
          </w:tcPr>
          <w:p w14:paraId="46C4B71E"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Data Preprocessing</w:t>
            </w:r>
          </w:p>
        </w:tc>
        <w:tc>
          <w:tcPr>
            <w:tcW w:w="3968" w:type="dxa"/>
            <w:vAlign w:val="center"/>
            <w:hideMark/>
          </w:tcPr>
          <w:p w14:paraId="03B1E340"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22</w:t>
            </w:r>
          </w:p>
        </w:tc>
      </w:tr>
      <w:tr w:rsidR="008210FB" w:rsidRPr="008210FB" w14:paraId="1AE15C62" w14:textId="77777777" w:rsidTr="003239EB">
        <w:trPr>
          <w:tblCellSpacing w:w="15" w:type="dxa"/>
          <w:jc w:val="center"/>
        </w:trPr>
        <w:tc>
          <w:tcPr>
            <w:tcW w:w="4005" w:type="dxa"/>
            <w:vAlign w:val="center"/>
            <w:hideMark/>
          </w:tcPr>
          <w:p w14:paraId="5BB8F4A2"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Model Inference</w:t>
            </w:r>
          </w:p>
        </w:tc>
        <w:tc>
          <w:tcPr>
            <w:tcW w:w="3968" w:type="dxa"/>
            <w:vAlign w:val="center"/>
            <w:hideMark/>
          </w:tcPr>
          <w:p w14:paraId="618DE043"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61</w:t>
            </w:r>
          </w:p>
        </w:tc>
      </w:tr>
      <w:tr w:rsidR="008210FB" w:rsidRPr="008210FB" w14:paraId="5D0AB1FE" w14:textId="77777777" w:rsidTr="003239EB">
        <w:trPr>
          <w:tblCellSpacing w:w="15" w:type="dxa"/>
          <w:jc w:val="center"/>
        </w:trPr>
        <w:tc>
          <w:tcPr>
            <w:tcW w:w="4005" w:type="dxa"/>
            <w:vAlign w:val="center"/>
            <w:hideMark/>
          </w:tcPr>
          <w:p w14:paraId="52A1E09C"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Alert Generation</w:t>
            </w:r>
          </w:p>
        </w:tc>
        <w:tc>
          <w:tcPr>
            <w:tcW w:w="3968" w:type="dxa"/>
            <w:vAlign w:val="center"/>
            <w:hideMark/>
          </w:tcPr>
          <w:p w14:paraId="2732A5AD"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14</w:t>
            </w:r>
          </w:p>
        </w:tc>
      </w:tr>
      <w:tr w:rsidR="008210FB" w:rsidRPr="008210FB" w14:paraId="324C82B4" w14:textId="77777777" w:rsidTr="003239EB">
        <w:trPr>
          <w:tblCellSpacing w:w="15" w:type="dxa"/>
          <w:jc w:val="center"/>
        </w:trPr>
        <w:tc>
          <w:tcPr>
            <w:tcW w:w="4005" w:type="dxa"/>
            <w:vAlign w:val="center"/>
            <w:hideMark/>
          </w:tcPr>
          <w:p w14:paraId="7E5B366F"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b/>
                <w:bCs/>
                <w:sz w:val="24"/>
                <w:lang w:val="en-GB"/>
              </w:rPr>
              <w:t>Total Latency</w:t>
            </w:r>
          </w:p>
        </w:tc>
        <w:tc>
          <w:tcPr>
            <w:tcW w:w="3968" w:type="dxa"/>
            <w:vAlign w:val="center"/>
            <w:hideMark/>
          </w:tcPr>
          <w:p w14:paraId="0C444660"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b/>
                <w:bCs/>
                <w:sz w:val="24"/>
                <w:lang w:val="en-GB"/>
              </w:rPr>
              <w:t xml:space="preserve">97 </w:t>
            </w:r>
            <w:proofErr w:type="spellStart"/>
            <w:r w:rsidRPr="008210FB">
              <w:rPr>
                <w:rFonts w:ascii="Times New Roman" w:eastAsia="Times New Roman" w:hAnsi="Times New Roman"/>
                <w:b/>
                <w:bCs/>
                <w:sz w:val="24"/>
                <w:lang w:val="en-GB"/>
              </w:rPr>
              <w:t>ms</w:t>
            </w:r>
            <w:proofErr w:type="spellEnd"/>
          </w:p>
        </w:tc>
      </w:tr>
    </w:tbl>
    <w:p w14:paraId="3C3F0536"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results confirm that the total inference latency remained below 100 milliseconds, satisfying real-time operational requirements for home-based patient monitoring.</w:t>
      </w:r>
    </w:p>
    <w:p w14:paraId="58B7CFF1" w14:textId="77777777" w:rsidR="008210FB" w:rsidRPr="008210FB" w:rsidRDefault="00000000" w:rsidP="008210FB">
      <w:pPr>
        <w:spacing w:line="240" w:lineRule="auto"/>
        <w:rPr>
          <w:rFonts w:ascii="Times New Roman" w:eastAsia="Times New Roman" w:hAnsi="Times New Roman"/>
          <w:sz w:val="24"/>
          <w:lang w:val="en-GB"/>
        </w:rPr>
      </w:pPr>
      <w:r>
        <w:rPr>
          <w:rFonts w:ascii="Times New Roman" w:eastAsia="Times New Roman" w:hAnsi="Times New Roman"/>
          <w:sz w:val="24"/>
          <w:lang w:val="en-GB"/>
        </w:rPr>
        <w:pict w14:anchorId="6A3CB7B0">
          <v:rect id="_x0000_i1028" style="width:0;height:1.5pt" o:hralign="center" o:hrstd="t" o:hr="t" fillcolor="#a0a0a0" stroked="f"/>
        </w:pict>
      </w:r>
    </w:p>
    <w:p w14:paraId="1EB13CE6"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 xml:space="preserve">8.4 Effectiveness of Federated Learning and Ensemble </w:t>
      </w:r>
      <w:proofErr w:type="spellStart"/>
      <w:r w:rsidRPr="008210FB">
        <w:rPr>
          <w:rFonts w:ascii="Simplified Arabic" w:eastAsia="Times New Roman" w:hAnsi="Simplified Arabic" w:cs="Simplified Arabic"/>
          <w:b/>
          <w:bCs/>
          <w:sz w:val="24"/>
          <w:lang w:val="en-GB"/>
        </w:rPr>
        <w:t>Modeling</w:t>
      </w:r>
      <w:proofErr w:type="spellEnd"/>
    </w:p>
    <w:p w14:paraId="107A100F" w14:textId="77777777"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 xml:space="preserve">To assess generalization and robustness, federated learning combined with an </w:t>
      </w:r>
      <w:proofErr w:type="spellStart"/>
      <w:r w:rsidRPr="008210FB">
        <w:rPr>
          <w:rFonts w:ascii="Simplified Arabic" w:eastAsia="Times New Roman" w:hAnsi="Simplified Arabic" w:cs="Simplified Arabic"/>
          <w:sz w:val="24"/>
          <w:lang w:val="en-GB"/>
        </w:rPr>
        <w:t>XGBoost</w:t>
      </w:r>
      <w:proofErr w:type="spellEnd"/>
      <w:r w:rsidRPr="008210FB">
        <w:rPr>
          <w:rFonts w:ascii="Simplified Arabic" w:eastAsia="Times New Roman" w:hAnsi="Simplified Arabic" w:cs="Simplified Arabic"/>
          <w:sz w:val="24"/>
          <w:lang w:val="en-GB"/>
        </w:rPr>
        <w:t xml:space="preserve"> ensemble model was evaluated. Table (4) presents the comparative performance between single-model and ensemble-based predictions.</w:t>
      </w:r>
    </w:p>
    <w:p w14:paraId="35C6D462" w14:textId="766FA2BE" w:rsidR="008210FB" w:rsidRPr="008210FB" w:rsidRDefault="008210FB" w:rsidP="008210FB">
      <w:pPr>
        <w:spacing w:line="240" w:lineRule="auto"/>
        <w:rPr>
          <w:rFonts w:ascii="Times New Roman" w:eastAsia="Times New Roman" w:hAnsi="Times New Roman"/>
          <w:sz w:val="24"/>
          <w:lang w:val="en-GB"/>
        </w:rPr>
      </w:pPr>
      <w:r w:rsidRPr="008210FB">
        <w:rPr>
          <w:rFonts w:ascii="Times New Roman" w:eastAsia="Times New Roman" w:hAnsi="Times New Roman"/>
          <w:b/>
          <w:bCs/>
          <w:sz w:val="24"/>
          <w:lang w:val="en-GB"/>
        </w:rPr>
        <w:t>Table (4): Performance Comparison Between Single Model and Federated Ensemble</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0"/>
        <w:gridCol w:w="1440"/>
        <w:gridCol w:w="1630"/>
      </w:tblGrid>
      <w:tr w:rsidR="008210FB" w:rsidRPr="008210FB" w14:paraId="148AD22A" w14:textId="77777777" w:rsidTr="003239EB">
        <w:trPr>
          <w:tblHeader/>
          <w:tblCellSpacing w:w="15" w:type="dxa"/>
          <w:jc w:val="center"/>
        </w:trPr>
        <w:tc>
          <w:tcPr>
            <w:tcW w:w="4995" w:type="dxa"/>
            <w:vAlign w:val="center"/>
            <w:hideMark/>
          </w:tcPr>
          <w:p w14:paraId="27CE91A3"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Model Configuration</w:t>
            </w:r>
          </w:p>
        </w:tc>
        <w:tc>
          <w:tcPr>
            <w:tcW w:w="1410" w:type="dxa"/>
            <w:vAlign w:val="center"/>
            <w:hideMark/>
          </w:tcPr>
          <w:p w14:paraId="3AB5F27B"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AUROC</w:t>
            </w:r>
          </w:p>
        </w:tc>
        <w:tc>
          <w:tcPr>
            <w:tcW w:w="1585" w:type="dxa"/>
            <w:vAlign w:val="center"/>
            <w:hideMark/>
          </w:tcPr>
          <w:p w14:paraId="71243179" w14:textId="77777777" w:rsidR="008210FB" w:rsidRPr="008210FB" w:rsidRDefault="008210FB" w:rsidP="003239EB">
            <w:pPr>
              <w:spacing w:line="240" w:lineRule="auto"/>
              <w:jc w:val="center"/>
              <w:rPr>
                <w:rFonts w:ascii="Times New Roman" w:eastAsia="Times New Roman" w:hAnsi="Times New Roman"/>
                <w:b/>
                <w:bCs/>
                <w:sz w:val="24"/>
                <w:lang w:val="en-GB"/>
              </w:rPr>
            </w:pPr>
            <w:r w:rsidRPr="008210FB">
              <w:rPr>
                <w:rFonts w:ascii="Times New Roman" w:eastAsia="Times New Roman" w:hAnsi="Times New Roman"/>
                <w:b/>
                <w:bCs/>
                <w:sz w:val="24"/>
                <w:lang w:val="en-GB"/>
              </w:rPr>
              <w:t>AUPRC</w:t>
            </w:r>
          </w:p>
        </w:tc>
      </w:tr>
      <w:tr w:rsidR="008210FB" w:rsidRPr="008210FB" w14:paraId="18757A5F" w14:textId="77777777" w:rsidTr="003239EB">
        <w:trPr>
          <w:tblCellSpacing w:w="15" w:type="dxa"/>
          <w:jc w:val="center"/>
        </w:trPr>
        <w:tc>
          <w:tcPr>
            <w:tcW w:w="4995" w:type="dxa"/>
            <w:vAlign w:val="center"/>
            <w:hideMark/>
          </w:tcPr>
          <w:p w14:paraId="2CAD5B9E"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Single Edge Model</w:t>
            </w:r>
          </w:p>
        </w:tc>
        <w:tc>
          <w:tcPr>
            <w:tcW w:w="1410" w:type="dxa"/>
            <w:vAlign w:val="center"/>
            <w:hideMark/>
          </w:tcPr>
          <w:p w14:paraId="11A08562"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0.91</w:t>
            </w:r>
          </w:p>
        </w:tc>
        <w:tc>
          <w:tcPr>
            <w:tcW w:w="1585" w:type="dxa"/>
            <w:vAlign w:val="center"/>
            <w:hideMark/>
          </w:tcPr>
          <w:p w14:paraId="5629B0EE"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0.88</w:t>
            </w:r>
          </w:p>
        </w:tc>
      </w:tr>
      <w:tr w:rsidR="008210FB" w:rsidRPr="008210FB" w14:paraId="5B0D2144" w14:textId="77777777" w:rsidTr="003239EB">
        <w:trPr>
          <w:tblCellSpacing w:w="15" w:type="dxa"/>
          <w:jc w:val="center"/>
        </w:trPr>
        <w:tc>
          <w:tcPr>
            <w:tcW w:w="4995" w:type="dxa"/>
            <w:vAlign w:val="center"/>
            <w:hideMark/>
          </w:tcPr>
          <w:p w14:paraId="6DE4552B"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Federated Ensemble Model</w:t>
            </w:r>
          </w:p>
        </w:tc>
        <w:tc>
          <w:tcPr>
            <w:tcW w:w="1410" w:type="dxa"/>
            <w:vAlign w:val="center"/>
            <w:hideMark/>
          </w:tcPr>
          <w:p w14:paraId="6BA43779"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0.94</w:t>
            </w:r>
          </w:p>
        </w:tc>
        <w:tc>
          <w:tcPr>
            <w:tcW w:w="1585" w:type="dxa"/>
            <w:vAlign w:val="center"/>
            <w:hideMark/>
          </w:tcPr>
          <w:p w14:paraId="15F109AE" w14:textId="77777777" w:rsidR="008210FB" w:rsidRPr="008210FB" w:rsidRDefault="008210FB" w:rsidP="003239EB">
            <w:pPr>
              <w:spacing w:line="240" w:lineRule="auto"/>
              <w:jc w:val="center"/>
              <w:rPr>
                <w:rFonts w:ascii="Times New Roman" w:eastAsia="Times New Roman" w:hAnsi="Times New Roman"/>
                <w:sz w:val="24"/>
                <w:lang w:val="en-GB"/>
              </w:rPr>
            </w:pPr>
            <w:r w:rsidRPr="008210FB">
              <w:rPr>
                <w:rFonts w:ascii="Times New Roman" w:eastAsia="Times New Roman" w:hAnsi="Times New Roman"/>
                <w:sz w:val="24"/>
                <w:lang w:val="en-GB"/>
              </w:rPr>
              <w:t>0.91</w:t>
            </w:r>
          </w:p>
        </w:tc>
      </w:tr>
    </w:tbl>
    <w:p w14:paraId="73DB3D57" w14:textId="77777777" w:rsidR="003239EB" w:rsidRDefault="003239EB" w:rsidP="008210FB">
      <w:pPr>
        <w:spacing w:line="240" w:lineRule="auto"/>
        <w:rPr>
          <w:rFonts w:ascii="Simplified Arabic" w:eastAsia="Times New Roman" w:hAnsi="Simplified Arabic" w:cs="Simplified Arabic"/>
          <w:sz w:val="24"/>
          <w:lang w:val="en-GB"/>
        </w:rPr>
      </w:pPr>
    </w:p>
    <w:p w14:paraId="21C20B5E" w14:textId="223F5CE3" w:rsidR="008210FB" w:rsidRP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The federated ensemble approach demonstrated improved predictive performance, confirming that collaborative learning across decentralized nodes enhances model robustness while preserving data privacy.</w:t>
      </w:r>
    </w:p>
    <w:p w14:paraId="2C3ACA93" w14:textId="77777777" w:rsidR="008210FB" w:rsidRPr="008210FB" w:rsidRDefault="00000000" w:rsidP="008210FB">
      <w:pPr>
        <w:spacing w:line="240" w:lineRule="auto"/>
        <w:rPr>
          <w:rFonts w:ascii="Times New Roman" w:eastAsia="Times New Roman" w:hAnsi="Times New Roman"/>
          <w:sz w:val="24"/>
          <w:lang w:val="en-GB"/>
        </w:rPr>
      </w:pPr>
      <w:r>
        <w:rPr>
          <w:rFonts w:ascii="Times New Roman" w:eastAsia="Times New Roman" w:hAnsi="Times New Roman"/>
          <w:sz w:val="24"/>
          <w:lang w:val="en-GB"/>
        </w:rPr>
        <w:pict w14:anchorId="365FDC57">
          <v:rect id="_x0000_i1029" style="width:0;height:1.5pt" o:hralign="center" o:hrstd="t" o:hr="t" fillcolor="#a0a0a0" stroked="f"/>
        </w:pict>
      </w:r>
    </w:p>
    <w:p w14:paraId="667A306F" w14:textId="77777777" w:rsidR="008210FB" w:rsidRPr="008210FB" w:rsidRDefault="008210FB" w:rsidP="008210FB">
      <w:pPr>
        <w:spacing w:line="240" w:lineRule="auto"/>
        <w:rPr>
          <w:rFonts w:ascii="Simplified Arabic" w:eastAsia="Times New Roman" w:hAnsi="Simplified Arabic" w:cs="Simplified Arabic"/>
          <w:b/>
          <w:bCs/>
          <w:sz w:val="24"/>
          <w:lang w:val="en-GB"/>
        </w:rPr>
      </w:pPr>
      <w:r w:rsidRPr="008210FB">
        <w:rPr>
          <w:rFonts w:ascii="Simplified Arabic" w:eastAsia="Times New Roman" w:hAnsi="Simplified Arabic" w:cs="Simplified Arabic"/>
          <w:b/>
          <w:bCs/>
          <w:sz w:val="24"/>
          <w:lang w:val="en-GB"/>
        </w:rPr>
        <w:t>8.5 Summary of Results</w:t>
      </w:r>
    </w:p>
    <w:p w14:paraId="78A0F3A7" w14:textId="77777777" w:rsidR="008210FB" w:rsidRDefault="008210FB" w:rsidP="008210FB">
      <w:pPr>
        <w:spacing w:line="240" w:lineRule="auto"/>
        <w:rPr>
          <w:rFonts w:ascii="Simplified Arabic" w:eastAsia="Times New Roman" w:hAnsi="Simplified Arabic" w:cs="Simplified Arabic"/>
          <w:sz w:val="24"/>
          <w:lang w:val="en-GB"/>
        </w:rPr>
      </w:pPr>
      <w:r w:rsidRPr="008210FB">
        <w:rPr>
          <w:rFonts w:ascii="Simplified Arabic" w:eastAsia="Times New Roman" w:hAnsi="Simplified Arabic" w:cs="Simplified Arabic"/>
          <w:sz w:val="24"/>
          <w:lang w:val="en-GB"/>
        </w:rPr>
        <w:t xml:space="preserve">Overall, the results indicate that the proposed IoT-based monitoring framework successfully meets the study objectives by achieving high predictive accuracy, reducing false-alarm rates, ensuring low-latency inference, and preserving patient privacy. These findings validate the research hypotheses and demonstrate the practical feasibility of deploying </w:t>
      </w:r>
      <w:r w:rsidRPr="008210FB">
        <w:rPr>
          <w:rFonts w:ascii="Simplified Arabic" w:eastAsia="Times New Roman" w:hAnsi="Simplified Arabic" w:cs="Simplified Arabic"/>
          <w:sz w:val="24"/>
          <w:lang w:val="en-GB"/>
        </w:rPr>
        <w:lastRenderedPageBreak/>
        <w:t>intelligent, privacy-preserving remote monitoring systems for diabetic patients during pandemics and in long-term care scenarios.</w:t>
      </w:r>
    </w:p>
    <w:p w14:paraId="77F4FB9D" w14:textId="51B04BFF" w:rsidR="00590248" w:rsidRDefault="00590248" w:rsidP="008210FB">
      <w:pPr>
        <w:spacing w:line="240" w:lineRule="auto"/>
      </w:pPr>
    </w:p>
    <w:p w14:paraId="34E4D5B8" w14:textId="1E76BD1B" w:rsidR="00590248" w:rsidRPr="00DD65E1" w:rsidRDefault="00000000" w:rsidP="00DD65E1">
      <w:r w:rsidRPr="003239EB">
        <w:rPr>
          <w:rFonts w:ascii="Simplified Arabic" w:eastAsia="Times New Roman" w:hAnsi="Simplified Arabic" w:cs="Simplified Arabic"/>
          <w:b/>
          <w:sz w:val="28"/>
        </w:rPr>
        <w:t>9. Conclusion and Discussion of Results</w:t>
      </w:r>
    </w:p>
    <w:p w14:paraId="19E21DE6"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This study set out to design and evaluate an intelligent IoT-based remote monitoring system for diabetic patients during and after the COVID-19 pandemic, addressing the limitations of conventional rule-based monitoring approaches. The experimental results confirm that the proposed framework successfully meets its objectives by enhancing predictive accuracy, reducing false-alarm rates, ensuring real-time responsiveness, and preserving patient data privacy.</w:t>
      </w:r>
    </w:p>
    <w:p w14:paraId="12A1C26B"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 xml:space="preserve">The results demonstrate that the hybrid edge-deployed 1D-CNN–LSTM model achieved high predictive performance, as reflected by strong AUROC and AUPRC values. These findings indicate that deep learning–based time-series </w:t>
      </w:r>
      <w:proofErr w:type="spellStart"/>
      <w:r w:rsidRPr="003239EB">
        <w:rPr>
          <w:rFonts w:ascii="Simplified Arabic" w:eastAsia="Times New Roman" w:hAnsi="Simplified Arabic" w:cs="Simplified Arabic"/>
          <w:bCs/>
          <w:sz w:val="24"/>
          <w:szCs w:val="20"/>
          <w:lang w:val="en-GB"/>
        </w:rPr>
        <w:t>modeling</w:t>
      </w:r>
      <w:proofErr w:type="spellEnd"/>
      <w:r w:rsidRPr="003239EB">
        <w:rPr>
          <w:rFonts w:ascii="Simplified Arabic" w:eastAsia="Times New Roman" w:hAnsi="Simplified Arabic" w:cs="Simplified Arabic"/>
          <w:bCs/>
          <w:sz w:val="24"/>
          <w:szCs w:val="20"/>
          <w:lang w:val="en-GB"/>
        </w:rPr>
        <w:t xml:space="preserve"> is effective in capturing both short-term physiological fluctuations and long-term deterioration patterns in multimodal health data. Compared with traditional threshold-based systems, the proposed approach showed a substantial reduction in false alarms, which directly addresses alert fatigue and improves clinical trust in automated monitoring systems.</w:t>
      </w:r>
    </w:p>
    <w:p w14:paraId="62AC4FBF"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The latency analysis further confirms the effectiveness of deploying intelligence at the edge. By maintaining total inference latency below 100 milliseconds, the system supports real-time monitoring and timely intervention, which is critical in home-based healthcare environments. This outcome aligns with prior studies that emphasized the role of edge computing in reducing dependency on cloud infrastructure and improving responsiveness, while extending these findings through the integration of adaptive learning and personalization mechanisms.</w:t>
      </w:r>
    </w:p>
    <w:p w14:paraId="077C3A2B"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 xml:space="preserve">The incorporation of federated learning enhanced model generalization across distributed data sources without compromising patient privacy. The federated ensemble approach demonstrated superior performance compared to single-model configurations, supporting the hypothesis that collaborative learning improves robustness in heterogeneous and noisy data environments. This result is consistent with previous research advocating decentralized </w:t>
      </w:r>
      <w:r w:rsidRPr="003239EB">
        <w:rPr>
          <w:rFonts w:ascii="Simplified Arabic" w:eastAsia="Times New Roman" w:hAnsi="Simplified Arabic" w:cs="Simplified Arabic"/>
          <w:bCs/>
          <w:sz w:val="24"/>
          <w:szCs w:val="20"/>
          <w:lang w:val="en-GB"/>
        </w:rPr>
        <w:lastRenderedPageBreak/>
        <w:t>learning for healthcare applications but extends existing work by combining federated learning with edge intelligence and explainable AI.</w:t>
      </w:r>
    </w:p>
    <w:p w14:paraId="43D026B0" w14:textId="77777777" w:rsidR="003239EB"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When compared with previous studies reviewed in the literature, the proposed framework advances the state of the art by offering a unified solution that simultaneously addresses personalization, data quality, latency, privacy, and interpretability. While earlier systems focused on individual aspects such as connectivity, usability, or predictive accuracy, this study demonstrates that integrating these dimensions within a single architecture leads to more reliable and clinically applicable remote monitoring.</w:t>
      </w:r>
    </w:p>
    <w:p w14:paraId="0472CCEA" w14:textId="53896FEA" w:rsidR="008F22B3" w:rsidRPr="003239EB" w:rsidRDefault="003239EB" w:rsidP="003239EB">
      <w:pPr>
        <w:rPr>
          <w:rFonts w:ascii="Simplified Arabic" w:eastAsia="Times New Roman" w:hAnsi="Simplified Arabic" w:cs="Simplified Arabic"/>
          <w:bCs/>
          <w:sz w:val="24"/>
          <w:szCs w:val="20"/>
          <w:lang w:val="en-GB"/>
        </w:rPr>
      </w:pPr>
      <w:r w:rsidRPr="003239EB">
        <w:rPr>
          <w:rFonts w:ascii="Simplified Arabic" w:eastAsia="Times New Roman" w:hAnsi="Simplified Arabic" w:cs="Simplified Arabic"/>
          <w:bCs/>
          <w:sz w:val="24"/>
          <w:szCs w:val="20"/>
          <w:lang w:val="en-GB"/>
        </w:rPr>
        <w:t>Overall, the findings confirm that intelligent, privacy-preserving IoT systems can play a critical role in improving the management of chronic diseases such as diabetes, particularly during public health emergencies and in long-term digital healthcare settings.</w:t>
      </w:r>
    </w:p>
    <w:p w14:paraId="5CC82505" w14:textId="627382EE" w:rsidR="00590248" w:rsidRPr="003239EB" w:rsidRDefault="00000000" w:rsidP="008F22B3">
      <w:pPr>
        <w:rPr>
          <w:rFonts w:ascii="Simplified Arabic" w:hAnsi="Simplified Arabic" w:cs="Simplified Arabic"/>
        </w:rPr>
      </w:pPr>
      <w:r w:rsidRPr="003239EB">
        <w:rPr>
          <w:rFonts w:ascii="Simplified Arabic" w:eastAsia="Times New Roman" w:hAnsi="Simplified Arabic" w:cs="Simplified Arabic"/>
          <w:b/>
          <w:sz w:val="28"/>
        </w:rPr>
        <w:t>10. Recommendations</w:t>
      </w:r>
    </w:p>
    <w:p w14:paraId="630924BF" w14:textId="77777777" w:rsidR="003239EB" w:rsidRPr="003239EB" w:rsidRDefault="008F22B3"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rPr>
        <w:t xml:space="preserve"> </w:t>
      </w:r>
      <w:r w:rsidR="003239EB" w:rsidRPr="003239EB">
        <w:rPr>
          <w:rFonts w:ascii="Simplified Arabic" w:eastAsia="Times New Roman" w:hAnsi="Simplified Arabic" w:cs="Simplified Arabic"/>
          <w:sz w:val="24"/>
          <w:szCs w:val="24"/>
          <w:lang w:val="en-GB"/>
        </w:rPr>
        <w:t>Based on the findings of this study, several scientific and practical recommendations are proposed.</w:t>
      </w:r>
    </w:p>
    <w:p w14:paraId="70D39B3C" w14:textId="77777777" w:rsidR="003239EB" w:rsidRPr="003239EB" w:rsidRDefault="003239EB"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lang w:val="en-GB"/>
        </w:rPr>
        <w:t>From a scientific perspective, future research should focus on validating the proposed framework using real-world clinical deployments involving larger and more diverse patient populations. Incorporating additional physiological and contextual data, such as physical activity levels or medication adherence, may further enhance predictive accuracy and personalization. Future studies may also explore advanced federated optimization strategies and continual learning techniques to improve long-term adaptability of the models.</w:t>
      </w:r>
    </w:p>
    <w:p w14:paraId="00F74390" w14:textId="77777777" w:rsidR="003239EB" w:rsidRPr="003239EB" w:rsidRDefault="003239EB"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lang w:val="en-GB"/>
        </w:rPr>
        <w:t>From a practical perspective, healthcare providers and policymakers are encouraged to consider adopting IoT-based remote monitoring systems that integrate edge intelligence and privacy-preserving learning mechanisms. Such systems can support early detection of health deterioration, reduce unnecessary hospital visits, and optimize the allocation of healthcare resources. Emphasis should be placed on integrating explainable AI components to ensure transparency and build clinician confidence in automated decision-support tools.</w:t>
      </w:r>
    </w:p>
    <w:p w14:paraId="28E79B0B" w14:textId="77777777" w:rsidR="003239EB" w:rsidRPr="003239EB" w:rsidRDefault="003239EB"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lang w:val="en-GB"/>
        </w:rPr>
        <w:t xml:space="preserve">Additionally, system developers should prioritize data quality management, interoperability with existing healthcare information systems, and compliance with data protection </w:t>
      </w:r>
      <w:r w:rsidRPr="003239EB">
        <w:rPr>
          <w:rFonts w:ascii="Simplified Arabic" w:eastAsia="Times New Roman" w:hAnsi="Simplified Arabic" w:cs="Simplified Arabic"/>
          <w:sz w:val="24"/>
          <w:szCs w:val="24"/>
          <w:lang w:val="en-GB"/>
        </w:rPr>
        <w:lastRenderedPageBreak/>
        <w:t xml:space="preserve">regulations. Training healthcare professionals to effectively interpret </w:t>
      </w:r>
      <w:proofErr w:type="gramStart"/>
      <w:r w:rsidRPr="003239EB">
        <w:rPr>
          <w:rFonts w:ascii="Simplified Arabic" w:eastAsia="Times New Roman" w:hAnsi="Simplified Arabic" w:cs="Simplified Arabic"/>
          <w:sz w:val="24"/>
          <w:szCs w:val="24"/>
          <w:lang w:val="en-GB"/>
        </w:rPr>
        <w:t>and</w:t>
      </w:r>
      <w:proofErr w:type="gramEnd"/>
      <w:r w:rsidRPr="003239EB">
        <w:rPr>
          <w:rFonts w:ascii="Simplified Arabic" w:eastAsia="Times New Roman" w:hAnsi="Simplified Arabic" w:cs="Simplified Arabic"/>
          <w:sz w:val="24"/>
          <w:szCs w:val="24"/>
          <w:lang w:val="en-GB"/>
        </w:rPr>
        <w:t xml:space="preserve"> act upon intelligent alerts is also essential to maximize the benefits of remote monitoring technologies.</w:t>
      </w:r>
    </w:p>
    <w:p w14:paraId="5833C385" w14:textId="77777777" w:rsidR="003239EB" w:rsidRPr="003239EB" w:rsidRDefault="003239EB" w:rsidP="003239EB">
      <w:pPr>
        <w:spacing w:line="240" w:lineRule="auto"/>
        <w:rPr>
          <w:rFonts w:ascii="Simplified Arabic" w:eastAsia="Times New Roman" w:hAnsi="Simplified Arabic" w:cs="Simplified Arabic"/>
          <w:sz w:val="24"/>
          <w:szCs w:val="24"/>
          <w:lang w:val="en-GB"/>
        </w:rPr>
      </w:pPr>
      <w:r w:rsidRPr="003239EB">
        <w:rPr>
          <w:rFonts w:ascii="Simplified Arabic" w:eastAsia="Times New Roman" w:hAnsi="Simplified Arabic" w:cs="Simplified Arabic"/>
          <w:sz w:val="24"/>
          <w:szCs w:val="24"/>
          <w:lang w:val="en-GB"/>
        </w:rPr>
        <w:t>In conclusion, the proposed IoT-based monitoring framework provides a strong foundation for scalable, reliable, and ethical digital healthcare solutions. Its adoption and further development can significantly contribute to improving chronic disease management and strengthening healthcare system resilience in both emergency and routine care contexts.</w:t>
      </w:r>
    </w:p>
    <w:p w14:paraId="5B514774" w14:textId="77777777" w:rsidR="003239EB" w:rsidRDefault="003239EB" w:rsidP="003239EB"/>
    <w:p w14:paraId="54AD3BBD" w14:textId="0CACC6BF" w:rsidR="00590248" w:rsidRDefault="00000000" w:rsidP="003239EB">
      <w:r>
        <w:rPr>
          <w:rFonts w:ascii="Times New Roman" w:eastAsia="Times New Roman" w:hAnsi="Times New Roman"/>
          <w:b/>
          <w:sz w:val="28"/>
        </w:rPr>
        <w:t>References</w:t>
      </w:r>
    </w:p>
    <w:p w14:paraId="6B79A20D"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Ahmad, M., Hassan, R., &amp; Khalid, S. (2022). Mobile-based IoT health monitoring system for diabetic patients during COVID-19. </w:t>
      </w:r>
      <w:r w:rsidRPr="0091250C">
        <w:rPr>
          <w:rFonts w:asciiTheme="majorBidi" w:hAnsiTheme="majorBidi" w:cstheme="majorBidi"/>
          <w:i/>
          <w:iCs/>
          <w:sz w:val="24"/>
          <w:szCs w:val="24"/>
          <w:lang w:val="en-GB"/>
        </w:rPr>
        <w:t>International Journal of Medical Informatics, 162</w:t>
      </w:r>
      <w:r w:rsidRPr="0091250C">
        <w:rPr>
          <w:rFonts w:asciiTheme="majorBidi" w:hAnsiTheme="majorBidi" w:cstheme="majorBidi"/>
          <w:sz w:val="24"/>
          <w:szCs w:val="24"/>
          <w:lang w:val="en-GB"/>
        </w:rPr>
        <w:t>, 104758. https://doi.org/10.1016/j.ijmedinf.2022.104758</w:t>
      </w:r>
    </w:p>
    <w:p w14:paraId="344ACC1A"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Alotaibi, Y., Mehmood, R., Katib, I., Rana, O., &amp; </w:t>
      </w:r>
      <w:proofErr w:type="spellStart"/>
      <w:r w:rsidRPr="0091250C">
        <w:rPr>
          <w:rFonts w:asciiTheme="majorBidi" w:hAnsiTheme="majorBidi" w:cstheme="majorBidi"/>
          <w:sz w:val="24"/>
          <w:szCs w:val="24"/>
          <w:lang w:val="en-GB"/>
        </w:rPr>
        <w:t>Albeshri</w:t>
      </w:r>
      <w:proofErr w:type="spellEnd"/>
      <w:r w:rsidRPr="0091250C">
        <w:rPr>
          <w:rFonts w:asciiTheme="majorBidi" w:hAnsiTheme="majorBidi" w:cstheme="majorBidi"/>
          <w:sz w:val="24"/>
          <w:szCs w:val="24"/>
          <w:lang w:val="en-GB"/>
        </w:rPr>
        <w:t xml:space="preserve">, A. (2021). Sehaa: A big data analytics tool for healthcare symptoms and diseases detection using Twitter, Apache Spark, and machine learning. </w:t>
      </w:r>
      <w:r w:rsidRPr="0091250C">
        <w:rPr>
          <w:rFonts w:asciiTheme="majorBidi" w:hAnsiTheme="majorBidi" w:cstheme="majorBidi"/>
          <w:i/>
          <w:iCs/>
          <w:sz w:val="24"/>
          <w:szCs w:val="24"/>
          <w:lang w:val="en-GB"/>
        </w:rPr>
        <w:t>Applied Sciences, 11</w:t>
      </w:r>
      <w:r w:rsidRPr="0091250C">
        <w:rPr>
          <w:rFonts w:asciiTheme="majorBidi" w:hAnsiTheme="majorBidi" w:cstheme="majorBidi"/>
          <w:sz w:val="24"/>
          <w:szCs w:val="24"/>
          <w:lang w:val="en-GB"/>
        </w:rPr>
        <w:t>(4), 1564. https://doi.org/10.3390/app11041564</w:t>
      </w:r>
    </w:p>
    <w:p w14:paraId="3484D331"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Chen, X., Wang, Y., Zhang, L., &amp; Li, H. (2021). Edge AI–enabled IoT healthcare monitoring system for early detection of patient deterioration. </w:t>
      </w:r>
      <w:r w:rsidRPr="0091250C">
        <w:rPr>
          <w:rFonts w:asciiTheme="majorBidi" w:hAnsiTheme="majorBidi" w:cstheme="majorBidi"/>
          <w:i/>
          <w:iCs/>
          <w:sz w:val="24"/>
          <w:szCs w:val="24"/>
          <w:lang w:val="en-GB"/>
        </w:rPr>
        <w:t>IEEE Access, 9</w:t>
      </w:r>
      <w:r w:rsidRPr="0091250C">
        <w:rPr>
          <w:rFonts w:asciiTheme="majorBidi" w:hAnsiTheme="majorBidi" w:cstheme="majorBidi"/>
          <w:sz w:val="24"/>
          <w:szCs w:val="24"/>
          <w:lang w:val="en-GB"/>
        </w:rPr>
        <w:t>, 123456–123468. https://doi.org/10.1109/ACCESS.2021.3098765</w:t>
      </w:r>
    </w:p>
    <w:p w14:paraId="66A6DF28"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El-Sayed, H., &amp; Abdelrahman, M. (2022). Latency-aware IoT–fog–cloud architecture for healthcare monitoring systems. </w:t>
      </w:r>
      <w:r w:rsidRPr="0091250C">
        <w:rPr>
          <w:rFonts w:asciiTheme="majorBidi" w:hAnsiTheme="majorBidi" w:cstheme="majorBidi"/>
          <w:i/>
          <w:iCs/>
          <w:sz w:val="24"/>
          <w:szCs w:val="24"/>
          <w:lang w:val="en-GB"/>
        </w:rPr>
        <w:t>Future Generation Computer Systems, 128</w:t>
      </w:r>
      <w:r w:rsidRPr="0091250C">
        <w:rPr>
          <w:rFonts w:asciiTheme="majorBidi" w:hAnsiTheme="majorBidi" w:cstheme="majorBidi"/>
          <w:sz w:val="24"/>
          <w:szCs w:val="24"/>
          <w:lang w:val="en-GB"/>
        </w:rPr>
        <w:t>, 329–341. https://doi.org/10.1016/j.future.2021.10.012</w:t>
      </w:r>
    </w:p>
    <w:p w14:paraId="2ACBF200"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Gaur, A., &amp; Raut, S. (2021). IoT-enabled teleconsultation framework for diabetic patient monitoring. </w:t>
      </w:r>
      <w:r w:rsidRPr="0091250C">
        <w:rPr>
          <w:rFonts w:asciiTheme="majorBidi" w:hAnsiTheme="majorBidi" w:cstheme="majorBidi"/>
          <w:i/>
          <w:iCs/>
          <w:sz w:val="24"/>
          <w:szCs w:val="24"/>
          <w:lang w:val="en-GB"/>
        </w:rPr>
        <w:t>Journal of Ambient Intelligence and Humanized Computing, 12</w:t>
      </w:r>
      <w:r w:rsidRPr="0091250C">
        <w:rPr>
          <w:rFonts w:asciiTheme="majorBidi" w:hAnsiTheme="majorBidi" w:cstheme="majorBidi"/>
          <w:sz w:val="24"/>
          <w:szCs w:val="24"/>
          <w:lang w:val="en-GB"/>
        </w:rPr>
        <w:t>(7), 7461–7474. https://doi.org/10.1007/s12652-020-02634-5</w:t>
      </w:r>
    </w:p>
    <w:p w14:paraId="6D0FB620"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Ghosh, S., &amp; Patil, S. (2021). Blockchain-based secure IoT framework for healthcare monitoring. </w:t>
      </w:r>
      <w:r w:rsidRPr="0091250C">
        <w:rPr>
          <w:rFonts w:asciiTheme="majorBidi" w:hAnsiTheme="majorBidi" w:cstheme="majorBidi"/>
          <w:i/>
          <w:iCs/>
          <w:sz w:val="24"/>
          <w:szCs w:val="24"/>
          <w:lang w:val="en-GB"/>
        </w:rPr>
        <w:t>Journal of Network and Computer Applications, 172</w:t>
      </w:r>
      <w:r w:rsidRPr="0091250C">
        <w:rPr>
          <w:rFonts w:asciiTheme="majorBidi" w:hAnsiTheme="majorBidi" w:cstheme="majorBidi"/>
          <w:sz w:val="24"/>
          <w:szCs w:val="24"/>
          <w:lang w:val="en-GB"/>
        </w:rPr>
        <w:t>, 102884. https://doi.org/10.1016/j.jnca.2020.102884</w:t>
      </w:r>
    </w:p>
    <w:p w14:paraId="0ECAD873"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Hussain, F., Hussain, R., Hassan, S. A., &amp; Hossain, E. (2022). Machine learning-based patient monitoring using wearable IoT devices. </w:t>
      </w:r>
      <w:r w:rsidRPr="0091250C">
        <w:rPr>
          <w:rFonts w:asciiTheme="majorBidi" w:hAnsiTheme="majorBidi" w:cstheme="majorBidi"/>
          <w:i/>
          <w:iCs/>
          <w:sz w:val="24"/>
          <w:szCs w:val="24"/>
          <w:lang w:val="en-GB"/>
        </w:rPr>
        <w:t>IEEE Sensors Journal, 22</w:t>
      </w:r>
      <w:r w:rsidRPr="0091250C">
        <w:rPr>
          <w:rFonts w:asciiTheme="majorBidi" w:hAnsiTheme="majorBidi" w:cstheme="majorBidi"/>
          <w:sz w:val="24"/>
          <w:szCs w:val="24"/>
          <w:lang w:val="en-GB"/>
        </w:rPr>
        <w:t>(3), 2345–2356. https://doi.org/10.1109/JSEN.2021.3134567</w:t>
      </w:r>
    </w:p>
    <w:p w14:paraId="16DE59C5"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Lopez, J., Roman, R., Alcaraz, C., &amp; Najera, P. (2022). Connectivity evaluation of NB-IoT and LTE for remote healthcare monitoring. </w:t>
      </w:r>
      <w:r w:rsidRPr="0091250C">
        <w:rPr>
          <w:rFonts w:asciiTheme="majorBidi" w:hAnsiTheme="majorBidi" w:cstheme="majorBidi"/>
          <w:i/>
          <w:iCs/>
          <w:sz w:val="24"/>
          <w:szCs w:val="24"/>
          <w:lang w:val="en-GB"/>
        </w:rPr>
        <w:t>Sensors, 22</w:t>
      </w:r>
      <w:r w:rsidRPr="0091250C">
        <w:rPr>
          <w:rFonts w:asciiTheme="majorBidi" w:hAnsiTheme="majorBidi" w:cstheme="majorBidi"/>
          <w:sz w:val="24"/>
          <w:szCs w:val="24"/>
          <w:lang w:val="en-GB"/>
        </w:rPr>
        <w:t>(9), 3456. https://doi.org/10.3390/s22093456</w:t>
      </w:r>
    </w:p>
    <w:p w14:paraId="6B269190"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Patel, S., Park, H., Bonato, P., Chan, L., &amp; Rodgers, M. (2021). A review of wearable sensors and systems with application in rehabilitation. </w:t>
      </w:r>
      <w:r w:rsidRPr="0091250C">
        <w:rPr>
          <w:rFonts w:asciiTheme="majorBidi" w:hAnsiTheme="majorBidi" w:cstheme="majorBidi"/>
          <w:i/>
          <w:iCs/>
          <w:sz w:val="24"/>
          <w:szCs w:val="24"/>
          <w:lang w:val="en-GB"/>
        </w:rPr>
        <w:t xml:space="preserve">Journal of </w:t>
      </w:r>
      <w:proofErr w:type="spellStart"/>
      <w:r w:rsidRPr="0091250C">
        <w:rPr>
          <w:rFonts w:asciiTheme="majorBidi" w:hAnsiTheme="majorBidi" w:cstheme="majorBidi"/>
          <w:i/>
          <w:iCs/>
          <w:sz w:val="24"/>
          <w:szCs w:val="24"/>
          <w:lang w:val="en-GB"/>
        </w:rPr>
        <w:t>NeuroEngineering</w:t>
      </w:r>
      <w:proofErr w:type="spellEnd"/>
      <w:r w:rsidRPr="0091250C">
        <w:rPr>
          <w:rFonts w:asciiTheme="majorBidi" w:hAnsiTheme="majorBidi" w:cstheme="majorBidi"/>
          <w:i/>
          <w:iCs/>
          <w:sz w:val="24"/>
          <w:szCs w:val="24"/>
          <w:lang w:val="en-GB"/>
        </w:rPr>
        <w:t xml:space="preserve"> and Rehabilitation, 18</w:t>
      </w:r>
      <w:r w:rsidRPr="0091250C">
        <w:rPr>
          <w:rFonts w:asciiTheme="majorBidi" w:hAnsiTheme="majorBidi" w:cstheme="majorBidi"/>
          <w:sz w:val="24"/>
          <w:szCs w:val="24"/>
          <w:lang w:val="en-GB"/>
        </w:rPr>
        <w:t>(1), 1–17. https://doi.org/10.1186/s12984-021-00889-4</w:t>
      </w:r>
    </w:p>
    <w:p w14:paraId="41AB2797"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Routh, S., Saha, A., &amp; Mukherjee, A. (2020). Privacy and usability challenges in IoT-based healthcare systems. </w:t>
      </w:r>
      <w:r w:rsidRPr="0091250C">
        <w:rPr>
          <w:rFonts w:asciiTheme="majorBidi" w:hAnsiTheme="majorBidi" w:cstheme="majorBidi"/>
          <w:i/>
          <w:iCs/>
          <w:sz w:val="24"/>
          <w:szCs w:val="24"/>
          <w:lang w:val="en-GB"/>
        </w:rPr>
        <w:t>Computer Methods and Programs in Biomedicine, 196</w:t>
      </w:r>
      <w:r w:rsidRPr="0091250C">
        <w:rPr>
          <w:rFonts w:asciiTheme="majorBidi" w:hAnsiTheme="majorBidi" w:cstheme="majorBidi"/>
          <w:sz w:val="24"/>
          <w:szCs w:val="24"/>
          <w:lang w:val="en-GB"/>
        </w:rPr>
        <w:t>, 105630. https://doi.org/10.1016/j.cmpb.2020.105630</w:t>
      </w:r>
    </w:p>
    <w:p w14:paraId="5E1AA372"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lastRenderedPageBreak/>
        <w:t xml:space="preserve">Singh, A., &amp; Verma, P. (2020). Remote monitoring of diabetic patients using IoT and cloud computing during COVID-19. </w:t>
      </w:r>
      <w:r w:rsidRPr="0091250C">
        <w:rPr>
          <w:rFonts w:asciiTheme="majorBidi" w:hAnsiTheme="majorBidi" w:cstheme="majorBidi"/>
          <w:i/>
          <w:iCs/>
          <w:sz w:val="24"/>
          <w:szCs w:val="24"/>
          <w:lang w:val="en-GB"/>
        </w:rPr>
        <w:t>Journal of Medical Systems, 44</w:t>
      </w:r>
      <w:r w:rsidRPr="0091250C">
        <w:rPr>
          <w:rFonts w:asciiTheme="majorBidi" w:hAnsiTheme="majorBidi" w:cstheme="majorBidi"/>
          <w:sz w:val="24"/>
          <w:szCs w:val="24"/>
          <w:lang w:val="en-GB"/>
        </w:rPr>
        <w:t>(8), 1–12. https://doi.org/10.1007/s10916-020-01614-9</w:t>
      </w:r>
    </w:p>
    <w:p w14:paraId="3EFD3337"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Smith, J., &amp; Alsharif, M. H. (2022). Performance evaluation of NB-IoT for remote patient monitoring applications. </w:t>
      </w:r>
      <w:r w:rsidRPr="0091250C">
        <w:rPr>
          <w:rFonts w:asciiTheme="majorBidi" w:hAnsiTheme="majorBidi" w:cstheme="majorBidi"/>
          <w:i/>
          <w:iCs/>
          <w:sz w:val="24"/>
          <w:szCs w:val="24"/>
          <w:lang w:val="en-GB"/>
        </w:rPr>
        <w:t>IEEE Internet of Things Journal, 9</w:t>
      </w:r>
      <w:r w:rsidRPr="0091250C">
        <w:rPr>
          <w:rFonts w:asciiTheme="majorBidi" w:hAnsiTheme="majorBidi" w:cstheme="majorBidi"/>
          <w:sz w:val="24"/>
          <w:szCs w:val="24"/>
          <w:lang w:val="en-GB"/>
        </w:rPr>
        <w:t>(5), 3891–3902. https://doi.org/10.1109/JIOT.2021.3099987</w:t>
      </w:r>
    </w:p>
    <w:p w14:paraId="12A2A6EA"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Tariq, M., Khan, S., &amp; Rehman, A. (2023). IoT-based diabetes self-management system with SMS reminder support. </w:t>
      </w:r>
      <w:r w:rsidRPr="0091250C">
        <w:rPr>
          <w:rFonts w:asciiTheme="majorBidi" w:hAnsiTheme="majorBidi" w:cstheme="majorBidi"/>
          <w:i/>
          <w:iCs/>
          <w:sz w:val="24"/>
          <w:szCs w:val="24"/>
          <w:lang w:val="en-GB"/>
        </w:rPr>
        <w:t>Healthcare Technology Letters, 10</w:t>
      </w:r>
      <w:r w:rsidRPr="0091250C">
        <w:rPr>
          <w:rFonts w:asciiTheme="majorBidi" w:hAnsiTheme="majorBidi" w:cstheme="majorBidi"/>
          <w:sz w:val="24"/>
          <w:szCs w:val="24"/>
          <w:lang w:val="en-GB"/>
        </w:rPr>
        <w:t>(2), 45–52. https://doi.org/10.1049/htl2.12045</w:t>
      </w:r>
    </w:p>
    <w:p w14:paraId="04EA21FF"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Yaqoob, I., Ahmed, E., Rehman, M. H. U., Vasilakos, A. V., &amp; Salah, K. (2021). Internet of Things for healthcare: A survey during COVID-19. </w:t>
      </w:r>
      <w:r w:rsidRPr="0091250C">
        <w:rPr>
          <w:rFonts w:asciiTheme="majorBidi" w:hAnsiTheme="majorBidi" w:cstheme="majorBidi"/>
          <w:i/>
          <w:iCs/>
          <w:sz w:val="24"/>
          <w:szCs w:val="24"/>
          <w:lang w:val="en-GB"/>
        </w:rPr>
        <w:t>IEEE Access, 9</w:t>
      </w:r>
      <w:r w:rsidRPr="0091250C">
        <w:rPr>
          <w:rFonts w:asciiTheme="majorBidi" w:hAnsiTheme="majorBidi" w:cstheme="majorBidi"/>
          <w:sz w:val="24"/>
          <w:szCs w:val="24"/>
          <w:lang w:val="en-GB"/>
        </w:rPr>
        <w:t>, 1079–1101. https://doi.org/10.1109/ACCESS.2020.3041700</w:t>
      </w:r>
    </w:p>
    <w:p w14:paraId="2526F5F3" w14:textId="77777777" w:rsidR="0091250C" w:rsidRPr="0091250C" w:rsidRDefault="0091250C" w:rsidP="0091250C">
      <w:pPr>
        <w:spacing w:line="240" w:lineRule="auto"/>
        <w:rPr>
          <w:rFonts w:asciiTheme="majorBidi" w:hAnsiTheme="majorBidi" w:cstheme="majorBidi"/>
          <w:sz w:val="24"/>
          <w:szCs w:val="24"/>
          <w:lang w:val="en-GB"/>
        </w:rPr>
      </w:pPr>
      <w:r w:rsidRPr="0091250C">
        <w:rPr>
          <w:rFonts w:asciiTheme="majorBidi" w:hAnsiTheme="majorBidi" w:cstheme="majorBidi"/>
          <w:sz w:val="24"/>
          <w:szCs w:val="24"/>
          <w:lang w:val="en-GB"/>
        </w:rPr>
        <w:t xml:space="preserve">Zhang, L., Wang, X., Liu, Y., &amp; Chen, H. (2023). Federated learning-based IoT framework for diabetic patient monitoring and risk prediction. </w:t>
      </w:r>
      <w:r w:rsidRPr="0091250C">
        <w:rPr>
          <w:rFonts w:asciiTheme="majorBidi" w:hAnsiTheme="majorBidi" w:cstheme="majorBidi"/>
          <w:i/>
          <w:iCs/>
          <w:sz w:val="24"/>
          <w:szCs w:val="24"/>
          <w:lang w:val="en-GB"/>
        </w:rPr>
        <w:t>Sensors, 23</w:t>
      </w:r>
      <w:r w:rsidRPr="0091250C">
        <w:rPr>
          <w:rFonts w:asciiTheme="majorBidi" w:hAnsiTheme="majorBidi" w:cstheme="majorBidi"/>
          <w:sz w:val="24"/>
          <w:szCs w:val="24"/>
          <w:lang w:val="en-GB"/>
        </w:rPr>
        <w:t>(6), 2874. https://doi.org/10.3390/s23062874</w:t>
      </w:r>
    </w:p>
    <w:p w14:paraId="10C4A53F" w14:textId="7CB80CC5" w:rsidR="00590248" w:rsidRPr="0091250C" w:rsidRDefault="00590248">
      <w:pPr>
        <w:spacing w:line="240" w:lineRule="auto"/>
        <w:rPr>
          <w:rFonts w:asciiTheme="majorBidi" w:hAnsiTheme="majorBidi" w:cstheme="majorBidi"/>
          <w:sz w:val="24"/>
          <w:szCs w:val="24"/>
        </w:rPr>
      </w:pPr>
    </w:p>
    <w:sectPr w:rsidR="00590248" w:rsidRPr="0091250C" w:rsidSect="00034616">
      <w:headerReference w:type="default" r:id="rId10"/>
      <w:footerReference w:type="default" r:id="rId11"/>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A143C" w14:textId="77777777" w:rsidR="00A93AB7" w:rsidRDefault="00A93AB7">
      <w:pPr>
        <w:spacing w:after="0" w:line="240" w:lineRule="auto"/>
      </w:pPr>
      <w:r>
        <w:separator/>
      </w:r>
    </w:p>
  </w:endnote>
  <w:endnote w:type="continuationSeparator" w:id="0">
    <w:p w14:paraId="4F60A349" w14:textId="77777777" w:rsidR="00A93AB7" w:rsidRDefault="00A93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68610" w14:textId="11D1C00C" w:rsidR="00590248" w:rsidRDefault="00000000">
    <w:pPr>
      <w:pStyle w:val="Footer"/>
      <w:jc w:val="center"/>
    </w:pPr>
    <w:r>
      <w:rPr>
        <w:rFonts w:ascii="Times New Roman" w:eastAsia="Times New Roman" w:hAnsi="Times New Roman"/>
        <w:sz w:val="20"/>
      </w:rPr>
      <w:fldChar w:fldCharType="begin"/>
    </w:r>
    <w:r>
      <w:rPr>
        <w:rFonts w:ascii="Times New Roman" w:eastAsia="Times New Roman" w:hAnsi="Times New Roman"/>
        <w:sz w:val="20"/>
      </w:rPr>
      <w:instrText>PAGE</w:instrText>
    </w:r>
    <w:r>
      <w:rPr>
        <w:rFonts w:ascii="Times New Roman" w:eastAsia="Times New Roman" w:hAnsi="Times New Roman"/>
        <w:sz w:val="20"/>
      </w:rPr>
      <w:fldChar w:fldCharType="separate"/>
    </w:r>
    <w:r w:rsidR="008F22B3">
      <w:rPr>
        <w:rFonts w:ascii="Times New Roman" w:eastAsia="Times New Roman" w:hAnsi="Times New Roman"/>
        <w:noProof/>
        <w:sz w:val="20"/>
      </w:rPr>
      <w:t>1</w:t>
    </w:r>
    <w:r>
      <w:rPr>
        <w:rFonts w:ascii="Times New Roman" w:eastAsia="Times New Roman" w:hAnsi="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AFE64" w14:textId="77777777" w:rsidR="00A93AB7" w:rsidRDefault="00A93AB7">
      <w:pPr>
        <w:spacing w:after="0" w:line="240" w:lineRule="auto"/>
      </w:pPr>
      <w:r>
        <w:separator/>
      </w:r>
    </w:p>
  </w:footnote>
  <w:footnote w:type="continuationSeparator" w:id="0">
    <w:p w14:paraId="4B08CB7C" w14:textId="77777777" w:rsidR="00A93AB7" w:rsidRDefault="00A93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F6B4C" w14:textId="77777777" w:rsidR="00DD65E1" w:rsidRDefault="00DD65E1" w:rsidP="00DD65E1">
    <w:pPr>
      <w:spacing w:line="212" w:lineRule="exact"/>
      <w:ind w:left="20"/>
      <w:rPr>
        <w:rFonts w:ascii="Tahoma" w:hAnsi="Tahoma"/>
        <w:sz w:val="18"/>
      </w:rPr>
    </w:pPr>
    <w:r>
      <w:rPr>
        <w:rFonts w:ascii="Tahoma" w:hAnsi="Tahoma"/>
        <w:spacing w:val="-6"/>
        <w:sz w:val="18"/>
      </w:rPr>
      <w:t>Midocean</w:t>
    </w:r>
    <w:r>
      <w:rPr>
        <w:rFonts w:ascii="Tahoma" w:hAnsi="Tahoma"/>
        <w:spacing w:val="-5"/>
        <w:sz w:val="18"/>
      </w:rPr>
      <w:t xml:space="preserve"> </w:t>
    </w:r>
    <w:r>
      <w:rPr>
        <w:rFonts w:ascii="Tahoma" w:hAnsi="Tahoma"/>
        <w:spacing w:val="-6"/>
        <w:sz w:val="18"/>
      </w:rPr>
      <w:t>Journal</w:t>
    </w:r>
    <w:r>
      <w:rPr>
        <w:rFonts w:ascii="Tahoma" w:hAnsi="Tahoma"/>
        <w:spacing w:val="-2"/>
        <w:sz w:val="18"/>
      </w:rPr>
      <w:t xml:space="preserve"> </w:t>
    </w:r>
    <w:r>
      <w:rPr>
        <w:rFonts w:ascii="Tahoma" w:hAnsi="Tahoma"/>
        <w:spacing w:val="-6"/>
        <w:sz w:val="18"/>
      </w:rPr>
      <w:t>for</w:t>
    </w:r>
    <w:r>
      <w:rPr>
        <w:rFonts w:ascii="Tahoma" w:hAnsi="Tahoma"/>
        <w:spacing w:val="-4"/>
        <w:sz w:val="18"/>
      </w:rPr>
      <w:t xml:space="preserve"> </w:t>
    </w:r>
    <w:r>
      <w:rPr>
        <w:rFonts w:ascii="Tahoma" w:hAnsi="Tahoma"/>
        <w:spacing w:val="-6"/>
        <w:sz w:val="18"/>
      </w:rPr>
      <w:t>Research</w:t>
    </w:r>
    <w:r>
      <w:rPr>
        <w:rFonts w:ascii="Tahoma" w:hAnsi="Tahoma"/>
        <w:spacing w:val="-5"/>
        <w:sz w:val="18"/>
      </w:rPr>
      <w:t xml:space="preserve"> </w:t>
    </w:r>
    <w:r>
      <w:rPr>
        <w:rFonts w:ascii="Tahoma" w:hAnsi="Tahoma"/>
        <w:spacing w:val="-6"/>
        <w:sz w:val="18"/>
      </w:rPr>
      <w:t>and</w:t>
    </w:r>
    <w:r>
      <w:rPr>
        <w:rFonts w:ascii="Tahoma" w:hAnsi="Tahoma"/>
        <w:spacing w:val="-5"/>
        <w:sz w:val="18"/>
      </w:rPr>
      <w:t xml:space="preserve"> </w:t>
    </w:r>
    <w:r>
      <w:rPr>
        <w:rFonts w:ascii="Tahoma" w:hAnsi="Tahoma"/>
        <w:spacing w:val="-6"/>
        <w:sz w:val="18"/>
      </w:rPr>
      <w:t>Studies</w:t>
    </w:r>
    <w:r>
      <w:rPr>
        <w:rFonts w:ascii="Tahoma" w:hAnsi="Tahoma"/>
        <w:spacing w:val="1"/>
        <w:sz w:val="18"/>
      </w:rPr>
      <w:t xml:space="preserve"> </w:t>
    </w:r>
    <w:r>
      <w:rPr>
        <w:rFonts w:ascii="Tahoma" w:hAnsi="Tahoma"/>
        <w:spacing w:val="-6"/>
        <w:sz w:val="18"/>
      </w:rPr>
      <w:t>–</w:t>
    </w:r>
    <w:r>
      <w:rPr>
        <w:rFonts w:ascii="Tahoma" w:hAnsi="Tahoma"/>
        <w:spacing w:val="-5"/>
        <w:sz w:val="18"/>
      </w:rPr>
      <w:t xml:space="preserve"> </w:t>
    </w:r>
    <w:r>
      <w:rPr>
        <w:rFonts w:ascii="Tahoma" w:hAnsi="Tahoma"/>
        <w:spacing w:val="-6"/>
        <w:sz w:val="18"/>
      </w:rPr>
      <w:t>Vol</w:t>
    </w:r>
    <w:r>
      <w:rPr>
        <w:rFonts w:ascii="Tahoma" w:hAnsi="Tahoma"/>
        <w:spacing w:val="-1"/>
        <w:sz w:val="18"/>
      </w:rPr>
      <w:t xml:space="preserve"> </w:t>
    </w:r>
    <w:r>
      <w:rPr>
        <w:rFonts w:ascii="Tahoma" w:hAnsi="Tahoma"/>
        <w:spacing w:val="-6"/>
        <w:sz w:val="18"/>
      </w:rPr>
      <w:t>1,</w:t>
    </w:r>
    <w:r>
      <w:rPr>
        <w:rFonts w:ascii="Tahoma" w:hAnsi="Tahoma"/>
        <w:spacing w:val="-5"/>
        <w:sz w:val="18"/>
      </w:rPr>
      <w:t xml:space="preserve"> </w:t>
    </w:r>
    <w:r>
      <w:rPr>
        <w:rFonts w:ascii="Tahoma" w:hAnsi="Tahoma"/>
        <w:spacing w:val="-6"/>
        <w:sz w:val="18"/>
      </w:rPr>
      <w:t>No</w:t>
    </w:r>
    <w:r>
      <w:rPr>
        <w:rFonts w:ascii="Tahoma" w:hAnsi="Tahoma"/>
        <w:spacing w:val="-1"/>
        <w:sz w:val="18"/>
      </w:rPr>
      <w:t xml:space="preserve"> </w:t>
    </w:r>
    <w:r>
      <w:rPr>
        <w:rFonts w:ascii="Tahoma" w:hAnsi="Tahoma"/>
        <w:spacing w:val="-6"/>
        <w:sz w:val="18"/>
      </w:rPr>
      <w:t>1,</w:t>
    </w:r>
    <w:r>
      <w:rPr>
        <w:rFonts w:ascii="Tahoma" w:hAnsi="Tahoma"/>
        <w:spacing w:val="-4"/>
        <w:sz w:val="18"/>
      </w:rPr>
      <w:t xml:space="preserve"> </w:t>
    </w:r>
    <w:r>
      <w:rPr>
        <w:rFonts w:ascii="Tahoma" w:hAnsi="Tahoma"/>
        <w:spacing w:val="-6"/>
        <w:sz w:val="18"/>
      </w:rPr>
      <w:t>2024</w:t>
    </w:r>
  </w:p>
  <w:p w14:paraId="7671F337" w14:textId="4C3BAD98" w:rsidR="00DD65E1" w:rsidRDefault="00DD6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630159"/>
    <w:multiLevelType w:val="multilevel"/>
    <w:tmpl w:val="BD60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6B3D95"/>
    <w:multiLevelType w:val="multilevel"/>
    <w:tmpl w:val="8F52D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9F3B87"/>
    <w:multiLevelType w:val="multilevel"/>
    <w:tmpl w:val="F978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636218"/>
    <w:multiLevelType w:val="multilevel"/>
    <w:tmpl w:val="DC2C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106729">
    <w:abstractNumId w:val="8"/>
  </w:num>
  <w:num w:numId="2" w16cid:durableId="926571613">
    <w:abstractNumId w:val="6"/>
  </w:num>
  <w:num w:numId="3" w16cid:durableId="1624458722">
    <w:abstractNumId w:val="5"/>
  </w:num>
  <w:num w:numId="4" w16cid:durableId="2014183943">
    <w:abstractNumId w:val="4"/>
  </w:num>
  <w:num w:numId="5" w16cid:durableId="2144301197">
    <w:abstractNumId w:val="7"/>
  </w:num>
  <w:num w:numId="6" w16cid:durableId="1770201712">
    <w:abstractNumId w:val="3"/>
  </w:num>
  <w:num w:numId="7" w16cid:durableId="481968434">
    <w:abstractNumId w:val="2"/>
  </w:num>
  <w:num w:numId="8" w16cid:durableId="845367456">
    <w:abstractNumId w:val="1"/>
  </w:num>
  <w:num w:numId="9" w16cid:durableId="264923675">
    <w:abstractNumId w:val="0"/>
  </w:num>
  <w:num w:numId="10" w16cid:durableId="1682967991">
    <w:abstractNumId w:val="10"/>
  </w:num>
  <w:num w:numId="11" w16cid:durableId="1948661127">
    <w:abstractNumId w:val="9"/>
  </w:num>
  <w:num w:numId="12" w16cid:durableId="1867911591">
    <w:abstractNumId w:val="11"/>
  </w:num>
  <w:num w:numId="13" w16cid:durableId="3836786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2144"/>
    <w:rsid w:val="0006063C"/>
    <w:rsid w:val="0006124F"/>
    <w:rsid w:val="0015074B"/>
    <w:rsid w:val="001C3173"/>
    <w:rsid w:val="001D2DCC"/>
    <w:rsid w:val="0029639D"/>
    <w:rsid w:val="002F0C65"/>
    <w:rsid w:val="003239EB"/>
    <w:rsid w:val="00326F90"/>
    <w:rsid w:val="004200AA"/>
    <w:rsid w:val="00484440"/>
    <w:rsid w:val="00590248"/>
    <w:rsid w:val="008210FB"/>
    <w:rsid w:val="008F22B3"/>
    <w:rsid w:val="0091250C"/>
    <w:rsid w:val="009F4651"/>
    <w:rsid w:val="00A93AB7"/>
    <w:rsid w:val="00AA1D8D"/>
    <w:rsid w:val="00B47730"/>
    <w:rsid w:val="00B52F8B"/>
    <w:rsid w:val="00CB0664"/>
    <w:rsid w:val="00CE54F3"/>
    <w:rsid w:val="00D177CA"/>
    <w:rsid w:val="00DD65E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6005F9"/>
  <w14:defaultImageDpi w14:val="300"/>
  <w15:docId w15:val="{F851D61D-6BE5-4881-A546-8067C14AC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9F4651"/>
    <w:rPr>
      <w:rFonts w:ascii="Times New Roman" w:hAnsi="Times New Roman" w:cs="Times New Roman"/>
      <w:sz w:val="24"/>
      <w:szCs w:val="24"/>
    </w:rPr>
  </w:style>
  <w:style w:type="paragraph" w:customStyle="1" w:styleId="TableParagraph">
    <w:name w:val="Table Paragraph"/>
    <w:basedOn w:val="Normal"/>
    <w:uiPriority w:val="1"/>
    <w:qFormat/>
    <w:rsid w:val="00DD65E1"/>
    <w:pPr>
      <w:widowControl w:val="0"/>
      <w:autoSpaceDE w:val="0"/>
      <w:autoSpaceDN w:val="0"/>
      <w:spacing w:after="0" w:line="240" w:lineRule="auto"/>
      <w:ind w:left="19"/>
      <w:jc w:val="center"/>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ventsgate.org/ijh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22</Pages>
  <Words>5416</Words>
  <Characters>36943</Characters>
  <Application>Microsoft Office Word</Application>
  <DocSecurity>0</DocSecurity>
  <Lines>636</Lines>
  <Paragraphs>219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Mohammed Ayidh Khalaf Almalki</cp:lastModifiedBy>
  <cp:revision>5</cp:revision>
  <dcterms:created xsi:type="dcterms:W3CDTF">2025-12-16T08:56:00Z</dcterms:created>
  <dcterms:modified xsi:type="dcterms:W3CDTF">2025-12-18T06:07:00Z</dcterms:modified>
  <cp:category/>
</cp:coreProperties>
</file>