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color w:val="000000"/>
          <w:sz w:val="40"/>
          <w:szCs w:val="40"/>
        </w:rPr>
      </w:pPr>
      <w:bookmarkStart w:colFirst="0" w:colLast="0" w:name="_heading=h.zatjyinmt411"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-891280</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7"/>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rPr>
          <w:rFonts w:ascii="Times New Roman" w:cs="Times New Roman" w:eastAsia="Times New Roman" w:hAnsi="Times New Roman"/>
          <w:color w:val="000000"/>
          <w:sz w:val="40"/>
          <w:szCs w:val="40"/>
        </w:rPr>
      </w:pPr>
      <w:r w:rsidDel="00000000" w:rsidR="00000000" w:rsidRPr="00000000">
        <w:rPr>
          <w:rtl w:val="0"/>
        </w:rPr>
      </w:r>
    </w:p>
    <w:p w:rsidR="00000000" w:rsidDel="00000000" w:rsidP="00000000" w:rsidRDefault="00000000" w:rsidRPr="00000000" w14:paraId="00000005">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Fonts w:ascii="Times New Roman" w:cs="Times New Roman" w:eastAsia="Times New Roman" w:hAnsi="Times New Roman"/>
          <w:b w:val="1"/>
          <w:bCs w:val="1"/>
          <w:color w:val="000000"/>
          <w:sz w:val="40"/>
          <w:szCs w:val="40"/>
          <w:rtl w:val="0"/>
        </w:rPr>
        <w:t xml:space="preserve">Industrial Fire and Accident Risk Prediction Using Explainable Machine Learning</w:t>
      </w:r>
    </w:p>
    <w:p w:rsidR="00000000" w:rsidDel="00000000" w:rsidP="00000000" w:rsidRDefault="00000000" w:rsidRPr="00000000" w14:paraId="00000006">
      <w:pPr>
        <w:spacing w:after="376" w:line="249" w:lineRule="auto"/>
        <w:ind w:right="1366" w:firstLine="4"/>
        <w:jc w:val="center"/>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color w:val="000000"/>
          <w:sz w:val="32"/>
          <w:szCs w:val="32"/>
          <w:rtl w:val="0"/>
        </w:rPr>
        <w:t xml:space="preserve">Prepared By</w:t>
      </w:r>
      <w:r w:rsidDel="00000000" w:rsidR="00000000" w:rsidRPr="00000000">
        <w:rPr>
          <w:rFonts w:ascii="Times New Roman" w:cs="Times New Roman" w:eastAsia="Times New Roman" w:hAnsi="Times New Roman"/>
          <w:color w:val="000000"/>
          <w:sz w:val="40"/>
          <w:szCs w:val="40"/>
          <w:rtl w:val="0"/>
        </w:rPr>
        <w:t xml:space="preserve"> </w:t>
      </w:r>
    </w:p>
    <w:p w:rsidR="00000000" w:rsidDel="00000000" w:rsidP="00000000" w:rsidRDefault="00000000" w:rsidRPr="00000000" w14:paraId="00000007">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Abdullah Hadi Alfaifi                         ID No.: 261002804</w:t>
      </w:r>
    </w:p>
    <w:p w:rsidR="00000000" w:rsidDel="00000000" w:rsidP="00000000" w:rsidRDefault="00000000" w:rsidRPr="00000000" w14:paraId="00000008">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Zainah Alloush</w:t>
        <w:tab/>
        <w:t xml:space="preserve">                             ID No.: 241002569</w:t>
      </w:r>
    </w:p>
    <w:p w:rsidR="00000000" w:rsidDel="00000000" w:rsidP="00000000" w:rsidRDefault="00000000" w:rsidRPr="00000000" w14:paraId="00000009">
      <w:pPr>
        <w:spacing w:after="252" w:lineRule="auto"/>
        <w:jc w:val="both"/>
        <w:rPr>
          <w:rFonts w:ascii="Times New Roman" w:cs="Times New Roman" w:eastAsia="Times New Roman" w:hAnsi="Times New Roman"/>
          <w:color w:val="000000"/>
          <w:sz w:val="32"/>
          <w:szCs w:val="32"/>
        </w:rPr>
      </w:pPr>
      <w:r w:rsidDel="00000000" w:rsidR="00000000" w:rsidRPr="00000000">
        <w:rPr>
          <w:rtl w:val="0"/>
        </w:rPr>
      </w:r>
    </w:p>
    <w:p w:rsidR="00000000" w:rsidDel="00000000" w:rsidP="00000000" w:rsidRDefault="00000000" w:rsidRPr="00000000" w14:paraId="0000000A">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Submitted in fulfillment of the requirements for the degree Master of Science in Artificial Intelligence</w:t>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At</w:t>
      </w:r>
    </w:p>
    <w:p w:rsidR="00000000" w:rsidDel="00000000" w:rsidP="00000000" w:rsidRDefault="00000000" w:rsidRPr="00000000" w14:paraId="0000000C">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College of Informatics</w:t>
      </w:r>
    </w:p>
    <w:p w:rsidR="00000000" w:rsidDel="00000000" w:rsidP="00000000" w:rsidRDefault="00000000" w:rsidRPr="00000000" w14:paraId="0000000D">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Midocean University</w:t>
      </w:r>
    </w:p>
    <w:p w:rsidR="00000000" w:rsidDel="00000000" w:rsidP="00000000" w:rsidRDefault="00000000" w:rsidRPr="00000000" w14:paraId="0000000E">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UAE</w:t>
      </w:r>
    </w:p>
    <w:p w:rsidR="00000000" w:rsidDel="00000000" w:rsidP="00000000" w:rsidRDefault="00000000" w:rsidRPr="00000000" w14:paraId="0000000F">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Supervisor Name: Dr. Mohamed Eassa</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College of Informatics, Midocean University, Comoros</w:t>
      </w:r>
    </w:p>
    <w:p w:rsidR="00000000" w:rsidDel="00000000" w:rsidP="00000000" w:rsidRDefault="00000000" w:rsidRPr="00000000" w14:paraId="00000011">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8">
        <w:r w:rsidDel="00000000" w:rsidR="00000000" w:rsidRPr="00000000">
          <w:rPr>
            <w:rFonts w:ascii="Times New Roman" w:cs="Times New Roman" w:eastAsia="Times New Roman" w:hAnsi="Times New Roman"/>
            <w:color w:val="0563c1"/>
            <w:sz w:val="28"/>
            <w:szCs w:val="28"/>
            <w:u w:val="single"/>
            <w:rtl w:val="0"/>
          </w:rPr>
          <w:t xml:space="preserve">abd.alfifi95@gmail.com</w:t>
        </w:r>
      </w:hyperlink>
      <w:r w:rsidDel="00000000" w:rsidR="00000000" w:rsidRPr="00000000">
        <w:rPr>
          <w:rtl w:val="0"/>
        </w:rPr>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9">
        <w:r w:rsidDel="00000000" w:rsidR="00000000" w:rsidRPr="00000000">
          <w:rPr>
            <w:rFonts w:ascii="Times New Roman" w:cs="Times New Roman" w:eastAsia="Times New Roman" w:hAnsi="Times New Roman"/>
            <w:color w:val="0563c1"/>
            <w:sz w:val="28"/>
            <w:szCs w:val="28"/>
            <w:u w:val="single"/>
            <w:rtl w:val="0"/>
          </w:rPr>
          <w:t xml:space="preserve">s130017905@gmail.com</w:t>
        </w:r>
      </w:hyperlink>
      <w:r w:rsidDel="00000000" w:rsidR="00000000" w:rsidRPr="00000000">
        <w:rPr>
          <w:rtl w:val="0"/>
        </w:rPr>
      </w:r>
    </w:p>
    <w:p w:rsidR="00000000" w:rsidDel="00000000" w:rsidP="00000000" w:rsidRDefault="00000000" w:rsidRPr="00000000" w14:paraId="00000013">
      <w:pPr>
        <w:pStyle w:val="Heading1"/>
        <w:rPr>
          <w:b w:val="1"/>
          <w:bCs w:val="1"/>
          <w:color w:val="000000"/>
        </w:rPr>
      </w:pPr>
      <w:bookmarkStart w:colFirst="0" w:colLast="0" w:name="_heading=h.i1m2hksx1qwo" w:id="1"/>
      <w:bookmarkEnd w:id="1"/>
      <w:r w:rsidDel="00000000" w:rsidR="00000000" w:rsidRPr="00000000">
        <w:rPr>
          <w:b w:val="1"/>
          <w:bCs w:val="1"/>
          <w:color w:val="000000"/>
          <w:rtl w:val="0"/>
        </w:rPr>
        <w:t xml:space="preserve">Acknowledgements </w:t>
      </w:r>
    </w:p>
    <w:p w:rsidR="00000000" w:rsidDel="00000000" w:rsidP="00000000" w:rsidRDefault="00000000" w:rsidRPr="00000000" w14:paraId="00000014">
      <w:pPr>
        <w:spacing w:after="5" w:line="270" w:lineRule="auto"/>
        <w:ind w:left="447" w:hanging="1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5">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rsidR="00000000" w:rsidDel="00000000" w:rsidP="00000000" w:rsidRDefault="00000000" w:rsidRPr="00000000" w14:paraId="00000016">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are also thankful to the faculty members at the College of Informatics, Midocean University, for providing a supportive academic environment that encouraged independent thinking and research development.</w:t>
      </w:r>
    </w:p>
    <w:p w:rsidR="00000000" w:rsidDel="00000000" w:rsidP="00000000" w:rsidRDefault="00000000" w:rsidRPr="00000000" w14:paraId="00000017">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Finally, we would like to express our appreciation to our families for their patience, encouragement, and continuous support throughout this journey.</w:t>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rFonts w:ascii="Times New Roman" w:cs="Times New Roman" w:eastAsia="Times New Roman" w:hAnsi="Times New Roman"/>
        </w:rPr>
      </w:pPr>
      <w:bookmarkStart w:colFirst="0" w:colLast="0" w:name="_heading=h.e9riuzb8tx16" w:id="2"/>
      <w:bookmarkEnd w:id="2"/>
      <w:r w:rsidDel="00000000" w:rsidR="00000000" w:rsidRPr="00000000">
        <w:rPr>
          <w:b w:val="1"/>
          <w:bCs w:val="1"/>
          <w:color w:val="000000"/>
          <w:rtl w:val="0"/>
        </w:rPr>
        <w:t xml:space="preserve">Abstract </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(IIoT), industrial and connected sensors can be continuously monitored and associated unsafe conditions identified through machine learning.</w:t>
      </w:r>
    </w:p>
    <w:p w:rsidR="00000000" w:rsidDel="00000000" w:rsidP="00000000" w:rsidRDefault="00000000" w:rsidRPr="00000000" w14:paraId="0000001D">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study aims at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rsidR="00000000" w:rsidDel="00000000" w:rsidP="00000000" w:rsidRDefault="00000000" w:rsidRPr="00000000" w14:paraId="0000001E">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Fundamentally, the framework will develop and test a variety of machine learning models, including but not limited to, Logistic Regression, Decision Trees, Random Forest, Support Vector Machine, and XGBoost.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rsidR="00000000" w:rsidDel="00000000" w:rsidP="00000000" w:rsidRDefault="00000000" w:rsidRPr="00000000" w14:paraId="0000001F">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rsidR="00000000" w:rsidDel="00000000" w:rsidP="00000000" w:rsidRDefault="00000000" w:rsidRPr="00000000" w14:paraId="00000020">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following keywords provide an overview of the content: Industrial Safety, Industrial Internet of Things, Machine Learning, Fire-Risk Prediction, Accident-Risk Prediction, Explainable Artificial Intelligence, SHAP, Early Warning.</w:t>
      </w:r>
    </w:p>
    <w:p w:rsidR="00000000" w:rsidDel="00000000" w:rsidP="00000000" w:rsidRDefault="00000000" w:rsidRPr="00000000" w14:paraId="00000021">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0" w:lineRule="auto"/>
        <w:ind w:lef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b w:val="1"/>
          <w:bCs w:val="1"/>
          <w:color w:val="000000"/>
          <w:sz w:val="28"/>
          <w:szCs w:val="28"/>
        </w:rPr>
      </w:pPr>
      <w:bookmarkStart w:colFirst="0" w:colLast="0" w:name="_heading=h.d81y3tjsg4w2" w:id="3"/>
      <w:bookmarkEnd w:id="3"/>
      <w:r w:rsidDel="00000000" w:rsidR="00000000" w:rsidRPr="00000000">
        <w:rPr>
          <w:b w:val="1"/>
          <w:bCs w:val="1"/>
          <w:color w:val="000000"/>
          <w:rtl w:val="0"/>
        </w:rPr>
        <w:t xml:space="preserve">Table of Contents</w:t>
      </w:r>
      <w:r w:rsidDel="00000000" w:rsidR="00000000" w:rsidRPr="00000000">
        <w:rPr>
          <w:rtl w:val="0"/>
        </w:rPr>
      </w:r>
    </w:p>
    <w:sdt>
      <w:sdtPr>
        <w:id w:val="-140116712"/>
        <w:docPartObj>
          <w:docPartGallery w:val="Table of Contents"/>
          <w:docPartUnique w:val="1"/>
        </w:docPartObj>
      </w:sdtPr>
      <w:sdtContent>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i1m2hksx1qwo">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Acknowledgements</w:t>
              <w:tab/>
              <w:t xml:space="preserve">2</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e9riuzb8tx16">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Abstract</w:t>
              <w:tab/>
              <w:t xml:space="preserve">3</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d81y3tjsg4w2">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Table of Contents</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r1qagd1856ni">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Chapter 1: Introduction</w:t>
              <w:tab/>
              <w:t xml:space="preserve">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siri7s3foqim">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1.1 Overview</w:t>
            </w:r>
          </w:hyperlink>
          <w:hyperlink w:anchor="_heading=h.siri7s3foqim">
            <w:r w:rsidDel="00000000" w:rsidR="00000000" w:rsidRPr="00000000">
              <w:rPr>
                <w:rFonts w:ascii="Calibri" w:cs="Calibri" w:eastAsia="Calibri" w:hAnsi="Calibri"/>
                <w:b w:val="0"/>
                <w:bCs w:val="0"/>
                <w:i w:val="0"/>
                <w:iCs w:val="0"/>
                <w:smallCaps w:val="1"/>
                <w:strike w:val="0"/>
                <w:color w:val="000000"/>
                <w:sz w:val="28"/>
                <w:szCs w:val="28"/>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27ki0i8qmm0t">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1.2 Problem Definition</w:t>
            </w:r>
          </w:hyperlink>
          <w:hyperlink w:anchor="_heading=h.27ki0i8qmm0t">
            <w:r w:rsidDel="00000000" w:rsidR="00000000" w:rsidRPr="00000000">
              <w:rPr>
                <w:rFonts w:ascii="Calibri" w:cs="Calibri" w:eastAsia="Calibri" w:hAnsi="Calibri"/>
                <w:b w:val="0"/>
                <w:bCs w:val="0"/>
                <w:i w:val="0"/>
                <w:iCs w:val="0"/>
                <w:smallCaps w:val="1"/>
                <w:strike w:val="0"/>
                <w:color w:val="000000"/>
                <w:sz w:val="28"/>
                <w:szCs w:val="28"/>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7rcw2gxnl2t">
            <w:r w:rsidDel="00000000" w:rsidR="00000000" w:rsidRPr="00000000">
              <w:rPr>
                <w:rFonts w:ascii="Calibri" w:cs="Calibri" w:eastAsia="Calibri" w:hAnsi="Calibri"/>
                <w:b w:val="1"/>
                <w:bCs w:val="1"/>
                <w:i w:val="0"/>
                <w:iCs w:val="0"/>
                <w:smallCaps w:val="1"/>
                <w:strike w:val="0"/>
                <w:color w:val="000000"/>
                <w:sz w:val="28"/>
                <w:szCs w:val="28"/>
                <w:u w:val="none"/>
                <w:shd w:fill="auto" w:val="clear"/>
                <w:vertAlign w:val="baseline"/>
                <w:rtl w:val="0"/>
              </w:rPr>
              <w:t xml:space="preserve">1.3 Thesis Objectives</w:t>
            </w:r>
          </w:hyperlink>
          <w:hyperlink w:anchor="_heading=h.7rcw2gxnl2t">
            <w:r w:rsidDel="00000000" w:rsidR="00000000" w:rsidRPr="00000000">
              <w:rPr>
                <w:rFonts w:ascii="Calibri" w:cs="Calibri" w:eastAsia="Calibri" w:hAnsi="Calibri"/>
                <w:b w:val="0"/>
                <w:bCs w:val="0"/>
                <w:i w:val="0"/>
                <w:iCs w:val="0"/>
                <w:smallCaps w:val="1"/>
                <w:strike w:val="0"/>
                <w:color w:val="000000"/>
                <w:sz w:val="28"/>
                <w:szCs w:val="28"/>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kx7pyzjkrv0p">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1.4 Thesis Contribution</w:t>
            </w:r>
          </w:hyperlink>
          <w:hyperlink w:anchor="_heading=h.kx7pyzjkrv0p">
            <w:r w:rsidDel="00000000" w:rsidR="00000000" w:rsidRPr="00000000">
              <w:rPr>
                <w:rFonts w:ascii="Calibri" w:cs="Calibri" w:eastAsia="Calibri" w:hAnsi="Calibri"/>
                <w:b w:val="0"/>
                <w:bCs w:val="0"/>
                <w:i w:val="0"/>
                <w:iCs w:val="0"/>
                <w:smallCaps w:val="1"/>
                <w:strike w:val="0"/>
                <w:color w:val="000000"/>
                <w:sz w:val="28"/>
                <w:szCs w:val="28"/>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t0bxs636hl6j">
            <w:r w:rsidDel="00000000" w:rsidR="00000000" w:rsidRPr="00000000">
              <w:rPr>
                <w:rFonts w:ascii="Calibri" w:cs="Calibri" w:eastAsia="Calibri" w:hAnsi="Calibri"/>
                <w:b w:val="1"/>
                <w:bCs w:val="1"/>
                <w:i w:val="0"/>
                <w:iCs w:val="0"/>
                <w:smallCaps w:val="1"/>
                <w:strike w:val="0"/>
                <w:color w:val="000000"/>
                <w:sz w:val="28"/>
                <w:szCs w:val="28"/>
                <w:u w:val="none"/>
                <w:shd w:fill="auto" w:val="clear"/>
                <w:vertAlign w:val="baseline"/>
                <w:rtl w:val="0"/>
              </w:rPr>
              <w:t xml:space="preserve">1.5 Thesis Organization</w:t>
            </w:r>
          </w:hyperlink>
          <w:hyperlink w:anchor="_heading=h.t0bxs636hl6j">
            <w:r w:rsidDel="00000000" w:rsidR="00000000" w:rsidRPr="00000000">
              <w:rPr>
                <w:rFonts w:ascii="Calibri" w:cs="Calibri" w:eastAsia="Calibri" w:hAnsi="Calibri"/>
                <w:b w:val="0"/>
                <w:bCs w:val="0"/>
                <w:i w:val="0"/>
                <w:iCs w:val="0"/>
                <w:smallCaps w:val="1"/>
                <w:strike w:val="0"/>
                <w:color w:val="000000"/>
                <w:sz w:val="28"/>
                <w:szCs w:val="28"/>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prlqcveildis">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Chapter 2: Background and Related Work</w:t>
              <w:tab/>
              <w:t xml:space="preserve">12</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h69q38u74lwe">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2.1 Introduction</w:t>
            </w:r>
          </w:hyperlink>
          <w:hyperlink w:anchor="_heading=h.h69q38u74lwe">
            <w:r w:rsidDel="00000000" w:rsidR="00000000" w:rsidRPr="00000000">
              <w:rPr>
                <w:rFonts w:ascii="Calibri" w:cs="Calibri" w:eastAsia="Calibri" w:hAnsi="Calibri"/>
                <w:b w:val="0"/>
                <w:bCs w:val="0"/>
                <w:i w:val="0"/>
                <w:iCs w:val="0"/>
                <w:smallCaps w:val="1"/>
                <w:strike w:val="0"/>
                <w:color w:val="000000"/>
                <w:sz w:val="28"/>
                <w:szCs w:val="28"/>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iejkuk2txhyh">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2.2 Background</w:t>
            </w:r>
          </w:hyperlink>
          <w:hyperlink w:anchor="_heading=h.iejkuk2txhyh">
            <w:r w:rsidDel="00000000" w:rsidR="00000000" w:rsidRPr="00000000">
              <w:rPr>
                <w:rFonts w:ascii="Calibri" w:cs="Calibri" w:eastAsia="Calibri" w:hAnsi="Calibri"/>
                <w:b w:val="0"/>
                <w:bCs w:val="0"/>
                <w:i w:val="0"/>
                <w:iCs w:val="0"/>
                <w:smallCaps w:val="1"/>
                <w:strike w:val="0"/>
                <w:color w:val="000000"/>
                <w:sz w:val="28"/>
                <w:szCs w:val="28"/>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713jc7r1vr65">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2.2.1 Industrial Safety</w:t>
            </w:r>
          </w:hyperlink>
          <w:hyperlink w:anchor="_heading=h.713jc7r1vr65">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nzemjqx4sbyv">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2.2.2 Industrial Internet of Things (IIoT) for Safety Monitoring</w:t>
            </w:r>
          </w:hyperlink>
          <w:hyperlink w:anchor="_heading=h.nzemjqx4sbyv">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mtq7gjdcabfq">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2.2.3 Sensor Data and Data Preprocessing</w:t>
            </w:r>
          </w:hyperlink>
          <w:hyperlink w:anchor="_heading=h.mtq7gjdcabfq">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9amwo7vr3kfa">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2.2.4 Machine Learning Techniques</w:t>
            </w:r>
          </w:hyperlink>
          <w:hyperlink w:anchor="_heading=h.9amwo7vr3kfa">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9i4qw3jirdoz">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A.</w:t>
            </w:r>
          </w:hyperlink>
          <w:hyperlink w:anchor="_heading=h.9i4qw3jirdoz">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ab/>
            </w:r>
          </w:hyperlink>
          <w:r w:rsidDel="00000000" w:rsidR="00000000" w:rsidRPr="00000000">
            <w:fldChar w:fldCharType="begin"/>
            <w:instrText xml:space="preserve"> PAGEREF _heading=h.9i4qw3jirdoz \h </w:instrText>
            <w:fldChar w:fldCharType="separate"/>
          </w:r>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Logistic Regression</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vp3dafcw8g1p">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B.</w:t>
            </w:r>
          </w:hyperlink>
          <w:hyperlink w:anchor="_heading=h.vp3dafcw8g1p">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ab/>
            </w:r>
          </w:hyperlink>
          <w:r w:rsidDel="00000000" w:rsidR="00000000" w:rsidRPr="00000000">
            <w:fldChar w:fldCharType="begin"/>
            <w:instrText xml:space="preserve"> PAGEREF _heading=h.vp3dafcw8g1p \h </w:instrText>
            <w:fldChar w:fldCharType="separate"/>
          </w:r>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Decision Tree</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lx2a75hvg4u7">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C.</w:t>
            </w:r>
          </w:hyperlink>
          <w:hyperlink w:anchor="_heading=h.lx2a75hvg4u7">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ab/>
            </w:r>
          </w:hyperlink>
          <w:r w:rsidDel="00000000" w:rsidR="00000000" w:rsidRPr="00000000">
            <w:fldChar w:fldCharType="begin"/>
            <w:instrText xml:space="preserve"> PAGEREF _heading=h.lx2a75hvg4u7 \h </w:instrText>
            <w:fldChar w:fldCharType="separate"/>
          </w:r>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Random Forest</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17pjc21drcz6">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D.</w:t>
            </w:r>
          </w:hyperlink>
          <w:hyperlink w:anchor="_heading=h.17pjc21drcz6">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ab/>
            </w:r>
          </w:hyperlink>
          <w:r w:rsidDel="00000000" w:rsidR="00000000" w:rsidRPr="00000000">
            <w:fldChar w:fldCharType="begin"/>
            <w:instrText xml:space="preserve"> PAGEREF _heading=h.17pjc21drcz6 \h </w:instrText>
            <w:fldChar w:fldCharType="separate"/>
          </w:r>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Support Vector Machine</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tlzfqly9rsyv">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E.</w:t>
            </w:r>
          </w:hyperlink>
          <w:hyperlink w:anchor="_heading=h.tlzfqly9rsyv">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ab/>
            </w:r>
          </w:hyperlink>
          <w:r w:rsidDel="00000000" w:rsidR="00000000" w:rsidRPr="00000000">
            <w:fldChar w:fldCharType="begin"/>
            <w:instrText xml:space="preserve"> PAGEREF _heading=h.tlzfqly9rsyv \h </w:instrText>
            <w:fldChar w:fldCharType="separate"/>
          </w:r>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XGBoost</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fqtpkg3rrqk1">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2.2.5 Deep Learning Techniques</w:t>
            </w:r>
          </w:hyperlink>
          <w:hyperlink w:anchor="_heading=h.fqtpkg3rrqk1">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b4xg449y3m2h">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2.2.6 Natural Language Processing for Accident Reports</w:t>
            </w:r>
          </w:hyperlink>
          <w:hyperlink w:anchor="_heading=h.b4xg449y3m2h">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q20q2d71dhsx">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2.2.7 Explainable Artificial Intelligence and SHAP</w:t>
            </w:r>
          </w:hyperlink>
          <w:hyperlink w:anchor="_heading=h.q20q2d71dhsx">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c70eb0iv0gfb">
            <w:r w:rsidDel="00000000" w:rsidR="00000000" w:rsidRPr="00000000">
              <w:rPr>
                <w:rFonts w:ascii="Times New Roman" w:cs="Times New Roman" w:eastAsia="Times New Roman" w:hAnsi="Times New Roman"/>
                <w:b w:val="1"/>
                <w:bCs w:val="1"/>
                <w:i w:val="1"/>
                <w:iCs w:val="1"/>
                <w:smallCaps w:val="0"/>
                <w:strike w:val="0"/>
                <w:color w:val="000000"/>
                <w:sz w:val="28"/>
                <w:szCs w:val="28"/>
                <w:u w:val="none"/>
                <w:shd w:fill="auto" w:val="clear"/>
                <w:vertAlign w:val="baseline"/>
                <w:rtl w:val="0"/>
              </w:rPr>
              <w:t xml:space="preserve">2.2.8 Summary of Background</w:t>
            </w:r>
          </w:hyperlink>
          <w:hyperlink w:anchor="_heading=h.c70eb0iv0gfb">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22</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4j8ja35jj95s">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2.3 Related work</w:t>
            </w:r>
          </w:hyperlink>
          <w:hyperlink w:anchor="_heading=h.4j8ja35jj95s">
            <w:r w:rsidDel="00000000" w:rsidR="00000000" w:rsidRPr="00000000">
              <w:rPr>
                <w:rFonts w:ascii="Calibri" w:cs="Calibri" w:eastAsia="Calibri" w:hAnsi="Calibri"/>
                <w:b w:val="0"/>
                <w:bCs w:val="0"/>
                <w:i w:val="0"/>
                <w:iCs w:val="0"/>
                <w:smallCaps w:val="1"/>
                <w:strike w:val="0"/>
                <w:color w:val="000000"/>
                <w:sz w:val="28"/>
                <w:szCs w:val="28"/>
                <w:u w:val="none"/>
                <w:shd w:fill="auto" w:val="clear"/>
                <w:vertAlign w:val="baseline"/>
                <w:rtl w:val="0"/>
              </w:rPr>
              <w:tab/>
              <w:t xml:space="preserve">23</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wu7dd1lnmvre">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2.4 Related Work Summary</w:t>
            </w:r>
          </w:hyperlink>
          <w:hyperlink w:anchor="_heading=h.wu7dd1lnmvre">
            <w:r w:rsidDel="00000000" w:rsidR="00000000" w:rsidRPr="00000000">
              <w:rPr>
                <w:rFonts w:ascii="Calibri" w:cs="Calibri" w:eastAsia="Calibri" w:hAnsi="Calibri"/>
                <w:b w:val="0"/>
                <w:bCs w:val="0"/>
                <w:i w:val="0"/>
                <w:iCs w:val="0"/>
                <w:smallCaps w:val="1"/>
                <w:strike w:val="0"/>
                <w:color w:val="000000"/>
                <w:sz w:val="28"/>
                <w:szCs w:val="28"/>
                <w:u w:val="none"/>
                <w:shd w:fill="auto" w:val="clear"/>
                <w:vertAlign w:val="baseline"/>
                <w:rtl w:val="0"/>
              </w:rPr>
              <w:tab/>
              <w:t xml:space="preserve">25</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59" w:lineRule="auto"/>
            <w:ind w:left="44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itin3umh0xp6">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Table 2.1 Summary of related work</w:t>
            </w:r>
          </w:hyperlink>
          <w:hyperlink w:anchor="_heading=h.itin3umh0xp6">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 xml:space="preserve">27</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eading=h.ekjbwbkv541x">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References:</w:t>
              <w:tab/>
              <w:t xml:space="preserve">30</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after="0" w:before="60" w:line="240" w:lineRule="auto"/>
            <w:rPr>
              <w:rFonts w:ascii="Arial" w:cs="Arial" w:eastAsia="Arial" w:hAnsi="Arial"/>
              <w:b w:val="1"/>
              <w:bCs w:val="1"/>
              <w:color w:val="000000"/>
              <w:sz w:val="28"/>
              <w:szCs w:val="28"/>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4">
      <w:pPr>
        <w:rPr>
          <w:rFonts w:ascii="Times New Roman" w:cs="Times New Roman" w:eastAsia="Times New Roman" w:hAnsi="Times New Roman"/>
          <w:b w:val="1"/>
          <w:bCs w:val="1"/>
          <w:color w:val="000000"/>
          <w:sz w:val="40"/>
          <w:szCs w:val="40"/>
        </w:rPr>
      </w:pPr>
      <w:r w:rsidDel="00000000" w:rsidR="00000000" w:rsidRPr="00000000">
        <w:br w:type="page"/>
      </w:r>
      <w:r w:rsidDel="00000000" w:rsidR="00000000" w:rsidRPr="00000000">
        <w:rPr>
          <w:rFonts w:ascii="Times New Roman" w:cs="Times New Roman" w:eastAsia="Times New Roman" w:hAnsi="Times New Roman"/>
          <w:b w:val="1"/>
          <w:bCs w:val="1"/>
          <w:color w:val="000000"/>
          <w:sz w:val="40"/>
          <w:szCs w:val="40"/>
          <w:rtl w:val="0"/>
        </w:rPr>
        <w:t xml:space="preserve">List of Abbreviations </w:t>
      </w:r>
    </w:p>
    <w:tbl>
      <w:tblPr>
        <w:tblStyle w:val="Table1"/>
        <w:tblW w:w="56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0"/>
        <w:gridCol w:w="3840"/>
        <w:tblGridChange w:id="0">
          <w:tblGrid>
            <w:gridCol w:w="1830"/>
            <w:gridCol w:w="3840"/>
          </w:tblGrid>
        </w:tblGridChange>
      </w:tblGrid>
      <w:tr>
        <w:trPr>
          <w:cantSplit w:val="0"/>
          <w:tblHeader w:val="1"/>
        </w:trPr>
        <w:tc>
          <w:tcPr>
            <w:vAlign w:val="center"/>
          </w:tcPr>
          <w:p w:rsidR="00000000" w:rsidDel="00000000" w:rsidP="00000000" w:rsidRDefault="00000000" w:rsidRPr="00000000" w14:paraId="00000045">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Abbreviation</w:t>
            </w:r>
          </w:p>
        </w:tc>
        <w:tc>
          <w:tcPr>
            <w:vAlign w:val="center"/>
          </w:tcPr>
          <w:p w:rsidR="00000000" w:rsidDel="00000000" w:rsidP="00000000" w:rsidRDefault="00000000" w:rsidRPr="00000000" w14:paraId="00000046">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Full Term</w:t>
            </w:r>
          </w:p>
        </w:tc>
      </w:tr>
      <w:tr>
        <w:trPr>
          <w:cantSplit w:val="0"/>
          <w:tblHeader w:val="0"/>
        </w:trPr>
        <w:tc>
          <w:tcPr>
            <w:vAlign w:val="center"/>
          </w:tcPr>
          <w:p w:rsidR="00000000" w:rsidDel="00000000" w:rsidP="00000000" w:rsidRDefault="00000000" w:rsidRPr="00000000" w14:paraId="0000004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AI</w:t>
            </w:r>
          </w:p>
        </w:tc>
        <w:tc>
          <w:tcPr>
            <w:vAlign w:val="center"/>
          </w:tcPr>
          <w:p w:rsidR="00000000" w:rsidDel="00000000" w:rsidP="00000000" w:rsidRDefault="00000000" w:rsidRPr="00000000" w14:paraId="0000004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Artificial Intelligence</w:t>
            </w:r>
          </w:p>
        </w:tc>
      </w:tr>
      <w:tr>
        <w:trPr>
          <w:cantSplit w:val="0"/>
          <w:tblHeader w:val="0"/>
        </w:trPr>
        <w:tc>
          <w:tcPr>
            <w:vAlign w:val="center"/>
          </w:tcPr>
          <w:p w:rsidR="00000000" w:rsidDel="00000000" w:rsidP="00000000" w:rsidRDefault="00000000" w:rsidRPr="00000000" w14:paraId="000000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ML</w:t>
            </w:r>
          </w:p>
        </w:tc>
        <w:tc>
          <w:tcPr>
            <w:vAlign w:val="center"/>
          </w:tcPr>
          <w:p w:rsidR="00000000" w:rsidDel="00000000" w:rsidP="00000000" w:rsidRDefault="00000000" w:rsidRPr="00000000" w14:paraId="0000004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Machine Learning</w:t>
            </w:r>
          </w:p>
        </w:tc>
      </w:tr>
      <w:tr>
        <w:trPr>
          <w:cantSplit w:val="0"/>
          <w:tblHeader w:val="0"/>
        </w:trPr>
        <w:tc>
          <w:tcPr>
            <w:vAlign w:val="center"/>
          </w:tcPr>
          <w:p w:rsidR="00000000" w:rsidDel="00000000" w:rsidP="00000000" w:rsidRDefault="00000000" w:rsidRPr="00000000" w14:paraId="0000004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DL</w:t>
            </w:r>
          </w:p>
        </w:tc>
        <w:tc>
          <w:tcPr>
            <w:vAlign w:val="center"/>
          </w:tcPr>
          <w:p w:rsidR="00000000" w:rsidDel="00000000" w:rsidP="00000000" w:rsidRDefault="00000000" w:rsidRPr="00000000" w14:paraId="0000004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Deep Learning</w:t>
            </w:r>
          </w:p>
        </w:tc>
      </w:tr>
      <w:tr>
        <w:trPr>
          <w:cantSplit w:val="0"/>
          <w:tblHeader w:val="0"/>
        </w:trPr>
        <w:tc>
          <w:tcPr>
            <w:vAlign w:val="center"/>
          </w:tcPr>
          <w:p w:rsidR="00000000" w:rsidDel="00000000" w:rsidP="00000000" w:rsidRDefault="00000000" w:rsidRPr="00000000" w14:paraId="0000004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IoT</w:t>
            </w:r>
          </w:p>
        </w:tc>
        <w:tc>
          <w:tcPr>
            <w:vAlign w:val="center"/>
          </w:tcPr>
          <w:p w:rsidR="00000000" w:rsidDel="00000000" w:rsidP="00000000" w:rsidRDefault="00000000" w:rsidRPr="00000000" w14:paraId="0000004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Internet of Things</w:t>
            </w:r>
          </w:p>
        </w:tc>
      </w:tr>
      <w:tr>
        <w:trPr>
          <w:cantSplit w:val="0"/>
          <w:tblHeader w:val="0"/>
        </w:trPr>
        <w:tc>
          <w:tcPr>
            <w:vAlign w:val="center"/>
          </w:tcPr>
          <w:p w:rsidR="00000000" w:rsidDel="00000000" w:rsidP="00000000" w:rsidRDefault="00000000" w:rsidRPr="00000000" w14:paraId="0000004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IIoT</w:t>
            </w:r>
          </w:p>
        </w:tc>
        <w:tc>
          <w:tcPr>
            <w:vAlign w:val="center"/>
          </w:tcPr>
          <w:p w:rsidR="00000000" w:rsidDel="00000000" w:rsidP="00000000" w:rsidRDefault="00000000" w:rsidRPr="00000000" w14:paraId="0000005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Internet of Things</w:t>
            </w:r>
          </w:p>
        </w:tc>
      </w:tr>
      <w:tr>
        <w:trPr>
          <w:cantSplit w:val="0"/>
          <w:tblHeader w:val="0"/>
        </w:trPr>
        <w:tc>
          <w:tcPr>
            <w:vAlign w:val="center"/>
          </w:tcPr>
          <w:p w:rsidR="00000000" w:rsidDel="00000000" w:rsidP="00000000" w:rsidRDefault="00000000" w:rsidRPr="00000000" w14:paraId="0000005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XAI</w:t>
            </w:r>
          </w:p>
        </w:tc>
        <w:tc>
          <w:tcPr>
            <w:vAlign w:val="center"/>
          </w:tcPr>
          <w:p w:rsidR="00000000" w:rsidDel="00000000" w:rsidP="00000000" w:rsidRDefault="00000000" w:rsidRPr="00000000" w14:paraId="000000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Explainable Artificial Intelligence</w:t>
            </w:r>
          </w:p>
        </w:tc>
      </w:tr>
      <w:tr>
        <w:trPr>
          <w:cantSplit w:val="0"/>
          <w:tblHeader w:val="0"/>
        </w:trPr>
        <w:tc>
          <w:tcPr>
            <w:vAlign w:val="center"/>
          </w:tcPr>
          <w:p w:rsidR="00000000" w:rsidDel="00000000" w:rsidP="00000000" w:rsidRDefault="00000000" w:rsidRPr="00000000" w14:paraId="0000005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SHAP</w:t>
            </w:r>
          </w:p>
        </w:tc>
        <w:tc>
          <w:tcPr>
            <w:vAlign w:val="center"/>
          </w:tcPr>
          <w:p w:rsidR="00000000" w:rsidDel="00000000" w:rsidP="00000000" w:rsidRDefault="00000000" w:rsidRPr="00000000" w14:paraId="0000005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Shapley Additive Explanations</w:t>
            </w:r>
          </w:p>
        </w:tc>
      </w:tr>
      <w:tr>
        <w:trPr>
          <w:cantSplit w:val="0"/>
          <w:tblHeader w:val="0"/>
        </w:trPr>
        <w:tc>
          <w:tcPr>
            <w:vAlign w:val="center"/>
          </w:tcPr>
          <w:p w:rsidR="00000000" w:rsidDel="00000000" w:rsidP="00000000" w:rsidRDefault="00000000" w:rsidRPr="00000000" w14:paraId="0000005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CNN</w:t>
            </w:r>
          </w:p>
        </w:tc>
        <w:tc>
          <w:tcPr>
            <w:vAlign w:val="center"/>
          </w:tcPr>
          <w:p w:rsidR="00000000" w:rsidDel="00000000" w:rsidP="00000000" w:rsidRDefault="00000000" w:rsidRPr="00000000" w14:paraId="0000005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Convolutional Neural Network</w:t>
            </w:r>
          </w:p>
        </w:tc>
      </w:tr>
      <w:tr>
        <w:trPr>
          <w:cantSplit w:val="0"/>
          <w:tblHeader w:val="0"/>
        </w:trPr>
        <w:tc>
          <w:tcPr>
            <w:vAlign w:val="center"/>
          </w:tcPr>
          <w:p w:rsidR="00000000" w:rsidDel="00000000" w:rsidP="00000000" w:rsidRDefault="00000000" w:rsidRPr="00000000" w14:paraId="0000005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1D-CNN</w:t>
            </w:r>
          </w:p>
        </w:tc>
        <w:tc>
          <w:tcPr>
            <w:vAlign w:val="center"/>
          </w:tcPr>
          <w:p w:rsidR="00000000" w:rsidDel="00000000" w:rsidP="00000000" w:rsidRDefault="00000000" w:rsidRPr="00000000" w14:paraId="0000005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One-Dimensional Convolutional Neural Network</w:t>
            </w:r>
          </w:p>
        </w:tc>
      </w:tr>
      <w:tr>
        <w:trPr>
          <w:cantSplit w:val="0"/>
          <w:tblHeader w:val="0"/>
        </w:trPr>
        <w:tc>
          <w:tcPr>
            <w:vAlign w:val="center"/>
          </w:tcPr>
          <w:p w:rsidR="00000000" w:rsidDel="00000000" w:rsidP="00000000" w:rsidRDefault="00000000" w:rsidRPr="00000000" w14:paraId="0000005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LSTM</w:t>
            </w:r>
          </w:p>
        </w:tc>
        <w:tc>
          <w:tcPr>
            <w:vAlign w:val="center"/>
          </w:tcPr>
          <w:p w:rsidR="00000000" w:rsidDel="00000000" w:rsidP="00000000" w:rsidRDefault="00000000" w:rsidRPr="00000000" w14:paraId="0000005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Long Short-Term Memory</w:t>
            </w:r>
          </w:p>
        </w:tc>
      </w:tr>
      <w:tr>
        <w:trPr>
          <w:cantSplit w:val="0"/>
          <w:tblHeader w:val="0"/>
        </w:trPr>
        <w:tc>
          <w:tcPr>
            <w:vAlign w:val="center"/>
          </w:tcPr>
          <w:p w:rsidR="00000000" w:rsidDel="00000000" w:rsidP="00000000" w:rsidRDefault="00000000" w:rsidRPr="00000000" w14:paraId="0000005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Bi-LSTM</w:t>
            </w:r>
          </w:p>
        </w:tc>
        <w:tc>
          <w:tcPr>
            <w:vAlign w:val="center"/>
          </w:tcPr>
          <w:p w:rsidR="00000000" w:rsidDel="00000000" w:rsidP="00000000" w:rsidRDefault="00000000" w:rsidRPr="00000000" w14:paraId="0000005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Bidirectional Long Short-Term Memory</w:t>
            </w:r>
          </w:p>
        </w:tc>
      </w:tr>
      <w:tr>
        <w:trPr>
          <w:cantSplit w:val="0"/>
          <w:tblHeader w:val="0"/>
        </w:trPr>
        <w:tc>
          <w:tcPr>
            <w:vAlign w:val="center"/>
          </w:tcPr>
          <w:p w:rsidR="00000000" w:rsidDel="00000000" w:rsidP="00000000" w:rsidRDefault="00000000" w:rsidRPr="00000000" w14:paraId="0000005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RF</w:t>
            </w:r>
          </w:p>
        </w:tc>
        <w:tc>
          <w:tcPr>
            <w:vAlign w:val="center"/>
          </w:tcPr>
          <w:p w:rsidR="00000000" w:rsidDel="00000000" w:rsidP="00000000" w:rsidRDefault="00000000" w:rsidRPr="00000000" w14:paraId="0000005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Random Forest</w:t>
            </w:r>
          </w:p>
        </w:tc>
      </w:tr>
      <w:tr>
        <w:trPr>
          <w:cantSplit w:val="0"/>
          <w:tblHeader w:val="0"/>
        </w:trPr>
        <w:tc>
          <w:tcPr>
            <w:vAlign w:val="center"/>
          </w:tcPr>
          <w:p w:rsidR="00000000" w:rsidDel="00000000" w:rsidP="00000000" w:rsidRDefault="00000000" w:rsidRPr="00000000" w14:paraId="0000005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DT</w:t>
            </w:r>
          </w:p>
        </w:tc>
        <w:tc>
          <w:tcPr>
            <w:vAlign w:val="center"/>
          </w:tcPr>
          <w:p w:rsidR="00000000" w:rsidDel="00000000" w:rsidP="00000000" w:rsidRDefault="00000000" w:rsidRPr="00000000" w14:paraId="0000006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Decision Tree</w:t>
            </w:r>
          </w:p>
        </w:tc>
      </w:tr>
      <w:tr>
        <w:trPr>
          <w:cantSplit w:val="0"/>
          <w:tblHeader w:val="0"/>
        </w:trPr>
        <w:tc>
          <w:tcPr>
            <w:vAlign w:val="center"/>
          </w:tcPr>
          <w:p w:rsidR="00000000" w:rsidDel="00000000" w:rsidP="00000000" w:rsidRDefault="00000000" w:rsidRPr="00000000" w14:paraId="0000006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SVM</w:t>
            </w:r>
          </w:p>
        </w:tc>
        <w:tc>
          <w:tcPr>
            <w:vAlign w:val="center"/>
          </w:tcPr>
          <w:p w:rsidR="00000000" w:rsidDel="00000000" w:rsidP="00000000" w:rsidRDefault="00000000" w:rsidRPr="00000000" w14:paraId="0000006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Support Vector Machine</w:t>
            </w:r>
          </w:p>
        </w:tc>
      </w:tr>
      <w:tr>
        <w:trPr>
          <w:cantSplit w:val="0"/>
          <w:tblHeader w:val="0"/>
        </w:trPr>
        <w:tc>
          <w:tcPr>
            <w:vAlign w:val="center"/>
          </w:tcPr>
          <w:p w:rsidR="00000000" w:rsidDel="00000000" w:rsidP="00000000" w:rsidRDefault="00000000" w:rsidRPr="00000000" w14:paraId="000000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XGBoost</w:t>
            </w:r>
          </w:p>
        </w:tc>
        <w:tc>
          <w:tcPr>
            <w:vAlign w:val="center"/>
          </w:tcPr>
          <w:p w:rsidR="00000000" w:rsidDel="00000000" w:rsidP="00000000" w:rsidRDefault="00000000" w:rsidRPr="00000000" w14:paraId="0000006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Extreme Gradient Boosting</w:t>
            </w:r>
          </w:p>
        </w:tc>
      </w:tr>
      <w:tr>
        <w:trPr>
          <w:cantSplit w:val="0"/>
          <w:tblHeader w:val="0"/>
        </w:trPr>
        <w:tc>
          <w:tcPr>
            <w:vAlign w:val="center"/>
          </w:tcPr>
          <w:p w:rsidR="00000000" w:rsidDel="00000000" w:rsidP="00000000" w:rsidRDefault="00000000" w:rsidRPr="00000000" w14:paraId="000000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NLP</w:t>
            </w:r>
          </w:p>
        </w:tc>
        <w:tc>
          <w:tcPr>
            <w:vAlign w:val="center"/>
          </w:tcPr>
          <w:p w:rsidR="00000000" w:rsidDel="00000000" w:rsidP="00000000" w:rsidRDefault="00000000" w:rsidRPr="00000000" w14:paraId="0000006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Natural Language Processing</w:t>
            </w:r>
          </w:p>
        </w:tc>
      </w:tr>
      <w:tr>
        <w:trPr>
          <w:cantSplit w:val="0"/>
          <w:tblHeader w:val="0"/>
        </w:trPr>
        <w:tc>
          <w:tcPr>
            <w:vAlign w:val="center"/>
          </w:tcPr>
          <w:p w:rsidR="00000000" w:rsidDel="00000000" w:rsidP="00000000" w:rsidRDefault="00000000" w:rsidRPr="00000000" w14:paraId="000000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TF-IDF</w:t>
            </w:r>
          </w:p>
        </w:tc>
        <w:tc>
          <w:tcPr>
            <w:vAlign w:val="center"/>
          </w:tcPr>
          <w:p w:rsidR="00000000" w:rsidDel="00000000" w:rsidP="00000000" w:rsidRDefault="00000000" w:rsidRPr="00000000" w14:paraId="0000006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Term Frequency–Inverse Document Frequency</w:t>
            </w:r>
          </w:p>
        </w:tc>
      </w:tr>
      <w:tr>
        <w:trPr>
          <w:cantSplit w:val="0"/>
          <w:tblHeader w:val="0"/>
        </w:trPr>
        <w:tc>
          <w:tcPr>
            <w:vAlign w:val="center"/>
          </w:tcPr>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GloVe</w:t>
            </w:r>
          </w:p>
        </w:tc>
        <w:tc>
          <w:tcPr>
            <w:vAlign w:val="center"/>
          </w:tcPr>
          <w:p w:rsidR="00000000" w:rsidDel="00000000" w:rsidP="00000000" w:rsidRDefault="00000000" w:rsidRPr="00000000" w14:paraId="000000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Global Vectors for Word Representation</w:t>
            </w:r>
          </w:p>
        </w:tc>
      </w:tr>
      <w:tr>
        <w:trPr>
          <w:cantSplit w:val="0"/>
          <w:tblHeader w:val="0"/>
        </w:trPr>
        <w:tc>
          <w:tcPr>
            <w:vAlign w:val="center"/>
          </w:tcPr>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BN</w:t>
            </w:r>
          </w:p>
        </w:tc>
        <w:tc>
          <w:tcPr>
            <w:vAlign w:val="center"/>
          </w:tcPr>
          <w:p w:rsidR="00000000" w:rsidDel="00000000" w:rsidP="00000000" w:rsidRDefault="00000000" w:rsidRPr="00000000" w14:paraId="0000006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Bayesian Network</w:t>
            </w:r>
          </w:p>
        </w:tc>
      </w:tr>
      <w:tr>
        <w:trPr>
          <w:cantSplit w:val="0"/>
          <w:tblHeader w:val="0"/>
        </w:trPr>
        <w:tc>
          <w:tcPr>
            <w:vAlign w:val="center"/>
          </w:tcPr>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ABM</w:t>
            </w:r>
          </w:p>
        </w:tc>
        <w:tc>
          <w:tcPr>
            <w:vAlign w:val="center"/>
          </w:tcPr>
          <w:p w:rsidR="00000000" w:rsidDel="00000000" w:rsidP="00000000" w:rsidRDefault="00000000" w:rsidRPr="00000000" w14:paraId="0000006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Agent-Based Modeling</w:t>
            </w:r>
          </w:p>
        </w:tc>
      </w:tr>
      <w:tr>
        <w:trPr>
          <w:cantSplit w:val="0"/>
          <w:tblHeader w:val="0"/>
        </w:trPr>
        <w:tc>
          <w:tcPr>
            <w:vAlign w:val="center"/>
          </w:tcPr>
          <w:p w:rsidR="00000000" w:rsidDel="00000000" w:rsidP="00000000" w:rsidRDefault="00000000" w:rsidRPr="00000000" w14:paraId="0000006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PPE</w:t>
            </w:r>
          </w:p>
        </w:tc>
        <w:tc>
          <w:tcPr>
            <w:vAlign w:val="center"/>
          </w:tcPr>
          <w:p w:rsidR="00000000" w:rsidDel="00000000" w:rsidP="00000000" w:rsidRDefault="00000000" w:rsidRPr="00000000" w14:paraId="0000007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Personal Protective Equipment</w:t>
            </w:r>
          </w:p>
        </w:tc>
      </w:tr>
      <w:tr>
        <w:trPr>
          <w:cantSplit w:val="0"/>
          <w:tblHeader w:val="0"/>
        </w:trPr>
        <w:tc>
          <w:tcPr>
            <w:vAlign w:val="center"/>
          </w:tcPr>
          <w:p w:rsidR="00000000" w:rsidDel="00000000" w:rsidP="00000000" w:rsidRDefault="00000000" w:rsidRPr="00000000" w14:paraId="000000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FAS</w:t>
            </w:r>
          </w:p>
        </w:tc>
        <w:tc>
          <w:tcPr>
            <w:vAlign w:val="center"/>
          </w:tcPr>
          <w:p w:rsidR="00000000" w:rsidDel="00000000" w:rsidP="00000000" w:rsidRDefault="00000000" w:rsidRPr="00000000" w14:paraId="000000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Fire Alarm System</w:t>
            </w:r>
          </w:p>
        </w:tc>
      </w:tr>
      <w:tr>
        <w:trPr>
          <w:cantSplit w:val="0"/>
          <w:tblHeader w:val="0"/>
        </w:trPr>
        <w:tc>
          <w:tcPr>
            <w:vAlign w:val="center"/>
          </w:tcPr>
          <w:p w:rsidR="00000000" w:rsidDel="00000000" w:rsidP="00000000" w:rsidRDefault="00000000" w:rsidRPr="00000000" w14:paraId="0000007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RGB</w:t>
            </w:r>
          </w:p>
        </w:tc>
        <w:tc>
          <w:tcPr>
            <w:vAlign w:val="center"/>
          </w:tcPr>
          <w:p w:rsidR="00000000" w:rsidDel="00000000" w:rsidP="00000000" w:rsidRDefault="00000000" w:rsidRPr="00000000" w14:paraId="0000007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Red, Green, and Blue</w:t>
            </w:r>
          </w:p>
        </w:tc>
      </w:tr>
    </w:tbl>
    <w:p w:rsidR="00000000" w:rsidDel="00000000" w:rsidP="00000000" w:rsidRDefault="00000000" w:rsidRPr="00000000" w14:paraId="00000075">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76">
      <w:pPr>
        <w:pStyle w:val="Heading1"/>
        <w:rPr>
          <w:b w:val="1"/>
          <w:bCs w:val="1"/>
          <w:color w:val="000000"/>
        </w:rPr>
      </w:pPr>
      <w:bookmarkStart w:colFirst="0" w:colLast="0" w:name="_heading=h.7ygajhb8grsb" w:id="4"/>
      <w:bookmarkEnd w:id="4"/>
      <w:r w:rsidDel="00000000" w:rsidR="00000000" w:rsidRPr="00000000">
        <w:rPr>
          <w:b w:val="1"/>
          <w:bCs w:val="1"/>
          <w:color w:val="000000"/>
          <w:rtl w:val="0"/>
        </w:rPr>
        <w:t xml:space="preserve">List of Figures </w:t>
      </w:r>
    </w:p>
    <w:tbl>
      <w:tblPr>
        <w:tblStyle w:val="Table2"/>
        <w:tblW w:w="9345.0" w:type="dxa"/>
        <w:jc w:val="left"/>
        <w:tblInd w:w="108.0" w:type="dxa"/>
        <w:tblLayout w:type="fixed"/>
        <w:tblLook w:val="0400"/>
      </w:tblPr>
      <w:tblGrid>
        <w:gridCol w:w="9345"/>
        <w:tblGridChange w:id="0">
          <w:tblGrid>
            <w:gridCol w:w="9345"/>
          </w:tblGrid>
        </w:tblGridChange>
      </w:tblGrid>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7">
            <w:pPr>
              <w:pBdr>
                <w:top w:color="000000" w:space="0" w:sz="0" w:val="none"/>
                <w:left w:color="000000" w:space="0" w:sz="0" w:val="none"/>
                <w:bottom w:color="000000" w:space="0" w:sz="0" w:val="none"/>
                <w:right w:color="000000" w:space="0" w:sz="0" w:val="none"/>
                <w:between w:color="000000" w:space="0" w:sz="0" w:val="none"/>
              </w:pBdr>
              <w:tabs>
                <w:tab w:val="right" w:leader="none" w:pos="9354"/>
              </w:tabs>
              <w:spacing w:line="324.00000000000006" w:lineRule="auto"/>
              <w:ind w:left="-2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1.1: Industrial IoT-Based Intelligent Safety Framework</w:t>
            </w:r>
            <w:hyperlink r:id="rId10">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11</w:t>
            </w:r>
          </w:p>
          <w:p w:rsidR="00000000" w:rsidDel="00000000" w:rsidP="00000000" w:rsidRDefault="00000000" w:rsidRPr="00000000" w14:paraId="00000078">
            <w:pPr>
              <w:widowControl w:val="0"/>
              <w:spacing w:line="276" w:lineRule="auto"/>
              <w:jc w:val="both"/>
              <w:rPr>
                <w:rFonts w:ascii="Aptos" w:cs="Aptos" w:eastAsia="Aptos" w:hAnsi="Aptos"/>
                <w:b w:val="1"/>
                <w:bCs w:val="1"/>
              </w:rPr>
            </w:pPr>
            <w:r w:rsidDel="00000000" w:rsidR="00000000" w:rsidRPr="00000000">
              <w:rPr>
                <w:rtl w:val="0"/>
              </w:rPr>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9">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2.1: IIoT-based safety monitoring workflow. The figure shows how industrial sensor data can move from physical devices to preprocessing, machine learning prediction, explainable AI, and safety decision support. Based on the IIoT safety monitoring concepts discussed in [7], [18], and [19].</w:t>
            </w:r>
            <w:hyperlink r:id="rId11">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18</w:t>
            </w:r>
          </w:p>
          <w:p w:rsidR="00000000" w:rsidDel="00000000" w:rsidP="00000000" w:rsidRDefault="00000000" w:rsidRPr="00000000" w14:paraId="0000007A">
            <w:pPr>
              <w:pBdr>
                <w:top w:color="000000" w:space="0" w:sz="0" w:val="none"/>
                <w:left w:color="000000" w:space="0" w:sz="0" w:val="none"/>
                <w:bottom w:color="000000" w:space="0" w:sz="0" w:val="none"/>
                <w:right w:color="000000" w:space="0" w:sz="0" w:val="none"/>
                <w:between w:color="000000" w:space="0" w:sz="0" w:val="none"/>
              </w:pBdr>
              <w:tabs>
                <w:tab w:val="right" w:leader="none" w:pos="9354"/>
              </w:tabs>
              <w:spacing w:line="324.00000000000006" w:lineRule="auto"/>
              <w:ind w:left="-20" w:firstLine="0"/>
              <w:jc w:val="both"/>
              <w:rPr>
                <w:rFonts w:ascii="Times New Roman" w:cs="Times New Roman" w:eastAsia="Times New Roman" w:hAnsi="Times New Roman"/>
                <w:sz w:val="28"/>
                <w:szCs w:val="28"/>
              </w:rPr>
            </w:pPr>
            <w:r w:rsidDel="00000000" w:rsidR="00000000" w:rsidRPr="00000000">
              <w:rPr>
                <w:rtl w:val="0"/>
              </w:rPr>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B">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2.2: Sensor data preprocessing pipeline. The figure summarizes the transformation from raw sensor readings to model-ready data through missing value handling, noise and outlier treatment, scaling, encoding, and data splitting. Based on data cleaning principles in [23] and sensor reliability issues discussed in [20].</w:t>
            </w:r>
            <w:hyperlink r:id="rId12">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19</w:t>
            </w:r>
          </w:p>
          <w:p w:rsidR="00000000" w:rsidDel="00000000" w:rsidP="00000000" w:rsidRDefault="00000000" w:rsidRPr="00000000" w14:paraId="0000007C">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D">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2.3: Supervised machine learning workflow. Industrial features and known labels are used to train a model that can predict fire or accident risk for new observations. This workflow is consistent with the use of machine learning models for safety and risk prediction discussed in [25] and [29].</w:t>
            </w:r>
            <w:hyperlink r:id="rId13">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20</w:t>
            </w:r>
          </w:p>
          <w:p w:rsidR="00000000" w:rsidDel="00000000" w:rsidP="00000000" w:rsidRDefault="00000000" w:rsidRPr="00000000" w14:paraId="0000007E">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F">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2.4: Logistic Regression decision boundary for binary classification</w:t>
            </w:r>
            <w:hyperlink r:id="rId14">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21</w:t>
            </w:r>
          </w:p>
          <w:p w:rsidR="00000000" w:rsidDel="00000000" w:rsidP="00000000" w:rsidRDefault="00000000" w:rsidRPr="00000000" w14:paraId="00000080">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1">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2.5: Example Decision Tree for industrial risk classification. The tree shows how sensor thresholds can form interpretable safety rules. The concept is based on Decision Tree classification principles described in [26].</w:t>
            </w:r>
            <w:hyperlink r:id="rId15">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22</w:t>
            </w:r>
          </w:p>
          <w:p w:rsidR="00000000" w:rsidDel="00000000" w:rsidP="00000000" w:rsidRDefault="00000000" w:rsidRPr="00000000" w14:paraId="00000082">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3">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2.6: Random Forest majority voting concept. Several Decision Trees generate predictions, and the final class is selected by combining their votes. This ensemble concept is based on the Decision Tree and Random Forest discussion in [26].</w:t>
            </w:r>
            <w:hyperlink r:id="rId16">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22</w:t>
            </w:r>
          </w:p>
          <w:p w:rsidR="00000000" w:rsidDel="00000000" w:rsidP="00000000" w:rsidRDefault="00000000" w:rsidRPr="00000000" w14:paraId="00000084">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5">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2.7: SVM hyperplane and maximum margin. The figure illustrates how SVM separates classes by maximizing the margin between support vectors. The concept is based on SVM classification principles discussed in [27].</w:t>
            </w:r>
            <w:hyperlink r:id="rId17">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24</w:t>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6">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7">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2.8: Implementation of XGBoost</w:t>
            </w:r>
            <w:hyperlink r:id="rId18">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25</w:t>
            </w:r>
          </w:p>
          <w:p w:rsidR="00000000" w:rsidDel="00000000" w:rsidP="00000000" w:rsidRDefault="00000000" w:rsidRPr="00000000" w14:paraId="00000088">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tc>
      </w:tr>
      <w:tr>
        <w:trPr>
          <w:cantSplit w:val="0"/>
          <w:trHeight w:val="1841.09619140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9">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2.9: Deep learning for sequential sensor data. A 1D-CNN may extract local patterns from sensor sequences, while LSTM can model longer temporal dependencies. The figure is based on the deep learning concepts discussed in [30] and [31].</w:t>
            </w:r>
            <w:hyperlink r:id="rId19">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26</w:t>
            </w:r>
          </w:p>
          <w:p w:rsidR="00000000" w:rsidDel="00000000" w:rsidP="00000000" w:rsidRDefault="00000000" w:rsidRPr="00000000" w14:paraId="0000008A">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B">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2.10: NLP pipeline for accident report analysis. Textual accident narratives are cleaned and transformed into numerical features, such as TF-IDF or word embeddings, before being used by a classifier. The figure is based on NLP accident report analysis concepts in [32] and [33].</w:t>
            </w:r>
            <w:hyperlink r:id="rId20">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27</w:t>
            </w:r>
          </w:p>
          <w:p w:rsidR="00000000" w:rsidDel="00000000" w:rsidP="00000000" w:rsidRDefault="00000000" w:rsidRPr="00000000" w14:paraId="0000008C">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D">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2.11: SHAP feature contribution concept. The figure illustrates how individual features can increase or decrease the final predicted risk compared with a baseline prediction. The explanation concept is based on SHAP analysis described in [36].</w:t>
            </w:r>
            <w:hyperlink r:id="rId21">
              <w:r w:rsidDel="00000000" w:rsidR="00000000" w:rsidRPr="00000000">
                <w:rPr>
                  <w:rFonts w:ascii="Times New Roman" w:cs="Times New Roman" w:eastAsia="Times New Roman" w:hAnsi="Times New Roman"/>
                  <w:sz w:val="28"/>
                  <w:szCs w:val="28"/>
                  <w:rtl w:val="0"/>
                </w:rPr>
                <w:tab/>
              </w:r>
            </w:hyperlink>
            <w:r w:rsidDel="00000000" w:rsidR="00000000" w:rsidRPr="00000000">
              <w:rPr>
                <w:rFonts w:ascii="Times New Roman" w:cs="Times New Roman" w:eastAsia="Times New Roman" w:hAnsi="Times New Roman"/>
                <w:sz w:val="28"/>
                <w:szCs w:val="28"/>
                <w:rtl w:val="0"/>
              </w:rPr>
              <w:t xml:space="preserve">29</w:t>
            </w:r>
          </w:p>
          <w:p w:rsidR="00000000" w:rsidDel="00000000" w:rsidP="00000000" w:rsidRDefault="00000000" w:rsidRPr="00000000" w14:paraId="0000008E">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F">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tc>
      </w:tr>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0">
            <w:pPr>
              <w:tabs>
                <w:tab w:val="right" w:leader="none" w:pos="9354"/>
              </w:tabs>
              <w:spacing w:line="270" w:lineRule="auto"/>
              <w:ind w:hanging="10"/>
              <w:jc w:val="both"/>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91">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pStyle w:val="Heading1"/>
        <w:rPr>
          <w:b w:val="1"/>
          <w:bCs w:val="1"/>
          <w:color w:val="000000"/>
        </w:rPr>
      </w:pPr>
      <w:bookmarkStart w:colFirst="0" w:colLast="0" w:name="_heading=h.r1qagd1856ni" w:id="5"/>
      <w:bookmarkEnd w:id="5"/>
      <w:r w:rsidDel="00000000" w:rsidR="00000000" w:rsidRPr="00000000">
        <w:rPr>
          <w:b w:val="1"/>
          <w:bCs w:val="1"/>
          <w:color w:val="000000"/>
          <w:rtl w:val="0"/>
        </w:rPr>
        <w:t xml:space="preserve">Chapter 1: Introduction </w:t>
      </w:r>
    </w:p>
    <w:p w:rsidR="00000000" w:rsidDel="00000000" w:rsidP="00000000" w:rsidRDefault="00000000" w:rsidRPr="00000000" w14:paraId="00000094">
      <w:pPr>
        <w:pStyle w:val="Heading2"/>
        <w:rPr>
          <w:rFonts w:ascii="Times New Roman" w:cs="Times New Roman" w:eastAsia="Times New Roman" w:hAnsi="Times New Roman"/>
          <w:b w:val="1"/>
          <w:bCs w:val="1"/>
          <w:color w:val="000000"/>
        </w:rPr>
      </w:pPr>
      <w:bookmarkStart w:colFirst="0" w:colLast="0" w:name="_heading=h.siri7s3foqim" w:id="6"/>
      <w:bookmarkEnd w:id="6"/>
      <w:r w:rsidDel="00000000" w:rsidR="00000000" w:rsidRPr="00000000">
        <w:rPr>
          <w:rFonts w:ascii="Times New Roman" w:cs="Times New Roman" w:eastAsia="Times New Roman" w:hAnsi="Times New Roman"/>
          <w:b w:val="1"/>
          <w:bCs w:val="1"/>
          <w:color w:val="000000"/>
          <w:rtl w:val="0"/>
        </w:rPr>
        <w:t xml:space="preserve">1.1 Overview</w:t>
      </w:r>
    </w:p>
    <w:p w:rsidR="00000000" w:rsidDel="00000000" w:rsidP="00000000" w:rsidRDefault="00000000" w:rsidRPr="00000000" w14:paraId="0000009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(IIoT) </w:t>
      </w:r>
      <w:r w:rsidDel="00000000" w:rsidR="00000000" w:rsidRPr="00000000">
        <w:rPr>
          <w:rFonts w:ascii="Times New Roman" w:cs="Times New Roman" w:eastAsia="Times New Roman" w:hAnsi="Times New Roman"/>
          <w:sz w:val="28"/>
          <w:szCs w:val="28"/>
          <w:rtl w:val="0"/>
        </w:rPr>
        <w:t xml:space="preserve">[1]</w:t>
      </w:r>
      <w:r w:rsidDel="00000000" w:rsidR="00000000" w:rsidRPr="00000000">
        <w:rPr>
          <w:rFonts w:ascii="Times New Roman" w:cs="Times New Roman" w:eastAsia="Times New Roman" w:hAnsi="Times New Roman"/>
          <w:sz w:val="28"/>
          <w:szCs w:val="28"/>
          <w:rtl w:val="0"/>
        </w:rPr>
        <w:t xml:space="preserve">. With the rapid advancement of connectivity and the ability to access real-time data from various sensors, industries are surpassing the traditional methods of monitoring industrial processes and making safety and efficiency decisions . [2]</w:t>
      </w:r>
    </w:p>
    <w:p w:rsidR="00000000" w:rsidDel="00000000" w:rsidP="00000000" w:rsidRDefault="00000000" w:rsidRPr="00000000" w14:paraId="0000009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you have hazardous conditions, safety is always of great concern, particularly when the hazardous condition can potentially cause a fire or accident in the workplace. These office accidents, in different forms and the damage to the equipment can stop production for a considerable period of time and cause significant financial losses [3]. For many industries, the main concern is the safety of employees and the financial loss due to a reduction in productivity. [4]</w:t>
      </w:r>
    </w:p>
    <w:p w:rsidR="00000000" w:rsidDel="00000000" w:rsidP="00000000" w:rsidRDefault="00000000" w:rsidRPr="00000000" w14:paraId="0000009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1.1 shows the entire picture of the Industrial IoT-based intelligent safety framework, and how the sensor data from the industrial environment flows to the intelligent decision support systems</w:t>
      </w:r>
    </w:p>
    <w:p w:rsidR="00000000" w:rsidDel="00000000" w:rsidP="00000000" w:rsidRDefault="00000000" w:rsidRPr="00000000" w14:paraId="0000009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979876" cy="3723572"/>
            <wp:effectExtent b="190500" l="190500" r="190500" t="190500"/>
            <wp:docPr id="2" name="image7.png"/>
            <a:graphic>
              <a:graphicData uri="http://schemas.openxmlformats.org/drawingml/2006/picture">
                <pic:pic>
                  <pic:nvPicPr>
                    <pic:cNvPr id="0" name="image7.png"/>
                    <pic:cNvPicPr preferRelativeResize="0"/>
                  </pic:nvPicPr>
                  <pic:blipFill>
                    <a:blip r:embed="rId22"/>
                    <a:srcRect b="0" l="0" r="0" t="0"/>
                    <a:stretch>
                      <a:fillRect/>
                    </a:stretch>
                  </pic:blipFill>
                  <pic:spPr>
                    <a:xfrm>
                      <a:off x="0" y="0"/>
                      <a:ext cx="2979876" cy="3723572"/>
                    </a:xfrm>
                    <a:prstGeom prst="rect"/>
                    <a:ln w="1905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99">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1.1: Industrial IoT-Based Intelligent Safety Framework</w:t>
      </w:r>
    </w:p>
    <w:p w:rsidR="00000000" w:rsidDel="00000000" w:rsidP="00000000" w:rsidRDefault="00000000" w:rsidRPr="00000000" w14:paraId="0000009A">
      <w:pPr>
        <w:jc w:val="left"/>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09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rsidR="00000000" w:rsidDel="00000000" w:rsidP="00000000" w:rsidRDefault="00000000" w:rsidRPr="00000000" w14:paraId="0000009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[5]. Because of this, the application of predictive models to aid in the identification of abnormal conditions has become more popular and is used to reduce the occurrence of accidents [5].</w:t>
      </w:r>
    </w:p>
    <w:p w:rsidR="00000000" w:rsidDel="00000000" w:rsidP="00000000" w:rsidRDefault="00000000" w:rsidRPr="00000000" w14:paraId="0000009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Apart from predicting risk, the proliferation of more accessible predictive analytics is enabling industries to create early warning systems to identify abnormal conditions prior to their escalation to serious incidents. They are cost effective and provide real-time information, which enables pro-active maintenance and reduces unexpected downtime and maximises business efficiency [6]. Therefore, predictive analytics has become an integral part of the modern safety management system and the smart manufacturing intelligent safety management system [6].</w:t>
      </w:r>
    </w:p>
    <w:p w:rsidR="00000000" w:rsidDel="00000000" w:rsidP="00000000" w:rsidRDefault="00000000" w:rsidRPr="00000000" w14:paraId="0000009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Such a wide integration of IIoT systems brings additional benefits to an unlimited monitoring and measurement of safety parameters, which are critical for safety (temperature, pressure, humidity, vibration and even the concentration of gases) [7]. The data from these technologies creates a better understanding of the state of an industrial system, and facilitates the shift in safety practice from reactive to predictive risk management [7].</w:t>
      </w:r>
    </w:p>
    <w:p w:rsidR="00000000" w:rsidDel="00000000" w:rsidP="00000000" w:rsidRDefault="00000000" w:rsidRPr="00000000" w14:paraId="0000009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rsidR="00000000" w:rsidDel="00000000" w:rsidP="00000000" w:rsidRDefault="00000000" w:rsidRPr="00000000" w14:paraId="000000A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IIoT, AI, and machine learning can be used together to create sophisticated safety systems that predict industrial fires or accident hazards that can be "explained. These systems can contribute in optimizing the situational awareness and also in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r w:rsidDel="00000000" w:rsidR="00000000" w:rsidRPr="00000000">
        <w:br w:type="page"/>
      </w:r>
      <w:r w:rsidDel="00000000" w:rsidR="00000000" w:rsidRPr="00000000">
        <w:rPr>
          <w:rtl w:val="0"/>
        </w:rPr>
      </w:r>
    </w:p>
    <w:p w:rsidR="00000000" w:rsidDel="00000000" w:rsidP="00000000" w:rsidRDefault="00000000" w:rsidRPr="00000000" w14:paraId="000000A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3">
      <w:pPr>
        <w:pStyle w:val="Heading2"/>
        <w:rPr>
          <w:rFonts w:ascii="Times New Roman" w:cs="Times New Roman" w:eastAsia="Times New Roman" w:hAnsi="Times New Roman"/>
          <w:b w:val="1"/>
          <w:bCs w:val="1"/>
          <w:color w:val="000000"/>
        </w:rPr>
      </w:pPr>
      <w:bookmarkStart w:colFirst="0" w:colLast="0" w:name="_heading=h.27ki0i8qmm0t" w:id="7"/>
      <w:bookmarkEnd w:id="7"/>
      <w:r w:rsidDel="00000000" w:rsidR="00000000" w:rsidRPr="00000000">
        <w:rPr>
          <w:rFonts w:ascii="Times New Roman" w:cs="Times New Roman" w:eastAsia="Times New Roman" w:hAnsi="Times New Roman"/>
          <w:b w:val="1"/>
          <w:bCs w:val="1"/>
          <w:color w:val="000000"/>
          <w:rtl w:val="0"/>
        </w:rPr>
        <w:t xml:space="preserve">1.2 Problem Definition</w:t>
      </w:r>
    </w:p>
    <w:p w:rsidR="00000000" w:rsidDel="00000000" w:rsidP="00000000" w:rsidRDefault="00000000" w:rsidRPr="00000000" w14:paraId="000000A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accidents and fires at the workplace continue to be a problem in many industrial sectors, as the development of Industrial 4.0 and the growing adoption of systems based on the Industrial Internet of Things (IIoT) has been occurring. These events pose risks to employee safety, system damage, workflow/process disruption and costly financial losses [10].</w:t>
      </w:r>
    </w:p>
    <w:p w:rsidR="00000000" w:rsidDel="00000000" w:rsidP="00000000" w:rsidRDefault="00000000" w:rsidRPr="00000000" w14:paraId="000000A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Many industrial sites rely on routine checks and procedures that are preplanned and predictable for the management of safety. Advances have been made in safety but these still react to the event of an accident - they don't stop it from happening. As a result, workers might not be aware of safety hazards until after an incident has occurred [11].</w:t>
      </w:r>
    </w:p>
    <w:p w:rsidR="00000000" w:rsidDel="00000000" w:rsidP="00000000" w:rsidRDefault="00000000" w:rsidRPr="00000000" w14:paraId="000000A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the greater access to the data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rsidR="00000000" w:rsidDel="00000000" w:rsidP="00000000" w:rsidRDefault="00000000" w:rsidRPr="00000000" w14:paraId="000000A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justification oriented techniques [13].</w:t>
      </w:r>
    </w:p>
    <w:p w:rsidR="00000000" w:rsidDel="00000000" w:rsidP="00000000" w:rsidRDefault="00000000" w:rsidRPr="00000000" w14:paraId="000000A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rsidR="00000000" w:rsidDel="00000000" w:rsidP="00000000" w:rsidRDefault="00000000" w:rsidRPr="00000000" w14:paraId="000000A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pStyle w:val="Heading2"/>
        <w:rPr>
          <w:b w:val="1"/>
          <w:bCs w:val="1"/>
          <w:color w:val="000000"/>
        </w:rPr>
      </w:pPr>
      <w:bookmarkStart w:colFirst="0" w:colLast="0" w:name="_heading=h.7rcw2gxnl2t" w:id="8"/>
      <w:bookmarkEnd w:id="8"/>
      <w:r w:rsidDel="00000000" w:rsidR="00000000" w:rsidRPr="00000000">
        <w:rPr>
          <w:b w:val="1"/>
          <w:bCs w:val="1"/>
          <w:color w:val="000000"/>
          <w:rtl w:val="0"/>
        </w:rPr>
        <w:t xml:space="preserve">1.3 Thesis Objectives</w:t>
      </w:r>
    </w:p>
    <w:p w:rsidR="00000000" w:rsidDel="00000000" w:rsidP="00000000" w:rsidRDefault="00000000" w:rsidRPr="00000000" w14:paraId="000000AB">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build predictive models to assess risk of workplace accidents and industrial fires using Logistic Regression, Decision Tree, Random Forest, Support Vector Machine (SVM), and XGBoost.</w:t>
      </w:r>
      <w:r w:rsidDel="00000000" w:rsidR="00000000" w:rsidRPr="00000000">
        <w:rPr>
          <w:rtl w:val="0"/>
        </w:rPr>
      </w:r>
    </w:p>
    <w:p w:rsidR="00000000" w:rsidDel="00000000" w:rsidP="00000000" w:rsidRDefault="00000000" w:rsidRPr="00000000" w14:paraId="000000AC">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compare performance of selected machine learning algorithms using evaluation metrics like Accuracy, Precision, Recall, F1-score, ROC-AUC and Confusion Matrix.</w:t>
      </w:r>
      <w:r w:rsidDel="00000000" w:rsidR="00000000" w:rsidRPr="00000000">
        <w:rPr>
          <w:rtl w:val="0"/>
        </w:rPr>
      </w:r>
    </w:p>
    <w:p w:rsidR="00000000" w:rsidDel="00000000" w:rsidP="00000000" w:rsidRDefault="00000000" w:rsidRPr="00000000" w14:paraId="000000AD">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select the most appropriate machine learning model for structured industrial IIoT data in terms of predictive performance, robustness and computational efficiency.</w:t>
      </w:r>
      <w:r w:rsidDel="00000000" w:rsidR="00000000" w:rsidRPr="00000000">
        <w:rPr>
          <w:rtl w:val="0"/>
        </w:rPr>
      </w:r>
    </w:p>
    <w:p w:rsidR="00000000" w:rsidDel="00000000" w:rsidP="00000000" w:rsidRDefault="00000000" w:rsidRPr="00000000" w14:paraId="000000AE">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apply Explainable Artificial Intelligence (XAI) with the SHAP approach to explain model results and determine the main underlying variables that affect risk of fire and accidents.</w:t>
      </w:r>
      <w:r w:rsidDel="00000000" w:rsidR="00000000" w:rsidRPr="00000000">
        <w:rPr>
          <w:rtl w:val="0"/>
        </w:rPr>
      </w:r>
    </w:p>
    <w:p w:rsidR="00000000" w:rsidDel="00000000" w:rsidP="00000000" w:rsidRDefault="00000000" w:rsidRPr="00000000" w14:paraId="000000AF">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create an explanatory decision support system to improve the practice of industrial safety management proactively and help safety engineers make reliable decisions.</w:t>
      </w:r>
      <w:r w:rsidDel="00000000" w:rsidR="00000000" w:rsidRPr="00000000">
        <w:rPr>
          <w:rtl w:val="0"/>
        </w:rPr>
      </w:r>
    </w:p>
    <w:p w:rsidR="00000000" w:rsidDel="00000000" w:rsidP="00000000" w:rsidRDefault="00000000" w:rsidRPr="00000000" w14:paraId="000000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pStyle w:val="Heading2"/>
        <w:rPr>
          <w:rFonts w:ascii="Times New Roman" w:cs="Times New Roman" w:eastAsia="Times New Roman" w:hAnsi="Times New Roman"/>
          <w:b w:val="1"/>
          <w:bCs w:val="1"/>
          <w:color w:val="000000"/>
        </w:rPr>
      </w:pPr>
      <w:bookmarkStart w:colFirst="0" w:colLast="0" w:name="_heading=h.kx7pyzjkrv0p" w:id="9"/>
      <w:bookmarkEnd w:id="9"/>
      <w:r w:rsidDel="00000000" w:rsidR="00000000" w:rsidRPr="00000000">
        <w:rPr>
          <w:rFonts w:ascii="Times New Roman" w:cs="Times New Roman" w:eastAsia="Times New Roman" w:hAnsi="Times New Roman"/>
          <w:b w:val="1"/>
          <w:bCs w:val="1"/>
          <w:color w:val="000000"/>
          <w:rtl w:val="0"/>
        </w:rPr>
        <w:t xml:space="preserve">1.4 Thesis Contribution</w:t>
      </w:r>
    </w:p>
    <w:p w:rsidR="00000000" w:rsidDel="00000000" w:rsidP="00000000" w:rsidRDefault="00000000" w:rsidRPr="00000000" w14:paraId="000000B2">
      <w:pPr>
        <w:numPr>
          <w:ilvl w:val="0"/>
          <w:numId w:val="2"/>
        </w:numPr>
        <w:ind w:left="720" w:hanging="360"/>
        <w:jc w:val="both"/>
        <w:rPr/>
      </w:pPr>
      <w:r w:rsidDel="00000000" w:rsidR="00000000" w:rsidRPr="00000000">
        <w:rPr>
          <w:rFonts w:ascii="Times New Roman" w:cs="Times New Roman" w:eastAsia="Times New Roman" w:hAnsi="Times New Roman"/>
          <w:sz w:val="28"/>
          <w:szCs w:val="28"/>
          <w:rtl w:val="0"/>
        </w:rPr>
        <w:t xml:space="preserve">Use structured industrial data to predict fire and workplace accident risks.</w:t>
      </w:r>
      <w:r w:rsidDel="00000000" w:rsidR="00000000" w:rsidRPr="00000000">
        <w:rPr>
          <w:rtl w:val="0"/>
        </w:rPr>
      </w:r>
    </w:p>
    <w:p w:rsidR="00000000" w:rsidDel="00000000" w:rsidP="00000000" w:rsidRDefault="00000000" w:rsidRPr="00000000" w14:paraId="000000B3">
      <w:pPr>
        <w:numPr>
          <w:ilvl w:val="0"/>
          <w:numId w:val="2"/>
        </w:numPr>
        <w:ind w:left="720" w:hanging="360"/>
        <w:jc w:val="both"/>
        <w:rPr/>
      </w:pPr>
      <w:r w:rsidDel="00000000" w:rsidR="00000000" w:rsidRPr="00000000">
        <w:rPr>
          <w:rFonts w:ascii="Times New Roman" w:cs="Times New Roman" w:eastAsia="Times New Roman" w:hAnsi="Times New Roman"/>
          <w:sz w:val="28"/>
          <w:szCs w:val="28"/>
          <w:rtl w:val="0"/>
        </w:rPr>
        <w:t xml:space="preserve"> Provide a comparative evaluation of Logistic Regression, Decision Tree, Random Forest, Support Vector Machine (SVM), and XGBoost models for industrial fire and workplace accident risk prediction.</w:t>
      </w:r>
      <w:r w:rsidDel="00000000" w:rsidR="00000000" w:rsidRPr="00000000">
        <w:rPr>
          <w:rtl w:val="0"/>
        </w:rPr>
      </w:r>
    </w:p>
    <w:p w:rsidR="00000000" w:rsidDel="00000000" w:rsidP="00000000" w:rsidRDefault="00000000" w:rsidRPr="00000000" w14:paraId="000000B4">
      <w:pPr>
        <w:numPr>
          <w:ilvl w:val="0"/>
          <w:numId w:val="2"/>
        </w:numPr>
        <w:ind w:left="720" w:hanging="360"/>
        <w:jc w:val="both"/>
        <w:rPr/>
      </w:pPr>
      <w:r w:rsidDel="00000000" w:rsidR="00000000" w:rsidRPr="00000000">
        <w:rPr>
          <w:rFonts w:ascii="Times New Roman" w:cs="Times New Roman" w:eastAsia="Times New Roman" w:hAnsi="Times New Roman"/>
          <w:sz w:val="28"/>
          <w:szCs w:val="28"/>
          <w:rtl w:val="0"/>
        </w:rPr>
        <w:t xml:space="preserve">Propose an integrated framework that combines IIoT data, machine learning, and explainable artificial intelligence.</w:t>
      </w:r>
      <w:r w:rsidDel="00000000" w:rsidR="00000000" w:rsidRPr="00000000">
        <w:rPr>
          <w:rtl w:val="0"/>
        </w:rPr>
      </w:r>
    </w:p>
    <w:p w:rsidR="00000000" w:rsidDel="00000000" w:rsidP="00000000" w:rsidRDefault="00000000" w:rsidRPr="00000000" w14:paraId="000000B5">
      <w:pPr>
        <w:numPr>
          <w:ilvl w:val="0"/>
          <w:numId w:val="2"/>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rFonts w:ascii="Times New Roman" w:cs="Times New Roman" w:eastAsia="Times New Roman" w:hAnsi="Times New Roman"/>
          <w:color w:val="000000"/>
          <w:sz w:val="28"/>
          <w:szCs w:val="28"/>
          <w:rtl w:val="0"/>
        </w:rPr>
        <w:t xml:space="preserve">Support safety engineers and decision-makers by providing understandable risk predictions and early-warning information.</w:t>
      </w: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B7">
      <w:pPr>
        <w:pStyle w:val="Heading2"/>
        <w:rPr>
          <w:b w:val="1"/>
          <w:bCs w:val="1"/>
          <w:color w:val="000000"/>
        </w:rPr>
      </w:pPr>
      <w:bookmarkStart w:colFirst="0" w:colLast="0" w:name="_heading=h.t0bxs636hl6j" w:id="10"/>
      <w:bookmarkEnd w:id="10"/>
      <w:r w:rsidDel="00000000" w:rsidR="00000000" w:rsidRPr="00000000">
        <w:rPr>
          <w:b w:val="1"/>
          <w:bCs w:val="1"/>
          <w:color w:val="000000"/>
          <w:rtl w:val="0"/>
        </w:rPr>
        <w:t xml:space="preserve">1.5 Thesis Organization</w:t>
      </w:r>
    </w:p>
    <w:p w:rsidR="00000000" w:rsidDel="00000000" w:rsidP="00000000" w:rsidRDefault="00000000" w:rsidRPr="00000000" w14:paraId="000000B8">
      <w:pPr>
        <w:tabs>
          <w:tab w:val="left" w:leader="none" w:pos="567"/>
        </w:tabs>
        <w:spacing w:after="253" w:lineRule="auto"/>
        <w:ind w:left="426"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rest of this thesis is organized as follows.</w:t>
      </w:r>
    </w:p>
    <w:p w:rsidR="00000000" w:rsidDel="00000000" w:rsidP="00000000" w:rsidRDefault="00000000" w:rsidRPr="00000000" w14:paraId="000000B9">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2</w:t>
      </w:r>
      <w:r w:rsidDel="00000000" w:rsidR="00000000" w:rsidRPr="00000000">
        <w:rPr>
          <w:rFonts w:ascii="Times New Roman" w:cs="Times New Roman" w:eastAsia="Times New Roman" w:hAnsi="Times New Roman"/>
          <w:color w:val="000000"/>
          <w:sz w:val="28"/>
          <w:szCs w:val="28"/>
          <w:rtl w:val="0"/>
        </w:rPr>
        <w:t xml:space="preserve"> discusses the theoretical background and relevant research areas.</w:t>
      </w:r>
    </w:p>
    <w:p w:rsidR="00000000" w:rsidDel="00000000" w:rsidP="00000000" w:rsidRDefault="00000000" w:rsidRPr="00000000" w14:paraId="000000BA">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3</w:t>
      </w:r>
      <w:r w:rsidDel="00000000" w:rsidR="00000000" w:rsidRPr="00000000">
        <w:rPr>
          <w:rFonts w:ascii="Times New Roman" w:cs="Times New Roman" w:eastAsia="Times New Roman" w:hAnsi="Times New Roman"/>
          <w:color w:val="000000"/>
          <w:sz w:val="28"/>
          <w:szCs w:val="28"/>
          <w:rtl w:val="0"/>
        </w:rPr>
        <w:t xml:space="preserve"> presents the proposed methodology.</w:t>
      </w:r>
    </w:p>
    <w:p w:rsidR="00000000" w:rsidDel="00000000" w:rsidP="00000000" w:rsidRDefault="00000000" w:rsidRPr="00000000" w14:paraId="000000BB">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4</w:t>
      </w:r>
      <w:r w:rsidDel="00000000" w:rsidR="00000000" w:rsidRPr="00000000">
        <w:rPr>
          <w:rFonts w:ascii="Times New Roman" w:cs="Times New Roman" w:eastAsia="Times New Roman" w:hAnsi="Times New Roman"/>
          <w:color w:val="000000"/>
          <w:sz w:val="28"/>
          <w:szCs w:val="28"/>
          <w:rtl w:val="0"/>
        </w:rPr>
        <w:t xml:space="preserve"> analyzes the experimental results.</w:t>
      </w:r>
    </w:p>
    <w:p w:rsidR="00000000" w:rsidDel="00000000" w:rsidP="00000000" w:rsidRDefault="00000000" w:rsidRPr="00000000" w14:paraId="000000BC">
      <w:pPr>
        <w:ind w:firstLine="426"/>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5</w:t>
      </w:r>
      <w:r w:rsidDel="00000000" w:rsidR="00000000" w:rsidRPr="00000000">
        <w:rPr>
          <w:rFonts w:ascii="Times New Roman" w:cs="Times New Roman" w:eastAsia="Times New Roman" w:hAnsi="Times New Roman"/>
          <w:color w:val="000000"/>
          <w:sz w:val="28"/>
          <w:szCs w:val="28"/>
          <w:rtl w:val="0"/>
        </w:rPr>
        <w:t xml:space="preserve"> concludes the study and suggests directions for future work.</w:t>
      </w: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E">
      <w:pPr>
        <w:pStyle w:val="Heading1"/>
        <w:rPr>
          <w:b w:val="1"/>
          <w:bCs w:val="1"/>
          <w:color w:val="000000"/>
        </w:rPr>
      </w:pPr>
      <w:bookmarkStart w:colFirst="0" w:colLast="0" w:name="_heading=h.prlqcveildis" w:id="11"/>
      <w:bookmarkEnd w:id="11"/>
      <w:r w:rsidDel="00000000" w:rsidR="00000000" w:rsidRPr="00000000">
        <w:br w:type="page"/>
      </w:r>
      <w:r w:rsidDel="00000000" w:rsidR="00000000" w:rsidRPr="00000000">
        <w:rPr>
          <w:b w:val="1"/>
          <w:bCs w:val="1"/>
          <w:color w:val="000000"/>
          <w:rtl w:val="0"/>
        </w:rPr>
        <w:t xml:space="preserve">Chapter 2: Background and Related Work </w:t>
      </w:r>
    </w:p>
    <w:p w:rsidR="00000000" w:rsidDel="00000000" w:rsidP="00000000" w:rsidRDefault="00000000" w:rsidRPr="00000000" w14:paraId="000000BF">
      <w:pPr>
        <w:pStyle w:val="Heading2"/>
        <w:rPr>
          <w:rFonts w:ascii="Times New Roman" w:cs="Times New Roman" w:eastAsia="Times New Roman" w:hAnsi="Times New Roman"/>
          <w:b w:val="1"/>
          <w:bCs w:val="1"/>
          <w:color w:val="000000"/>
        </w:rPr>
      </w:pPr>
      <w:bookmarkStart w:colFirst="0" w:colLast="0" w:name="_heading=h.h69q38u74lwe" w:id="12"/>
      <w:bookmarkEnd w:id="12"/>
      <w:r w:rsidDel="00000000" w:rsidR="00000000" w:rsidRPr="00000000">
        <w:rPr>
          <w:rFonts w:ascii="Times New Roman" w:cs="Times New Roman" w:eastAsia="Times New Roman" w:hAnsi="Times New Roman"/>
          <w:b w:val="1"/>
          <w:bCs w:val="1"/>
          <w:color w:val="000000"/>
          <w:rtl w:val="0"/>
        </w:rPr>
        <w:t xml:space="preserve">2.1 Introduction </w:t>
      </w:r>
    </w:p>
    <w:p w:rsidR="00000000" w:rsidDel="00000000" w:rsidP="00000000" w:rsidRDefault="00000000" w:rsidRPr="00000000" w14:paraId="000000C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rsidR="00000000" w:rsidDel="00000000" w:rsidP="00000000" w:rsidRDefault="00000000" w:rsidRPr="00000000" w14:paraId="000000C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rsidR="00000000" w:rsidDel="00000000" w:rsidP="00000000" w:rsidRDefault="00000000" w:rsidRPr="00000000" w14:paraId="000000C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rsidR="00000000" w:rsidDel="00000000" w:rsidP="00000000" w:rsidRDefault="00000000" w:rsidRPr="00000000" w14:paraId="000000C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rsidR="00000000" w:rsidDel="00000000" w:rsidP="00000000" w:rsidRDefault="00000000" w:rsidRPr="00000000" w14:paraId="000000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pStyle w:val="Heading2"/>
        <w:rPr>
          <w:rFonts w:ascii="Times New Roman" w:cs="Times New Roman" w:eastAsia="Times New Roman" w:hAnsi="Times New Roman"/>
          <w:b w:val="1"/>
          <w:bCs w:val="1"/>
          <w:color w:val="000000"/>
        </w:rPr>
      </w:pPr>
      <w:bookmarkStart w:colFirst="0" w:colLast="0" w:name="_heading=h.iejkuk2txhyh" w:id="13"/>
      <w:bookmarkEnd w:id="13"/>
      <w:r w:rsidDel="00000000" w:rsidR="00000000" w:rsidRPr="00000000">
        <w:rPr>
          <w:rFonts w:ascii="Times New Roman" w:cs="Times New Roman" w:eastAsia="Times New Roman" w:hAnsi="Times New Roman"/>
          <w:b w:val="1"/>
          <w:bCs w:val="1"/>
          <w:color w:val="000000"/>
          <w:rtl w:val="0"/>
        </w:rPr>
        <w:t xml:space="preserve">2.2 Background</w:t>
      </w:r>
    </w:p>
    <w:p w:rsidR="00000000" w:rsidDel="00000000" w:rsidP="00000000" w:rsidRDefault="00000000" w:rsidRPr="00000000" w14:paraId="000000C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section presents major theoretical ideas that will underpin the proposed research on the prediction of industrial fires and workplace accidents. The background builds on industrial safety, IIoT-based oversight, preparation of sensor data, machine learning, deep learning, natural language processing, and explainable artificial intelligence. The objective is to describe the methods that will be employed and provide links to each method within the context of safety prediction.</w:t>
      </w:r>
    </w:p>
    <w:p w:rsidR="00000000" w:rsidDel="00000000" w:rsidP="00000000" w:rsidRDefault="00000000" w:rsidRPr="00000000" w14:paraId="000000C7">
      <w:pPr>
        <w:pStyle w:val="Heading3"/>
        <w:rPr>
          <w:rFonts w:ascii="Times New Roman" w:cs="Times New Roman" w:eastAsia="Times New Roman" w:hAnsi="Times New Roman"/>
          <w:b w:val="1"/>
          <w:bCs w:val="1"/>
          <w:color w:val="000000"/>
        </w:rPr>
      </w:pPr>
      <w:bookmarkStart w:colFirst="0" w:colLast="0" w:name="_heading=h.713jc7r1vr65" w:id="14"/>
      <w:bookmarkEnd w:id="14"/>
      <w:r w:rsidDel="00000000" w:rsidR="00000000" w:rsidRPr="00000000">
        <w:rPr>
          <w:rFonts w:ascii="Times New Roman" w:cs="Times New Roman" w:eastAsia="Times New Roman" w:hAnsi="Times New Roman"/>
          <w:b w:val="1"/>
          <w:bCs w:val="1"/>
          <w:color w:val="000000"/>
          <w:rtl w:val="0"/>
        </w:rPr>
        <w:t xml:space="preserve">2.2.1 Industrial Safety</w:t>
      </w:r>
    </w:p>
    <w:p w:rsidR="00000000" w:rsidDel="00000000" w:rsidP="00000000" w:rsidRDefault="00000000" w:rsidRPr="00000000" w14:paraId="000000C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goal of industrial safety is to avoid the injury of employees, damage to equipment, loss of production, and other adverse events. In the industrial setting, the workplace can be made unsafe with high temperature, leakage of gas, electrical problems, machine breakdown, lack of maintenance, unsafe behavior of employees, and unsafe conditions in the environment [14]. Some unsafe conditions are easily recognized. Others may develop and remain safe until several conditions are met when they become unsafe. An example may be a gas leakage that when combined with poor ventilation, may represent a greater hazardous situation, [15].</w:t>
      </w:r>
    </w:p>
    <w:p w:rsidR="00000000" w:rsidDel="00000000" w:rsidP="00000000" w:rsidRDefault="00000000" w:rsidRPr="00000000" w14:paraId="000000C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Safety management of the past relied on inspections, safety procedures, incidents reporting, and the establishment of alarm thresholds. While these techniques are important, they tend to be reactive, identifying safety issues after a regulation is broken or a safety incident has already occurred [16]. In a modern dynamic industrial facility, the state of equipment, safety of the environment, and actions of employees are continuously changing so that fixed rules may be unable to identify unsafe situations [17]. Therefore, the continuous monitoring of safety in a workplace and the reliance upon predictive decision support is becoming essential to safety management.</w:t>
      </w:r>
    </w:p>
    <w:p w:rsidR="00000000" w:rsidDel="00000000" w:rsidP="00000000" w:rsidRDefault="00000000" w:rsidRPr="00000000" w14:paraId="000000C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B">
      <w:pPr>
        <w:pStyle w:val="Heading3"/>
        <w:rPr>
          <w:b w:val="1"/>
          <w:bCs w:val="1"/>
          <w:color w:val="000000"/>
          <w:sz w:val="24"/>
          <w:szCs w:val="24"/>
        </w:rPr>
      </w:pPr>
      <w:bookmarkStart w:colFirst="0" w:colLast="0" w:name="_heading=h.nzemjqx4sbyv" w:id="15"/>
      <w:bookmarkEnd w:id="15"/>
      <w:r w:rsidDel="00000000" w:rsidR="00000000" w:rsidRPr="00000000">
        <w:rPr>
          <w:b w:val="1"/>
          <w:bCs w:val="1"/>
          <w:color w:val="000000"/>
          <w:rtl w:val="0"/>
        </w:rPr>
        <w:t xml:space="preserve">2.2.2 Industrial Internet of Things (IIoT) for Safety Monitoring</w:t>
      </w:r>
      <w:r w:rsidDel="00000000" w:rsidR="00000000" w:rsidRPr="00000000">
        <w:rPr>
          <w:rtl w:val="0"/>
        </w:rPr>
      </w:r>
    </w:p>
    <w:p w:rsidR="00000000" w:rsidDel="00000000" w:rsidP="00000000" w:rsidRDefault="00000000" w:rsidRPr="00000000" w14:paraId="000000C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Continuous monitoring of industrial safety is made possible due to technologies built on the Industrial Internet of Things (IIoT). IIoT networks are made to capture operational and environmental data through the combination of sensors, machines, edge devices, communication networks, and data platforms, especially in industrial settings [18]. These data can be used to prevent fire and accidents and can be temperature, humidity, concentration of gas, pressure and vibration of equipment, machine status and other safety-related factors [19].</w:t>
      </w:r>
    </w:p>
    <w:p w:rsidR="00000000" w:rsidDel="00000000" w:rsidP="00000000" w:rsidRDefault="00000000" w:rsidRPr="00000000" w14:paraId="000000C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safety system designed with the IIoT, data from the industrial environment are transferred for computing through gateways or edge devices to a data computing layer, and can be analyzed to determine the probability of safety being compromised using one of the ML techniques post the data has been precomputed. Various output formats, such as dashboards, alerts, or a support system for making decisions, can be used to display the findings of the analysis. The basic procedural flow is captured in Figure 2.1.</w:t>
      </w:r>
    </w:p>
    <w:p w:rsidR="00000000" w:rsidDel="00000000" w:rsidP="00000000" w:rsidRDefault="00000000" w:rsidRPr="00000000" w14:paraId="000000C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F">
      <w:pPr>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-495298</wp:posOffset>
            </wp:positionH>
            <wp:positionV relativeFrom="paragraph">
              <wp:posOffset>292100</wp:posOffset>
            </wp:positionV>
            <wp:extent cx="6848475" cy="1704975"/>
            <wp:effectExtent b="0" l="0" r="0" t="0"/>
            <wp:wrapSquare wrapText="bothSides" distB="0" distT="0" distL="114300" distR="114300"/>
            <wp:docPr id="13" name="image12.png"/>
            <a:graphic>
              <a:graphicData uri="http://schemas.openxmlformats.org/drawingml/2006/picture">
                <pic:pic>
                  <pic:nvPicPr>
                    <pic:cNvPr id="0" name="image12.png"/>
                    <pic:cNvPicPr preferRelativeResize="0"/>
                  </pic:nvPicPr>
                  <pic:blipFill>
                    <a:blip r:embed="rId23"/>
                    <a:srcRect b="0" l="0" r="0" t="0"/>
                    <a:stretch>
                      <a:fillRect/>
                    </a:stretch>
                  </pic:blipFill>
                  <pic:spPr>
                    <a:xfrm>
                      <a:off x="0" y="0"/>
                      <a:ext cx="6848475" cy="1704975"/>
                    </a:xfrm>
                    <a:prstGeom prst="rect"/>
                    <a:ln/>
                  </pic:spPr>
                </pic:pic>
              </a:graphicData>
            </a:graphic>
          </wp:anchor>
        </w:drawing>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2.1: IIoT-based safety monitoring workflow. The figure shows how industrial sensor data can move from physical devices to preprocessing, machine learning prediction, explainable AI, and safety decision support. Based on the IIoT safety monitoring concepts discussed in [7], [18], and [19].</w:t>
      </w:r>
    </w:p>
    <w:p w:rsidR="00000000" w:rsidDel="00000000" w:rsidP="00000000" w:rsidRDefault="00000000" w:rsidRPr="00000000" w14:paraId="000000D2">
      <w:pPr>
        <w:jc w:val="cente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0D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major benefit of integrating Industrial IoT for safety-related functions is the capacity for constant surveillance of operational shifts, as opposed to the traditional method of periodic inspections. However, the benefits of Industrial IoT are greatly diminished with poor or unreliable sensor data. Safety monitoring systems can be negatively impacted by sensor drift, loss of communication, issues with calibration, interference in the environment, and noisy data. Due to the reasons stated above, the data is prepared and cleaned prior to developing a prediction model.</w:t>
      </w:r>
    </w:p>
    <w:p w:rsidR="00000000" w:rsidDel="00000000" w:rsidP="00000000" w:rsidRDefault="00000000" w:rsidRPr="00000000" w14:paraId="000000D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5">
      <w:pPr>
        <w:pStyle w:val="Heading3"/>
        <w:rPr>
          <w:rFonts w:ascii="Times New Roman" w:cs="Times New Roman" w:eastAsia="Times New Roman" w:hAnsi="Times New Roman"/>
          <w:b w:val="1"/>
          <w:bCs w:val="1"/>
          <w:color w:val="000000"/>
          <w:sz w:val="32"/>
          <w:szCs w:val="32"/>
        </w:rPr>
      </w:pPr>
      <w:bookmarkStart w:colFirst="0" w:colLast="0" w:name="_heading=h.mtq7gjdcabfq" w:id="16"/>
      <w:bookmarkEnd w:id="16"/>
      <w:r w:rsidDel="00000000" w:rsidR="00000000" w:rsidRPr="00000000">
        <w:rPr>
          <w:rFonts w:ascii="Times New Roman" w:cs="Times New Roman" w:eastAsia="Times New Roman" w:hAnsi="Times New Roman"/>
          <w:b w:val="1"/>
          <w:bCs w:val="1"/>
          <w:color w:val="000000"/>
          <w:rtl w:val="0"/>
        </w:rPr>
        <w:t xml:space="preserve">2.2.3 Sensor Data and Data Preprocessing</w:t>
      </w:r>
      <w:r w:rsidDel="00000000" w:rsidR="00000000" w:rsidRPr="00000000">
        <w:rPr>
          <w:rtl w:val="0"/>
        </w:rPr>
      </w:r>
    </w:p>
    <w:p w:rsidR="00000000" w:rsidDel="00000000" w:rsidP="00000000" w:rsidRDefault="00000000" w:rsidRPr="00000000" w14:paraId="000000D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Sensor data from industries rarely are direct inputs to ML models. Raw data frequently have missing values, duplicates, outliers, noise, inconsistent units, and require encoded categorical variables [20]. Failing to account for these data issues can lead to incorrect predictions, false positives and most critically, missed hazardous situations. The quality of the data especially matters in fire detection and accident prediction as one wrong prediction can cause the delay of an entire evacuation, machine shutdown and emergency measures.</w:t>
      </w:r>
    </w:p>
    <w:p w:rsidR="00000000" w:rsidDel="00000000" w:rsidP="00000000" w:rsidRDefault="00000000" w:rsidRPr="00000000" w14:paraId="000000D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 of the usual preprocessing tasks include deduplication, outlier treatment, normalization, noise reduction, categorical variable encoding, splitting the dataset into training and test sets, and in some cases, time-signal filtering [23]. Preprocessing of sensor data that are fast time-dependent may require additional filtering or signal processing methods to reduce noise.</w:t>
      </w:r>
    </w:p>
    <w:p w:rsidR="00000000" w:rsidDel="00000000" w:rsidP="00000000" w:rsidRDefault="00000000" w:rsidRPr="00000000" w14:paraId="000000D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Normalizing the data and treating the outliers and noise are also critical preprocessing tasks. The main processes of the required sensor data preprocessing are charted in Figure 2.2.</w:t>
      </w:r>
    </w:p>
    <w:p w:rsidR="00000000" w:rsidDel="00000000" w:rsidP="00000000" w:rsidRDefault="00000000" w:rsidRPr="00000000" w14:paraId="000000D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75239" cy="1770367"/>
            <wp:effectExtent b="0" l="0" r="0" t="0"/>
            <wp:docPr id="4" name="image8.png"/>
            <a:graphic>
              <a:graphicData uri="http://schemas.openxmlformats.org/drawingml/2006/picture">
                <pic:pic>
                  <pic:nvPicPr>
                    <pic:cNvPr id="0" name="image8.png"/>
                    <pic:cNvPicPr preferRelativeResize="0"/>
                  </pic:nvPicPr>
                  <pic:blipFill>
                    <a:blip r:embed="rId24"/>
                    <a:srcRect b="9946" l="0" r="0" t="30823"/>
                    <a:stretch>
                      <a:fillRect/>
                    </a:stretch>
                  </pic:blipFill>
                  <pic:spPr>
                    <a:xfrm>
                      <a:off x="0" y="0"/>
                      <a:ext cx="5475239" cy="1770367"/>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2.2: Sensor data preprocessing pipeline. The figure summarizes the transformation from raw sensor readings to model-ready data through missing value handling, noise and outlier treatment, scaling, encoding, and data splitting. Based on data cleaning principles in [23] and sensor reliability issues discussed in [20].</w:t>
      </w:r>
    </w:p>
    <w:p w:rsidR="00000000" w:rsidDel="00000000" w:rsidP="00000000" w:rsidRDefault="00000000" w:rsidRPr="00000000" w14:paraId="000000DC">
      <w:pPr>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D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Safety prediction model evaluations cannot rely solely on accuracy. When a system produces a false alarm, it implies there is a hazard risk, when actually there is none. This can cause disruption and reduce reliance on the alarm system [21]. In contrast, a false negative means a real threat goes undetected. Among the safety-critical environment hazards, this is the more severe of the two. The system is unable to detect the threat, and, as a result, no action can be made to intervene [22]. This is why the current study places focus on the recall value, as well as, precision, F1-score, ROC-AUC, and confusion matrix. This is especially true because the absence of a detection of a threat poses a risk to safety.</w:t>
      </w:r>
    </w:p>
    <w:p w:rsidR="00000000" w:rsidDel="00000000" w:rsidP="00000000" w:rsidRDefault="00000000" w:rsidRPr="00000000" w14:paraId="000000D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F">
      <w:pPr>
        <w:pStyle w:val="Heading3"/>
        <w:rPr>
          <w:rFonts w:ascii="Times New Roman" w:cs="Times New Roman" w:eastAsia="Times New Roman" w:hAnsi="Times New Roman"/>
          <w:b w:val="1"/>
          <w:bCs w:val="1"/>
          <w:color w:val="000000"/>
          <w:sz w:val="32"/>
          <w:szCs w:val="32"/>
        </w:rPr>
      </w:pPr>
      <w:bookmarkStart w:colFirst="0" w:colLast="0" w:name="_heading=h.9amwo7vr3kfa" w:id="17"/>
      <w:bookmarkEnd w:id="17"/>
      <w:r w:rsidDel="00000000" w:rsidR="00000000" w:rsidRPr="00000000">
        <w:rPr>
          <w:rFonts w:ascii="Times New Roman" w:cs="Times New Roman" w:eastAsia="Times New Roman" w:hAnsi="Times New Roman"/>
          <w:b w:val="1"/>
          <w:bCs w:val="1"/>
          <w:color w:val="000000"/>
          <w:rtl w:val="0"/>
        </w:rPr>
        <w:t xml:space="preserve">2.2.4 Machine Learning Techniques</w:t>
      </w:r>
      <w:r w:rsidDel="00000000" w:rsidR="00000000" w:rsidRPr="00000000">
        <w:rPr>
          <w:rtl w:val="0"/>
        </w:rPr>
      </w:r>
    </w:p>
    <w:p w:rsidR="00000000" w:rsidDel="00000000" w:rsidP="00000000" w:rsidRDefault="00000000" w:rsidRPr="00000000" w14:paraId="000000E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Machine learning systems can identify the relationships between input elements and resultant safety outcomes. This study proposes using several structured variables captured in the industry for the input elements. These variables include temperature, humidity, gas concentration, smoke, and vibration, as well as maintenance status, machine age, and worker-related safety indicators. The output will be the classification of fire or accident risk. The general supervised learning method applicable for this prediction problem is illustrated in Figure 2.3.</w:t>
      </w:r>
    </w:p>
    <w:p w:rsidR="00000000" w:rsidDel="00000000" w:rsidP="00000000" w:rsidRDefault="00000000" w:rsidRPr="00000000" w14:paraId="000000E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398479" cy="1368425"/>
            <wp:effectExtent b="0" l="0" r="0" t="0"/>
            <wp:docPr id="3"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6398479" cy="1368425"/>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2.3: Supervised machine learning workflow. Industrial features and known labels are used to train a model that can predict fire or accident risk for new observations. This workflow is consistent with the use of machine learning models for safety and risk prediction discussed in [25] and [29].</w:t>
      </w:r>
    </w:p>
    <w:p w:rsidR="00000000" w:rsidDel="00000000" w:rsidP="00000000" w:rsidRDefault="00000000" w:rsidRPr="00000000" w14:paraId="000000E4">
      <w:pPr>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E5">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9i4qw3jirdoz" w:id="18"/>
      <w:bookmarkEnd w:id="18"/>
      <w:r w:rsidDel="00000000" w:rsidR="00000000" w:rsidRPr="00000000">
        <w:rPr>
          <w:rFonts w:ascii="Times New Roman" w:cs="Times New Roman" w:eastAsia="Times New Roman" w:hAnsi="Times New Roman"/>
          <w:b w:val="1"/>
          <w:bCs w:val="1"/>
          <w:color w:val="000000"/>
          <w:rtl w:val="0"/>
        </w:rPr>
        <w:t xml:space="preserve"> Logistic Regression</w:t>
      </w:r>
    </w:p>
    <w:p w:rsidR="00000000" w:rsidDel="00000000" w:rsidP="00000000" w:rsidRDefault="00000000" w:rsidRPr="00000000" w14:paraId="000000E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Logistic Regression is a supervised classification algorithm. Logistic Regression is a regression-based model available for both binary and multi-class classification problems. As a baseline model for classification algorithms, it’s tremendously useful in industrial safety paradigms. Logistic Regression predicts the probability an observation belongs to a given class, regression-based and achieved through the application of the logistic function to a linear combination of the features [25]. In the case of industrial safety, Logistic Regression aids in assessing the risk status of a variable through the prediction of maintenance, temperature, smoke level, and gas concentration, etc. Logistic Regression’s primary advantage is its interpretability. The influence of the feature can be determined by the magnitude and sign of the coefficients. The predicted risk probability is calculated using Equation (2.1)</w:t>
      </w:r>
    </w:p>
    <w:p w:rsidR="00000000" w:rsidDel="00000000" w:rsidP="00000000" w:rsidRDefault="00000000" w:rsidRPr="00000000" w14:paraId="000000E7">
      <w:pPr>
        <w:jc w:val="center"/>
        <w:rPr>
          <w:rFonts w:ascii="Times New Roman" w:cs="Times New Roman" w:eastAsia="Times New Roman" w:hAnsi="Times New Roman"/>
          <w:sz w:val="24"/>
          <w:szCs w:val="24"/>
        </w:rPr>
      </w:pPr>
      <m:oMath>
        <m:r>
          <w:rPr>
            <w:rFonts w:ascii="Cambria Math" w:cs="Cambria Math" w:eastAsia="Cambria Math" w:hAnsi="Cambria Math"/>
            <w:sz w:val="24"/>
            <w:szCs w:val="24"/>
          </w:rPr>
          <m:t xml:space="preserve">P=</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m:t>
            </m:r>
          </m:num>
          <m:den>
            <m:r>
              <w:rPr>
                <w:rFonts w:ascii="Cambria Math" w:cs="Cambria Math" w:eastAsia="Cambria Math" w:hAnsi="Cambria Math"/>
                <w:sz w:val="24"/>
                <w:szCs w:val="24"/>
              </w:rPr>
              <m:t xml:space="preserve">1+</m:t>
            </m:r>
            <m:sSup>
              <m:sSupPr>
                <m:ctrlPr>
                  <w:rPr>
                    <w:rFonts w:ascii="Cambria Math" w:cs="Cambria Math" w:eastAsia="Cambria Math" w:hAnsi="Cambria Math"/>
                    <w:sz w:val="24"/>
                    <w:szCs w:val="24"/>
                  </w:rPr>
                </m:ctrlPr>
              </m:sSupPr>
              <m:e>
                <m:r>
                  <w:rPr>
                    <w:rFonts w:ascii="Cambria Math" w:cs="Cambria Math" w:eastAsia="Cambria Math" w:hAnsi="Cambria Math"/>
                    <w:sz w:val="24"/>
                    <w:szCs w:val="24"/>
                  </w:rPr>
                  <m:t xml:space="preserve">e</m:t>
                </m:r>
              </m:e>
              <m:sup>
                <m:r>
                  <w:rPr>
                    <w:rFonts w:ascii="Cambria Math" w:cs="Cambria Math" w:eastAsia="Cambria Math" w:hAnsi="Cambria Math"/>
                    <w:sz w:val="24"/>
                    <w:szCs w:val="24"/>
                  </w:rPr>
                  <m:t xml:space="preserve">-</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y</m:t>
                    </m:r>
                  </m:e>
                  <m:sub>
                    <m:r>
                      <w:rPr>
                        <w:rFonts w:ascii="Cambria Math" w:cs="Cambria Math" w:eastAsia="Cambria Math" w:hAnsi="Cambria Math"/>
                        <w:sz w:val="24"/>
                        <w:szCs w:val="24"/>
                      </w:rPr>
                      <m:t xml:space="preserve">i</m:t>
                    </m:r>
                  </m:sub>
                </m:sSub>
              </m:sup>
            </m:sSup>
          </m:den>
        </m:f>
      </m:oMath>
      <w:r w:rsidDel="00000000" w:rsidR="00000000" w:rsidRPr="00000000">
        <w:rPr>
          <w:rFonts w:ascii="Times New Roman" w:cs="Times New Roman" w:eastAsia="Times New Roman" w:hAnsi="Times New Roman"/>
          <w:sz w:val="24"/>
          <w:szCs w:val="24"/>
          <w:rtl w:val="0"/>
        </w:rPr>
        <w:tab/>
        <w:t xml:space="preserve">(2.1)</w:t>
      </w:r>
    </w:p>
    <w:p w:rsidR="00000000" w:rsidDel="00000000" w:rsidP="00000000" w:rsidRDefault="00000000" w:rsidRPr="00000000" w14:paraId="000000E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(2.1), (P) is understood as the expected likelihood of the input being classified to the risk class. The (y_i) refers to the score that the model assigns to the input, based on the input features and the learned coefficients. The higher (y_i) is, the closer (P) is to 1, and the higher likelihood of the input is to be classified to the risk class. The lower (y_i) is, the closer (P) is to 0, and the lower likelihood of the input is to be classified to the risk class. In this sense, (P) is the model score converted to a probability between 0 and 1. Logistic Regression, although simple and transparent, is unable to capture many complex, nonlinear relationships that seem to dominate the industrial safety data [25]. The resulting binary decision boundary is illustrated in Figure 2.4</w:t>
      </w:r>
    </w:p>
    <w:p w:rsidR="00000000" w:rsidDel="00000000" w:rsidP="00000000" w:rsidRDefault="00000000" w:rsidRPr="00000000" w14:paraId="000000E9">
      <w:pPr>
        <w:jc w:val="center"/>
        <w:rPr>
          <w:rFonts w:ascii="Times New Roman" w:cs="Times New Roman" w:eastAsia="Times New Roman" w:hAnsi="Times New Roman"/>
          <w:sz w:val="24"/>
          <w:szCs w:val="24"/>
        </w:rPr>
      </w:pPr>
      <w:r w:rsidDel="00000000" w:rsidR="00000000" w:rsidRPr="00000000">
        <w:rPr/>
        <w:drawing>
          <wp:inline distB="0" distT="0" distL="0" distR="0">
            <wp:extent cx="2944531" cy="1905494"/>
            <wp:effectExtent b="0" l="0" r="0" t="0"/>
            <wp:docPr descr="Principles and Techniques of Data Science - 19 Logistic Regression II" id="6" name="image3.png"/>
            <a:graphic>
              <a:graphicData uri="http://schemas.openxmlformats.org/drawingml/2006/picture">
                <pic:pic>
                  <pic:nvPicPr>
                    <pic:cNvPr descr="Principles and Techniques of Data Science - 19 Logistic Regression II" id="0" name="image3.png"/>
                    <pic:cNvPicPr preferRelativeResize="0"/>
                  </pic:nvPicPr>
                  <pic:blipFill>
                    <a:blip r:embed="rId26"/>
                    <a:srcRect b="0" l="0" r="0" t="0"/>
                    <a:stretch>
                      <a:fillRect/>
                    </a:stretch>
                  </pic:blipFill>
                  <pic:spPr>
                    <a:xfrm>
                      <a:off x="0" y="0"/>
                      <a:ext cx="2944531" cy="1905494"/>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Figure 2.4: Logistic Regression decision boundary for binary classification</w:t>
      </w:r>
    </w:p>
    <w:p w:rsidR="00000000" w:rsidDel="00000000" w:rsidP="00000000" w:rsidRDefault="00000000" w:rsidRPr="00000000" w14:paraId="000000EB">
      <w:pPr>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EC">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vp3dafcw8g1p" w:id="19"/>
      <w:bookmarkEnd w:id="19"/>
      <w:r w:rsidDel="00000000" w:rsidR="00000000" w:rsidRPr="00000000">
        <w:rPr>
          <w:rFonts w:ascii="Times New Roman" w:cs="Times New Roman" w:eastAsia="Times New Roman" w:hAnsi="Times New Roman"/>
          <w:b w:val="1"/>
          <w:bCs w:val="1"/>
          <w:color w:val="000000"/>
          <w:rtl w:val="0"/>
        </w:rPr>
        <w:t xml:space="preserve"> Decision Tree</w:t>
      </w:r>
    </w:p>
    <w:p w:rsidR="00000000" w:rsidDel="00000000" w:rsidP="00000000" w:rsidRDefault="00000000" w:rsidRPr="00000000" w14:paraId="000000E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Decision Tree is a classification method in which repeated partitioning of data is done based on features. Each of the internal nodes is associated with some decision rule, branches represent the outcome of the rules, and leaf nodes represent class predictions. Decision Trees, for example, can develop rules in industrial safety that state whether gas concentration and temperature are in excess of established limits [26]. Decision Tree impurity is calculated using entropy in Equation (2.2), while the reduction in impurity after a split is measured using information gain in Equation (2.3).</w:t>
      </w:r>
    </w:p>
    <w:p w:rsidR="00000000" w:rsidDel="00000000" w:rsidP="00000000" w:rsidRDefault="00000000" w:rsidRPr="00000000" w14:paraId="000000EE">
      <w:pPr>
        <w:jc w:val="center"/>
        <w:rPr>
          <w:rFonts w:ascii="Times New Roman" w:cs="Times New Roman" w:eastAsia="Times New Roman" w:hAnsi="Times New Roman"/>
          <w:sz w:val="24"/>
          <w:szCs w:val="24"/>
        </w:rPr>
      </w:pPr>
      <m:oMath>
        <m:r>
          <w:rPr>
            <w:rFonts w:ascii="Cambria Math" w:cs="Cambria Math" w:eastAsia="Cambria Math" w:hAnsi="Cambria Math"/>
            <w:sz w:val="24"/>
            <w:szCs w:val="24"/>
          </w:rPr>
          <m:t xml:space="preserve">Entropy</m:t>
        </m:r>
        <m:d>
          <m:dPr>
            <m:begChr m:val="("/>
            <m:endChr m:val=")"/>
            <m:ctrlPr>
              <w:rPr>
                <w:rFonts w:ascii="Cambria Math" w:cs="Cambria Math" w:eastAsia="Cambria Math" w:hAnsi="Cambria Math"/>
                <w:sz w:val="24"/>
                <w:szCs w:val="24"/>
              </w:rPr>
            </m:ctrlPr>
          </m:dPr>
          <m:e>
            <m:r>
              <w:rPr>
                <w:rFonts w:ascii="Cambria Math" w:cs="Cambria Math" w:eastAsia="Cambria Math" w:hAnsi="Cambria Math"/>
                <w:sz w:val="24"/>
                <w:szCs w:val="24"/>
              </w:rPr>
              <m:t xml:space="preserve">S</m:t>
            </m:r>
          </m:e>
        </m:d>
        <m:r>
          <w:rPr>
            <w:rFonts w:ascii="Cambria Math" w:cs="Cambria Math" w:eastAsia="Cambria Math" w:hAnsi="Cambria Math"/>
            <w:sz w:val="24"/>
            <w:szCs w:val="24"/>
          </w:rPr>
          <m:t xml:space="preserve">=-</m:t>
        </m:r>
        <m:nary>
          <m:naryPr>
            <m:chr m:val="∑"/>
            <m:ctrlPr>
              <w:rPr>
                <w:rFonts w:ascii="Cambria Math" w:cs="Cambria Math" w:eastAsia="Cambria Math" w:hAnsi="Cambria Math"/>
                <w:sz w:val="24"/>
                <w:szCs w:val="24"/>
              </w:rPr>
            </m:ctrlPr>
          </m:naryPr>
          <m:sub>
            <m:r>
              <w:rPr>
                <w:rFonts w:ascii="Cambria Math" w:cs="Cambria Math" w:eastAsia="Cambria Math" w:hAnsi="Cambria Math"/>
                <w:sz w:val="24"/>
                <w:szCs w:val="24"/>
              </w:rPr>
              <m:t xml:space="preserve">i</m:t>
            </m:r>
          </m:sub>
          <m:sup/>
        </m:nary>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p</m:t>
            </m:r>
          </m:e>
          <m:sub>
            <m:r>
              <w:rPr>
                <w:rFonts w:ascii="Cambria Math" w:cs="Cambria Math" w:eastAsia="Cambria Math" w:hAnsi="Cambria Math"/>
                <w:sz w:val="24"/>
                <w:szCs w:val="24"/>
              </w:rPr>
              <m:t xml:space="preserve">i</m:t>
            </m:r>
          </m:sub>
        </m:sSub>
        <m:r>
          <w:rPr>
            <w:rFonts w:ascii="Cambria Math" w:cs="Cambria Math" w:eastAsia="Cambria Math" w:hAnsi="Cambria Math"/>
            <w:sz w:val="24"/>
            <w:szCs w:val="24"/>
          </w:rPr>
          <m:t xml:space="preserve">\lo</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g</m:t>
            </m:r>
          </m:e>
          <m:sub>
            <m:r>
              <w:rPr>
                <w:rFonts w:ascii="Cambria Math" w:cs="Cambria Math" w:eastAsia="Cambria Math" w:hAnsi="Cambria Math"/>
                <w:sz w:val="24"/>
                <w:szCs w:val="24"/>
              </w:rPr>
              <m:t xml:space="preserve">2</m:t>
            </m:r>
            <m:d>
              <m:dPr>
                <m:begChr m:val="("/>
                <m:endChr m:val=")"/>
                <m:ctrlPr>
                  <w:rPr>
                    <w:rFonts w:ascii="Cambria Math" w:cs="Cambria Math" w:eastAsia="Cambria Math" w:hAnsi="Cambria Math"/>
                    <w:sz w:val="24"/>
                    <w:szCs w:val="24"/>
                  </w:rPr>
                </m:ctrlPr>
              </m:dPr>
              <m:e>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p</m:t>
                    </m:r>
                  </m:e>
                  <m:sub>
                    <m:r>
                      <w:rPr>
                        <w:rFonts w:ascii="Cambria Math" w:cs="Cambria Math" w:eastAsia="Cambria Math" w:hAnsi="Cambria Math"/>
                        <w:sz w:val="24"/>
                        <w:szCs w:val="24"/>
                      </w:rPr>
                      <m:t xml:space="preserve">i</m:t>
                    </m:r>
                  </m:sub>
                </m:sSub>
              </m:e>
            </m:d>
          </m:sub>
        </m:sSub>
      </m:oMath>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8"/>
          <w:szCs w:val="28"/>
          <w:rtl w:val="0"/>
        </w:rPr>
        <w:t xml:space="preserve">(2.2)</w:t>
      </w:r>
      <w:r w:rsidDel="00000000" w:rsidR="00000000" w:rsidRPr="00000000">
        <w:rPr>
          <w:rtl w:val="0"/>
        </w:rPr>
      </w:r>
    </w:p>
    <w:p w:rsidR="00000000" w:rsidDel="00000000" w:rsidP="00000000" w:rsidRDefault="00000000" w:rsidRPr="00000000" w14:paraId="000000EF">
      <w:pPr>
        <w:jc w:val="center"/>
        <w:rPr>
          <w:rFonts w:ascii="Times New Roman" w:cs="Times New Roman" w:eastAsia="Times New Roman" w:hAnsi="Times New Roman"/>
          <w:sz w:val="24"/>
          <w:szCs w:val="24"/>
        </w:rPr>
      </w:pPr>
      <m:oMath>
        <m:r>
          <w:rPr>
            <w:rFonts w:ascii="Cambria Math" w:cs="Cambria Math" w:eastAsia="Cambria Math" w:hAnsi="Cambria Math"/>
            <w:sz w:val="24"/>
            <w:szCs w:val="24"/>
          </w:rPr>
          <m:t xml:space="preserve">Information Gain</m:t>
        </m:r>
        <m:d>
          <m:dPr>
            <m:begChr m:val="("/>
            <m:endChr m:val=")"/>
            <m:ctrlPr>
              <w:rPr>
                <w:rFonts w:ascii="Cambria Math" w:cs="Cambria Math" w:eastAsia="Cambria Math" w:hAnsi="Cambria Math"/>
                <w:sz w:val="24"/>
                <w:szCs w:val="24"/>
              </w:rPr>
            </m:ctrlPr>
          </m:dPr>
          <m:e>
            <m:r>
              <w:rPr>
                <w:rFonts w:ascii="Cambria Math" w:cs="Cambria Math" w:eastAsia="Cambria Math" w:hAnsi="Cambria Math"/>
                <w:sz w:val="24"/>
                <w:szCs w:val="24"/>
              </w:rPr>
              <m:t xml:space="preserve">S,A</m:t>
            </m:r>
          </m:e>
        </m:d>
        <m:r>
          <w:rPr>
            <w:rFonts w:ascii="Cambria Math" w:cs="Cambria Math" w:eastAsia="Cambria Math" w:hAnsi="Cambria Math"/>
            <w:sz w:val="24"/>
            <w:szCs w:val="24"/>
          </w:rPr>
          <m:t xml:space="preserve">=Entropy</m:t>
        </m:r>
        <m:d>
          <m:dPr>
            <m:begChr m:val="("/>
            <m:endChr m:val=")"/>
            <m:ctrlPr>
              <w:rPr>
                <w:rFonts w:ascii="Cambria Math" w:cs="Cambria Math" w:eastAsia="Cambria Math" w:hAnsi="Cambria Math"/>
                <w:sz w:val="24"/>
                <w:szCs w:val="24"/>
              </w:rPr>
            </m:ctrlPr>
          </m:dPr>
          <m:e>
            <m:r>
              <w:rPr>
                <w:rFonts w:ascii="Cambria Math" w:cs="Cambria Math" w:eastAsia="Cambria Math" w:hAnsi="Cambria Math"/>
                <w:sz w:val="24"/>
                <w:szCs w:val="24"/>
              </w:rPr>
              <m:t xml:space="preserve">S</m:t>
            </m:r>
          </m:e>
        </m:d>
        <m:r>
          <w:rPr>
            <w:rFonts w:ascii="Cambria Math" w:cs="Cambria Math" w:eastAsia="Cambria Math" w:hAnsi="Cambria Math"/>
            <w:sz w:val="24"/>
            <w:szCs w:val="24"/>
          </w:rPr>
          <m:t xml:space="preserve">-</m:t>
        </m:r>
        <m:nary>
          <m:naryPr>
            <m:chr m:val="∑"/>
            <m:ctrlPr>
              <w:rPr>
                <w:rFonts w:ascii="Cambria Math" w:cs="Cambria Math" w:eastAsia="Cambria Math" w:hAnsi="Cambria Math"/>
                <w:sz w:val="24"/>
                <w:szCs w:val="24"/>
              </w:rPr>
            </m:ctrlPr>
          </m:naryPr>
          <m:sub>
            <m:r>
              <w:rPr>
                <w:rFonts w:ascii="Cambria Math" w:cs="Cambria Math" w:eastAsia="Cambria Math" w:hAnsi="Cambria Math"/>
                <w:sz w:val="24"/>
                <w:szCs w:val="24"/>
              </w:rPr>
              <m:t xml:space="preserve">v</m:t>
            </m:r>
          </m:sub>
          <m:sup/>
        </m:nary>
        <m:r>
          <w:rPr>
            <w:rFonts w:ascii="Cambria Math" w:cs="Cambria Math" w:eastAsia="Cambria Math" w:hAnsi="Cambria Math"/>
            <w:sz w:val="24"/>
            <w:szCs w:val="24"/>
          </w:rPr>
          <m:t xml:space="preserve">\frac</m:t>
        </m:r>
        <m:d>
          <m:dPr>
            <m:begChr m:val="{"/>
            <m:endChr m:val="}"/>
            <m:ctrlPr>
              <w:rPr>
                <w:rFonts w:ascii="Cambria Math" w:cs="Cambria Math" w:eastAsia="Cambria Math" w:hAnsi="Cambria Math"/>
                <w:sz w:val="24"/>
                <w:szCs w:val="24"/>
              </w:rPr>
            </m:ctrlPr>
          </m:dPr>
          <m:e>
            <m:d>
              <m:dPr>
                <m:begChr m:val="|"/>
                <m:endChr m:val="|"/>
                <m:ctrlPr>
                  <w:rPr>
                    <w:rFonts w:ascii="Cambria Math" w:cs="Cambria Math" w:eastAsia="Cambria Math" w:hAnsi="Cambria Math"/>
                    <w:sz w:val="24"/>
                    <w:szCs w:val="24"/>
                  </w:rPr>
                </m:ctrlPr>
              </m:dPr>
              <m:e>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S</m:t>
                    </m:r>
                  </m:e>
                  <m:sub>
                    <m:r>
                      <w:rPr>
                        <w:rFonts w:ascii="Cambria Math" w:cs="Cambria Math" w:eastAsia="Cambria Math" w:hAnsi="Cambria Math"/>
                        <w:sz w:val="24"/>
                        <w:szCs w:val="24"/>
                      </w:rPr>
                      <m:t xml:space="preserve">v</m:t>
                    </m:r>
                  </m:sub>
                </m:sSub>
              </m:e>
            </m:d>
          </m:e>
        </m:d>
        <m:d>
          <m:dPr>
            <m:begChr m:val="{"/>
            <m:endChr m:val="}"/>
            <m:ctrlPr>
              <w:rPr>
                <w:rFonts w:ascii="Cambria Math" w:cs="Cambria Math" w:eastAsia="Cambria Math" w:hAnsi="Cambria Math"/>
                <w:sz w:val="24"/>
                <w:szCs w:val="24"/>
              </w:rPr>
            </m:ctrlPr>
          </m:dPr>
          <m:e>
            <m:d>
              <m:dPr>
                <m:begChr m:val="|"/>
                <m:endChr m:val="|"/>
                <m:ctrlPr>
                  <w:rPr>
                    <w:rFonts w:ascii="Cambria Math" w:cs="Cambria Math" w:eastAsia="Cambria Math" w:hAnsi="Cambria Math"/>
                    <w:sz w:val="24"/>
                    <w:szCs w:val="24"/>
                  </w:rPr>
                </m:ctrlPr>
              </m:dPr>
              <m:e>
                <m:r>
                  <w:rPr>
                    <w:rFonts w:ascii="Cambria Math" w:cs="Cambria Math" w:eastAsia="Cambria Math" w:hAnsi="Cambria Math"/>
                    <w:sz w:val="24"/>
                    <w:szCs w:val="24"/>
                  </w:rPr>
                  <m:t xml:space="preserve">S</m:t>
                </m:r>
              </m:e>
            </m:d>
          </m:e>
        </m:d>
        <m:r>
          <w:rPr>
            <w:rFonts w:ascii="Cambria Math" w:cs="Cambria Math" w:eastAsia="Cambria Math" w:hAnsi="Cambria Math"/>
            <w:sz w:val="24"/>
            <w:szCs w:val="24"/>
          </w:rPr>
          <m:t xml:space="preserve">Entropy</m:t>
        </m:r>
        <m:d>
          <m:dPr>
            <m:begChr m:val="("/>
            <m:endChr m:val=")"/>
            <m:ctrlPr>
              <w:rPr>
                <w:rFonts w:ascii="Cambria Math" w:cs="Cambria Math" w:eastAsia="Cambria Math" w:hAnsi="Cambria Math"/>
                <w:sz w:val="24"/>
                <w:szCs w:val="24"/>
              </w:rPr>
            </m:ctrlPr>
          </m:dPr>
          <m:e>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S</m:t>
                </m:r>
              </m:e>
              <m:sub>
                <m:r>
                  <w:rPr>
                    <w:rFonts w:ascii="Cambria Math" w:cs="Cambria Math" w:eastAsia="Cambria Math" w:hAnsi="Cambria Math"/>
                    <w:sz w:val="24"/>
                    <w:szCs w:val="24"/>
                  </w:rPr>
                  <m:t xml:space="preserve">v</m:t>
                </m:r>
              </m:sub>
            </m:sSub>
          </m:e>
        </m:d>
      </m:oMath>
      <w:r w:rsidDel="00000000" w:rsidR="00000000" w:rsidRPr="00000000">
        <w:rPr>
          <w:rFonts w:ascii="Times New Roman" w:cs="Times New Roman" w:eastAsia="Times New Roman" w:hAnsi="Times New Roman"/>
          <w:sz w:val="24"/>
          <w:szCs w:val="24"/>
          <w:rtl w:val="0"/>
        </w:rPr>
        <w:tab/>
        <w:tab/>
      </w:r>
      <w:r w:rsidDel="00000000" w:rsidR="00000000" w:rsidRPr="00000000">
        <w:rPr>
          <w:rFonts w:ascii="Times New Roman" w:cs="Times New Roman" w:eastAsia="Times New Roman" w:hAnsi="Times New Roman"/>
          <w:sz w:val="28"/>
          <w:szCs w:val="28"/>
          <w:rtl w:val="0"/>
        </w:rPr>
        <w:t xml:space="preserve">(2.3)</w:t>
      </w:r>
      <w:r w:rsidDel="00000000" w:rsidR="00000000" w:rsidRPr="00000000">
        <w:rPr>
          <w:rtl w:val="0"/>
        </w:rPr>
      </w:r>
    </w:p>
    <w:p w:rsidR="00000000" w:rsidDel="00000000" w:rsidP="00000000" w:rsidRDefault="00000000" w:rsidRPr="00000000" w14:paraId="000000F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Entropy describes the level of impurity of a set of training samples, while the information gain is the measure that describes the level of impurity of a feature post split. The features that have a higher information gain are more important when classifying risk. Figure 2.5 represents a simple Decision Tree structure, which is created for the classification of Industrial risk.</w:t>
      </w:r>
    </w:p>
    <w:p w:rsidR="00000000" w:rsidDel="00000000" w:rsidP="00000000" w:rsidRDefault="00000000" w:rsidRPr="00000000" w14:paraId="000000F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597522" cy="1611826"/>
            <wp:effectExtent b="0" l="0" r="0" t="0"/>
            <wp:docPr id="5" name="image9.png"/>
            <a:graphic>
              <a:graphicData uri="http://schemas.openxmlformats.org/drawingml/2006/picture">
                <pic:pic>
                  <pic:nvPicPr>
                    <pic:cNvPr id="0" name="image9.png"/>
                    <pic:cNvPicPr preferRelativeResize="0"/>
                  </pic:nvPicPr>
                  <pic:blipFill>
                    <a:blip r:embed="rId27"/>
                    <a:srcRect b="0" l="0" r="0" t="0"/>
                    <a:stretch>
                      <a:fillRect/>
                    </a:stretch>
                  </pic:blipFill>
                  <pic:spPr>
                    <a:xfrm>
                      <a:off x="0" y="0"/>
                      <a:ext cx="4597522" cy="1611826"/>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2.5: Example Decision Tree for industrial risk classification. The tree shows how sensor thresholds can form interpretable safety rules. The concept is based on Decision Tree classification principles described in [26].</w:t>
      </w:r>
    </w:p>
    <w:p w:rsidR="00000000" w:rsidDel="00000000" w:rsidP="00000000" w:rsidRDefault="00000000" w:rsidRPr="00000000" w14:paraId="000000F3">
      <w:pPr>
        <w:jc w:val="cente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0F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primary advantage of Decision Trees is their transparency, as the pathway of a decision can be traced from the root to the leaf. However, a single tree can be subject to overfitting of the training data and can be rather sensitive to slight changes in the data, leading to even greater instability. This is why Random Forest is utilized.</w:t>
      </w:r>
    </w:p>
    <w:p w:rsidR="00000000" w:rsidDel="00000000" w:rsidP="00000000" w:rsidRDefault="00000000" w:rsidRPr="00000000" w14:paraId="000000F5">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lx2a75hvg4u7" w:id="20"/>
      <w:bookmarkEnd w:id="20"/>
      <w:r w:rsidDel="00000000" w:rsidR="00000000" w:rsidRPr="00000000">
        <w:rPr>
          <w:rFonts w:ascii="Times New Roman" w:cs="Times New Roman" w:eastAsia="Times New Roman" w:hAnsi="Times New Roman"/>
          <w:b w:val="1"/>
          <w:bCs w:val="1"/>
          <w:color w:val="000000"/>
          <w:rtl w:val="0"/>
        </w:rPr>
        <w:t xml:space="preserve"> Random Forest</w:t>
      </w:r>
    </w:p>
    <w:p w:rsidR="00000000" w:rsidDel="00000000" w:rsidP="00000000" w:rsidRDefault="00000000" w:rsidRPr="00000000" w14:paraId="000000F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Random Forest utilizes the concept of bagging by separating the data into random subsets, from which various Decision Trees are built, using random disjoint feature sets. In the case of classification, the final output is the class which is predicted by the majority of the trees. In comparison to a single Decision Tree, the robustness and overfitting of Random Forest is significantly improved [26].  The majority-voting process is illustrated in Figure 2.6.</w:t>
      </w:r>
    </w:p>
    <w:p w:rsidR="00000000" w:rsidDel="00000000" w:rsidP="00000000" w:rsidRDefault="00000000" w:rsidRPr="00000000" w14:paraId="000000F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902783" cy="1786555"/>
            <wp:effectExtent b="0" l="0" r="0" t="0"/>
            <wp:docPr descr="Random Forests. Random forests is a powerful machine… | by Roi Yehoshua,  PhD | Medium" id="8" name="image4.png"/>
            <a:graphic>
              <a:graphicData uri="http://schemas.openxmlformats.org/drawingml/2006/picture">
                <pic:pic>
                  <pic:nvPicPr>
                    <pic:cNvPr descr="Random Forests. Random forests is a powerful machine… | by Roi Yehoshua,  PhD | Medium" id="0" name="image4.png"/>
                    <pic:cNvPicPr preferRelativeResize="0"/>
                  </pic:nvPicPr>
                  <pic:blipFill>
                    <a:blip r:embed="rId28"/>
                    <a:srcRect b="0" l="0" r="0" t="0"/>
                    <a:stretch>
                      <a:fillRect/>
                    </a:stretch>
                  </pic:blipFill>
                  <pic:spPr>
                    <a:xfrm>
                      <a:off x="0" y="0"/>
                      <a:ext cx="2902783" cy="1786555"/>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2.6: Random Forest majority voting concept. Several Decision Trees generate predictions, and the final class is selected by combining their votes. This ensemble concept is based on the Decision Tree and Random Forest discussion in [26].</w:t>
      </w:r>
    </w:p>
    <w:p w:rsidR="00000000" w:rsidDel="00000000" w:rsidP="00000000" w:rsidRDefault="00000000" w:rsidRPr="00000000" w14:paraId="000000F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Random Forest is advantageous for industrial safety prediction. Contingent to the work environment, industrial safety predicts the many gas concentrations, smoke levels, and a variety of other factors. Because the Random Forest can describe the importance of the features in the prediction, it can also describe many of the influential variables. On the other hand, Random Forest can also be classified as a black box. This is primarily because the decisions are based on the aggregative output of many trees, as opposed to a single Decision Tree, which is transparent by nature of being a single set rule.</w:t>
      </w:r>
    </w:p>
    <w:p w:rsidR="00000000" w:rsidDel="00000000" w:rsidP="00000000" w:rsidRDefault="00000000" w:rsidRPr="00000000" w14:paraId="000000F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Mathematically, the Random Forest classifier predicts the final class by aggregating the predictions of all decision trees using a majority voting mechanism, as expressed in Equation (2.4):</w:t>
      </w:r>
    </w:p>
    <w:p w:rsidR="00000000" w:rsidDel="00000000" w:rsidP="00000000" w:rsidRDefault="00000000" w:rsidRPr="00000000" w14:paraId="000000FC">
      <w:pPr>
        <w:jc w:val="center"/>
        <w:rPr>
          <w:rFonts w:ascii="Times New Roman" w:cs="Times New Roman" w:eastAsia="Times New Roman" w:hAnsi="Times New Roman"/>
        </w:rPr>
      </w:pPr>
      <m:oMath>
        <m:r>
          <w:rPr>
            <w:rFonts w:ascii="Cambria Math" w:cs="Cambria Math" w:eastAsia="Cambria Math" w:hAnsi="Cambria Math"/>
          </w:rPr>
          <m:t xml:space="preserve">y</m:t>
        </m:r>
        <m:r>
          <w:rPr/>
          <m:t xml:space="preserve">ˆ</m:t>
        </m:r>
        <m:r>
          <w:rPr>
            <w:rFonts w:ascii="Cambria Math" w:cs="Cambria Math" w:eastAsia="Cambria Math" w:hAnsi="Cambria Math"/>
          </w:rPr>
          <m:t xml:space="preserve">=mode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x</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x</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T</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x</m:t>
                </m:r>
              </m:e>
            </m:d>
          </m:e>
        </m:d>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 (2.4)</w:t>
      </w:r>
      <w:r w:rsidDel="00000000" w:rsidR="00000000" w:rsidRPr="00000000">
        <w:rPr>
          <w:rtl w:val="0"/>
        </w:rPr>
      </w:r>
    </w:p>
    <w:p w:rsidR="00000000" w:rsidDel="00000000" w:rsidP="00000000" w:rsidRDefault="00000000" w:rsidRPr="00000000" w14:paraId="000000F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(2.4), ht(x)denotes the prediction of the t-th decision tree and Tis the total number of trees in the forest. This ensemble strategy reduces variance and improves generalization compared with a single Decision Tree</w:t>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17pjc21drcz6" w:id="21"/>
      <w:bookmarkEnd w:id="21"/>
      <w:r w:rsidDel="00000000" w:rsidR="00000000" w:rsidRPr="00000000">
        <w:rPr>
          <w:rFonts w:ascii="Times New Roman" w:cs="Times New Roman" w:eastAsia="Times New Roman" w:hAnsi="Times New Roman"/>
          <w:b w:val="1"/>
          <w:bCs w:val="1"/>
          <w:color w:val="000000"/>
          <w:rtl w:val="0"/>
        </w:rPr>
        <w:t xml:space="preserve"> Support Vector Machine</w:t>
      </w:r>
    </w:p>
    <w:p w:rsidR="00000000" w:rsidDel="00000000" w:rsidP="00000000" w:rsidRDefault="00000000" w:rsidRPr="00000000" w14:paraId="0000010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Support Vector Machine (SVM) is a supervised classification algorithm intended to identify the hyperplane which best differentiates classes. The best hyperplane is defined as the hyperplane which maximizes the margin between classes’ support vectors. Kernel functions, such as the Radial Basis Function, allow mapped representation of points in a higher dimensional space to identify a boundary when data is not linearly separable, The SVM optimization objective is formulated in Equation (2.5), subject to the classification constraint in Equation (2.6)</w:t>
      </w:r>
    </w:p>
    <w:p w:rsidR="00000000" w:rsidDel="00000000" w:rsidP="00000000" w:rsidRDefault="00000000" w:rsidRPr="00000000" w14:paraId="00000101">
      <w:pPr>
        <w:spacing w:line="256" w:lineRule="auto"/>
        <w:jc w:val="center"/>
        <w:rPr>
          <w:rFonts w:ascii="Times New Roman" w:cs="Times New Roman" w:eastAsia="Times New Roman" w:hAnsi="Times New Roman"/>
        </w:rPr>
      </w:pPr>
      <m:oMath>
        <m:f>
          <m:fPr>
            <m:ctrlPr>
              <w:rPr>
                <w:rFonts w:ascii="Cambria Math" w:cs="Cambria Math" w:eastAsia="Cambria Math" w:hAnsi="Cambria Math"/>
              </w:rPr>
            </m:ctrlPr>
          </m:fPr>
          <m:num>
            <m:r>
              <w:rPr>
                <w:rFonts w:ascii="Cambria Math" w:cs="Cambria Math" w:eastAsia="Cambria Math" w:hAnsi="Cambria Math"/>
              </w:rPr>
              <m:t xml:space="preserve">1</m:t>
            </m:r>
          </m:num>
          <m:den>
            <m:r>
              <w:rPr>
                <w:rFonts w:ascii="Cambria Math" w:cs="Cambria Math" w:eastAsia="Cambria Math" w:hAnsi="Cambria Math"/>
              </w:rPr>
              <m:t xml:space="preserve">2</m:t>
            </m:r>
          </m:den>
        </m:f>
        <m:r>
          <w:rPr/>
          <m:t xml:space="preserve"> </m:t>
        </m:r>
        <m:sSup>
          <m:sSupPr>
            <m:ctrlPr>
              <w:rPr>
                <w:rFonts w:ascii="Cambria Math" w:cs="Cambria Math" w:eastAsia="Cambria Math" w:hAnsi="Cambria Math"/>
              </w:rPr>
            </m:ctrlPr>
          </m:sSupPr>
          <m:e>
            <m:r>
              <w:rPr/>
              <m:t xml:space="preserve">‖</m:t>
            </m:r>
            <m:r>
              <w:rPr>
                <w:rFonts w:ascii="Cambria Math" w:cs="Cambria Math" w:eastAsia="Cambria Math" w:hAnsi="Cambria Math"/>
              </w:rPr>
              <m:t xml:space="preserve">w</m:t>
            </m:r>
            <m:r>
              <w:rPr/>
              <m:t xml:space="preserve">‖</m:t>
            </m:r>
          </m:e>
          <m:sup>
            <m:r>
              <w:rPr>
                <w:rFonts w:ascii="Cambria Math" w:cs="Cambria Math" w:eastAsia="Cambria Math" w:hAnsi="Cambria Math"/>
              </w:rPr>
              <m:t xml:space="preserve">2</m:t>
            </m:r>
          </m:sup>
        </m:sSup>
        <m:r>
          <w:rPr>
            <w:rFonts w:ascii="Cambria Math" w:cs="Cambria Math" w:eastAsia="Cambria Math" w:hAnsi="Cambria Math"/>
          </w:rPr>
          <m:t xml:space="preserve">+C</m:t>
        </m:r>
        <m:nary>
          <m:naryPr>
            <m:chr m:val="∑"/>
            <m:ctrlPr>
              <w:rPr>
                <w:rFonts w:ascii="Cambria Math" w:cs="Cambria Math" w:eastAsia="Cambria Math" w:hAnsi="Cambria Math"/>
              </w:rPr>
            </m:ctrlPr>
          </m:naryPr>
          <m:sub>
            <m:r>
              <w:rPr>
                <w:rFonts w:ascii="Cambria Math" w:cs="Cambria Math" w:eastAsia="Cambria Math" w:hAnsi="Cambria Math"/>
              </w:rPr>
              <m:t xml:space="preserve">i</m:t>
            </m:r>
          </m:sub>
          <m:sup/>
        </m:nary>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i</m:t>
            </m:r>
          </m:sub>
        </m:sSub>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(2.5)</w:t>
      </w:r>
      <w:r w:rsidDel="00000000" w:rsidR="00000000" w:rsidRPr="00000000">
        <w:rPr>
          <w:rtl w:val="0"/>
        </w:rPr>
      </w:r>
    </w:p>
    <w:p w:rsidR="00000000" w:rsidDel="00000000" w:rsidP="00000000" w:rsidRDefault="00000000" w:rsidRPr="00000000" w14:paraId="00000102">
      <w:pPr>
        <w:spacing w:line="256" w:lineRule="auto"/>
        <w:jc w:val="center"/>
        <w:rPr>
          <w:rFonts w:ascii="Times New Roman" w:cs="Times New Roman" w:eastAsia="Times New Roman" w:hAnsi="Times New Roman"/>
        </w:rPr>
      </w:pPr>
      <m:oMath>
        <m:r>
          <w:rPr>
            <w:rFonts w:ascii="Cambria Math" w:cs="Cambria Math" w:eastAsia="Cambria Math" w:hAnsi="Cambria Math"/>
          </w:rPr>
          <m:t xml:space="preserve">subject to: </m:t>
        </m:r>
        <m:sSub>
          <m:sSubPr>
            <m:ctrlPr>
              <w:rPr>
                <w:rFonts w:ascii="Cambria Math" w:cs="Cambria Math" w:eastAsia="Cambria Math" w:hAnsi="Cambria Math"/>
              </w:rPr>
            </m:ctrlPr>
          </m:sSubPr>
          <m:e>
            <m:r>
              <w:rPr>
                <w:rFonts w:ascii="Cambria Math" w:cs="Cambria Math" w:eastAsia="Cambria Math" w:hAnsi="Cambria Math"/>
              </w:rPr>
              <m:t xml:space="preserve">y</m:t>
            </m:r>
          </m:e>
          <m:sub>
            <m:r>
              <w:rPr>
                <w:rFonts w:ascii="Cambria Math" w:cs="Cambria Math" w:eastAsia="Cambria Math" w:hAnsi="Cambria Math"/>
              </w:rPr>
              <m:t xml:space="preserve">i</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w⋅</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m:t>
                </m:r>
              </m:sub>
            </m:sSub>
            <m:r>
              <w:rPr>
                <w:rFonts w:ascii="Cambria Math" w:cs="Cambria Math" w:eastAsia="Cambria Math" w:hAnsi="Cambria Math"/>
              </w:rPr>
              <m:t xml:space="preserve">+b</m:t>
            </m:r>
          </m:e>
        </m:d>
        <m:r>
          <w:rPr>
            <w:rFonts w:ascii="Cambria Math" w:cs="Cambria Math" w:eastAsia="Cambria Math" w:hAnsi="Cambria Math"/>
          </w:rPr>
          <m:t xml:space="preserve">≥1-</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i</m:t>
            </m:r>
          </m:sub>
        </m:sSub>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(2.6)</w:t>
      </w:r>
      <w:r w:rsidDel="00000000" w:rsidR="00000000" w:rsidRPr="00000000">
        <w:rPr>
          <w:rtl w:val="0"/>
        </w:rPr>
      </w:r>
    </w:p>
    <w:p w:rsidR="00000000" w:rsidDel="00000000" w:rsidP="00000000" w:rsidRDefault="00000000" w:rsidRPr="00000000" w14:paraId="0000010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Equations (2.5) and (2.6), w is used to represent the weight vector, b is the bias, and C is the penalty for misclassification, and the slack variables used when no perfect separation is possible is represented by ξi. The margin and hyperplane of SVMs is represented in Figure 2.7.</w:t>
      </w:r>
    </w:p>
    <w:p w:rsidR="00000000" w:rsidDel="00000000" w:rsidP="00000000" w:rsidRDefault="00000000" w:rsidRPr="00000000" w14:paraId="0000010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3861386"/>
            <wp:effectExtent b="0" l="0" r="0" t="0"/>
            <wp:docPr id="7"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5120640" cy="3861386"/>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2.7: SVM hyperplane and maximum margin. The figure illustrates how SVM separates classes by maximizing the margin between support vectors. The concept is based on SVM classification principles discussed in [27].</w:t>
      </w:r>
    </w:p>
    <w:p w:rsidR="00000000" w:rsidDel="00000000" w:rsidP="00000000" w:rsidRDefault="00000000" w:rsidRPr="00000000" w14:paraId="00000106">
      <w:pPr>
        <w:jc w:val="cente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10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SVM is valuable for challenging classification problems, the use of nonlinear kernels reduces the model's interpretability. In safety-critical applications, this restriction poses a considerable obstacle. Engineers may need to justify the classification of certain cases as hazardous.</w:t>
      </w:r>
    </w:p>
    <w:p w:rsidR="00000000" w:rsidDel="00000000" w:rsidP="00000000" w:rsidRDefault="00000000" w:rsidRPr="00000000" w14:paraId="00000108">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tlzfqly9rsyv" w:id="22"/>
      <w:bookmarkEnd w:id="22"/>
      <w:r w:rsidDel="00000000" w:rsidR="00000000" w:rsidRPr="00000000">
        <w:rPr>
          <w:rFonts w:ascii="Times New Roman" w:cs="Times New Roman" w:eastAsia="Times New Roman" w:hAnsi="Times New Roman"/>
          <w:b w:val="1"/>
          <w:bCs w:val="1"/>
          <w:color w:val="000000"/>
          <w:rtl w:val="0"/>
        </w:rPr>
        <w:t xml:space="preserve"> XGBoost</w:t>
      </w:r>
    </w:p>
    <w:p w:rsidR="00000000" w:rsidDel="00000000" w:rsidP="00000000" w:rsidRDefault="00000000" w:rsidRPr="00000000" w14:paraId="0000010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Extreme gradient boosting is one such boosting method.</w:t>
      </w:r>
    </w:p>
    <w:p w:rsidR="00000000" w:rsidDel="00000000" w:rsidP="00000000" w:rsidRDefault="00000000" w:rsidRPr="00000000" w14:paraId="0000010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XGBoost develops weak learners and builds upon them through each iteration. Typical weak learners used in XGBoost are Decision Trees. Each iteration, or tree, is built to correct errors made by its predecessors. There are many ways XGBoost optimizes conventional boosting methods, including incorporating regularization, optimizing construction of trees, pruning, and handling missing values along with other improvements in computation and efficiency. The XGBoost objective function is defined in Equation (2.7)</w:t>
      </w:r>
    </w:p>
    <w:p w:rsidR="00000000" w:rsidDel="00000000" w:rsidP="00000000" w:rsidRDefault="00000000" w:rsidRPr="00000000" w14:paraId="0000010B">
      <w:pPr>
        <w:jc w:val="center"/>
        <w:rPr>
          <w:rFonts w:ascii="Times New Roman" w:cs="Times New Roman" w:eastAsia="Times New Roman" w:hAnsi="Times New Roman"/>
        </w:rPr>
      </w:pPr>
      <m:oMath>
        <m:r>
          <w:rPr>
            <w:rFonts w:ascii="Cambria Math" w:cs="Cambria Math" w:eastAsia="Cambria Math" w:hAnsi="Cambria Math"/>
          </w:rPr>
          <m:t xml:space="preserve">Obj</m:t>
        </m:r>
        <m:d>
          <m:dPr>
            <m:begChr m:val="("/>
            <m:endChr m:val=")"/>
            <m:ctrlPr>
              <w:rPr>
                <w:rFonts w:ascii="Cambria Math" w:cs="Cambria Math" w:eastAsia="Cambria Math" w:hAnsi="Cambria Math"/>
              </w:rPr>
            </m:ctrlPr>
          </m:dPr>
          <m:e>
            <m:r>
              <w:rPr>
                <w:rFonts w:ascii="Cambria Math" w:cs="Cambria Math" w:eastAsia="Cambria Math" w:hAnsi="Cambria Math"/>
              </w:rPr>
              <m:t>θ</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i</m:t>
            </m:r>
          </m:sub>
        </m:sSub>
        <m:r>
          <w:rPr>
            <w:rFonts w:ascii="Cambria Math" w:cs="Cambria Math" w:eastAsia="Cambria Math" w:hAnsi="Cambria Math"/>
          </w:rPr>
          <m:t xml:space="preserve">l</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y</m:t>
                </m:r>
              </m:e>
              <m:sub>
                <m:r>
                  <w:rPr>
                    <w:rFonts w:ascii="Cambria Math" w:cs="Cambria Math" w:eastAsia="Cambria Math" w:hAnsi="Cambria Math"/>
                  </w:rPr>
                  <m:t xml:space="preserve">i</m:t>
                </m:r>
              </m:sub>
            </m:sSub>
            <m:r>
              <w:rPr>
                <w:rFonts w:ascii="Cambria Math" w:cs="Cambria Math" w:eastAsia="Cambria Math" w:hAnsi="Cambria Math"/>
              </w:rPr>
              <m:t xml:space="preserve">,y</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i</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k</m:t>
            </m:r>
          </m:sub>
        </m:sSub>
        <m:r>
          <w:rPr>
            <w:rFonts w:ascii="Cambria Math" w:cs="Cambria Math" w:eastAsia="Cambria Math" w:hAnsi="Cambria Math"/>
          </w:rPr>
          <m:t>Ω</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k</m:t>
                </m:r>
              </m:sub>
            </m:sSub>
          </m:e>
        </m:d>
      </m:oMath>
      <w:r w:rsidDel="00000000" w:rsidR="00000000" w:rsidRPr="00000000">
        <w:rPr>
          <w:rFonts w:ascii="Cambria Math" w:cs="Cambria Math" w:eastAsia="Cambria Math" w:hAnsi="Cambria Math"/>
          <w:rtl w:val="0"/>
        </w:rPr>
        <w:t xml:space="preserve">  </w:t>
      </w: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(2.7)</w:t>
      </w:r>
      <w:r w:rsidDel="00000000" w:rsidR="00000000" w:rsidRPr="00000000">
        <w:rPr>
          <w:rtl w:val="0"/>
        </w:rPr>
      </w:r>
    </w:p>
    <w:p w:rsidR="00000000" w:rsidDel="00000000" w:rsidP="00000000" w:rsidRDefault="00000000" w:rsidRPr="00000000" w14:paraId="0000010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XGBoost combines loss and regularization to improve prediction and control for overfitting. Loss and regularization are combined in the objective function as a term for loss and a term for boosting, respectively. The general boosting method for XGBoost implemented models is described in Figure 2.8.</w:t>
      </w:r>
    </w:p>
    <w:p w:rsidR="00000000" w:rsidDel="00000000" w:rsidP="00000000" w:rsidRDefault="00000000" w:rsidRPr="00000000" w14:paraId="0000010D">
      <w:pPr>
        <w:jc w:val="center"/>
        <w:rPr>
          <w:rFonts w:ascii="Times New Roman" w:cs="Times New Roman" w:eastAsia="Times New Roman" w:hAnsi="Times New Roman"/>
          <w:sz w:val="24"/>
          <w:szCs w:val="24"/>
        </w:rPr>
      </w:pPr>
      <w:r w:rsidDel="00000000" w:rsidR="00000000" w:rsidRPr="00000000">
        <w:rPr>
          <w:color w:val="000000"/>
        </w:rPr>
        <w:drawing>
          <wp:inline distB="0" distT="0" distL="0" distR="0">
            <wp:extent cx="3577908" cy="2915063"/>
            <wp:effectExtent b="0" l="0" r="0" t="0"/>
            <wp:docPr id="11" name="image5.png"/>
            <a:graphic>
              <a:graphicData uri="http://schemas.openxmlformats.org/drawingml/2006/picture">
                <pic:pic>
                  <pic:nvPicPr>
                    <pic:cNvPr id="0" name="image5.png"/>
                    <pic:cNvPicPr preferRelativeResize="0"/>
                  </pic:nvPicPr>
                  <pic:blipFill>
                    <a:blip r:embed="rId30"/>
                    <a:srcRect b="0" l="0" r="0" t="0"/>
                    <a:stretch>
                      <a:fillRect/>
                    </a:stretch>
                  </pic:blipFill>
                  <pic:spPr>
                    <a:xfrm>
                      <a:off x="0" y="0"/>
                      <a:ext cx="3577908" cy="2915063"/>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Figure 2.8: Implementation of XGBoost</w:t>
      </w:r>
      <w:r w:rsidDel="00000000" w:rsidR="00000000" w:rsidRPr="00000000">
        <w:rPr>
          <w:rtl w:val="0"/>
        </w:rPr>
      </w:r>
    </w:p>
    <w:p w:rsidR="00000000" w:rsidDel="00000000" w:rsidP="00000000" w:rsidRDefault="00000000" w:rsidRPr="00000000" w14:paraId="0000010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XGBoost performs particularly well on structured, tabular data, which is likely the data format for the suggested industrial safety dataset. XGBoost is capable of identifying non-linear interactions among the feature variables and, as a result, is likely to maintain a high level of predictive performance. XGBoost is also inherently less interpretable than Logistic Regression or a single Decision Tree. As a result, XGBoost will likely be accompanied by interpretability techniques for explainability, such as SHAP, respectively. These techniques will support safety-related decision making.</w:t>
      </w:r>
    </w:p>
    <w:p w:rsidR="00000000" w:rsidDel="00000000" w:rsidP="00000000" w:rsidRDefault="00000000" w:rsidRPr="00000000" w14:paraId="00000110">
      <w:pPr>
        <w:pStyle w:val="Heading3"/>
        <w:rPr>
          <w:rFonts w:ascii="Times New Roman" w:cs="Times New Roman" w:eastAsia="Times New Roman" w:hAnsi="Times New Roman"/>
          <w:b w:val="1"/>
          <w:bCs w:val="1"/>
          <w:color w:val="000000"/>
        </w:rPr>
      </w:pPr>
      <w:bookmarkStart w:colFirst="0" w:colLast="0" w:name="_heading=h.fqtpkg3rrqk1" w:id="23"/>
      <w:bookmarkEnd w:id="23"/>
      <w:r w:rsidDel="00000000" w:rsidR="00000000" w:rsidRPr="00000000">
        <w:rPr>
          <w:rFonts w:ascii="Times New Roman" w:cs="Times New Roman" w:eastAsia="Times New Roman" w:hAnsi="Times New Roman"/>
          <w:b w:val="1"/>
          <w:bCs w:val="1"/>
          <w:color w:val="000000"/>
          <w:rtl w:val="0"/>
        </w:rPr>
        <w:t xml:space="preserve">2.2.5 Deep Learning Techniques</w:t>
      </w:r>
    </w:p>
    <w:p w:rsidR="00000000" w:rsidDel="00000000" w:rsidP="00000000" w:rsidRDefault="00000000" w:rsidRPr="00000000" w14:paraId="0000011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utility of a given method in the presence of data that demonstrates complex and/or multi-dimensional patterns that are spatial, temporal, or sequential in nature is of great interest in the field of industrial safety. For example, in the context of industrial safety, deep learning can be used on images, videos, sounds, or long sequences of raw data given by industrial sensors [29]. For the majority of the proposed study, however, structured industrial variables are used. This means that the most appropriate main modeling methods are those offered by traditional machine learning. While deep learning will be used in the background, many related fire detection and accident analysis studies utilize 1D-CNN, LSTM, or Bi-LSTM models.</w:t>
      </w:r>
    </w:p>
    <w:p w:rsidR="00000000" w:rsidDel="00000000" w:rsidP="00000000" w:rsidRDefault="00000000" w:rsidRPr="00000000" w14:paraId="0000011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One-Dimensional Convolutional Neural Network (1D-CNN) convolves filters on top of sequential data in order to capture local patterns in a more effective way [30]. This can be advantageous in the case of sensor streams, since the indication of anomalous behavior can be captured in small local changes. The 1D convolution operation is represented in Equation (2.8)</w:t>
      </w:r>
    </w:p>
    <w:p w:rsidR="00000000" w:rsidDel="00000000" w:rsidP="00000000" w:rsidRDefault="00000000" w:rsidRPr="00000000" w14:paraId="00000113">
      <w:pPr>
        <w:jc w:val="center"/>
        <w:rPr>
          <w:rFonts w:ascii="Times New Roman" w:cs="Times New Roman" w:eastAsia="Times New Roman" w:hAnsi="Times New Roman"/>
        </w:rPr>
      </w:pPr>
      <m:oMath>
        <m:r>
          <w:rPr>
            <w:rFonts w:ascii="Cambria Math" w:cs="Cambria Math" w:eastAsia="Cambria Math" w:hAnsi="Cambria Math"/>
          </w:rPr>
          <m:t xml:space="preserve">y</m:t>
        </m:r>
        <m:d>
          <m:dPr>
            <m:begChr m:val="["/>
            <m:endChr m:val="]"/>
            <m:ctrlPr>
              <w:rPr>
                <w:rFonts w:ascii="Cambria Math" w:cs="Cambria Math" w:eastAsia="Cambria Math" w:hAnsi="Cambria Math"/>
              </w:rPr>
            </m:ctrlPr>
          </m:dPr>
          <m:e>
            <m:r>
              <w:rPr>
                <w:rFonts w:ascii="Cambria Math" w:cs="Cambria Math" w:eastAsia="Cambria Math" w:hAnsi="Cambria Math"/>
              </w:rPr>
              <m:t xml:space="preserve">t</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k</m:t>
            </m:r>
          </m:sub>
        </m:sSub>
        <m:r>
          <w:rPr>
            <w:rFonts w:ascii="Cambria Math" w:cs="Cambria Math" w:eastAsia="Cambria Math" w:hAnsi="Cambria Math"/>
          </w:rPr>
          <m:t xml:space="preserve">x</m:t>
        </m:r>
        <m:d>
          <m:dPr>
            <m:begChr m:val="["/>
            <m:endChr m:val="]"/>
            <m:ctrlPr>
              <w:rPr>
                <w:rFonts w:ascii="Cambria Math" w:cs="Cambria Math" w:eastAsia="Cambria Math" w:hAnsi="Cambria Math"/>
              </w:rPr>
            </m:ctrlPr>
          </m:dPr>
          <m:e>
            <m:r>
              <w:rPr>
                <w:rFonts w:ascii="Cambria Math" w:cs="Cambria Math" w:eastAsia="Cambria Math" w:hAnsi="Cambria Math"/>
              </w:rPr>
              <m:t xml:space="preserve">t+k</m:t>
            </m:r>
          </m:e>
        </m:d>
        <m:r>
          <w:rPr>
            <w:rFonts w:ascii="Cambria Math" w:cs="Cambria Math" w:eastAsia="Cambria Math" w:hAnsi="Cambria Math"/>
          </w:rPr>
          <m:t xml:space="preserve">⋅w</m:t>
        </m:r>
        <m:d>
          <m:dPr>
            <m:begChr m:val="["/>
            <m:endChr m:val="]"/>
            <m:ctrlPr>
              <w:rPr>
                <w:rFonts w:ascii="Cambria Math" w:cs="Cambria Math" w:eastAsia="Cambria Math" w:hAnsi="Cambria Math"/>
              </w:rPr>
            </m:ctrlPr>
          </m:dPr>
          <m:e>
            <m:r>
              <w:rPr>
                <w:rFonts w:ascii="Cambria Math" w:cs="Cambria Math" w:eastAsia="Cambria Math" w:hAnsi="Cambria Math"/>
              </w:rPr>
              <m:t xml:space="preserve">k</m:t>
            </m:r>
          </m:e>
        </m:d>
        <m:r>
          <w:rPr>
            <w:rFonts w:ascii="Cambria Math" w:cs="Cambria Math" w:eastAsia="Cambria Math" w:hAnsi="Cambria Math"/>
          </w:rPr>
          <m:t xml:space="preserve">+b</m:t>
        </m:r>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(2.8)</w:t>
      </w:r>
      <w:r w:rsidDel="00000000" w:rsidR="00000000" w:rsidRPr="00000000">
        <w:rPr>
          <w:rtl w:val="0"/>
        </w:rPr>
      </w:r>
    </w:p>
    <w:p w:rsidR="00000000" w:rsidDel="00000000" w:rsidP="00000000" w:rsidRDefault="00000000" w:rsidRPr="00000000" w14:paraId="0000011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(2.8), x is the input signal, w is the filter, b is the bias, and y[t] denotes the feature at time position t. LSTM networks leverage gates and memory cells to capture the time-dependent patterns present in the data [31]. The LSTM forget gate is calculated using Equation (2.9):</w:t>
      </w:r>
    </w:p>
    <w:p w:rsidR="00000000" w:rsidDel="00000000" w:rsidP="00000000" w:rsidRDefault="00000000" w:rsidRPr="00000000" w14:paraId="00000115">
      <w:pPr>
        <w:jc w:val="center"/>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t</m:t>
            </m:r>
          </m:sub>
        </m:sSub>
        <m:r>
          <w:rPr>
            <w:rFonts w:ascii="Cambria Math" w:cs="Cambria Math" w:eastAsia="Cambria Math" w:hAnsi="Cambria Math"/>
          </w:rPr>
          <m:t xml:space="preserve">=sigmoid</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W</m:t>
                </m:r>
              </m:e>
              <m:sub>
                <m:r>
                  <w:rPr>
                    <w:rFonts w:ascii="Cambria Math" w:cs="Cambria Math" w:eastAsia="Cambria Math" w:hAnsi="Cambria Math"/>
                  </w:rPr>
                  <m:t xml:space="preserve">f</m:t>
                </m:r>
              </m:sub>
            </m:sSub>
            <m:r>
              <w:rPr>
                <w:rFonts w:ascii="Cambria Math" w:cs="Cambria Math" w:eastAsia="Cambria Math" w:hAnsi="Cambria Math"/>
              </w:rPr>
              <m:t>⋅</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d>
                      <m:dPr>
                        <m:begChr m:val="("/>
                        <m:endChr m:val=")"/>
                        <m:ctrlPr>
                          <w:rPr>
                            <w:rFonts w:ascii="Cambria Math" w:cs="Cambria Math" w:eastAsia="Cambria Math" w:hAnsi="Cambria Math"/>
                          </w:rPr>
                        </m:ctrlPr>
                      </m:dPr>
                      <m:e>
                        <m:r>
                          <w:rPr>
                            <w:rFonts w:ascii="Cambria Math" w:cs="Cambria Math" w:eastAsia="Cambria Math" w:hAnsi="Cambria Math"/>
                          </w:rPr>
                          <m:t xml:space="preserve">t-1</m:t>
                        </m:r>
                      </m:e>
                    </m:d>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t</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b</m:t>
                </m:r>
              </m:e>
              <m:sub>
                <m:r>
                  <w:rPr>
                    <w:rFonts w:ascii="Cambria Math" w:cs="Cambria Math" w:eastAsia="Cambria Math" w:hAnsi="Cambria Math"/>
                  </w:rPr>
                  <m:t xml:space="preserve">f</m:t>
                </m:r>
              </m:sub>
            </m:sSub>
          </m:e>
        </m:d>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(2.9)</w:t>
      </w:r>
      <w:r w:rsidDel="00000000" w:rsidR="00000000" w:rsidRPr="00000000">
        <w:rPr>
          <w:rtl w:val="0"/>
        </w:rPr>
      </w:r>
    </w:p>
    <w:p w:rsidR="00000000" w:rsidDel="00000000" w:rsidP="00000000" w:rsidRDefault="00000000" w:rsidRPr="00000000" w14:paraId="0000011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Equation (2.9) reveals that the forget gate ft regulates the deletion and retention of prior knowledge within the memory cell. Figure 2.9 illustrates how a deep learning model utilizes serial sensor data to provide a safety prediction..</w:t>
      </w:r>
    </w:p>
    <w:p w:rsidR="00000000" w:rsidDel="00000000" w:rsidP="00000000" w:rsidRDefault="00000000" w:rsidRPr="00000000" w14:paraId="0000011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782503" cy="971227"/>
            <wp:effectExtent b="0" l="0" r="0" t="0"/>
            <wp:docPr id="9" name="image10.png"/>
            <a:graphic>
              <a:graphicData uri="http://schemas.openxmlformats.org/drawingml/2006/picture">
                <pic:pic>
                  <pic:nvPicPr>
                    <pic:cNvPr id="0" name="image10.png"/>
                    <pic:cNvPicPr preferRelativeResize="0"/>
                  </pic:nvPicPr>
                  <pic:blipFill>
                    <a:blip r:embed="rId31"/>
                    <a:srcRect b="26456" l="0" r="0" t="15389"/>
                    <a:stretch>
                      <a:fillRect/>
                    </a:stretch>
                  </pic:blipFill>
                  <pic:spPr>
                    <a:xfrm>
                      <a:off x="0" y="0"/>
                      <a:ext cx="4782503" cy="971227"/>
                    </a:xfrm>
                    <a:prstGeom prst="rect"/>
                    <a:ln/>
                  </pic:spPr>
                </pic:pic>
              </a:graphicData>
            </a:graphic>
          </wp:inline>
        </w:drawing>
      </w:r>
      <w:r w:rsidDel="00000000" w:rsidR="00000000" w:rsidRPr="00000000">
        <w:rPr>
          <w:rtl w:val="0"/>
        </w:rPr>
      </w:r>
    </w:p>
    <w:p w:rsidR="00000000" w:rsidDel="00000000" w:rsidP="00000000" w:rsidRDefault="00000000" w:rsidRPr="00000000" w14:paraId="00000118">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Figure 2.9: Deep learning for sequential sensor data. A 1D-CNN may extract local patterns from sensor sequences, while LSTM can model longer temporal dependencies. The figure is based on the deep learning concepts discussed in [30] and [31].</w:t>
      </w:r>
      <w:r w:rsidDel="00000000" w:rsidR="00000000" w:rsidRPr="00000000">
        <w:rPr>
          <w:rtl w:val="0"/>
        </w:rPr>
      </w:r>
    </w:p>
    <w:p w:rsidR="00000000" w:rsidDel="00000000" w:rsidP="00000000" w:rsidRDefault="00000000" w:rsidRPr="00000000" w14:paraId="0000011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1D-CNN and LSTM models have notable strengths. However, the demands of data and computational resources, along with increased training loads, are often prohibitive in contrast to standard machine learning techniques. Safety-critical applications require high interpretability, and these deep learning models may fall short of that need. Therefore, this study emphasizes structured IIoT safety data machine learning techniques and incorporates deep learning as an auxiliary resource in contextual comparisons to evaluation studies.</w:t>
      </w:r>
    </w:p>
    <w:p w:rsidR="00000000" w:rsidDel="00000000" w:rsidP="00000000" w:rsidRDefault="00000000" w:rsidRPr="00000000" w14:paraId="0000011A">
      <w:pPr>
        <w:pStyle w:val="Heading3"/>
        <w:rPr>
          <w:rFonts w:ascii="Times New Roman" w:cs="Times New Roman" w:eastAsia="Times New Roman" w:hAnsi="Times New Roman"/>
          <w:b w:val="1"/>
          <w:bCs w:val="1"/>
          <w:color w:val="000000"/>
        </w:rPr>
      </w:pPr>
      <w:bookmarkStart w:colFirst="0" w:colLast="0" w:name="_heading=h.b4xg449y3m2h" w:id="24"/>
      <w:bookmarkEnd w:id="24"/>
      <w:r w:rsidDel="00000000" w:rsidR="00000000" w:rsidRPr="00000000">
        <w:rPr>
          <w:rFonts w:ascii="Times New Roman" w:cs="Times New Roman" w:eastAsia="Times New Roman" w:hAnsi="Times New Roman"/>
          <w:b w:val="1"/>
          <w:bCs w:val="1"/>
          <w:color w:val="000000"/>
          <w:rtl w:val="0"/>
        </w:rPr>
        <w:t xml:space="preserve">2.2.6 Natural Language Processing for Accident Reports</w:t>
      </w:r>
    </w:p>
    <w:p w:rsidR="00000000" w:rsidDel="00000000" w:rsidP="00000000" w:rsidRDefault="00000000" w:rsidRPr="00000000" w14:paraId="0000011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NLP has the potential to enhance industrial safety by analyzing accident reports, maintenance records, and incident descriptions. These records often contain accounts of the tasks, equipment, and environmental conditions associated with the accident, as well as the types of injuries and the proposed contributing factors to the accident [32]. The text data must be formed into numerical features, as machine learning models require data to be in a numerical format.</w:t>
      </w:r>
    </w:p>
    <w:p w:rsidR="00000000" w:rsidDel="00000000" w:rsidP="00000000" w:rsidRDefault="00000000" w:rsidRPr="00000000" w14:paraId="0000011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representation of choice may be Term Frequency-Inverse Document Frequency (TF-IDF) [33]. Some advantages of the TF-IDF representation are, assigning a higher score to less frequent document term scores and assigning lower scores to terms that are not informative across documents. Thus, in task centric injury severity prediction and root cause analysis, the terms may be filtered and ranked based on their levels of informativeness. [33]. The TF-IDF weight is calculated using Equation (2.10)</w:t>
      </w:r>
    </w:p>
    <w:p w:rsidR="00000000" w:rsidDel="00000000" w:rsidP="00000000" w:rsidRDefault="00000000" w:rsidRPr="00000000" w14:paraId="0000011D">
      <w:pPr>
        <w:jc w:val="center"/>
        <w:rPr>
          <w:rFonts w:ascii="Times New Roman" w:cs="Times New Roman" w:eastAsia="Times New Roman" w:hAnsi="Times New Roman"/>
        </w:rPr>
      </w:pPr>
      <m:oMath>
        <m:r>
          <w:rPr>
            <w:rFonts w:ascii="Cambria Math" w:cs="Cambria Math" w:eastAsia="Cambria Math" w:hAnsi="Cambria Math"/>
          </w:rPr>
          <m:t xml:space="preserve">TF-IDF</m:t>
        </m:r>
        <m:d>
          <m:dPr>
            <m:begChr m:val="("/>
            <m:endChr m:val=")"/>
            <m:ctrlPr>
              <w:rPr>
                <w:rFonts w:ascii="Cambria Math" w:cs="Cambria Math" w:eastAsia="Cambria Math" w:hAnsi="Cambria Math"/>
              </w:rPr>
            </m:ctrlPr>
          </m:dPr>
          <m:e>
            <m:r>
              <w:rPr>
                <w:rFonts w:ascii="Cambria Math" w:cs="Cambria Math" w:eastAsia="Cambria Math" w:hAnsi="Cambria Math"/>
              </w:rPr>
              <m:t xml:space="preserve">t,d</m:t>
            </m:r>
          </m:e>
        </m:d>
        <m:r>
          <w:rPr>
            <w:rFonts w:ascii="Cambria Math" w:cs="Cambria Math" w:eastAsia="Cambria Math" w:hAnsi="Cambria Math"/>
          </w:rPr>
          <m:t xml:space="preserve">=TF</m:t>
        </m:r>
        <m:d>
          <m:dPr>
            <m:begChr m:val="("/>
            <m:endChr m:val=")"/>
            <m:ctrlPr>
              <w:rPr>
                <w:rFonts w:ascii="Cambria Math" w:cs="Cambria Math" w:eastAsia="Cambria Math" w:hAnsi="Cambria Math"/>
              </w:rPr>
            </m:ctrlPr>
          </m:dPr>
          <m:e>
            <m:r>
              <w:rPr>
                <w:rFonts w:ascii="Cambria Math" w:cs="Cambria Math" w:eastAsia="Cambria Math" w:hAnsi="Cambria Math"/>
              </w:rPr>
              <m:t xml:space="preserve">t,d</m:t>
            </m:r>
          </m:e>
        </m:d>
        <m:r>
          <w:rPr>
            <w:rFonts w:ascii="Cambria Math" w:cs="Cambria Math" w:eastAsia="Cambria Math" w:hAnsi="Cambria Math"/>
          </w:rPr>
          <m:t xml:space="preserve">⋅log</m:t>
        </m:r>
        <m:d>
          <m:dPr>
            <m:begChr m:val="("/>
            <m:endChr m:val=")"/>
            <m:ctrlPr>
              <w:rPr>
                <w:rFonts w:ascii="Cambria Math" w:cs="Cambria Math" w:eastAsia="Cambria Math" w:hAnsi="Cambria Math"/>
              </w:rPr>
            </m:ctrlPr>
          </m:dPr>
          <m:e>
            <m:r>
              <w:rPr>
                <w:rFonts w:ascii="Cambria Math" w:cs="Cambria Math" w:eastAsia="Cambria Math" w:hAnsi="Cambria Math"/>
              </w:rPr>
              <m:t xml:space="preserve">N/DF</m:t>
            </m:r>
            <m:d>
              <m:dPr>
                <m:begChr m:val="("/>
                <m:endChr m:val=")"/>
                <m:ctrlPr>
                  <w:rPr>
                    <w:rFonts w:ascii="Cambria Math" w:cs="Cambria Math" w:eastAsia="Cambria Math" w:hAnsi="Cambria Math"/>
                  </w:rPr>
                </m:ctrlPr>
              </m:dPr>
              <m:e>
                <m:r>
                  <w:rPr>
                    <w:rFonts w:ascii="Cambria Math" w:cs="Cambria Math" w:eastAsia="Cambria Math" w:hAnsi="Cambria Math"/>
                  </w:rPr>
                  <m:t xml:space="preserve">t</m:t>
                </m:r>
              </m:e>
            </m:d>
          </m:e>
        </m:d>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(2.10)</w:t>
      </w:r>
      <w:r w:rsidDel="00000000" w:rsidR="00000000" w:rsidRPr="00000000">
        <w:rPr>
          <w:rtl w:val="0"/>
        </w:rPr>
      </w:r>
    </w:p>
    <w:p w:rsidR="00000000" w:rsidDel="00000000" w:rsidP="00000000" w:rsidRDefault="00000000" w:rsidRPr="00000000" w14:paraId="0000011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(2.10), TF(t, d) represents the frequency of term t in document d, N refers to the total number of documents, and DF(t) refers to the number of documents containing term t. GloVe is another representation that creates dense word embeddings that can capture the semantic relationship of words. Figure 2.10 presents a common NLP pipeline for the analysis of text in accident reports.</w:t>
      </w:r>
    </w:p>
    <w:p w:rsidR="00000000" w:rsidDel="00000000" w:rsidP="00000000" w:rsidRDefault="00000000" w:rsidRPr="00000000" w14:paraId="0000011F">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089847" cy="1308913"/>
            <wp:effectExtent b="0" l="0" r="0" t="0"/>
            <wp:docPr id="10" name="image11.png"/>
            <a:graphic>
              <a:graphicData uri="http://schemas.openxmlformats.org/drawingml/2006/picture">
                <pic:pic>
                  <pic:nvPicPr>
                    <pic:cNvPr id="0" name="image11.png"/>
                    <pic:cNvPicPr preferRelativeResize="0"/>
                  </pic:nvPicPr>
                  <pic:blipFill>
                    <a:blip r:embed="rId32"/>
                    <a:srcRect b="27936" l="0" r="0" t="10160"/>
                    <a:stretch>
                      <a:fillRect/>
                    </a:stretch>
                  </pic:blipFill>
                  <pic:spPr>
                    <a:xfrm>
                      <a:off x="0" y="0"/>
                      <a:ext cx="5089847" cy="1308913"/>
                    </a:xfrm>
                    <a:prstGeom prst="rect"/>
                    <a:ln/>
                  </pic:spPr>
                </pic:pic>
              </a:graphicData>
            </a:graphic>
          </wp:inline>
        </w:drawing>
      </w:r>
      <w:r w:rsidDel="00000000" w:rsidR="00000000" w:rsidRPr="00000000">
        <w:rPr>
          <w:rtl w:val="0"/>
        </w:rPr>
      </w:r>
    </w:p>
    <w:p w:rsidR="00000000" w:rsidDel="00000000" w:rsidP="00000000" w:rsidRDefault="00000000" w:rsidRPr="00000000" w14:paraId="00000121">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Figure 2.10: NLP pipeline for accident report analysis. Textual accident narratives are cleaned and transformed into numerical features, such as TF-IDF or word embeddings, before being used by a classifier. The figure is based on NLP accident report analysis concepts in [32] and [33].</w:t>
      </w:r>
      <w:r w:rsidDel="00000000" w:rsidR="00000000" w:rsidRPr="00000000">
        <w:rPr>
          <w:rtl w:val="0"/>
        </w:rPr>
      </w:r>
    </w:p>
    <w:p w:rsidR="00000000" w:rsidDel="00000000" w:rsidP="00000000" w:rsidRDefault="00000000" w:rsidRPr="00000000" w14:paraId="0000012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NLP is useful for deriving insights from descriptions of historical accidents, but more commonly is used after the incident is reported. For this reason, NLP is more appropriate for post-incident assessment, determining root causes, and predicting injury severity as opposed to preventing incidents or fires in real time. This research focuses on structured IIoT and safety variables. NLP is added to demonstrate the use of text in accident data in the related studies.</w:t>
      </w:r>
    </w:p>
    <w:p w:rsidR="00000000" w:rsidDel="00000000" w:rsidP="00000000" w:rsidRDefault="00000000" w:rsidRPr="00000000" w14:paraId="00000123">
      <w:pPr>
        <w:pStyle w:val="Heading3"/>
        <w:rPr>
          <w:rFonts w:ascii="Times New Roman" w:cs="Times New Roman" w:eastAsia="Times New Roman" w:hAnsi="Times New Roman"/>
          <w:b w:val="1"/>
          <w:bCs w:val="1"/>
          <w:color w:val="000000"/>
        </w:rPr>
      </w:pPr>
      <w:bookmarkStart w:colFirst="0" w:colLast="0" w:name="_heading=h.q20q2d71dhsx" w:id="25"/>
      <w:bookmarkEnd w:id="25"/>
      <w:r w:rsidDel="00000000" w:rsidR="00000000" w:rsidRPr="00000000">
        <w:rPr>
          <w:rFonts w:ascii="Times New Roman" w:cs="Times New Roman" w:eastAsia="Times New Roman" w:hAnsi="Times New Roman"/>
          <w:b w:val="1"/>
          <w:bCs w:val="1"/>
          <w:color w:val="000000"/>
          <w:rtl w:val="0"/>
        </w:rPr>
        <w:t xml:space="preserve">2.2.7 Explainable Artificial Intelligence and SHAP</w:t>
      </w:r>
    </w:p>
    <w:p w:rsidR="00000000" w:rsidDel="00000000" w:rsidP="00000000" w:rsidRDefault="00000000" w:rsidRPr="00000000" w14:paraId="0000012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Many advanced machine learning and deep learning models have low interpretability. This creates problems in safety-critical situations as engineers and managers need to know not only the predictions of the models, but also the justifications for the predictions. Explainable Artificial Intelligence (XAI) offers solutions to this problem by providing tools to build more transparent, interpretable, and trustworthy AI systems. [35]</w:t>
      </w:r>
    </w:p>
    <w:p w:rsidR="00000000" w:rsidDel="00000000" w:rsidP="00000000" w:rsidRDefault="00000000" w:rsidRPr="00000000" w14:paraId="0000012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Explanations provided by XAI can be either global or local. Global explanations captures the general behavior of the model and identifies the most influential variables. Local explanations, on the other hand, show a specific model prediction and illustrate why the model deemed a particular case safe or unsafe. Global and local explanations are both valued in the domain of industrial safety. Global explanations support managers in comprehending general safety risk concerns, while local explanations support engineers in analyzing a specific safety alarm.</w:t>
      </w:r>
    </w:p>
    <w:p w:rsidR="00000000" w:rsidDel="00000000" w:rsidP="00000000" w:rsidRDefault="00000000" w:rsidRPr="00000000" w14:paraId="0000012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SHAP is an XAI method built on the Shapley values of cooperative game theory. It is used to define the extent of each feature’s impact to a model prediction by comparing the feature’s value with an expected or reference value [36]. The SHAP value for feature i is calculated using Equation (2.11)</w:t>
      </w:r>
    </w:p>
    <w:p w:rsidR="00000000" w:rsidDel="00000000" w:rsidP="00000000" w:rsidRDefault="00000000" w:rsidRPr="00000000" w14:paraId="00000127">
      <w:pPr>
        <w:jc w:val="center"/>
        <w:rPr>
          <w:rFonts w:ascii="Times New Roman" w:cs="Times New Roman" w:eastAsia="Times New Roman" w:hAnsi="Times New Roman"/>
        </w:rPr>
      </w:pPr>
      <m:oMath>
        <m:r>
          <w:rPr>
            <w:rFonts w:ascii="Cambria Math" w:cs="Cambria Math" w:eastAsia="Cambria Math" w:hAnsi="Cambria Math"/>
          </w:rPr>
          <m:t xml:space="preserve">SHA</m:t>
        </m:r>
        <m:sSub>
          <m:sSubPr>
            <m:ctrlPr>
              <w:rPr>
                <w:rFonts w:ascii="Cambria Math" w:cs="Cambria Math" w:eastAsia="Cambria Math" w:hAnsi="Cambria Math"/>
              </w:rPr>
            </m:ctrlPr>
          </m:sSubPr>
          <m:e>
            <m:r>
              <w:rPr>
                <w:rFonts w:ascii="Cambria Math" w:cs="Cambria Math" w:eastAsia="Cambria Math" w:hAnsi="Cambria Math"/>
              </w:rPr>
              <m:t xml:space="preserve">P</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m:t>
            </m:r>
          </m:sub>
        </m:sSub>
        <m:r>
          <w:rPr>
            <w:rFonts w:ascii="Cambria Math" w:cs="Cambria Math" w:eastAsia="Cambria Math" w:hAnsi="Cambria Math"/>
          </w:rPr>
          <m:t xml:space="preserve">S⊆F{i</m:t>
        </m:r>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(2.11)</w:t>
      </w:r>
      <w:r w:rsidDel="00000000" w:rsidR="00000000" w:rsidRPr="00000000">
        <w:rPr>
          <w:rtl w:val="0"/>
        </w:rPr>
      </w:r>
    </w:p>
    <w:p w:rsidR="00000000" w:rsidDel="00000000" w:rsidP="00000000" w:rsidRDefault="00000000" w:rsidRPr="00000000" w14:paraId="0000012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(2.11), SHAP_i represents the SHAP value for feature i, F is the total set of features, S is the set of features excluding i, and f is the model output. When a feature holds a positive SHAP value, it is interpreted as that feature increasing the prediction of higher risk. Conversely, it decreases risk prediction when a feature holds a negative SHAP value. [36]. The feature-contribution concept is illustrated in Figure 2.11. Here, f(S+i) denotes the model output after feature i is added to subset S.</w:t>
      </w:r>
    </w:p>
    <w:p w:rsidR="00000000" w:rsidDel="00000000" w:rsidP="00000000" w:rsidRDefault="00000000" w:rsidRPr="00000000" w14:paraId="0000012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304475" cy="2092321"/>
            <wp:effectExtent b="0" l="0" r="0" t="0"/>
            <wp:docPr id="12" name="image13.png"/>
            <a:graphic>
              <a:graphicData uri="http://schemas.openxmlformats.org/drawingml/2006/picture">
                <pic:pic>
                  <pic:nvPicPr>
                    <pic:cNvPr id="0" name="image13.png"/>
                    <pic:cNvPicPr preferRelativeResize="0"/>
                  </pic:nvPicPr>
                  <pic:blipFill>
                    <a:blip r:embed="rId33"/>
                    <a:srcRect b="18077" l="0" r="0" t="0"/>
                    <a:stretch>
                      <a:fillRect/>
                    </a:stretch>
                  </pic:blipFill>
                  <pic:spPr>
                    <a:xfrm>
                      <a:off x="0" y="0"/>
                      <a:ext cx="5304475" cy="2092321"/>
                    </a:xfrm>
                    <a:prstGeom prst="rect"/>
                    <a:ln/>
                  </pic:spPr>
                </pic:pic>
              </a:graphicData>
            </a:graphic>
          </wp:inline>
        </w:drawing>
      </w:r>
      <w:r w:rsidDel="00000000" w:rsidR="00000000" w:rsidRPr="00000000">
        <w:rPr>
          <w:rtl w:val="0"/>
        </w:rPr>
      </w:r>
    </w:p>
    <w:p w:rsidR="00000000" w:rsidDel="00000000" w:rsidP="00000000" w:rsidRDefault="00000000" w:rsidRPr="00000000" w14:paraId="0000012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Figure 2.11: SHAP feature contribution concept. The figure illustrates how individual features can increase or decrease the final predicted risk compared with a baseline prediction. The explanation concept is based on SHAP analysis described in [36].</w:t>
      </w:r>
      <w:r w:rsidDel="00000000" w:rsidR="00000000" w:rsidRPr="00000000">
        <w:rPr>
          <w:rtl w:val="0"/>
        </w:rPr>
      </w:r>
    </w:p>
    <w:p w:rsidR="00000000" w:rsidDel="00000000" w:rsidP="00000000" w:rsidRDefault="00000000" w:rsidRPr="00000000" w14:paraId="0000012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Due to its ability to explain predictions made by complex models such as Random Forest and XGBoost while providing feature-level explainability, SHAP is the best fit for the proposed research. SHAP, for example, can help decision makers understand if higher predicted risk is a function of gas concentration, smoke level, temperature, the machine’s age, the condition of maintenance, or the level of training of the workers. This capability of SHAP, along with many others, responds to the aim of designing an explainable safety decision support system, and not a safety system that focuses solely on making predictions.</w:t>
      </w:r>
    </w:p>
    <w:p w:rsidR="00000000" w:rsidDel="00000000" w:rsidP="00000000" w:rsidRDefault="00000000" w:rsidRPr="00000000" w14:paraId="0000012C">
      <w:pPr>
        <w:pStyle w:val="Heading3"/>
        <w:rPr>
          <w:rFonts w:ascii="Times New Roman" w:cs="Times New Roman" w:eastAsia="Times New Roman" w:hAnsi="Times New Roman"/>
          <w:b w:val="1"/>
          <w:bCs w:val="1"/>
          <w:color w:val="000000"/>
        </w:rPr>
      </w:pPr>
      <w:bookmarkStart w:colFirst="0" w:colLast="0" w:name="_heading=h.c70eb0iv0gfb" w:id="26"/>
      <w:bookmarkEnd w:id="26"/>
      <w:r w:rsidDel="00000000" w:rsidR="00000000" w:rsidRPr="00000000">
        <w:rPr>
          <w:rFonts w:ascii="Times New Roman" w:cs="Times New Roman" w:eastAsia="Times New Roman" w:hAnsi="Times New Roman"/>
          <w:b w:val="1"/>
          <w:bCs w:val="1"/>
          <w:color w:val="000000"/>
          <w:rtl w:val="0"/>
        </w:rPr>
        <w:t xml:space="preserve">2.2.8 Summary of Background</w:t>
      </w:r>
    </w:p>
    <w:p w:rsidR="00000000" w:rsidDel="00000000" w:rsidP="00000000" w:rsidRDefault="00000000" w:rsidRPr="00000000" w14:paraId="0000012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safety forecasting combines various components. These components include reliable data collection, extensive data preprocessing, applicable ML constructs, and reportable reasoning. The Industrial Internet of Things (IIoT) gathers real time data pertaining to the diverse elements of an industrial setting. Preprocessing bolsters the quality of the sensor data. This occurs prior to the formation of a model. The models of safety data of a structured nature, include but are not limited to; Logistic Regression, Decision Tree, Random Forest, SVM, and XGBoost. These models possess varying degrees of predictive capacity and interpretability. Other models may include, but are not limited to, associated studies of Deep Learning and Natural Language Processing (NLP). These models may be useful for processing sequential sensor streams and accident report texts. The current study, however, will center its focus on safety and structured IIoT variables. Reported reasoning incorporates the layer of interpretability and explains how a safety model prediction is achieved. SHAP makes model predictions more transparent and interpretable to safety engineers and stakeholders.</w:t>
      </w:r>
    </w:p>
    <w:p w:rsidR="00000000" w:rsidDel="00000000" w:rsidP="00000000" w:rsidRDefault="00000000" w:rsidRPr="00000000" w14:paraId="000001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F">
      <w:pPr>
        <w:pStyle w:val="Heading2"/>
        <w:rPr>
          <w:rFonts w:ascii="Times New Roman" w:cs="Times New Roman" w:eastAsia="Times New Roman" w:hAnsi="Times New Roman"/>
          <w:b w:val="1"/>
          <w:bCs w:val="1"/>
          <w:color w:val="000000"/>
        </w:rPr>
      </w:pPr>
      <w:bookmarkStart w:colFirst="0" w:colLast="0" w:name="_heading=h.4j8ja35jj95s" w:id="27"/>
      <w:bookmarkEnd w:id="27"/>
      <w:r w:rsidDel="00000000" w:rsidR="00000000" w:rsidRPr="00000000">
        <w:rPr>
          <w:rFonts w:ascii="Times New Roman" w:cs="Times New Roman" w:eastAsia="Times New Roman" w:hAnsi="Times New Roman"/>
          <w:b w:val="1"/>
          <w:bCs w:val="1"/>
          <w:color w:val="000000"/>
          <w:rtl w:val="0"/>
        </w:rPr>
        <w:t xml:space="preserve">2.3 Related work</w:t>
      </w:r>
    </w:p>
    <w:p w:rsidR="00000000" w:rsidDel="00000000" w:rsidP="00000000" w:rsidRDefault="00000000" w:rsidRPr="00000000" w14:paraId="0000013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literature demonstrates the ability of machine learning to assist with fire detection, decreasing false alarms, predicting injury severity, and performing a probabilistic risk assessment. However, the majority of the studies target a single safety issue or a single industrial domain.</w:t>
      </w:r>
    </w:p>
    <w:p w:rsidR="00000000" w:rsidDel="00000000" w:rsidP="00000000" w:rsidRDefault="00000000" w:rsidRPr="00000000" w14:paraId="0000013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Jia et al (2026) [37] </w:t>
      </w:r>
      <w:r w:rsidDel="00000000" w:rsidR="00000000" w:rsidRPr="00000000">
        <w:rPr>
          <w:rFonts w:ascii="Times New Roman" w:cs="Times New Roman" w:eastAsia="Times New Roman" w:hAnsi="Times New Roman"/>
          <w:sz w:val="28"/>
          <w:szCs w:val="28"/>
          <w:rtl w:val="0"/>
        </w:rPr>
        <w:t xml:space="preserve">created MmodalFire, a multimodal framework and dataset, to provide tools for the detection of indoor fire from video and physical sensor data. The framework relied on TSN-MobileNetV2, Transformer encoders, Multimodal Transfer Module (MMTM), and XFusionBlock to fuse visual and temperature, smoke, and measurement data of infrared and ultraviolet radiation and data of the fire detection sensors. The MmodalFire dataset included 65 aligned experimental videos, a total of 6 types of physical sensor data, and 700+ minutes of recordings and experiments of fires of wood, cotton, and fires of foam and n-heptane, as well as dry ice and water mist, as a non-fire samples. At a prediction threshold of 0.1, the Fusion Model obtained 93.2% of accuracy, 94.3% of precision, 96.1% of recall, and F1-score of 95.2%. Main strengths of the framework are a public multimodal dataset, and effective fusion of video and sensed data, and thus, enhanced reliability of fire detection when a certain modality of sensing fails. On the other side, the framework was tested only in a controlled, indoor lab, and thus, no validation was achieved for real world’s industrial IIoT ecosystems. Also, the framework does not address the prediction of workplace accidents and does not employ Explainable Artificial Intelligence methodologies.</w:t>
      </w:r>
    </w:p>
    <w:p w:rsidR="00000000" w:rsidDel="00000000" w:rsidP="00000000" w:rsidRDefault="00000000" w:rsidRPr="00000000" w14:paraId="0000013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Benderouach et al. (2026) [38]</w:t>
      </w:r>
      <w:r w:rsidDel="00000000" w:rsidR="00000000" w:rsidRPr="00000000">
        <w:rPr>
          <w:rFonts w:ascii="Times New Roman" w:cs="Times New Roman" w:eastAsia="Times New Roman" w:hAnsi="Times New Roman"/>
          <w:sz w:val="28"/>
          <w:szCs w:val="28"/>
          <w:rtl w:val="0"/>
        </w:rPr>
        <w:t xml:space="preserve"> examines the performance of Logistic Regression, Decision Tree (DT), Random Forest (RF), Support Vector Machine (SVM), Gradient Boosted Decision Trees (GBDT), and XGBoost in predicting occupational accidents in the energy industry, using data from 4,739 occupational accident records from Kaggle. It showed that GBDT and XGBoost had the best predictive performance but without numerical evaluation metrics. Although the framework showed effective machine learning applications in predicting accidents, it did not include industrial fire prediction, sensor integration of IoT and EAI.</w:t>
      </w:r>
    </w:p>
    <w:p w:rsidR="00000000" w:rsidDel="00000000" w:rsidP="00000000" w:rsidRDefault="00000000" w:rsidRPr="00000000" w14:paraId="0000013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Tan et al. (2026) [39]</w:t>
      </w:r>
      <w:r w:rsidDel="00000000" w:rsidR="00000000" w:rsidRPr="00000000">
        <w:rPr>
          <w:rFonts w:ascii="Times New Roman" w:cs="Times New Roman" w:eastAsia="Times New Roman" w:hAnsi="Times New Roman"/>
          <w:sz w:val="28"/>
          <w:szCs w:val="28"/>
          <w:rtl w:val="0"/>
        </w:rPr>
        <w:t xml:space="preserve"> suggested an explainable probabilistic framework for fire risk assessment in high-rise residential buildings, which is based on Bayesian Networks, Markov Chain Monte Carlo (MCMC), and SHAP. Seven residential buildings in five countries participated in the collection of fire safety data as a part of the framework. No prediction accuracy was reported but this study was able to identify critical factors for fire risk such as maintenance practices and organizational issues. However, the framework is only applicable to residential buildings and not for industrial accident prediction nor IIoT environments.</w:t>
      </w:r>
    </w:p>
    <w:p w:rsidR="00000000" w:rsidDel="00000000" w:rsidP="00000000" w:rsidRDefault="00000000" w:rsidRPr="00000000" w14:paraId="0000013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Manoah et al. (2026) [40]</w:t>
      </w:r>
      <w:r w:rsidDel="00000000" w:rsidR="00000000" w:rsidRPr="00000000">
        <w:rPr>
          <w:rFonts w:ascii="Times New Roman" w:cs="Times New Roman" w:eastAsia="Times New Roman" w:hAnsi="Times New Roman"/>
          <w:sz w:val="28"/>
          <w:szCs w:val="28"/>
          <w:rtl w:val="0"/>
        </w:rPr>
        <w:t xml:space="preserve"> introduced an AI-based real-time industrial safety framework that combines the Internet of Things (IoT), Explainable Artificial Intelligence (XAI), SHAP, and machine learning for proactive fire accident prediction in the manufacture of fireworks. The framework continuously gathered data from temperature, humidity, gas concentration and motion sensor using IoT devices. The proposed model had a prediction accuracy of above 97.5%, and the dashboard built with Next.js was used to provide real time SHAP explanations. The design has been successful in merging prediction accuracy with explainability. It has only been validated in the field of fireworks production though and needs to be tested in other high-risk industries like oil/gas/chemicals.</w:t>
      </w:r>
    </w:p>
    <w:p w:rsidR="00000000" w:rsidDel="00000000" w:rsidP="00000000" w:rsidRDefault="00000000" w:rsidRPr="00000000" w14:paraId="0000013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Alsulamy et al. (2026) [41] </w:t>
      </w:r>
      <w:r w:rsidDel="00000000" w:rsidR="00000000" w:rsidRPr="00000000">
        <w:rPr>
          <w:rFonts w:ascii="Times New Roman" w:cs="Times New Roman" w:eastAsia="Times New Roman" w:hAnsi="Times New Roman"/>
          <w:sz w:val="28"/>
          <w:szCs w:val="28"/>
          <w:rtl w:val="0"/>
        </w:rPr>
        <w:t xml:space="preserve">created a machine learning framework that is explainable and predicts the nature and severity of safety incidents that occur in the construction field. This framework theoretically analyzed the K-Nearest Neighbor (KNN), Support Vector Machine (SVM), Decision Tree (DT), Random Forest (RF), Gradient Boosting (GB), and XGBoost. This framework also used SHAP to justify the predictions. This study derived a dataset containing 203 construction safety incidents collected in the Makkah and Riyadh regions of Saudi Arabia throughout the years 2018-2024. This dataset had 14 incident variables that related to construction workers, environmental variables, safety and emergency training sessions, safety and emergency protective equipment (PPE), and incident characteristics. Of all the models theorized and tested in this framework, XGBoost had the best performance by achieving an 89% accuracy in predicting the severity of the incidents. The uniqueness of this framework is that it is the first framework that combines the accurate prediction of construction incident severity and SHAP explanations that provide clarity in citing factors of construction incidents that people can act on, such as incident type, rain, construction workforce size, construction site location, PPE compliance, and the safety and emergency training sessions. However, the small dataset and its geographical restriction greatly limit the outcomes of this framework, plus the framework does not employ real-time IIoT sensor data or fire prediction systems in construction.</w:t>
      </w:r>
    </w:p>
    <w:p w:rsidR="00000000" w:rsidDel="00000000" w:rsidP="00000000" w:rsidRDefault="00000000" w:rsidRPr="00000000" w14:paraId="0000013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Desikan et al. (2025) [42]</w:t>
      </w:r>
      <w:r w:rsidDel="00000000" w:rsidR="00000000" w:rsidRPr="00000000">
        <w:rPr>
          <w:rFonts w:ascii="Times New Roman" w:cs="Times New Roman" w:eastAsia="Times New Roman" w:hAnsi="Times New Roman"/>
          <w:sz w:val="28"/>
          <w:szCs w:val="28"/>
          <w:rtl w:val="0"/>
        </w:rPr>
        <w:t xml:space="preserve"> proposed a hybrid machine learning-based fault-tolerant sensor data fusion framework for fire risk mitigation in Industrial Internet of Things (IIoT) environments. The framework integrated MobileNet, EfficientNet, Random Forest (RF), Support Vector Machine (SVM), Decision Tree (DT), and Dempster–Shafer Theory using RGB, thermal, gas, smoke, and flame sensor data collected from oil and gas environments. The proposed model achieved 98.2% accuracy, 98.5% precision, and 98.3% recall. The main advantage of the framework is its effective multi-sensor fusion for accurate industrial fire prediction. However, it focuses only on fire prediction and does not address workplace accident prediction or incorporate Explainable Artificial Intelligence (XAI).</w:t>
      </w:r>
    </w:p>
    <w:p w:rsidR="00000000" w:rsidDel="00000000" w:rsidP="00000000" w:rsidRDefault="00000000" w:rsidRPr="00000000" w14:paraId="0000013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Millie and Milli (2025) [43]</w:t>
      </w:r>
      <w:r w:rsidDel="00000000" w:rsidR="00000000" w:rsidRPr="00000000">
        <w:rPr>
          <w:rFonts w:ascii="Times New Roman" w:cs="Times New Roman" w:eastAsia="Times New Roman" w:hAnsi="Times New Roman"/>
          <w:sz w:val="28"/>
          <w:szCs w:val="28"/>
          <w:rtl w:val="0"/>
        </w:rPr>
        <w:t xml:space="preserve"> performed a comparative study of algorithms used in intelligent fire detection, such as machine learning and deep learning. The study compared the accuracy of Decision Tree (DT), Support Vector Machine (SVM), XGBoost, Logistic Regression, One-Dimensional Convolutional Neural Network (1D-CNN), and Long Short-Term Memory (LSTM) on a dataset of 12,030 sensor readings obtained from eight BME688 gas sensors. The deep learning model had an accuracy of 100% in the ability to differentiate between a cigarette smoke and fire smoke. The overall framework successfully achieved low false alarms with optimized preprocessing and classification. But the experiments were conducted in laboratory indoor environment which limited its application in actual industrial environment.</w:t>
      </w:r>
    </w:p>
    <w:p w:rsidR="00000000" w:rsidDel="00000000" w:rsidP="00000000" w:rsidRDefault="00000000" w:rsidRPr="00000000" w14:paraId="0000013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Obasi and Benson (2025) [44]</w:t>
      </w:r>
      <w:r w:rsidDel="00000000" w:rsidR="00000000" w:rsidRPr="00000000">
        <w:rPr>
          <w:rFonts w:ascii="Times New Roman" w:cs="Times New Roman" w:eastAsia="Times New Roman" w:hAnsi="Times New Roman"/>
          <w:sz w:val="28"/>
          <w:szCs w:val="28"/>
          <w:rtl w:val="0"/>
        </w:rPr>
        <w:t xml:space="preserve"> introduced an explainable machine learning approach to the prediction of occupational injury severity. It incorporated Natural Language Processing (NLP), Singular Value Decomposition (SVD), Random Forest (RF), Gradient Boosting Machine (GBM), XGBoost, Logistic Regression and SHAP using a set of 2645 OSHA accident reports from 2015 to 2024. The best model was the Random Forest model, which had an accuracy of 0.94 and an AUC of 0.95. The framework was able to achieve a balance between prediction accuracy and model interpretability through the use of SHAP. But it doesn't cover industrial fire prediction or safety monitoring using the IIoT.</w:t>
      </w:r>
    </w:p>
    <w:p w:rsidR="00000000" w:rsidDel="00000000" w:rsidP="00000000" w:rsidRDefault="00000000" w:rsidRPr="00000000" w14:paraId="0000013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Sharma et al. (2025) [45]</w:t>
      </w:r>
      <w:r w:rsidDel="00000000" w:rsidR="00000000" w:rsidRPr="00000000">
        <w:rPr>
          <w:rFonts w:ascii="Times New Roman" w:cs="Times New Roman" w:eastAsia="Times New Roman" w:hAnsi="Times New Roman"/>
          <w:sz w:val="28"/>
          <w:szCs w:val="28"/>
          <w:rtl w:val="0"/>
        </w:rPr>
        <w:t xml:space="preserve"> created a set of regression-based machine learning models for predicting urban fire risk based on historical fire incidents, emergency response data and proximity data. The framework was successful at estimating fire risk, but there were no quantitative accuracy metrics reported. The study can be useful to support Emergency Planning and Fire Management. It concentrates on urban setting and does not cover workplace accidents, IIoT sensor data and Explainable Artificial Intelligence techniques.</w:t>
      </w:r>
    </w:p>
    <w:p w:rsidR="00000000" w:rsidDel="00000000" w:rsidP="00000000" w:rsidRDefault="00000000" w:rsidRPr="00000000" w14:paraId="0000013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Pandey et al. (2025) [46]</w:t>
      </w:r>
      <w:r w:rsidDel="00000000" w:rsidR="00000000" w:rsidRPr="00000000">
        <w:rPr>
          <w:rFonts w:ascii="Times New Roman" w:cs="Times New Roman" w:eastAsia="Times New Roman" w:hAnsi="Times New Roman"/>
          <w:sz w:val="28"/>
          <w:szCs w:val="28"/>
          <w:rtl w:val="0"/>
        </w:rPr>
        <w:t xml:space="preserve"> introduced a comprehensive framework for predicting industrial accidents in steel manufacturing. The framework combined Bayesian Networks (BN), Random Forest (RF), Gradient Boosting Machine (GBM)/XGBoost, Natural Language Processing (NLP), Agent-Based Modeling (ABM), and Survival Analysis using steel industry incident data collected between 2018 and 2023. The Random Forest model achieved the highest performance with an AUC of 0.71. The framework effectively analyzed accident causes and severity, but it did not incorporate Explainable Artificial Intelligence techniques.</w:t>
      </w:r>
    </w:p>
    <w:p w:rsidR="00000000" w:rsidDel="00000000" w:rsidP="00000000" w:rsidRDefault="00000000" w:rsidRPr="00000000" w14:paraId="0000013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Li et al. (2025) [47]</w:t>
      </w:r>
      <w:r w:rsidDel="00000000" w:rsidR="00000000" w:rsidRPr="00000000">
        <w:rPr>
          <w:rFonts w:ascii="Times New Roman" w:cs="Times New Roman" w:eastAsia="Times New Roman" w:hAnsi="Times New Roman"/>
          <w:sz w:val="28"/>
          <w:szCs w:val="28"/>
          <w:rtl w:val="0"/>
        </w:rPr>
        <w:t xml:space="preserve"> studied a set of eight machine learning models for predicting unsafe behaviors in automated coal mining systems, and found that XGBoost model has the highest accuracy, using SHAP to interpret the model. Physiological data from simulated mining tasks was obtained from 50 participants and analyzed within the framework. The proposed model achieved 97.78% accuracy, 98.25% recall, and 97.86% F1-score. Integrating XGBoost and SHAP enhanced the accuracy and interpretability of their predictions. The study, however, was carried out with students from the university, and not industrial workers, thus restricting the generalizability of the findings in the real world.</w:t>
      </w:r>
    </w:p>
    <w:p w:rsidR="00000000" w:rsidDel="00000000" w:rsidP="00000000" w:rsidRDefault="00000000" w:rsidRPr="00000000" w14:paraId="0000013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Desikan et al. (2025) [48]</w:t>
      </w:r>
      <w:r w:rsidDel="00000000" w:rsidR="00000000" w:rsidRPr="00000000">
        <w:rPr>
          <w:rFonts w:ascii="Times New Roman" w:cs="Times New Roman" w:eastAsia="Times New Roman" w:hAnsi="Times New Roman"/>
          <w:sz w:val="28"/>
          <w:szCs w:val="28"/>
          <w:rtl w:val="0"/>
        </w:rPr>
        <w:t xml:space="preserve"> introduced a multi-sensor fusion, anomaly detection, probabilistic machine learning, and Dempster–Shafer Theory-based hybrid fault-tolerant IIoT framework. The framework used RGB, infrared, smoke, gas and flame data from oil and gas IIoT environments. No quantitative accuracy was reported but the framework greatly enhanced the reliability of fire prediction when some sensors were faulty. It has strong probabilistic sensor fusion, and its weakness is that it is a lack of workplace accident prediction and Explainable Artificial Intelligence.</w:t>
      </w:r>
    </w:p>
    <w:p w:rsidR="00000000" w:rsidDel="00000000" w:rsidP="00000000" w:rsidRDefault="00000000" w:rsidRPr="00000000" w14:paraId="0000013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Alam et al. (2025) [49] </w:t>
      </w:r>
      <w:r w:rsidDel="00000000" w:rsidR="00000000" w:rsidRPr="00000000">
        <w:rPr>
          <w:rFonts w:ascii="Times New Roman" w:cs="Times New Roman" w:eastAsia="Times New Roman" w:hAnsi="Times New Roman"/>
          <w:sz w:val="28"/>
          <w:szCs w:val="28"/>
          <w:rtl w:val="0"/>
        </w:rPr>
        <w:t xml:space="preserve">developed FireNet-CNN which detects real time forest fires using a lightweight explainable deep learning model. The model includes a niche convolutional neural network (CNN), data augmentation with stable diffusion, Grad-CAM, and Saliency Maps. The performance was compared with VGG16, VGG19, and InceptionV3. The first set of experiments involved Dataset A which contains 2,974 images of forest fire and non-fire incidents, and Dataset B, which consists of 3,400 images from 25 fire and non-fire videos before data augmentation. FireNet-CNN returned 99.05% accuracy, 99.41% precision, 98.28% recall, and 98.84% F1-score. The benefit of the framework is the lightweight design and the ability to provide visual explanations (which will show which parts of an image that influenced the fire prediction), which makes the framework fit for real time, and for constrained devices. The drawback of this model is that the focus was on forest fire images, and the model partially relied on synthetically created data, and the model was not validated with Industrial IIoT sensor data and does not cover workplace accident prediction.</w:t>
      </w:r>
    </w:p>
    <w:p w:rsidR="00000000" w:rsidDel="00000000" w:rsidP="00000000" w:rsidRDefault="00000000" w:rsidRPr="00000000" w14:paraId="0000013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Khairuddin et al. (2024) [50]</w:t>
      </w:r>
      <w:r w:rsidDel="00000000" w:rsidR="00000000" w:rsidRPr="00000000">
        <w:rPr>
          <w:rFonts w:ascii="Times New Roman" w:cs="Times New Roman" w:eastAsia="Times New Roman" w:hAnsi="Times New Roman"/>
          <w:sz w:val="28"/>
          <w:szCs w:val="28"/>
          <w:rtl w:val="0"/>
        </w:rPr>
        <w:t xml:space="preserve"> proposed a natural language processing system to predict severity of occupational injuries. The research has been performed on 83,294 OSHA injury narratives to differentiate TF-IDF, GloVe, optimized Bidirectional Long Short-Term Memory (Bi-LSTM), and some traditional machine learning algorithms. The optimized Bi-LSTM model performed with 95% accuracy in the hospitalization prediction task and 98% accuracy in the amputation prediction task. The proposed framework has shown good accuracy in textual injury analysis. But it only depends on reports after incidents and doesn't provide Real-Time monitoring in the IoT and industrial fire prediction.</w:t>
      </w:r>
    </w:p>
    <w:p w:rsidR="00000000" w:rsidDel="00000000" w:rsidP="00000000" w:rsidRDefault="00000000" w:rsidRPr="00000000" w14:paraId="0000013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Zhao et al. (2025) [51]</w:t>
      </w:r>
      <w:r w:rsidDel="00000000" w:rsidR="00000000" w:rsidRPr="00000000">
        <w:rPr>
          <w:rFonts w:ascii="Times New Roman" w:cs="Times New Roman" w:eastAsia="Times New Roman" w:hAnsi="Times New Roman"/>
          <w:sz w:val="28"/>
          <w:szCs w:val="28"/>
          <w:rtl w:val="0"/>
        </w:rPr>
        <w:t xml:space="preserve"> reviewed the most recent research trends in SHAP applications in the Explainable Artificial Intelligence domain, categorized under healthcare, finance, computer vision and industrial systems. There was no experimental data used in the study and hence no predictive performance metrics were reported. The survey showed that SHAP works well in increasing the transparency of the model and the interpretation of the features. But it did not develop an IIoT-based industrial fire prediction framework that includes SHAP.</w:t>
      </w:r>
    </w:p>
    <w:p w:rsidR="00000000" w:rsidDel="00000000" w:rsidP="00000000" w:rsidRDefault="00000000" w:rsidRPr="00000000" w14:paraId="00000140">
      <w:pPr>
        <w:pStyle w:val="Heading2"/>
        <w:rPr>
          <w:rFonts w:ascii="Times New Roman" w:cs="Times New Roman" w:eastAsia="Times New Roman" w:hAnsi="Times New Roman"/>
          <w:b w:val="1"/>
          <w:bCs w:val="1"/>
          <w:color w:val="000000"/>
        </w:rPr>
      </w:pPr>
      <w:bookmarkStart w:colFirst="0" w:colLast="0" w:name="_heading=h.wu7dd1lnmvre" w:id="28"/>
      <w:bookmarkEnd w:id="28"/>
      <w:r w:rsidDel="00000000" w:rsidR="00000000" w:rsidRPr="00000000">
        <w:rPr>
          <w:rFonts w:ascii="Times New Roman" w:cs="Times New Roman" w:eastAsia="Times New Roman" w:hAnsi="Times New Roman"/>
          <w:b w:val="1"/>
          <w:bCs w:val="1"/>
          <w:color w:val="000000"/>
          <w:rtl w:val="0"/>
        </w:rPr>
        <w:t xml:space="preserve">2.4 Related Work Summary </w:t>
      </w:r>
    </w:p>
    <w:p w:rsidR="00000000" w:rsidDel="00000000" w:rsidP="00000000" w:rsidRDefault="00000000" w:rsidRPr="00000000" w14:paraId="0000014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reviewed literature revealed great benefits of using machine learning (ML), deep learning (DL), Explainable Artificial Intelligence (XAI) and Industrial Internet of Things (IIoT) for better industrial safety which includes intelligent fire detection, prediction of accidents, severity of injuries and risk analysis. Recent research has demonstrated that using sensor networks together with sophisticated ML algorithms can significantly enhance the predictive accuracy and decrease false alarms. Furthermore, XAI methods, like SHAP, have improved the interpretability and reliability of predictive models, helping safety engineers to understand the models' decisions. Although these advances have been made, the majority of the research to date tends to look at one safety issue (e.g., fire detection or injury severity and only validate it for one sector of industry. In addition, there are many frameworks that either focus on prediction without explanation or explanation without IIoT monitoring, which leaves a gap in creating a comprehensive industrial safety system that incorporates IIoT sensing, multiple accident prediction, high performance machine learning, and explainable decision making.</w:t>
      </w:r>
    </w:p>
    <w:p w:rsidR="00000000" w:rsidDel="00000000" w:rsidP="00000000" w:rsidRDefault="00000000" w:rsidRPr="00000000" w14:paraId="0000014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Specifically, Desikan et al. [48] introduced a hybrid IIoT fire prediction framework by multi-sensor fusion based on MobileNet, EfficientNet, Random Forest, Support Vector Machine, Decision Tree and Dempster–Shafer Theory, and excellent prediction accuracy of 98.2% was obtained. Likewise, Milli and Milli [43]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[44] with the use of the Random Forest and boosting algorithms combined with SHAP, while Pandey et al. [46]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XGBoost and SHAP have been shown to achieve high accuracy in predicting unsafe worker behavior [44].</w:t>
      </w:r>
    </w:p>
    <w:p w:rsidR="00000000" w:rsidDel="00000000" w:rsidP="00000000" w:rsidRDefault="00000000" w:rsidRPr="00000000" w14:paraId="0000014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Other researchers studied the fire risk assessment in other fields. In the context of urban fires, Sharma et al. [45] have worked with regression-based machine learning models to predict fires, while Tan et al. [39] have used Bayesian Networks, MCMC and SHAP to build an explainable probabilistic model for assessing residential fire safety. Benderouach et al. [</w:t>
      </w:r>
      <w:r w:rsidDel="00000000" w:rsidR="00000000" w:rsidRPr="00000000">
        <w:rPr>
          <w:rFonts w:ascii="Times New Roman" w:cs="Times New Roman" w:eastAsia="Times New Roman" w:hAnsi="Times New Roman"/>
          <w:sz w:val="24"/>
          <w:szCs w:val="24"/>
          <w:rtl w:val="0"/>
        </w:rPr>
        <w:t xml:space="preserve">38</w:t>
      </w:r>
      <w:r w:rsidDel="00000000" w:rsidR="00000000" w:rsidRPr="00000000">
        <w:rPr>
          <w:rFonts w:ascii="Times New Roman" w:cs="Times New Roman" w:eastAsia="Times New Roman" w:hAnsi="Times New Roman"/>
          <w:sz w:val="28"/>
          <w:szCs w:val="28"/>
          <w:rtl w:val="0"/>
        </w:rPr>
        <w:t xml:space="preserve">] applied several machine learning algorithms to a prediction model for occupational accidents in the energy industry and found the best predictive algorithms to be Gradient Boosted Decision Trees and XGBoost. Desikan et al. [48] presented a fault tolerant IIoT sensor fusion scheme that realizes the consistent fire prediction even when some sensor is faulty. In a recent study, Manoah et al. [40] developed an AI-, IoT- and SHAP-based real-time fire prediction framework for fireworks industries, which has a prediction accuracy above 97.5% and gives interpretable prediction explanations.</w:t>
      </w:r>
    </w:p>
    <w:p w:rsidR="00000000" w:rsidDel="00000000" w:rsidP="00000000" w:rsidRDefault="00000000" w:rsidRPr="00000000" w14:paraId="0000014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literature also shows the increasing significance of Explainable Artificial Intelligence. Alsulamy et al. [</w:t>
      </w:r>
      <w:r w:rsidDel="00000000" w:rsidR="00000000" w:rsidRPr="00000000">
        <w:rPr>
          <w:rFonts w:ascii="Times New Roman" w:cs="Times New Roman" w:eastAsia="Times New Roman" w:hAnsi="Times New Roman"/>
          <w:sz w:val="24"/>
          <w:szCs w:val="24"/>
          <w:rtl w:val="0"/>
        </w:rPr>
        <w:t xml:space="preserve">41</w:t>
      </w:r>
      <w:r w:rsidDel="00000000" w:rsidR="00000000" w:rsidRPr="00000000">
        <w:rPr>
          <w:rFonts w:ascii="Times New Roman" w:cs="Times New Roman" w:eastAsia="Times New Roman" w:hAnsi="Times New Roman"/>
          <w:sz w:val="28"/>
          <w:szCs w:val="28"/>
          <w:rtl w:val="0"/>
        </w:rPr>
        <w:t xml:space="preserve">] integrated SHAP for the first time with KNN, SVM, Decision Tree, Random Forest, Gradient Boosting, and XGBoost topredict and provide an explanation for the severity of construction safety incidents. In a similar study, Alam et al. [49] designed FireNet-CNN and integrated Grad-CAM and Saliency Maps in order to give visual justification for predicting and detecting forest fire in real time. Zhao et al. [51] gave a comprehensive tutorial on SHAP and showed that it could be used to explain complex machine learning models in various fields, including healthcare, finance, computer vision and industrial applications. Alternatively, Jia et al. [37] created the MmodalFire dataset, which is publicly available, and a multimodal fusion framework for the integration of video, temperature, smoke density, infrared, and ultraviolet data pertaining to indoor fire detection. Even though the framework was able to successfully detect fire by fusing visual and physical sensors, it lacked XAI strategies and did not consider the prediction of workplace accidents.</w:t>
      </w:r>
    </w:p>
    <w:p w:rsidR="00000000" w:rsidDel="00000000" w:rsidP="00000000" w:rsidRDefault="00000000" w:rsidRPr="00000000" w14:paraId="0000014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summary, the literature confirms that considerable advances have been made in the field of using machine learning, IIoT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a large number of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IIoT, powerful machine learning models, and explainable AI techniques to simultaneously predict industrial fire and workplace accidents and offer interpretable, credible safety advice to the safety manager.</w:t>
      </w:r>
      <w:r w:rsidDel="00000000" w:rsidR="00000000" w:rsidRPr="00000000">
        <w:br w:type="page"/>
      </w:r>
      <w:r w:rsidDel="00000000" w:rsidR="00000000" w:rsidRPr="00000000">
        <w:rPr>
          <w:rtl w:val="0"/>
        </w:rPr>
      </w:r>
    </w:p>
    <w:p w:rsidR="00000000" w:rsidDel="00000000" w:rsidP="00000000" w:rsidRDefault="00000000" w:rsidRPr="00000000" w14:paraId="0000014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7">
      <w:pPr>
        <w:pStyle w:val="Heading3"/>
        <w:rPr>
          <w:b w:val="1"/>
          <w:bCs w:val="1"/>
          <w:color w:val="000000"/>
          <w:sz w:val="32"/>
          <w:szCs w:val="32"/>
        </w:rPr>
      </w:pPr>
      <w:bookmarkStart w:colFirst="0" w:colLast="0" w:name="_heading=h.itin3umh0xp6" w:id="29"/>
      <w:bookmarkEnd w:id="29"/>
      <w:r w:rsidDel="00000000" w:rsidR="00000000" w:rsidRPr="00000000">
        <w:rPr>
          <w:b w:val="1"/>
          <w:bCs w:val="1"/>
          <w:color w:val="000000"/>
          <w:sz w:val="32"/>
          <w:szCs w:val="32"/>
          <w:rtl w:val="0"/>
        </w:rPr>
        <w:t xml:space="preserve">Table 2.1 Summary of related work</w:t>
      </w:r>
    </w:p>
    <w:p w:rsidR="00000000" w:rsidDel="00000000" w:rsidP="00000000" w:rsidRDefault="00000000" w:rsidRPr="00000000" w14:paraId="00000148">
      <w:pPr>
        <w:keepNext w:val="1"/>
        <w:spacing w:after="60" w:before="40" w:lineRule="auto"/>
        <w:rPr/>
      </w:pPr>
      <w:r w:rsidDel="00000000" w:rsidR="00000000" w:rsidRPr="00000000">
        <w:rPr>
          <w:rtl w:val="0"/>
        </w:rPr>
      </w:r>
    </w:p>
    <w:tbl>
      <w:tblPr>
        <w:tblStyle w:val="Table3"/>
        <w:tblW w:w="11025.0" w:type="dxa"/>
        <w:jc w:val="left"/>
        <w:tblInd w:w="-8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0"/>
        <w:gridCol w:w="1245"/>
        <w:gridCol w:w="795"/>
        <w:gridCol w:w="1995"/>
        <w:gridCol w:w="1965"/>
        <w:gridCol w:w="2130"/>
        <w:gridCol w:w="2025"/>
        <w:tblGridChange w:id="0">
          <w:tblGrid>
            <w:gridCol w:w="870"/>
            <w:gridCol w:w="1245"/>
            <w:gridCol w:w="795"/>
            <w:gridCol w:w="1995"/>
            <w:gridCol w:w="1965"/>
            <w:gridCol w:w="2130"/>
            <w:gridCol w:w="2025"/>
          </w:tblGrid>
        </w:tblGridChange>
      </w:tblGrid>
      <w:tr>
        <w:trPr>
          <w:cantSplit w:val="0"/>
          <w:tblHeader w:val="1"/>
        </w:trPr>
        <w:tc>
          <w:tcPr>
            <w:vAlign w:val="bottom"/>
          </w:tcPr>
          <w:p w:rsidR="00000000" w:rsidDel="00000000" w:rsidP="00000000" w:rsidRDefault="00000000" w:rsidRPr="00000000" w14:paraId="00000149">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Ref.</w:t>
            </w:r>
          </w:p>
        </w:tc>
        <w:tc>
          <w:tcPr>
            <w:vAlign w:val="bottom"/>
          </w:tcPr>
          <w:p w:rsidR="00000000" w:rsidDel="00000000" w:rsidP="00000000" w:rsidRDefault="00000000" w:rsidRPr="00000000" w14:paraId="0000014A">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Author</w:t>
            </w:r>
          </w:p>
        </w:tc>
        <w:tc>
          <w:tcPr>
            <w:vAlign w:val="bottom"/>
          </w:tcPr>
          <w:p w:rsidR="00000000" w:rsidDel="00000000" w:rsidP="00000000" w:rsidRDefault="00000000" w:rsidRPr="00000000" w14:paraId="0000014B">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Year</w:t>
            </w:r>
          </w:p>
        </w:tc>
        <w:tc>
          <w:tcPr>
            <w:vAlign w:val="bottom"/>
          </w:tcPr>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Technique Used</w:t>
            </w:r>
          </w:p>
        </w:tc>
        <w:tc>
          <w:tcPr>
            <w:vAlign w:val="center"/>
          </w:tcPr>
          <w:p w:rsidR="00000000" w:rsidDel="00000000" w:rsidP="00000000" w:rsidRDefault="00000000" w:rsidRPr="00000000" w14:paraId="0000014D">
            <w:pPr>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Dataset and availability</w:t>
            </w:r>
          </w:p>
        </w:tc>
        <w:tc>
          <w:tcPr>
            <w:vAlign w:val="bottom"/>
          </w:tcPr>
          <w:p w:rsidR="00000000" w:rsidDel="00000000" w:rsidP="00000000" w:rsidRDefault="00000000" w:rsidRPr="00000000" w14:paraId="0000014E">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Accuracy</w:t>
            </w:r>
          </w:p>
        </w:tc>
        <w:tc>
          <w:tcPr>
            <w:vAlign w:val="bottom"/>
          </w:tcPr>
          <w:p w:rsidR="00000000" w:rsidDel="00000000" w:rsidP="00000000" w:rsidRDefault="00000000" w:rsidRPr="00000000" w14:paraId="0000014F">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Main Limitation</w:t>
            </w:r>
          </w:p>
        </w:tc>
      </w:tr>
      <w:tr>
        <w:trPr>
          <w:cantSplit w:val="1"/>
          <w:tblHeader w:val="0"/>
        </w:trPr>
        <w:tc>
          <w:tcPr>
            <w:vAlign w:val="center"/>
          </w:tcPr>
          <w:p w:rsidR="00000000" w:rsidDel="00000000" w:rsidP="00000000" w:rsidRDefault="00000000" w:rsidRPr="00000000" w14:paraId="0000015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w:t>
            </w:r>
          </w:p>
        </w:tc>
        <w:tc>
          <w:tcPr>
            <w:vAlign w:val="center"/>
          </w:tcPr>
          <w:p w:rsidR="00000000" w:rsidDel="00000000" w:rsidP="00000000" w:rsidRDefault="00000000" w:rsidRPr="00000000" w14:paraId="0000015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Jia et al.</w:t>
            </w:r>
          </w:p>
        </w:tc>
        <w:tc>
          <w:tcPr>
            <w:vAlign w:val="center"/>
          </w:tcPr>
          <w:p w:rsidR="00000000" w:rsidDel="00000000" w:rsidP="00000000" w:rsidRDefault="00000000" w:rsidRPr="00000000" w14:paraId="0000015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5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TSN-MobileNetV2, Transformer Encoder, MMTM, XFusionBlock, and multimodal sensor–video fusion</w:t>
            </w:r>
          </w:p>
        </w:tc>
        <w:tc>
          <w:tcPr>
            <w:vAlign w:val="center"/>
          </w:tcPr>
          <w:p w:rsidR="00000000" w:rsidDel="00000000" w:rsidP="00000000" w:rsidRDefault="00000000" w:rsidRPr="00000000" w14:paraId="00000154">
            <w:pPr>
              <w:rPr>
                <w:sz w:val="24"/>
                <w:szCs w:val="24"/>
              </w:rPr>
            </w:pPr>
            <w:r w:rsidDel="00000000" w:rsidR="00000000" w:rsidRPr="00000000">
              <w:rPr>
                <w:rFonts w:ascii="Times New Roman" w:cs="Times New Roman" w:eastAsia="Times New Roman" w:hAnsi="Times New Roman"/>
                <w:sz w:val="24"/>
                <w:szCs w:val="24"/>
                <w:rtl w:val="0"/>
              </w:rPr>
              <w:t xml:space="preserve">MmodalFire (public; Springer Nature Figshare, DOI: 10.6084/m9.figshare.28804448): 65 synchronized videos, six physical-sensor streams, and more than 700 minutes of recordings.</w:t>
            </w:r>
            <w:r w:rsidDel="00000000" w:rsidR="00000000" w:rsidRPr="00000000">
              <w:rPr>
                <w:rtl w:val="0"/>
              </w:rPr>
            </w:r>
          </w:p>
        </w:tc>
        <w:tc>
          <w:tcPr>
            <w:vAlign w:val="center"/>
          </w:tcPr>
          <w:p w:rsidR="00000000" w:rsidDel="00000000" w:rsidP="00000000" w:rsidRDefault="00000000" w:rsidRPr="00000000" w14:paraId="0000015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93.2% accuracy, 94.3% precision, 96.1% recall, and 95.2% F1-score</w:t>
            </w:r>
          </w:p>
        </w:tc>
        <w:tc>
          <w:tcPr>
            <w:vAlign w:val="center"/>
          </w:tcPr>
          <w:p w:rsidR="00000000" w:rsidDel="00000000" w:rsidP="00000000" w:rsidRDefault="00000000" w:rsidRPr="00000000" w14:paraId="0000015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Conducted under controlled indoor laboratory conditions; not validated in actual industrial IIoT environments and does not incorporate XAI or workplace accident prediction</w:t>
            </w:r>
          </w:p>
        </w:tc>
      </w:tr>
      <w:tr>
        <w:trPr>
          <w:cantSplit w:val="1"/>
          <w:tblHeader w:val="0"/>
        </w:trPr>
        <w:tc>
          <w:tcPr>
            <w:vAlign w:val="center"/>
          </w:tcPr>
          <w:p w:rsidR="00000000" w:rsidDel="00000000" w:rsidP="00000000" w:rsidRDefault="00000000" w:rsidRPr="00000000" w14:paraId="0000015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w:t>
            </w:r>
          </w:p>
        </w:tc>
        <w:tc>
          <w:tcPr>
            <w:vAlign w:val="center"/>
          </w:tcPr>
          <w:p w:rsidR="00000000" w:rsidDel="00000000" w:rsidP="00000000" w:rsidRDefault="00000000" w:rsidRPr="00000000" w14:paraId="0000015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Benderouach et al.</w:t>
            </w:r>
          </w:p>
        </w:tc>
        <w:tc>
          <w:tcPr>
            <w:vAlign w:val="center"/>
          </w:tcPr>
          <w:p w:rsidR="00000000" w:rsidDel="00000000" w:rsidP="00000000" w:rsidRDefault="00000000" w:rsidRPr="00000000" w14:paraId="0000015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5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Logistic Regression, DT, RF, SVM, GBDT, XGBoost</w:t>
            </w:r>
          </w:p>
        </w:tc>
        <w:tc>
          <w:tcPr>
            <w:vAlign w:val="center"/>
          </w:tcPr>
          <w:p w:rsidR="00000000" w:rsidDel="00000000" w:rsidP="00000000" w:rsidRDefault="00000000" w:rsidRPr="00000000" w14:paraId="0000015B">
            <w:pPr>
              <w:rPr>
                <w:sz w:val="24"/>
                <w:szCs w:val="24"/>
              </w:rPr>
            </w:pPr>
            <w:r w:rsidDel="00000000" w:rsidR="00000000" w:rsidRPr="00000000">
              <w:rPr>
                <w:rFonts w:ascii="Times New Roman" w:cs="Times New Roman" w:eastAsia="Times New Roman" w:hAnsi="Times New Roman"/>
                <w:sz w:val="24"/>
                <w:szCs w:val="24"/>
                <w:rtl w:val="0"/>
              </w:rPr>
              <w:t xml:space="preserve">OSHA Accident and Injury Data 15-17 (public; Kaggle): file OSHA HSE DATA_ALL ABSTRACTS 15-17_FINAL.csv; 4,739 records.</w:t>
            </w:r>
            <w:r w:rsidDel="00000000" w:rsidR="00000000" w:rsidRPr="00000000">
              <w:rPr>
                <w:rtl w:val="0"/>
              </w:rPr>
            </w:r>
          </w:p>
        </w:tc>
        <w:tc>
          <w:tcPr>
            <w:vAlign w:val="center"/>
          </w:tcPr>
          <w:p w:rsidR="00000000" w:rsidDel="00000000" w:rsidP="00000000" w:rsidRDefault="00000000" w:rsidRPr="00000000" w14:paraId="0000015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GBDT and XGBoost achieved the best predictive performance (</w:t>
            </w:r>
            <w:r w:rsidDel="00000000" w:rsidR="00000000" w:rsidRPr="00000000">
              <w:rPr>
                <w:rFonts w:ascii="Times New Roman" w:cs="Times New Roman" w:eastAsia="Times New Roman" w:hAnsi="Times New Roman"/>
                <w:b w:val="1"/>
                <w:bCs w:val="1"/>
                <w:sz w:val="24"/>
                <w:szCs w:val="24"/>
                <w:rtl w:val="0"/>
              </w:rPr>
              <w:t xml:space="preserve">Metrics not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5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industrial fire prediction, IIoT integration, or Explainable AI.</w:t>
            </w:r>
          </w:p>
        </w:tc>
      </w:tr>
      <w:tr>
        <w:trPr>
          <w:cantSplit w:val="1"/>
          <w:tblHeader w:val="0"/>
        </w:trPr>
        <w:tc>
          <w:tcPr>
            <w:vAlign w:val="center"/>
          </w:tcPr>
          <w:p w:rsidR="00000000" w:rsidDel="00000000" w:rsidP="00000000" w:rsidRDefault="00000000" w:rsidRPr="00000000" w14:paraId="0000015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w:t>
            </w:r>
          </w:p>
        </w:tc>
        <w:tc>
          <w:tcPr>
            <w:vAlign w:val="center"/>
          </w:tcPr>
          <w:p w:rsidR="00000000" w:rsidDel="00000000" w:rsidP="00000000" w:rsidRDefault="00000000" w:rsidRPr="00000000" w14:paraId="0000015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Tan et al.</w:t>
            </w:r>
          </w:p>
        </w:tc>
        <w:tc>
          <w:tcPr>
            <w:vAlign w:val="center"/>
          </w:tcPr>
          <w:p w:rsidR="00000000" w:rsidDel="00000000" w:rsidP="00000000" w:rsidRDefault="00000000" w:rsidRPr="00000000" w14:paraId="0000016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6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Bayesian Network, MCMC, SHAP</w:t>
            </w:r>
          </w:p>
        </w:tc>
        <w:tc>
          <w:tcPr>
            <w:vAlign w:val="center"/>
          </w:tcPr>
          <w:p w:rsidR="00000000" w:rsidDel="00000000" w:rsidP="00000000" w:rsidRDefault="00000000" w:rsidRPr="00000000" w14:paraId="000001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Fire safety data from seven high-rise residential buildings across five countries</w:t>
            </w:r>
          </w:p>
          <w:p w:rsidR="00000000" w:rsidDel="00000000" w:rsidP="00000000" w:rsidRDefault="00000000" w:rsidRPr="00000000" w14:paraId="000001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16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Identified key fire-risk factors (</w:t>
            </w:r>
            <w:r w:rsidDel="00000000" w:rsidR="00000000" w:rsidRPr="00000000">
              <w:rPr>
                <w:rFonts w:ascii="Times New Roman" w:cs="Times New Roman" w:eastAsia="Times New Roman" w:hAnsi="Times New Roman"/>
                <w:b w:val="1"/>
                <w:bCs w:val="1"/>
                <w:sz w:val="24"/>
                <w:szCs w:val="24"/>
                <w:rtl w:val="0"/>
              </w:rPr>
              <w:t xml:space="preserve">No quantitative metrics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6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to residential buildings; not applicable to industrial environments.</w:t>
            </w:r>
          </w:p>
        </w:tc>
      </w:tr>
      <w:tr>
        <w:trPr>
          <w:cantSplit w:val="1"/>
          <w:tblHeader w:val="0"/>
        </w:trPr>
        <w:tc>
          <w:tcPr>
            <w:vAlign w:val="center"/>
          </w:tcPr>
          <w:p w:rsidR="00000000" w:rsidDel="00000000" w:rsidP="00000000" w:rsidRDefault="00000000" w:rsidRPr="00000000" w14:paraId="0000016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w:t>
            </w:r>
          </w:p>
        </w:tc>
        <w:tc>
          <w:tcPr>
            <w:vAlign w:val="center"/>
          </w:tcPr>
          <w:p w:rsidR="00000000" w:rsidDel="00000000" w:rsidP="00000000" w:rsidRDefault="00000000" w:rsidRPr="00000000" w14:paraId="0000016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Manoah et al.</w:t>
            </w:r>
          </w:p>
        </w:tc>
        <w:tc>
          <w:tcPr>
            <w:vAlign w:val="center"/>
          </w:tcPr>
          <w:p w:rsidR="00000000" w:rsidDel="00000000" w:rsidP="00000000" w:rsidRDefault="00000000" w:rsidRPr="00000000" w14:paraId="0000016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6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IoT, SHAP, FastAPI-based ML prediction framework</w:t>
            </w:r>
          </w:p>
        </w:tc>
        <w:tc>
          <w:tcPr>
            <w:vAlign w:val="center"/>
          </w:tcPr>
          <w:p w:rsidR="00000000" w:rsidDel="00000000" w:rsidP="00000000" w:rsidRDefault="00000000" w:rsidRPr="00000000" w14:paraId="000001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Real-time temperature, humidity, gas concentration, and motion sensor data from the fireworks industry</w:t>
            </w:r>
          </w:p>
        </w:tc>
        <w:tc>
          <w:tcPr>
            <w:vAlign w:val="center"/>
          </w:tcPr>
          <w:p w:rsidR="00000000" w:rsidDel="00000000" w:rsidP="00000000" w:rsidRDefault="00000000" w:rsidRPr="00000000" w14:paraId="0000016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&gt;97.5%</w:t>
            </w:r>
          </w:p>
        </w:tc>
        <w:tc>
          <w:tcPr>
            <w:vAlign w:val="center"/>
          </w:tcPr>
          <w:p w:rsidR="00000000" w:rsidDel="00000000" w:rsidP="00000000" w:rsidRDefault="00000000" w:rsidRPr="00000000" w14:paraId="0000016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Validated only in fireworks manufacturing; requires testing in other high-risk industrial sectors.</w:t>
            </w:r>
          </w:p>
        </w:tc>
      </w:tr>
      <w:tr>
        <w:trPr>
          <w:cantSplit w:val="1"/>
          <w:tblHeader w:val="0"/>
        </w:trPr>
        <w:tc>
          <w:tcPr>
            <w:vAlign w:val="center"/>
          </w:tcPr>
          <w:p w:rsidR="00000000" w:rsidDel="00000000" w:rsidP="00000000" w:rsidRDefault="00000000" w:rsidRPr="00000000" w14:paraId="0000016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w:t>
            </w:r>
          </w:p>
        </w:tc>
        <w:tc>
          <w:tcPr>
            <w:vAlign w:val="center"/>
          </w:tcPr>
          <w:p w:rsidR="00000000" w:rsidDel="00000000" w:rsidP="00000000" w:rsidRDefault="00000000" w:rsidRPr="00000000" w14:paraId="0000016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Alsulamy et al.</w:t>
            </w:r>
          </w:p>
        </w:tc>
        <w:tc>
          <w:tcPr>
            <w:vAlign w:val="center"/>
          </w:tcPr>
          <w:p w:rsidR="00000000" w:rsidDel="00000000" w:rsidP="00000000" w:rsidRDefault="00000000" w:rsidRPr="00000000" w14:paraId="0000017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7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KNN, SVM, DT, RF, GB, XGBoost, and SHAP</w:t>
            </w:r>
          </w:p>
        </w:tc>
        <w:tc>
          <w:tcPr>
            <w:vAlign w:val="center"/>
          </w:tcPr>
          <w:p w:rsidR="00000000" w:rsidDel="00000000" w:rsidP="00000000" w:rsidRDefault="00000000" w:rsidRPr="00000000" w14:paraId="000001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203 construction safety incidents from Saudi Arabia, 2018–2024, with 14 variables</w:t>
            </w:r>
          </w:p>
        </w:tc>
        <w:tc>
          <w:tcPr>
            <w:vAlign w:val="center"/>
          </w:tcPr>
          <w:p w:rsidR="00000000" w:rsidDel="00000000" w:rsidP="00000000" w:rsidRDefault="00000000" w:rsidRPr="00000000" w14:paraId="0000017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89%</w:t>
            </w:r>
            <w:r w:rsidDel="00000000" w:rsidR="00000000" w:rsidRPr="00000000">
              <w:rPr>
                <w:rtl w:val="0"/>
              </w:rPr>
            </w:r>
          </w:p>
        </w:tc>
        <w:tc>
          <w:tcPr>
            <w:vAlign w:val="center"/>
          </w:tcPr>
          <w:p w:rsidR="00000000" w:rsidDel="00000000" w:rsidP="00000000" w:rsidRDefault="00000000" w:rsidRPr="00000000" w14:paraId="00000174">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dataset limited to two Saudi regions; no real-time IIoT sensors or fire prediction</w:t>
            </w:r>
          </w:p>
        </w:tc>
      </w:tr>
      <w:tr>
        <w:trPr>
          <w:cantSplit w:val="1"/>
          <w:tblHeader w:val="0"/>
        </w:trPr>
        <w:tc>
          <w:tcPr>
            <w:vAlign w:val="center"/>
          </w:tcPr>
          <w:p w:rsidR="00000000" w:rsidDel="00000000" w:rsidP="00000000" w:rsidRDefault="00000000" w:rsidRPr="00000000" w14:paraId="0000017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w:t>
            </w:r>
          </w:p>
        </w:tc>
        <w:tc>
          <w:tcPr>
            <w:vAlign w:val="center"/>
          </w:tcPr>
          <w:p w:rsidR="00000000" w:rsidDel="00000000" w:rsidP="00000000" w:rsidRDefault="00000000" w:rsidRPr="00000000" w14:paraId="0000017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Desikan et al.</w:t>
            </w:r>
          </w:p>
        </w:tc>
        <w:tc>
          <w:tcPr>
            <w:vAlign w:val="center"/>
          </w:tcPr>
          <w:p w:rsidR="00000000" w:rsidDel="00000000" w:rsidP="00000000" w:rsidRDefault="00000000" w:rsidRPr="00000000" w14:paraId="0000017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7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MobileNet, EfficientNet, Random Forest (RF), Support Vector Machine (SVM), Decision Tree (DT), Dempster–Shafer Theory</w:t>
            </w:r>
          </w:p>
        </w:tc>
        <w:tc>
          <w:tcPr>
            <w:vAlign w:val="center"/>
          </w:tcPr>
          <w:p w:rsidR="00000000" w:rsidDel="00000000" w:rsidP="00000000" w:rsidRDefault="00000000" w:rsidRPr="00000000" w14:paraId="00000179">
            <w:pPr>
              <w:rPr>
                <w:sz w:val="24"/>
                <w:szCs w:val="24"/>
              </w:rPr>
            </w:pPr>
            <w:r w:rsidDel="00000000" w:rsidR="00000000" w:rsidRPr="00000000">
              <w:rPr>
                <w:rFonts w:ascii="Times New Roman" w:cs="Times New Roman" w:eastAsia="Times New Roman" w:hAnsi="Times New Roman"/>
                <w:sz w:val="24"/>
                <w:szCs w:val="24"/>
                <w:rtl w:val="0"/>
              </w:rPr>
              <w:t xml:space="preserve">No formal dataset name. RGB, IR, MQ-135 gas, MQ-2 smoke, and KY-026 flame-sensor data; </w:t>
            </w:r>
            <w:r w:rsidDel="00000000" w:rsidR="00000000" w:rsidRPr="00000000">
              <w:rPr>
                <w:rtl w:val="0"/>
              </w:rPr>
            </w:r>
          </w:p>
        </w:tc>
        <w:tc>
          <w:tcPr>
            <w:vAlign w:val="center"/>
          </w:tcPr>
          <w:p w:rsidR="00000000" w:rsidDel="00000000" w:rsidP="00000000" w:rsidRDefault="00000000" w:rsidRPr="00000000" w14:paraId="0000017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98.2%, </w:t>
            </w:r>
            <w:r w:rsidDel="00000000" w:rsidR="00000000" w:rsidRPr="00000000">
              <w:rPr>
                <w:rFonts w:ascii="Times New Roman" w:cs="Times New Roman" w:eastAsia="Times New Roman" w:hAnsi="Times New Roman"/>
                <w:b w:val="1"/>
                <w:bCs w:val="1"/>
                <w:sz w:val="24"/>
                <w:szCs w:val="24"/>
                <w:rtl w:val="0"/>
              </w:rPr>
              <w:t xml:space="preserve">Precision:</w:t>
            </w:r>
            <w:r w:rsidDel="00000000" w:rsidR="00000000" w:rsidRPr="00000000">
              <w:rPr>
                <w:rFonts w:ascii="Times New Roman" w:cs="Times New Roman" w:eastAsia="Times New Roman" w:hAnsi="Times New Roman"/>
                <w:sz w:val="24"/>
                <w:szCs w:val="24"/>
                <w:rtl w:val="0"/>
              </w:rPr>
              <w:t xml:space="preserve"> 98.5%, </w:t>
            </w: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98.3%</w:t>
            </w:r>
          </w:p>
        </w:tc>
        <w:tc>
          <w:tcPr>
            <w:vAlign w:val="center"/>
          </w:tcPr>
          <w:p w:rsidR="00000000" w:rsidDel="00000000" w:rsidP="00000000" w:rsidRDefault="00000000" w:rsidRPr="00000000" w14:paraId="0000017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Focused only on industrial fire prediction; no workplace accident prediction or Explainable AI (XAI).</w:t>
            </w:r>
          </w:p>
        </w:tc>
      </w:tr>
      <w:tr>
        <w:trPr>
          <w:cantSplit w:val="1"/>
          <w:tblHeader w:val="0"/>
        </w:trPr>
        <w:tc>
          <w:tcPr>
            <w:vAlign w:val="center"/>
          </w:tcPr>
          <w:p w:rsidR="00000000" w:rsidDel="00000000" w:rsidP="00000000" w:rsidRDefault="00000000" w:rsidRPr="00000000" w14:paraId="0000017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w:t>
            </w:r>
          </w:p>
        </w:tc>
        <w:tc>
          <w:tcPr>
            <w:vAlign w:val="center"/>
          </w:tcPr>
          <w:p w:rsidR="00000000" w:rsidDel="00000000" w:rsidP="00000000" w:rsidRDefault="00000000" w:rsidRPr="00000000" w14:paraId="0000017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Milli and Milli</w:t>
            </w:r>
          </w:p>
        </w:tc>
        <w:tc>
          <w:tcPr>
            <w:vAlign w:val="center"/>
          </w:tcPr>
          <w:p w:rsidR="00000000" w:rsidDel="00000000" w:rsidP="00000000" w:rsidRDefault="00000000" w:rsidRPr="00000000" w14:paraId="0000017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7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DT, SVM, XGBoost, Logistic Regression, 1D-CNN, LSTM</w:t>
            </w:r>
          </w:p>
        </w:tc>
        <w:tc>
          <w:tcPr>
            <w:vAlign w:val="center"/>
          </w:tcPr>
          <w:p w:rsidR="00000000" w:rsidDel="00000000" w:rsidP="00000000" w:rsidRDefault="00000000" w:rsidRPr="00000000" w14:paraId="00000180">
            <w:pPr>
              <w:rPr>
                <w:sz w:val="24"/>
                <w:szCs w:val="24"/>
              </w:rPr>
            </w:pPr>
            <w:r w:rsidDel="00000000" w:rsidR="00000000" w:rsidRPr="00000000">
              <w:rPr>
                <w:rFonts w:ascii="Times New Roman" w:cs="Times New Roman" w:eastAsia="Times New Roman" w:hAnsi="Times New Roman"/>
                <w:sz w:val="24"/>
                <w:szCs w:val="24"/>
                <w:rtl w:val="0"/>
              </w:rPr>
              <w:t xml:space="preserve">No formal dataset name. 12,030 readings from eight BME688 gas sensors</w:t>
            </w:r>
            <w:r w:rsidDel="00000000" w:rsidR="00000000" w:rsidRPr="00000000">
              <w:rPr>
                <w:rtl w:val="0"/>
              </w:rPr>
            </w:r>
          </w:p>
        </w:tc>
        <w:tc>
          <w:tcPr>
            <w:vAlign w:val="center"/>
          </w:tcPr>
          <w:p w:rsidR="00000000" w:rsidDel="00000000" w:rsidP="00000000" w:rsidRDefault="00000000" w:rsidRPr="00000000" w14:paraId="0000018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Precision:</w:t>
            </w:r>
            <w:r w:rsidDel="00000000" w:rsidR="00000000" w:rsidRPr="00000000">
              <w:rPr>
                <w:rFonts w:ascii="Times New Roman" w:cs="Times New Roman" w:eastAsia="Times New Roman" w:hAnsi="Times New Roman"/>
                <w:sz w:val="24"/>
                <w:szCs w:val="24"/>
                <w:rtl w:val="0"/>
              </w:rPr>
              <w:t xml:space="preserve"> 1.00, </w:t>
            </w: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1.00</w:t>
            </w:r>
          </w:p>
        </w:tc>
        <w:tc>
          <w:tcPr>
            <w:vAlign w:val="center"/>
          </w:tcPr>
          <w:p w:rsidR="00000000" w:rsidDel="00000000" w:rsidP="00000000" w:rsidRDefault="00000000" w:rsidRPr="00000000" w14:paraId="0000018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Evaluated only in controlled indoor laboratory conditions.</w:t>
            </w:r>
          </w:p>
        </w:tc>
      </w:tr>
      <w:tr>
        <w:trPr>
          <w:cantSplit w:val="1"/>
          <w:tblHeader w:val="0"/>
        </w:trPr>
        <w:tc>
          <w:tcPr>
            <w:vAlign w:val="center"/>
          </w:tcPr>
          <w:p w:rsidR="00000000" w:rsidDel="00000000" w:rsidP="00000000" w:rsidRDefault="00000000" w:rsidRPr="00000000" w14:paraId="0000018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w:t>
            </w:r>
          </w:p>
        </w:tc>
        <w:tc>
          <w:tcPr>
            <w:vAlign w:val="center"/>
          </w:tcPr>
          <w:p w:rsidR="00000000" w:rsidDel="00000000" w:rsidP="00000000" w:rsidRDefault="00000000" w:rsidRPr="00000000" w14:paraId="00000184">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Obasi and Benson</w:t>
            </w:r>
          </w:p>
        </w:tc>
        <w:tc>
          <w:tcPr>
            <w:vAlign w:val="center"/>
          </w:tcPr>
          <w:p w:rsidR="00000000" w:rsidDel="00000000" w:rsidP="00000000" w:rsidRDefault="00000000" w:rsidRPr="00000000" w14:paraId="0000018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8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NLP, SVD, RF, GBM, XGBoost, Logistic Regression, SHAP</w:t>
            </w:r>
          </w:p>
        </w:tc>
        <w:tc>
          <w:tcPr>
            <w:vAlign w:val="center"/>
          </w:tcPr>
          <w:p w:rsidR="00000000" w:rsidDel="00000000" w:rsidP="00000000" w:rsidRDefault="00000000" w:rsidRPr="00000000" w14:paraId="00000187">
            <w:pPr>
              <w:spacing w:after="160" w:line="259"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2,645 OSHA accident reports (2015–2024)</w:t>
            </w:r>
          </w:p>
        </w:tc>
        <w:tc>
          <w:tcPr>
            <w:vAlign w:val="center"/>
          </w:tcPr>
          <w:p w:rsidR="00000000" w:rsidDel="00000000" w:rsidP="00000000" w:rsidRDefault="00000000" w:rsidRPr="00000000" w14:paraId="0000018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F1-score:</w:t>
            </w:r>
            <w:r w:rsidDel="00000000" w:rsidR="00000000" w:rsidRPr="00000000">
              <w:rPr>
                <w:rFonts w:ascii="Times New Roman" w:cs="Times New Roman" w:eastAsia="Times New Roman" w:hAnsi="Times New Roman"/>
                <w:sz w:val="24"/>
                <w:szCs w:val="24"/>
                <w:rtl w:val="0"/>
              </w:rPr>
              <w:t xml:space="preserve"> 0.94, </w:t>
            </w: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0.95</w:t>
            </w:r>
          </w:p>
        </w:tc>
        <w:tc>
          <w:tcPr>
            <w:vAlign w:val="center"/>
          </w:tcPr>
          <w:p w:rsidR="00000000" w:rsidDel="00000000" w:rsidP="00000000" w:rsidRDefault="00000000" w:rsidRPr="00000000" w14:paraId="0000018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to occupational injury severity prediction; no IIoT integration or industrial fire prediction.</w:t>
            </w:r>
          </w:p>
        </w:tc>
      </w:tr>
      <w:tr>
        <w:trPr>
          <w:cantSplit w:val="1"/>
          <w:tblHeader w:val="0"/>
        </w:trPr>
        <w:tc>
          <w:tcPr>
            <w:vAlign w:val="center"/>
          </w:tcPr>
          <w:p w:rsidR="00000000" w:rsidDel="00000000" w:rsidP="00000000" w:rsidRDefault="00000000" w:rsidRPr="00000000" w14:paraId="0000018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w:t>
            </w:r>
          </w:p>
        </w:tc>
        <w:tc>
          <w:tcPr>
            <w:vAlign w:val="center"/>
          </w:tcPr>
          <w:p w:rsidR="00000000" w:rsidDel="00000000" w:rsidP="00000000" w:rsidRDefault="00000000" w:rsidRPr="00000000" w14:paraId="0000018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Sharma et al.</w:t>
            </w:r>
          </w:p>
        </w:tc>
        <w:tc>
          <w:tcPr>
            <w:vAlign w:val="center"/>
          </w:tcPr>
          <w:p w:rsidR="00000000" w:rsidDel="00000000" w:rsidP="00000000" w:rsidRDefault="00000000" w:rsidRPr="00000000" w14:paraId="0000018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8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Regression-based Machine Learning Models</w:t>
            </w:r>
          </w:p>
        </w:tc>
        <w:tc>
          <w:tcPr>
            <w:vAlign w:val="center"/>
          </w:tcPr>
          <w:p w:rsidR="00000000" w:rsidDel="00000000" w:rsidP="00000000" w:rsidRDefault="00000000" w:rsidRPr="00000000" w14:paraId="000001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Historical fire incidents, emergency response records, and proximity data</w:t>
            </w:r>
          </w:p>
        </w:tc>
        <w:tc>
          <w:tcPr>
            <w:vAlign w:val="center"/>
          </w:tcPr>
          <w:p w:rsidR="00000000" w:rsidDel="00000000" w:rsidP="00000000" w:rsidRDefault="00000000" w:rsidRPr="00000000" w14:paraId="0000018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Effective fire-risk estimation (</w:t>
            </w:r>
            <w:r w:rsidDel="00000000" w:rsidR="00000000" w:rsidRPr="00000000">
              <w:rPr>
                <w:rFonts w:ascii="Times New Roman" w:cs="Times New Roman" w:eastAsia="Times New Roman" w:hAnsi="Times New Roman"/>
                <w:b w:val="1"/>
                <w:bCs w:val="1"/>
                <w:sz w:val="24"/>
                <w:szCs w:val="24"/>
                <w:rtl w:val="0"/>
              </w:rPr>
              <w:t xml:space="preserve">Accuracy not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9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Designed for urban fire management only; excludes IIoT and industrial workplace safety.</w:t>
            </w:r>
          </w:p>
        </w:tc>
      </w:tr>
      <w:tr>
        <w:trPr>
          <w:cantSplit w:val="1"/>
          <w:tblHeader w:val="0"/>
        </w:trPr>
        <w:tc>
          <w:tcPr>
            <w:vAlign w:val="center"/>
          </w:tcPr>
          <w:p w:rsidR="00000000" w:rsidDel="00000000" w:rsidP="00000000" w:rsidRDefault="00000000" w:rsidRPr="00000000" w14:paraId="0000019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w:t>
            </w:r>
          </w:p>
        </w:tc>
        <w:tc>
          <w:tcPr>
            <w:vAlign w:val="center"/>
          </w:tcPr>
          <w:p w:rsidR="00000000" w:rsidDel="00000000" w:rsidP="00000000" w:rsidRDefault="00000000" w:rsidRPr="00000000" w14:paraId="0000019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Pandey et al.</w:t>
            </w:r>
          </w:p>
        </w:tc>
        <w:tc>
          <w:tcPr>
            <w:vAlign w:val="center"/>
          </w:tcPr>
          <w:p w:rsidR="00000000" w:rsidDel="00000000" w:rsidP="00000000" w:rsidRDefault="00000000" w:rsidRPr="00000000" w14:paraId="0000019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94">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Bayesian Network (BN), RF, GBM/XGBoost, NLP, Agent-Based Modeling (ABM), Survival Analysis</w:t>
            </w:r>
          </w:p>
        </w:tc>
        <w:tc>
          <w:tcPr>
            <w:vAlign w:val="center"/>
          </w:tcPr>
          <w:p w:rsidR="00000000" w:rsidDel="00000000" w:rsidP="00000000" w:rsidRDefault="00000000" w:rsidRPr="00000000" w14:paraId="000001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Steel industry accident records (2018–2023)</w:t>
            </w:r>
          </w:p>
        </w:tc>
        <w:tc>
          <w:tcPr>
            <w:vAlign w:val="center"/>
          </w:tcPr>
          <w:p w:rsidR="00000000" w:rsidDel="00000000" w:rsidP="00000000" w:rsidRDefault="00000000" w:rsidRPr="00000000" w14:paraId="0000019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0.71</w:t>
            </w:r>
          </w:p>
        </w:tc>
        <w:tc>
          <w:tcPr>
            <w:vAlign w:val="center"/>
          </w:tcPr>
          <w:p w:rsidR="00000000" w:rsidDel="00000000" w:rsidP="00000000" w:rsidRDefault="00000000" w:rsidRPr="00000000" w14:paraId="0000019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Comprehensive framework but lacks dedicated Explainable AI techniques.</w:t>
            </w:r>
          </w:p>
        </w:tc>
      </w:tr>
      <w:tr>
        <w:trPr>
          <w:cantSplit w:val="1"/>
          <w:tblHeader w:val="0"/>
        </w:trPr>
        <w:tc>
          <w:tcPr>
            <w:vAlign w:val="center"/>
          </w:tcPr>
          <w:p w:rsidR="00000000" w:rsidDel="00000000" w:rsidP="00000000" w:rsidRDefault="00000000" w:rsidRPr="00000000" w14:paraId="0000019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w:t>
            </w:r>
          </w:p>
        </w:tc>
        <w:tc>
          <w:tcPr>
            <w:vAlign w:val="center"/>
          </w:tcPr>
          <w:p w:rsidR="00000000" w:rsidDel="00000000" w:rsidP="00000000" w:rsidRDefault="00000000" w:rsidRPr="00000000" w14:paraId="0000019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 et al.</w:t>
            </w:r>
          </w:p>
        </w:tc>
        <w:tc>
          <w:tcPr>
            <w:vAlign w:val="center"/>
          </w:tcPr>
          <w:p w:rsidR="00000000" w:rsidDel="00000000" w:rsidP="00000000" w:rsidRDefault="00000000" w:rsidRPr="00000000" w14:paraId="0000019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9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Eight ML models, XGBoost, SHAP</w:t>
            </w:r>
          </w:p>
        </w:tc>
        <w:tc>
          <w:tcPr>
            <w:vAlign w:val="center"/>
          </w:tcPr>
          <w:p w:rsidR="00000000" w:rsidDel="00000000" w:rsidP="00000000" w:rsidRDefault="00000000" w:rsidRPr="00000000" w14:paraId="000001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Physiological data collected from 50 participants performing simulated coal-mining tasks</w:t>
            </w:r>
          </w:p>
        </w:tc>
        <w:tc>
          <w:tcPr>
            <w:vAlign w:val="center"/>
          </w:tcPr>
          <w:p w:rsidR="00000000" w:rsidDel="00000000" w:rsidP="00000000" w:rsidRDefault="00000000" w:rsidRPr="00000000" w14:paraId="0000019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97.78%, </w:t>
            </w: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98.25%, </w:t>
            </w:r>
            <w:r w:rsidDel="00000000" w:rsidR="00000000" w:rsidRPr="00000000">
              <w:rPr>
                <w:rFonts w:ascii="Times New Roman" w:cs="Times New Roman" w:eastAsia="Times New Roman" w:hAnsi="Times New Roman"/>
                <w:b w:val="1"/>
                <w:bCs w:val="1"/>
                <w:sz w:val="24"/>
                <w:szCs w:val="24"/>
                <w:rtl w:val="0"/>
              </w:rPr>
              <w:t xml:space="preserve">F1-score:</w:t>
            </w:r>
            <w:r w:rsidDel="00000000" w:rsidR="00000000" w:rsidRPr="00000000">
              <w:rPr>
                <w:rFonts w:ascii="Times New Roman" w:cs="Times New Roman" w:eastAsia="Times New Roman" w:hAnsi="Times New Roman"/>
                <w:sz w:val="24"/>
                <w:szCs w:val="24"/>
                <w:rtl w:val="0"/>
              </w:rPr>
              <w:t xml:space="preserve"> 97.86%</w:t>
            </w:r>
          </w:p>
        </w:tc>
        <w:tc>
          <w:tcPr>
            <w:vAlign w:val="center"/>
          </w:tcPr>
          <w:p w:rsidR="00000000" w:rsidDel="00000000" w:rsidP="00000000" w:rsidRDefault="00000000" w:rsidRPr="00000000" w14:paraId="0000019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Simulation involved university students rather than industrial workers, limiting generalizability.</w:t>
            </w:r>
          </w:p>
        </w:tc>
      </w:tr>
      <w:tr>
        <w:trPr>
          <w:cantSplit w:val="1"/>
          <w:tblHeader w:val="0"/>
        </w:trPr>
        <w:tc>
          <w:tcPr>
            <w:vAlign w:val="center"/>
          </w:tcPr>
          <w:p w:rsidR="00000000" w:rsidDel="00000000" w:rsidP="00000000" w:rsidRDefault="00000000" w:rsidRPr="00000000" w14:paraId="0000019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w:t>
            </w:r>
          </w:p>
        </w:tc>
        <w:tc>
          <w:tcPr>
            <w:vAlign w:val="center"/>
          </w:tcPr>
          <w:p w:rsidR="00000000" w:rsidDel="00000000" w:rsidP="00000000" w:rsidRDefault="00000000" w:rsidRPr="00000000" w14:paraId="000001A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Desikan et al.</w:t>
            </w:r>
          </w:p>
        </w:tc>
        <w:tc>
          <w:tcPr>
            <w:vAlign w:val="center"/>
          </w:tcPr>
          <w:p w:rsidR="00000000" w:rsidDel="00000000" w:rsidP="00000000" w:rsidRDefault="00000000" w:rsidRPr="00000000" w14:paraId="000001A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A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Multi-sensor fusion, anomaly detection, ML-based probabilistic adjustment, Dempster–Shafer Theory</w:t>
            </w:r>
          </w:p>
        </w:tc>
        <w:tc>
          <w:tcPr>
            <w:vAlign w:val="center"/>
          </w:tcPr>
          <w:p w:rsidR="00000000" w:rsidDel="00000000" w:rsidP="00000000" w:rsidRDefault="00000000" w:rsidRPr="00000000" w14:paraId="000001A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No formal dataset name. </w:t>
            </w:r>
            <w:r w:rsidDel="00000000" w:rsidR="00000000" w:rsidRPr="00000000">
              <w:rPr>
                <w:rFonts w:ascii="Times New Roman" w:cs="Times New Roman" w:eastAsia="Times New Roman" w:hAnsi="Times New Roman"/>
                <w:rtl w:val="0"/>
              </w:rPr>
              <w:t xml:space="preserve">RGB, infrared, smoke, gas, and flame sensor data from oil &amp; gas IIoT environments</w:t>
            </w:r>
          </w:p>
          <w:p w:rsidR="00000000" w:rsidDel="00000000" w:rsidP="00000000" w:rsidRDefault="00000000" w:rsidRPr="00000000" w14:paraId="000001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1A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Improved fire prediction reliability under faulty sensor conditions (</w:t>
            </w:r>
            <w:r w:rsidDel="00000000" w:rsidR="00000000" w:rsidRPr="00000000">
              <w:rPr>
                <w:rFonts w:ascii="Times New Roman" w:cs="Times New Roman" w:eastAsia="Times New Roman" w:hAnsi="Times New Roman"/>
                <w:b w:val="1"/>
                <w:bCs w:val="1"/>
                <w:sz w:val="24"/>
                <w:szCs w:val="24"/>
                <w:rtl w:val="0"/>
              </w:rPr>
              <w:t xml:space="preserve">No quantitative metrics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A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Focused only on industrial fire detection; no workplace accident prediction or SHAP explanations.</w:t>
            </w:r>
          </w:p>
        </w:tc>
      </w:tr>
      <w:tr>
        <w:trPr>
          <w:cantSplit w:val="1"/>
          <w:tblHeader w:val="0"/>
        </w:trPr>
        <w:tc>
          <w:tcPr>
            <w:vAlign w:val="center"/>
          </w:tcPr>
          <w:p w:rsidR="00000000" w:rsidDel="00000000" w:rsidP="00000000" w:rsidRDefault="00000000" w:rsidRPr="00000000" w14:paraId="000001A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w:t>
            </w:r>
          </w:p>
        </w:tc>
        <w:tc>
          <w:tcPr>
            <w:vAlign w:val="center"/>
          </w:tcPr>
          <w:p w:rsidR="00000000" w:rsidDel="00000000" w:rsidP="00000000" w:rsidRDefault="00000000" w:rsidRPr="00000000" w14:paraId="000001A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Alam et al.</w:t>
            </w:r>
          </w:p>
        </w:tc>
        <w:tc>
          <w:tcPr>
            <w:vAlign w:val="center"/>
          </w:tcPr>
          <w:p w:rsidR="00000000" w:rsidDel="00000000" w:rsidP="00000000" w:rsidRDefault="00000000" w:rsidRPr="00000000" w14:paraId="000001A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A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FireNet-CNN, Stable Diffusion, Grad-CAM, and Saliency Maps</w:t>
            </w:r>
          </w:p>
        </w:tc>
        <w:tc>
          <w:tcPr>
            <w:vAlign w:val="center"/>
          </w:tcPr>
          <w:p w:rsidR="00000000" w:rsidDel="00000000" w:rsidP="00000000" w:rsidRDefault="00000000" w:rsidRPr="00000000" w14:paraId="000001AC">
            <w:pPr>
              <w:spacing w:after="160" w:line="259" w:lineRule="auto"/>
              <w:jc w:val="center"/>
              <w:rPr>
                <w:sz w:val="24"/>
                <w:szCs w:val="24"/>
              </w:rPr>
            </w:pPr>
            <w:r w:rsidDel="00000000" w:rsidR="00000000" w:rsidRPr="00000000">
              <w:rPr>
                <w:rFonts w:ascii="Times New Roman" w:cs="Times New Roman" w:eastAsia="Times New Roman" w:hAnsi="Times New Roman"/>
                <w:rtl w:val="0"/>
              </w:rPr>
              <w:t xml:space="preserve">Dataset A: 2,974 images; Dataset B: 3,400 images from 25 videos before augmentation</w:t>
            </w:r>
            <w:r w:rsidDel="00000000" w:rsidR="00000000" w:rsidRPr="00000000">
              <w:rPr>
                <w:rtl w:val="0"/>
              </w:rPr>
            </w:r>
          </w:p>
        </w:tc>
        <w:tc>
          <w:tcPr>
            <w:vAlign w:val="center"/>
          </w:tcPr>
          <w:p w:rsidR="00000000" w:rsidDel="00000000" w:rsidP="00000000" w:rsidRDefault="00000000" w:rsidRPr="00000000" w14:paraId="000001A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99.05%</w:t>
            </w:r>
            <w:r w:rsidDel="00000000" w:rsidR="00000000" w:rsidRPr="00000000">
              <w:rPr>
                <w:rtl w:val="0"/>
              </w:rPr>
            </w:r>
          </w:p>
        </w:tc>
        <w:tc>
          <w:tcPr>
            <w:vAlign w:val="center"/>
          </w:tcPr>
          <w:p w:rsidR="00000000" w:rsidDel="00000000" w:rsidP="00000000" w:rsidRDefault="00000000" w:rsidRPr="00000000" w14:paraId="000001A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Focuses on forest-fire images and synthetic augmentation; no industrial IIoT sensors or accident prediction</w:t>
            </w:r>
          </w:p>
        </w:tc>
      </w:tr>
      <w:tr>
        <w:trPr>
          <w:cantSplit w:val="1"/>
          <w:tblHeader w:val="0"/>
        </w:trPr>
        <w:tc>
          <w:tcPr>
            <w:vAlign w:val="center"/>
          </w:tcPr>
          <w:p w:rsidR="00000000" w:rsidDel="00000000" w:rsidP="00000000" w:rsidRDefault="00000000" w:rsidRPr="00000000" w14:paraId="000001A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w:t>
            </w:r>
          </w:p>
        </w:tc>
        <w:tc>
          <w:tcPr>
            <w:vAlign w:val="center"/>
          </w:tcPr>
          <w:p w:rsidR="00000000" w:rsidDel="00000000" w:rsidP="00000000" w:rsidRDefault="00000000" w:rsidRPr="00000000" w14:paraId="000001B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Khairuddin et al.</w:t>
            </w:r>
          </w:p>
        </w:tc>
        <w:tc>
          <w:tcPr>
            <w:vAlign w:val="center"/>
          </w:tcPr>
          <w:p w:rsidR="00000000" w:rsidDel="00000000" w:rsidP="00000000" w:rsidRDefault="00000000" w:rsidRPr="00000000" w14:paraId="000001B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2024</w:t>
            </w:r>
          </w:p>
        </w:tc>
        <w:tc>
          <w:tcPr>
            <w:vAlign w:val="center"/>
          </w:tcPr>
          <w:p w:rsidR="00000000" w:rsidDel="00000000" w:rsidP="00000000" w:rsidRDefault="00000000" w:rsidRPr="00000000" w14:paraId="000001B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TF-IDF, GloVe, optimized Bi-LSTM, Naïve Bayes, KNN, DT, SVM, RF</w:t>
            </w:r>
          </w:p>
        </w:tc>
        <w:tc>
          <w:tcPr>
            <w:vAlign w:val="center"/>
          </w:tcPr>
          <w:p w:rsidR="00000000" w:rsidDel="00000000" w:rsidP="00000000" w:rsidRDefault="00000000" w:rsidRPr="00000000" w14:paraId="000001B3">
            <w:pPr>
              <w:rPr>
                <w:sz w:val="24"/>
                <w:szCs w:val="24"/>
              </w:rPr>
            </w:pPr>
            <w:r w:rsidDel="00000000" w:rsidR="00000000" w:rsidRPr="00000000">
              <w:rPr>
                <w:sz w:val="24"/>
                <w:szCs w:val="24"/>
                <w:rtl w:val="0"/>
              </w:rPr>
              <w:t xml:space="preserve">83,294 OSHA occupational injury narratives</w:t>
            </w:r>
          </w:p>
          <w:p w:rsidR="00000000" w:rsidDel="00000000" w:rsidP="00000000" w:rsidRDefault="00000000" w:rsidRPr="00000000" w14:paraId="000001B4">
            <w:pPr>
              <w:rPr>
                <w:sz w:val="24"/>
                <w:szCs w:val="24"/>
              </w:rPr>
            </w:pPr>
            <w:r w:rsidDel="00000000" w:rsidR="00000000" w:rsidRPr="00000000">
              <w:rPr>
                <w:rtl w:val="0"/>
              </w:rPr>
            </w:r>
          </w:p>
        </w:tc>
        <w:tc>
          <w:tcPr>
            <w:vAlign w:val="center"/>
          </w:tcPr>
          <w:p w:rsidR="00000000" w:rsidDel="00000000" w:rsidP="00000000" w:rsidRDefault="00000000" w:rsidRPr="00000000" w14:paraId="000001B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95% (Hospitalization), </w:t>
            </w: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98% (Amputation)</w:t>
            </w:r>
          </w:p>
        </w:tc>
        <w:tc>
          <w:tcPr>
            <w:vAlign w:val="center"/>
          </w:tcPr>
          <w:p w:rsidR="00000000" w:rsidDel="00000000" w:rsidP="00000000" w:rsidRDefault="00000000" w:rsidRPr="00000000" w14:paraId="000001B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Uses post-incident textual reports only; no real-time IIoT monitoring or industrial fire prediction.</w:t>
            </w:r>
          </w:p>
        </w:tc>
      </w:tr>
      <w:tr>
        <w:trPr>
          <w:cantSplit w:val="1"/>
          <w:tblHeader w:val="0"/>
        </w:trPr>
        <w:tc>
          <w:tcPr>
            <w:vAlign w:val="center"/>
          </w:tcPr>
          <w:p w:rsidR="00000000" w:rsidDel="00000000" w:rsidP="00000000" w:rsidRDefault="00000000" w:rsidRPr="00000000" w14:paraId="000001B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w:t>
            </w:r>
          </w:p>
        </w:tc>
        <w:tc>
          <w:tcPr>
            <w:vAlign w:val="center"/>
          </w:tcPr>
          <w:p w:rsidR="00000000" w:rsidDel="00000000" w:rsidP="00000000" w:rsidRDefault="00000000" w:rsidRPr="00000000" w14:paraId="000001B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Zhao et al.</w:t>
            </w:r>
          </w:p>
        </w:tc>
        <w:tc>
          <w:tcPr>
            <w:vAlign w:val="center"/>
          </w:tcPr>
          <w:p w:rsidR="00000000" w:rsidDel="00000000" w:rsidP="00000000" w:rsidRDefault="00000000" w:rsidRPr="00000000" w14:paraId="000001B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B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 (Shapley Value)</w:t>
            </w:r>
          </w:p>
        </w:tc>
        <w:tc>
          <w:tcPr>
            <w:vAlign w:val="center"/>
          </w:tcPr>
          <w:p w:rsidR="00000000" w:rsidDel="00000000" w:rsidP="00000000" w:rsidRDefault="00000000" w:rsidRPr="00000000" w14:paraId="000001BB">
            <w:pPr>
              <w:rPr>
                <w:sz w:val="24"/>
                <w:szCs w:val="24"/>
              </w:rPr>
            </w:pPr>
            <w:r w:rsidDel="00000000" w:rsidR="00000000" w:rsidRPr="00000000">
              <w:rPr>
                <w:sz w:val="24"/>
                <w:szCs w:val="24"/>
                <w:rtl w:val="0"/>
              </w:rPr>
              <w:t xml:space="preserve">No formal dataset name, Literature survey across healthcare, finance, computer vision, and industrial applications</w:t>
            </w:r>
          </w:p>
          <w:p w:rsidR="00000000" w:rsidDel="00000000" w:rsidP="00000000" w:rsidRDefault="00000000" w:rsidRPr="00000000" w14:paraId="000001BC">
            <w:pPr>
              <w:rPr>
                <w:sz w:val="24"/>
                <w:szCs w:val="24"/>
              </w:rPr>
            </w:pPr>
            <w:r w:rsidDel="00000000" w:rsidR="00000000" w:rsidRPr="00000000">
              <w:rPr>
                <w:rtl w:val="0"/>
              </w:rPr>
            </w:r>
          </w:p>
        </w:tc>
        <w:tc>
          <w:tcPr>
            <w:vAlign w:val="center"/>
          </w:tcPr>
          <w:p w:rsidR="00000000" w:rsidDel="00000000" w:rsidP="00000000" w:rsidRDefault="00000000" w:rsidRPr="00000000" w14:paraId="000001B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Demonstrated the effectiveness of SHAP for model interpretability</w:t>
            </w:r>
          </w:p>
        </w:tc>
        <w:tc>
          <w:tcPr>
            <w:vAlign w:val="center"/>
          </w:tcPr>
          <w:p w:rsidR="00000000" w:rsidDel="00000000" w:rsidP="00000000" w:rsidRDefault="00000000" w:rsidRPr="00000000" w14:paraId="000001B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Methodological survey without an IIoT-based industrial implementation.</w:t>
            </w:r>
          </w:p>
        </w:tc>
      </w:tr>
    </w:tbl>
    <w:p w:rsidR="00000000" w:rsidDel="00000000" w:rsidP="00000000" w:rsidRDefault="00000000" w:rsidRPr="00000000" w14:paraId="000001BF">
      <w:pPr>
        <w:pStyle w:val="Heading1"/>
        <w:rPr>
          <w:b w:val="1"/>
          <w:bCs w:val="1"/>
          <w:color w:val="000000"/>
        </w:rPr>
      </w:pPr>
      <w:bookmarkStart w:colFirst="0" w:colLast="0" w:name="_heading=h.r4sac0y11er" w:id="30"/>
      <w:bookmarkEnd w:id="30"/>
      <w:r w:rsidDel="00000000" w:rsidR="00000000" w:rsidRPr="00000000">
        <w:br w:type="page"/>
      </w:r>
      <w:r w:rsidDel="00000000" w:rsidR="00000000" w:rsidRPr="00000000">
        <w:rPr>
          <w:rtl w:val="0"/>
        </w:rPr>
      </w:r>
    </w:p>
    <w:p w:rsidR="00000000" w:rsidDel="00000000" w:rsidP="00000000" w:rsidRDefault="00000000" w:rsidRPr="00000000" w14:paraId="000001C0">
      <w:pPr>
        <w:pStyle w:val="Heading1"/>
        <w:rPr>
          <w:b w:val="1"/>
          <w:bCs w:val="1"/>
          <w:color w:val="000000"/>
        </w:rPr>
      </w:pPr>
      <w:bookmarkStart w:colFirst="0" w:colLast="0" w:name="_heading=h.ekjbwbkv541x" w:id="31"/>
      <w:bookmarkEnd w:id="31"/>
      <w:r w:rsidDel="00000000" w:rsidR="00000000" w:rsidRPr="00000000">
        <w:rPr>
          <w:b w:val="1"/>
          <w:bCs w:val="1"/>
          <w:color w:val="000000"/>
          <w:rtl w:val="0"/>
        </w:rPr>
        <w:t xml:space="preserve">References:</w:t>
      </w:r>
    </w:p>
    <w:p w:rsidR="00000000" w:rsidDel="00000000" w:rsidP="00000000" w:rsidRDefault="00000000" w:rsidRPr="00000000" w14:paraId="000001C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 R. Md Zin, A. I. Che Ani, N. ‘A. Mhd Noh, F. W. Akashah, and Z. Mat Daud, “Integrating IoT technology in fire safety management: Addressing readiness, acceptance and implementation challenges,” paperASIA, vol. 41, no. 4b, pp. 11–23, 2025, </w:t>
      </w:r>
      <w:r w:rsidDel="00000000" w:rsidR="00000000" w:rsidRPr="00000000">
        <w:rPr>
          <w:rFonts w:ascii="Times New Roman" w:cs="Times New Roman" w:eastAsia="Times New Roman" w:hAnsi="Times New Roman"/>
          <w:b w:val="1"/>
          <w:bCs w:val="1"/>
          <w:sz w:val="24"/>
          <w:szCs w:val="24"/>
          <w:rtl w:val="0"/>
        </w:rPr>
        <w:t xml:space="preserve">doi: 10.59953/paperasia.v41i4b.399.</w:t>
      </w:r>
    </w:p>
    <w:p w:rsidR="00000000" w:rsidDel="00000000" w:rsidP="00000000" w:rsidRDefault="00000000" w:rsidRPr="00000000" w14:paraId="000001C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 S. Moosavi, M. Farajzadeh-Zanjani, R. Razavi-Far, V. Palade, and M. Saif, “Explainable AI in manufacturing and industrial cyber–physical systems: A survey,” Electronics, vol. 13, no. 17, Art. no. 3497, 2024, </w:t>
      </w:r>
      <w:r w:rsidDel="00000000" w:rsidR="00000000" w:rsidRPr="00000000">
        <w:rPr>
          <w:rFonts w:ascii="Times New Roman" w:cs="Times New Roman" w:eastAsia="Times New Roman" w:hAnsi="Times New Roman"/>
          <w:b w:val="1"/>
          <w:bCs w:val="1"/>
          <w:sz w:val="24"/>
          <w:szCs w:val="24"/>
          <w:rtl w:val="0"/>
        </w:rPr>
        <w:t xml:space="preserve">doi: 10.3390/electronics13173497. </w:t>
      </w:r>
    </w:p>
    <w:p w:rsidR="00000000" w:rsidDel="00000000" w:rsidP="00000000" w:rsidRDefault="00000000" w:rsidRPr="00000000" w14:paraId="000001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 Ranganathan and S. Sujatha, "Occupational Accidents and Need for Worker Safety in Manufacturing and High Risk Industries – An Explorative Study With Solutions," </w:t>
      </w:r>
      <w:r w:rsidDel="00000000" w:rsidR="00000000" w:rsidRPr="00000000">
        <w:rPr>
          <w:rFonts w:ascii="Times New Roman" w:cs="Times New Roman" w:eastAsia="Times New Roman" w:hAnsi="Times New Roman"/>
          <w:i w:val="1"/>
          <w:iCs w:val="1"/>
          <w:sz w:val="24"/>
          <w:szCs w:val="24"/>
          <w:rtl w:val="0"/>
        </w:rPr>
        <w:t xml:space="preserve">International Journal of Professional Business Review</w:t>
      </w:r>
      <w:r w:rsidDel="00000000" w:rsidR="00000000" w:rsidRPr="00000000">
        <w:rPr>
          <w:rFonts w:ascii="Times New Roman" w:cs="Times New Roman" w:eastAsia="Times New Roman" w:hAnsi="Times New Roman"/>
          <w:sz w:val="24"/>
          <w:szCs w:val="24"/>
          <w:rtl w:val="0"/>
        </w:rPr>
        <w:t xml:space="preserve">, vol. 7, no. 6, Art. no. e0670, Dec. 2022, doi: </w:t>
      </w:r>
      <w:r w:rsidDel="00000000" w:rsidR="00000000" w:rsidRPr="00000000">
        <w:rPr>
          <w:rFonts w:ascii="Times New Roman" w:cs="Times New Roman" w:eastAsia="Times New Roman" w:hAnsi="Times New Roman"/>
          <w:b w:val="1"/>
          <w:bCs w:val="1"/>
          <w:sz w:val="24"/>
          <w:szCs w:val="24"/>
          <w:rtl w:val="0"/>
        </w:rPr>
        <w:t xml:space="preserve">10.26668/businessreview/2022.v7i6.e670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C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A. J.-P. Tixier, M. R. Hallowell, B. Rajagopalan, and D. Bowman, “Application of machine learning to construction injury prediction,” Automation in Construction, vol. 69, pp. 102–114, 2016, </w:t>
      </w:r>
      <w:r w:rsidDel="00000000" w:rsidR="00000000" w:rsidRPr="00000000">
        <w:rPr>
          <w:rFonts w:ascii="Times New Roman" w:cs="Times New Roman" w:eastAsia="Times New Roman" w:hAnsi="Times New Roman"/>
          <w:b w:val="1"/>
          <w:bCs w:val="1"/>
          <w:sz w:val="24"/>
          <w:szCs w:val="24"/>
          <w:rtl w:val="0"/>
        </w:rPr>
        <w:t xml:space="preserve">doi: 10.1016/j.autcon.2016.04.012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D. Clever, "The Influence of Artificial Intelligence and Machine Learning Expertise on the Analytical Decision-Making Capabilities of Data Analysts in Complex Organizational Environments," Jan. 2026.</w:t>
      </w:r>
    </w:p>
    <w:p w:rsidR="00000000" w:rsidDel="00000000" w:rsidP="00000000" w:rsidRDefault="00000000" w:rsidRPr="00000000" w14:paraId="000001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N. Y. Hussain, B. Austin, A. B. Ige, P. A. Adepoju, O. O. Amoo, and A. I. Afolabi, "AI-driven predictive analytics for proactive security and optimization in critical infrastructure systems," </w:t>
      </w:r>
      <w:r w:rsidDel="00000000" w:rsidR="00000000" w:rsidRPr="00000000">
        <w:rPr>
          <w:rFonts w:ascii="Times New Roman" w:cs="Times New Roman" w:eastAsia="Times New Roman" w:hAnsi="Times New Roman"/>
          <w:i w:val="1"/>
          <w:iCs w:val="1"/>
          <w:sz w:val="24"/>
          <w:szCs w:val="24"/>
          <w:rtl w:val="0"/>
        </w:rPr>
        <w:t xml:space="preserve">Open Access Research Journal of Science and Technology</w:t>
      </w:r>
      <w:r w:rsidDel="00000000" w:rsidR="00000000" w:rsidRPr="00000000">
        <w:rPr>
          <w:rFonts w:ascii="Times New Roman" w:cs="Times New Roman" w:eastAsia="Times New Roman" w:hAnsi="Times New Roman"/>
          <w:sz w:val="24"/>
          <w:szCs w:val="24"/>
          <w:rtl w:val="0"/>
        </w:rPr>
        <w:t xml:space="preserve">, vol. 2, no. 2, pp. 6–15, Oct. 2021, doi: </w:t>
      </w:r>
      <w:r w:rsidDel="00000000" w:rsidR="00000000" w:rsidRPr="00000000">
        <w:rPr>
          <w:rFonts w:ascii="Times New Roman" w:cs="Times New Roman" w:eastAsia="Times New Roman" w:hAnsi="Times New Roman"/>
          <w:b w:val="1"/>
          <w:bCs w:val="1"/>
          <w:sz w:val="24"/>
          <w:szCs w:val="24"/>
          <w:rtl w:val="0"/>
        </w:rPr>
        <w:t xml:space="preserve">10.53022/oarjst.2021.2.2.0059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C7">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[7] S. Afrin, S. J. Rafa, M. Kabir, T. Farah, M. S. B. Alam, A. Lameesa, S. F. Ahmed, and A. H. Gandomi, "Industrial Internet of Things: Implementations, challenges, and potential solutions across various industries," </w:t>
      </w:r>
      <w:r w:rsidDel="00000000" w:rsidR="00000000" w:rsidRPr="00000000">
        <w:rPr>
          <w:rFonts w:ascii="Times New Roman" w:cs="Times New Roman" w:eastAsia="Times New Roman" w:hAnsi="Times New Roman"/>
          <w:i w:val="1"/>
          <w:iCs w:val="1"/>
          <w:sz w:val="24"/>
          <w:szCs w:val="24"/>
          <w:rtl w:val="0"/>
        </w:rPr>
        <w:t xml:space="preserve">Computers in Industry</w:t>
      </w:r>
      <w:r w:rsidDel="00000000" w:rsidR="00000000" w:rsidRPr="00000000">
        <w:rPr>
          <w:rFonts w:ascii="Times New Roman" w:cs="Times New Roman" w:eastAsia="Times New Roman" w:hAnsi="Times New Roman"/>
          <w:sz w:val="24"/>
          <w:szCs w:val="24"/>
          <w:rtl w:val="0"/>
        </w:rPr>
        <w:t xml:space="preserve">, vol. 170, Art. no. 104317, Sep. 2025,</w:t>
      </w:r>
      <w:r w:rsidDel="00000000" w:rsidR="00000000" w:rsidRPr="00000000">
        <w:rPr>
          <w:rFonts w:ascii="Times New Roman" w:cs="Times New Roman" w:eastAsia="Times New Roman" w:hAnsi="Times New Roman"/>
          <w:b w:val="1"/>
          <w:bCs w:val="1"/>
          <w:sz w:val="24"/>
          <w:szCs w:val="24"/>
          <w:rtl w:val="0"/>
        </w:rPr>
        <w:t xml:space="preserve"> doi: 10.1016/j.compind.2025.104317.</w:t>
      </w:r>
    </w:p>
    <w:p w:rsidR="00000000" w:rsidDel="00000000" w:rsidP="00000000" w:rsidRDefault="00000000" w:rsidRPr="00000000" w14:paraId="000001C8">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[8] G. Sakthi Balan, V. Santhosh Kumar, and S. Aravind Raj, "Machine learning and artificial intelligence methods and applications for post-crisis supply chain resiliency and recovery," </w:t>
      </w:r>
      <w:r w:rsidDel="00000000" w:rsidR="00000000" w:rsidRPr="00000000">
        <w:rPr>
          <w:rFonts w:ascii="Times New Roman" w:cs="Times New Roman" w:eastAsia="Times New Roman" w:hAnsi="Times New Roman"/>
          <w:i w:val="1"/>
          <w:iCs w:val="1"/>
          <w:sz w:val="24"/>
          <w:szCs w:val="24"/>
          <w:rtl w:val="0"/>
        </w:rPr>
        <w:t xml:space="preserve">Supply Chain Analytics</w:t>
      </w:r>
      <w:r w:rsidDel="00000000" w:rsidR="00000000" w:rsidRPr="00000000">
        <w:rPr>
          <w:rFonts w:ascii="Times New Roman" w:cs="Times New Roman" w:eastAsia="Times New Roman" w:hAnsi="Times New Roman"/>
          <w:sz w:val="24"/>
          <w:szCs w:val="24"/>
          <w:rtl w:val="0"/>
        </w:rPr>
        <w:t xml:space="preserve">, vol. 10, Art. no. 100121, Jun. 2025, </w:t>
      </w:r>
      <w:r w:rsidDel="00000000" w:rsidR="00000000" w:rsidRPr="00000000">
        <w:rPr>
          <w:rFonts w:ascii="Times New Roman" w:cs="Times New Roman" w:eastAsia="Times New Roman" w:hAnsi="Times New Roman"/>
          <w:b w:val="1"/>
          <w:bCs w:val="1"/>
          <w:sz w:val="24"/>
          <w:szCs w:val="24"/>
          <w:rtl w:val="0"/>
        </w:rPr>
        <w:t xml:space="preserve">doi: 10.1016/j.sca.2025.100121.</w:t>
      </w:r>
    </w:p>
    <w:p w:rsidR="00000000" w:rsidDel="00000000" w:rsidP="00000000" w:rsidRDefault="00000000" w:rsidRPr="00000000" w14:paraId="000001C9">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[9] G. K. Amuah, G. E. Djanetey, B. B. Effah, J. Whajah, E. Attarbo, and G. E. Kpedzroku, "Integration of Artificial Intelligence (AI) and Internet of Things (IoT) for Hazard Detection and Accident Prevention in Mining," </w:t>
      </w:r>
      <w:r w:rsidDel="00000000" w:rsidR="00000000" w:rsidRPr="00000000">
        <w:rPr>
          <w:rFonts w:ascii="Times New Roman" w:cs="Times New Roman" w:eastAsia="Times New Roman" w:hAnsi="Times New Roman"/>
          <w:i w:val="1"/>
          <w:iCs w:val="1"/>
          <w:sz w:val="24"/>
          <w:szCs w:val="24"/>
          <w:rtl w:val="0"/>
        </w:rPr>
        <w:t xml:space="preserve">World Journal of Advanced Engineering Technology and Sciences</w:t>
      </w:r>
      <w:r w:rsidDel="00000000" w:rsidR="00000000" w:rsidRPr="00000000">
        <w:rPr>
          <w:rFonts w:ascii="Times New Roman" w:cs="Times New Roman" w:eastAsia="Times New Roman" w:hAnsi="Times New Roman"/>
          <w:sz w:val="24"/>
          <w:szCs w:val="24"/>
          <w:rtl w:val="0"/>
        </w:rPr>
        <w:t xml:space="preserve">, vol. 17, no. 2, Nov. 2025, </w:t>
      </w:r>
      <w:r w:rsidDel="00000000" w:rsidR="00000000" w:rsidRPr="00000000">
        <w:rPr>
          <w:rFonts w:ascii="Times New Roman" w:cs="Times New Roman" w:eastAsia="Times New Roman" w:hAnsi="Times New Roman"/>
          <w:b w:val="1"/>
          <w:bCs w:val="1"/>
          <w:sz w:val="24"/>
          <w:szCs w:val="24"/>
          <w:rtl w:val="0"/>
        </w:rPr>
        <w:t xml:space="preserve">doi: 10.30574/WJAETS.2025.17.2.1484.</w:t>
      </w:r>
    </w:p>
    <w:p w:rsidR="00000000" w:rsidDel="00000000" w:rsidP="00000000" w:rsidRDefault="00000000" w:rsidRPr="00000000" w14:paraId="000001CA">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[10] A. Haleem, M. Javaid, and R. P. Singh, "Encouraging Safety 4.0 to enhance industrial culture: An extensive study of its technologies, roles, and challenges," </w:t>
      </w:r>
      <w:r w:rsidDel="00000000" w:rsidR="00000000" w:rsidRPr="00000000">
        <w:rPr>
          <w:rFonts w:ascii="Times New Roman" w:cs="Times New Roman" w:eastAsia="Times New Roman" w:hAnsi="Times New Roman"/>
          <w:i w:val="1"/>
          <w:iCs w:val="1"/>
          <w:sz w:val="24"/>
          <w:szCs w:val="24"/>
          <w:rtl w:val="0"/>
        </w:rPr>
        <w:t xml:space="preserve">Green Technologies and Sustainability</w:t>
      </w:r>
      <w:r w:rsidDel="00000000" w:rsidR="00000000" w:rsidRPr="00000000">
        <w:rPr>
          <w:rFonts w:ascii="Times New Roman" w:cs="Times New Roman" w:eastAsia="Times New Roman" w:hAnsi="Times New Roman"/>
          <w:sz w:val="24"/>
          <w:szCs w:val="24"/>
          <w:rtl w:val="0"/>
        </w:rPr>
        <w:t xml:space="preserve">, vol. 3, no. 3, Art. no. 100158, Jul. 2025, </w:t>
      </w:r>
      <w:r w:rsidDel="00000000" w:rsidR="00000000" w:rsidRPr="00000000">
        <w:rPr>
          <w:rFonts w:ascii="Times New Roman" w:cs="Times New Roman" w:eastAsia="Times New Roman" w:hAnsi="Times New Roman"/>
          <w:b w:val="1"/>
          <w:bCs w:val="1"/>
          <w:sz w:val="24"/>
          <w:szCs w:val="24"/>
          <w:rtl w:val="0"/>
        </w:rPr>
        <w:t xml:space="preserve">doi: 10.1016/j.grets.2024.100158.</w:t>
      </w:r>
    </w:p>
    <w:p w:rsidR="00000000" w:rsidDel="00000000" w:rsidP="00000000" w:rsidRDefault="00000000" w:rsidRPr="00000000" w14:paraId="000001C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[11] S. S. Salvi, "Safety Management and Accident Prevention," </w:t>
      </w:r>
      <w:r w:rsidDel="00000000" w:rsidR="00000000" w:rsidRPr="00000000">
        <w:rPr>
          <w:rFonts w:ascii="Times New Roman" w:cs="Times New Roman" w:eastAsia="Times New Roman" w:hAnsi="Times New Roman"/>
          <w:i w:val="1"/>
          <w:iCs w:val="1"/>
          <w:sz w:val="24"/>
          <w:szCs w:val="24"/>
          <w:rtl w:val="0"/>
        </w:rPr>
        <w:t xml:space="preserve">International Journal for Research in Applied Science and Engineering Technology</w:t>
      </w:r>
      <w:r w:rsidDel="00000000" w:rsidR="00000000" w:rsidRPr="00000000">
        <w:rPr>
          <w:rFonts w:ascii="Times New Roman" w:cs="Times New Roman" w:eastAsia="Times New Roman" w:hAnsi="Times New Roman"/>
          <w:sz w:val="24"/>
          <w:szCs w:val="24"/>
          <w:rtl w:val="0"/>
        </w:rPr>
        <w:t xml:space="preserve">, vol. 9, no. 5, pp. 539–543, May 2021, </w:t>
      </w:r>
      <w:r w:rsidDel="00000000" w:rsidR="00000000" w:rsidRPr="00000000">
        <w:rPr>
          <w:rFonts w:ascii="Times New Roman" w:cs="Times New Roman" w:eastAsia="Times New Roman" w:hAnsi="Times New Roman"/>
          <w:b w:val="1"/>
          <w:bCs w:val="1"/>
          <w:sz w:val="24"/>
          <w:szCs w:val="24"/>
          <w:rtl w:val="0"/>
        </w:rPr>
        <w:t xml:space="preserve">doi: 10.22214/IJRASET.2021.34163.</w:t>
      </w:r>
    </w:p>
    <w:p w:rsidR="00000000" w:rsidDel="00000000" w:rsidP="00000000" w:rsidRDefault="00000000" w:rsidRPr="00000000" w14:paraId="000001CC">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[12] R. Göçmen, M. Çıbuk, and E. Akın, "Comparative Analysis of Deep Learning Algorithms in Fire Detection," </w:t>
      </w:r>
      <w:r w:rsidDel="00000000" w:rsidR="00000000" w:rsidRPr="00000000">
        <w:rPr>
          <w:rFonts w:ascii="Times New Roman" w:cs="Times New Roman" w:eastAsia="Times New Roman" w:hAnsi="Times New Roman"/>
          <w:i w:val="1"/>
          <w:iCs w:val="1"/>
          <w:sz w:val="24"/>
          <w:szCs w:val="24"/>
          <w:rtl w:val="0"/>
        </w:rPr>
        <w:t xml:space="preserve">Balkan Journal of Electrical and Computer Engineering</w:t>
      </w:r>
      <w:r w:rsidDel="00000000" w:rsidR="00000000" w:rsidRPr="00000000">
        <w:rPr>
          <w:rFonts w:ascii="Times New Roman" w:cs="Times New Roman" w:eastAsia="Times New Roman" w:hAnsi="Times New Roman"/>
          <w:sz w:val="24"/>
          <w:szCs w:val="24"/>
          <w:rtl w:val="0"/>
        </w:rPr>
        <w:t xml:space="preserve">, vol. 12, no. 3, pp. 255–261, Sep. 2024, </w:t>
      </w:r>
      <w:r w:rsidDel="00000000" w:rsidR="00000000" w:rsidRPr="00000000">
        <w:rPr>
          <w:rFonts w:ascii="Times New Roman" w:cs="Times New Roman" w:eastAsia="Times New Roman" w:hAnsi="Times New Roman"/>
          <w:b w:val="1"/>
          <w:bCs w:val="1"/>
          <w:sz w:val="24"/>
          <w:szCs w:val="24"/>
          <w:rtl w:val="0"/>
        </w:rPr>
        <w:t xml:space="preserve">doi: 10.17694/bajece.1533966.</w:t>
      </w:r>
    </w:p>
    <w:p w:rsidR="00000000" w:rsidDel="00000000" w:rsidP="00000000" w:rsidRDefault="00000000" w:rsidRPr="00000000" w14:paraId="000001CD">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[13] S. Alsulamy, M. Alshayeb, I. Inam, and A. Ahmed, "Machine learning applications for predicting safety incidents in construction industry," </w:t>
      </w:r>
      <w:r w:rsidDel="00000000" w:rsidR="00000000" w:rsidRPr="00000000">
        <w:rPr>
          <w:rFonts w:ascii="Times New Roman" w:cs="Times New Roman" w:eastAsia="Times New Roman" w:hAnsi="Times New Roman"/>
          <w:i w:val="1"/>
          <w:iCs w:val="1"/>
          <w:sz w:val="24"/>
          <w:szCs w:val="24"/>
          <w:rtl w:val="0"/>
        </w:rPr>
        <w:t xml:space="preserve">Scientific Reports</w:t>
      </w:r>
      <w:r w:rsidDel="00000000" w:rsidR="00000000" w:rsidRPr="00000000">
        <w:rPr>
          <w:rFonts w:ascii="Times New Roman" w:cs="Times New Roman" w:eastAsia="Times New Roman" w:hAnsi="Times New Roman"/>
          <w:sz w:val="24"/>
          <w:szCs w:val="24"/>
          <w:rtl w:val="0"/>
        </w:rPr>
        <w:t xml:space="preserve">, vol. 16, no. 1, Jan. 2026, </w:t>
      </w:r>
      <w:r w:rsidDel="00000000" w:rsidR="00000000" w:rsidRPr="00000000">
        <w:rPr>
          <w:rFonts w:ascii="Times New Roman" w:cs="Times New Roman" w:eastAsia="Times New Roman" w:hAnsi="Times New Roman"/>
          <w:b w:val="1"/>
          <w:bCs w:val="1"/>
          <w:sz w:val="24"/>
          <w:szCs w:val="24"/>
          <w:rtl w:val="0"/>
        </w:rPr>
        <w:t xml:space="preserve">doi: 10.1038/s41598-025-34763-0.</w:t>
      </w:r>
    </w:p>
    <w:p w:rsidR="00000000" w:rsidDel="00000000" w:rsidP="00000000" w:rsidRDefault="00000000" w:rsidRPr="00000000" w14:paraId="000001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International Labour Organization (ILO), "Safety and health at work," ILO, Geneva, Switzerland. [Online]. Available: </w:t>
      </w:r>
      <w:hyperlink r:id="rId34">
        <w:r w:rsidDel="00000000" w:rsidR="00000000" w:rsidRPr="00000000">
          <w:rPr>
            <w:rFonts w:ascii="Times New Roman" w:cs="Times New Roman" w:eastAsia="Times New Roman" w:hAnsi="Times New Roman"/>
            <w:color w:val="0000ff"/>
            <w:sz w:val="24"/>
            <w:szCs w:val="24"/>
            <w:u w:val="single"/>
            <w:rtl w:val="0"/>
          </w:rPr>
          <w:t xml:space="preserve">Safety and health at work | International Labour Organization</w:t>
        </w:r>
      </w:hyperlink>
      <w:r w:rsidDel="00000000" w:rsidR="00000000" w:rsidRPr="00000000">
        <w:rPr>
          <w:rtl w:val="0"/>
        </w:rPr>
      </w:r>
    </w:p>
    <w:p w:rsidR="00000000" w:rsidDel="00000000" w:rsidP="00000000" w:rsidRDefault="00000000" w:rsidRPr="00000000" w14:paraId="000001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Canada Safety Training Centre, "Common Gas Hazards in the Workplace and How to Avoid." Accessed: Jul. 9, 2026. [Online]. Available </w:t>
      </w:r>
      <w:hyperlink r:id="rId35">
        <w:r w:rsidDel="00000000" w:rsidR="00000000" w:rsidRPr="00000000">
          <w:rPr>
            <w:rFonts w:ascii="Times New Roman" w:cs="Times New Roman" w:eastAsia="Times New Roman" w:hAnsi="Times New Roman"/>
            <w:color w:val="0000ff"/>
            <w:sz w:val="24"/>
            <w:szCs w:val="24"/>
            <w:u w:val="single"/>
            <w:rtl w:val="0"/>
          </w:rPr>
          <w:t xml:space="preserve">Common Gas Hazards in the Workplace and How to Avoid</w:t>
        </w:r>
      </w:hyperlink>
      <w:r w:rsidDel="00000000" w:rsidR="00000000" w:rsidRPr="00000000">
        <w:rPr>
          <w:rtl w:val="0"/>
        </w:rPr>
      </w:r>
    </w:p>
    <w:p w:rsidR="00000000" w:rsidDel="00000000" w:rsidP="00000000" w:rsidRDefault="00000000" w:rsidRPr="00000000" w14:paraId="000001D0">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[16] D. Barragan, M. S. Peterson, and Y.-C. Lee, "Hazard Perception–Response: A Theoretical Framework to Explain Drivers' Interactions with Roadway Hazards," </w:t>
      </w:r>
      <w:r w:rsidDel="00000000" w:rsidR="00000000" w:rsidRPr="00000000">
        <w:rPr>
          <w:rFonts w:ascii="Times New Roman" w:cs="Times New Roman" w:eastAsia="Times New Roman" w:hAnsi="Times New Roman"/>
          <w:i w:val="1"/>
          <w:iCs w:val="1"/>
          <w:sz w:val="24"/>
          <w:szCs w:val="24"/>
          <w:rtl w:val="0"/>
        </w:rPr>
        <w:t xml:space="preserve">Safety</w:t>
      </w:r>
      <w:r w:rsidDel="00000000" w:rsidR="00000000" w:rsidRPr="00000000">
        <w:rPr>
          <w:rFonts w:ascii="Times New Roman" w:cs="Times New Roman" w:eastAsia="Times New Roman" w:hAnsi="Times New Roman"/>
          <w:sz w:val="24"/>
          <w:szCs w:val="24"/>
          <w:rtl w:val="0"/>
        </w:rPr>
        <w:t xml:space="preserve">, vol. 7, no. 2, Art. no. 29, Apr. 2021, </w:t>
      </w:r>
      <w:r w:rsidDel="00000000" w:rsidR="00000000" w:rsidRPr="00000000">
        <w:rPr>
          <w:rFonts w:ascii="Times New Roman" w:cs="Times New Roman" w:eastAsia="Times New Roman" w:hAnsi="Times New Roman"/>
          <w:b w:val="1"/>
          <w:bCs w:val="1"/>
          <w:sz w:val="24"/>
          <w:szCs w:val="24"/>
          <w:rtl w:val="0"/>
        </w:rPr>
        <w:t xml:space="preserve">doi: 10.3390/safety7020029.</w:t>
      </w:r>
    </w:p>
    <w:p w:rsidR="00000000" w:rsidDel="00000000" w:rsidP="00000000" w:rsidRDefault="00000000" w:rsidRPr="00000000" w14:paraId="000001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A. Srivastava, D. Das, P. Bhatnagar, J. R. Khatsurya, M. Kumar, V. Bhatkhande, and V. Chandrasekar, </w:t>
      </w:r>
      <w:r w:rsidDel="00000000" w:rsidR="00000000" w:rsidRPr="00000000">
        <w:rPr>
          <w:rFonts w:ascii="Times New Roman" w:cs="Times New Roman" w:eastAsia="Times New Roman" w:hAnsi="Times New Roman"/>
          <w:i w:val="1"/>
          <w:iCs w:val="1"/>
          <w:sz w:val="24"/>
          <w:szCs w:val="24"/>
          <w:rtl w:val="0"/>
        </w:rPr>
        <w:t xml:space="preserve">Safety Management System to Achieve Zero Harm</w:t>
      </w:r>
      <w:r w:rsidDel="00000000" w:rsidR="00000000" w:rsidRPr="00000000">
        <w:rPr>
          <w:rFonts w:ascii="Times New Roman" w:cs="Times New Roman" w:eastAsia="Times New Roman" w:hAnsi="Times New Roman"/>
          <w:sz w:val="24"/>
          <w:szCs w:val="24"/>
          <w:rtl w:val="0"/>
        </w:rPr>
        <w:t xml:space="preserve">. 40th DAE Safety and Occupational Health Professional Meet, Oct. 2024.</w:t>
      </w:r>
    </w:p>
    <w:p w:rsidR="00000000" w:rsidDel="00000000" w:rsidP="00000000" w:rsidRDefault="00000000" w:rsidRPr="00000000" w14:paraId="000001D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[18] A. Abid and M. Jazib, </w:t>
      </w:r>
      <w:r w:rsidDel="00000000" w:rsidR="00000000" w:rsidRPr="00000000">
        <w:rPr>
          <w:rFonts w:ascii="Times New Roman" w:cs="Times New Roman" w:eastAsia="Times New Roman" w:hAnsi="Times New Roman"/>
          <w:i w:val="1"/>
          <w:iCs w:val="1"/>
          <w:sz w:val="24"/>
          <w:szCs w:val="24"/>
          <w:rtl w:val="0"/>
        </w:rPr>
        <w:t xml:space="preserve">IoT Based Industrial Monitoring and Control System (Liquid Level)</w:t>
      </w:r>
      <w:r w:rsidDel="00000000" w:rsidR="00000000" w:rsidRPr="00000000">
        <w:rPr>
          <w:rFonts w:ascii="Times New Roman" w:cs="Times New Roman" w:eastAsia="Times New Roman" w:hAnsi="Times New Roman"/>
          <w:sz w:val="24"/>
          <w:szCs w:val="24"/>
          <w:rtl w:val="0"/>
        </w:rPr>
        <w:t xml:space="preserve">, B.S. thesis, Dept. of Electrical Engineering, supervised by M. Riaz and A. Q. Khan, Jun. 2024. </w:t>
      </w:r>
      <w:r w:rsidDel="00000000" w:rsidR="00000000" w:rsidRPr="00000000">
        <w:rPr>
          <w:rFonts w:ascii="Times New Roman" w:cs="Times New Roman" w:eastAsia="Times New Roman" w:hAnsi="Times New Roman"/>
          <w:b w:val="1"/>
          <w:bCs w:val="1"/>
          <w:sz w:val="24"/>
          <w:szCs w:val="24"/>
          <w:rtl w:val="0"/>
        </w:rPr>
        <w:t xml:space="preserve">doi: 10.13140/RG.2.2.34952.23044.</w:t>
      </w:r>
    </w:p>
    <w:p w:rsidR="00000000" w:rsidDel="00000000" w:rsidP="00000000" w:rsidRDefault="00000000" w:rsidRPr="00000000" w14:paraId="000001D3">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[19] M. Dangrach, S. M. A. Shah, A. Z. ul Abdin, A. Ali, and M. Ahmed, "IOT Based Fire System," </w:t>
      </w:r>
      <w:r w:rsidDel="00000000" w:rsidR="00000000" w:rsidRPr="00000000">
        <w:rPr>
          <w:rFonts w:ascii="Times New Roman" w:cs="Times New Roman" w:eastAsia="Times New Roman" w:hAnsi="Times New Roman"/>
          <w:i w:val="1"/>
          <w:iCs w:val="1"/>
          <w:sz w:val="24"/>
          <w:szCs w:val="24"/>
          <w:rtl w:val="0"/>
        </w:rPr>
        <w:t xml:space="preserve">Journal of Applied Engineering &amp; Technology (JAET)</w:t>
      </w:r>
      <w:r w:rsidDel="00000000" w:rsidR="00000000" w:rsidRPr="00000000">
        <w:rPr>
          <w:rFonts w:ascii="Times New Roman" w:cs="Times New Roman" w:eastAsia="Times New Roman" w:hAnsi="Times New Roman"/>
          <w:sz w:val="24"/>
          <w:szCs w:val="24"/>
          <w:rtl w:val="0"/>
        </w:rPr>
        <w:t xml:space="preserve">, vol. 5, no. 1, pp. 19–30, Jun. 2021, </w:t>
      </w:r>
      <w:r w:rsidDel="00000000" w:rsidR="00000000" w:rsidRPr="00000000">
        <w:rPr>
          <w:rFonts w:ascii="Times New Roman" w:cs="Times New Roman" w:eastAsia="Times New Roman" w:hAnsi="Times New Roman"/>
          <w:b w:val="1"/>
          <w:bCs w:val="1"/>
          <w:sz w:val="24"/>
          <w:szCs w:val="24"/>
          <w:rtl w:val="0"/>
        </w:rPr>
        <w:t xml:space="preserve">doi: 10.55447/JAET.05.01.31.</w:t>
      </w:r>
    </w:p>
    <w:p w:rsidR="00000000" w:rsidDel="00000000" w:rsidP="00000000" w:rsidRDefault="00000000" w:rsidRPr="00000000" w14:paraId="000001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S. Chauhan, G. Vashishtha, and R. Zimroz, "Analysing Recent Breakthroughs in Fault Diagnosis through Sensor: A Comprehensive Overview," </w:t>
      </w:r>
      <w:r w:rsidDel="00000000" w:rsidR="00000000" w:rsidRPr="00000000">
        <w:rPr>
          <w:rFonts w:ascii="Times New Roman" w:cs="Times New Roman" w:eastAsia="Times New Roman" w:hAnsi="Times New Roman"/>
          <w:i w:val="1"/>
          <w:iCs w:val="1"/>
          <w:sz w:val="24"/>
          <w:szCs w:val="24"/>
          <w:rtl w:val="0"/>
        </w:rPr>
        <w:t xml:space="preserve">CMES – Computer Modeling in Engineering and Sciences</w:t>
      </w:r>
      <w:r w:rsidDel="00000000" w:rsidR="00000000" w:rsidRPr="00000000">
        <w:rPr>
          <w:rFonts w:ascii="Times New Roman" w:cs="Times New Roman" w:eastAsia="Times New Roman" w:hAnsi="Times New Roman"/>
          <w:sz w:val="24"/>
          <w:szCs w:val="24"/>
          <w:rtl w:val="0"/>
        </w:rPr>
        <w:t xml:space="preserve">, vol. 141, no. 3, pp. 1983–2020, Oct. 2024.</w:t>
      </w:r>
    </w:p>
    <w:p w:rsidR="00000000" w:rsidDel="00000000" w:rsidP="00000000" w:rsidRDefault="00000000" w:rsidRPr="00000000" w14:paraId="000001D5">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[21] S. Festag, "False alarm ratio of fire detection and fire alarm systems in Germany—A meta analysis," </w:t>
      </w:r>
      <w:r w:rsidDel="00000000" w:rsidR="00000000" w:rsidRPr="00000000">
        <w:rPr>
          <w:rFonts w:ascii="Times New Roman" w:cs="Times New Roman" w:eastAsia="Times New Roman" w:hAnsi="Times New Roman"/>
          <w:i w:val="1"/>
          <w:iCs w:val="1"/>
          <w:sz w:val="24"/>
          <w:szCs w:val="24"/>
          <w:rtl w:val="0"/>
        </w:rPr>
        <w:t xml:space="preserve">Fire Safety Journal</w:t>
      </w:r>
      <w:r w:rsidDel="00000000" w:rsidR="00000000" w:rsidRPr="00000000">
        <w:rPr>
          <w:rFonts w:ascii="Times New Roman" w:cs="Times New Roman" w:eastAsia="Times New Roman" w:hAnsi="Times New Roman"/>
          <w:sz w:val="24"/>
          <w:szCs w:val="24"/>
          <w:rtl w:val="0"/>
        </w:rPr>
        <w:t xml:space="preserve">, vol. 79, pp. 119–126, Jan. 2016, </w:t>
      </w:r>
      <w:r w:rsidDel="00000000" w:rsidR="00000000" w:rsidRPr="00000000">
        <w:rPr>
          <w:rFonts w:ascii="Times New Roman" w:cs="Times New Roman" w:eastAsia="Times New Roman" w:hAnsi="Times New Roman"/>
          <w:b w:val="1"/>
          <w:bCs w:val="1"/>
          <w:sz w:val="24"/>
          <w:szCs w:val="24"/>
          <w:rtl w:val="0"/>
        </w:rPr>
        <w:t xml:space="preserve">doi: 10.1016/j.firesaf.2015.11.010.</w:t>
      </w:r>
    </w:p>
    <w:p w:rsidR="00000000" w:rsidDel="00000000" w:rsidP="00000000" w:rsidRDefault="00000000" w:rsidRPr="00000000" w14:paraId="000001D6">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[22] D. Issaka, Y. A. Sam-Okyere, and E. Osei-Kwame, "Internet of Things (IoT) Based Fire Detection and Suppression System," </w:t>
      </w:r>
      <w:r w:rsidDel="00000000" w:rsidR="00000000" w:rsidRPr="00000000">
        <w:rPr>
          <w:rFonts w:ascii="Times New Roman" w:cs="Times New Roman" w:eastAsia="Times New Roman" w:hAnsi="Times New Roman"/>
          <w:i w:val="1"/>
          <w:iCs w:val="1"/>
          <w:sz w:val="24"/>
          <w:szCs w:val="24"/>
          <w:rtl w:val="0"/>
        </w:rPr>
        <w:t xml:space="preserve">Applied Engineering Innovation and Technology</w:t>
      </w:r>
      <w:r w:rsidDel="00000000" w:rsidR="00000000" w:rsidRPr="00000000">
        <w:rPr>
          <w:rFonts w:ascii="Times New Roman" w:cs="Times New Roman" w:eastAsia="Times New Roman" w:hAnsi="Times New Roman"/>
          <w:sz w:val="24"/>
          <w:szCs w:val="24"/>
          <w:rtl w:val="0"/>
        </w:rPr>
        <w:t xml:space="preserve">, vol. 2, no. 2, pp. 43–60, Oct. 2025, </w:t>
      </w:r>
      <w:r w:rsidDel="00000000" w:rsidR="00000000" w:rsidRPr="00000000">
        <w:rPr>
          <w:rFonts w:ascii="Times New Roman" w:cs="Times New Roman" w:eastAsia="Times New Roman" w:hAnsi="Times New Roman"/>
          <w:b w:val="1"/>
          <w:bCs w:val="1"/>
          <w:sz w:val="24"/>
          <w:szCs w:val="24"/>
          <w:rtl w:val="0"/>
        </w:rPr>
        <w:t xml:space="preserve">doi: 10.62777/AEIT.V2I2.70.</w:t>
      </w:r>
    </w:p>
    <w:p w:rsidR="00000000" w:rsidDel="00000000" w:rsidP="00000000" w:rsidRDefault="00000000" w:rsidRPr="00000000" w14:paraId="000001D7">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[23] A. M. Sharifnia, D. E. Kpormegbey, D. Thapa, and M. Cleary, "A Primer of Data Cleaning in Quantitative Research: Handling Missing Values and Outliers," </w:t>
      </w:r>
      <w:r w:rsidDel="00000000" w:rsidR="00000000" w:rsidRPr="00000000">
        <w:rPr>
          <w:rFonts w:ascii="Times New Roman" w:cs="Times New Roman" w:eastAsia="Times New Roman" w:hAnsi="Times New Roman"/>
          <w:i w:val="1"/>
          <w:iCs w:val="1"/>
          <w:sz w:val="24"/>
          <w:szCs w:val="24"/>
          <w:rtl w:val="0"/>
        </w:rPr>
        <w:t xml:space="preserve">Journal of Advanced Nursing</w:t>
      </w:r>
      <w:r w:rsidDel="00000000" w:rsidR="00000000" w:rsidRPr="00000000">
        <w:rPr>
          <w:rFonts w:ascii="Times New Roman" w:cs="Times New Roman" w:eastAsia="Times New Roman" w:hAnsi="Times New Roman"/>
          <w:sz w:val="24"/>
          <w:szCs w:val="24"/>
          <w:rtl w:val="0"/>
        </w:rPr>
        <w:t xml:space="preserve">, vol. 82, no. 1, pp. 970–975, Mar. 2025,</w:t>
      </w:r>
      <w:r w:rsidDel="00000000" w:rsidR="00000000" w:rsidRPr="00000000">
        <w:rPr>
          <w:rFonts w:ascii="Times New Roman" w:cs="Times New Roman" w:eastAsia="Times New Roman" w:hAnsi="Times New Roman"/>
          <w:b w:val="1"/>
          <w:bCs w:val="1"/>
          <w:sz w:val="24"/>
          <w:szCs w:val="24"/>
          <w:rtl w:val="0"/>
        </w:rPr>
        <w:t xml:space="preserve"> doi: 10.1111/jan.16908.</w:t>
      </w:r>
    </w:p>
    <w:p w:rsidR="00000000" w:rsidDel="00000000" w:rsidP="00000000" w:rsidRDefault="00000000" w:rsidRPr="00000000" w14:paraId="000001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L. Deng, S. Wu, S. Zou, and Q. Liu, "Large-Space Fire Detection Technology: A Review of Conventional Detector Limitations and Image-Based Target Detection Techniques," </w:t>
      </w:r>
      <w:r w:rsidDel="00000000" w:rsidR="00000000" w:rsidRPr="00000000">
        <w:rPr>
          <w:rFonts w:ascii="Times New Roman" w:cs="Times New Roman" w:eastAsia="Times New Roman" w:hAnsi="Times New Roman"/>
          <w:i w:val="1"/>
          <w:iCs w:val="1"/>
          <w:sz w:val="24"/>
          <w:szCs w:val="24"/>
          <w:rtl w:val="0"/>
        </w:rPr>
        <w:t xml:space="preserve">Fire</w:t>
      </w:r>
      <w:r w:rsidDel="00000000" w:rsidR="00000000" w:rsidRPr="00000000">
        <w:rPr>
          <w:rFonts w:ascii="Times New Roman" w:cs="Times New Roman" w:eastAsia="Times New Roman" w:hAnsi="Times New Roman"/>
          <w:sz w:val="24"/>
          <w:szCs w:val="24"/>
          <w:rtl w:val="0"/>
        </w:rPr>
        <w:t xml:space="preserve">, vol. 8, no. 9, Art. no. 358, Sep. 2025, </w:t>
      </w:r>
    </w:p>
    <w:p w:rsidR="00000000" w:rsidDel="00000000" w:rsidP="00000000" w:rsidRDefault="00000000" w:rsidRPr="00000000" w14:paraId="000001D9">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[25] S. Badruddoza and M. Amin, "Machine Learning Models and Their Applications in Environmental Economics," </w:t>
      </w:r>
      <w:r w:rsidDel="00000000" w:rsidR="00000000" w:rsidRPr="00000000">
        <w:rPr>
          <w:rFonts w:ascii="Times New Roman" w:cs="Times New Roman" w:eastAsia="Times New Roman" w:hAnsi="Times New Roman"/>
          <w:i w:val="1"/>
          <w:iCs w:val="1"/>
          <w:sz w:val="24"/>
          <w:szCs w:val="24"/>
          <w:rtl w:val="0"/>
        </w:rPr>
        <w:t xml:space="preserve">International Review of Environmental and Resource Economics</w:t>
      </w:r>
      <w:r w:rsidDel="00000000" w:rsidR="00000000" w:rsidRPr="00000000">
        <w:rPr>
          <w:rFonts w:ascii="Times New Roman" w:cs="Times New Roman" w:eastAsia="Times New Roman" w:hAnsi="Times New Roman"/>
          <w:sz w:val="24"/>
          <w:szCs w:val="24"/>
          <w:rtl w:val="0"/>
        </w:rPr>
        <w:t xml:space="preserve">, vol. 19, no. 1, pp. 1–58, Mar. 2025, </w:t>
      </w:r>
      <w:r w:rsidDel="00000000" w:rsidR="00000000" w:rsidRPr="00000000">
        <w:rPr>
          <w:rFonts w:ascii="Times New Roman" w:cs="Times New Roman" w:eastAsia="Times New Roman" w:hAnsi="Times New Roman"/>
          <w:b w:val="1"/>
          <w:bCs w:val="1"/>
          <w:sz w:val="24"/>
          <w:szCs w:val="24"/>
          <w:rtl w:val="0"/>
        </w:rPr>
        <w:t xml:space="preserve">doi: 10.1561/101.00000173.</w:t>
      </w:r>
    </w:p>
    <w:p w:rsidR="00000000" w:rsidDel="00000000" w:rsidP="00000000" w:rsidRDefault="00000000" w:rsidRPr="00000000" w14:paraId="000001DA">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[26] M. Arifuzzaman, M. R. Hasan, T. J. Toma, S. B. Hassan, and A. K. Paul, "An Advanced Decision Tree-Based Deep Neural Network in Nonlinear Data Classification," </w:t>
      </w:r>
      <w:r w:rsidDel="00000000" w:rsidR="00000000" w:rsidRPr="00000000">
        <w:rPr>
          <w:rFonts w:ascii="Times New Roman" w:cs="Times New Roman" w:eastAsia="Times New Roman" w:hAnsi="Times New Roman"/>
          <w:i w:val="1"/>
          <w:iCs w:val="1"/>
          <w:sz w:val="24"/>
          <w:szCs w:val="24"/>
          <w:rtl w:val="0"/>
        </w:rPr>
        <w:t xml:space="preserve">Technologies</w:t>
      </w:r>
      <w:r w:rsidDel="00000000" w:rsidR="00000000" w:rsidRPr="00000000">
        <w:rPr>
          <w:rFonts w:ascii="Times New Roman" w:cs="Times New Roman" w:eastAsia="Times New Roman" w:hAnsi="Times New Roman"/>
          <w:sz w:val="24"/>
          <w:szCs w:val="24"/>
          <w:rtl w:val="0"/>
        </w:rPr>
        <w:t xml:space="preserve">, vol. 11, no. 1, Art. no. 24, Feb. 2023,</w:t>
      </w:r>
      <w:r w:rsidDel="00000000" w:rsidR="00000000" w:rsidRPr="00000000">
        <w:rPr>
          <w:rFonts w:ascii="Times New Roman" w:cs="Times New Roman" w:eastAsia="Times New Roman" w:hAnsi="Times New Roman"/>
          <w:b w:val="1"/>
          <w:bCs w:val="1"/>
          <w:sz w:val="24"/>
          <w:szCs w:val="24"/>
          <w:rtl w:val="0"/>
        </w:rPr>
        <w:t xml:space="preserve"> doi: 10.3390/technologies11010024.</w:t>
      </w:r>
    </w:p>
    <w:p w:rsidR="00000000" w:rsidDel="00000000" w:rsidP="00000000" w:rsidRDefault="00000000" w:rsidRPr="00000000" w14:paraId="000001D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[27] Y.-J. Chang, Y.-L. Lin, and P.-F. Pai, "Support Vector Machines with Hyperparameter Optimization Frameworks for Classifying Mobile Phone Prices in Multi-Class," </w:t>
      </w:r>
      <w:r w:rsidDel="00000000" w:rsidR="00000000" w:rsidRPr="00000000">
        <w:rPr>
          <w:rFonts w:ascii="Times New Roman" w:cs="Times New Roman" w:eastAsia="Times New Roman" w:hAnsi="Times New Roman"/>
          <w:i w:val="1"/>
          <w:iCs w:val="1"/>
          <w:sz w:val="24"/>
          <w:szCs w:val="24"/>
          <w:rtl w:val="0"/>
        </w:rPr>
        <w:t xml:space="preserve">Electronics</w:t>
      </w:r>
      <w:r w:rsidDel="00000000" w:rsidR="00000000" w:rsidRPr="00000000">
        <w:rPr>
          <w:rFonts w:ascii="Times New Roman" w:cs="Times New Roman" w:eastAsia="Times New Roman" w:hAnsi="Times New Roman"/>
          <w:sz w:val="24"/>
          <w:szCs w:val="24"/>
          <w:rtl w:val="0"/>
        </w:rPr>
        <w:t xml:space="preserve">, vol. 14, no. 11, Art. no. 2173, May 2025, </w:t>
      </w:r>
      <w:r w:rsidDel="00000000" w:rsidR="00000000" w:rsidRPr="00000000">
        <w:rPr>
          <w:rFonts w:ascii="Times New Roman" w:cs="Times New Roman" w:eastAsia="Times New Roman" w:hAnsi="Times New Roman"/>
          <w:b w:val="1"/>
          <w:bCs w:val="1"/>
          <w:sz w:val="24"/>
          <w:szCs w:val="24"/>
          <w:rtl w:val="0"/>
        </w:rPr>
        <w:t xml:space="preserve">doi: 10.3390/electronics14112173.</w:t>
      </w:r>
    </w:p>
    <w:p w:rsidR="00000000" w:rsidDel="00000000" w:rsidP="00000000" w:rsidRDefault="00000000" w:rsidRPr="00000000" w14:paraId="000001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 V. S. Stency, N. Mohanasundaram, and R. Santhosh, "Ensembled Gradient Boosting Technique with Decision Tree for Intrusion Detection System," </w:t>
      </w:r>
      <w:r w:rsidDel="00000000" w:rsidR="00000000" w:rsidRPr="00000000">
        <w:rPr>
          <w:rFonts w:ascii="Times New Roman" w:cs="Times New Roman" w:eastAsia="Times New Roman" w:hAnsi="Times New Roman"/>
          <w:i w:val="1"/>
          <w:iCs w:val="1"/>
          <w:sz w:val="24"/>
          <w:szCs w:val="24"/>
          <w:rtl w:val="0"/>
        </w:rPr>
        <w:t xml:space="preserve">International Journal of Intelligent Systems and Applications in Engineering</w:t>
      </w:r>
      <w:r w:rsidDel="00000000" w:rsidR="00000000" w:rsidRPr="00000000">
        <w:rPr>
          <w:rFonts w:ascii="Times New Roman" w:cs="Times New Roman" w:eastAsia="Times New Roman" w:hAnsi="Times New Roman"/>
          <w:sz w:val="24"/>
          <w:szCs w:val="24"/>
          <w:rtl w:val="0"/>
        </w:rPr>
        <w:t xml:space="preserve">, vol. 12, no. 21s, pp. 2571–2583, Mar. 2025.</w:t>
      </w:r>
    </w:p>
    <w:p w:rsidR="00000000" w:rsidDel="00000000" w:rsidP="00000000" w:rsidRDefault="00000000" w:rsidRPr="00000000" w14:paraId="000001DD">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[29] M. Khurram, C. Zhang, S. Muhammad, H. Kishnani, K. An, K. Abeywardena, U. Chadha, and K. Behdinan, "Artificial Intelligence in Manufacturing Industry Worker Safety: A New Paradigm for Hazard Prevention and Mitigation," </w:t>
      </w:r>
      <w:r w:rsidDel="00000000" w:rsidR="00000000" w:rsidRPr="00000000">
        <w:rPr>
          <w:rFonts w:ascii="Times New Roman" w:cs="Times New Roman" w:eastAsia="Times New Roman" w:hAnsi="Times New Roman"/>
          <w:i w:val="1"/>
          <w:iCs w:val="1"/>
          <w:sz w:val="24"/>
          <w:szCs w:val="24"/>
          <w:rtl w:val="0"/>
        </w:rPr>
        <w:t xml:space="preserve">Processes</w:t>
      </w:r>
      <w:r w:rsidDel="00000000" w:rsidR="00000000" w:rsidRPr="00000000">
        <w:rPr>
          <w:rFonts w:ascii="Times New Roman" w:cs="Times New Roman" w:eastAsia="Times New Roman" w:hAnsi="Times New Roman"/>
          <w:sz w:val="24"/>
          <w:szCs w:val="24"/>
          <w:rtl w:val="0"/>
        </w:rPr>
        <w:t xml:space="preserve">, vol. 13, no. 5, Art. no. 1312, Apr. 2025, </w:t>
      </w:r>
      <w:r w:rsidDel="00000000" w:rsidR="00000000" w:rsidRPr="00000000">
        <w:rPr>
          <w:rFonts w:ascii="Times New Roman" w:cs="Times New Roman" w:eastAsia="Times New Roman" w:hAnsi="Times New Roman"/>
          <w:b w:val="1"/>
          <w:bCs w:val="1"/>
          <w:sz w:val="24"/>
          <w:szCs w:val="24"/>
          <w:rtl w:val="0"/>
        </w:rPr>
        <w:t xml:space="preserve">doi: 10.3390/pr13051312.</w:t>
      </w:r>
    </w:p>
    <w:p w:rsidR="00000000" w:rsidDel="00000000" w:rsidP="00000000" w:rsidRDefault="00000000" w:rsidRPr="00000000" w14:paraId="000001DE">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[30] S. Kiranyaz, O. Avci, O. Abdeljaber, T. Ince, M. Gabbouj, and D. J. Inman, "1D Convolutional Neural Networks and Applications: A Survey," </w:t>
      </w:r>
      <w:r w:rsidDel="00000000" w:rsidR="00000000" w:rsidRPr="00000000">
        <w:rPr>
          <w:rFonts w:ascii="Times New Roman" w:cs="Times New Roman" w:eastAsia="Times New Roman" w:hAnsi="Times New Roman"/>
          <w:i w:val="1"/>
          <w:iCs w:val="1"/>
          <w:sz w:val="24"/>
          <w:szCs w:val="24"/>
          <w:rtl w:val="0"/>
        </w:rPr>
        <w:t xml:space="preserve">Mechanical Systems and Signal Processing</w:t>
      </w:r>
      <w:r w:rsidDel="00000000" w:rsidR="00000000" w:rsidRPr="00000000">
        <w:rPr>
          <w:rFonts w:ascii="Times New Roman" w:cs="Times New Roman" w:eastAsia="Times New Roman" w:hAnsi="Times New Roman"/>
          <w:sz w:val="24"/>
          <w:szCs w:val="24"/>
          <w:rtl w:val="0"/>
        </w:rPr>
        <w:t xml:space="preserve">, vol. 151, Art. no. 107398, Apr. 2021, </w:t>
      </w:r>
      <w:r w:rsidDel="00000000" w:rsidR="00000000" w:rsidRPr="00000000">
        <w:rPr>
          <w:rFonts w:ascii="Times New Roman" w:cs="Times New Roman" w:eastAsia="Times New Roman" w:hAnsi="Times New Roman"/>
          <w:b w:val="1"/>
          <w:bCs w:val="1"/>
          <w:sz w:val="24"/>
          <w:szCs w:val="24"/>
          <w:rtl w:val="0"/>
        </w:rPr>
        <w:t xml:space="preserve">doi: 10.1016/j.ymssp.2020.107398.</w:t>
      </w:r>
    </w:p>
    <w:p w:rsidR="00000000" w:rsidDel="00000000" w:rsidP="00000000" w:rsidRDefault="00000000" w:rsidRPr="00000000" w14:paraId="000001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P. Malhotra, L. Vig, G. Shroff, and P. Agarwal, "Long Short Term Memory Networks for Anomaly Detection in Time Series," in </w:t>
      </w:r>
      <w:r w:rsidDel="00000000" w:rsidR="00000000" w:rsidRPr="00000000">
        <w:rPr>
          <w:rFonts w:ascii="Times New Roman" w:cs="Times New Roman" w:eastAsia="Times New Roman" w:hAnsi="Times New Roman"/>
          <w:i w:val="1"/>
          <w:iCs w:val="1"/>
          <w:sz w:val="24"/>
          <w:szCs w:val="24"/>
          <w:rtl w:val="0"/>
        </w:rPr>
        <w:t xml:space="preserve">Proc. 23rd European Symposium on Artificial Neural Networks, Computational Intelligence and Machine Learning (ESANN)</w:t>
      </w:r>
      <w:r w:rsidDel="00000000" w:rsidR="00000000" w:rsidRPr="00000000">
        <w:rPr>
          <w:rFonts w:ascii="Times New Roman" w:cs="Times New Roman" w:eastAsia="Times New Roman" w:hAnsi="Times New Roman"/>
          <w:sz w:val="24"/>
          <w:szCs w:val="24"/>
          <w:rtl w:val="0"/>
        </w:rPr>
        <w:t xml:space="preserve">, Bruges, Belgium, Apr. 2015, pp. 89–94.</w:t>
      </w:r>
    </w:p>
    <w:p w:rsidR="00000000" w:rsidDel="00000000" w:rsidP="00000000" w:rsidRDefault="00000000" w:rsidRPr="00000000" w14:paraId="000001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P. Sankarasubramanian and E. N. Ganesh, "Industrial Accident Report Analysis Using Natural Language Processing," </w:t>
      </w:r>
      <w:r w:rsidDel="00000000" w:rsidR="00000000" w:rsidRPr="00000000">
        <w:rPr>
          <w:rFonts w:ascii="Times New Roman" w:cs="Times New Roman" w:eastAsia="Times New Roman" w:hAnsi="Times New Roman"/>
          <w:i w:val="1"/>
          <w:iCs w:val="1"/>
          <w:sz w:val="24"/>
          <w:szCs w:val="24"/>
          <w:rtl w:val="0"/>
        </w:rPr>
        <w:t xml:space="preserve">International Journal of Scientific &amp; Technology Research</w:t>
      </w:r>
      <w:r w:rsidDel="00000000" w:rsidR="00000000" w:rsidRPr="00000000">
        <w:rPr>
          <w:rFonts w:ascii="Times New Roman" w:cs="Times New Roman" w:eastAsia="Times New Roman" w:hAnsi="Times New Roman"/>
          <w:sz w:val="24"/>
          <w:szCs w:val="24"/>
          <w:rtl w:val="0"/>
        </w:rPr>
        <w:t xml:space="preserve">, vol. 9, no. 7, pp. 470–476, Jul. 2020.</w:t>
      </w:r>
    </w:p>
    <w:p w:rsidR="00000000" w:rsidDel="00000000" w:rsidP="00000000" w:rsidRDefault="00000000" w:rsidRPr="00000000" w14:paraId="000001E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[33] S. Agarwal, Y. P. Chugh, A. Singh, V. Sakinala, A. Mukherjee, B. Prasad, C. Dagli, and Y. Zou, "Application of natural language processing and machine learning for analyzing mining accident reports and automating the process of root cause analysis," </w:t>
      </w:r>
      <w:r w:rsidDel="00000000" w:rsidR="00000000" w:rsidRPr="00000000">
        <w:rPr>
          <w:rFonts w:ascii="Times New Roman" w:cs="Times New Roman" w:eastAsia="Times New Roman" w:hAnsi="Times New Roman"/>
          <w:i w:val="1"/>
          <w:iCs w:val="1"/>
          <w:sz w:val="24"/>
          <w:szCs w:val="24"/>
          <w:rtl w:val="0"/>
        </w:rPr>
        <w:t xml:space="preserve">International Journal of Coal Science &amp; Technology</w:t>
      </w:r>
      <w:r w:rsidDel="00000000" w:rsidR="00000000" w:rsidRPr="00000000">
        <w:rPr>
          <w:rFonts w:ascii="Times New Roman" w:cs="Times New Roman" w:eastAsia="Times New Roman" w:hAnsi="Times New Roman"/>
          <w:sz w:val="24"/>
          <w:szCs w:val="24"/>
          <w:rtl w:val="0"/>
        </w:rPr>
        <w:t xml:space="preserve">, vol. 12, Art. no. 91, Sep. 2025, </w:t>
      </w:r>
      <w:r w:rsidDel="00000000" w:rsidR="00000000" w:rsidRPr="00000000">
        <w:rPr>
          <w:rFonts w:ascii="Times New Roman" w:cs="Times New Roman" w:eastAsia="Times New Roman" w:hAnsi="Times New Roman"/>
          <w:b w:val="1"/>
          <w:bCs w:val="1"/>
          <w:sz w:val="24"/>
          <w:szCs w:val="24"/>
          <w:rtl w:val="0"/>
        </w:rPr>
        <w:t xml:space="preserve">doi: 10.1007/s40789-025-00747-6. </w:t>
      </w:r>
    </w:p>
    <w:p w:rsidR="00000000" w:rsidDel="00000000" w:rsidP="00000000" w:rsidRDefault="00000000" w:rsidRPr="00000000" w14:paraId="000001E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[34] A. Sharma, S. Rani, and M. Shabaz, "A comprehensive review of explainable AI in cybersecurity: Decoding the black box," </w:t>
      </w:r>
      <w:r w:rsidDel="00000000" w:rsidR="00000000" w:rsidRPr="00000000">
        <w:rPr>
          <w:rFonts w:ascii="Times New Roman" w:cs="Times New Roman" w:eastAsia="Times New Roman" w:hAnsi="Times New Roman"/>
          <w:i w:val="1"/>
          <w:iCs w:val="1"/>
          <w:sz w:val="24"/>
          <w:szCs w:val="24"/>
          <w:rtl w:val="0"/>
        </w:rPr>
        <w:t xml:space="preserve">ICT Express</w:t>
      </w:r>
      <w:r w:rsidDel="00000000" w:rsidR="00000000" w:rsidRPr="00000000">
        <w:rPr>
          <w:rFonts w:ascii="Times New Roman" w:cs="Times New Roman" w:eastAsia="Times New Roman" w:hAnsi="Times New Roman"/>
          <w:sz w:val="24"/>
          <w:szCs w:val="24"/>
          <w:rtl w:val="0"/>
        </w:rPr>
        <w:t xml:space="preserve">, 2025,</w:t>
      </w:r>
      <w:r w:rsidDel="00000000" w:rsidR="00000000" w:rsidRPr="00000000">
        <w:rPr>
          <w:rFonts w:ascii="Times New Roman" w:cs="Times New Roman" w:eastAsia="Times New Roman" w:hAnsi="Times New Roman"/>
          <w:b w:val="1"/>
          <w:bCs w:val="1"/>
          <w:sz w:val="24"/>
          <w:szCs w:val="24"/>
          <w:rtl w:val="0"/>
        </w:rPr>
        <w:t xml:space="preserve"> doi: 10.1016/j.icte.2025.10.004.</w:t>
      </w:r>
    </w:p>
    <w:p w:rsidR="00000000" w:rsidDel="00000000" w:rsidP="00000000" w:rsidRDefault="00000000" w:rsidRPr="00000000" w14:paraId="000001E3">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[35] S. Ali, T. Abuhmed, S. El-Sappagh, K. Muhammad, J. M. Alonso-Moral, R. Confalonieri, R. Guidotti, J. Del Ser, N. Díaz-Rodríguez, and F. Herrera, "Explainable Artificial Intelligence (XAI): What we know and what is left to attain Trustworthy Artificial Intelligence," </w:t>
      </w:r>
      <w:r w:rsidDel="00000000" w:rsidR="00000000" w:rsidRPr="00000000">
        <w:rPr>
          <w:rFonts w:ascii="Times New Roman" w:cs="Times New Roman" w:eastAsia="Times New Roman" w:hAnsi="Times New Roman"/>
          <w:i w:val="1"/>
          <w:iCs w:val="1"/>
          <w:sz w:val="24"/>
          <w:szCs w:val="24"/>
          <w:rtl w:val="0"/>
        </w:rPr>
        <w:t xml:space="preserve">Information Fusion</w:t>
      </w:r>
      <w:r w:rsidDel="00000000" w:rsidR="00000000" w:rsidRPr="00000000">
        <w:rPr>
          <w:rFonts w:ascii="Times New Roman" w:cs="Times New Roman" w:eastAsia="Times New Roman" w:hAnsi="Times New Roman"/>
          <w:sz w:val="24"/>
          <w:szCs w:val="24"/>
          <w:rtl w:val="0"/>
        </w:rPr>
        <w:t xml:space="preserve">, vol. 99, Art. no. 101805, Nov. 2023,</w:t>
      </w:r>
      <w:r w:rsidDel="00000000" w:rsidR="00000000" w:rsidRPr="00000000">
        <w:rPr>
          <w:rFonts w:ascii="Times New Roman" w:cs="Times New Roman" w:eastAsia="Times New Roman" w:hAnsi="Times New Roman"/>
          <w:b w:val="1"/>
          <w:bCs w:val="1"/>
          <w:sz w:val="24"/>
          <w:szCs w:val="24"/>
          <w:rtl w:val="0"/>
        </w:rPr>
        <w:t xml:space="preserve"> doi: 10.1016/j.inffus.2023.101805. </w:t>
      </w:r>
    </w:p>
    <w:p w:rsidR="00000000" w:rsidDel="00000000" w:rsidP="00000000" w:rsidRDefault="00000000" w:rsidRPr="00000000" w14:paraId="000001E4">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[36] A. V. Ponce-Bobadilla, V. Schmitt, C. S. Maier, S. Mensing, and S. Stodtmann, "Practical guide to SHAP analysis: Explaining supervised machine learning model predictions in drug development," </w:t>
      </w:r>
      <w:r w:rsidDel="00000000" w:rsidR="00000000" w:rsidRPr="00000000">
        <w:rPr>
          <w:rFonts w:ascii="Times New Roman" w:cs="Times New Roman" w:eastAsia="Times New Roman" w:hAnsi="Times New Roman"/>
          <w:i w:val="1"/>
          <w:iCs w:val="1"/>
          <w:sz w:val="24"/>
          <w:szCs w:val="24"/>
          <w:rtl w:val="0"/>
        </w:rPr>
        <w:t xml:space="preserve">Clinical and Translational Science</w:t>
      </w:r>
      <w:r w:rsidDel="00000000" w:rsidR="00000000" w:rsidRPr="00000000">
        <w:rPr>
          <w:rFonts w:ascii="Times New Roman" w:cs="Times New Roman" w:eastAsia="Times New Roman" w:hAnsi="Times New Roman"/>
          <w:sz w:val="24"/>
          <w:szCs w:val="24"/>
          <w:rtl w:val="0"/>
        </w:rPr>
        <w:t xml:space="preserve">, vol. 17, no. 11, Art. no. e70056, Oct. 2024,</w:t>
      </w:r>
      <w:r w:rsidDel="00000000" w:rsidR="00000000" w:rsidRPr="00000000">
        <w:rPr>
          <w:rFonts w:ascii="Times New Roman" w:cs="Times New Roman" w:eastAsia="Times New Roman" w:hAnsi="Times New Roman"/>
          <w:b w:val="1"/>
          <w:bCs w:val="1"/>
          <w:sz w:val="24"/>
          <w:szCs w:val="24"/>
          <w:rtl w:val="0"/>
        </w:rPr>
        <w:t xml:space="preserve"> doi: 10.1111/cts.70056</w:t>
      </w:r>
    </w:p>
    <w:p w:rsidR="00000000" w:rsidDel="00000000" w:rsidP="00000000" w:rsidRDefault="00000000" w:rsidRPr="00000000" w14:paraId="000001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Y. Jia, Y. Guo, Y. Chen, X. Zhang, G. Wang, and Q. Zhang, “MmodalFire: A Continuous Multimodal Dataset Comprising Video and Physical Sensing Data for Detecting Indoor Fires,” </w:t>
      </w:r>
      <w:r w:rsidDel="00000000" w:rsidR="00000000" w:rsidRPr="00000000">
        <w:rPr>
          <w:rFonts w:ascii="Times New Roman" w:cs="Times New Roman" w:eastAsia="Times New Roman" w:hAnsi="Times New Roman"/>
          <w:i w:val="1"/>
          <w:iCs w:val="1"/>
          <w:sz w:val="24"/>
          <w:szCs w:val="24"/>
          <w:rtl w:val="0"/>
        </w:rPr>
        <w:t xml:space="preserve">Scientific Data</w:t>
      </w:r>
      <w:r w:rsidDel="00000000" w:rsidR="00000000" w:rsidRPr="00000000">
        <w:rPr>
          <w:rFonts w:ascii="Times New Roman" w:cs="Times New Roman" w:eastAsia="Times New Roman" w:hAnsi="Times New Roman"/>
          <w:sz w:val="24"/>
          <w:szCs w:val="24"/>
          <w:rtl w:val="0"/>
        </w:rPr>
        <w:t xml:space="preserve">, vol. 13, Article 489, 2026. </w:t>
      </w:r>
      <w:r w:rsidDel="00000000" w:rsidR="00000000" w:rsidRPr="00000000">
        <w:rPr>
          <w:rFonts w:ascii="Times New Roman" w:cs="Times New Roman" w:eastAsia="Times New Roman" w:hAnsi="Times New Roman"/>
          <w:b w:val="1"/>
          <w:bCs w:val="1"/>
          <w:sz w:val="24"/>
          <w:szCs w:val="24"/>
          <w:rtl w:val="0"/>
        </w:rPr>
        <w:t xml:space="preserve">doi.org/10.1038/s41597-026-06810-6</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E6">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[38] K. Benderouach, I. Bennis, K. Mansouri, and A. Siadat, “Predicting human and environmental risk factors of accidents in the energy sector using machine learning,” Applied Sciences, vol. 16, no. 3, Art. no. 1203, 2026, </w:t>
      </w:r>
      <w:r w:rsidDel="00000000" w:rsidR="00000000" w:rsidRPr="00000000">
        <w:rPr>
          <w:rFonts w:ascii="Times New Roman" w:cs="Times New Roman" w:eastAsia="Times New Roman" w:hAnsi="Times New Roman"/>
          <w:b w:val="1"/>
          <w:bCs w:val="1"/>
          <w:sz w:val="24"/>
          <w:szCs w:val="24"/>
          <w:rtl w:val="0"/>
        </w:rPr>
        <w:t xml:space="preserve">doi: 10.3390/app16031203.</w:t>
      </w:r>
    </w:p>
    <w:p w:rsidR="00000000" w:rsidDel="00000000" w:rsidP="00000000" w:rsidRDefault="00000000" w:rsidRPr="00000000" w14:paraId="000001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 S. Tan, T. T. Toe, P. Joseph, and K. Moinuddin, “Explainable Artificial Intelligence (XAI)-Enabled Probabilistic Fire Risk Prediction for High-Rise Residential Buildings: SHAP Attribution of Human and Organisational Risks,” Buildings, vol. 16, no. 13, Art. no. 2538, 2026.</w:t>
      </w:r>
    </w:p>
    <w:p w:rsidR="00000000" w:rsidDel="00000000" w:rsidP="00000000" w:rsidRDefault="00000000" w:rsidRPr="00000000" w14:paraId="000001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J. Manoah, J. Anitha, S. Immanuel Alex, and S. Stewart Kirubakaran, "Smart Accident Prediction in Fireworks Industry Using AI," in </w:t>
      </w:r>
      <w:r w:rsidDel="00000000" w:rsidR="00000000" w:rsidRPr="00000000">
        <w:rPr>
          <w:rFonts w:ascii="Times New Roman" w:cs="Times New Roman" w:eastAsia="Times New Roman" w:hAnsi="Times New Roman"/>
          <w:i w:val="1"/>
          <w:iCs w:val="1"/>
          <w:sz w:val="24"/>
          <w:szCs w:val="24"/>
          <w:rtl w:val="0"/>
        </w:rPr>
        <w:t xml:space="preserve">Proceedings of the 2026 4th International Conference</w:t>
      </w:r>
      <w:r w:rsidDel="00000000" w:rsidR="00000000" w:rsidRPr="00000000">
        <w:rPr>
          <w:rFonts w:ascii="Times New Roman" w:cs="Times New Roman" w:eastAsia="Times New Roman" w:hAnsi="Times New Roman"/>
          <w:sz w:val="24"/>
          <w:szCs w:val="24"/>
          <w:rtl w:val="0"/>
        </w:rPr>
        <w:t xml:space="preserve">, IEEE, 2026.</w:t>
      </w:r>
    </w:p>
    <w:p w:rsidR="00000000" w:rsidDel="00000000" w:rsidP="00000000" w:rsidRDefault="00000000" w:rsidRPr="00000000" w14:paraId="000001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S. Alsulamy, M. Alshayeb, I. Inam, and A. Ahmed, “Machine Learning Applications for Predicting Safety Incidents in Construction Industry,” </w:t>
      </w:r>
      <w:r w:rsidDel="00000000" w:rsidR="00000000" w:rsidRPr="00000000">
        <w:rPr>
          <w:rFonts w:ascii="Times New Roman" w:cs="Times New Roman" w:eastAsia="Times New Roman" w:hAnsi="Times New Roman"/>
          <w:i w:val="1"/>
          <w:iCs w:val="1"/>
          <w:sz w:val="24"/>
          <w:szCs w:val="24"/>
          <w:rtl w:val="0"/>
        </w:rPr>
        <w:t xml:space="preserve">Scientific Reports</w:t>
      </w:r>
      <w:r w:rsidDel="00000000" w:rsidR="00000000" w:rsidRPr="00000000">
        <w:rPr>
          <w:rFonts w:ascii="Times New Roman" w:cs="Times New Roman" w:eastAsia="Times New Roman" w:hAnsi="Times New Roman"/>
          <w:sz w:val="24"/>
          <w:szCs w:val="24"/>
          <w:rtl w:val="0"/>
        </w:rPr>
        <w:t xml:space="preserve">, vol. 16, Article 4673, 2026. </w:t>
      </w:r>
      <w:r w:rsidDel="00000000" w:rsidR="00000000" w:rsidRPr="00000000">
        <w:rPr>
          <w:rFonts w:ascii="Times New Roman" w:cs="Times New Roman" w:eastAsia="Times New Roman" w:hAnsi="Times New Roman"/>
          <w:b w:val="1"/>
          <w:bCs w:val="1"/>
          <w:sz w:val="24"/>
          <w:szCs w:val="24"/>
          <w:rtl w:val="0"/>
        </w:rPr>
        <w:t xml:space="preserve">doi.org/10.1038/s41598-025-34763-0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EA">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[42] J. Desikan, S. K. Singh, A. Jayanthiladevi, S. Singh, and B. Yoon, “Dempster Shafer-empowered machine learning-based scheme for reducing fire risks in IoT-enabled industrial environments,” IEEE Access, vol. 13, pp. 46546–46567, 2025, </w:t>
      </w:r>
      <w:r w:rsidDel="00000000" w:rsidR="00000000" w:rsidRPr="00000000">
        <w:rPr>
          <w:rFonts w:ascii="Times New Roman" w:cs="Times New Roman" w:eastAsia="Times New Roman" w:hAnsi="Times New Roman"/>
          <w:b w:val="1"/>
          <w:bCs w:val="1"/>
          <w:sz w:val="24"/>
          <w:szCs w:val="24"/>
          <w:rtl w:val="0"/>
        </w:rPr>
        <w:t xml:space="preserve">doi: 10.1109/ACCESS.2025.3550413.</w:t>
      </w:r>
    </w:p>
    <w:p w:rsidR="00000000" w:rsidDel="00000000" w:rsidP="00000000" w:rsidRDefault="00000000" w:rsidRPr="00000000" w14:paraId="000001E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[43] M. Milli and M. Milli, “Reducing false positives in building fire detection systems via multiple metal oxide sensors,” IEEE Access, vol. 13, pp. 157537–157550, 2025,</w:t>
      </w:r>
      <w:r w:rsidDel="00000000" w:rsidR="00000000" w:rsidRPr="00000000">
        <w:rPr>
          <w:rFonts w:ascii="Times New Roman" w:cs="Times New Roman" w:eastAsia="Times New Roman" w:hAnsi="Times New Roman"/>
          <w:b w:val="1"/>
          <w:bCs w:val="1"/>
          <w:sz w:val="24"/>
          <w:szCs w:val="24"/>
          <w:rtl w:val="0"/>
        </w:rPr>
        <w:t xml:space="preserve"> doi: 10.1109/ACCESS.2025.3606584.</w:t>
      </w:r>
    </w:p>
    <w:p w:rsidR="00000000" w:rsidDel="00000000" w:rsidP="00000000" w:rsidRDefault="00000000" w:rsidRPr="00000000" w14:paraId="000001EC">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[44] I. C. Obasi and C. Benson, “An explainable machine learning framework for predicting injury severity in the extractive industry using SHAP,” Results in Engineering, vol. 28, Art. no. 107552, 2025, </w:t>
      </w:r>
      <w:r w:rsidDel="00000000" w:rsidR="00000000" w:rsidRPr="00000000">
        <w:rPr>
          <w:rFonts w:ascii="Times New Roman" w:cs="Times New Roman" w:eastAsia="Times New Roman" w:hAnsi="Times New Roman"/>
          <w:b w:val="1"/>
          <w:bCs w:val="1"/>
          <w:sz w:val="24"/>
          <w:szCs w:val="24"/>
          <w:rtl w:val="0"/>
        </w:rPr>
        <w:t xml:space="preserve">doi: 10.1016/j.rineng.2025.107552.</w:t>
      </w:r>
    </w:p>
    <w:p w:rsidR="00000000" w:rsidDel="00000000" w:rsidP="00000000" w:rsidRDefault="00000000" w:rsidRPr="00000000" w14:paraId="000001ED">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[45] D. P. Sharma, N. Beigi-Mohammadi, P. S. Bodro, J. F. L. Leon-Garcia, and A. El-Emam, “A Machine Learning Framework for Fire Risk Prediction with Response and Proximity Insights,” IEEE Access, 2025, </w:t>
      </w:r>
      <w:r w:rsidDel="00000000" w:rsidR="00000000" w:rsidRPr="00000000">
        <w:rPr>
          <w:rFonts w:ascii="Times New Roman" w:cs="Times New Roman" w:eastAsia="Times New Roman" w:hAnsi="Times New Roman"/>
          <w:b w:val="1"/>
          <w:bCs w:val="1"/>
          <w:sz w:val="24"/>
          <w:szCs w:val="24"/>
          <w:rtl w:val="0"/>
        </w:rPr>
        <w:t xml:space="preserve">doi: 10.1109/ACCESS.2025.3602259.</w:t>
      </w:r>
    </w:p>
    <w:p w:rsidR="00000000" w:rsidDel="00000000" w:rsidP="00000000" w:rsidRDefault="00000000" w:rsidRPr="00000000" w14:paraId="000001EE">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[46] S. Pandey, A. K. Singh, S. Parhi, and S. K. Jha, “Towards safer steel operations with a multi-model framework for accident prediction and risk assessment simulation,” Scientific Reports, vol. 15, Art. no. 13293, 2025,</w:t>
      </w:r>
      <w:r w:rsidDel="00000000" w:rsidR="00000000" w:rsidRPr="00000000">
        <w:rPr>
          <w:rFonts w:ascii="Times New Roman" w:cs="Times New Roman" w:eastAsia="Times New Roman" w:hAnsi="Times New Roman"/>
          <w:b w:val="1"/>
          <w:bCs w:val="1"/>
          <w:sz w:val="24"/>
          <w:szCs w:val="24"/>
          <w:rtl w:val="0"/>
        </w:rPr>
        <w:t xml:space="preserve"> doi: 10.1038/s41598-025-96028-0.</w:t>
      </w:r>
    </w:p>
    <w:p w:rsidR="00000000" w:rsidDel="00000000" w:rsidP="00000000" w:rsidRDefault="00000000" w:rsidRPr="00000000" w14:paraId="000001EF">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[47]  X. Li, S. Zhang, X. Li, J. Zeng, Y. Long, B. Nie, and C. Zhao, “SHAP-driven insights into multimodal data: Behavior phase prediction for industrial safety applications,” Scientific Reports, vol. 15, Art. no. 34965, 2025,</w:t>
      </w:r>
      <w:r w:rsidDel="00000000" w:rsidR="00000000" w:rsidRPr="00000000">
        <w:rPr>
          <w:rFonts w:ascii="Times New Roman" w:cs="Times New Roman" w:eastAsia="Times New Roman" w:hAnsi="Times New Roman"/>
          <w:b w:val="1"/>
          <w:bCs w:val="1"/>
          <w:sz w:val="24"/>
          <w:szCs w:val="24"/>
          <w:rtl w:val="0"/>
        </w:rPr>
        <w:t xml:space="preserve"> doi: 10.1038/s41598-025-18889-9.</w:t>
      </w:r>
    </w:p>
    <w:p w:rsidR="00000000" w:rsidDel="00000000" w:rsidP="00000000" w:rsidRDefault="00000000" w:rsidRPr="00000000" w14:paraId="000001F0">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[48] J. Desikan, S. K. Singh, A. Jayanthiladevi, S. Bhushan, V. Rishiwal, and M. Kumar, “Hybrid machine learning-based fault-tolerant sensor data fusion and anomaly detection for fire risk mitigation in IIoT environment,” Sensors, vol. 25, no. 7, Art. no. 2146, 2025, </w:t>
      </w:r>
      <w:r w:rsidDel="00000000" w:rsidR="00000000" w:rsidRPr="00000000">
        <w:rPr>
          <w:rFonts w:ascii="Times New Roman" w:cs="Times New Roman" w:eastAsia="Times New Roman" w:hAnsi="Times New Roman"/>
          <w:b w:val="1"/>
          <w:bCs w:val="1"/>
          <w:sz w:val="24"/>
          <w:szCs w:val="24"/>
          <w:rtl w:val="0"/>
        </w:rPr>
        <w:t xml:space="preserve">doi: 10.3390/s25072146.</w:t>
      </w:r>
    </w:p>
    <w:p w:rsidR="00000000" w:rsidDel="00000000" w:rsidP="00000000" w:rsidRDefault="00000000" w:rsidRPr="00000000" w14:paraId="000001F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[49</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 M. I. Alam et al., “Real-Time Detection of Forest Fires Using FireNet-CNN and Explainable AI Techniques,” </w:t>
      </w:r>
      <w:r w:rsidDel="00000000" w:rsidR="00000000" w:rsidRPr="00000000">
        <w:rPr>
          <w:rFonts w:ascii="Times New Roman" w:cs="Times New Roman" w:eastAsia="Times New Roman" w:hAnsi="Times New Roman"/>
          <w:i w:val="1"/>
          <w:iCs w:val="1"/>
          <w:sz w:val="24"/>
          <w:szCs w:val="24"/>
          <w:rtl w:val="0"/>
        </w:rPr>
        <w:t xml:space="preserve">IEEE Access</w:t>
      </w:r>
      <w:r w:rsidDel="00000000" w:rsidR="00000000" w:rsidRPr="00000000">
        <w:rPr>
          <w:rFonts w:ascii="Times New Roman" w:cs="Times New Roman" w:eastAsia="Times New Roman" w:hAnsi="Times New Roman"/>
          <w:sz w:val="24"/>
          <w:szCs w:val="24"/>
          <w:rtl w:val="0"/>
        </w:rPr>
        <w:t xml:space="preserve">, vol. 13, pp. 51150–51181, 2025. </w:t>
      </w:r>
      <w:hyperlink r:id="rId36">
        <w:r w:rsidDel="00000000" w:rsidR="00000000" w:rsidRPr="00000000">
          <w:rPr>
            <w:rFonts w:ascii="Times New Roman" w:cs="Times New Roman" w:eastAsia="Times New Roman" w:hAnsi="Times New Roman"/>
            <w:b w:val="1"/>
            <w:bCs w:val="1"/>
            <w:sz w:val="24"/>
            <w:szCs w:val="24"/>
            <w:rtl w:val="0"/>
          </w:rPr>
          <w:t xml:space="preserve">doi.org/10.1109/ACCESS.2025.3552352</w:t>
        </w:r>
      </w:hyperlink>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1F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[50] M. Z. F. Khairuddin, S. Sankaranarayanan, K. Hasikin, N. A. Abd Razak, and R. Omar, “Contextualizing injury severity from occupational accident reports using an optimized deep learning prediction model,” PeerJ Computer Science, vol. 10, Art. no. e1985, 2024, </w:t>
      </w:r>
      <w:r w:rsidDel="00000000" w:rsidR="00000000" w:rsidRPr="00000000">
        <w:rPr>
          <w:rFonts w:ascii="Times New Roman" w:cs="Times New Roman" w:eastAsia="Times New Roman" w:hAnsi="Times New Roman"/>
          <w:b w:val="1"/>
          <w:bCs w:val="1"/>
          <w:sz w:val="24"/>
          <w:szCs w:val="24"/>
          <w:rtl w:val="0"/>
        </w:rPr>
        <w:t xml:space="preserve">doi: 10.7717/peerj-cs.1985.</w:t>
      </w:r>
    </w:p>
    <w:p w:rsidR="00000000" w:rsidDel="00000000" w:rsidP="00000000" w:rsidRDefault="00000000" w:rsidRPr="00000000" w14:paraId="000001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C. Zhao, J. Liu, and E. Parilina, "The Shapley Value Contribution to Explainable Artificial Intelligence: A Comprehensive Survey," </w:t>
      </w:r>
      <w:r w:rsidDel="00000000" w:rsidR="00000000" w:rsidRPr="00000000">
        <w:rPr>
          <w:rFonts w:ascii="Times New Roman" w:cs="Times New Roman" w:eastAsia="Times New Roman" w:hAnsi="Times New Roman"/>
          <w:i w:val="1"/>
          <w:iCs w:val="1"/>
          <w:sz w:val="24"/>
          <w:szCs w:val="24"/>
          <w:rtl w:val="0"/>
        </w:rPr>
        <w:t xml:space="preserve">Dynamic Games and Applications</w:t>
      </w:r>
      <w:r w:rsidDel="00000000" w:rsidR="00000000" w:rsidRPr="00000000">
        <w:rPr>
          <w:rFonts w:ascii="Times New Roman" w:cs="Times New Roman" w:eastAsia="Times New Roman" w:hAnsi="Times New Roman"/>
          <w:sz w:val="24"/>
          <w:szCs w:val="24"/>
          <w:rtl w:val="0"/>
        </w:rPr>
        <w:t xml:space="preserve">, vol. 16, no. 3, pp. 1–38, Oct. 2025, </w:t>
      </w:r>
      <w:r w:rsidDel="00000000" w:rsidR="00000000" w:rsidRPr="00000000">
        <w:rPr>
          <w:rFonts w:ascii="Times New Roman" w:cs="Times New Roman" w:eastAsia="Times New Roman" w:hAnsi="Times New Roman"/>
          <w:b w:val="1"/>
          <w:bCs w:val="1"/>
          <w:sz w:val="24"/>
          <w:szCs w:val="24"/>
          <w:rtl w:val="0"/>
        </w:rPr>
        <w:t xml:space="preserve">doi: 10.1007/s13235-025-00670-2.</w:t>
      </w:r>
      <w:r w:rsidDel="00000000" w:rsidR="00000000" w:rsidRPr="00000000">
        <w:rPr>
          <w:rtl w:val="0"/>
        </w:rPr>
      </w:r>
    </w:p>
    <w:p w:rsidR="00000000" w:rsidDel="00000000" w:rsidP="00000000" w:rsidRDefault="00000000" w:rsidRPr="00000000" w14:paraId="000001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sectPr>
      <w:headerReference r:id="rId37" w:type="default"/>
      <w:headerReference r:id="rId38" w:type="first"/>
      <w:footerReference r:id="rId39" w:type="default"/>
      <w:footerReference r:id="rId40" w:type="first"/>
      <w:footerReference r:id="rId41" w:type="even"/>
      <w:pgSz w:h="15840" w:w="12240" w:orient="portrait"/>
      <w:pgMar w:bottom="1497" w:top="1440" w:left="1440" w:right="1368" w:header="720" w:footer="72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Play">
    <w:embedRegular w:fontKey="{00000000-0000-0000-0000-000000000000}" r:id="rId1" w:subsetted="0"/>
    <w:embedBold w:fontKey="{00000000-0000-0000-0000-000000000000}" r:id="rId2" w:subsetted="0"/>
  </w:font>
  <w:font w:name="Aptos"/>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B">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C">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9">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upperLetter"/>
      <w:lvlText w:val="%1."/>
      <w:lvlJc w:val="left"/>
      <w:pPr>
        <w:ind w:left="720" w:hanging="360"/>
      </w:pPr>
      <w:rPr>
        <w:i w:val="0"/>
        <w:i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rPr>
      <w:rFonts w:ascii="Calibri" w:cs="Calibri" w:eastAsia="Calibri" w:hAnsi="Calibri"/>
    </w:rPr>
    <w:tblPr>
      <w:tblStyleRowBandSize w:val="1"/>
      <w:tblStyleColBandSize w:val="1"/>
    </w:tblPr>
  </w:style>
  <w:style w:type="table" w:styleId="Table2">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tblStylePr w:type="band1Horz">
      <w:tcPr>
        <w:shd w:fill="f1ceee" w:val="clear"/>
      </w:tcPr>
    </w:tblStylePr>
    <w:tblStylePr w:type="band1Vert">
      <w:tcPr>
        <w:shd w:fill="f1ceee" w:val="clear"/>
      </w:tcPr>
    </w:tblStylePr>
    <w:tblStylePr w:type="firstCol">
      <w:rPr>
        <w:b w:val="1"/>
        <w:bCs w:val="1"/>
      </w:rPr>
    </w:tblStylePr>
    <w:tblStylePr w:type="firstRow">
      <w:rPr>
        <w:b w:val="1"/>
        <w:bCs w:val="1"/>
        <w:color w:val="ffffff"/>
      </w:rPr>
      <w:tcPr>
        <w:tcBorders>
          <w:top w:color="a02b93" w:space="0" w:sz="4" w:val="single"/>
          <w:left w:color="a02b93" w:space="0" w:sz="4" w:val="single"/>
          <w:bottom w:color="a02b93" w:space="0" w:sz="4" w:val="single"/>
          <w:right w:color="a02b93" w:space="0" w:sz="4" w:val="single"/>
          <w:insideH w:color="000000" w:space="0" w:sz="0" w:val="nil"/>
        </w:tcBorders>
        <w:shd w:fill="a02b93" w:val="clear"/>
      </w:tcPr>
    </w:tblStylePr>
    <w:tblStylePr w:type="lastCol">
      <w:rPr>
        <w:b w:val="1"/>
        <w:bCs w:val="1"/>
      </w:rPr>
    </w:tblStylePr>
    <w:tblStylePr w:type="lastRow">
      <w:rPr>
        <w:b w:val="1"/>
        <w:bCs w:val="1"/>
      </w:rPr>
      <w:tcPr>
        <w:tcBorders>
          <w:top w:color="d76dcc" w:space="0" w:sz="4" w:val="single"/>
        </w:tcBorders>
      </w:tcPr>
    </w:tblStylePr>
  </w:style>
</w:styles>
</file>

<file path=word/_rels/document.xml.rels><?xml version="1.0" encoding="UTF-8" standalone="yes"?><Relationships xmlns="http://schemas.openxmlformats.org/package/2006/relationships"><Relationship Id="rId40" Type="http://schemas.openxmlformats.org/officeDocument/2006/relationships/footer" Target="footer2.xml"/><Relationship Id="rId20" Type="http://schemas.openxmlformats.org/officeDocument/2006/relationships/hyperlink" Target="https://docs.google.com/document/d/1gQoIuJyyte64pcKyhZXKmBQKzk4JSGyX/edit?pli=1#heading=h.pjw8x0utox93" TargetMode="External"/><Relationship Id="rId41" Type="http://schemas.openxmlformats.org/officeDocument/2006/relationships/footer" Target="footer3.xml"/><Relationship Id="rId22" Type="http://schemas.openxmlformats.org/officeDocument/2006/relationships/image" Target="media/image7.png"/><Relationship Id="rId21" Type="http://schemas.openxmlformats.org/officeDocument/2006/relationships/hyperlink" Target="https://docs.google.com/document/d/1gQoIuJyyte64pcKyhZXKmBQKzk4JSGyX/edit?pli=1#heading=h.pjw8x0utox93" TargetMode="External"/><Relationship Id="rId24" Type="http://schemas.openxmlformats.org/officeDocument/2006/relationships/image" Target="media/image8.png"/><Relationship Id="rId23"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130017905@gmail.com" TargetMode="External"/><Relationship Id="rId26" Type="http://schemas.openxmlformats.org/officeDocument/2006/relationships/image" Target="media/image3.png"/><Relationship Id="rId25" Type="http://schemas.openxmlformats.org/officeDocument/2006/relationships/image" Target="media/image2.png"/><Relationship Id="rId28" Type="http://schemas.openxmlformats.org/officeDocument/2006/relationships/image" Target="media/image4.png"/><Relationship Id="rId27" Type="http://schemas.openxmlformats.org/officeDocument/2006/relationships/image" Target="media/image9.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6.png"/><Relationship Id="rId7" Type="http://schemas.openxmlformats.org/officeDocument/2006/relationships/image" Target="media/image1.png"/><Relationship Id="rId8" Type="http://schemas.openxmlformats.org/officeDocument/2006/relationships/hyperlink" Target="mailto:abd.alfifi95@gmail.com" TargetMode="External"/><Relationship Id="rId31" Type="http://schemas.openxmlformats.org/officeDocument/2006/relationships/image" Target="media/image10.png"/><Relationship Id="rId30" Type="http://schemas.openxmlformats.org/officeDocument/2006/relationships/image" Target="media/image5.png"/><Relationship Id="rId11" Type="http://schemas.openxmlformats.org/officeDocument/2006/relationships/hyperlink" Target="https://docs.google.com/document/d/1gQoIuJyyte64pcKyhZXKmBQKzk4JSGyX/edit?pli=1#heading=h.pjw8x0utox93" TargetMode="External"/><Relationship Id="rId33" Type="http://schemas.openxmlformats.org/officeDocument/2006/relationships/image" Target="media/image13.png"/><Relationship Id="rId10" Type="http://schemas.openxmlformats.org/officeDocument/2006/relationships/hyperlink" Target="https://docs.google.com/document/d/1gQoIuJyyte64pcKyhZXKmBQKzk4JSGyX/edit?pli=1#heading=h.pjw8x0utox93" TargetMode="External"/><Relationship Id="rId32" Type="http://schemas.openxmlformats.org/officeDocument/2006/relationships/image" Target="media/image11.png"/><Relationship Id="rId13" Type="http://schemas.openxmlformats.org/officeDocument/2006/relationships/hyperlink" Target="https://docs.google.com/document/d/1gQoIuJyyte64pcKyhZXKmBQKzk4JSGyX/edit?pli=1#heading=h.pjw8x0utox93" TargetMode="External"/><Relationship Id="rId35" Type="http://schemas.openxmlformats.org/officeDocument/2006/relationships/hyperlink" Target="https://www.canadasafetytraining.com/Safety_Blog/common-gas-hazards.aspx" TargetMode="External"/><Relationship Id="rId12" Type="http://schemas.openxmlformats.org/officeDocument/2006/relationships/hyperlink" Target="https://docs.google.com/document/d/1gQoIuJyyte64pcKyhZXKmBQKzk4JSGyX/edit?pli=1#heading=h.pjw8x0utox93" TargetMode="External"/><Relationship Id="rId34" Type="http://schemas.openxmlformats.org/officeDocument/2006/relationships/hyperlink" Target="https://www.ilo.org/topics-and-sectors/safety-and-health-work" TargetMode="External"/><Relationship Id="rId15" Type="http://schemas.openxmlformats.org/officeDocument/2006/relationships/hyperlink" Target="https://docs.google.com/document/d/1gQoIuJyyte64pcKyhZXKmBQKzk4JSGyX/edit?pli=1#heading=h.pjw8x0utox93" TargetMode="External"/><Relationship Id="rId37" Type="http://schemas.openxmlformats.org/officeDocument/2006/relationships/header" Target="header1.xml"/><Relationship Id="rId14" Type="http://schemas.openxmlformats.org/officeDocument/2006/relationships/hyperlink" Target="https://docs.google.com/document/d/1gQoIuJyyte64pcKyhZXKmBQKzk4JSGyX/edit?pli=1#heading=h.pjw8x0utox93" TargetMode="External"/><Relationship Id="rId36" Type="http://schemas.openxmlformats.org/officeDocument/2006/relationships/hyperlink" Target="https://doi.org/10.1109/ACCESS.2025.3552352" TargetMode="External"/><Relationship Id="rId17" Type="http://schemas.openxmlformats.org/officeDocument/2006/relationships/hyperlink" Target="https://docs.google.com/document/d/1gQoIuJyyte64pcKyhZXKmBQKzk4JSGyX/edit?pli=1#heading=h.pjw8x0utox93" TargetMode="External"/><Relationship Id="rId39" Type="http://schemas.openxmlformats.org/officeDocument/2006/relationships/footer" Target="footer1.xml"/><Relationship Id="rId16" Type="http://schemas.openxmlformats.org/officeDocument/2006/relationships/hyperlink" Target="https://docs.google.com/document/d/1gQoIuJyyte64pcKyhZXKmBQKzk4JSGyX/edit?pli=1#heading=h.pjw8x0utox93" TargetMode="External"/><Relationship Id="rId38" Type="http://schemas.openxmlformats.org/officeDocument/2006/relationships/header" Target="header2.xml"/><Relationship Id="rId19" Type="http://schemas.openxmlformats.org/officeDocument/2006/relationships/hyperlink" Target="https://docs.google.com/document/d/1gQoIuJyyte64pcKyhZXKmBQKzk4JSGyX/edit?pli=1#heading=h.pjw8x0utox93" TargetMode="External"/><Relationship Id="rId18" Type="http://schemas.openxmlformats.org/officeDocument/2006/relationships/hyperlink" Target="https://docs.google.com/document/d/1gQoIuJyyte64pcKyhZXKmBQKzk4JSGyX/edit?pli=1#heading=h.pjw8x0utox9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LTD6D6Bzzi0YcvUcKIV3GgBZA==">CgMxLjAyDmguemF0anlpbm10NDExMg5oLmkxbTJoa3N4MXF3bzIOaC5lOXJpdXpiOHR4MTYyDmguZDgxeTN0anNnNHcyMg5oLjd5Z2FqaGI4Z3JzYjIOaC5yMXFhZ2QxODU2bmkyDmguc2lyaTdzM2ZvcWltMg5oLjI3a2kwaThxbW0wdDINaC43cmN3Mmd4bmwydDIOaC5reDdweXpqa3J2MHAyDmgudDBieHM2MzZobDZqMg5oLnBybHFjdmVpbGRpczIOaC5oNjlxMzh1NzRsd2UyDmguaWVqa3VrMnR4aHloMg5oLjcxM2pjN3IxdnI2NTIOaC5uemVtanF4NHNieXYyDmgubXRxN2dqZGNhYmZxMg5oLjlhbXdvN3ZyM2tmYTIOaC45aTRxdzNqaXJkb3oyDmgudnAzZGFmY3c4ZzFwMg5oLmx4MmE3NWh2ZzR1NzIOaC4xN3BqYzIxZHJjejYyDmgudGx6ZnFseTlyc3l2Mg5oLmZxdHBrZzNycnFrMTIOaC5iNHhnNDQ5eTNtMmgyDmgucTIwcTJkNzFkaHN4Mg5oLmM3MGViMGl2MGdmYjIOaC40ajhqYTM1amo5NXMyDmgud3U3ZGQxbG5tdnJlMg5oLml0aW4zdW1oMHhwNjINaC5yNHNhYzB5MTFlcjIOaC5la2pid2JrdjU0MXg4AHIhMWdnX3NOdGU0bHBTT184NWptbHpMNGw4dExkdTZ0V190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04f04265-19b9-4f47-a0a1-68664284afc5</vt:lpwstr>
  </property>
</Properties>
</file>