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C13E4" w14:textId="77777777" w:rsidR="00E13A59" w:rsidRPr="00386BAD" w:rsidRDefault="00E13A59" w:rsidP="001E4EE6">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0FE01424">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6DB3EBAA" w14:textId="77777777"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14:paraId="2A64D0CB" w14:textId="77777777"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كلية الادارة</w:t>
      </w:r>
    </w:p>
    <w:p w14:paraId="78AAD548" w14:textId="77777777" w:rsidR="00AC700A" w:rsidRPr="00386BAD" w:rsidRDefault="00AC700A" w:rsidP="00AC700A">
      <w:pPr>
        <w:bidi/>
        <w:jc w:val="center"/>
        <w:rPr>
          <w:sz w:val="20"/>
          <w:szCs w:val="20"/>
          <w:rtl/>
          <w:lang w:bidi="ar-JO"/>
        </w:rPr>
      </w:pPr>
    </w:p>
    <w:p w14:paraId="4CC52DAE" w14:textId="77777777"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4376563C" w14:textId="77777777" w:rsidR="00E13A59" w:rsidRPr="00386BAD" w:rsidRDefault="00E13A59" w:rsidP="00E13A59">
      <w:pPr>
        <w:bidi/>
        <w:jc w:val="center"/>
        <w:rPr>
          <w:rFonts w:ascii="Traditional Arabic" w:hAnsi="Traditional Arabic" w:cs="Traditional Arabic"/>
          <w:b/>
          <w:bCs/>
          <w:sz w:val="28"/>
          <w:szCs w:val="28"/>
          <w:rtl/>
        </w:rPr>
      </w:pPr>
    </w:p>
    <w:p w14:paraId="2DD71676" w14:textId="77777777" w:rsidR="00AC700A" w:rsidRPr="00386BAD" w:rsidRDefault="00E13A59" w:rsidP="00E13A59">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 xml:space="preserve">اعداد: </w:t>
      </w:r>
    </w:p>
    <w:p w14:paraId="2F857E77" w14:textId="77777777"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14:paraId="2F516DA7" w14:textId="09A1209F" w:rsidR="00AC700A" w:rsidRPr="00386BAD" w:rsidRDefault="00AC700A" w:rsidP="00C11CC1">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المملكة العربية السعودية</w:t>
      </w:r>
    </w:p>
    <w:p w14:paraId="61E87203" w14:textId="77777777" w:rsidR="00AC700A" w:rsidRPr="00386BAD" w:rsidRDefault="00AC700A" w:rsidP="00AC700A">
      <w:pPr>
        <w:bidi/>
        <w:jc w:val="center"/>
        <w:rPr>
          <w:rFonts w:ascii="Traditional Arabic" w:hAnsi="Traditional Arabic" w:cs="Traditional Arabic"/>
          <w:b/>
          <w:bCs/>
          <w:sz w:val="24"/>
          <w:szCs w:val="24"/>
          <w:rtl/>
        </w:rPr>
      </w:pPr>
    </w:p>
    <w:p w14:paraId="2D6ACED5"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14:paraId="758D90E0"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الادارة</w:t>
      </w:r>
    </w:p>
    <w:p w14:paraId="52FBD6DD" w14:textId="77777777" w:rsidR="00134C67" w:rsidRPr="00386BAD" w:rsidRDefault="00134C67" w:rsidP="00134C67">
      <w:pPr>
        <w:bidi/>
        <w:rPr>
          <w:rtl/>
          <w:lang w:bidi="ar-JO"/>
        </w:rPr>
      </w:pPr>
    </w:p>
    <w:p w14:paraId="226EAEEF" w14:textId="77777777" w:rsidR="00134C67" w:rsidRPr="00386BAD" w:rsidRDefault="00134C67" w:rsidP="00134C67">
      <w:pPr>
        <w:bidi/>
        <w:rPr>
          <w:rtl/>
          <w:lang w:bidi="ar-JO"/>
        </w:rPr>
      </w:pPr>
    </w:p>
    <w:p w14:paraId="0B39C7B7" w14:textId="77777777" w:rsidR="00134C67" w:rsidRPr="00386BAD" w:rsidRDefault="00134C67" w:rsidP="00134C67">
      <w:pPr>
        <w:bidi/>
        <w:rPr>
          <w:rtl/>
          <w:lang w:bidi="ar-JO"/>
        </w:rPr>
      </w:pPr>
    </w:p>
    <w:p w14:paraId="42AF767F" w14:textId="77777777" w:rsidR="00134C67" w:rsidRPr="00386BAD" w:rsidRDefault="00134C67" w:rsidP="00134C67">
      <w:pPr>
        <w:bidi/>
        <w:rPr>
          <w:rtl/>
          <w:lang w:bidi="ar-JO"/>
        </w:rPr>
      </w:pPr>
    </w:p>
    <w:p w14:paraId="6061B6C2" w14:textId="77777777" w:rsidR="00134C67" w:rsidRPr="00386BAD" w:rsidRDefault="00134C67" w:rsidP="00134C67">
      <w:pPr>
        <w:bidi/>
        <w:rPr>
          <w:rtl/>
          <w:lang w:bidi="ar-JO"/>
        </w:rPr>
      </w:pPr>
    </w:p>
    <w:p w14:paraId="1FAD1B67" w14:textId="77777777"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15EBBDE1">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F00F99C" w14:textId="77777777"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14:paraId="7374C28A" w14:textId="77777777" w:rsidR="00AC700A" w:rsidRPr="00386BAD" w:rsidRDefault="00AC700A" w:rsidP="00AC700A">
      <w:pPr>
        <w:jc w:val="center"/>
        <w:rPr>
          <w:rFonts w:asciiTheme="majorBidi" w:hAnsiTheme="majorBidi" w:cstheme="majorBidi"/>
          <w:b/>
          <w:bCs/>
          <w:sz w:val="24"/>
          <w:szCs w:val="24"/>
          <w:lang w:val="en-US" w:bidi="ar-JO"/>
        </w:rPr>
      </w:pPr>
    </w:p>
    <w:p w14:paraId="61582569" w14:textId="77777777" w:rsidR="00AC700A" w:rsidRPr="00386BAD" w:rsidRDefault="00AC700A" w:rsidP="00AC700A">
      <w:pPr>
        <w:jc w:val="center"/>
        <w:rPr>
          <w:rFonts w:asciiTheme="majorBidi" w:hAnsiTheme="majorBidi" w:cstheme="majorBidi"/>
          <w:b/>
          <w:bCs/>
          <w:sz w:val="24"/>
          <w:szCs w:val="24"/>
          <w:lang w:val="en-US" w:bidi="ar-JO"/>
        </w:rPr>
      </w:pPr>
    </w:p>
    <w:p w14:paraId="0DA021F6" w14:textId="77777777"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14:paraId="534394A9" w14:textId="77777777" w:rsidR="00AC700A" w:rsidRPr="00386BAD" w:rsidRDefault="00AC700A" w:rsidP="00AC700A">
      <w:pPr>
        <w:jc w:val="center"/>
        <w:rPr>
          <w:rFonts w:asciiTheme="majorBidi" w:hAnsiTheme="majorBidi" w:cstheme="majorBidi"/>
          <w:b/>
          <w:bCs/>
          <w:sz w:val="36"/>
          <w:szCs w:val="36"/>
          <w:lang w:val="en-US" w:bidi="ar-JO"/>
        </w:rPr>
      </w:pPr>
    </w:p>
    <w:p w14:paraId="62AAFD5F" w14:textId="77777777" w:rsidR="00AC700A" w:rsidRPr="00386BAD" w:rsidRDefault="00AC700A" w:rsidP="00AC700A">
      <w:pPr>
        <w:jc w:val="center"/>
        <w:rPr>
          <w:rFonts w:asciiTheme="majorBidi" w:hAnsiTheme="majorBidi" w:cstheme="majorBidi"/>
          <w:b/>
          <w:bCs/>
          <w:sz w:val="36"/>
          <w:szCs w:val="36"/>
          <w:lang w:val="en-US" w:bidi="ar-JO"/>
        </w:rPr>
      </w:pPr>
    </w:p>
    <w:p w14:paraId="54C70784" w14:textId="77777777"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r w:rsidRPr="00386BAD">
        <w:rPr>
          <w:rFonts w:asciiTheme="majorBidi" w:hAnsiTheme="majorBidi" w:cstheme="majorBidi"/>
          <w:b/>
          <w:bCs/>
          <w:sz w:val="36"/>
          <w:szCs w:val="36"/>
          <w:lang w:val="en-US" w:bidi="ar-JO"/>
        </w:rPr>
        <w:br/>
        <w:t>A Case Study of Asir Central Hospital</w:t>
      </w:r>
    </w:p>
    <w:p w14:paraId="72784345" w14:textId="77777777" w:rsidR="00AC700A" w:rsidRPr="00386BAD" w:rsidRDefault="00AC700A" w:rsidP="00AC700A">
      <w:pPr>
        <w:jc w:val="center"/>
        <w:rPr>
          <w:rFonts w:asciiTheme="majorBidi" w:hAnsiTheme="majorBidi" w:cstheme="majorBidi"/>
          <w:b/>
          <w:bCs/>
          <w:sz w:val="28"/>
          <w:szCs w:val="28"/>
          <w:lang w:val="en-US" w:bidi="ar-JO"/>
        </w:rPr>
      </w:pPr>
    </w:p>
    <w:p w14:paraId="0AB992A0" w14:textId="77777777" w:rsidR="00AC700A" w:rsidRPr="00386BAD" w:rsidRDefault="00AC700A" w:rsidP="00AC700A">
      <w:pPr>
        <w:jc w:val="center"/>
        <w:rPr>
          <w:rFonts w:asciiTheme="majorBidi" w:hAnsiTheme="majorBidi" w:cstheme="majorBidi"/>
          <w:b/>
          <w:bCs/>
          <w:sz w:val="28"/>
          <w:szCs w:val="28"/>
          <w:lang w:val="en-US" w:bidi="ar-JO"/>
        </w:rPr>
      </w:pPr>
    </w:p>
    <w:p w14:paraId="0C3AAE9D" w14:textId="77777777"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14:paraId="42497023" w14:textId="77777777" w:rsidR="00AC700A" w:rsidRPr="00386BAD" w:rsidRDefault="00F5310D" w:rsidP="00F5310D">
      <w:pPr>
        <w:jc w:val="center"/>
        <w:rPr>
          <w:rFonts w:asciiTheme="majorBidi" w:hAnsiTheme="majorBidi" w:cstheme="majorBidi"/>
          <w:lang w:val="en-US" w:bidi="ar-JO"/>
        </w:rPr>
      </w:pPr>
      <w:r w:rsidRPr="00386BAD">
        <w:rPr>
          <w:rFonts w:asciiTheme="majorBidi" w:hAnsiTheme="majorBidi" w:cstheme="majorBidi"/>
          <w:b/>
          <w:bCs/>
          <w:sz w:val="28"/>
          <w:szCs w:val="28"/>
          <w:lang w:val="en-US" w:bidi="ar-JO"/>
        </w:rPr>
        <w:t>WISAM KAMEL DAWOOD EZZALDEEN</w:t>
      </w:r>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14:paraId="165FC3E9" w14:textId="77777777" w:rsidR="00AC700A" w:rsidRPr="00386BAD" w:rsidRDefault="00AC700A" w:rsidP="00AC700A">
      <w:pPr>
        <w:jc w:val="center"/>
        <w:rPr>
          <w:rFonts w:asciiTheme="majorBidi" w:hAnsiTheme="majorBidi" w:cstheme="majorBidi"/>
          <w:sz w:val="24"/>
          <w:szCs w:val="24"/>
          <w:lang w:val="en-US" w:bidi="ar-JO"/>
        </w:rPr>
      </w:pPr>
    </w:p>
    <w:p w14:paraId="72EB8946" w14:textId="77777777"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9"/>
          <w:footerReference w:type="first" r:id="rId10"/>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14:paraId="7276D019" w14:textId="77777777" w:rsidR="00E223BD" w:rsidRDefault="00E223BD" w:rsidP="003A3C8B">
      <w:pPr>
        <w:bidi/>
        <w:jc w:val="center"/>
        <w:rPr>
          <w:rFonts w:ascii="Arial-BoldMT" w:cs="Arial-BoldMT"/>
          <w:b/>
          <w:bCs/>
          <w:sz w:val="36"/>
          <w:szCs w:val="36"/>
          <w:rtl/>
          <w:lang w:val="en-US"/>
        </w:rPr>
      </w:pPr>
    </w:p>
    <w:p w14:paraId="531A471E" w14:textId="77777777" w:rsidR="00E223BD" w:rsidRDefault="00E223BD" w:rsidP="00E223BD">
      <w:pPr>
        <w:bidi/>
        <w:jc w:val="center"/>
        <w:rPr>
          <w:rFonts w:ascii="Arial-BoldMT" w:cs="Arial-BoldMT"/>
          <w:b/>
          <w:bCs/>
          <w:sz w:val="36"/>
          <w:szCs w:val="36"/>
          <w:rtl/>
          <w:lang w:val="en-US"/>
        </w:rPr>
      </w:pPr>
    </w:p>
    <w:p w14:paraId="3227234A" w14:textId="77777777" w:rsidR="00E223BD" w:rsidRDefault="00E223BD" w:rsidP="00E223BD">
      <w:pPr>
        <w:bidi/>
        <w:jc w:val="center"/>
        <w:rPr>
          <w:rFonts w:ascii="Arial-BoldMT" w:cs="Arial-BoldMT"/>
          <w:b/>
          <w:bCs/>
          <w:sz w:val="36"/>
          <w:szCs w:val="36"/>
          <w:rtl/>
          <w:lang w:val="en-US"/>
        </w:rPr>
      </w:pPr>
    </w:p>
    <w:p w14:paraId="72014FC8" w14:textId="77777777" w:rsidR="00E223BD" w:rsidRDefault="00E223BD" w:rsidP="00E223BD">
      <w:pPr>
        <w:bidi/>
        <w:jc w:val="center"/>
        <w:rPr>
          <w:rFonts w:ascii="Arial-BoldMT" w:cs="Arial-BoldMT"/>
          <w:b/>
          <w:bCs/>
          <w:sz w:val="36"/>
          <w:szCs w:val="36"/>
          <w:rtl/>
          <w:lang w:val="en-US"/>
        </w:rPr>
      </w:pPr>
    </w:p>
    <w:p w14:paraId="375EA32B" w14:textId="77777777" w:rsidR="00E223BD" w:rsidRDefault="00E223BD" w:rsidP="00E223BD">
      <w:pPr>
        <w:bidi/>
        <w:jc w:val="center"/>
        <w:rPr>
          <w:rFonts w:ascii="Arial-BoldMT" w:cs="Arial-BoldMT"/>
          <w:b/>
          <w:bCs/>
          <w:sz w:val="36"/>
          <w:szCs w:val="36"/>
          <w:rtl/>
          <w:lang w:val="en-US"/>
        </w:rPr>
      </w:pPr>
    </w:p>
    <w:p w14:paraId="44A677AC" w14:textId="77777777" w:rsidR="00E223BD" w:rsidRDefault="00E223BD" w:rsidP="00E223BD">
      <w:pPr>
        <w:bidi/>
        <w:jc w:val="center"/>
        <w:rPr>
          <w:rFonts w:ascii="Arial-BoldMT" w:cs="Arial-BoldMT"/>
          <w:b/>
          <w:bCs/>
          <w:sz w:val="36"/>
          <w:szCs w:val="36"/>
          <w:rtl/>
          <w:lang w:val="en-US"/>
        </w:rPr>
      </w:pPr>
    </w:p>
    <w:p w14:paraId="6A72A9A8" w14:textId="77777777" w:rsidR="00E223BD" w:rsidRDefault="00134C67" w:rsidP="00E223BD">
      <w:pPr>
        <w:bidi/>
        <w:jc w:val="center"/>
        <w:rPr>
          <w:rFonts w:ascii="Arial-BoldMT" w:cs="Arial-BoldMT"/>
          <w:b/>
          <w:bCs/>
          <w:sz w:val="36"/>
          <w:szCs w:val="36"/>
          <w:rtl/>
          <w:lang w:val="en-US"/>
        </w:rPr>
      </w:pPr>
      <w:r w:rsidRPr="00386BAD">
        <w:rPr>
          <w:rFonts w:ascii="Arial-BoldMT" w:cs="Arial-BoldMT" w:hint="cs"/>
          <w:b/>
          <w:bCs/>
          <w:sz w:val="36"/>
          <w:szCs w:val="36"/>
          <w:rtl/>
          <w:lang w:val="en-US"/>
        </w:rPr>
        <w:t>الفصل</w:t>
      </w:r>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p>
    <w:p w14:paraId="50FE3525" w14:textId="4BE3851F" w:rsidR="00134C67" w:rsidRPr="00386BAD" w:rsidRDefault="00134C67" w:rsidP="00E223BD">
      <w:pPr>
        <w:bidi/>
        <w:jc w:val="center"/>
        <w:rPr>
          <w:rFonts w:ascii="Arial-BoldMT" w:cs="Arial-BoldMT"/>
          <w:b/>
          <w:bCs/>
          <w:sz w:val="36"/>
          <w:szCs w:val="36"/>
          <w:rtl/>
          <w:lang w:val="en-US"/>
        </w:rPr>
      </w:pPr>
      <w:r w:rsidRPr="00386BAD">
        <w:rPr>
          <w:rFonts w:ascii="Arial-BoldMT" w:cs="Arial-BoldMT"/>
          <w:b/>
          <w:bCs/>
          <w:sz w:val="36"/>
          <w:szCs w:val="36"/>
          <w:lang w:val="en-US"/>
        </w:rPr>
        <w:t>)</w:t>
      </w:r>
      <w:r w:rsidRPr="00386BAD">
        <w:rPr>
          <w:rFonts w:ascii="Arial-BoldMT" w:cs="Arial-BoldMT" w:hint="cs"/>
          <w:b/>
          <w:bCs/>
          <w:sz w:val="36"/>
          <w:szCs w:val="36"/>
          <w:rtl/>
          <w:lang w:val="en-US"/>
        </w:rPr>
        <w:t>الإطار</w:t>
      </w:r>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14:paraId="4349A9E1" w14:textId="77777777" w:rsidR="00134C67" w:rsidRPr="00386BAD" w:rsidRDefault="00134C67" w:rsidP="00134C67">
      <w:pPr>
        <w:bidi/>
        <w:rPr>
          <w:rFonts w:ascii="Calibri-Bold" w:hAnsi="Calibri-Bold" w:cs="Calibri-Bold"/>
          <w:b/>
          <w:bCs/>
          <w:sz w:val="28"/>
          <w:szCs w:val="28"/>
          <w:rtl/>
          <w:lang w:val="en-US"/>
        </w:rPr>
      </w:pPr>
    </w:p>
    <w:p w14:paraId="7C06E39E" w14:textId="77777777" w:rsidR="00CC16B8" w:rsidRDefault="00CC16B8" w:rsidP="00286636">
      <w:pPr>
        <w:bidi/>
        <w:spacing w:line="360" w:lineRule="auto"/>
        <w:jc w:val="both"/>
        <w:rPr>
          <w:rFonts w:ascii="Calibri-Bold" w:hAnsi="Calibri-Bold" w:cs="Calibri-Bold"/>
          <w:b/>
          <w:bCs/>
          <w:sz w:val="28"/>
          <w:szCs w:val="28"/>
          <w:rtl/>
          <w:lang w:val="en-US"/>
        </w:rPr>
      </w:pPr>
    </w:p>
    <w:p w14:paraId="22819C1C" w14:textId="77777777" w:rsidR="00E223BD" w:rsidRDefault="00E223BD" w:rsidP="00E223BD">
      <w:pPr>
        <w:bidi/>
        <w:spacing w:line="360" w:lineRule="auto"/>
        <w:jc w:val="both"/>
        <w:rPr>
          <w:rFonts w:ascii="Calibri-Bold" w:hAnsi="Calibri-Bold" w:cs="Calibri-Bold"/>
          <w:b/>
          <w:bCs/>
          <w:sz w:val="28"/>
          <w:szCs w:val="28"/>
          <w:rtl/>
          <w:lang w:val="en-US"/>
        </w:rPr>
      </w:pPr>
    </w:p>
    <w:p w14:paraId="614EA9EC" w14:textId="77777777" w:rsidR="00E223BD" w:rsidRDefault="00E223BD" w:rsidP="00E223BD">
      <w:pPr>
        <w:bidi/>
        <w:spacing w:line="360" w:lineRule="auto"/>
        <w:jc w:val="both"/>
        <w:rPr>
          <w:rFonts w:ascii="Calibri-Bold" w:hAnsi="Calibri-Bold" w:cs="Calibri-Bold"/>
          <w:b/>
          <w:bCs/>
          <w:sz w:val="28"/>
          <w:szCs w:val="28"/>
          <w:rtl/>
          <w:lang w:val="en-US"/>
        </w:rPr>
      </w:pPr>
    </w:p>
    <w:p w14:paraId="21D9B514" w14:textId="77777777" w:rsidR="00E223BD" w:rsidRDefault="00E223BD" w:rsidP="00E223BD">
      <w:pPr>
        <w:bidi/>
        <w:spacing w:line="360" w:lineRule="auto"/>
        <w:jc w:val="both"/>
        <w:rPr>
          <w:rFonts w:ascii="Calibri-Bold" w:hAnsi="Calibri-Bold" w:cs="Calibri-Bold"/>
          <w:b/>
          <w:bCs/>
          <w:sz w:val="28"/>
          <w:szCs w:val="28"/>
          <w:rtl/>
          <w:lang w:val="en-US"/>
        </w:rPr>
      </w:pPr>
    </w:p>
    <w:p w14:paraId="38047AC9" w14:textId="77777777" w:rsidR="00E223BD" w:rsidRDefault="00E223BD" w:rsidP="00E223BD">
      <w:pPr>
        <w:bidi/>
        <w:spacing w:line="360" w:lineRule="auto"/>
        <w:jc w:val="both"/>
        <w:rPr>
          <w:rFonts w:ascii="Calibri-Bold" w:hAnsi="Calibri-Bold" w:cs="Calibri-Bold"/>
          <w:b/>
          <w:bCs/>
          <w:sz w:val="28"/>
          <w:szCs w:val="28"/>
          <w:rtl/>
          <w:lang w:val="en-US"/>
        </w:rPr>
      </w:pPr>
    </w:p>
    <w:p w14:paraId="1EE7458A" w14:textId="77777777" w:rsidR="00E223BD" w:rsidRDefault="00E223BD" w:rsidP="00E223BD">
      <w:pPr>
        <w:bidi/>
        <w:spacing w:line="360" w:lineRule="auto"/>
        <w:jc w:val="both"/>
        <w:rPr>
          <w:rFonts w:ascii="Calibri-Bold" w:hAnsi="Calibri-Bold" w:cs="Calibri-Bold"/>
          <w:b/>
          <w:bCs/>
          <w:sz w:val="28"/>
          <w:szCs w:val="28"/>
          <w:rtl/>
          <w:lang w:val="en-US"/>
        </w:rPr>
      </w:pPr>
    </w:p>
    <w:p w14:paraId="296394C7" w14:textId="77777777" w:rsidR="00E223BD" w:rsidRDefault="00E223BD" w:rsidP="00E223BD">
      <w:pPr>
        <w:bidi/>
        <w:spacing w:line="360" w:lineRule="auto"/>
        <w:jc w:val="both"/>
        <w:rPr>
          <w:rFonts w:ascii="Calibri-Bold" w:hAnsi="Calibri-Bold" w:cs="Calibri-Bold"/>
          <w:b/>
          <w:bCs/>
          <w:sz w:val="28"/>
          <w:szCs w:val="28"/>
          <w:rtl/>
          <w:lang w:val="en-US"/>
        </w:rPr>
      </w:pPr>
    </w:p>
    <w:p w14:paraId="6C4F615E" w14:textId="77777777" w:rsidR="00E223BD" w:rsidRDefault="00E223BD" w:rsidP="00E223BD">
      <w:pPr>
        <w:bidi/>
        <w:spacing w:line="360" w:lineRule="auto"/>
        <w:jc w:val="both"/>
        <w:rPr>
          <w:rFonts w:ascii="Calibri-Bold" w:hAnsi="Calibri-Bold" w:cs="Calibri-Bold"/>
          <w:b/>
          <w:bCs/>
          <w:sz w:val="28"/>
          <w:szCs w:val="28"/>
          <w:rtl/>
          <w:lang w:val="en-US"/>
        </w:rPr>
      </w:pPr>
    </w:p>
    <w:p w14:paraId="3C575380" w14:textId="77777777" w:rsidR="00E223BD" w:rsidRDefault="00E223BD" w:rsidP="00E223BD">
      <w:pPr>
        <w:bidi/>
        <w:spacing w:line="360" w:lineRule="auto"/>
        <w:jc w:val="both"/>
        <w:rPr>
          <w:rFonts w:ascii="Calibri-Bold" w:hAnsi="Calibri-Bold" w:cs="Calibri-Bold"/>
          <w:b/>
          <w:bCs/>
          <w:sz w:val="28"/>
          <w:szCs w:val="28"/>
          <w:rtl/>
          <w:lang w:val="en-US"/>
        </w:rPr>
      </w:pPr>
    </w:p>
    <w:p w14:paraId="36AB7924" w14:textId="6B533411" w:rsidR="00E223BD" w:rsidRPr="00386BAD" w:rsidRDefault="00E223BD" w:rsidP="00E223BD">
      <w:pPr>
        <w:bidi/>
        <w:spacing w:line="360" w:lineRule="auto"/>
        <w:jc w:val="both"/>
        <w:rPr>
          <w:rFonts w:ascii="Calibri-Bold" w:hAnsi="Calibri-Bold" w:cs="Calibri-Bold"/>
          <w:b/>
          <w:bCs/>
          <w:sz w:val="28"/>
          <w:szCs w:val="28"/>
          <w:rtl/>
          <w:lang w:val="en-US"/>
        </w:rPr>
      </w:pPr>
      <w:r>
        <w:rPr>
          <w:rFonts w:ascii="Calibri-Bold" w:hAnsi="Calibri-Bold" w:cs="Times New Roman"/>
          <w:b/>
          <w:bCs/>
          <w:sz w:val="28"/>
          <w:szCs w:val="28"/>
          <w:rtl/>
          <w:lang w:val="en-US"/>
        </w:rPr>
        <w:br w:type="page"/>
      </w:r>
    </w:p>
    <w:p w14:paraId="2F571E29" w14:textId="77777777"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lastRenderedPageBreak/>
        <w:t xml:space="preserve">1.1 </w:t>
      </w:r>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p>
    <w:p w14:paraId="3C2CC4D1" w14:textId="68ABB927" w:rsidR="00286636" w:rsidRPr="00386BAD" w:rsidRDefault="00B43A32" w:rsidP="00DE1BE2">
      <w:pPr>
        <w:bidi/>
        <w:spacing w:line="360" w:lineRule="auto"/>
        <w:ind w:firstLine="720"/>
        <w:jc w:val="both"/>
        <w:rPr>
          <w:rFonts w:ascii="Traditional Arabic" w:hAnsi="Traditional Arabic" w:cs="Traditional Arabic"/>
          <w:b/>
          <w:bCs/>
          <w:sz w:val="32"/>
          <w:szCs w:val="32"/>
          <w:rtl/>
          <w:lang w:bidi="ar-JO"/>
        </w:rPr>
      </w:pPr>
      <w:r>
        <w:rPr>
          <w:rFonts w:ascii="Traditional Arabic" w:hAnsi="Traditional Arabic" w:cs="Traditional Arabic" w:hint="cs"/>
          <w:sz w:val="28"/>
          <w:szCs w:val="28"/>
          <w:rtl/>
        </w:rPr>
        <w:t xml:space="preserve">تعد </w:t>
      </w:r>
      <w:r w:rsidR="00134C67" w:rsidRPr="00386BAD">
        <w:rPr>
          <w:rFonts w:ascii="Traditional Arabic" w:hAnsi="Traditional Arabic" w:cs="Traditional Arabic"/>
          <w:sz w:val="28"/>
          <w:szCs w:val="28"/>
          <w:rtl/>
        </w:rPr>
        <w:t>جودة الرعاية الصحية من العوامل الحاسمة في رفاهية المرضى ورضاهم عن الخدمات الطبية المقدمة. في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00134C67" w:rsidRPr="00386BAD">
        <w:rPr>
          <w:rFonts w:ascii="Traditional Arabic" w:hAnsi="Traditional Arabic" w:cs="Traditional Arabic"/>
          <w:sz w:val="28"/>
          <w:szCs w:val="28"/>
        </w:rPr>
        <w:t>.</w:t>
      </w:r>
    </w:p>
    <w:p w14:paraId="0D0ABB10"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r w:rsidR="003C4CDD" w:rsidRPr="00386BAD">
        <w:rPr>
          <w:rFonts w:ascii="Traditional Arabic" w:hAnsi="Traditional Arabic" w:cs="Traditional Arabic"/>
          <w:sz w:val="28"/>
          <w:szCs w:val="28"/>
        </w:rPr>
        <w:t>Boppana,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r w:rsidR="003C4CDD" w:rsidRPr="00386BAD">
        <w:rPr>
          <w:rFonts w:ascii="Traditional Arabic" w:hAnsi="Traditional Arabic" w:cs="Traditional Arabic"/>
          <w:sz w:val="28"/>
          <w:szCs w:val="28"/>
        </w:rPr>
        <w:t>Sezdi, 2016; Shamayleh et al., 2020</w:t>
      </w:r>
      <w:r w:rsidR="003C4CDD" w:rsidRPr="00386BAD">
        <w:rPr>
          <w:rFonts w:ascii="Traditional Arabic" w:hAnsi="Traditional Arabic" w:cs="Traditional Arabic"/>
          <w:sz w:val="28"/>
          <w:szCs w:val="28"/>
          <w:rtl/>
        </w:rPr>
        <w:t>).</w:t>
      </w:r>
    </w:p>
    <w:p w14:paraId="6FB71CE4" w14:textId="77777777" w:rsidR="00BA6D4F" w:rsidRPr="00386BAD" w:rsidRDefault="00BA6D4F" w:rsidP="00286636">
      <w:pPr>
        <w:bidi/>
        <w:spacing w:line="360" w:lineRule="auto"/>
        <w:jc w:val="both"/>
        <w:rPr>
          <w:rFonts w:ascii="Traditional Arabic" w:hAnsi="Traditional Arabic" w:cs="Traditional Arabic"/>
          <w:sz w:val="28"/>
          <w:szCs w:val="28"/>
        </w:rPr>
      </w:pPr>
    </w:p>
    <w:p w14:paraId="5EDC4CFD"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2021</w:t>
      </w:r>
      <w:r w:rsidR="003C4CDD" w:rsidRPr="00386BAD">
        <w:rPr>
          <w:rFonts w:ascii="Traditional Arabic" w:hAnsi="Traditional Arabic" w:cs="Traditional Arabic"/>
          <w:sz w:val="28"/>
          <w:szCs w:val="28"/>
          <w:rtl/>
        </w:rPr>
        <w:t>؛ الحمادي، 2020)، لكن لم تُعطَ العناية الكافية لدراسة تأثير الصيانة الوقائية والتنبؤية على تحسين جودة الرعاية الصحية في سياق المستشفيات الحكومية السعودية.</w:t>
      </w:r>
    </w:p>
    <w:p w14:paraId="448270FC" w14:textId="77777777"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14:paraId="24659D7A" w14:textId="79F3BA95" w:rsidR="003A3C8B" w:rsidRDefault="00B43A32" w:rsidP="00B43A32">
      <w:pPr>
        <w:bidi/>
        <w:spacing w:line="360" w:lineRule="auto"/>
        <w:jc w:val="both"/>
        <w:rPr>
          <w:rFonts w:ascii="Traditional Arabic" w:hAnsi="Traditional Arabic" w:cs="Traditional Arabic"/>
          <w:sz w:val="28"/>
          <w:szCs w:val="28"/>
          <w:rtl/>
        </w:rPr>
      </w:pPr>
      <w:r w:rsidRPr="00B43A32">
        <w:rPr>
          <w:rFonts w:ascii="Traditional Arabic" w:hAnsi="Traditional Arabic" w:cs="Traditional Arabic"/>
          <w:sz w:val="28"/>
          <w:szCs w:val="28"/>
          <w:rtl/>
        </w:rPr>
        <w:lastRenderedPageBreak/>
        <w:t>تهدف هذه الدراسة إلى سد هذه الفجوة من خلال فحص تأثير استراتيجيات الصيانة الوقائية والتنبؤية على جودة الرعاية الصحية في مستشفى عسير المركزي، الذي يُعد من أبرز المستشفيات الحكومية في منطقة عسير بالمملكة العربية السعودية. ويُعد المستشفى بيئة مناسبة لإجراء الدراسة نظرًا لاعتماده على الأجهزة الطبية الحديثة في تقديم خدماته الصحية، إضافة إلى تبنيه استراتيجيات الصيانة الوقائية والتنبؤية بصورة منهجية خلال السنوات الأخيرة، بما ينسجم مع توجهات تطوير إدارة الأصول الصحية وتحسين كفاءة الخدمات. وتسعى الدراسة إلى تحليل أثر هذه الاستراتيجيات في تقليل وقت الاستجابة للخدمات الطبية، والحد من حالات تأجيل أو إلغاء العمليات الجراحية الناتجة عن أعطال الأجهزة الطبية، وتعزيز سلامة المرضى من خلال الحد من الحوادث المرتبطة بالأعطال الفنية، بما يسهم في دعم جودة الرعاية الصحية بصورة شاملة (</w:t>
      </w:r>
      <w:r w:rsidRPr="00B43A32">
        <w:rPr>
          <w:rFonts w:ascii="Traditional Arabic" w:hAnsi="Traditional Arabic" w:cs="Traditional Arabic"/>
          <w:sz w:val="28"/>
          <w:szCs w:val="28"/>
        </w:rPr>
        <w:t>Manchadi et al., 2023</w:t>
      </w:r>
      <w:r w:rsidRPr="00B43A32">
        <w:rPr>
          <w:rFonts w:ascii="Traditional Arabic" w:hAnsi="Traditional Arabic" w:cs="Traditional Arabic"/>
          <w:sz w:val="28"/>
          <w:szCs w:val="28"/>
          <w:rtl/>
        </w:rPr>
        <w:t xml:space="preserve">؛ </w:t>
      </w:r>
      <w:r w:rsidRPr="00B43A32">
        <w:rPr>
          <w:rFonts w:ascii="Traditional Arabic" w:hAnsi="Traditional Arabic" w:cs="Traditional Arabic"/>
          <w:sz w:val="28"/>
          <w:szCs w:val="28"/>
        </w:rPr>
        <w:t>Mahfoud et al., 2016</w:t>
      </w:r>
      <w:r w:rsidRPr="00B43A32">
        <w:rPr>
          <w:rFonts w:ascii="Traditional Arabic" w:hAnsi="Traditional Arabic" w:cs="Traditional Arabic"/>
          <w:sz w:val="28"/>
          <w:szCs w:val="28"/>
          <w:rtl/>
        </w:rPr>
        <w:t>).</w:t>
      </w:r>
    </w:p>
    <w:p w14:paraId="093763EE" w14:textId="77777777" w:rsidR="00B43A32" w:rsidRPr="00386BAD" w:rsidRDefault="00B43A32" w:rsidP="00B43A32">
      <w:pPr>
        <w:bidi/>
        <w:spacing w:line="360" w:lineRule="auto"/>
        <w:jc w:val="both"/>
        <w:rPr>
          <w:rFonts w:ascii="Traditional Arabic" w:hAnsi="Traditional Arabic" w:cs="Traditional Arabic"/>
          <w:b/>
          <w:bCs/>
          <w:sz w:val="32"/>
          <w:szCs w:val="32"/>
        </w:rPr>
      </w:pPr>
    </w:p>
    <w:p w14:paraId="695728FC" w14:textId="77777777"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r w:rsidR="00134C67" w:rsidRPr="00386BAD">
        <w:rPr>
          <w:rFonts w:ascii="Traditional Arabic" w:hAnsi="Traditional Arabic" w:cs="Traditional Arabic"/>
          <w:b/>
          <w:bCs/>
          <w:sz w:val="32"/>
          <w:szCs w:val="32"/>
          <w:rtl/>
        </w:rPr>
        <w:t>مشكلة الدراسة</w:t>
      </w:r>
    </w:p>
    <w:p w14:paraId="4FCC3951" w14:textId="77777777"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r w:rsidR="00A11FD4" w:rsidRPr="00386BAD">
        <w:rPr>
          <w:rFonts w:ascii="Traditional Arabic" w:eastAsia="Times New Roman" w:hAnsi="Traditional Arabic" w:cs="Traditional Arabic"/>
          <w:sz w:val="28"/>
          <w:szCs w:val="28"/>
        </w:rPr>
        <w:t>Sezdi,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المتكررة وانخفاض موثوقية المعدات الطبية، الأمر الذي يؤثر 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 2021</w:t>
      </w:r>
      <w:r w:rsidRPr="00386BAD">
        <w:rPr>
          <w:rFonts w:ascii="Traditional Arabic" w:eastAsia="Times New Roman" w:hAnsi="Traditional Arabic" w:cs="Traditional Arabic"/>
          <w:sz w:val="28"/>
          <w:szCs w:val="28"/>
          <w:rtl/>
        </w:rPr>
        <w:t xml:space="preserve">؛ عبد المجيد، 2023).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68BFB63C" w14:textId="77777777"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4443A478" w14:textId="4149CD2A" w:rsidR="007F6900" w:rsidRPr="00E223BD" w:rsidRDefault="003E0418" w:rsidP="00E223BD">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lastRenderedPageBreak/>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r w:rsidR="003C4CDD" w:rsidRPr="00386BAD">
        <w:rPr>
          <w:rFonts w:ascii="Traditional Arabic" w:eastAsia="Times New Roman" w:hAnsi="Traditional Arabic" w:cs="Traditional Arabic"/>
          <w:sz w:val="28"/>
          <w:szCs w:val="28"/>
        </w:rPr>
        <w:t>Shamayleh et al., 2020</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Zamzam et al., 2021</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Manchadi et al., 2023</w:t>
      </w:r>
      <w:r w:rsidR="003C4CDD" w:rsidRPr="00386BAD">
        <w:rPr>
          <w:rFonts w:ascii="Traditional Arabic" w:eastAsia="Times New Roman" w:hAnsi="Traditional Arabic" w:cs="Traditional Arabic"/>
          <w:sz w:val="28"/>
          <w:szCs w:val="28"/>
          <w:rtl/>
        </w:rPr>
        <w:t>). كما أن بعض الدراسات الدولية ركزت على تطوير نماذج خوارزمية للصيانة التنبؤية باستخدام الذكاء الاصطناعي أو تحليل البيانات  (</w:t>
      </w:r>
      <w:r w:rsidR="003C4CDD" w:rsidRPr="00386BAD">
        <w:rPr>
          <w:rFonts w:ascii="Traditional Arabic" w:eastAsia="Times New Roman" w:hAnsi="Traditional Arabic" w:cs="Traditional Arabic"/>
          <w:sz w:val="28"/>
          <w:szCs w:val="28"/>
        </w:rPr>
        <w:t>Boppana, 2023</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Çoban et al., 2018</w:t>
      </w:r>
      <w:r w:rsidR="003C4CDD" w:rsidRPr="00386BAD">
        <w:rPr>
          <w:rFonts w:ascii="Traditional Arabic" w:eastAsia="Times New Roman" w:hAnsi="Traditional Arabic" w:cs="Traditional Arabic"/>
          <w:sz w:val="28"/>
          <w:szCs w:val="28"/>
          <w:rtl/>
        </w:rPr>
        <w:t>)، لكنها لم تربط هذه الممارسات بمؤشرات جودة الخدمة الصحية كالسرعة في تقديم الرعاية، والموثوقية، وسلامة المرضى.</w:t>
      </w:r>
    </w:p>
    <w:p w14:paraId="70027925" w14:textId="4E52A667" w:rsidR="00DE1BE2" w:rsidRPr="00386BAD" w:rsidRDefault="00134C67" w:rsidP="00B43A3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كما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r w:rsidR="00B43A32" w:rsidRPr="00B43A32">
        <w:rPr>
          <w:rtl/>
        </w:rPr>
        <w:t xml:space="preserve"> </w:t>
      </w:r>
      <w:r w:rsidR="00B43A32" w:rsidRPr="00B43A32">
        <w:rPr>
          <w:rFonts w:ascii="Traditional Arabic" w:eastAsia="Times New Roman" w:hAnsi="Traditional Arabic" w:cs="Traditional Arabic"/>
          <w:sz w:val="28"/>
          <w:szCs w:val="28"/>
          <w:rtl/>
        </w:rPr>
        <w:t>ويُعد مستشفى عسير المركزي بيئة مناسبة لإجراء الدراسة نظرًا لتطبيقه استراتيجيات الصيانة الوقائية والتنبؤية بصورة منتظمة، بما يتيح دراسة أثرها في جودة الرعاية الصحية</w:t>
      </w:r>
      <w:r w:rsidR="00B43A32" w:rsidRPr="00B43A32">
        <w:rPr>
          <w:rFonts w:ascii="Traditional Arabic" w:eastAsia="Times New Roman" w:hAnsi="Traditional Arabic" w:cs="Traditional Arabic"/>
          <w:sz w:val="28"/>
          <w:szCs w:val="28"/>
        </w:rPr>
        <w:t>.</w:t>
      </w:r>
    </w:p>
    <w:p w14:paraId="3EA90D34" w14:textId="77777777"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14:paraId="766C5C4E" w14:textId="77777777"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r w:rsidR="00286636" w:rsidRPr="00386BAD">
        <w:rPr>
          <w:rFonts w:ascii="Traditional Arabic" w:eastAsia="Times New Roman" w:hAnsi="Traditional Arabic" w:cs="Traditional Arabic"/>
          <w:b/>
          <w:bCs/>
          <w:sz w:val="32"/>
          <w:szCs w:val="32"/>
          <w:rtl/>
        </w:rPr>
        <w:t>تساؤلات الدراسة</w:t>
      </w:r>
    </w:p>
    <w:p w14:paraId="361E0310" w14:textId="77777777"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t>هدفت</w:t>
      </w:r>
      <w:r w:rsidR="00134C67" w:rsidRPr="00386BAD">
        <w:rPr>
          <w:rFonts w:ascii="Traditional Arabic" w:eastAsia="Times New Roman" w:hAnsi="Traditional Arabic" w:cs="Traditional Arabic"/>
          <w:sz w:val="28"/>
          <w:szCs w:val="28"/>
          <w:rtl/>
        </w:rPr>
        <w:t xml:space="preserve"> هذه الدراسة الى الاجابة عن التساؤلات التالية:</w:t>
      </w:r>
    </w:p>
    <w:p w14:paraId="386857DA" w14:textId="77777777" w:rsidR="00134C67" w:rsidRPr="00386BAD" w:rsidRDefault="00134C67" w:rsidP="00941C6F">
      <w:pPr>
        <w:bidi/>
        <w:spacing w:line="360" w:lineRule="auto"/>
        <w:jc w:val="both"/>
        <w:rPr>
          <w:rFonts w:ascii="Traditional Arabic" w:eastAsia="Times New Roman" w:hAnsi="Traditional Arabic" w:cs="Traditional Arabic"/>
          <w:b/>
          <w:bCs/>
          <w:sz w:val="28"/>
          <w:szCs w:val="28"/>
          <w:rtl/>
        </w:rPr>
      </w:pPr>
      <w:r w:rsidRPr="00386BAD">
        <w:rPr>
          <w:rFonts w:ascii="Traditional Arabic" w:hAnsi="Traditional Arabic" w:cs="Traditional Arabic"/>
          <w:b/>
          <w:bCs/>
          <w:sz w:val="28"/>
          <w:szCs w:val="28"/>
          <w:rtl/>
        </w:rPr>
        <w:t>السؤال الرئيسي الاول :</w:t>
      </w:r>
      <w:r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15FF1446" w14:textId="77777777"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ويتفرع منه الاسئلة الفرعية التالية:</w:t>
      </w:r>
    </w:p>
    <w:p w14:paraId="75B97F3E" w14:textId="77777777" w:rsidR="00134C67" w:rsidRPr="00386BAD" w:rsidRDefault="00134C67" w:rsidP="00286636">
      <w:pPr>
        <w:bidi/>
        <w:spacing w:line="360" w:lineRule="auto"/>
        <w:jc w:val="both"/>
        <w:rPr>
          <w:rFonts w:ascii="Traditional Arabic" w:eastAsia="Times New Roman" w:hAnsi="Traditional Arabic" w:cs="Traditional Arabic"/>
          <w:b/>
          <w:bCs/>
          <w:sz w:val="28"/>
          <w:szCs w:val="28"/>
          <w:rtl/>
        </w:rPr>
      </w:pPr>
      <w:commentRangeStart w:id="0"/>
      <w:r w:rsidRPr="00386BAD">
        <w:rPr>
          <w:rFonts w:ascii="Traditional Arabic" w:eastAsia="Times New Roman" w:hAnsi="Traditional Arabic" w:cs="Traditional Arabic"/>
          <w:sz w:val="28"/>
          <w:szCs w:val="28"/>
          <w:rtl/>
        </w:rPr>
        <w:t>1.1</w:t>
      </w:r>
      <w:commentRangeEnd w:id="0"/>
      <w:r w:rsidR="005C0036" w:rsidRPr="00386BAD">
        <w:rPr>
          <w:rStyle w:val="aa"/>
          <w:rFonts w:ascii="Traditional Arabic" w:eastAsia="Times New Roman" w:hAnsi="Traditional Arabic" w:cs="Traditional Arabic"/>
          <w:sz w:val="28"/>
          <w:szCs w:val="28"/>
          <w:rtl/>
        </w:rPr>
        <w:commentReference w:id="0"/>
      </w:r>
      <w:r w:rsidRPr="00386BAD">
        <w:rPr>
          <w:rFonts w:ascii="Traditional Arabic" w:eastAsia="Times New Roman" w:hAnsi="Traditional Arabic" w:cs="Traditional Arabic"/>
          <w:sz w:val="28"/>
          <w:szCs w:val="28"/>
          <w:rtl/>
        </w:rPr>
        <w:t xml:space="preserve"> ما هو دور الصيانة الوقائية في تقليل وقت الاستجابة للخدمة الطبية في مستشفى عسير المركزي ؟</w:t>
      </w:r>
    </w:p>
    <w:p w14:paraId="6853681B"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1.2  ما هو دور الصيانة الوقائية في تقليل حالات الإلغاء أو التأجيل للعمليات والخدمات الطبية نتيجة أعطال الأجهزة؟</w:t>
      </w:r>
    </w:p>
    <w:p w14:paraId="62CDB3F1"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1.3 ما هو دور الصيانة الوقائية في تعزيز سلامة المرضى وتقليل الحوادث الناتجة عن خلل في الأجهزة الطبية ؟</w:t>
      </w:r>
    </w:p>
    <w:p w14:paraId="087D001E" w14:textId="77777777"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3E7A3107" w14:textId="77777777" w:rsidR="00134C67" w:rsidRPr="00386BAD"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w:t>
      </w:r>
      <w:r w:rsidRPr="00386BAD">
        <w:rPr>
          <w:rFonts w:ascii="Traditional Arabic" w:eastAsia="Times New Roman" w:hAnsi="Traditional Arabic" w:cs="Traditional Arabic"/>
          <w:sz w:val="28"/>
          <w:szCs w:val="28"/>
          <w:rtl/>
        </w:rPr>
        <w:t>التنبؤية</w:t>
      </w:r>
      <w:r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70B7A0DF"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ويتفرع منه الاسئلة الفرعية التالية:</w:t>
      </w:r>
    </w:p>
    <w:p w14:paraId="4FA38837"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14:paraId="4FAD93E6"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510FCA4D" w14:textId="77777777"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5D0CD74" w14:textId="77777777" w:rsidR="00F243C6" w:rsidRPr="00386BAD" w:rsidRDefault="00F243C6" w:rsidP="00286636">
      <w:pPr>
        <w:bidi/>
        <w:spacing w:line="360" w:lineRule="auto"/>
        <w:rPr>
          <w:rFonts w:ascii="Traditional Arabic" w:hAnsi="Traditional Arabic" w:cs="Traditional Arabic"/>
          <w:b/>
          <w:bCs/>
          <w:sz w:val="32"/>
          <w:szCs w:val="32"/>
          <w:rtl/>
        </w:rPr>
      </w:pPr>
    </w:p>
    <w:p w14:paraId="1666C10C" w14:textId="77777777"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14:paraId="7F089E08" w14:textId="77777777" w:rsidR="00F243C6" w:rsidRDefault="00C56E8B" w:rsidP="00DE1BE2">
      <w:pPr>
        <w:bidi/>
        <w:spacing w:line="360" w:lineRule="auto"/>
        <w:ind w:firstLine="720"/>
        <w:rPr>
          <w:rFonts w:ascii="Traditional Arabic" w:hAnsi="Traditional Arabic" w:cs="Traditional Arabic"/>
          <w:sz w:val="28"/>
          <w:szCs w:val="28"/>
          <w:rtl/>
          <w:lang w:bidi="ar-JO"/>
        </w:rPr>
      </w:pPr>
      <w:r w:rsidRPr="00386BAD">
        <w:rPr>
          <w:rFonts w:ascii="Traditional Arabic" w:hAnsi="Traditional Arabic" w:cs="Traditional Arabic"/>
          <w:sz w:val="28"/>
          <w:szCs w:val="28"/>
          <w:rtl/>
        </w:rPr>
        <w:t>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مستويين</w:t>
      </w:r>
      <w:r w:rsidRPr="00386BAD">
        <w:rPr>
          <w:rFonts w:ascii="Traditional Arabic" w:hAnsi="Traditional Arabic" w:cs="Traditional Arabic"/>
          <w:sz w:val="28"/>
          <w:szCs w:val="28"/>
          <w:lang w:bidi="ar-JO"/>
        </w:rPr>
        <w:t>:</w:t>
      </w:r>
    </w:p>
    <w:p w14:paraId="47508944" w14:textId="77777777" w:rsidR="00E223BD" w:rsidRPr="00386BAD" w:rsidRDefault="00E223BD" w:rsidP="00E223BD">
      <w:pPr>
        <w:bidi/>
        <w:spacing w:line="360" w:lineRule="auto"/>
        <w:ind w:firstLine="720"/>
        <w:rPr>
          <w:rFonts w:ascii="Traditional Arabic" w:hAnsi="Traditional Arabic" w:cs="Traditional Arabic"/>
          <w:sz w:val="28"/>
          <w:szCs w:val="28"/>
          <w:rtl/>
          <w:lang w:bidi="ar-JO"/>
        </w:rPr>
      </w:pPr>
    </w:p>
    <w:p w14:paraId="08A38D59" w14:textId="77777777" w:rsidR="00286636" w:rsidRPr="00386BAD" w:rsidRDefault="00CC16B8" w:rsidP="00F243C6">
      <w:pPr>
        <w:bidi/>
        <w:spacing w:line="360" w:lineRule="auto"/>
        <w:rPr>
          <w:rFonts w:ascii="Traditional Arabic" w:hAnsi="Traditional Arabic" w:cs="Traditional Arabic"/>
          <w:b/>
          <w:bCs/>
          <w:sz w:val="28"/>
          <w:szCs w:val="28"/>
          <w:lang w:bidi="ar-JO"/>
        </w:rPr>
      </w:pPr>
      <w:r w:rsidRPr="00386BAD">
        <w:rPr>
          <w:rFonts w:ascii="Traditional Arabic" w:hAnsi="Traditional Arabic" w:cs="Traditional Arabic" w:hint="cs"/>
          <w:b/>
          <w:bCs/>
          <w:sz w:val="28"/>
          <w:szCs w:val="28"/>
          <w:rtl/>
          <w:lang w:bidi="ar-JO"/>
        </w:rPr>
        <w:lastRenderedPageBreak/>
        <w:t xml:space="preserve">اولا: </w:t>
      </w:r>
      <w:r w:rsidR="00286636" w:rsidRPr="00386BAD">
        <w:rPr>
          <w:rFonts w:ascii="Traditional Arabic" w:hAnsi="Traditional Arabic" w:cs="Traditional Arabic"/>
          <w:b/>
          <w:bCs/>
          <w:sz w:val="28"/>
          <w:szCs w:val="28"/>
          <w:rtl/>
        </w:rPr>
        <w:t>الأهمية النظرية</w:t>
      </w:r>
    </w:p>
    <w:p w14:paraId="05724D4D" w14:textId="77777777"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وتكمن الأهمية العلمية للدراسة في أنها</w:t>
      </w:r>
      <w:r w:rsidRPr="00386BAD">
        <w:rPr>
          <w:rFonts w:ascii="Traditional Arabic" w:hAnsi="Traditional Arabic" w:cs="Traditional Arabic"/>
          <w:sz w:val="28"/>
          <w:szCs w:val="28"/>
        </w:rPr>
        <w:t>:</w:t>
      </w:r>
    </w:p>
    <w:p w14:paraId="0D0C3EC5" w14:textId="77777777"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14:paraId="29D0BD18" w14:textId="77777777"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تسد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14:paraId="47F31E08" w14:textId="77777777"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توفر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14:paraId="60D2698B" w14:textId="77777777" w:rsidR="00DE1BE2" w:rsidRPr="00386BAD" w:rsidRDefault="00DE1BE2" w:rsidP="00DE1BE2">
      <w:pPr>
        <w:bidi/>
        <w:spacing w:line="360" w:lineRule="auto"/>
        <w:ind w:left="720"/>
        <w:jc w:val="both"/>
        <w:rPr>
          <w:rFonts w:ascii="Traditional Arabic" w:hAnsi="Traditional Arabic" w:cs="Traditional Arabic"/>
          <w:sz w:val="28"/>
          <w:szCs w:val="28"/>
        </w:rPr>
      </w:pPr>
    </w:p>
    <w:p w14:paraId="0327D417" w14:textId="77777777"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t xml:space="preserve">ثانيا: </w:t>
      </w:r>
      <w:r w:rsidR="00286636" w:rsidRPr="00386BAD">
        <w:rPr>
          <w:rFonts w:ascii="Traditional Arabic" w:hAnsi="Traditional Arabic" w:cs="Traditional Arabic"/>
          <w:b/>
          <w:bCs/>
          <w:sz w:val="28"/>
          <w:szCs w:val="28"/>
          <w:rtl/>
        </w:rPr>
        <w:t>الأهمية التطبيقية</w:t>
      </w:r>
    </w:p>
    <w:p w14:paraId="2A001A9F"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14:paraId="610A1C4E"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14:paraId="255A53E6" w14:textId="0CE76DF4" w:rsidR="00AD0094" w:rsidRPr="00E223BD" w:rsidRDefault="00286636" w:rsidP="00E223BD">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14:paraId="15515D1F" w14:textId="77777777"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lastRenderedPageBreak/>
        <w:t xml:space="preserve">1.5 </w:t>
      </w:r>
      <w:r w:rsidR="00286636" w:rsidRPr="00386BAD">
        <w:rPr>
          <w:rFonts w:ascii="Traditional Arabic" w:hAnsi="Traditional Arabic" w:cs="Traditional Arabic"/>
          <w:b/>
          <w:bCs/>
          <w:sz w:val="32"/>
          <w:szCs w:val="32"/>
          <w:rtl/>
        </w:rPr>
        <w:t>أهداف الدراسة</w:t>
      </w:r>
    </w:p>
    <w:p w14:paraId="6D6E3B6F" w14:textId="77777777"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14:paraId="38EB14F9" w14:textId="77777777" w:rsidR="0056688C" w:rsidRPr="00386BAD" w:rsidRDefault="0056688C" w:rsidP="0056688C">
      <w:pPr>
        <w:bidi/>
        <w:spacing w:line="360" w:lineRule="auto"/>
        <w:rPr>
          <w:rFonts w:ascii="Traditional Arabic" w:hAnsi="Traditional Arabic" w:cs="Traditional Arabic"/>
          <w:sz w:val="28"/>
          <w:szCs w:val="28"/>
          <w:rtl/>
        </w:rPr>
      </w:pPr>
    </w:p>
    <w:p w14:paraId="19B8E1B7" w14:textId="5D6A9AEC" w:rsidR="00286636" w:rsidRPr="007144A5" w:rsidRDefault="00286636" w:rsidP="007144A5">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الهدف الرئيسي الاول:</w:t>
      </w:r>
      <w:r w:rsidR="007144A5">
        <w:rPr>
          <w:rFonts w:ascii="Traditional Arabic" w:eastAsia="Calibri" w:hAnsi="Traditional Arabic" w:cs="Traditional Arabic" w:hint="cs"/>
          <w:b/>
          <w:bCs/>
          <w:sz w:val="28"/>
          <w:szCs w:val="28"/>
          <w:rtl/>
        </w:rPr>
        <w:t xml:space="preserve"> </w:t>
      </w:r>
      <w:r w:rsidRPr="00386BAD">
        <w:rPr>
          <w:rFonts w:ascii="Traditional Arabic" w:eastAsia="Times New Roman" w:hAnsi="Traditional Arabic" w:cs="Traditional Arabic"/>
          <w:b/>
          <w:bCs/>
          <w:sz w:val="28"/>
          <w:szCs w:val="28"/>
          <w:rtl/>
        </w:rPr>
        <w:t>التعرف على مدى تأثير الصيانة الوقائية في جودة الرعاية الصحية في مستشفى عسير المركزي.</w:t>
      </w:r>
    </w:p>
    <w:p w14:paraId="64B7DE7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ويتفرع منه الاسئلة الفرعية التالية:</w:t>
      </w:r>
    </w:p>
    <w:p w14:paraId="7CDDF216"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1.1</w:t>
      </w:r>
      <w:r w:rsidRPr="00386BAD">
        <w:rPr>
          <w:rFonts w:ascii="Traditional Arabic" w:eastAsia="Calibri" w:hAnsi="Traditional Arabic" w:cs="Traditional Arabic"/>
          <w:b/>
          <w:bCs/>
          <w:sz w:val="28"/>
          <w:szCs w:val="28"/>
          <w:rtl/>
        </w:rPr>
        <w:t xml:space="preserve"> </w:t>
      </w:r>
      <w:r w:rsidRPr="00386BAD">
        <w:rPr>
          <w:rFonts w:ascii="Traditional Arabic" w:eastAsia="Times New Roman" w:hAnsi="Traditional Arabic" w:cs="Traditional Arabic"/>
          <w:sz w:val="28"/>
          <w:szCs w:val="28"/>
          <w:rtl/>
        </w:rPr>
        <w:t>التعرف على مدى تأثير الصيانة الوقائية في تقليل وقت الاستجابة للخدمة الطبية.</w:t>
      </w:r>
    </w:p>
    <w:p w14:paraId="699D300C"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1.2 التعرف على أثر الصيانة الوقائية في تقليل حالات الإلغاء أو التأجيل للعمليات والخدمات الطبية نتيجة أعطال الأجهزة.</w:t>
      </w:r>
    </w:p>
    <w:p w14:paraId="4E493884"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1.3 التعرف على أثر الصيانة الوقائية في تعزيز سلامة المرضى وتقليل الحوادث الناتجة عن خلل في الأجهزة الطبية.</w:t>
      </w:r>
    </w:p>
    <w:p w14:paraId="6A09F8F7" w14:textId="77777777" w:rsidR="0056688C" w:rsidRPr="00386BAD" w:rsidRDefault="0056688C" w:rsidP="0056688C">
      <w:pPr>
        <w:bidi/>
        <w:spacing w:line="360" w:lineRule="auto"/>
        <w:rPr>
          <w:rFonts w:ascii="Traditional Arabic" w:eastAsia="Times New Roman" w:hAnsi="Traditional Arabic" w:cs="Traditional Arabic"/>
          <w:sz w:val="28"/>
          <w:szCs w:val="28"/>
          <w:rtl/>
        </w:rPr>
      </w:pPr>
    </w:p>
    <w:p w14:paraId="0D82FF77" w14:textId="3AC90A62" w:rsidR="00286636" w:rsidRPr="007144A5" w:rsidRDefault="00286636" w:rsidP="007144A5">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الهدف الرئيسي الثاني:</w:t>
      </w:r>
      <w:r w:rsidR="007144A5">
        <w:rPr>
          <w:rFonts w:ascii="Traditional Arabic" w:eastAsia="Times New Roman" w:hAnsi="Traditional Arabic" w:cs="Traditional Arabic" w:hint="cs"/>
          <w:b/>
          <w:bCs/>
          <w:sz w:val="28"/>
          <w:szCs w:val="28"/>
          <w:rtl/>
        </w:rPr>
        <w:t xml:space="preserve"> </w:t>
      </w:r>
      <w:r w:rsidRPr="00386BAD">
        <w:rPr>
          <w:rFonts w:ascii="Traditional Arabic" w:eastAsia="Calibri" w:hAnsi="Traditional Arabic" w:cs="Traditional Arabic"/>
          <w:b/>
          <w:bCs/>
          <w:sz w:val="28"/>
          <w:szCs w:val="28"/>
          <w:rtl/>
        </w:rPr>
        <w:t>التعرف على م</w:t>
      </w:r>
      <w:r w:rsidR="00B43A32">
        <w:rPr>
          <w:rFonts w:ascii="Traditional Arabic" w:eastAsia="Calibri" w:hAnsi="Traditional Arabic" w:cs="Traditional Arabic"/>
          <w:b/>
          <w:bCs/>
          <w:sz w:val="28"/>
          <w:szCs w:val="28"/>
          <w:rtl/>
        </w:rPr>
        <w:t>دى تأثير الصيانة ال</w:t>
      </w:r>
      <w:r w:rsidR="00B43A32">
        <w:rPr>
          <w:rFonts w:ascii="Traditional Arabic" w:eastAsia="Calibri" w:hAnsi="Traditional Arabic" w:cs="Traditional Arabic" w:hint="cs"/>
          <w:b/>
          <w:bCs/>
          <w:sz w:val="28"/>
          <w:szCs w:val="28"/>
          <w:rtl/>
        </w:rPr>
        <w:t>تنبؤية</w:t>
      </w:r>
      <w:r w:rsidRPr="00386BAD">
        <w:rPr>
          <w:rFonts w:ascii="Traditional Arabic" w:eastAsia="Calibri" w:hAnsi="Traditional Arabic" w:cs="Traditional Arabic"/>
          <w:b/>
          <w:bCs/>
          <w:sz w:val="28"/>
          <w:szCs w:val="28"/>
          <w:rtl/>
        </w:rPr>
        <w:t xml:space="preserve"> في جودة الرعاية الصحية في مستشفى عسير المركزي.</w:t>
      </w:r>
    </w:p>
    <w:p w14:paraId="758F4255" w14:textId="77777777"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ويتفرع منه الاسئلة الفرعية التالية:</w:t>
      </w:r>
    </w:p>
    <w:p w14:paraId="13F0A95F"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386BAD">
        <w:rPr>
          <w:rFonts w:ascii="Traditional Arabic" w:eastAsia="Times New Roman" w:hAnsi="Traditional Arabic" w:cs="Traditional Arabic"/>
          <w:sz w:val="28"/>
          <w:szCs w:val="28"/>
        </w:rPr>
        <w:t>.</w:t>
      </w:r>
    </w:p>
    <w:p w14:paraId="129E69F8"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lang w:bidi="ar-JO"/>
        </w:rPr>
        <w:t>2.2</w:t>
      </w:r>
      <w:r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386BAD">
        <w:rPr>
          <w:rFonts w:ascii="Traditional Arabic" w:eastAsia="Calibri" w:hAnsi="Traditional Arabic" w:cs="Traditional Arabic"/>
          <w:sz w:val="28"/>
          <w:szCs w:val="28"/>
          <w:rtl/>
        </w:rPr>
        <w:t xml:space="preserve"> </w:t>
      </w:r>
      <w:r w:rsidRPr="00386BAD">
        <w:rPr>
          <w:rFonts w:ascii="Traditional Arabic" w:eastAsia="Times New Roman" w:hAnsi="Traditional Arabic" w:cs="Traditional Arabic"/>
          <w:sz w:val="28"/>
          <w:szCs w:val="28"/>
          <w:rtl/>
        </w:rPr>
        <w:t>للعمليات والخدمات الطبية نتيجة أعطال الأجهزة</w:t>
      </w:r>
      <w:r w:rsidRPr="00386BAD">
        <w:rPr>
          <w:rFonts w:ascii="Traditional Arabic" w:eastAsia="Times New Roman" w:hAnsi="Traditional Arabic" w:cs="Traditional Arabic"/>
          <w:sz w:val="28"/>
          <w:szCs w:val="28"/>
        </w:rPr>
        <w:t>.</w:t>
      </w:r>
    </w:p>
    <w:p w14:paraId="62541B5E"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2.3 </w:t>
      </w:r>
      <w:r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4FAAE1E7" w14:textId="77777777" w:rsidR="007F6900" w:rsidRPr="00386BAD" w:rsidRDefault="007F6900" w:rsidP="00286636">
      <w:pPr>
        <w:bidi/>
        <w:spacing w:line="360" w:lineRule="auto"/>
        <w:rPr>
          <w:rFonts w:ascii="Traditional Arabic" w:hAnsi="Traditional Arabic" w:cs="Traditional Arabic"/>
          <w:b/>
          <w:bCs/>
          <w:sz w:val="32"/>
          <w:szCs w:val="32"/>
          <w:rtl/>
        </w:rPr>
      </w:pPr>
    </w:p>
    <w:p w14:paraId="69A94550" w14:textId="77777777"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14:paraId="1DD50B92" w14:textId="77777777"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14:paraId="11299D09"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tl/>
        </w:rPr>
        <w:t>الفرضية الرئيسية الأولى</w:t>
      </w:r>
      <w:r w:rsidRPr="00386BAD">
        <w:rPr>
          <w:rFonts w:ascii="Traditional Arabic" w:eastAsia="Calibri" w:hAnsi="Traditional Arabic" w:cs="Traditional Arabic"/>
          <w:b/>
          <w:bCs/>
          <w:sz w:val="28"/>
          <w:szCs w:val="28"/>
        </w:rPr>
        <w:t>:</w:t>
      </w:r>
    </w:p>
    <w:p w14:paraId="047A103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14:paraId="59CC5BA1" w14:textId="77777777"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الفرضيات الفرعية المرتبطة بالفرضية الرئيسية الأولى</w:t>
      </w:r>
      <w:r w:rsidRPr="00386BAD">
        <w:rPr>
          <w:rFonts w:ascii="Traditional Arabic" w:eastAsia="Calibri" w:hAnsi="Traditional Arabic" w:cs="Traditional Arabic"/>
          <w:sz w:val="28"/>
          <w:szCs w:val="28"/>
        </w:rPr>
        <w:t>:</w:t>
      </w:r>
    </w:p>
    <w:p w14:paraId="0FE406EF"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:H1.1</w:t>
      </w:r>
      <w:r w:rsidR="00120AD0" w:rsidRPr="00386BAD">
        <w:rPr>
          <w:rFonts w:ascii="Traditional Arabic" w:eastAsia="Calibri" w:hAnsi="Traditional Arabic" w:cs="Traditional Arabic"/>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9EAB15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:H1.2</w:t>
      </w:r>
      <w:r w:rsidR="00120AD0" w:rsidRPr="00386BAD">
        <w:rPr>
          <w:rFonts w:ascii="Traditional Arabic" w:eastAsia="Calibri" w:hAnsi="Traditional Arabic" w:cs="Traditional Arabic"/>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BA1A753" w14:textId="77777777" w:rsidR="00286636" w:rsidRPr="00386BAD" w:rsidRDefault="00286636" w:rsidP="00120AD0">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Pr>
        <w:t xml:space="preserve">:H1.3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39D03C2" w14:textId="77777777" w:rsidR="00F243C6" w:rsidRPr="00386BAD" w:rsidRDefault="00F243C6" w:rsidP="00F243C6">
      <w:pPr>
        <w:bidi/>
        <w:spacing w:line="360" w:lineRule="auto"/>
        <w:rPr>
          <w:rFonts w:ascii="Traditional Arabic" w:eastAsia="Calibri" w:hAnsi="Traditional Arabic" w:cs="Traditional Arabic"/>
          <w:sz w:val="28"/>
          <w:szCs w:val="28"/>
        </w:rPr>
      </w:pPr>
    </w:p>
    <w:p w14:paraId="39A5CC78"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tl/>
        </w:rPr>
        <w:t>الفرضية الرئيسية الثانية</w:t>
      </w:r>
      <w:r w:rsidRPr="00386BAD">
        <w:rPr>
          <w:rFonts w:ascii="Traditional Arabic" w:eastAsia="Calibri" w:hAnsi="Traditional Arabic" w:cs="Traditional Arabic"/>
          <w:b/>
          <w:bCs/>
          <w:sz w:val="28"/>
          <w:szCs w:val="28"/>
        </w:rPr>
        <w:t>:</w:t>
      </w:r>
    </w:p>
    <w:p w14:paraId="28A1EAC4" w14:textId="77777777"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:H2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14:paraId="66B82C81" w14:textId="77777777"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14:paraId="42903FC2"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lastRenderedPageBreak/>
        <w:t xml:space="preserve"> :H2.1</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2EAC8B9"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:H2.2</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423337A" w14:textId="77777777"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:H2.3</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5248E796" w14:textId="77777777" w:rsidR="00DE1BE2" w:rsidRPr="00B43A32" w:rsidRDefault="00DE1BE2" w:rsidP="00B43A32">
      <w:pPr>
        <w:bidi/>
        <w:spacing w:line="360" w:lineRule="auto"/>
        <w:jc w:val="both"/>
        <w:rPr>
          <w:rFonts w:ascii="Traditional Arabic" w:hAnsi="Traditional Arabic" w:cs="Traditional Arabic"/>
          <w:color w:val="00B0F0"/>
          <w:sz w:val="32"/>
          <w:szCs w:val="32"/>
          <w:rtl/>
        </w:rPr>
      </w:pPr>
    </w:p>
    <w:p w14:paraId="51E94F37" w14:textId="6470970E" w:rsidR="009D6275" w:rsidRPr="00386BAD" w:rsidRDefault="00CC16B8" w:rsidP="00B43A32">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1.</w:t>
      </w:r>
      <w:r w:rsidR="00B43A32">
        <w:rPr>
          <w:rFonts w:ascii="Traditional Arabic" w:eastAsia="Times New Roman" w:hAnsi="Traditional Arabic" w:cs="Traditional Arabic" w:hint="cs"/>
          <w:b/>
          <w:bCs/>
          <w:sz w:val="32"/>
          <w:szCs w:val="32"/>
          <w:rtl/>
        </w:rPr>
        <w:t>7</w:t>
      </w:r>
      <w:r w:rsidRPr="00386BAD">
        <w:rPr>
          <w:rFonts w:ascii="Traditional Arabic" w:eastAsia="Times New Roman" w:hAnsi="Traditional Arabic" w:cs="Traditional Arabic" w:hint="cs"/>
          <w:b/>
          <w:bCs/>
          <w:sz w:val="32"/>
          <w:szCs w:val="32"/>
          <w:rtl/>
        </w:rPr>
        <w:t xml:space="preserve"> </w:t>
      </w:r>
      <w:r w:rsidR="009D6275" w:rsidRPr="00386BAD">
        <w:rPr>
          <w:rFonts w:ascii="Traditional Arabic" w:eastAsia="Times New Roman" w:hAnsi="Traditional Arabic" w:cs="Traditional Arabic"/>
          <w:b/>
          <w:bCs/>
          <w:sz w:val="32"/>
          <w:szCs w:val="32"/>
          <w:rtl/>
        </w:rPr>
        <w:t>حدود الدراسة</w:t>
      </w:r>
    </w:p>
    <w:p w14:paraId="7E90D621" w14:textId="77777777"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r w:rsidRPr="00386BAD">
        <w:rPr>
          <w:rFonts w:ascii="Traditional Arabic" w:eastAsia="Times New Roman" w:hAnsi="Traditional Arabic" w:cs="Traditional Arabic" w:hint="cs"/>
          <w:sz w:val="28"/>
          <w:szCs w:val="28"/>
          <w:rtl/>
        </w:rPr>
        <w:t>لهذه الدراسة م</w:t>
      </w:r>
      <w:r w:rsidR="00C56E8B" w:rsidRPr="00386BAD">
        <w:rPr>
          <w:rFonts w:ascii="Traditional Arabic" w:eastAsia="Times New Roman" w:hAnsi="Traditional Arabic" w:cs="Traditional Arabic"/>
          <w:sz w:val="28"/>
          <w:szCs w:val="28"/>
          <w:rtl/>
        </w:rPr>
        <w:t>جموعة من الحدود التي تضبط نطاقها الزمني والمكاني والبشري والجغرافي، وذلك لضمان دقة النتائج وواقعيتها، وهي على النحو التالي</w:t>
      </w:r>
      <w:r w:rsidR="00C56E8B" w:rsidRPr="00386BAD">
        <w:rPr>
          <w:rFonts w:ascii="Traditional Arabic" w:eastAsia="Times New Roman" w:hAnsi="Traditional Arabic" w:cs="Traditional Arabic"/>
          <w:sz w:val="28"/>
          <w:szCs w:val="28"/>
        </w:rPr>
        <w:t>:</w:t>
      </w:r>
    </w:p>
    <w:p w14:paraId="1573B87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907976" w:rsidRPr="00386BAD">
        <w:rPr>
          <w:rFonts w:ascii="Traditional Arabic" w:eastAsia="Times New Roman" w:hAnsi="Traditional Arabic" w:cs="Traditional Arabic" w:hint="cs"/>
          <w:sz w:val="28"/>
          <w:szCs w:val="28"/>
          <w:rtl/>
        </w:rPr>
        <w:t>اجريت</w:t>
      </w:r>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14:paraId="13774B53" w14:textId="6C47E2CA" w:rsidR="009D6275" w:rsidRPr="00386BAD" w:rsidRDefault="009D6275" w:rsidP="00D704E0">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D704E0" w:rsidRPr="00D704E0">
        <w:rPr>
          <w:rFonts w:ascii="Traditional Arabic" w:eastAsia="Times New Roman" w:hAnsi="Traditional Arabic" w:cs="Traditional Arabic"/>
          <w:sz w:val="28"/>
          <w:szCs w:val="28"/>
          <w:rtl/>
        </w:rPr>
        <w:t>اقتصر تطبيق الدراسة وجمع بياناتها على الفترة الممتدة من أبريل 2026 إلى مايو 2026</w:t>
      </w:r>
      <w:r w:rsidR="00D704E0" w:rsidRPr="00D704E0">
        <w:rPr>
          <w:rFonts w:ascii="Traditional Arabic" w:eastAsia="Times New Roman" w:hAnsi="Traditional Arabic" w:cs="Traditional Arabic"/>
          <w:sz w:val="28"/>
          <w:szCs w:val="28"/>
        </w:rPr>
        <w:t>.</w:t>
      </w:r>
    </w:p>
    <w:p w14:paraId="6291703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14:paraId="42B3B87F" w14:textId="39A4D431" w:rsidR="001D1314" w:rsidRPr="00E223BD" w:rsidRDefault="009D6275" w:rsidP="00E223BD">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b/>
          <w:bCs/>
          <w:sz w:val="28"/>
          <w:szCs w:val="28"/>
          <w:rtl/>
        </w:rPr>
        <w:t>الحدود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w:t>
      </w:r>
      <w:r w:rsidR="003C4CDD" w:rsidRPr="00386BAD">
        <w:rPr>
          <w:rFonts w:ascii="Traditional Arabic" w:eastAsia="Times New Roman" w:hAnsi="Traditional Arabic" w:cs="Traditional Arabic"/>
          <w:sz w:val="28"/>
          <w:szCs w:val="28"/>
          <w:rtl/>
        </w:rPr>
        <w:lastRenderedPageBreak/>
        <w:t>المستشفى.</w:t>
      </w:r>
      <w:r w:rsidR="00C43424" w:rsidRPr="00386BAD">
        <w:rPr>
          <w:rFonts w:ascii="Traditional Arabic" w:eastAsia="Times New Roman" w:hAnsi="Traditional Arabic" w:cs="Traditional Arabic"/>
          <w:sz w:val="28"/>
          <w:szCs w:val="28"/>
          <w:rtl/>
        </w:rPr>
        <w:t xml:space="preserve"> يشترط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وبذلك،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14:paraId="03B9A573" w14:textId="4FF54608" w:rsidR="007F6900" w:rsidRPr="00386BAD" w:rsidRDefault="00CC16B8" w:rsidP="00B43A32">
      <w:pPr>
        <w:bidi/>
        <w:spacing w:line="360" w:lineRule="auto"/>
        <w:rPr>
          <w:rFonts w:ascii="Traditional Arabic" w:hAnsi="Traditional Arabic" w:cs="Traditional Arabic"/>
          <w:b/>
          <w:bCs/>
          <w:sz w:val="32"/>
          <w:szCs w:val="32"/>
        </w:rPr>
      </w:pPr>
      <w:r w:rsidRPr="00386BAD">
        <w:rPr>
          <w:rFonts w:ascii="Traditional Arabic" w:hAnsi="Traditional Arabic" w:cs="Traditional Arabic" w:hint="cs"/>
          <w:b/>
          <w:bCs/>
          <w:sz w:val="32"/>
          <w:szCs w:val="32"/>
          <w:rtl/>
        </w:rPr>
        <w:t>1.</w:t>
      </w:r>
      <w:r w:rsidR="00B43A32">
        <w:rPr>
          <w:rFonts w:ascii="Traditional Arabic" w:hAnsi="Traditional Arabic" w:cs="Traditional Arabic" w:hint="cs"/>
          <w:b/>
          <w:bCs/>
          <w:sz w:val="32"/>
          <w:szCs w:val="32"/>
          <w:rtl/>
        </w:rPr>
        <w:t>8</w:t>
      </w:r>
      <w:r w:rsidRPr="00386BAD">
        <w:rPr>
          <w:rFonts w:ascii="Traditional Arabic" w:hAnsi="Traditional Arabic" w:cs="Traditional Arabic" w:hint="cs"/>
          <w:b/>
          <w:bCs/>
          <w:sz w:val="32"/>
          <w:szCs w:val="32"/>
          <w:rtl/>
        </w:rPr>
        <w:t xml:space="preserve"> </w:t>
      </w:r>
      <w:r w:rsidR="009D6275" w:rsidRPr="00386BAD">
        <w:rPr>
          <w:rFonts w:ascii="Traditional Arabic" w:hAnsi="Traditional Arabic" w:cs="Traditional Arabic"/>
          <w:b/>
          <w:bCs/>
          <w:sz w:val="32"/>
          <w:szCs w:val="32"/>
          <w:rtl/>
        </w:rPr>
        <w:t>نموذج الدراسة</w:t>
      </w:r>
    </w:p>
    <w:p w14:paraId="040CEC65" w14:textId="77777777" w:rsidR="007F6900" w:rsidRPr="00386BAD" w:rsidRDefault="007F6900" w:rsidP="007F6900">
      <w:pPr>
        <w:bidi/>
        <w:spacing w:line="360" w:lineRule="auto"/>
        <w:rPr>
          <w:rFonts w:ascii="Traditional Arabic" w:hAnsi="Traditional Arabic" w:cs="Traditional Arabic"/>
          <w:sz w:val="28"/>
          <w:szCs w:val="28"/>
          <w:rtl/>
          <w:lang w:bidi="ar-AE"/>
        </w:rPr>
      </w:pPr>
      <w:r w:rsidRPr="00386BAD">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14:paraId="7ED59A55" w14:textId="77777777" w:rsidR="009D6275" w:rsidRPr="00386BAD" w:rsidRDefault="007F6900" w:rsidP="00E223BD">
      <w:pPr>
        <w:bidi/>
        <w:spacing w:line="360" w:lineRule="auto"/>
        <w:rPr>
          <w:rFonts w:ascii="Traditional Arabic" w:hAnsi="Traditional Arabic" w:cs="Traditional Arabic"/>
          <w:b/>
          <w:bCs/>
          <w:sz w:val="32"/>
          <w:szCs w:val="32"/>
          <w:rtl/>
          <w:lang w:bidi="ar-AE"/>
        </w:rPr>
      </w:pPr>
      <w:r w:rsidRPr="00386BAD">
        <w:rPr>
          <w:rFonts w:ascii="Traditional Arabic" w:hAnsi="Traditional Arabic" w:cs="Traditional Arabic"/>
          <w:b/>
          <w:bCs/>
          <w:noProof/>
          <w:sz w:val="32"/>
          <w:szCs w:val="32"/>
          <w:lang w:val="en-US"/>
        </w:rPr>
        <w:drawing>
          <wp:inline distT="0" distB="0" distL="0" distR="0" wp14:anchorId="517DF95E" wp14:editId="68D479E4">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12F8D554" w14:textId="6C3545B3" w:rsidR="00B43A32" w:rsidRPr="00E223BD" w:rsidRDefault="007F6900" w:rsidP="00E223BD">
      <w:pPr>
        <w:bidi/>
        <w:spacing w:line="360" w:lineRule="auto"/>
        <w:jc w:val="center"/>
        <w:rPr>
          <w:rFonts w:ascii="Traditional Arabic" w:hAnsi="Traditional Arabic" w:cs="Traditional Arabic"/>
          <w:sz w:val="28"/>
          <w:szCs w:val="28"/>
          <w:rtl/>
          <w:lang w:bidi="ar-AE"/>
        </w:rPr>
      </w:pPr>
      <w:r w:rsidRPr="00386BAD">
        <w:rPr>
          <w:rFonts w:ascii="Traditional Arabic" w:hAnsi="Traditional Arabic" w:cs="Traditional Arabic"/>
          <w:sz w:val="24"/>
          <w:szCs w:val="24"/>
          <w:rtl/>
        </w:rPr>
        <w:tab/>
      </w:r>
      <w:r w:rsidRPr="00386BAD">
        <w:rPr>
          <w:rFonts w:ascii="Traditional Arabic" w:hAnsi="Traditional Arabic" w:cs="Traditional Arabic" w:hint="cs"/>
          <w:sz w:val="28"/>
          <w:szCs w:val="28"/>
          <w:rtl/>
          <w:lang w:bidi="ar-AE"/>
        </w:rPr>
        <w:t>الشكل رقم (1) نموذج الدراسة</w:t>
      </w:r>
      <w:r w:rsidR="00E223BD">
        <w:rPr>
          <w:rFonts w:ascii="Traditional Arabic" w:hAnsi="Traditional Arabic" w:cs="Traditional Arabic" w:hint="cs"/>
          <w:sz w:val="28"/>
          <w:szCs w:val="28"/>
          <w:rtl/>
          <w:lang w:bidi="ar-AE"/>
        </w:rPr>
        <w:t xml:space="preserve">: </w:t>
      </w:r>
      <w:r w:rsidR="009D6275" w:rsidRPr="00386BAD">
        <w:rPr>
          <w:rFonts w:ascii="Traditional Arabic" w:hAnsi="Traditional Arabic" w:cs="Traditional Arabic"/>
          <w:sz w:val="24"/>
          <w:szCs w:val="24"/>
          <w:rtl/>
        </w:rPr>
        <w:t xml:space="preserve">نموذج الدراسة من اعداد الباحث بالاعتماد على الدراسات السابقة </w:t>
      </w:r>
      <w:r w:rsidR="009D6275" w:rsidRPr="00386BAD">
        <w:rPr>
          <w:rFonts w:ascii="Traditional Arabic" w:hAnsi="Traditional Arabic" w:cs="Traditional Arabic"/>
          <w:sz w:val="24"/>
          <w:szCs w:val="24"/>
          <w:lang w:bidi="ar-AE"/>
        </w:rPr>
        <w:t>Manchadi et al., 2023; Ahmed et al., 2021)</w:t>
      </w:r>
      <w:r w:rsidR="009D6275" w:rsidRPr="00386BAD">
        <w:rPr>
          <w:rFonts w:ascii="Traditional Arabic" w:hAnsi="Traditional Arabic" w:cs="Traditional Arabic"/>
          <w:sz w:val="24"/>
          <w:szCs w:val="24"/>
          <w:rtl/>
          <w:lang w:bidi="ar-AE"/>
        </w:rPr>
        <w:t>)</w:t>
      </w:r>
    </w:p>
    <w:p w14:paraId="6F1CBB06" w14:textId="0F8F3457" w:rsidR="00B43A32" w:rsidRPr="00E223BD" w:rsidRDefault="00B43A32" w:rsidP="00B43A32">
      <w:pPr>
        <w:tabs>
          <w:tab w:val="left" w:pos="288"/>
          <w:tab w:val="center" w:pos="4680"/>
        </w:tabs>
        <w:bidi/>
        <w:spacing w:line="360" w:lineRule="auto"/>
        <w:rPr>
          <w:rFonts w:ascii="Traditional Arabic" w:hAnsi="Traditional Arabic" w:cs="Traditional Arabic"/>
          <w:b/>
          <w:bCs/>
          <w:sz w:val="32"/>
          <w:szCs w:val="32"/>
          <w:rtl/>
        </w:rPr>
      </w:pPr>
      <w:r w:rsidRPr="00E223BD">
        <w:rPr>
          <w:rFonts w:ascii="Traditional Arabic" w:hAnsi="Traditional Arabic" w:cs="Traditional Arabic" w:hint="cs"/>
          <w:b/>
          <w:bCs/>
          <w:sz w:val="32"/>
          <w:szCs w:val="32"/>
          <w:rtl/>
        </w:rPr>
        <w:lastRenderedPageBreak/>
        <w:t xml:space="preserve">1.9 </w:t>
      </w:r>
      <w:r w:rsidRPr="00E223BD">
        <w:rPr>
          <w:rFonts w:ascii="Traditional Arabic" w:hAnsi="Traditional Arabic" w:cs="Traditional Arabic"/>
          <w:b/>
          <w:bCs/>
          <w:sz w:val="32"/>
          <w:szCs w:val="32"/>
          <w:rtl/>
        </w:rPr>
        <w:t>مفاهيم الدراسة</w:t>
      </w:r>
    </w:p>
    <w:p w14:paraId="3C3FC84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hint="cs"/>
          <w:sz w:val="28"/>
          <w:szCs w:val="28"/>
          <w:rtl/>
          <w:lang w:bidi="ar-AE"/>
        </w:rPr>
        <w:t>تعتبر</w:t>
      </w:r>
      <w:r w:rsidRPr="00B43A32">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Pr="00B43A32">
        <w:rPr>
          <w:rFonts w:ascii="Traditional Arabic" w:hAnsi="Traditional Arabic" w:cs="Traditional Arabic"/>
          <w:sz w:val="28"/>
          <w:szCs w:val="28"/>
          <w:lang w:bidi="ar-AE"/>
        </w:rPr>
        <w:t>:</w:t>
      </w:r>
    </w:p>
    <w:p w14:paraId="75F2D8E7"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الوقائية</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r w:rsidRPr="00B43A32">
        <w:rPr>
          <w:rFonts w:ascii="Traditional Arabic" w:hAnsi="Traditional Arabic" w:cs="Traditional Arabic"/>
          <w:sz w:val="28"/>
          <w:szCs w:val="28"/>
          <w:lang w:val="en-US" w:bidi="ar-AE"/>
        </w:rPr>
        <w:t>Sezdi, 2016</w:t>
      </w:r>
      <w:r w:rsidRPr="00B43A32">
        <w:rPr>
          <w:rFonts w:ascii="Traditional Arabic" w:hAnsi="Traditional Arabic" w:cs="Traditional Arabic"/>
          <w:sz w:val="28"/>
          <w:szCs w:val="28"/>
          <w:rtl/>
        </w:rPr>
        <w:t>).</w:t>
      </w:r>
    </w:p>
    <w:p w14:paraId="00780DF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ويُقاس أثرها من خلال استجابات المشاركين حول مدى مساهمتها في تقليل وقت الاستجابة، تقليل تأجيل العمليات، وتعزيز سلامة المرضى</w:t>
      </w:r>
      <w:r w:rsidRPr="00B43A32">
        <w:rPr>
          <w:rFonts w:ascii="Traditional Arabic" w:hAnsi="Traditional Arabic" w:cs="Traditional Arabic"/>
          <w:sz w:val="28"/>
          <w:szCs w:val="28"/>
          <w:lang w:val="en-US" w:bidi="ar-AE"/>
        </w:rPr>
        <w:t>.</w:t>
      </w:r>
    </w:p>
    <w:p w14:paraId="18BC2308"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0498B823"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التنبؤية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Pr="00B43A32">
        <w:rPr>
          <w:rFonts w:ascii="Traditional Arabic" w:hAnsi="Traditional Arabic" w:cs="Traditional Arabic" w:hint="cs"/>
          <w:sz w:val="28"/>
          <w:szCs w:val="28"/>
          <w:rtl/>
        </w:rPr>
        <w:t xml:space="preserve"> (البزايعة، 2024).</w:t>
      </w:r>
    </w:p>
    <w:p w14:paraId="71DCC79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في هذه الدراسة، يُقاس أثرها عبر استبيان يُظهر مدى مساهمتها في تحسين مؤشرات الأداء مثل تقليل وقت الاستجابة، منع تأجيل الخدمات، وتحسين سلامة المرضى</w:t>
      </w:r>
      <w:r w:rsidRPr="00B43A32">
        <w:rPr>
          <w:rFonts w:ascii="Traditional Arabic" w:hAnsi="Traditional Arabic" w:cs="Traditional Arabic"/>
          <w:sz w:val="28"/>
          <w:szCs w:val="28"/>
          <w:lang w:val="en-US" w:bidi="ar-AE"/>
        </w:rPr>
        <w:t>.</w:t>
      </w:r>
    </w:p>
    <w:p w14:paraId="3DE25FEF"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30873528"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lastRenderedPageBreak/>
        <w:t>جودة الرعاية الصحي</w:t>
      </w:r>
      <w:r w:rsidRPr="00B43A32">
        <w:rPr>
          <w:rFonts w:ascii="Traditional Arabic" w:hAnsi="Traditional Arabic" w:cs="Traditional Arabic" w:hint="cs"/>
          <w:b/>
          <w:bCs/>
          <w:sz w:val="28"/>
          <w:szCs w:val="28"/>
          <w:rtl/>
        </w:rPr>
        <w:t>ة:</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Pr="00B43A32">
        <w:rPr>
          <w:rFonts w:ascii="Traditional Arabic" w:hAnsi="Traditional Arabic" w:cs="Traditional Arabic"/>
          <w:sz w:val="28"/>
          <w:szCs w:val="28"/>
          <w:lang w:val="en-US" w:bidi="ar-AE"/>
        </w:rPr>
        <w:t>et al. 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lang w:val="en-AE" w:bidi="ar-AE"/>
        </w:rPr>
        <w:t>Zamzam</w:t>
      </w:r>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p>
    <w:p w14:paraId="496B4432" w14:textId="2419DA69" w:rsidR="00B43A32" w:rsidRPr="00B43A32" w:rsidRDefault="00B43A32" w:rsidP="00E223BD">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00E223BD">
        <w:rPr>
          <w:rFonts w:ascii="Traditional Arabic" w:hAnsi="Traditional Arabic" w:cs="Traditional Arabic"/>
          <w:sz w:val="28"/>
          <w:szCs w:val="28"/>
          <w:lang w:val="en-US" w:bidi="ar-AE"/>
        </w:rPr>
        <w:t>.</w:t>
      </w:r>
    </w:p>
    <w:p w14:paraId="33241D63"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0B88360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b/>
          <w:bCs/>
          <w:sz w:val="28"/>
          <w:szCs w:val="28"/>
          <w:lang w:bidi="ar-AE"/>
        </w:rPr>
      </w:pPr>
      <w:r w:rsidRPr="00B43A32">
        <w:rPr>
          <w:rFonts w:ascii="Traditional Arabic" w:hAnsi="Traditional Arabic" w:cs="Traditional Arabic"/>
          <w:b/>
          <w:bCs/>
          <w:sz w:val="28"/>
          <w:szCs w:val="28"/>
          <w:rtl/>
        </w:rPr>
        <w:t>وقت الاستجابة للخدمة الطبية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Pr="00B43A32">
        <w:rPr>
          <w:rFonts w:ascii="Traditional Arabic" w:hAnsi="Traditional Arabic" w:cs="Traditional Arabic"/>
          <w:sz w:val="28"/>
          <w:szCs w:val="28"/>
          <w:lang w:val="en-US" w:bidi="ar-AE"/>
        </w:rPr>
        <w:t>Ahmed et al,. 2021</w:t>
      </w:r>
      <w:r w:rsidRPr="00B43A32">
        <w:rPr>
          <w:rFonts w:ascii="Traditional Arabic" w:hAnsi="Traditional Arabic" w:cs="Traditional Arabic"/>
          <w:sz w:val="28"/>
          <w:szCs w:val="28"/>
          <w:rtl/>
        </w:rPr>
        <w:t>).</w:t>
      </w:r>
    </w:p>
    <w:p w14:paraId="038DAD4C"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B43A32">
        <w:rPr>
          <w:rFonts w:ascii="Traditional Arabic" w:hAnsi="Traditional Arabic" w:cs="Traditional Arabic"/>
          <w:sz w:val="28"/>
          <w:szCs w:val="28"/>
          <w:lang w:val="en-US" w:bidi="ar-AE"/>
        </w:rPr>
        <w:t>.</w:t>
      </w:r>
    </w:p>
    <w:p w14:paraId="6D3DEEA9" w14:textId="77777777" w:rsidR="00B43A32" w:rsidRPr="00B43A32" w:rsidRDefault="00B43A32" w:rsidP="00B43A32">
      <w:pPr>
        <w:tabs>
          <w:tab w:val="left" w:pos="288"/>
          <w:tab w:val="center" w:pos="4680"/>
        </w:tabs>
        <w:bidi/>
        <w:spacing w:line="360" w:lineRule="auto"/>
        <w:rPr>
          <w:rFonts w:ascii="Traditional Arabic" w:hAnsi="Traditional Arabic" w:cs="Traditional Arabic"/>
          <w:b/>
          <w:bCs/>
          <w:sz w:val="28"/>
          <w:szCs w:val="28"/>
          <w:rtl/>
        </w:rPr>
      </w:pPr>
    </w:p>
    <w:p w14:paraId="7BF9B01E"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bidi="ar-AE"/>
        </w:rPr>
      </w:pPr>
      <w:r w:rsidRPr="00B43A32">
        <w:rPr>
          <w:rFonts w:ascii="Traditional Arabic" w:hAnsi="Traditional Arabic" w:cs="Traditional Arabic"/>
          <w:b/>
          <w:bCs/>
          <w:sz w:val="28"/>
          <w:szCs w:val="28"/>
          <w:rtl/>
        </w:rPr>
        <w:t>الإلغاء أو التأجيل للعمليات</w:t>
      </w:r>
      <w:r w:rsidRPr="00B43A32">
        <w:rPr>
          <w:rFonts w:ascii="Traditional Arabic" w:hAnsi="Traditional Arabic" w:cs="Traditional Arabic" w:hint="cs"/>
          <w:b/>
          <w:bCs/>
          <w:sz w:val="28"/>
          <w:szCs w:val="28"/>
          <w:rtl/>
        </w:rPr>
        <w:t>:</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r w:rsidRPr="00B43A32">
        <w:rPr>
          <w:rFonts w:ascii="Traditional Arabic" w:hAnsi="Traditional Arabic" w:cs="Traditional Arabic"/>
          <w:sz w:val="28"/>
          <w:szCs w:val="28"/>
          <w:lang w:val="en-US" w:bidi="ar-AE"/>
        </w:rPr>
        <w:t>Zamzam et al., 2021</w:t>
      </w:r>
      <w:r w:rsidRPr="00B43A32">
        <w:rPr>
          <w:rFonts w:ascii="Traditional Arabic" w:hAnsi="Traditional Arabic" w:cs="Traditional Arabic"/>
          <w:sz w:val="28"/>
          <w:szCs w:val="28"/>
          <w:rtl/>
        </w:rPr>
        <w:t>).</w:t>
      </w:r>
    </w:p>
    <w:p w14:paraId="34E6704D"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B43A32">
        <w:rPr>
          <w:rFonts w:ascii="Traditional Arabic" w:hAnsi="Traditional Arabic" w:cs="Traditional Arabic"/>
          <w:sz w:val="28"/>
          <w:szCs w:val="28"/>
          <w:lang w:val="en-US" w:bidi="ar-AE"/>
        </w:rPr>
        <w:t>.</w:t>
      </w:r>
    </w:p>
    <w:p w14:paraId="076F0820"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4997786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lastRenderedPageBreak/>
        <w:t>سلامة المرضى</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w:t>
      </w:r>
      <w:r w:rsidRPr="00B43A32">
        <w:rPr>
          <w:rFonts w:ascii="Traditional Arabic" w:hAnsi="Traditional Arabic" w:cs="Traditional Arabic"/>
          <w:sz w:val="28"/>
          <w:szCs w:val="28"/>
          <w:lang w:bidi="ar-AE"/>
        </w:rPr>
        <w:t>et al. 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lang w:val="en-AE" w:bidi="ar-AE"/>
        </w:rPr>
        <w:t>Zamzam</w:t>
      </w:r>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r w:rsidRPr="00B43A32">
        <w:rPr>
          <w:rFonts w:ascii="Traditional Arabic" w:hAnsi="Traditional Arabic" w:cs="Traditional Arabic"/>
          <w:sz w:val="28"/>
          <w:szCs w:val="28"/>
          <w:lang w:val="en-US" w:bidi="ar-AE"/>
        </w:rPr>
        <w:br/>
      </w: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B43A32">
        <w:rPr>
          <w:rFonts w:ascii="Traditional Arabic" w:hAnsi="Traditional Arabic" w:cs="Traditional Arabic"/>
          <w:sz w:val="28"/>
          <w:szCs w:val="28"/>
          <w:lang w:val="en-US" w:bidi="ar-AE"/>
        </w:rPr>
        <w:t>.</w:t>
      </w:r>
    </w:p>
    <w:p w14:paraId="1C2B191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4"/>
          <w:szCs w:val="24"/>
          <w:rtl/>
          <w:lang w:val="en-US" w:bidi="ar-AE"/>
        </w:rPr>
      </w:pPr>
    </w:p>
    <w:p w14:paraId="0F7CB46A" w14:textId="77777777"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r w:rsidRPr="00386BAD">
        <w:rPr>
          <w:rFonts w:ascii="Traditional Arabic" w:eastAsia="Calibri" w:hAnsi="Traditional Arabic" w:cs="Traditional Arabic"/>
          <w:b/>
          <w:bCs/>
          <w:sz w:val="40"/>
          <w:szCs w:val="40"/>
          <w:rtl/>
          <w:lang w:val="en-US" w:bidi="ar-JO"/>
        </w:rPr>
        <w:lastRenderedPageBreak/>
        <w:t>الفصل الثاني</w:t>
      </w:r>
    </w:p>
    <w:p w14:paraId="3E220E11" w14:textId="77777777" w:rsidR="004E5D06"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14:paraId="17D46CBA"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4B5BE872"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FF14531"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05F8323C"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DABDB9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65135D95"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2FA0C66"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DBA74C7"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51EDA5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7BAA686F"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537552B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9FF8EAD" w14:textId="1C115A24" w:rsidR="00D704E0" w:rsidRPr="00386BAD" w:rsidRDefault="00E223BD" w:rsidP="00E223BD">
      <w:pPr>
        <w:bidi/>
        <w:jc w:val="center"/>
        <w:rPr>
          <w:rFonts w:ascii="Traditional Arabic" w:eastAsia="Calibri" w:hAnsi="Traditional Arabic" w:cs="Traditional Arabic"/>
          <w:b/>
          <w:bCs/>
          <w:sz w:val="40"/>
          <w:szCs w:val="40"/>
          <w:rtl/>
          <w:lang w:val="en-US" w:bidi="ar-JO"/>
        </w:rPr>
      </w:pPr>
      <w:r>
        <w:rPr>
          <w:rFonts w:ascii="Traditional Arabic" w:eastAsia="Calibri" w:hAnsi="Traditional Arabic" w:cs="Traditional Arabic"/>
          <w:b/>
          <w:bCs/>
          <w:sz w:val="40"/>
          <w:szCs w:val="40"/>
          <w:rtl/>
          <w:lang w:val="en-US" w:bidi="ar-JO"/>
        </w:rPr>
        <w:br w:type="page"/>
      </w:r>
    </w:p>
    <w:p w14:paraId="67D62A7D" w14:textId="77777777" w:rsidR="00D704E0" w:rsidRPr="00D704E0" w:rsidRDefault="00D704E0" w:rsidP="009A769F">
      <w:pPr>
        <w:bidi/>
        <w:spacing w:line="360" w:lineRule="auto"/>
        <w:ind w:firstLine="720"/>
        <w:jc w:val="both"/>
        <w:rPr>
          <w:rFonts w:ascii="Traditional Arabic" w:eastAsia="Calibri" w:hAnsi="Traditional Arabic" w:cs="Traditional Arabic"/>
          <w:b/>
          <w:bCs/>
          <w:sz w:val="28"/>
          <w:szCs w:val="28"/>
          <w:rtl/>
          <w:lang w:val="en-US"/>
        </w:rPr>
      </w:pPr>
      <w:r w:rsidRPr="00D704E0">
        <w:rPr>
          <w:rFonts w:ascii="Traditional Arabic" w:eastAsia="Calibri" w:hAnsi="Traditional Arabic" w:cs="Traditional Arabic" w:hint="cs"/>
          <w:b/>
          <w:bCs/>
          <w:sz w:val="28"/>
          <w:szCs w:val="28"/>
          <w:rtl/>
          <w:lang w:val="en-US"/>
        </w:rPr>
        <w:lastRenderedPageBreak/>
        <w:t>2.1 مقدمة</w:t>
      </w:r>
    </w:p>
    <w:p w14:paraId="3B82678F" w14:textId="1E28EABC" w:rsidR="00A14FC8" w:rsidRPr="00386BAD" w:rsidRDefault="00A14FC8" w:rsidP="00D704E0">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14:paraId="14CBBA6F"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14:paraId="66BBF3DD"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14:paraId="61E65B3F" w14:textId="77777777" w:rsidR="004E5D06" w:rsidRPr="00386BAD" w:rsidRDefault="004E5D06" w:rsidP="00292CB1">
      <w:pPr>
        <w:bidi/>
        <w:rPr>
          <w:rFonts w:ascii="Traditional Arabic" w:eastAsia="Calibri" w:hAnsi="Traditional Arabic" w:cs="Traditional Arabic"/>
          <w:b/>
          <w:bCs/>
          <w:sz w:val="36"/>
          <w:szCs w:val="36"/>
          <w:rtl/>
        </w:rPr>
      </w:pPr>
    </w:p>
    <w:p w14:paraId="5D477A78" w14:textId="5C9A45EE" w:rsidR="004E5D06"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t xml:space="preserve">2.2 </w:t>
      </w:r>
      <w:r w:rsidR="004E5D06" w:rsidRPr="00386BAD">
        <w:rPr>
          <w:rFonts w:ascii="Traditional Arabic" w:eastAsia="Calibri" w:hAnsi="Traditional Arabic" w:cs="Traditional Arabic"/>
          <w:b/>
          <w:bCs/>
          <w:sz w:val="32"/>
          <w:szCs w:val="32"/>
          <w:rtl/>
          <w:lang w:val="en-US"/>
        </w:rPr>
        <w:t>المبحث الاول: استراتيجيات الصيانة الوقائية والتنبؤية</w:t>
      </w:r>
    </w:p>
    <w:p w14:paraId="1A322DBB" w14:textId="1A6F19F4" w:rsidR="00292CB1" w:rsidRPr="00386BAD" w:rsidRDefault="00D704E0" w:rsidP="00292CB1">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2.2.1 </w:t>
      </w:r>
      <w:r w:rsidR="00292CB1" w:rsidRPr="00386BAD">
        <w:rPr>
          <w:rFonts w:ascii="Traditional Arabic" w:eastAsia="Calibri" w:hAnsi="Traditional Arabic" w:cs="Traditional Arabic"/>
          <w:b/>
          <w:bCs/>
          <w:sz w:val="32"/>
          <w:szCs w:val="32"/>
          <w:rtl/>
          <w:lang w:val="en-US"/>
        </w:rPr>
        <w:t>مفهوم الصيانة وتطورها وأهميتها في المؤسسات الصحية</w:t>
      </w:r>
    </w:p>
    <w:p w14:paraId="12111423"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وتعد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14:paraId="343E34D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وتكتسب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إستراتيجية تسعى إلى منع الأعطال قبل وقوعها، والاستفادة من التقنيات الرقمية والذكاء الاصطناعي لتحسين موثوقية الأجهزة الطبية ورفع كفاءة أدائها (</w:t>
      </w:r>
      <w:r w:rsidRPr="00386BAD">
        <w:rPr>
          <w:rFonts w:ascii="Traditional Arabic" w:eastAsia="Calibri" w:hAnsi="Traditional Arabic" w:cs="Traditional Arabic"/>
          <w:sz w:val="32"/>
          <w:szCs w:val="32"/>
          <w:lang w:val="en-US"/>
        </w:rPr>
        <w:t>Sezdi, 2016; Mahfoud et al., 2016</w:t>
      </w:r>
      <w:r w:rsidRPr="00386BAD">
        <w:rPr>
          <w:rFonts w:ascii="Traditional Arabic" w:eastAsia="Calibri" w:hAnsi="Traditional Arabic" w:cs="Traditional Arabic"/>
          <w:sz w:val="32"/>
          <w:szCs w:val="32"/>
          <w:rtl/>
          <w:lang w:val="en-US"/>
        </w:rPr>
        <w:t>).</w:t>
      </w:r>
    </w:p>
    <w:p w14:paraId="517E09CD"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14:paraId="20AF9076" w14:textId="77777777" w:rsidR="00E223BD" w:rsidRPr="00386BAD" w:rsidRDefault="00E223BD" w:rsidP="00E223BD">
      <w:pPr>
        <w:bidi/>
        <w:spacing w:line="360" w:lineRule="auto"/>
        <w:jc w:val="both"/>
        <w:rPr>
          <w:rFonts w:ascii="Traditional Arabic" w:eastAsia="Calibri" w:hAnsi="Traditional Arabic" w:cs="Traditional Arabic"/>
          <w:sz w:val="32"/>
          <w:szCs w:val="32"/>
          <w:lang w:val="en-US"/>
        </w:rPr>
      </w:pPr>
    </w:p>
    <w:p w14:paraId="6B4AD450" w14:textId="738717F9" w:rsidR="00292CB1"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lastRenderedPageBreak/>
        <w:t xml:space="preserve">2.2.2 </w:t>
      </w:r>
      <w:r w:rsidR="00292CB1" w:rsidRPr="00386BAD">
        <w:rPr>
          <w:rFonts w:ascii="Traditional Arabic" w:eastAsia="Calibri" w:hAnsi="Traditional Arabic" w:cs="Traditional Arabic"/>
          <w:b/>
          <w:bCs/>
          <w:sz w:val="32"/>
          <w:szCs w:val="32"/>
          <w:rtl/>
          <w:lang w:val="en-US"/>
        </w:rPr>
        <w:t>استراتيجيات الصيانة الوقائية والتنبؤية في المؤسسات الصحية</w:t>
      </w:r>
    </w:p>
    <w:p w14:paraId="30BFEEE9"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14:paraId="4E3D1F36"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Sezdi (2016)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 xml:space="preserve">Mahfoud et al. (2016)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Manchadi et al. (2023)</w:t>
      </w:r>
      <w:r w:rsidRPr="00386BAD">
        <w:rPr>
          <w:rFonts w:ascii="Traditional Arabic" w:eastAsia="Calibri" w:hAnsi="Traditional Arabic" w:cs="Traditional Arabic"/>
          <w:sz w:val="32"/>
          <w:szCs w:val="32"/>
          <w:rtl/>
          <w:lang w:val="en-US"/>
        </w:rPr>
        <w:t>،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14:paraId="19E327CC"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Manchadi et al. (2023)</w:t>
      </w:r>
      <w:r w:rsidRPr="00386BAD">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w:t>
      </w:r>
      <w:r w:rsidRPr="00386BAD">
        <w:rPr>
          <w:rFonts w:ascii="Traditional Arabic" w:eastAsia="Calibri" w:hAnsi="Traditional Arabic" w:cs="Traditional Arabic"/>
          <w:sz w:val="32"/>
          <w:szCs w:val="32"/>
          <w:rtl/>
          <w:lang w:val="en-US"/>
        </w:rPr>
        <w:lastRenderedPageBreak/>
        <w:t>نماذج تنبؤية دقيقة. ويمتد هذا الاتجاه إلى نماذج أكثر تقدماً اقترحتها دراسات مثل</w:t>
      </w:r>
      <w:r w:rsidRPr="00386BAD">
        <w:rPr>
          <w:rFonts w:ascii="Traditional Arabic" w:eastAsia="Calibri" w:hAnsi="Traditional Arabic" w:cs="Traditional Arabic"/>
          <w:sz w:val="32"/>
          <w:szCs w:val="32"/>
          <w:lang w:val="en-US"/>
        </w:rPr>
        <w:t xml:space="preserve"> Zamzam et al. (2021)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
    <w:p w14:paraId="5C9E7ACA" w14:textId="77777777" w:rsidR="00B851B5" w:rsidRDefault="00B851B5" w:rsidP="00B851B5">
      <w:pPr>
        <w:bidi/>
        <w:spacing w:line="360" w:lineRule="auto"/>
        <w:jc w:val="both"/>
        <w:rPr>
          <w:rFonts w:ascii="Traditional Arabic" w:eastAsia="Calibri" w:hAnsi="Traditional Arabic" w:cs="Traditional Arabic"/>
          <w:sz w:val="32"/>
          <w:szCs w:val="32"/>
          <w:rtl/>
          <w:lang w:val="en-US"/>
        </w:rPr>
      </w:pPr>
    </w:p>
    <w:p w14:paraId="78603F5C" w14:textId="6CD4A3AE" w:rsidR="00B851B5" w:rsidRPr="00B851B5" w:rsidRDefault="00E223BD" w:rsidP="00B851B5">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2.2.3 </w:t>
      </w:r>
      <w:r w:rsidR="00B851B5" w:rsidRPr="00B851B5">
        <w:rPr>
          <w:rFonts w:ascii="Traditional Arabic" w:eastAsia="Calibri" w:hAnsi="Traditional Arabic" w:cs="Traditional Arabic"/>
          <w:b/>
          <w:bCs/>
          <w:sz w:val="32"/>
          <w:szCs w:val="32"/>
          <w:rtl/>
          <w:lang w:val="en-US"/>
        </w:rPr>
        <w:t>التحديات والعوائق الهيكلية لتطبيق الصيانة التنبؤية في المستشفيات الحكومية</w:t>
      </w:r>
    </w:p>
    <w:p w14:paraId="1F6BA1E9" w14:textId="77777777"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على الرغم من المزايا التي توفرها الصيانة التنبؤية في تحسين كفاءة تشغيل الأجهزة الطبية وتقليل الأعطال غير المتوقعة، فإن تطبيقها في المستشفيات الحكومية يواجه عدداً من التحديات الهيكلية والتنظيمية والتقنية التي قد تحد من فاعليتها. وتشير الأدبيات إلى أن نجاح هذا النوع من الصيانة لا يعتمد على توافر التقنيات الحديثة فحسب، وإنما يتطلب وجود بنية تحتية رقمية متكاملة، وأنظمة معلومات مترابطة، وقواعد بيانات دقيقة، إضافة إلى كوادر فنية تمتلك المهارات اللازمة لتحليل البيانات التشغيلية والاستفادة منها في التنبؤ بالأعطال قبل وقوعها</w:t>
      </w:r>
      <w:r w:rsidRPr="00B851B5">
        <w:rPr>
          <w:rFonts w:ascii="Traditional Arabic" w:eastAsia="Calibri" w:hAnsi="Traditional Arabic" w:cs="Traditional Arabic"/>
          <w:sz w:val="32"/>
          <w:szCs w:val="32"/>
          <w:lang w:val="en-US"/>
        </w:rPr>
        <w:t>.</w:t>
      </w:r>
    </w:p>
    <w:p w14:paraId="7F2F3A49" w14:textId="4E924644"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 xml:space="preserve">ومن أبرز هذه التحديات ضعف التكامل بين أنظمة المعلومات الصحية وأنظمة إدارة الصيانة، مما يؤدي إلى صعوبة تبادل البيانات المتعلقة بأداء الأجهزة الطبية وسجل أعطالها وعمليات صيانتها، وهو ما يقلل من دقة النماذج التنبؤية ويحد من قدرتها على دعم اتخاذ القرار، كما أوضحت دراسة </w:t>
      </w:r>
      <w:r w:rsidRPr="00B851B5">
        <w:rPr>
          <w:rFonts w:ascii="Traditional Arabic" w:eastAsia="Calibri" w:hAnsi="Traditional Arabic" w:cs="Traditional Arabic"/>
          <w:sz w:val="32"/>
          <w:szCs w:val="32"/>
          <w:lang w:val="en-US"/>
        </w:rPr>
        <w:t>Manchadi et al. (2023</w:t>
      </w:r>
      <w:r w:rsidRPr="00B851B5">
        <w:rPr>
          <w:rFonts w:ascii="Traditional Arabic" w:eastAsia="Calibri" w:hAnsi="Traditional Arabic" w:cs="Traditional Arabic"/>
          <w:sz w:val="32"/>
          <w:szCs w:val="32"/>
          <w:rtl/>
          <w:lang w:val="en-US"/>
        </w:rPr>
        <w:t>). كما تواجه بعض المستشفيات تحديات مرتبطة بارتفاع تكاليف التحول الرقمي، والحاجة إلى تحديث الأجهزة القديمة لتكون متوافقة مع تقنيات الاستشعار وجمع البيانات، إلى جانب محدودية الاستثمار في تدريب الكوادر الفنية على استخدام تطبيقات الذكاء الاصطناعي وتحليلات البيانات في إدارة الصيانة.</w:t>
      </w:r>
    </w:p>
    <w:p w14:paraId="4ACE65AA" w14:textId="4E63792C" w:rsidR="00B851B5" w:rsidRPr="00B851B5" w:rsidRDefault="00B851B5" w:rsidP="00E223BD">
      <w:pPr>
        <w:bidi/>
        <w:spacing w:line="360" w:lineRule="auto"/>
        <w:jc w:val="both"/>
        <w:rPr>
          <w:rFonts w:ascii="Traditional Arabic" w:eastAsia="Calibri" w:hAnsi="Traditional Arabic" w:cs="Traditional Arabic"/>
          <w:sz w:val="32"/>
          <w:szCs w:val="32"/>
          <w:rtl/>
          <w:lang w:val="en-US" w:bidi="ar-JO"/>
        </w:rPr>
      </w:pPr>
      <w:r w:rsidRPr="00B851B5">
        <w:rPr>
          <w:rFonts w:ascii="Traditional Arabic" w:eastAsia="Calibri" w:hAnsi="Traditional Arabic" w:cs="Traditional Arabic"/>
          <w:sz w:val="32"/>
          <w:szCs w:val="32"/>
          <w:rtl/>
          <w:lang w:val="en-US"/>
        </w:rPr>
        <w:lastRenderedPageBreak/>
        <w:t>وتبرز كذلك تحديات تنظيمية تتمثل في مقاومة التغيير، والاعتماد المستمر على برامج الصيانة الوقائية التقليدية، وغياب السياسات المؤسسية التي تنظم التحول التدريجي نحو الصيانة الذكية. وفي هذا السياق، تؤكد الأدبيات أن نجاح تطبيق الصيانة التنبؤية يتطلب تبني رؤية مؤسسية شاملة تدمج بين التطوير التقني، وبناء القدرات البشرية، وتحسين جودة البيانات، وتكامل الأنظمة الرقمية، بما يضمن الاستفادة الكاملة من إمكانات الصيانة التنبؤية في تعزيز موثوقية الأجهزة الطبية وتحسين جودة الرعاية الصحية</w:t>
      </w:r>
      <w:r w:rsidR="00E223BD">
        <w:rPr>
          <w:rFonts w:ascii="Traditional Arabic" w:eastAsia="Calibri" w:hAnsi="Traditional Arabic" w:cs="Traditional Arabic"/>
          <w:sz w:val="32"/>
          <w:szCs w:val="32"/>
          <w:lang w:val="en-US"/>
        </w:rPr>
        <w:t>.</w:t>
      </w:r>
    </w:p>
    <w:p w14:paraId="3A7A740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14:paraId="06C23638" w14:textId="33746F44" w:rsidR="00292CB1" w:rsidRPr="00386BAD" w:rsidRDefault="00607DBD" w:rsidP="00E223BD">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2.2.</w:t>
      </w:r>
      <w:r w:rsidR="00E223BD">
        <w:rPr>
          <w:rFonts w:ascii="Traditional Arabic" w:eastAsia="Calibri" w:hAnsi="Traditional Arabic" w:cs="Traditional Arabic" w:hint="cs"/>
          <w:b/>
          <w:bCs/>
          <w:sz w:val="32"/>
          <w:szCs w:val="32"/>
          <w:rtl/>
          <w:lang w:val="en-US"/>
        </w:rPr>
        <w:t>4</w:t>
      </w:r>
      <w:r>
        <w:rPr>
          <w:rFonts w:ascii="Traditional Arabic" w:eastAsia="Calibri" w:hAnsi="Traditional Arabic" w:cs="Traditional Arabic" w:hint="cs"/>
          <w:b/>
          <w:bCs/>
          <w:sz w:val="32"/>
          <w:szCs w:val="32"/>
          <w:rtl/>
          <w:lang w:val="en-US"/>
        </w:rPr>
        <w:t xml:space="preserve"> </w:t>
      </w:r>
      <w:r w:rsidR="00292CB1" w:rsidRPr="00386BAD">
        <w:rPr>
          <w:rFonts w:ascii="Traditional Arabic" w:eastAsia="Calibri" w:hAnsi="Traditional Arabic" w:cs="Traditional Arabic"/>
          <w:b/>
          <w:bCs/>
          <w:sz w:val="32"/>
          <w:szCs w:val="32"/>
          <w:rtl/>
          <w:lang w:val="en-US"/>
        </w:rPr>
        <w:t>أهمية استراتيجيات الصيانة في تحسين الأداء الصحي</w:t>
      </w:r>
    </w:p>
    <w:p w14:paraId="63A6B79E"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14:paraId="0DDF07D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 2021; Zamzam et al., 2021; Manchadi et al., 2023</w:t>
      </w:r>
      <w:r w:rsidRPr="00386BAD">
        <w:rPr>
          <w:rFonts w:ascii="Traditional Arabic" w:eastAsia="Calibri" w:hAnsi="Traditional Arabic" w:cs="Traditional Arabic"/>
          <w:sz w:val="32"/>
          <w:szCs w:val="32"/>
          <w:rtl/>
          <w:lang w:val="en-US"/>
        </w:rPr>
        <w:t>).</w:t>
      </w:r>
    </w:p>
    <w:p w14:paraId="403D4622"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r w:rsidRPr="00386BAD">
        <w:rPr>
          <w:rFonts w:ascii="Traditional Arabic" w:eastAsia="Calibri" w:hAnsi="Traditional Arabic" w:cs="Traditional Arabic"/>
          <w:sz w:val="32"/>
          <w:szCs w:val="32"/>
          <w:lang w:val="en-US"/>
        </w:rPr>
        <w:t>Boppana, 2023; Shamayleh et al., 2020</w:t>
      </w:r>
      <w:r w:rsidRPr="00386BAD">
        <w:rPr>
          <w:rFonts w:ascii="Traditional Arabic" w:eastAsia="Calibri" w:hAnsi="Traditional Arabic" w:cs="Traditional Arabic"/>
          <w:sz w:val="32"/>
          <w:szCs w:val="32"/>
          <w:rtl/>
          <w:lang w:val="en-US"/>
        </w:rPr>
        <w:t>).</w:t>
      </w:r>
    </w:p>
    <w:p w14:paraId="09B85D92" w14:textId="77777777" w:rsidR="00292CB1" w:rsidRPr="00386BAD"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14:paraId="00EA6E01" w14:textId="77777777" w:rsidR="009B15EC"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14:paraId="6336EB38" w14:textId="06F3A1DE" w:rsidR="001E4EE6" w:rsidRPr="001E4EE6" w:rsidRDefault="001E4EE6" w:rsidP="00E223BD">
      <w:pPr>
        <w:bidi/>
        <w:spacing w:line="360" w:lineRule="auto"/>
        <w:jc w:val="both"/>
        <w:rPr>
          <w:rFonts w:ascii="Traditional Arabic" w:eastAsia="Calibri" w:hAnsi="Traditional Arabic" w:cs="Traditional Arabic"/>
          <w:b/>
          <w:bCs/>
          <w:sz w:val="32"/>
          <w:szCs w:val="32"/>
        </w:rPr>
      </w:pPr>
      <w:r w:rsidRPr="001E4EE6">
        <w:rPr>
          <w:rFonts w:ascii="Traditional Arabic" w:eastAsia="Calibri" w:hAnsi="Traditional Arabic" w:cs="Traditional Arabic" w:hint="cs"/>
          <w:b/>
          <w:bCs/>
          <w:sz w:val="32"/>
          <w:szCs w:val="32"/>
          <w:rtl/>
        </w:rPr>
        <w:t>2.2.</w:t>
      </w:r>
      <w:r w:rsidR="00E223BD">
        <w:rPr>
          <w:rFonts w:ascii="Traditional Arabic" w:eastAsia="Calibri" w:hAnsi="Traditional Arabic" w:cs="Traditional Arabic" w:hint="cs"/>
          <w:b/>
          <w:bCs/>
          <w:sz w:val="32"/>
          <w:szCs w:val="32"/>
          <w:rtl/>
        </w:rPr>
        <w:t>4</w:t>
      </w:r>
      <w:r w:rsidRPr="001E4EE6">
        <w:rPr>
          <w:rFonts w:ascii="Traditional Arabic" w:eastAsia="Calibri" w:hAnsi="Traditional Arabic" w:cs="Traditional Arabic" w:hint="cs"/>
          <w:b/>
          <w:bCs/>
          <w:sz w:val="32"/>
          <w:szCs w:val="32"/>
          <w:rtl/>
        </w:rPr>
        <w:t xml:space="preserve">.1 </w:t>
      </w:r>
      <w:r w:rsidRPr="001E4EE6">
        <w:rPr>
          <w:rFonts w:ascii="Traditional Arabic" w:eastAsia="Calibri" w:hAnsi="Traditional Arabic" w:cs="Traditional Arabic"/>
          <w:b/>
          <w:bCs/>
          <w:sz w:val="32"/>
          <w:szCs w:val="32"/>
          <w:rtl/>
          <w:lang w:val="en-US"/>
        </w:rPr>
        <w:t>مستويات نضج الصيانة في المؤسسات الصحية</w:t>
      </w:r>
    </w:p>
    <w:p w14:paraId="4CEAA726" w14:textId="4D73F182"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تتطور ممارسات الصيانة في المؤسسات الصحية عبر مستويات متدرجة من النضج، ولا تُعد الصيانة التنبؤية مفهومًا ثنائيًا يقتصر على وجودها أو عدم وجودها، وإنما تمثل مرحلة متقدمة ضمن سلسلة من مستويات النضج التي تعكس تطور أساليب إدارة وصيانة الأصول والأجهزة الطبية. ويُسهم الانتقال التدريجي بين هذه المستويات في تحسين موثوقية الأجهزة الطبية، وتقليل الأعطال، وتعزيز استمرارية تقديم الخدمات الصحية وجودتها (</w:t>
      </w:r>
      <w:r w:rsidRPr="001E4EE6">
        <w:rPr>
          <w:rFonts w:ascii="Traditional Arabic" w:eastAsia="Calibri" w:hAnsi="Traditional Arabic" w:cs="Traditional Arabic"/>
          <w:sz w:val="32"/>
          <w:szCs w:val="32"/>
          <w:lang w:val="en-US"/>
        </w:rPr>
        <w:t>Sezdi, 2016</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Mahfoud et al., 2016</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611B348B" w14:textId="7777777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ويمكن تلخيص مستويات نضج الصيانة في المؤسسات الصحية فيما يأتي</w:t>
      </w:r>
      <w:r w:rsidRPr="001E4EE6">
        <w:rPr>
          <w:rFonts w:ascii="Traditional Arabic" w:eastAsia="Calibri" w:hAnsi="Traditional Arabic" w:cs="Traditional Arabic"/>
          <w:sz w:val="32"/>
          <w:szCs w:val="32"/>
          <w:lang w:val="en-US"/>
        </w:rPr>
        <w:t>:</w:t>
      </w:r>
    </w:p>
    <w:p w14:paraId="6BBBAD3B" w14:textId="48E13C92"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التصحيحية (</w:t>
      </w:r>
      <w:r w:rsidRPr="001E4EE6">
        <w:rPr>
          <w:rFonts w:ascii="Traditional Arabic" w:eastAsia="Calibri" w:hAnsi="Traditional Arabic" w:cs="Traditional Arabic"/>
          <w:sz w:val="32"/>
          <w:szCs w:val="32"/>
          <w:lang w:val="en-US"/>
        </w:rPr>
        <w:t>Reactive Maintenance</w:t>
      </w:r>
      <w:r w:rsidRPr="001E4EE6">
        <w:rPr>
          <w:rFonts w:ascii="Traditional Arabic" w:eastAsia="Calibri" w:hAnsi="Traditional Arabic" w:cs="Traditional Arabic"/>
          <w:sz w:val="32"/>
          <w:szCs w:val="32"/>
          <w:rtl/>
          <w:lang w:val="en-US"/>
        </w:rPr>
        <w:t>): تعتمد على إصلاح الأعطال بعد وقوعها، ويكون التدخل الفني استجابة مباشرة لتعطل الأجهزة، مما يؤدي غالبًا إلى زيادة فترات التوقف غير المخطط لها، وارتفاع تكاليف الصيانة، وتأثر جودة الخدمات الصحية.</w:t>
      </w:r>
    </w:p>
    <w:p w14:paraId="19F1B07D" w14:textId="66B3DAA5"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الصيانة الوقائية المجدولة (</w:t>
      </w:r>
      <w:r w:rsidRPr="001E4EE6">
        <w:rPr>
          <w:rFonts w:ascii="Traditional Arabic" w:eastAsia="Calibri" w:hAnsi="Traditional Arabic" w:cs="Traditional Arabic"/>
          <w:sz w:val="32"/>
          <w:szCs w:val="32"/>
          <w:lang w:val="en-US"/>
        </w:rPr>
        <w:t>Preventive Maintenance</w:t>
      </w:r>
      <w:r w:rsidRPr="001E4EE6">
        <w:rPr>
          <w:rFonts w:ascii="Traditional Arabic" w:eastAsia="Calibri" w:hAnsi="Traditional Arabic" w:cs="Traditional Arabic"/>
          <w:sz w:val="32"/>
          <w:szCs w:val="32"/>
          <w:rtl/>
          <w:lang w:val="en-US"/>
        </w:rPr>
        <w:t>): تعتمد على تنفيذ أعمال الصيانة وفق برامج زمنية أو ساعات تشغيل محددة، بهدف الحد من احتمالية الأعطال وإطالة العمر التشغيلي للأجهزة الطبية وتحسين جاهزيتها التشغيلية (</w:t>
      </w:r>
      <w:r w:rsidRPr="001E4EE6">
        <w:rPr>
          <w:rFonts w:ascii="Traditional Arabic" w:eastAsia="Calibri" w:hAnsi="Traditional Arabic" w:cs="Traditional Arabic"/>
          <w:sz w:val="32"/>
          <w:szCs w:val="32"/>
          <w:lang w:val="en-US"/>
        </w:rPr>
        <w:t>Mahfoud et al., 2016</w:t>
      </w:r>
      <w:r w:rsidRPr="001E4EE6">
        <w:rPr>
          <w:rFonts w:ascii="Traditional Arabic" w:eastAsia="Calibri" w:hAnsi="Traditional Arabic" w:cs="Traditional Arabic"/>
          <w:sz w:val="32"/>
          <w:szCs w:val="32"/>
          <w:rtl/>
          <w:lang w:val="en-US"/>
        </w:rPr>
        <w:t>).</w:t>
      </w:r>
    </w:p>
    <w:p w14:paraId="02010045" w14:textId="0590E79A" w:rsidR="001E4EE6" w:rsidRPr="001E4EE6" w:rsidRDefault="001E4EE6" w:rsidP="001E4EE6">
      <w:pPr>
        <w:pStyle w:val="a5"/>
        <w:numPr>
          <w:ilvl w:val="0"/>
          <w:numId w:val="26"/>
        </w:numPr>
        <w:bidi/>
        <w:spacing w:line="360" w:lineRule="auto"/>
        <w:jc w:val="both"/>
        <w:rPr>
          <w:rFonts w:ascii="Traditional Arabic" w:eastAsia="Calibri" w:hAnsi="Traditional Arabic" w:cs="Traditional Arabic"/>
          <w:sz w:val="32"/>
          <w:szCs w:val="32"/>
        </w:rPr>
      </w:pPr>
      <w:r w:rsidRPr="001E4EE6">
        <w:rPr>
          <w:rFonts w:ascii="Traditional Arabic" w:eastAsia="Calibri" w:hAnsi="Traditional Arabic" w:cs="Traditional Arabic"/>
          <w:sz w:val="32"/>
          <w:szCs w:val="32"/>
          <w:rtl/>
        </w:rPr>
        <w:t>الصيانة القائمة على الحالة (</w:t>
      </w:r>
      <w:r w:rsidRPr="001E4EE6">
        <w:rPr>
          <w:rFonts w:ascii="Traditional Arabic" w:eastAsia="Calibri" w:hAnsi="Traditional Arabic" w:cs="Traditional Arabic"/>
          <w:sz w:val="32"/>
          <w:szCs w:val="32"/>
        </w:rPr>
        <w:t>Condition-Based Maintenance</w:t>
      </w:r>
      <w:r w:rsidRPr="001E4EE6">
        <w:rPr>
          <w:rFonts w:ascii="Traditional Arabic" w:eastAsia="Calibri" w:hAnsi="Traditional Arabic" w:cs="Traditional Arabic"/>
          <w:sz w:val="32"/>
          <w:szCs w:val="32"/>
          <w:rtl/>
        </w:rPr>
        <w:t>): تعتمد على مراقبة الحالة الفعلية للأجهزة الطبية باستخدام مؤشرات الأداء وأجهزة الاستشعار، بحيث تُنفذ أعمال الصيانة عند ظهور مؤشرات تدل على تدهور الأداء أو احتمالية حدوث الأعطال، بما يسهم في الاستخدام الأمثل للموارد وتقليل أعمال الصيانة غير الضرورية (</w:t>
      </w:r>
      <w:r w:rsidRPr="001E4EE6">
        <w:rPr>
          <w:rFonts w:ascii="Traditional Arabic" w:eastAsia="Calibri" w:hAnsi="Traditional Arabic" w:cs="Traditional Arabic"/>
          <w:sz w:val="32"/>
          <w:szCs w:val="32"/>
        </w:rPr>
        <w:t>Sezdi, 2016</w:t>
      </w:r>
      <w:r w:rsidRPr="001E4EE6">
        <w:rPr>
          <w:rFonts w:ascii="Traditional Arabic" w:eastAsia="Calibri" w:hAnsi="Traditional Arabic" w:cs="Traditional Arabic"/>
          <w:sz w:val="32"/>
          <w:szCs w:val="32"/>
          <w:rtl/>
        </w:rPr>
        <w:t>).</w:t>
      </w:r>
    </w:p>
    <w:p w14:paraId="40139FF2" w14:textId="7A8957FA"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التنبؤية (</w:t>
      </w:r>
      <w:r w:rsidRPr="001E4EE6">
        <w:rPr>
          <w:rFonts w:ascii="Traditional Arabic" w:eastAsia="Calibri" w:hAnsi="Traditional Arabic" w:cs="Traditional Arabic"/>
          <w:sz w:val="32"/>
          <w:szCs w:val="32"/>
          <w:lang w:val="en-US"/>
        </w:rPr>
        <w:t>Predictive Maintenance</w:t>
      </w:r>
      <w:r w:rsidRPr="001E4EE6">
        <w:rPr>
          <w:rFonts w:ascii="Traditional Arabic" w:eastAsia="Calibri" w:hAnsi="Traditional Arabic" w:cs="Traditional Arabic"/>
          <w:sz w:val="32"/>
          <w:szCs w:val="32"/>
          <w:rtl/>
          <w:lang w:val="en-US"/>
        </w:rPr>
        <w:t>): تعتمد على تحليل البيانات التشغيلية والتاريخية للأجهزة الطبية باستخدام تقنيات تحليل البيانات، وإنترنت الأشياء، وخوارزميات الذكاء الاصطناعي والتعلم الآلي للتنبؤ بالأعطال قبل وقوعها، مما يسمح بتنفيذ الصيانة في الوقت الأمثل وتقليل الأعطال المفاجئة ورفع موثوقية الأجهزة الطبية (</w:t>
      </w:r>
      <w:r w:rsidRPr="001E4EE6">
        <w:rPr>
          <w:rFonts w:ascii="Traditional Arabic" w:eastAsia="Calibri" w:hAnsi="Traditional Arabic" w:cs="Traditional Arabic"/>
          <w:sz w:val="32"/>
          <w:szCs w:val="32"/>
          <w:lang w:val="en-US"/>
        </w:rPr>
        <w:t>Shamayleh et al., 2020</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Çoban et al., 2018</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Boppana, 2023</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4BEBD045" w14:textId="7B2ACE5C"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التوجيهية (</w:t>
      </w:r>
      <w:r w:rsidRPr="001E4EE6">
        <w:rPr>
          <w:rFonts w:ascii="Traditional Arabic" w:eastAsia="Calibri" w:hAnsi="Traditional Arabic" w:cs="Traditional Arabic"/>
          <w:sz w:val="32"/>
          <w:szCs w:val="32"/>
          <w:lang w:val="en-US"/>
        </w:rPr>
        <w:t>Prescriptive Maintenance</w:t>
      </w:r>
      <w:r w:rsidRPr="001E4EE6">
        <w:rPr>
          <w:rFonts w:ascii="Traditional Arabic" w:eastAsia="Calibri" w:hAnsi="Traditional Arabic" w:cs="Traditional Arabic"/>
          <w:sz w:val="32"/>
          <w:szCs w:val="32"/>
          <w:rtl/>
          <w:lang w:val="en-US"/>
        </w:rPr>
        <w:t>): تمثل أعلى مستويات نضج الصيانة، إذ لا تقتصر على التنبؤ بالأعطال، بل توظف الذكاء الاصطناعي والتحليلات المتقدمة لتقديم توصيات آلية بشأن أفضل إجراءات الصيانة وتوقيت تنفيذها، بما يحقق أعلى مستويات الكفاءة التشغيلية ويعزز جودة الرعاية الصحية واستدامة أداء الأجهزة الطبية (</w:t>
      </w:r>
      <w:r w:rsidRPr="001E4EE6">
        <w:rPr>
          <w:rFonts w:ascii="Traditional Arabic" w:eastAsia="Calibri" w:hAnsi="Traditional Arabic" w:cs="Traditional Arabic"/>
          <w:sz w:val="32"/>
          <w:szCs w:val="32"/>
          <w:lang w:val="en-US"/>
        </w:rPr>
        <w:t>Zamzam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w:t>
      </w:r>
    </w:p>
    <w:p w14:paraId="30A1BA3D" w14:textId="4570510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وفي ضوء هذا التصنيف، تركز الدراسة الحالية على الصيانة الوقائية والصيانة التنبؤية باعتبارهما المستويين الأكثر تطبيقًا في المستشفيات الحكومية، والأكثر ارتباطًا بتحسين جودة الرعاية الصحية من خلال رفع جاهزية الأجهزة الطبية، وتقليل الأعطال، وتحسين استمرارية الخدمات الصحية وسلامة المرضى (</w:t>
      </w:r>
      <w:r w:rsidRPr="001E4EE6">
        <w:rPr>
          <w:rFonts w:ascii="Traditional Arabic" w:eastAsia="Calibri" w:hAnsi="Traditional Arabic" w:cs="Traditional Arabic"/>
          <w:sz w:val="32"/>
          <w:szCs w:val="32"/>
          <w:lang w:val="en-US"/>
        </w:rPr>
        <w:t>Mahfoud et al., 2016</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3C8AC62C" w14:textId="77777777" w:rsidR="009F4118" w:rsidRDefault="009F4118" w:rsidP="009F4118">
      <w:pPr>
        <w:bidi/>
        <w:rPr>
          <w:rFonts w:ascii="Traditional Arabic" w:eastAsia="Calibri" w:hAnsi="Traditional Arabic" w:cs="Traditional Arabic"/>
          <w:sz w:val="32"/>
          <w:szCs w:val="32"/>
          <w:rtl/>
          <w:lang w:val="en-US"/>
        </w:rPr>
      </w:pPr>
    </w:p>
    <w:p w14:paraId="4B9578DF" w14:textId="77777777" w:rsidR="00E223BD" w:rsidRDefault="00E223BD" w:rsidP="00E223BD">
      <w:pPr>
        <w:bidi/>
        <w:rPr>
          <w:rFonts w:ascii="Traditional Arabic" w:eastAsia="Calibri" w:hAnsi="Traditional Arabic" w:cs="Traditional Arabic"/>
          <w:sz w:val="32"/>
          <w:szCs w:val="32"/>
          <w:rtl/>
          <w:lang w:val="en-US"/>
        </w:rPr>
      </w:pPr>
    </w:p>
    <w:p w14:paraId="404AD7D5" w14:textId="77777777" w:rsidR="00E223BD" w:rsidRDefault="00E223BD" w:rsidP="00E223BD">
      <w:pPr>
        <w:bidi/>
        <w:rPr>
          <w:rFonts w:ascii="Traditional Arabic" w:eastAsia="Calibri" w:hAnsi="Traditional Arabic" w:cs="Traditional Arabic"/>
          <w:sz w:val="32"/>
          <w:szCs w:val="32"/>
          <w:rtl/>
          <w:lang w:val="en-US"/>
        </w:rPr>
      </w:pPr>
    </w:p>
    <w:p w14:paraId="1246D189" w14:textId="77777777" w:rsidR="00E223BD" w:rsidRDefault="00E223BD" w:rsidP="00E223BD">
      <w:pPr>
        <w:bidi/>
        <w:rPr>
          <w:rFonts w:ascii="Traditional Arabic" w:eastAsia="Calibri" w:hAnsi="Traditional Arabic" w:cs="Traditional Arabic"/>
          <w:sz w:val="32"/>
          <w:szCs w:val="32"/>
          <w:rtl/>
          <w:lang w:val="en-US"/>
        </w:rPr>
      </w:pPr>
    </w:p>
    <w:p w14:paraId="41E12F5D" w14:textId="77777777" w:rsidR="00E223BD" w:rsidRDefault="00E223BD" w:rsidP="00E223BD">
      <w:pPr>
        <w:bidi/>
        <w:rPr>
          <w:rFonts w:ascii="Traditional Arabic" w:eastAsia="Calibri" w:hAnsi="Traditional Arabic" w:cs="Traditional Arabic"/>
          <w:sz w:val="32"/>
          <w:szCs w:val="32"/>
          <w:rtl/>
          <w:lang w:val="en-US"/>
        </w:rPr>
      </w:pPr>
    </w:p>
    <w:p w14:paraId="76E2DE45" w14:textId="77777777" w:rsidR="00E223BD" w:rsidRDefault="00E223BD" w:rsidP="00E223BD">
      <w:pPr>
        <w:bidi/>
        <w:rPr>
          <w:rFonts w:ascii="Traditional Arabic" w:eastAsia="Calibri" w:hAnsi="Traditional Arabic" w:cs="Traditional Arabic"/>
          <w:sz w:val="32"/>
          <w:szCs w:val="32"/>
          <w:rtl/>
          <w:lang w:val="en-US"/>
        </w:rPr>
      </w:pPr>
    </w:p>
    <w:p w14:paraId="7875F4F3" w14:textId="77777777" w:rsidR="00E223BD" w:rsidRDefault="00E223BD" w:rsidP="00E223BD">
      <w:pPr>
        <w:bidi/>
        <w:rPr>
          <w:rFonts w:ascii="Traditional Arabic" w:eastAsia="Calibri" w:hAnsi="Traditional Arabic" w:cs="Traditional Arabic"/>
          <w:sz w:val="32"/>
          <w:szCs w:val="32"/>
          <w:rtl/>
          <w:lang w:val="en-US"/>
        </w:rPr>
      </w:pPr>
    </w:p>
    <w:p w14:paraId="60430017" w14:textId="77777777" w:rsidR="00E223BD" w:rsidRDefault="00E223BD" w:rsidP="00E223BD">
      <w:pPr>
        <w:bidi/>
        <w:rPr>
          <w:rFonts w:ascii="Traditional Arabic" w:eastAsia="Calibri" w:hAnsi="Traditional Arabic" w:cs="Traditional Arabic"/>
          <w:sz w:val="32"/>
          <w:szCs w:val="32"/>
          <w:rtl/>
          <w:lang w:val="en-US"/>
        </w:rPr>
      </w:pPr>
    </w:p>
    <w:p w14:paraId="05676F44" w14:textId="77777777" w:rsidR="00E223BD" w:rsidRDefault="00E223BD" w:rsidP="00E223BD">
      <w:pPr>
        <w:bidi/>
        <w:rPr>
          <w:rFonts w:ascii="Traditional Arabic" w:eastAsia="Calibri" w:hAnsi="Traditional Arabic" w:cs="Traditional Arabic"/>
          <w:sz w:val="32"/>
          <w:szCs w:val="32"/>
          <w:rtl/>
          <w:lang w:val="en-US"/>
        </w:rPr>
      </w:pPr>
    </w:p>
    <w:p w14:paraId="6C242F4F" w14:textId="77777777" w:rsidR="00E223BD" w:rsidRDefault="00E223BD" w:rsidP="00E223BD">
      <w:pPr>
        <w:bidi/>
        <w:rPr>
          <w:rFonts w:ascii="Traditional Arabic" w:eastAsia="Calibri" w:hAnsi="Traditional Arabic" w:cs="Traditional Arabic"/>
          <w:sz w:val="32"/>
          <w:szCs w:val="32"/>
          <w:rtl/>
          <w:lang w:val="en-US"/>
        </w:rPr>
      </w:pPr>
    </w:p>
    <w:p w14:paraId="4337DEF6" w14:textId="77777777" w:rsidR="00E223BD" w:rsidRDefault="00E223BD" w:rsidP="00E223BD">
      <w:pPr>
        <w:bidi/>
        <w:rPr>
          <w:rFonts w:ascii="Traditional Arabic" w:eastAsia="Calibri" w:hAnsi="Traditional Arabic" w:cs="Traditional Arabic"/>
          <w:sz w:val="32"/>
          <w:szCs w:val="32"/>
          <w:rtl/>
          <w:lang w:val="en-US"/>
        </w:rPr>
      </w:pPr>
    </w:p>
    <w:p w14:paraId="5171678C" w14:textId="77777777" w:rsidR="00E223BD" w:rsidRDefault="00E223BD" w:rsidP="00E223BD">
      <w:pPr>
        <w:bidi/>
        <w:rPr>
          <w:rFonts w:ascii="Traditional Arabic" w:eastAsia="Calibri" w:hAnsi="Traditional Arabic" w:cs="Traditional Arabic"/>
          <w:sz w:val="32"/>
          <w:szCs w:val="32"/>
          <w:rtl/>
          <w:lang w:val="en-US"/>
        </w:rPr>
      </w:pPr>
    </w:p>
    <w:p w14:paraId="0635D2E5" w14:textId="59E83C29" w:rsidR="00E223BD" w:rsidRPr="00E223BD" w:rsidRDefault="00E223BD" w:rsidP="00E223BD">
      <w:pPr>
        <w:bidi/>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32E16D76" w14:textId="168B3705" w:rsidR="00E21BE0" w:rsidRPr="00E223BD" w:rsidRDefault="00607DBD" w:rsidP="00E21BE0">
      <w:pPr>
        <w:bidi/>
        <w:rPr>
          <w:rFonts w:ascii="Traditional Arabic" w:eastAsia="Calibri" w:hAnsi="Traditional Arabic" w:cs="Traditional Arabic"/>
          <w:b/>
          <w:bCs/>
          <w:sz w:val="36"/>
          <w:szCs w:val="36"/>
          <w:lang w:val="en-US"/>
        </w:rPr>
      </w:pPr>
      <w:r w:rsidRPr="00E223BD">
        <w:rPr>
          <w:rFonts w:ascii="Traditional Arabic" w:eastAsia="Calibri" w:hAnsi="Traditional Arabic" w:cs="Traditional Arabic" w:hint="cs"/>
          <w:b/>
          <w:bCs/>
          <w:sz w:val="36"/>
          <w:szCs w:val="36"/>
          <w:rtl/>
          <w:lang w:val="en-US"/>
        </w:rPr>
        <w:lastRenderedPageBreak/>
        <w:t xml:space="preserve">2.3 </w:t>
      </w:r>
      <w:r w:rsidR="004E5D06" w:rsidRPr="00E223BD">
        <w:rPr>
          <w:rFonts w:ascii="Traditional Arabic" w:eastAsia="Calibri" w:hAnsi="Traditional Arabic" w:cs="Traditional Arabic"/>
          <w:b/>
          <w:bCs/>
          <w:sz w:val="36"/>
          <w:szCs w:val="36"/>
          <w:rtl/>
          <w:lang w:val="en-US"/>
        </w:rPr>
        <w:t>المبحث الثاني : جودة الرعاية الصحية</w:t>
      </w:r>
    </w:p>
    <w:p w14:paraId="0D312741" w14:textId="2905861F" w:rsidR="00292CB1" w:rsidRPr="00386BAD" w:rsidRDefault="00607DBD" w:rsidP="009B15EC">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2.3.1 </w:t>
      </w:r>
      <w:r w:rsidR="00292CB1" w:rsidRPr="00386BAD">
        <w:rPr>
          <w:rFonts w:ascii="Traditional Arabic" w:eastAsia="Calibri" w:hAnsi="Traditional Arabic" w:cs="Traditional Arabic"/>
          <w:b/>
          <w:bCs/>
          <w:sz w:val="32"/>
          <w:szCs w:val="32"/>
          <w:rtl/>
          <w:lang w:val="en-US"/>
        </w:rPr>
        <w:t>مفهوم جودة الرعاية الصحية وأهميتها</w:t>
      </w:r>
    </w:p>
    <w:p w14:paraId="31BBA4DB"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r w:rsidR="009B15EC" w:rsidRPr="00386BAD">
        <w:rPr>
          <w:rFonts w:ascii="Traditional Arabic" w:eastAsia="Calibri" w:hAnsi="Traditional Arabic" w:cs="Traditional Arabic"/>
          <w:sz w:val="32"/>
          <w:szCs w:val="32"/>
          <w:lang w:val="en-US"/>
        </w:rPr>
        <w:t>Bedisi &amp; Zouyouche, 2021; Mojrashi &amp; Saleh Eldeen, 2024</w:t>
      </w:r>
      <w:r w:rsidR="009B15EC" w:rsidRPr="00386BAD">
        <w:rPr>
          <w:rFonts w:ascii="Traditional Arabic" w:eastAsia="Calibri" w:hAnsi="Traditional Arabic" w:cs="Traditional Arabic"/>
          <w:sz w:val="32"/>
          <w:szCs w:val="32"/>
          <w:rtl/>
          <w:lang w:val="en-US"/>
        </w:rPr>
        <w:t>).</w:t>
      </w:r>
    </w:p>
    <w:p w14:paraId="06B040E6"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 2021; Mojrashi &amp; Saleh Eldeen, 2024</w:t>
      </w:r>
      <w:r w:rsidR="009B15EC" w:rsidRPr="00386BAD">
        <w:rPr>
          <w:rFonts w:ascii="Traditional Arabic" w:eastAsia="Calibri" w:hAnsi="Traditional Arabic" w:cs="Traditional Arabic"/>
          <w:sz w:val="32"/>
          <w:szCs w:val="32"/>
          <w:rtl/>
          <w:lang w:val="en-US"/>
        </w:rPr>
        <w:t>).</w:t>
      </w:r>
    </w:p>
    <w:p w14:paraId="32B67B24"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w:t>
      </w:r>
      <w:r w:rsidRPr="00386BAD">
        <w:rPr>
          <w:rFonts w:ascii="Traditional Arabic" w:eastAsia="Calibri" w:hAnsi="Traditional Arabic" w:cs="Traditional Arabic"/>
          <w:sz w:val="32"/>
          <w:szCs w:val="32"/>
          <w:rtl/>
          <w:lang w:val="en-US"/>
        </w:rPr>
        <w:lastRenderedPageBreak/>
        <w:t xml:space="preserve">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r w:rsidR="009B15EC" w:rsidRPr="00386BAD">
        <w:rPr>
          <w:rFonts w:ascii="Traditional Arabic" w:eastAsia="Calibri" w:hAnsi="Traditional Arabic" w:cs="Traditional Arabic"/>
          <w:sz w:val="32"/>
          <w:szCs w:val="32"/>
          <w:lang w:val="en-US"/>
        </w:rPr>
        <w:t>Shamayleh et al., 2020; Ahmed et al., 2021; Manchadi et al., 2023</w:t>
      </w:r>
      <w:r w:rsidR="009B15EC" w:rsidRPr="00386BAD">
        <w:rPr>
          <w:rFonts w:ascii="Traditional Arabic" w:eastAsia="Calibri" w:hAnsi="Traditional Arabic" w:cs="Traditional Arabic"/>
          <w:sz w:val="32"/>
          <w:szCs w:val="32"/>
          <w:rtl/>
          <w:lang w:val="en-US"/>
        </w:rPr>
        <w:t>).</w:t>
      </w:r>
    </w:p>
    <w:p w14:paraId="1D9EE7C7"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r w:rsidR="009B15EC" w:rsidRPr="00386BAD">
        <w:rPr>
          <w:rFonts w:ascii="Traditional Arabic" w:eastAsia="Calibri" w:hAnsi="Traditional Arabic" w:cs="Traditional Arabic"/>
          <w:sz w:val="32"/>
          <w:szCs w:val="32"/>
          <w:lang w:val="en-US"/>
        </w:rPr>
        <w:t>Bedisi and Zouyouche (2021)</w:t>
      </w:r>
      <w:r w:rsidR="009B15EC" w:rsidRPr="00386BAD">
        <w:rPr>
          <w:rFonts w:ascii="Traditional Arabic" w:eastAsia="Calibri" w:hAnsi="Traditional Arabic" w:cs="Traditional Arabic"/>
          <w:sz w:val="32"/>
          <w:szCs w:val="32"/>
          <w:rtl/>
          <w:lang w:val="en-US"/>
        </w:rPr>
        <w:t xml:space="preserve"> و</w:t>
      </w:r>
      <w:r w:rsidR="009B15EC" w:rsidRPr="00386BAD">
        <w:rPr>
          <w:rFonts w:ascii="Traditional Arabic" w:eastAsia="Calibri" w:hAnsi="Traditional Arabic" w:cs="Traditional Arabic"/>
          <w:sz w:val="32"/>
          <w:szCs w:val="32"/>
          <w:lang w:val="en-US"/>
        </w:rPr>
        <w:t>Mojrashi and Saleh Eldeen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14:paraId="742E6CA5"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وتبرز الأدبيات التقنية الحديثة الدور الحاسم لاستراتيجيات الصيانة المتقدمة في تعزيز جودة الرعاية الصحية، حيث توضح نتائج بحوث متعددة، مثل </w:t>
      </w:r>
      <w:r w:rsidRPr="00386BAD">
        <w:rPr>
          <w:rFonts w:ascii="Traditional Arabic" w:eastAsia="Calibri" w:hAnsi="Traditional Arabic" w:cs="Traditional Arabic"/>
          <w:sz w:val="32"/>
          <w:szCs w:val="32"/>
          <w:lang w:val="en-US"/>
        </w:rPr>
        <w:t xml:space="preserve">Shamayleh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أن تحسين الممارسات التشغيلية للأجهزة من خلال </w:t>
      </w:r>
      <w:r w:rsidRPr="00386BAD">
        <w:rPr>
          <w:rFonts w:ascii="Traditional Arabic" w:eastAsia="Calibri" w:hAnsi="Traditional Arabic" w:cs="Traditional Arabic"/>
          <w:sz w:val="32"/>
          <w:szCs w:val="32"/>
          <w:rtl/>
          <w:lang w:val="en-US"/>
        </w:rPr>
        <w:lastRenderedPageBreak/>
        <w:t>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14:paraId="340AEE5A"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ذاته، تشير الأدبيات العالمية، كما ورد لدى </w:t>
      </w:r>
      <w:r w:rsidRPr="00386BAD">
        <w:rPr>
          <w:rFonts w:ascii="Traditional Arabic" w:eastAsia="Calibri" w:hAnsi="Traditional Arabic" w:cs="Traditional Arabic"/>
          <w:sz w:val="32"/>
          <w:szCs w:val="32"/>
          <w:lang w:val="en-US"/>
        </w:rPr>
        <w:t>Çoban et al. (2018)</w:t>
      </w:r>
      <w:r w:rsidRPr="00386BAD">
        <w:rPr>
          <w:rFonts w:ascii="Traditional Arabic" w:eastAsia="Calibri" w:hAnsi="Traditional Arabic" w:cs="Traditional Arabic"/>
          <w:sz w:val="32"/>
          <w:szCs w:val="32"/>
          <w:rtl/>
          <w:lang w:val="en-US"/>
        </w:rPr>
        <w:t>،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وتظهر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14:paraId="2266C8A4"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14:paraId="5C2BFC2A" w14:textId="6E9C5DA0" w:rsidR="009B15EC" w:rsidRPr="00386BAD" w:rsidRDefault="00607DBD" w:rsidP="009B15EC">
      <w:pPr>
        <w:bidi/>
        <w:spacing w:line="360" w:lineRule="auto"/>
        <w:ind w:firstLine="720"/>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2.3.2 </w:t>
      </w:r>
      <w:r w:rsidR="009B15EC" w:rsidRPr="00386BAD">
        <w:rPr>
          <w:rFonts w:ascii="Traditional Arabic" w:eastAsia="Calibri" w:hAnsi="Traditional Arabic" w:cs="Traditional Arabic"/>
          <w:b/>
          <w:bCs/>
          <w:sz w:val="32"/>
          <w:szCs w:val="32"/>
          <w:rtl/>
          <w:lang w:val="en-US"/>
        </w:rPr>
        <w:t>أبعاد جودة الرعاية الصحية</w:t>
      </w:r>
    </w:p>
    <w:p w14:paraId="4EDDD3D6" w14:textId="5F892C0D"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تُعد جودة الرعاية الصحية من المفاهيم متعددة الأبعاد، ولا يوجد اتفاق على مجموعة موحدة من المؤشرات لقياسها، إذ تختلف أبعادها باختلاف طبيعة المؤسسة الصحية، وأهداف الدراسة، ونوعية الخدمات المقدمة. فقد ركزت بعض </w:t>
      </w:r>
      <w:r w:rsidRPr="001E4EE6">
        <w:rPr>
          <w:rFonts w:ascii="Traditional Arabic" w:eastAsia="Calibri" w:hAnsi="Traditional Arabic" w:cs="Traditional Arabic"/>
          <w:sz w:val="32"/>
          <w:szCs w:val="32"/>
          <w:rtl/>
          <w:lang w:val="en-US"/>
        </w:rPr>
        <w:lastRenderedPageBreak/>
        <w:t xml:space="preserve">الدراسات على سلامة المرضى، وفعالية الرعاية، ورضا المستفيدين، في حين اهتمت دراسات أخرى بالمؤشرات التشغيلية التي تعكس كفاءة تقديم الخدمات الصحية، مثل سرعة الاستجابة، واستمرارية تقديم الخدمة، وتقليل الأعطال التشغيلية، باعتبارها </w:t>
      </w:r>
      <w:r w:rsidR="00EC77D0" w:rsidRPr="00EC77D0">
        <w:rPr>
          <w:rFonts w:ascii="Traditional Arabic" w:eastAsia="Calibri" w:hAnsi="Traditional Arabic" w:cs="Traditional Arabic"/>
          <w:sz w:val="32"/>
          <w:szCs w:val="32"/>
          <w:rtl/>
          <w:lang w:val="en-US"/>
        </w:rPr>
        <w:t>مؤشرات ترتبط مباشرة بكفاءة إدارة الموارد والأجهزة الطبية (</w:t>
      </w:r>
      <w:r w:rsidR="00EC77D0" w:rsidRPr="00EC77D0">
        <w:rPr>
          <w:rFonts w:ascii="Traditional Arabic" w:eastAsia="Calibri" w:hAnsi="Traditional Arabic" w:cs="Traditional Arabic"/>
          <w:sz w:val="32"/>
          <w:szCs w:val="32"/>
          <w:lang w:val="en-US"/>
        </w:rPr>
        <w:t>Al-Jabri et al., 2021</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A'aqoulah et al., 2022</w:t>
      </w:r>
      <w:r w:rsidR="00EC77D0" w:rsidRPr="00EC77D0">
        <w:rPr>
          <w:rFonts w:ascii="Traditional Arabic" w:eastAsia="Calibri" w:hAnsi="Traditional Arabic" w:cs="Traditional Arabic"/>
          <w:sz w:val="32"/>
          <w:szCs w:val="32"/>
          <w:rtl/>
          <w:lang w:val="en-US"/>
        </w:rPr>
        <w:t>).</w:t>
      </w:r>
    </w:p>
    <w:p w14:paraId="2F1490DC" w14:textId="2039308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وفي المستشفيات التي تعتمد بصورة كبيرة على الأجهزة الطبية، تكتسب المؤشرات التشغيلية أهمية خاصة، إذ تؤثر جاهزية الأجهزة وكفاءة صيانتها </w:t>
      </w:r>
      <w:r w:rsidR="00EC77D0" w:rsidRPr="00EC77D0">
        <w:rPr>
          <w:rFonts w:ascii="Traditional Arabic" w:eastAsia="Calibri" w:hAnsi="Traditional Arabic" w:cs="Traditional Arabic"/>
          <w:sz w:val="32"/>
          <w:szCs w:val="32"/>
          <w:rtl/>
          <w:lang w:val="en-US"/>
        </w:rPr>
        <w:t>بصورة مباشرة في استمرارية تقديم الخدمات، وسرعة الاستجابة، وسلامة المرضى، وجودة الأداء المؤسسي. وقد أكدت العديد من الدراسات أن تطوير استراتيجيات الصيانة الوقائية والتنبؤية يسهم في تحسين موثوقية الأجهزة الطبية، وتقليل الأعطال المفاجئة، ورفع كفاءة الخدمات الصحية (</w:t>
      </w:r>
      <w:r w:rsidR="00EC77D0" w:rsidRPr="00EC77D0">
        <w:rPr>
          <w:rFonts w:ascii="Traditional Arabic" w:eastAsia="Calibri" w:hAnsi="Traditional Arabic" w:cs="Traditional Arabic"/>
          <w:sz w:val="32"/>
          <w:szCs w:val="32"/>
          <w:lang w:val="en-US"/>
        </w:rPr>
        <w:t>Shamayleh et al.,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Ahmed et al., 2021</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Manchadi et al., 2023</w:t>
      </w:r>
      <w:r w:rsidR="00EC77D0" w:rsidRPr="00EC77D0">
        <w:rPr>
          <w:rFonts w:ascii="Traditional Arabic" w:eastAsia="Calibri" w:hAnsi="Traditional Arabic" w:cs="Traditional Arabic"/>
          <w:sz w:val="32"/>
          <w:szCs w:val="32"/>
          <w:rtl/>
          <w:lang w:val="en-US"/>
        </w:rPr>
        <w:t>).</w:t>
      </w:r>
    </w:p>
    <w:p w14:paraId="430612C6" w14:textId="7570203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وانطلاقًا </w:t>
      </w:r>
      <w:r w:rsidR="00EC77D0" w:rsidRPr="00EC77D0">
        <w:rPr>
          <w:rFonts w:ascii="Traditional Arabic" w:eastAsia="Calibri" w:hAnsi="Traditional Arabic" w:cs="Traditional Arabic"/>
          <w:sz w:val="32"/>
          <w:szCs w:val="32"/>
          <w:rtl/>
          <w:lang w:val="en-US"/>
        </w:rPr>
        <w:t>من ذلك، اعتمدت الدراسة الحالية ثلاثة أبعاد لقياس جودة الرعاية الصحية، وهي: تقليل وقت الاستجابة للخدمة الطبية، وتقليل حالات الإلغاء أو التأجيل للعمليات والخدمات الطبية نتيجة أعطال الأجهزة، وتعزيز سلامة المرضى، وذلك لكونها تمثل أكثر المؤشرات ارتباطًا بالأثر المباشر لاستراتيجيات الصيانة الوقائية والتنبؤية في بيئة المستشفيات.</w:t>
      </w:r>
    </w:p>
    <w:p w14:paraId="7DDC75AD"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2.3.2.1 تقليل وقت الاستجابة للخدمة الطبية</w:t>
      </w:r>
    </w:p>
    <w:p w14:paraId="550C4BD9" w14:textId="0D9B56AD"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يقصد بهذا البعد قدرة المستشفى على الاستجابة السريعة للأعطال الفنية التي تصيب الأجهزة الطبية، بما يضمن استعادة جاهزية الأجهزة في أقصر وقت ممكن، وتقليل زمن توقفها عن العمل. ويُعد وقت الاستجابة من المؤشرات التشغيلية المهمة التي تعكس كفاءة إدارة الصيانة، لما له من أثر مباشر في سرعة تقديم الخدمات الصحية وتقليل فترات </w:t>
      </w:r>
      <w:r w:rsidRPr="001E4EE6">
        <w:rPr>
          <w:rFonts w:ascii="Traditional Arabic" w:eastAsia="Calibri" w:hAnsi="Traditional Arabic" w:cs="Traditional Arabic"/>
          <w:sz w:val="32"/>
          <w:szCs w:val="32"/>
          <w:rtl/>
          <w:lang w:val="en-US"/>
        </w:rPr>
        <w:lastRenderedPageBreak/>
        <w:t xml:space="preserve">انتظار المرضى. وقد أشارت </w:t>
      </w:r>
      <w:r w:rsidR="00EC77D0" w:rsidRPr="00EC77D0">
        <w:rPr>
          <w:rFonts w:ascii="Traditional Arabic" w:eastAsia="Calibri" w:hAnsi="Traditional Arabic" w:cs="Traditional Arabic"/>
          <w:sz w:val="32"/>
          <w:szCs w:val="32"/>
          <w:rtl/>
          <w:lang w:val="en-US"/>
        </w:rPr>
        <w:t>الدراسات إلى أن تطبيق الصيانة الوقائية والتنبؤية يسهم في تقليل زمن الاستجابة من خلال الاكتشاف المبكر للأعطال وتحسين التخطيط لعمليات الصيانة، الأمر الذي يرفع كفاءة الأداء التشغيلي للمستشفيات (</w:t>
      </w:r>
      <w:r w:rsidR="00EC77D0" w:rsidRPr="00EC77D0">
        <w:rPr>
          <w:rFonts w:ascii="Traditional Arabic" w:eastAsia="Calibri" w:hAnsi="Traditional Arabic" w:cs="Traditional Arabic"/>
          <w:sz w:val="32"/>
          <w:szCs w:val="32"/>
          <w:lang w:val="en-US"/>
        </w:rPr>
        <w:t>Ahmed et al., 2021</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Manchadi et al., 2023</w:t>
      </w:r>
      <w:r w:rsidR="00EC77D0" w:rsidRPr="00EC77D0">
        <w:rPr>
          <w:rFonts w:ascii="Traditional Arabic" w:eastAsia="Calibri" w:hAnsi="Traditional Arabic" w:cs="Traditional Arabic"/>
          <w:sz w:val="32"/>
          <w:szCs w:val="32"/>
          <w:rtl/>
          <w:lang w:val="en-US"/>
        </w:rPr>
        <w:t>).</w:t>
      </w:r>
    </w:p>
    <w:p w14:paraId="53C693DB" w14:textId="77289BD0"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ويرتبط هذا </w:t>
      </w:r>
      <w:r w:rsidR="00EC77D0" w:rsidRPr="00EC77D0">
        <w:rPr>
          <w:rFonts w:ascii="Traditional Arabic" w:eastAsia="Calibri" w:hAnsi="Traditional Arabic" w:cs="Traditional Arabic"/>
          <w:sz w:val="32"/>
          <w:szCs w:val="32"/>
          <w:rtl/>
          <w:lang w:val="en-US"/>
        </w:rPr>
        <w:t>البعد أيضًا بنظرية القيود (</w:t>
      </w:r>
      <w:r w:rsidR="00EC77D0" w:rsidRPr="00EC77D0">
        <w:rPr>
          <w:rFonts w:ascii="Traditional Arabic" w:eastAsia="Calibri" w:hAnsi="Traditional Arabic" w:cs="Traditional Arabic"/>
          <w:sz w:val="32"/>
          <w:szCs w:val="32"/>
          <w:lang w:val="en-US"/>
        </w:rPr>
        <w:t>Theory of Constraints</w:t>
      </w:r>
      <w:r w:rsidR="00EC77D0" w:rsidRPr="00EC77D0">
        <w:rPr>
          <w:rFonts w:ascii="Traditional Arabic" w:eastAsia="Calibri" w:hAnsi="Traditional Arabic" w:cs="Traditional Arabic"/>
          <w:sz w:val="32"/>
          <w:szCs w:val="32"/>
          <w:rtl/>
          <w:lang w:val="en-US"/>
        </w:rPr>
        <w:t>)، التي ترى أن أي تأخير أو تعطل في أحد مكونات النظام يمثل قيدًا يحد من كفاءة تدفق العمليات، وبالتالي فإن تقليل زمن الاستجابة للأعطال يسهم في إزالة هذه القيود وتحسين انسيابية تقديم الخدمات الصحية.</w:t>
      </w:r>
    </w:p>
    <w:p w14:paraId="27D30E65"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2.3.2.2 تقليل حالات الإلغاء أو التأجيل للعمليات والخدمات الطبية</w:t>
      </w:r>
    </w:p>
    <w:p w14:paraId="507A253E" w14:textId="66DBF708"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يشير هذا البعد إلى قدرة المستشفى على الحد من حالات إلغاء أو تأجيل العمليات والإجراءات الطبية الناتجة عن تعطل الأجهزة الطبية أو عدم جاهزيتها. ويُعد هذا المؤشر من أهم مؤشرات جودة الخدمات الصحية، لما يترتب على الإلغاء أو التأجيل من آثار سلبية على المرضى وكفاءة استغلال الموارد الصحية. وقد أوضحت الدراسات أن تطبيق برامج الصيانة الوقائية والتنبؤية </w:t>
      </w:r>
      <w:r w:rsidR="00EC77D0" w:rsidRPr="00EC77D0">
        <w:rPr>
          <w:rFonts w:ascii="Traditional Arabic" w:eastAsia="Calibri" w:hAnsi="Traditional Arabic" w:cs="Traditional Arabic"/>
          <w:sz w:val="32"/>
          <w:szCs w:val="32"/>
          <w:rtl/>
          <w:lang w:val="en-US"/>
        </w:rPr>
        <w:t>يسهم في رفع جاهزية الأجهزة الطبية وتقليل الأعطال المفاجئة، الأمر الذي يؤدي إلى خفض معدلات الإلغاء والتأجيل وتحسين استمرارية الخدمات الصحية (</w:t>
      </w:r>
      <w:r w:rsidR="00EC77D0" w:rsidRPr="00EC77D0">
        <w:rPr>
          <w:rFonts w:ascii="Traditional Arabic" w:eastAsia="Calibri" w:hAnsi="Traditional Arabic" w:cs="Traditional Arabic"/>
          <w:sz w:val="32"/>
          <w:szCs w:val="32"/>
          <w:lang w:val="en-US"/>
        </w:rPr>
        <w:t>Sezdi, 2016</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Shamayleh et al.,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Zamzam et al., 2021</w:t>
      </w:r>
      <w:r w:rsidR="00EC77D0" w:rsidRPr="00EC77D0">
        <w:rPr>
          <w:rFonts w:ascii="Traditional Arabic" w:eastAsia="Calibri" w:hAnsi="Traditional Arabic" w:cs="Traditional Arabic"/>
          <w:sz w:val="32"/>
          <w:szCs w:val="32"/>
          <w:rtl/>
          <w:lang w:val="en-US"/>
        </w:rPr>
        <w:t>).</w:t>
      </w:r>
    </w:p>
    <w:p w14:paraId="78F3A565" w14:textId="269A65F2"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كما ينسجم </w:t>
      </w:r>
      <w:r w:rsidR="00EC77D0" w:rsidRPr="00EC77D0">
        <w:rPr>
          <w:rFonts w:ascii="Traditional Arabic" w:eastAsia="Calibri" w:hAnsi="Traditional Arabic" w:cs="Traditional Arabic"/>
          <w:sz w:val="32"/>
          <w:szCs w:val="32"/>
          <w:rtl/>
          <w:lang w:val="en-US"/>
        </w:rPr>
        <w:t>هذا البعد مع نظرية القيود، إذ يُنظر إلى تعطل الأجهزة الطبية بوصفه أحد القيود التشغيلية التي تؤثر في تدفق الخدمات الصحية، ويسهم تقليل هذه الأعطال في تحسين كفاءة العمليات ورفع إنتاجية النظام الصحي.</w:t>
      </w:r>
    </w:p>
    <w:p w14:paraId="7628028E"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2.3.2.3 تعزيز سلامة المرضى</w:t>
      </w:r>
    </w:p>
    <w:p w14:paraId="129A0080" w14:textId="77F6EEFA"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 xml:space="preserve">يقصد بهذا البعد الحد من المخاطر والحوادث المرتبطة بالأعطال الفنية للأجهزة الطبية، بما يسهم في توفير بيئة علاجية أكثر أمانًا للمرضى والعاملين في القطاع الصحي. وتُعد سلامة المرضى أحد أهم مؤشرات جودة الرعاية الصحية، إذ ترتبط مباشرة بموثوقية الأجهزة الطبية وكفاءة برامج الصيانة. وقد أكدت الدراسات أن تطبيق الصيانة الوقائية والتنبؤية يؤدي إلى </w:t>
      </w:r>
      <w:r w:rsidR="00EC77D0" w:rsidRPr="00EC77D0">
        <w:rPr>
          <w:rFonts w:ascii="Traditional Arabic" w:eastAsia="Calibri" w:hAnsi="Traditional Arabic" w:cs="Traditional Arabic"/>
          <w:sz w:val="32"/>
          <w:szCs w:val="32"/>
          <w:rtl/>
          <w:lang w:val="en-US"/>
        </w:rPr>
        <w:t>تقليل الأعطال الحرجة، وتحسين جاهزية الأجهزة، وخفض احتمالية وقوع الأخطاء أو الحوادث الناتجة عن الأعطال الفنية (</w:t>
      </w:r>
      <w:r w:rsidR="00EC77D0" w:rsidRPr="00EC77D0">
        <w:rPr>
          <w:rFonts w:ascii="Traditional Arabic" w:eastAsia="Calibri" w:hAnsi="Traditional Arabic" w:cs="Traditional Arabic"/>
          <w:sz w:val="32"/>
          <w:szCs w:val="32"/>
          <w:lang w:val="en-US"/>
        </w:rPr>
        <w:t>Mahfoud et al., 2016</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Shamayleh et al.,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Manchadi et al., 2023</w:t>
      </w:r>
      <w:r w:rsidR="00EC77D0" w:rsidRPr="00EC77D0">
        <w:rPr>
          <w:rFonts w:ascii="Traditional Arabic" w:eastAsia="Calibri" w:hAnsi="Traditional Arabic" w:cs="Traditional Arabic"/>
          <w:sz w:val="32"/>
          <w:szCs w:val="32"/>
          <w:rtl/>
          <w:lang w:val="en-US"/>
        </w:rPr>
        <w:t>).</w:t>
      </w:r>
    </w:p>
    <w:p w14:paraId="3911D9CF" w14:textId="44DBA5D1"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ويرتبط </w:t>
      </w:r>
      <w:r w:rsidR="00EC77D0" w:rsidRPr="00EC77D0">
        <w:rPr>
          <w:rFonts w:ascii="Traditional Arabic" w:eastAsia="Calibri" w:hAnsi="Traditional Arabic" w:cs="Traditional Arabic"/>
          <w:sz w:val="32"/>
          <w:szCs w:val="32"/>
          <w:rtl/>
          <w:lang w:val="en-US"/>
        </w:rPr>
        <w:t>هذا البعد بنموذج الجبنة السويسرية (</w:t>
      </w:r>
      <w:r w:rsidR="00EC77D0" w:rsidRPr="00EC77D0">
        <w:rPr>
          <w:rFonts w:ascii="Traditional Arabic" w:eastAsia="Calibri" w:hAnsi="Traditional Arabic" w:cs="Traditional Arabic"/>
          <w:sz w:val="32"/>
          <w:szCs w:val="32"/>
          <w:lang w:val="en-US"/>
        </w:rPr>
        <w:t>Swiss Cheese Model</w:t>
      </w:r>
      <w:r w:rsidR="00EC77D0" w:rsidRPr="00EC77D0">
        <w:rPr>
          <w:rFonts w:ascii="Traditional Arabic" w:eastAsia="Calibri" w:hAnsi="Traditional Arabic" w:cs="Traditional Arabic"/>
          <w:sz w:val="32"/>
          <w:szCs w:val="32"/>
          <w:rtl/>
          <w:lang w:val="en-US"/>
        </w:rPr>
        <w:t xml:space="preserve">) الذي قدمه </w:t>
      </w:r>
      <w:r w:rsidR="00EC77D0" w:rsidRPr="00EC77D0">
        <w:rPr>
          <w:rFonts w:ascii="Traditional Arabic" w:eastAsia="Calibri" w:hAnsi="Traditional Arabic" w:cs="Traditional Arabic"/>
          <w:sz w:val="32"/>
          <w:szCs w:val="32"/>
          <w:lang w:val="en-US"/>
        </w:rPr>
        <w:t>James Reason</w:t>
      </w:r>
      <w:r w:rsidR="00EC77D0" w:rsidRPr="00EC77D0">
        <w:rPr>
          <w:rFonts w:ascii="Traditional Arabic" w:eastAsia="Calibri" w:hAnsi="Traditional Arabic" w:cs="Traditional Arabic"/>
          <w:sz w:val="32"/>
          <w:szCs w:val="32"/>
          <w:rtl/>
          <w:lang w:val="en-US"/>
        </w:rPr>
        <w:t>، والذي يوضح أن الأخطاء والحوادث في الأنظمة المعقدة تنتج عن تراكم نقاط الضعف في طبقات الحماية المختلفة، وأن برامج الصيانة الوقائية والتنبؤية تمثل إحدى طبقات الدفاع الأساسية التي تمنع تحول الأعطال الفنية إلى حوادث تؤثر في سلامة المرضى.</w:t>
      </w:r>
    </w:p>
    <w:p w14:paraId="603F7614" w14:textId="5323C6CC"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اعتمد</w:t>
      </w:r>
      <w:r w:rsidR="00EC77D0">
        <w:rPr>
          <w:rFonts w:ascii="Traditional Arabic" w:eastAsia="Calibri" w:hAnsi="Traditional Arabic" w:cs="Traditional Arabic" w:hint="cs"/>
          <w:sz w:val="32"/>
          <w:szCs w:val="32"/>
          <w:rtl/>
          <w:lang w:val="en-US"/>
        </w:rPr>
        <w:t>ت</w:t>
      </w:r>
      <w:r w:rsidR="00EC77D0">
        <w:rPr>
          <w:rFonts w:ascii="Traditional Arabic" w:eastAsia="Calibri" w:hAnsi="Traditional Arabic" w:cs="Traditional Arabic"/>
          <w:sz w:val="32"/>
          <w:szCs w:val="32"/>
          <w:rtl/>
          <w:lang w:val="en-US"/>
        </w:rPr>
        <w:t xml:space="preserve"> ال</w:t>
      </w:r>
      <w:r w:rsidR="00EC77D0">
        <w:rPr>
          <w:rFonts w:ascii="Traditional Arabic" w:eastAsia="Calibri" w:hAnsi="Traditional Arabic" w:cs="Traditional Arabic" w:hint="cs"/>
          <w:sz w:val="32"/>
          <w:szCs w:val="32"/>
          <w:rtl/>
          <w:lang w:val="en-US"/>
        </w:rPr>
        <w:t>دراسة</w:t>
      </w:r>
      <w:r w:rsidRPr="001E4EE6">
        <w:rPr>
          <w:rFonts w:ascii="Traditional Arabic" w:eastAsia="Calibri" w:hAnsi="Traditional Arabic" w:cs="Traditional Arabic"/>
          <w:sz w:val="32"/>
          <w:szCs w:val="32"/>
          <w:rtl/>
          <w:lang w:val="en-US"/>
        </w:rPr>
        <w:t xml:space="preserve"> هذه الأبعاد الثلاثة دون غيرها لأنها تمثل المخرجات التشغيلية الأكثر تأثرًا باستراتيجيات الصيانة الوقائية والتنبؤية، ولأنها تعكس بصورة مباشرة جاهزية الأجهزة الطبية وكفاءة تشغيلها واستمرارية تقديم الخدمات الصحية. كما أن الدراسات الحديثة أكدت أن تحسين الصيانة ينعكس أولًا على تقليل زمن الاستجابة، وخفض معدلات الإلغاء أو التأجيل، وتعزيز سلامة المرضى، قبل أن ينعكس على مؤشرات الجودة العامة مثل رضا المرضى أو الأداء المؤسسي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Zamzam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Manchadi et al., 2023</w:t>
      </w:r>
      <w:r w:rsidRPr="001E4EE6">
        <w:rPr>
          <w:rFonts w:ascii="Traditional Arabic" w:eastAsia="Calibri" w:hAnsi="Traditional Arabic" w:cs="Traditional Arabic"/>
          <w:sz w:val="32"/>
          <w:szCs w:val="32"/>
          <w:rtl/>
          <w:lang w:val="en-US"/>
        </w:rPr>
        <w:t>).</w:t>
      </w:r>
    </w:p>
    <w:p w14:paraId="4E1454B4" w14:textId="7DA1CF61" w:rsidR="009B15EC" w:rsidRPr="00386BAD" w:rsidRDefault="001E4EE6" w:rsidP="001E4EE6">
      <w:pPr>
        <w:bidi/>
        <w:spacing w:line="360" w:lineRule="auto"/>
        <w:jc w:val="both"/>
        <w:rPr>
          <w:rFonts w:ascii="Traditional Arabic" w:eastAsia="Calibri" w:hAnsi="Traditional Arabic" w:cs="Traditional Arabic"/>
          <w:b/>
          <w:bCs/>
          <w:sz w:val="32"/>
          <w:szCs w:val="32"/>
          <w:lang w:val="en-US"/>
        </w:rPr>
      </w:pPr>
      <w:r w:rsidRPr="001E4EE6">
        <w:rPr>
          <w:rFonts w:ascii="Traditional Arabic" w:eastAsia="Calibri" w:hAnsi="Traditional Arabic" w:cs="Traditional Arabic" w:hint="cs"/>
          <w:b/>
          <w:bCs/>
          <w:sz w:val="32"/>
          <w:szCs w:val="32"/>
          <w:rtl/>
          <w:lang w:val="en-US"/>
        </w:rPr>
        <w:t xml:space="preserve"> </w:t>
      </w:r>
      <w:r w:rsidR="00607DBD">
        <w:rPr>
          <w:rFonts w:ascii="Traditional Arabic" w:eastAsia="Calibri" w:hAnsi="Traditional Arabic" w:cs="Traditional Arabic" w:hint="cs"/>
          <w:b/>
          <w:bCs/>
          <w:sz w:val="32"/>
          <w:szCs w:val="32"/>
          <w:rtl/>
          <w:lang w:val="en-US"/>
        </w:rPr>
        <w:t xml:space="preserve">2.3.3 </w:t>
      </w:r>
      <w:r w:rsidR="009B15EC"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14:paraId="7D024997"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تُعد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r w:rsidRPr="00386BAD">
        <w:rPr>
          <w:rFonts w:ascii="Traditional Arabic" w:eastAsia="Calibri" w:hAnsi="Traditional Arabic" w:cs="Traditional Arabic"/>
          <w:sz w:val="32"/>
          <w:szCs w:val="32"/>
          <w:lang w:val="en-US"/>
        </w:rPr>
        <w:t>Bedisi &amp; Zouyouche, 2021; Mojrashi &amp; Saleh Eldeen, 2024</w:t>
      </w:r>
      <w:r w:rsidRPr="00386BAD">
        <w:rPr>
          <w:rFonts w:ascii="Traditional Arabic" w:eastAsia="Calibri" w:hAnsi="Traditional Arabic" w:cs="Traditional Arabic"/>
          <w:sz w:val="32"/>
          <w:szCs w:val="32"/>
          <w:rtl/>
          <w:lang w:val="en-US"/>
        </w:rPr>
        <w:t>).</w:t>
      </w:r>
    </w:p>
    <w:p w14:paraId="5BCE1BA4"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 2021; Mohamed, 2022</w:t>
      </w:r>
      <w:r w:rsidRPr="00386BAD">
        <w:rPr>
          <w:rFonts w:ascii="Traditional Arabic" w:eastAsia="Calibri" w:hAnsi="Traditional Arabic" w:cs="Traditional Arabic"/>
          <w:sz w:val="32"/>
          <w:szCs w:val="32"/>
          <w:rtl/>
          <w:lang w:val="en-US"/>
        </w:rPr>
        <w:t>).</w:t>
      </w:r>
    </w:p>
    <w:p w14:paraId="0D07511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14:paraId="6CBF02D9" w14:textId="77777777" w:rsidR="009B15EC" w:rsidRPr="00386BAD"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w:t>
      </w:r>
      <w:r w:rsidRPr="00386BAD">
        <w:rPr>
          <w:rFonts w:ascii="Traditional Arabic" w:eastAsia="Calibri" w:hAnsi="Traditional Arabic" w:cs="Traditional Arabic"/>
          <w:sz w:val="32"/>
          <w:szCs w:val="32"/>
          <w:rtl/>
          <w:lang w:val="en-US"/>
        </w:rPr>
        <w:lastRenderedPageBreak/>
        <w:t>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14:paraId="76DD25B5" w14:textId="77777777" w:rsidR="009B15EC" w:rsidRDefault="009B15EC" w:rsidP="009B15EC">
      <w:pPr>
        <w:bidi/>
        <w:spacing w:line="360" w:lineRule="auto"/>
        <w:jc w:val="both"/>
        <w:rPr>
          <w:rFonts w:ascii="Traditional Arabic" w:eastAsia="Calibri" w:hAnsi="Traditional Arabic" w:cs="Traditional Arabic"/>
          <w:sz w:val="32"/>
          <w:szCs w:val="32"/>
          <w:rtl/>
          <w:lang w:val="en-US"/>
        </w:rPr>
      </w:pPr>
    </w:p>
    <w:p w14:paraId="7FC0C7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21BBD7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3E49557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E600814"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65229E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C383573"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3677BE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040A3CB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C9125A"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17D1CB8F" w14:textId="77777777" w:rsidR="00E223BD" w:rsidRDefault="00E223BD" w:rsidP="00E223BD">
      <w:pPr>
        <w:bidi/>
        <w:spacing w:line="360" w:lineRule="auto"/>
        <w:jc w:val="both"/>
        <w:rPr>
          <w:rFonts w:ascii="Traditional Arabic" w:eastAsia="Calibri" w:hAnsi="Traditional Arabic" w:cs="Traditional Arabic"/>
          <w:sz w:val="32"/>
          <w:szCs w:val="32"/>
          <w:rtl/>
          <w:lang w:val="en-US"/>
        </w:rPr>
      </w:pPr>
    </w:p>
    <w:p w14:paraId="71B82E39" w14:textId="41D24209" w:rsidR="00E223BD" w:rsidRPr="00386BAD" w:rsidRDefault="00E223BD" w:rsidP="00E223BD">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1CFC79BB" w14:textId="7C9D9730" w:rsidR="00880571" w:rsidRPr="00386BAD" w:rsidRDefault="00607DBD" w:rsidP="009B15EC">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lastRenderedPageBreak/>
        <w:t xml:space="preserve">2.4 </w:t>
      </w:r>
      <w:r w:rsidR="00627627"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p>
    <w:p w14:paraId="354530A3" w14:textId="00B41EF6"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لذلك لم تعد الصيانة تُنظر إليها بوصفها نشاطًا فنيًا يقتصر على إصلاح الأعطال بعد وقوعها، بل أصبحت أحد المداخل الإدارية والاستراتيجية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Manchadi et al., 2023</w:t>
      </w:r>
      <w:r w:rsidRPr="00EC77D0">
        <w:rPr>
          <w:rFonts w:ascii="Traditional Arabic" w:eastAsia="Calibri" w:hAnsi="Traditional Arabic" w:cs="Traditional Arabic"/>
          <w:sz w:val="32"/>
          <w:szCs w:val="32"/>
          <w:rtl/>
          <w:lang w:val="en-US"/>
        </w:rPr>
        <w:t>).</w:t>
      </w:r>
    </w:p>
    <w:p w14:paraId="3A67B016" w14:textId="1C06369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ويُفسر نموذج دونابيديان (</w:t>
      </w:r>
      <w:r w:rsidRPr="00EC77D0">
        <w:rPr>
          <w:rFonts w:ascii="Traditional Arabic" w:eastAsia="Calibri" w:hAnsi="Traditional Arabic" w:cs="Traditional Arabic"/>
          <w:sz w:val="32"/>
          <w:szCs w:val="32"/>
          <w:lang w:val="en-US"/>
        </w:rPr>
        <w:t>Donabedian Model</w:t>
      </w:r>
      <w:r w:rsidRPr="00EC77D0">
        <w:rPr>
          <w:rFonts w:ascii="Traditional Arabic" w:eastAsia="Calibri" w:hAnsi="Traditional Arabic" w:cs="Traditional Arabic"/>
          <w:sz w:val="32"/>
          <w:szCs w:val="32"/>
          <w:rtl/>
          <w:lang w:val="en-US"/>
        </w:rPr>
        <w:t>) هذه العلاقة من خلال اعتباره أن جودة الرعاية الصحية تقوم على ثلاثة عناصر مترابطة هي: الهيكل (</w:t>
      </w:r>
      <w:r w:rsidRPr="00EC77D0">
        <w:rPr>
          <w:rFonts w:ascii="Traditional Arabic" w:eastAsia="Calibri" w:hAnsi="Traditional Arabic" w:cs="Traditional Arabic"/>
          <w:sz w:val="32"/>
          <w:szCs w:val="32"/>
          <w:lang w:val="en-US"/>
        </w:rPr>
        <w:t>Structure</w:t>
      </w:r>
      <w:r w:rsidRPr="00EC77D0">
        <w:rPr>
          <w:rFonts w:ascii="Traditional Arabic" w:eastAsia="Calibri" w:hAnsi="Traditional Arabic" w:cs="Traditional Arabic"/>
          <w:sz w:val="32"/>
          <w:szCs w:val="32"/>
          <w:rtl/>
          <w:lang w:val="en-US"/>
        </w:rPr>
        <w:t>)، والعمليات (</w:t>
      </w:r>
      <w:r w:rsidRPr="00EC77D0">
        <w:rPr>
          <w:rFonts w:ascii="Traditional Arabic" w:eastAsia="Calibri" w:hAnsi="Traditional Arabic" w:cs="Traditional Arabic"/>
          <w:sz w:val="32"/>
          <w:szCs w:val="32"/>
          <w:lang w:val="en-US"/>
        </w:rPr>
        <w:t>Process</w:t>
      </w:r>
      <w:r w:rsidRPr="00EC77D0">
        <w:rPr>
          <w:rFonts w:ascii="Traditional Arabic" w:eastAsia="Calibri" w:hAnsi="Traditional Arabic" w:cs="Traditional Arabic"/>
          <w:sz w:val="32"/>
          <w:szCs w:val="32"/>
          <w:rtl/>
          <w:lang w:val="en-US"/>
        </w:rPr>
        <w:t>)، والنتائج (</w:t>
      </w:r>
      <w:r w:rsidRPr="00EC77D0">
        <w:rPr>
          <w:rFonts w:ascii="Traditional Arabic" w:eastAsia="Calibri" w:hAnsi="Traditional Arabic" w:cs="Traditional Arabic"/>
          <w:sz w:val="32"/>
          <w:szCs w:val="32"/>
          <w:lang w:val="en-US"/>
        </w:rPr>
        <w:t>Outcomes</w:t>
      </w:r>
      <w:r w:rsidRPr="00EC77D0">
        <w:rPr>
          <w:rFonts w:ascii="Traditional Arabic" w:eastAsia="Calibri" w:hAnsi="Traditional Arabic" w:cs="Traditional Arabic"/>
          <w:sz w:val="32"/>
          <w:szCs w:val="32"/>
          <w:rtl/>
          <w:lang w:val="en-US"/>
        </w:rPr>
        <w:t xml:space="preserve">). ويشير النموذج إلى أن جودة الخدمات الصحية تبدأ بتوافر بنية تحتية وتجهيزات وموارد ذات كفاءة عالية، يليها تنفيذ العمليات الصحية وفق معايير الجودة، ثم تنعكس هذه العناصر في النتائج النهائية المتعلقة بسلامة المرضى وجودة الخدمات الصحية. وفي هذا السياق، تُعد الأجهزة الطبية وأنظمة صيانتها جزءًا أساسيًا من عنصر الهيكل، إذ تؤدي جاهزية الأجهزة وموثوقيتها إلى دعم كفاءة العمليات السريرية، في حين تسهم استراتيجيات الصيانة الوقائية والتنبؤية في الحد من الأعطال المفاجئة، وتقليل فترات التوقف، وتحسين استمرارية تقديم الخدمات، الأمر الذي </w:t>
      </w:r>
      <w:r w:rsidRPr="00EC77D0">
        <w:rPr>
          <w:rFonts w:ascii="Traditional Arabic" w:eastAsia="Calibri" w:hAnsi="Traditional Arabic" w:cs="Traditional Arabic"/>
          <w:sz w:val="32"/>
          <w:szCs w:val="32"/>
          <w:rtl/>
          <w:lang w:val="en-US"/>
        </w:rPr>
        <w:lastRenderedPageBreak/>
        <w:t>ينعكس في النهاية على تعزيز سلامة المرضى ورفع جودة الرعاية الصحية (</w:t>
      </w:r>
      <w:r w:rsidRPr="00EC77D0">
        <w:rPr>
          <w:rFonts w:ascii="Traditional Arabic" w:eastAsia="Calibri" w:hAnsi="Traditional Arabic" w:cs="Traditional Arabic"/>
          <w:sz w:val="32"/>
          <w:szCs w:val="32"/>
          <w:lang w:val="en-US"/>
        </w:rPr>
        <w:t>Donabedian, 1988</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w:t>
      </w:r>
    </w:p>
    <w:p w14:paraId="36DB11C9" w14:textId="2CECBDAE"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والبزايعة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إلى أن تبني تقنيات تحليل البيانات، وإنترنت الأشياء، وأنظمة الصيانة التنبؤية يسهم في رفع مستويات الجاهزية الفنية وتقليل فترات التعطل غير المخطط لها، الأمر الذي ينعكس إيجابًا على دقة التشخيص، وسلامة الإجراءات العلاجية، وفعالية التدخلات السريرية (</w:t>
      </w:r>
      <w:r w:rsidRPr="00EC77D0">
        <w:rPr>
          <w:rFonts w:ascii="Traditional Arabic" w:eastAsia="Calibri" w:hAnsi="Traditional Arabic" w:cs="Traditional Arabic"/>
          <w:sz w:val="32"/>
          <w:szCs w:val="32"/>
          <w:lang w:val="en-US"/>
        </w:rPr>
        <w:t>Boppana, 2023</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Manchadi et al., 2023</w:t>
      </w:r>
      <w:r w:rsidRPr="00EC77D0">
        <w:rPr>
          <w:rFonts w:ascii="Traditional Arabic" w:eastAsia="Calibri" w:hAnsi="Traditional Arabic" w:cs="Traditional Arabic"/>
          <w:sz w:val="32"/>
          <w:szCs w:val="32"/>
          <w:rtl/>
          <w:lang w:val="en-US"/>
        </w:rPr>
        <w:t>).</w:t>
      </w:r>
    </w:p>
    <w:p w14:paraId="0D46250A" w14:textId="5DC076DC"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كما تؤكد الدراسات أن الانتقال من الصيانة الوقائية التقليدية إلى الصيانة التنبؤية يسهم في تحسين الاعتمادية التشغيلية للأجهزة الطبية، وتقليل تكاليف الأعطال، </w:t>
      </w:r>
      <w:r w:rsidRPr="00EC77D0">
        <w:rPr>
          <w:rFonts w:ascii="Traditional Arabic" w:eastAsia="Calibri" w:hAnsi="Traditional Arabic" w:cs="Traditional Arabic"/>
          <w:sz w:val="32"/>
          <w:szCs w:val="32"/>
          <w:rtl/>
          <w:lang w:val="en-US"/>
        </w:rPr>
        <w:lastRenderedPageBreak/>
        <w:t>ورفع كفاءة استغلال الموارد، وهو ما يدعم تحقيق أهداف الجودة المؤسسية ويعزز استدامة الخدمات الصحية (</w:t>
      </w:r>
      <w:r w:rsidRPr="00EC77D0">
        <w:rPr>
          <w:rFonts w:ascii="Traditional Arabic" w:eastAsia="Calibri" w:hAnsi="Traditional Arabic" w:cs="Traditional Arabic"/>
          <w:sz w:val="32"/>
          <w:szCs w:val="32"/>
          <w:lang w:val="en-US"/>
        </w:rPr>
        <w:t>Sezdi, 2016</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Zamzam et al., 2021</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Boppana, 2023</w:t>
      </w:r>
      <w:r w:rsidRPr="00EC77D0">
        <w:rPr>
          <w:rFonts w:ascii="Traditional Arabic" w:eastAsia="Calibri" w:hAnsi="Traditional Arabic" w:cs="Traditional Arabic"/>
          <w:sz w:val="32"/>
          <w:szCs w:val="32"/>
          <w:rtl/>
          <w:lang w:val="en-US"/>
        </w:rPr>
        <w:t>).</w:t>
      </w:r>
    </w:p>
    <w:p w14:paraId="57079C04" w14:textId="452557CB"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الإداري الذي يوجّه أولويات الصيانة ويحدد معاييرها داخل المؤسسات الصحية. فكلما ارتفع مستوى نضج ممارسات الصيانة، وتحسنت جاهزية الأجهزة الطبية، انعكس ذلك على تقليل زمن الاستجابة للخدمات الطبية، وخفض حالات إلغاء أو تأجيل العمليات والإجراءات العلاجية، وتعزيز سلامة المرضى، وهي المؤشرات التي اعتمدتها الدراسة الحالية لقياس جودة الرعاية الصحية. وبذلك تصبح الصيانة عنصرًا استراتيجيًا يسهم في تحقيق جودة الرعاية الصحية، وليس مجرد وظيفة فنية تقتصر على إصلاح الأعطال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Shamayleh et al.,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Manchadi et al., 2023</w:t>
      </w:r>
      <w:r w:rsidRPr="00EC77D0">
        <w:rPr>
          <w:rFonts w:ascii="Traditional Arabic" w:eastAsia="Calibri" w:hAnsi="Traditional Arabic" w:cs="Traditional Arabic"/>
          <w:sz w:val="32"/>
          <w:szCs w:val="32"/>
          <w:rtl/>
          <w:lang w:val="en-US"/>
        </w:rPr>
        <w:t>).</w:t>
      </w:r>
    </w:p>
    <w:p w14:paraId="59F925CF" w14:textId="7777777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الطبية ومتطلبات السلامة السريرية، بما يتسق مع مستهدفات رؤية المملكة العربية السعودية 2030 الرامية إلى تطوير قطاع صحي يتميز بالكفاءة والاستدامة والابتكار. ومن ثم، تبرز الحاجة إلى تبني استراتيجيات صيانة حديثة ترتبط ارتباطًا وثيقًا بمنظومة الجودة المؤسسية، بحيث تُدار الصيانة بوصفها جزءًا من منظومة الأداء الشامل للمستشفى، بما يسهم في رفع جاهزية الأجهزة الطبية، وتحسين جودة الخدمات الصحية، وتعزيز سلامة المرضى، وتحقيق الاستخدام الأمثل للموارد الصحية</w:t>
      </w:r>
      <w:r w:rsidRPr="00EC77D0">
        <w:rPr>
          <w:rFonts w:ascii="Traditional Arabic" w:eastAsia="Calibri" w:hAnsi="Traditional Arabic" w:cs="Traditional Arabic"/>
          <w:sz w:val="32"/>
          <w:szCs w:val="32"/>
          <w:lang w:val="en-US"/>
        </w:rPr>
        <w:t>.</w:t>
      </w:r>
    </w:p>
    <w:p w14:paraId="7F823B30" w14:textId="4225AA75" w:rsidR="005B6872" w:rsidRPr="00EC77D0" w:rsidRDefault="00E223BD" w:rsidP="00E223BD">
      <w:pPr>
        <w:bidi/>
        <w:spacing w:line="360" w:lineRule="auto"/>
        <w:jc w:val="both"/>
        <w:rPr>
          <w:rFonts w:ascii="Traditional Arabic" w:eastAsia="Calibri" w:hAnsi="Traditional Arabic" w:cs="Traditional Arabic"/>
          <w:sz w:val="28"/>
          <w:szCs w:val="28"/>
          <w:rtl/>
          <w:lang w:val="en-US" w:bidi="ar-JO"/>
        </w:rPr>
      </w:pPr>
      <w:r>
        <w:rPr>
          <w:rFonts w:ascii="Traditional Arabic" w:eastAsia="Calibri" w:hAnsi="Traditional Arabic" w:cs="Traditional Arabic"/>
          <w:sz w:val="28"/>
          <w:szCs w:val="28"/>
          <w:rtl/>
          <w:lang w:val="en-US" w:bidi="ar-JO"/>
        </w:rPr>
        <w:br w:type="page"/>
      </w:r>
    </w:p>
    <w:p w14:paraId="7C4F1670" w14:textId="67F7D170" w:rsidR="005B6872" w:rsidRPr="00386BAD" w:rsidRDefault="00607DBD" w:rsidP="00607DBD">
      <w:pPr>
        <w:bidi/>
        <w:spacing w:line="360" w:lineRule="auto"/>
        <w:jc w:val="both"/>
        <w:rPr>
          <w:rFonts w:ascii="Traditional Arabic" w:eastAsia="Calibri" w:hAnsi="Traditional Arabic" w:cs="Traditional Arabic"/>
          <w:b/>
          <w:bCs/>
          <w:sz w:val="36"/>
          <w:szCs w:val="36"/>
          <w:rtl/>
          <w:lang w:val="en-US"/>
        </w:rPr>
      </w:pPr>
      <w:r>
        <w:rPr>
          <w:rFonts w:ascii="Traditional Arabic" w:eastAsia="Calibri" w:hAnsi="Traditional Arabic" w:cs="Traditional Arabic" w:hint="cs"/>
          <w:b/>
          <w:bCs/>
          <w:sz w:val="36"/>
          <w:szCs w:val="36"/>
          <w:rtl/>
          <w:lang w:val="en-US"/>
        </w:rPr>
        <w:lastRenderedPageBreak/>
        <w:t>2.5 المبحث الرابع:</w:t>
      </w:r>
      <w:r w:rsidR="005B6872" w:rsidRPr="00386BAD">
        <w:rPr>
          <w:rFonts w:ascii="Traditional Arabic" w:eastAsia="Calibri" w:hAnsi="Traditional Arabic" w:cs="Traditional Arabic" w:hint="cs"/>
          <w:b/>
          <w:bCs/>
          <w:sz w:val="36"/>
          <w:szCs w:val="36"/>
          <w:rtl/>
          <w:lang w:val="en-US"/>
        </w:rPr>
        <w:t xml:space="preserve"> </w:t>
      </w:r>
      <w:r w:rsidR="004E5D06" w:rsidRPr="00386BAD">
        <w:rPr>
          <w:rFonts w:ascii="Traditional Arabic" w:eastAsia="Calibri" w:hAnsi="Traditional Arabic" w:cs="Traditional Arabic"/>
          <w:b/>
          <w:bCs/>
          <w:sz w:val="36"/>
          <w:szCs w:val="36"/>
          <w:rtl/>
          <w:lang w:val="en-US"/>
        </w:rPr>
        <w:t>الدراسات السابقة</w:t>
      </w:r>
    </w:p>
    <w:p w14:paraId="20D69B91" w14:textId="20E797ED" w:rsidR="00CC296A" w:rsidRPr="00607DBD" w:rsidRDefault="00607DBD" w:rsidP="00607DBD">
      <w:pPr>
        <w:bidi/>
        <w:spacing w:line="360" w:lineRule="auto"/>
        <w:jc w:val="both"/>
        <w:rPr>
          <w:rFonts w:ascii="Traditional Arabic" w:eastAsia="Calibri" w:hAnsi="Traditional Arabic" w:cs="Traditional Arabic"/>
          <w:b/>
          <w:bCs/>
          <w:sz w:val="40"/>
          <w:szCs w:val="40"/>
          <w:rtl/>
        </w:rPr>
      </w:pPr>
      <w:r>
        <w:rPr>
          <w:rFonts w:ascii="Traditional Arabic" w:eastAsia="Calibri" w:hAnsi="Traditional Arabic" w:cs="Traditional Arabic" w:hint="cs"/>
          <w:b/>
          <w:bCs/>
          <w:sz w:val="32"/>
          <w:szCs w:val="32"/>
          <w:rtl/>
        </w:rPr>
        <w:t xml:space="preserve">2.5.1 </w:t>
      </w:r>
      <w:r w:rsidR="00B20CC6" w:rsidRPr="00607DBD">
        <w:rPr>
          <w:rFonts w:ascii="Traditional Arabic" w:eastAsia="Calibri" w:hAnsi="Traditional Arabic" w:cs="Traditional Arabic"/>
          <w:b/>
          <w:bCs/>
          <w:sz w:val="32"/>
          <w:szCs w:val="32"/>
          <w:rtl/>
        </w:rPr>
        <w:t>دراسات متعلقة بالمتغير التابع (جودة الرعاية الصحية)</w:t>
      </w:r>
    </w:p>
    <w:p w14:paraId="641ACAA3" w14:textId="77777777" w:rsidR="00CC296A" w:rsidRPr="00386BAD" w:rsidRDefault="00CC296A" w:rsidP="00CC296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Al-Jabri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14:paraId="72DCBB8F" w14:textId="1C567390" w:rsidR="00CC296A" w:rsidRPr="00386BAD" w:rsidRDefault="00CC296A" w:rsidP="00E223B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وأظهرت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بعض المتغيرات التنظيمية، مثل المستشفى والقسم الذي يتلقى أو 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وسلامة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14:paraId="19144FD1"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وتتميز هذه الدراسة بكونها تناولت جودة الرعاية الصحية من منظور كل من المرضى ومقدمي الرعاية الصحية، الأمر الذي يوفر رؤية أكثر شمولية للعوامل</w:t>
      </w:r>
      <w:r w:rsidRPr="00386BAD">
        <w:rPr>
          <w:rFonts w:ascii="Traditional Arabic" w:eastAsia="Calibri" w:hAnsi="Traditional Arabic" w:cs="Traditional Arabic"/>
          <w:sz w:val="28"/>
          <w:szCs w:val="28"/>
          <w:rtl/>
        </w:rPr>
        <w:t xml:space="preserve">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w:t>
      </w:r>
      <w:r w:rsidRPr="00386BAD">
        <w:rPr>
          <w:rFonts w:ascii="Traditional Arabic" w:eastAsia="Calibri" w:hAnsi="Traditional Arabic" w:cs="Traditional Arabic"/>
          <w:sz w:val="28"/>
          <w:szCs w:val="28"/>
          <w:rtl/>
        </w:rPr>
        <w:lastRenderedPageBreak/>
        <w:t>من خلال إبراز أهمية رفع جاهزية البيئة التشغيلية للمستشفى وتحسين كفاءة إدارة الموارد والتجهيزات الطبية، وهو ما يتكامل مع دور استراتيجيات الصيانة الوقائية والتنبؤية في تعزيز جودة الرعاية الصحية داخل مستشفى عسير المركزي</w:t>
      </w:r>
      <w:r w:rsidRPr="00386BAD">
        <w:rPr>
          <w:rFonts w:ascii="Traditional Arabic" w:eastAsia="Calibri" w:hAnsi="Traditional Arabic" w:cs="Traditional Arabic"/>
          <w:sz w:val="28"/>
          <w:szCs w:val="28"/>
        </w:rPr>
        <w:t xml:space="preserve">. </w:t>
      </w:r>
    </w:p>
    <w:p w14:paraId="3B46C9EF"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b/>
          <w:bCs/>
          <w:sz w:val="28"/>
          <w:szCs w:val="28"/>
          <w:rtl/>
        </w:rPr>
      </w:pPr>
    </w:p>
    <w:p w14:paraId="7AB52B28" w14:textId="3D0297D9" w:rsidR="000F2DE2" w:rsidRPr="00EC77D0" w:rsidRDefault="00CC296A" w:rsidP="00EC77D0">
      <w:pPr>
        <w:pStyle w:val="a5"/>
        <w:numPr>
          <w:ilvl w:val="0"/>
          <w:numId w:val="6"/>
        </w:numPr>
        <w:bidi/>
        <w:spacing w:line="360" w:lineRule="auto"/>
        <w:jc w:val="both"/>
        <w:rPr>
          <w:rFonts w:ascii="Traditional Arabic" w:eastAsia="Calibri" w:hAnsi="Traditional Arabic" w:cs="Traditional Arabic"/>
          <w:b/>
          <w:bCs/>
          <w:sz w:val="28"/>
          <w:szCs w:val="28"/>
          <w:rtl/>
        </w:rPr>
      </w:pPr>
      <w:r w:rsidRPr="00EC77D0">
        <w:rPr>
          <w:rFonts w:ascii="Traditional Arabic" w:eastAsia="Calibri" w:hAnsi="Traditional Arabic" w:cs="Traditional Arabic"/>
          <w:sz w:val="28"/>
          <w:szCs w:val="28"/>
          <w:rtl/>
        </w:rPr>
        <w:t xml:space="preserve">دراسة </w:t>
      </w:r>
      <w:r w:rsidRPr="00EC77D0">
        <w:rPr>
          <w:rFonts w:ascii="Traditional Arabic" w:eastAsia="Calibri" w:hAnsi="Traditional Arabic" w:cs="Traditional Arabic"/>
          <w:sz w:val="28"/>
          <w:szCs w:val="28"/>
        </w:rPr>
        <w:t>A'aqoulah</w:t>
      </w:r>
      <w:r w:rsidRPr="00EC77D0">
        <w:rPr>
          <w:rFonts w:ascii="Traditional Arabic" w:eastAsia="Calibri" w:hAnsi="Traditional Arabic" w:cs="Traditional Arabic"/>
          <w:sz w:val="28"/>
          <w:szCs w:val="28"/>
          <w:rtl/>
        </w:rPr>
        <w:t xml:space="preserve"> وآخرون (2022)</w:t>
      </w:r>
      <w:r w:rsidR="00EC77D0" w:rsidRPr="00EC77D0">
        <w:rPr>
          <w:rFonts w:ascii="Traditional Arabic" w:eastAsia="Calibri" w:hAnsi="Traditional Arabic" w:cs="Traditional Arabic" w:hint="cs"/>
          <w:sz w:val="28"/>
          <w:szCs w:val="28"/>
          <w:rtl/>
        </w:rPr>
        <w:t xml:space="preserve">. </w:t>
      </w:r>
      <w:r w:rsidRPr="00EC77D0">
        <w:rPr>
          <w:rFonts w:ascii="Traditional Arabic" w:eastAsia="Calibri" w:hAnsi="Traditional Arabic" w:cs="Traditional Arabic"/>
          <w:sz w:val="28"/>
          <w:szCs w:val="28"/>
          <w:rtl/>
        </w:rPr>
        <w:t xml:space="preserve">هدفت </w:t>
      </w:r>
      <w:r w:rsidR="000F2DE2" w:rsidRPr="00EC77D0">
        <w:rPr>
          <w:rFonts w:ascii="Traditional Arabic" w:eastAsia="Calibri" w:hAnsi="Traditional Arabic" w:cs="Traditional Arabic"/>
          <w:sz w:val="28"/>
          <w:szCs w:val="28"/>
          <w:rtl/>
        </w:rPr>
        <w:t>دراسة</w:t>
      </w:r>
      <w:r w:rsidR="000F2DE2" w:rsidRPr="00EC77D0">
        <w:rPr>
          <w:rFonts w:ascii="Traditional Arabic" w:eastAsia="Calibri" w:hAnsi="Traditional Arabic" w:cs="Traditional Arabic"/>
          <w:sz w:val="28"/>
          <w:szCs w:val="28"/>
        </w:rPr>
        <w:t xml:space="preserve"> A'aqoulah </w:t>
      </w:r>
      <w:r w:rsidR="000F2DE2" w:rsidRPr="00EC77D0">
        <w:rPr>
          <w:rFonts w:ascii="Traditional Arabic" w:eastAsia="Calibri" w:hAnsi="Traditional Arabic" w:cs="Traditional Arabic"/>
          <w:sz w:val="28"/>
          <w:szCs w:val="28"/>
          <w:rtl/>
        </w:rPr>
        <w:t xml:space="preserve">وآخرون (2022) إلى استكشاف الفجوة بين توقعات المرضى وإدراكهم الفعلي لجودة الخدمات الصحية المقدمة في المستشفيات الأردنية، بالاعتماد على نموذج </w:t>
      </w:r>
      <w:r w:rsidR="000F2DE2" w:rsidRPr="00EC77D0">
        <w:rPr>
          <w:rFonts w:ascii="Traditional Arabic" w:eastAsia="Calibri" w:hAnsi="Traditional Arabic" w:cs="Traditional Arabic"/>
          <w:sz w:val="28"/>
          <w:szCs w:val="28"/>
        </w:rPr>
        <w:t>SERVQUAL</w:t>
      </w:r>
      <w:r w:rsidR="000F2DE2" w:rsidRPr="00EC77D0">
        <w:rPr>
          <w:rFonts w:ascii="Traditional Arabic" w:eastAsia="Calibri" w:hAnsi="Traditional Arabic" w:cs="Traditional Arabic"/>
          <w:sz w:val="28"/>
          <w:szCs w:val="28"/>
          <w:rtl/>
        </w:rPr>
        <w:t>، وذلك بهدف تحديد مدى توافق الخدمات المقدمة مع توقعات المستفيدين، والكشف عن جوانب القصور التي قد تؤثر في مستوى جودة الرعاية الصحية. واعتمدت الدراسة المنهج الوصفي التحليلي باستخدام تصميم الدراسة المقطعية (</w:t>
      </w:r>
      <w:r w:rsidR="000F2DE2" w:rsidRPr="00EC77D0">
        <w:rPr>
          <w:rFonts w:ascii="Traditional Arabic" w:eastAsia="Calibri" w:hAnsi="Traditional Arabic" w:cs="Traditional Arabic"/>
          <w:sz w:val="28"/>
          <w:szCs w:val="28"/>
        </w:rPr>
        <w:t>Cross-sectional Design</w:t>
      </w:r>
      <w:r w:rsidR="000F2DE2" w:rsidRPr="00EC77D0">
        <w:rPr>
          <w:rFonts w:ascii="Traditional Arabic" w:eastAsia="Calibri" w:hAnsi="Traditional Arabic" w:cs="Traditional Arabic"/>
          <w:sz w:val="28"/>
          <w:szCs w:val="28"/>
          <w:rtl/>
        </w:rPr>
        <w:t xml:space="preserve">)، حيث جُمعت البيانات من (415) مريضًا من مراجعي العيادات الخارجية في مستشفيين تعليميين رئيسيين في مدينتي عمّان وإربد، واستخدم الباحثون استبانة </w:t>
      </w:r>
      <w:r w:rsidR="000F2DE2" w:rsidRPr="00EC77D0">
        <w:rPr>
          <w:rFonts w:ascii="Traditional Arabic" w:eastAsia="Calibri" w:hAnsi="Traditional Arabic" w:cs="Traditional Arabic"/>
          <w:sz w:val="28"/>
          <w:szCs w:val="28"/>
        </w:rPr>
        <w:t>SERVQUAL</w:t>
      </w:r>
      <w:r w:rsidR="000F2DE2" w:rsidRPr="00EC77D0">
        <w:rPr>
          <w:rFonts w:ascii="Traditional Arabic" w:eastAsia="Calibri" w:hAnsi="Traditional Arabic" w:cs="Traditional Arabic"/>
          <w:sz w:val="28"/>
          <w:szCs w:val="28"/>
          <w:rtl/>
        </w:rPr>
        <w:t xml:space="preserve"> التي تقيس خمسة أبعاد لجودة الخدمة، وهي: الجوانب المادية (</w:t>
      </w:r>
      <w:r w:rsidR="000F2DE2" w:rsidRPr="00EC77D0">
        <w:rPr>
          <w:rFonts w:ascii="Traditional Arabic" w:eastAsia="Calibri" w:hAnsi="Traditional Arabic" w:cs="Traditional Arabic"/>
          <w:sz w:val="28"/>
          <w:szCs w:val="28"/>
        </w:rPr>
        <w:t>Tangibles</w:t>
      </w:r>
      <w:r w:rsidR="000F2DE2" w:rsidRPr="00EC77D0">
        <w:rPr>
          <w:rFonts w:ascii="Traditional Arabic" w:eastAsia="Calibri" w:hAnsi="Traditional Arabic" w:cs="Traditional Arabic"/>
          <w:sz w:val="28"/>
          <w:szCs w:val="28"/>
          <w:rtl/>
        </w:rPr>
        <w:t>)، والاعتمادية (</w:t>
      </w:r>
      <w:r w:rsidR="000F2DE2" w:rsidRPr="00EC77D0">
        <w:rPr>
          <w:rFonts w:ascii="Traditional Arabic" w:eastAsia="Calibri" w:hAnsi="Traditional Arabic" w:cs="Traditional Arabic"/>
          <w:sz w:val="28"/>
          <w:szCs w:val="28"/>
        </w:rPr>
        <w:t>Reliability</w:t>
      </w:r>
      <w:r w:rsidR="000F2DE2" w:rsidRPr="00EC77D0">
        <w:rPr>
          <w:rFonts w:ascii="Traditional Arabic" w:eastAsia="Calibri" w:hAnsi="Traditional Arabic" w:cs="Traditional Arabic"/>
          <w:sz w:val="28"/>
          <w:szCs w:val="28"/>
          <w:rtl/>
        </w:rPr>
        <w:t>)، والاستجابة (</w:t>
      </w:r>
      <w:r w:rsidR="000F2DE2" w:rsidRPr="00EC77D0">
        <w:rPr>
          <w:rFonts w:ascii="Traditional Arabic" w:eastAsia="Calibri" w:hAnsi="Traditional Arabic" w:cs="Traditional Arabic"/>
          <w:sz w:val="28"/>
          <w:szCs w:val="28"/>
        </w:rPr>
        <w:t>Responsiveness</w:t>
      </w:r>
      <w:r w:rsidR="000F2DE2" w:rsidRPr="00EC77D0">
        <w:rPr>
          <w:rFonts w:ascii="Traditional Arabic" w:eastAsia="Calibri" w:hAnsi="Traditional Arabic" w:cs="Traditional Arabic"/>
          <w:sz w:val="28"/>
          <w:szCs w:val="28"/>
          <w:rtl/>
        </w:rPr>
        <w:t>)، والأمان (</w:t>
      </w:r>
      <w:r w:rsidR="000F2DE2" w:rsidRPr="00EC77D0">
        <w:rPr>
          <w:rFonts w:ascii="Traditional Arabic" w:eastAsia="Calibri" w:hAnsi="Traditional Arabic" w:cs="Traditional Arabic"/>
          <w:sz w:val="28"/>
          <w:szCs w:val="28"/>
        </w:rPr>
        <w:t>Assurance</w:t>
      </w:r>
      <w:r w:rsidR="000F2DE2" w:rsidRPr="00EC77D0">
        <w:rPr>
          <w:rFonts w:ascii="Traditional Arabic" w:eastAsia="Calibri" w:hAnsi="Traditional Arabic" w:cs="Traditional Arabic"/>
          <w:sz w:val="28"/>
          <w:szCs w:val="28"/>
          <w:rtl/>
        </w:rPr>
        <w:t>)، والتعاطف (</w:t>
      </w:r>
      <w:r w:rsidR="000F2DE2" w:rsidRPr="00EC77D0">
        <w:rPr>
          <w:rFonts w:ascii="Traditional Arabic" w:eastAsia="Calibri" w:hAnsi="Traditional Arabic" w:cs="Traditional Arabic"/>
          <w:sz w:val="28"/>
          <w:szCs w:val="28"/>
        </w:rPr>
        <w:t>Empathy</w:t>
      </w:r>
      <w:r w:rsidR="000F2DE2" w:rsidRPr="00EC77D0">
        <w:rPr>
          <w:rFonts w:ascii="Traditional Arabic" w:eastAsia="Calibri" w:hAnsi="Traditional Arabic" w:cs="Traditional Arabic"/>
          <w:sz w:val="28"/>
          <w:szCs w:val="28"/>
          <w:rtl/>
        </w:rPr>
        <w:t>). كما تم تحليل البيانات باستخدام الإحصاء الوصفي، واختبار (</w:t>
      </w:r>
      <w:r w:rsidR="000F2DE2" w:rsidRPr="00EC77D0">
        <w:rPr>
          <w:rFonts w:ascii="Traditional Arabic" w:eastAsia="Calibri" w:hAnsi="Traditional Arabic" w:cs="Traditional Arabic"/>
          <w:sz w:val="28"/>
          <w:szCs w:val="28"/>
        </w:rPr>
        <w:t>t</w:t>
      </w:r>
      <w:r w:rsidR="000F2DE2" w:rsidRPr="00EC77D0">
        <w:rPr>
          <w:rFonts w:ascii="Traditional Arabic" w:eastAsia="Calibri" w:hAnsi="Traditional Arabic" w:cs="Traditional Arabic"/>
          <w:sz w:val="28"/>
          <w:szCs w:val="28"/>
          <w:rtl/>
        </w:rPr>
        <w:t>)، وتحليل التباين (</w:t>
      </w:r>
      <w:r w:rsidR="000F2DE2" w:rsidRPr="00EC77D0">
        <w:rPr>
          <w:rFonts w:ascii="Traditional Arabic" w:eastAsia="Calibri" w:hAnsi="Traditional Arabic" w:cs="Traditional Arabic"/>
          <w:sz w:val="28"/>
          <w:szCs w:val="28"/>
        </w:rPr>
        <w:t>ANOVA</w:t>
      </w:r>
      <w:r w:rsidR="000F2DE2" w:rsidRPr="00EC77D0">
        <w:rPr>
          <w:rFonts w:ascii="Traditional Arabic" w:eastAsia="Calibri" w:hAnsi="Traditional Arabic" w:cs="Traditional Arabic"/>
          <w:sz w:val="28"/>
          <w:szCs w:val="28"/>
          <w:rtl/>
        </w:rPr>
        <w:t>).</w:t>
      </w:r>
    </w:p>
    <w:p w14:paraId="13459D10"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
    <w:p w14:paraId="70A72848"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وأظهرت نتائج الدراسة وجود فجوة ذات دلالة بين توقعات المرضى وإدراكهم الفعلي لمستوى جودة الخدمات الصحية، حيث جاءت توقعات المرضى أعلى من مستوى الخدمة التي شعروا بأنهم تلقوها في جميع أبعاد نموذج </w:t>
      </w:r>
      <w:r w:rsidRPr="00386BAD">
        <w:rPr>
          <w:rFonts w:ascii="Traditional Arabic" w:eastAsia="Calibri" w:hAnsi="Traditional Arabic" w:cs="Traditional Arabic"/>
          <w:sz w:val="28"/>
          <w:szCs w:val="28"/>
        </w:rPr>
        <w:t>SERVQUAL</w:t>
      </w:r>
      <w:r w:rsidRPr="00386BAD">
        <w:rPr>
          <w:rFonts w:ascii="Traditional Arabic" w:eastAsia="Calibri" w:hAnsi="Traditional Arabic" w:cs="Traditional Arabic"/>
          <w:sz w:val="28"/>
          <w:szCs w:val="28"/>
          <w:rtl/>
        </w:rPr>
        <w:t xml:space="preserve">. كما بينت النتائج أن بعد الاعتمادية جاء من أكثر الأبعاد تأثيرًا في تقييم المرضى لجودة الخدمات، في حين ظهرت الحاجة إلى تحسين سرعة الاستجابة، وتعزيز التواصل مع المرضى، والاهتمام بالجوانب الإنسانية أثناء تقديم الخدمة الصحية. </w:t>
      </w:r>
    </w:p>
    <w:p w14:paraId="57C13835"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وأوصت الدراسة بضرورة تبني برامج متكاملة لإدارة الجودة تركز على تحسين جميع أبعاد جودة الخدمة، وتقليص الفجوة بين توقعات المرضى وإدراكهم، بما يسهم في رفع مستوى رضا المستفيدين وتحسين جودة الرعاية الصحية المقدمة في المستشفيات. </w:t>
      </w:r>
    </w:p>
    <w:p w14:paraId="2A963261" w14:textId="77777777" w:rsidR="000F2DE2" w:rsidRPr="00386BAD" w:rsidRDefault="000F2DE2" w:rsidP="00CC296A">
      <w:pPr>
        <w:pStyle w:val="a5"/>
        <w:bidi/>
        <w:spacing w:line="360" w:lineRule="auto"/>
        <w:ind w:left="360" w:firstLine="360"/>
        <w:jc w:val="both"/>
        <w:rPr>
          <w:rFonts w:ascii="Traditional Arabic" w:eastAsia="Calibri" w:hAnsi="Traditional Arabic" w:cs="Traditional Arabic"/>
          <w:sz w:val="28"/>
          <w:szCs w:val="28"/>
          <w:rtl/>
        </w:rPr>
      </w:pPr>
    </w:p>
    <w:p w14:paraId="5F178702"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وتتميز هذه الدراسة بتركيزها على تقييم جودة الرعاية الصحية من منظور المرضى، من خلال استخدام أحد أكثر النماذج شيوعًا في قياس جودة الخدمات الصحية، وهو نموذج </w:t>
      </w:r>
      <w:r w:rsidRPr="00386BAD">
        <w:rPr>
          <w:rFonts w:ascii="Traditional Arabic" w:eastAsia="Calibri" w:hAnsi="Traditional Arabic" w:cs="Traditional Arabic"/>
          <w:sz w:val="28"/>
          <w:szCs w:val="28"/>
        </w:rPr>
        <w:t>SERVQUAL</w:t>
      </w:r>
      <w:r w:rsidRPr="00386BAD">
        <w:rPr>
          <w:rFonts w:ascii="Traditional Arabic" w:eastAsia="Calibri" w:hAnsi="Traditional Arabic" w:cs="Traditional Arabic"/>
          <w:sz w:val="28"/>
          <w:szCs w:val="28"/>
          <w:rtl/>
        </w:rPr>
        <w:t>، الأمر الذي يمنح نتائجها أهمية تطبيقية في تحديد نقاط القوة والقصور في الخدمات الصحية. كما تؤكد نتائجها أن جودة الرعاية الصحية لا تعتمد فقط على توافر الخدمات، وإنما ترتبط أيضًا بمدى قدرة المؤسسات الصحية على تلبية توقعات المرضى وتحقيق مستويات مرتفعة من الاعتمادية وسرعة الاستجابة. وتدعم هذه النتائج الدراسة الحالية من خلال إبراز أهمية العوامل التشغيلية والتنظيمية في تحسين جودة الرعاية الصحية، حيث تسهم استراتيجيات الصيانة الوقائية والتنبؤية في رفع جاهزية الأجهزة الطبية، وتحسين موثوقية الخدمات، وتقليل الأعطال التي قد تؤثر في سرعة تقديم الخدمة ومستوى رضا المرضى داخل مستشفى عسير المركزي.</w:t>
      </w:r>
    </w:p>
    <w:p w14:paraId="24A3346A"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14:paraId="44313C91" w14:textId="4FA72FE0" w:rsidR="00B20CC6" w:rsidRPr="00607DBD" w:rsidRDefault="00607DBD" w:rsidP="00607DBD">
      <w:pPr>
        <w:bidi/>
        <w:spacing w:line="360" w:lineRule="auto"/>
        <w:jc w:val="both"/>
        <w:rPr>
          <w:rFonts w:ascii="Traditional Arabic" w:eastAsia="Calibri" w:hAnsi="Traditional Arabic" w:cs="Traditional Arabic"/>
          <w:b/>
          <w:bCs/>
          <w:sz w:val="32"/>
          <w:szCs w:val="32"/>
          <w:rtl/>
        </w:rPr>
      </w:pPr>
      <w:r w:rsidRPr="00607DBD">
        <w:rPr>
          <w:rFonts w:ascii="Traditional Arabic" w:eastAsia="Calibri" w:hAnsi="Traditional Arabic" w:cs="Traditional Arabic" w:hint="cs"/>
          <w:b/>
          <w:bCs/>
          <w:sz w:val="28"/>
          <w:szCs w:val="28"/>
          <w:rtl/>
          <w:lang w:val="en-US"/>
        </w:rPr>
        <w:t xml:space="preserve">2.5.2 </w:t>
      </w:r>
      <w:r w:rsidR="00B20CC6" w:rsidRPr="00607DB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14:paraId="2FED6323" w14:textId="77777777" w:rsidR="006B04A2"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r w:rsidR="006B04A2" w:rsidRPr="00386BAD">
        <w:rPr>
          <w:rFonts w:ascii="Traditional Arabic" w:eastAsia="Calibri" w:hAnsi="Traditional Arabic" w:cs="Traditional Arabic"/>
          <w:sz w:val="28"/>
          <w:szCs w:val="28"/>
        </w:rPr>
        <w:t>TPM</w:t>
      </w:r>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14:paraId="41011519" w14:textId="77777777"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بواقعيتها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14:paraId="1AFE3089" w14:textId="11BAE54F" w:rsidR="006B04A2" w:rsidRPr="00386BAD" w:rsidRDefault="00BB0C73" w:rsidP="00E223BD">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عبد </w:t>
      </w:r>
      <w:r w:rsidR="006B04A2" w:rsidRPr="00386BAD">
        <w:rPr>
          <w:rFonts w:ascii="Traditional Arabic" w:eastAsia="Calibri" w:hAnsi="Traditional Arabic" w:cs="Traditional Arabic"/>
          <w:sz w:val="28"/>
          <w:szCs w:val="28"/>
          <w:rtl/>
        </w:rPr>
        <w:t>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r w:rsidR="006B04A2" w:rsidRPr="00386BAD">
        <w:rPr>
          <w:rFonts w:ascii="Traditional Arabic" w:eastAsia="Calibri" w:hAnsi="Traditional Arabic" w:cs="Traditional Arabic"/>
          <w:sz w:val="28"/>
          <w:szCs w:val="28"/>
        </w:rPr>
        <w:t>TPM</w:t>
      </w:r>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جرى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xml:space="preserve">، وتوصلت النتائج إلى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14:paraId="2498BE5B"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w:t>
      </w:r>
      <w:r w:rsidRPr="00386BAD">
        <w:rPr>
          <w:rFonts w:ascii="Traditional Arabic" w:eastAsia="Calibri" w:hAnsi="Traditional Arabic" w:cs="Traditional Arabic"/>
          <w:sz w:val="28"/>
          <w:szCs w:val="28"/>
          <w:rtl/>
        </w:rPr>
        <w:lastRenderedPageBreak/>
        <w:t>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14:paraId="12CB609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r w:rsidR="00F461CA" w:rsidRPr="00386BAD">
        <w:rPr>
          <w:rFonts w:ascii="Traditional Arabic" w:eastAsia="Calibri" w:hAnsi="Traditional Arabic" w:cs="Traditional Arabic"/>
          <w:sz w:val="28"/>
          <w:szCs w:val="28"/>
          <w:lang w:val="en-GB"/>
        </w:rPr>
        <w:t xml:space="preserve">Manchadi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موثوقية الأجهزة الطبية. أُجريت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14:paraId="1F44FE76"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14:paraId="34E2AF89"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lang w:val="en-GB"/>
        </w:rPr>
        <w:lastRenderedPageBreak/>
        <w:t>ورغم شمولية هذا المسح وراهنيته، الا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14:paraId="27882B23"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lang w:val="en-GB"/>
        </w:rPr>
      </w:pPr>
    </w:p>
    <w:p w14:paraId="7774FD39"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Sezdi,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r w:rsidR="00F461CA" w:rsidRPr="00386BAD">
        <w:rPr>
          <w:rFonts w:ascii="Traditional Arabic" w:eastAsia="Calibri" w:hAnsi="Traditional Arabic" w:cs="Traditional Arabic"/>
          <w:sz w:val="28"/>
          <w:szCs w:val="28"/>
        </w:rPr>
        <w:t>PVST</w:t>
      </w:r>
      <w:r w:rsidR="00F461CA" w:rsidRPr="00386BAD">
        <w:rPr>
          <w:rFonts w:ascii="Traditional Arabic" w:eastAsia="Calibri" w:hAnsi="Traditional Arabic" w:cs="Traditional Arabic"/>
          <w:sz w:val="28"/>
          <w:szCs w:val="28"/>
          <w:rtl/>
        </w:rPr>
        <w:t>) لتطوير خطة الصيانة الوقائية المناسبة لها، كما استخدم توصيات الشركات المصنعة لـ (134) 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14:paraId="5E236778"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لأسس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14:paraId="0F4558DD"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rPr>
        <w:lastRenderedPageBreak/>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اليه الدراسة الحالية في مستشفى عسير المركزي</w:t>
      </w:r>
      <w:r w:rsidRPr="00386BAD">
        <w:rPr>
          <w:rFonts w:ascii="Traditional Arabic" w:eastAsia="Calibri" w:hAnsi="Traditional Arabic" w:cs="Traditional Arabic"/>
          <w:sz w:val="28"/>
          <w:szCs w:val="28"/>
          <w:lang w:val="en-GB"/>
        </w:rPr>
        <w:t>.</w:t>
      </w:r>
    </w:p>
    <w:p w14:paraId="2DEBA63F"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rPr>
      </w:pPr>
    </w:p>
    <w:p w14:paraId="726EC9D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Mahfoud</w:t>
      </w:r>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14:paraId="1F41EF62" w14:textId="77777777"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هذه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بعدًا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w:t>
      </w:r>
      <w:r w:rsidRPr="00386BAD">
        <w:rPr>
          <w:rFonts w:ascii="Traditional Arabic" w:eastAsia="Calibri" w:hAnsi="Traditional Arabic" w:cs="Traditional Arabic"/>
          <w:sz w:val="28"/>
          <w:szCs w:val="28"/>
          <w:rtl/>
        </w:rPr>
        <w:lastRenderedPageBreak/>
        <w:t>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14:paraId="3F8957F2"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14:paraId="12FFB47C" w14:textId="77777777"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14:paraId="76BBBD27" w14:textId="6C1CC1B6" w:rsidR="00BB0C73" w:rsidRPr="00607DBD" w:rsidRDefault="00607DBD" w:rsidP="00607DBD">
      <w:pPr>
        <w:bidi/>
        <w:spacing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2.5.3 </w:t>
      </w:r>
      <w:r w:rsidR="00B20CC6" w:rsidRPr="00607DBD">
        <w:rPr>
          <w:rFonts w:ascii="Traditional Arabic" w:eastAsia="Calibri" w:hAnsi="Traditional Arabic" w:cs="Traditional Arabic"/>
          <w:b/>
          <w:bCs/>
          <w:sz w:val="32"/>
          <w:szCs w:val="32"/>
          <w:rtl/>
        </w:rPr>
        <w:t xml:space="preserve">دراسات تربط المتغيرين معًا (الصيانة  </w:t>
      </w:r>
      <w:r w:rsidR="005B6872" w:rsidRPr="00607DBD">
        <w:rPr>
          <w:rFonts w:ascii="Traditional Arabic" w:eastAsia="Calibri" w:hAnsi="Traditional Arabic" w:cs="Traditional Arabic" w:hint="cs"/>
          <w:b/>
          <w:bCs/>
          <w:sz w:val="32"/>
          <w:szCs w:val="32"/>
          <w:rtl/>
        </w:rPr>
        <w:t>وخدمات</w:t>
      </w:r>
      <w:r w:rsidR="00B20CC6" w:rsidRPr="00607DBD">
        <w:rPr>
          <w:rFonts w:ascii="Traditional Arabic" w:eastAsia="Calibri" w:hAnsi="Traditional Arabic" w:cs="Traditional Arabic"/>
          <w:b/>
          <w:bCs/>
          <w:sz w:val="32"/>
          <w:szCs w:val="32"/>
          <w:rtl/>
        </w:rPr>
        <w:t xml:space="preserve"> الرعاية</w:t>
      </w:r>
      <w:r w:rsidR="005B6872" w:rsidRPr="00607DBD">
        <w:rPr>
          <w:rFonts w:ascii="Traditional Arabic" w:eastAsia="Calibri" w:hAnsi="Traditional Arabic" w:cs="Traditional Arabic" w:hint="cs"/>
          <w:b/>
          <w:bCs/>
          <w:sz w:val="32"/>
          <w:szCs w:val="32"/>
          <w:rtl/>
        </w:rPr>
        <w:t xml:space="preserve"> الصحية</w:t>
      </w:r>
      <w:r w:rsidR="00B20CC6" w:rsidRPr="00607DBD">
        <w:rPr>
          <w:rFonts w:ascii="Traditional Arabic" w:eastAsia="Calibri" w:hAnsi="Traditional Arabic" w:cs="Traditional Arabic"/>
          <w:b/>
          <w:bCs/>
          <w:sz w:val="32"/>
          <w:szCs w:val="32"/>
          <w:rtl/>
        </w:rPr>
        <w:t>)</w:t>
      </w:r>
    </w:p>
    <w:p w14:paraId="7E8A2447"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
    <w:p w14:paraId="149EC1D0"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r w:rsidRPr="00617ACF">
        <w:rPr>
          <w:rFonts w:ascii="Traditional Arabic" w:eastAsia="Calibri" w:hAnsi="Traditional Arabic" w:cs="Traditional Arabic"/>
          <w:sz w:val="28"/>
          <w:szCs w:val="28"/>
        </w:rPr>
        <w:t>Jamil</w:t>
      </w:r>
      <w:r w:rsidRPr="00617ACF">
        <w:rPr>
          <w:rFonts w:ascii="Traditional Arabic" w:eastAsia="Calibri" w:hAnsi="Traditional Arabic" w:cs="Traditional Arabic"/>
          <w:sz w:val="28"/>
          <w:szCs w:val="28"/>
          <w:rtl/>
        </w:rPr>
        <w:t xml:space="preserve"> وآخرين (2025) إلى استعراض تطور استراتيجيات صيانة الأجهزة الطبية في المؤسسات الصحية، مع التركيز على التحول من أساليب الصيانة التقليدية القائمة على الاستجابة للأعطال إلى الصيانة التنبؤية المدعومة بالذكاء الاصطناعي (</w:t>
      </w:r>
      <w:r w:rsidRPr="00617ACF">
        <w:rPr>
          <w:rFonts w:ascii="Traditional Arabic" w:eastAsia="Calibri" w:hAnsi="Traditional Arabic" w:cs="Traditional Arabic"/>
          <w:sz w:val="28"/>
          <w:szCs w:val="28"/>
        </w:rPr>
        <w:t>Artificial Intelligence</w:t>
      </w:r>
      <w:r w:rsidRPr="00617ACF">
        <w:rPr>
          <w:rFonts w:ascii="Traditional Arabic" w:eastAsia="Calibri" w:hAnsi="Traditional Arabic" w:cs="Traditional Arabic"/>
          <w:sz w:val="28"/>
          <w:szCs w:val="28"/>
          <w:rtl/>
        </w:rPr>
        <w:t>) وتقنيات مراقبة حالة الأجهزة. وسعت الدراسة إلى توضيح دور تقنيات الذكاء الاصطناعي وتحليل البيانات في تحسين كفاءة عمليات الصيانة، وتعزيز موثوقية الأجهزة الطبية، ورفع جودة الخدمات الصحية</w:t>
      </w:r>
      <w:r w:rsidRPr="00617ACF">
        <w:rPr>
          <w:rFonts w:ascii="Traditional Arabic" w:eastAsia="Calibri" w:hAnsi="Traditional Arabic" w:cs="Traditional Arabic"/>
          <w:sz w:val="28"/>
          <w:szCs w:val="28"/>
          <w:lang w:bidi="ar-JO"/>
        </w:rPr>
        <w:t>.</w:t>
      </w:r>
    </w:p>
    <w:p w14:paraId="297E125E"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واعتمدت الدراسة على المنهج النوعي، من خلال مراجعة منهجية للأدبيات العلمية، وتحليل عدد من دراسات الحالة والتقارير التطبيقية المستمدة من أقسام الهندسة الطبية الحيوية في أربعة مستشفيات ماليزية. وركزت الدراسة على توظيف تقنيات التعلم الآلي وتحليل البيانات في المراقبة المستمرة لحالة الأجهزة الطبية والتنبؤ بالأعطال قبل وقوعها، بما يسمح بتنفيذ الصيانة في الوقت الأمثل وتقليل فترات توقف الأجهزة</w:t>
      </w:r>
      <w:r w:rsidRPr="00617ACF">
        <w:rPr>
          <w:rFonts w:ascii="Traditional Arabic" w:eastAsia="Calibri" w:hAnsi="Traditional Arabic" w:cs="Traditional Arabic"/>
          <w:sz w:val="28"/>
          <w:szCs w:val="28"/>
          <w:lang w:bidi="ar-JO"/>
        </w:rPr>
        <w:t>.</w:t>
      </w:r>
    </w:p>
    <w:p w14:paraId="649376C3"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وأظهرت نتائج الدراسة أن تطبيق الصيانة التنبؤية المدعومة بالذكاء الاصطناعي أدى إلى خفض زمن توقف أجهزة التصوير بالرنين المغناطيسي (</w:t>
      </w:r>
      <w:r w:rsidRPr="00617ACF">
        <w:rPr>
          <w:rFonts w:ascii="Traditional Arabic" w:eastAsia="Calibri" w:hAnsi="Traditional Arabic" w:cs="Traditional Arabic"/>
          <w:sz w:val="28"/>
          <w:szCs w:val="28"/>
        </w:rPr>
        <w:t>MRI</w:t>
      </w:r>
      <w:r w:rsidRPr="00617ACF">
        <w:rPr>
          <w:rFonts w:ascii="Traditional Arabic" w:eastAsia="Calibri" w:hAnsi="Traditional Arabic" w:cs="Traditional Arabic"/>
          <w:sz w:val="28"/>
          <w:szCs w:val="28"/>
          <w:rtl/>
        </w:rPr>
        <w:t xml:space="preserve">) بنسبة 20%، وتحسين إجراءات الصيانة من خلال أنظمة المراقبة عن بُعد باستخدام التطبيقات الذكية، </w:t>
      </w:r>
      <w:r w:rsidRPr="00617ACF">
        <w:rPr>
          <w:rFonts w:ascii="Traditional Arabic" w:eastAsia="Calibri" w:hAnsi="Traditional Arabic" w:cs="Traditional Arabic"/>
          <w:sz w:val="28"/>
          <w:szCs w:val="28"/>
          <w:rtl/>
        </w:rPr>
        <w:lastRenderedPageBreak/>
        <w:t>كما أسهم في إطالة العمر التشغيلي للأجهزة الطبية، وتقليل أعمال الصيانة غير الضرورية، ورفع كفاءة استخدام الموارد، وتحسين موثوقية الخدمات الصحية. وخلصت الدراسة إلى أن دمج الذكاء الاصطناعي في الصيانة التنبؤية يمثل أحد الاتجاهات المستقبلية الواعدة لتعزيز كفاءة أنظمة الرعاية الصحية وتحقيق خدمات أكثر موثوقية وفاعلية (</w:t>
      </w:r>
      <w:r w:rsidRPr="00617ACF">
        <w:rPr>
          <w:rFonts w:ascii="Traditional Arabic" w:eastAsia="Calibri" w:hAnsi="Traditional Arabic" w:cs="Traditional Arabic"/>
          <w:sz w:val="28"/>
          <w:szCs w:val="28"/>
        </w:rPr>
        <w:t>Jamil et al., 2025</w:t>
      </w:r>
      <w:r w:rsidRPr="00617ACF">
        <w:rPr>
          <w:rFonts w:ascii="Traditional Arabic" w:eastAsia="Calibri" w:hAnsi="Traditional Arabic" w:cs="Traditional Arabic"/>
          <w:sz w:val="28"/>
          <w:szCs w:val="28"/>
          <w:rtl/>
        </w:rPr>
        <w:t>).</w:t>
      </w:r>
    </w:p>
    <w:p w14:paraId="67CEAB2F" w14:textId="77777777" w:rsid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1C5F3BA6"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Pr="00386BAD">
        <w:rPr>
          <w:rFonts w:ascii="Traditional Arabic" w:eastAsia="Calibri" w:hAnsi="Traditional Arabic" w:cs="Traditional Arabic" w:hint="cs"/>
          <w:sz w:val="28"/>
          <w:szCs w:val="28"/>
          <w:rtl/>
        </w:rPr>
        <w:t>(</w:t>
      </w:r>
      <w:r w:rsidRPr="00386BAD">
        <w:rPr>
          <w:rFonts w:ascii="Traditional Arabic" w:eastAsia="Calibri" w:hAnsi="Traditional Arabic" w:cs="Traditional Arabic"/>
          <w:sz w:val="28"/>
          <w:szCs w:val="28"/>
        </w:rPr>
        <w:t>Boppana</w:t>
      </w:r>
      <w:r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14:paraId="0C801B49"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14:paraId="29A37A0A"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r w:rsidRPr="00386BAD">
        <w:rPr>
          <w:rFonts w:ascii="Traditional Arabic" w:eastAsia="Calibri" w:hAnsi="Traditional Arabic" w:cs="Traditional Arabic"/>
          <w:sz w:val="28"/>
          <w:szCs w:val="28"/>
        </w:rPr>
        <w:t>Zamzam</w:t>
      </w:r>
      <w:r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دعم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14:paraId="12525492" w14:textId="77777777" w:rsidR="00617ACF" w:rsidRDefault="00EC77D0" w:rsidP="00617ACF">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14:paraId="782BFBCF" w14:textId="7B832074" w:rsidR="00EC77D0" w:rsidRDefault="00EC77D0" w:rsidP="00617ACF">
      <w:pPr>
        <w:pStyle w:val="a5"/>
        <w:bidi/>
        <w:spacing w:line="360" w:lineRule="auto"/>
        <w:ind w:left="360"/>
        <w:jc w:val="both"/>
        <w:rPr>
          <w:rFonts w:ascii="Traditional Arabic" w:eastAsia="Calibri" w:hAnsi="Traditional Arabic" w:cs="Traditional Arabic"/>
          <w:sz w:val="28"/>
          <w:szCs w:val="28"/>
          <w:rtl/>
          <w:lang w:val="en-GB"/>
        </w:rPr>
      </w:pPr>
      <w:r w:rsidRPr="00617ACF">
        <w:rPr>
          <w:rFonts w:ascii="Traditional Arabic" w:eastAsia="Calibri" w:hAnsi="Traditional Arabic" w:cs="Traditional Arabic"/>
          <w:sz w:val="28"/>
          <w:szCs w:val="28"/>
          <w:rtl/>
        </w:rPr>
        <w:lastRenderedPageBreak/>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617ACF">
        <w:rPr>
          <w:rFonts w:ascii="Traditional Arabic" w:eastAsia="Calibri" w:hAnsi="Traditional Arabic" w:cs="Traditional Arabic"/>
          <w:sz w:val="28"/>
          <w:szCs w:val="28"/>
          <w:lang w:val="en-GB"/>
        </w:rPr>
        <w:t>.</w:t>
      </w:r>
    </w:p>
    <w:p w14:paraId="708103E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4A6825B7"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r w:rsidRPr="00386BAD">
        <w:rPr>
          <w:rFonts w:ascii="Traditional Arabic" w:eastAsia="Calibri" w:hAnsi="Traditional Arabic" w:cs="Traditional Arabic"/>
          <w:sz w:val="28"/>
          <w:szCs w:val="28"/>
        </w:rPr>
        <w:t xml:space="preserve">Ahmed </w:t>
      </w:r>
      <w:r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أولويات الصيانة وتوزيع الموارد على نحو فعّال يضمن تحقيق أعلى مستويات الأداء والاستدامة. اعتمدت الدراسة على منهجية التحليل المتقدم، التي دمجت بين تقنيات التجميع والتحسين متعدد الأهداف، لتحليل البيانات واتخاذ قرارات دقيقة مبنية على تقييم شامل لحالة المنشآت الطبية. تم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14:paraId="187BBE84"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 xml:space="preserve">تتميز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14:paraId="5E488A0B" w14:textId="02442C1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r w:rsidR="00617ACF">
        <w:rPr>
          <w:rFonts w:ascii="Traditional Arabic" w:eastAsia="Calibri" w:hAnsi="Traditional Arabic" w:cs="Traditional Arabic"/>
          <w:sz w:val="28"/>
          <w:szCs w:val="28"/>
        </w:rPr>
        <w:t>Shamayleh</w:t>
      </w:r>
      <w:r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r w:rsidRPr="00386BAD">
        <w:rPr>
          <w:rFonts w:ascii="Traditional Arabic" w:eastAsia="Calibri" w:hAnsi="Traditional Arabic" w:cs="Traditional Arabic"/>
          <w:sz w:val="28"/>
          <w:szCs w:val="28"/>
        </w:rPr>
        <w:t>IoT</w:t>
      </w:r>
      <w:r w:rsidRPr="00386BAD">
        <w:rPr>
          <w:rFonts w:ascii="Traditional Arabic" w:eastAsia="Calibri" w:hAnsi="Traditional Arabic" w:cs="Traditional Arabic"/>
          <w:sz w:val="28"/>
          <w:szCs w:val="28"/>
          <w:rtl/>
        </w:rPr>
        <w:t>)، بهدف تحسين جودة أنظمة الأجهزة الطبية ورفع كفاءتها التشغيلية في بيئة المستشفيات. ركزت الدراسة على توظيف أجهزة الاستشعار وتقنيات جمع البيانات 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14:paraId="1FE4BBC3" w14:textId="77777777" w:rsidR="00EC77D0" w:rsidRDefault="00EC77D0" w:rsidP="00EC77D0">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تتسم هذه الدراسة بحداثتها وواقعيتها،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w:t>
      </w:r>
      <w:r w:rsidRPr="00617ACF">
        <w:rPr>
          <w:rFonts w:ascii="Traditional Arabic" w:eastAsia="Calibri" w:hAnsi="Traditional Arabic" w:cs="Traditional Arabic"/>
          <w:sz w:val="28"/>
          <w:szCs w:val="28"/>
          <w:rtl/>
        </w:rPr>
        <w:t>السعودية التي تشهد تحولًا رقميًا متسارعًا ضمن رؤية 2030</w:t>
      </w:r>
      <w:r w:rsidRPr="00617ACF">
        <w:rPr>
          <w:rFonts w:ascii="Traditional Arabic" w:eastAsia="Calibri" w:hAnsi="Traditional Arabic" w:cs="Traditional Arabic"/>
          <w:sz w:val="28"/>
          <w:szCs w:val="28"/>
        </w:rPr>
        <w:t>.</w:t>
      </w:r>
    </w:p>
    <w:p w14:paraId="75D31668" w14:textId="77777777" w:rsidR="00617ACF" w:rsidRPr="00617ACF" w:rsidRDefault="00617ACF" w:rsidP="00617ACF">
      <w:pPr>
        <w:pStyle w:val="a5"/>
        <w:bidi/>
        <w:spacing w:line="360" w:lineRule="auto"/>
        <w:ind w:left="360" w:firstLine="360"/>
        <w:jc w:val="both"/>
        <w:rPr>
          <w:rFonts w:ascii="Traditional Arabic" w:eastAsia="Calibri" w:hAnsi="Traditional Arabic" w:cs="Traditional Arabic"/>
          <w:sz w:val="28"/>
          <w:szCs w:val="28"/>
        </w:rPr>
      </w:pPr>
    </w:p>
    <w:p w14:paraId="6926F68E"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r w:rsidRPr="00617ACF">
        <w:rPr>
          <w:rFonts w:ascii="Traditional Arabic" w:eastAsia="Calibri" w:hAnsi="Traditional Arabic" w:cs="Traditional Arabic"/>
          <w:sz w:val="28"/>
          <w:szCs w:val="28"/>
        </w:rPr>
        <w:t>Çoban</w:t>
      </w:r>
      <w:r w:rsidRPr="00617ACF">
        <w:rPr>
          <w:rFonts w:ascii="Traditional Arabic" w:eastAsia="Calibri" w:hAnsi="Traditional Arabic" w:cs="Traditional Arabic"/>
          <w:sz w:val="28"/>
          <w:szCs w:val="28"/>
          <w:rtl/>
        </w:rPr>
        <w:t xml:space="preserve"> وآخرين (2018) إلى تطوير إطار معماري للصيانة التنبؤية في المؤسسات الصحية بالاعتماد على تقنيات البيانات الضخمة (</w:t>
      </w:r>
      <w:r w:rsidRPr="00617ACF">
        <w:rPr>
          <w:rFonts w:ascii="Traditional Arabic" w:eastAsia="Calibri" w:hAnsi="Traditional Arabic" w:cs="Traditional Arabic"/>
          <w:sz w:val="28"/>
          <w:szCs w:val="28"/>
        </w:rPr>
        <w:t>Big Data</w:t>
      </w:r>
      <w:r w:rsidRPr="00617ACF">
        <w:rPr>
          <w:rFonts w:ascii="Traditional Arabic" w:eastAsia="Calibri" w:hAnsi="Traditional Arabic" w:cs="Traditional Arabic"/>
          <w:sz w:val="28"/>
          <w:szCs w:val="28"/>
          <w:rtl/>
        </w:rPr>
        <w:t xml:space="preserve">) وتحليلات التعلم الآلي، بهدف تحسين إدارة صيانة الأجهزة الطبية وتقليل الأعطال المفاجئة التي قد تؤثر في جودة الخدمات الصحية. وانطلقت الدراسة من أن التطور في الأجهزة الطبية وحده لا يكفي لتحسين </w:t>
      </w:r>
      <w:r w:rsidRPr="00617ACF">
        <w:rPr>
          <w:rFonts w:ascii="Traditional Arabic" w:eastAsia="Calibri" w:hAnsi="Traditional Arabic" w:cs="Traditional Arabic"/>
          <w:sz w:val="28"/>
          <w:szCs w:val="28"/>
          <w:rtl/>
        </w:rPr>
        <w:lastRenderedPageBreak/>
        <w:t>جودة الرعاية الصحية، وإنما يتطلب توظيف البيانات المتولدة من الأجهزة الطبية وأجهزة الاستشعار الذكية وتحليلها بصورة مستمرة للتنبؤ بالأعطال قبل وقوعها واتخاذ إجراءات صيانة استباقية.</w:t>
      </w:r>
    </w:p>
    <w:p w14:paraId="696636F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r w:rsidRPr="00617ACF">
        <w:rPr>
          <w:rFonts w:ascii="Traditional Arabic" w:eastAsia="Calibri" w:hAnsi="Traditional Arabic" w:cs="Traditional Arabic"/>
          <w:sz w:val="28"/>
          <w:szCs w:val="28"/>
          <w:rtl/>
        </w:rPr>
        <w:t>واقترحت الدراسة نموذجًا متكاملاً يعتمد على جمع البيانات من الأجهزة الطبية وتحليلها باستخدام تقنيات البيانات الضخمة والخوارزميات التنبؤية، بما يتيح مراقبة حالة الأجهزة بصورة آنية، والتنبؤ باحتمالية الأعطال، وجدولة أعمال الصيانة في الوقت المناسب. كما ناقشت الدراسة الفرص التي يوفرها هذا النموذج، مثل تحسين جاهزية الأجهزة الطبية، وتقليل تكاليف الصيانة، ورفع كفاءة استخدام الموارد، إضافة إلى التحديات المرتبطة بتكامل البيانات، وأمن المعلومات، وقابلية التوسع في تطبيق هذه التقنيات داخل المؤسسات الصحية</w:t>
      </w:r>
      <w:r w:rsidRPr="00617ACF">
        <w:rPr>
          <w:rFonts w:ascii="Traditional Arabic" w:eastAsia="Calibri" w:hAnsi="Traditional Arabic" w:cs="Traditional Arabic"/>
          <w:sz w:val="28"/>
          <w:szCs w:val="28"/>
          <w:lang w:bidi="ar-JO"/>
        </w:rPr>
        <w:t>.</w:t>
      </w:r>
    </w:p>
    <w:p w14:paraId="04524BB1" w14:textId="5C132049" w:rsidR="00617ACF" w:rsidRDefault="00617ACF" w:rsidP="0035092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وأشارت الدراسة إلى أن تطبيق الصيانة التنبؤية يسهم في تقليل الأعطال غير المخطط لها، وتحسين موثوقية الأجهزة الطبية، وخفض تكاليف الصيانة، وتعزيز كفاءة الخدمات الصحية وجودة الرعاية المقدمة للمرضى، من خلال ضمان توافر الأجهزة الطبية واستمرار عملها بكفاءة عالية (</w:t>
      </w:r>
      <w:r w:rsidRPr="00617ACF">
        <w:rPr>
          <w:rFonts w:ascii="Traditional Arabic" w:eastAsia="Calibri" w:hAnsi="Traditional Arabic" w:cs="Traditional Arabic"/>
          <w:sz w:val="28"/>
          <w:szCs w:val="28"/>
        </w:rPr>
        <w:t>Çoban et al., 2018</w:t>
      </w:r>
      <w:r w:rsidRPr="00617ACF">
        <w:rPr>
          <w:rFonts w:ascii="Traditional Arabic" w:eastAsia="Calibri" w:hAnsi="Traditional Arabic" w:cs="Traditional Arabic"/>
          <w:sz w:val="28"/>
          <w:szCs w:val="28"/>
          <w:rtl/>
        </w:rPr>
        <w:t>).</w:t>
      </w:r>
    </w:p>
    <w:p w14:paraId="64CA72AC" w14:textId="77777777" w:rsidR="0035092F" w:rsidRPr="0035092F" w:rsidRDefault="0035092F" w:rsidP="0035092F">
      <w:pPr>
        <w:pStyle w:val="a5"/>
        <w:bidi/>
        <w:spacing w:line="360" w:lineRule="auto"/>
        <w:ind w:left="360"/>
        <w:jc w:val="both"/>
        <w:rPr>
          <w:rFonts w:ascii="Traditional Arabic" w:eastAsia="Calibri" w:hAnsi="Traditional Arabic" w:cs="Traditional Arabic"/>
          <w:sz w:val="28"/>
          <w:szCs w:val="28"/>
          <w:rtl/>
        </w:rPr>
      </w:pPr>
    </w:p>
    <w:p w14:paraId="31B09514" w14:textId="16F1995E" w:rsid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lang w:bidi="ar-AE"/>
        </w:rPr>
        <w:t>(</w:t>
      </w:r>
      <w:r>
        <w:rPr>
          <w:rFonts w:ascii="Traditional Arabic" w:eastAsia="Calibri" w:hAnsi="Traditional Arabic" w:cs="Traditional Arabic"/>
          <w:sz w:val="28"/>
          <w:szCs w:val="28"/>
        </w:rPr>
        <w:t>(</w:t>
      </w:r>
      <w:r w:rsidRPr="00617ACF">
        <w:rPr>
          <w:rFonts w:ascii="Traditional Arabic" w:eastAsia="Calibri" w:hAnsi="Traditional Arabic" w:cs="Traditional Arabic"/>
          <w:sz w:val="28"/>
          <w:szCs w:val="28"/>
        </w:rPr>
        <w:t>Maktoubian and Ansari, 2019</w:t>
      </w:r>
      <w:r w:rsidRPr="00617ACF">
        <w:rPr>
          <w:rFonts w:ascii="Traditional Arabic" w:eastAsia="Calibri" w:hAnsi="Traditional Arabic" w:cs="Traditional Arabic"/>
          <w:sz w:val="28"/>
          <w:szCs w:val="28"/>
          <w:rtl/>
        </w:rPr>
        <w:t xml:space="preserve"> إلى تطوير بنية معمارية تعتمد على إنترنت الأشياء (</w:t>
      </w:r>
      <w:r w:rsidRPr="00617ACF">
        <w:rPr>
          <w:rFonts w:ascii="Traditional Arabic" w:eastAsia="Calibri" w:hAnsi="Traditional Arabic" w:cs="Traditional Arabic"/>
          <w:sz w:val="28"/>
          <w:szCs w:val="28"/>
        </w:rPr>
        <w:t>Internet of Things</w:t>
      </w:r>
      <w:r w:rsidRPr="00617ACF">
        <w:rPr>
          <w:rFonts w:ascii="Traditional Arabic" w:eastAsia="Calibri" w:hAnsi="Traditional Arabic" w:cs="Traditional Arabic"/>
          <w:sz w:val="28"/>
          <w:szCs w:val="28"/>
          <w:rtl/>
        </w:rPr>
        <w:t>) لتعزيز الصيانة الوقائية للأجهزة الطبية في المؤسسات الصحية، بما يسهم في تحسين موثوقية الأجهزة الطبية وتقليل مخاطر الأعطال المفاجئة التي قد تؤثر في جودة الخدمات الصحية. وانطلقت الدراسة من ملاحظة أن العديد من المستشفيات لا تزال تعتمد على أساليب صيانة تقليدية، رغم التطور الكبير في الأجهزة الطبية، الأمر الذي يحد من القدرة على اكتشاف المخاطر المرتبطة بالأجهزة قبل تأثيرها في تقديم الرعاية الصحية.</w:t>
      </w:r>
    </w:p>
    <w:p w14:paraId="2EF3439B" w14:textId="5E53FD7A"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واقترحت الدراسة إطارًا متكاملًا يعتمد على أجهزة الاستشعار، وتقنيات إنترنت الأشياء، وتحليلات البيانات لمراقبة حالة الأجهزة الطبية بصورة مستمرة، وجمع البيانات التشغيلية في الوقت الحقيقي، وتحليلها بهدف اكتشاف مؤشرات الأعطال والتنبؤ بها قبل وقوعها. كما يتضمن النموذج آلية لمراقبة سلامة الأجهزة وإدارة البيانات الضخمة الناتجة عن تشغيلها، بما يسمح باتخاذ قرارات صيانة استباقية تضمن استمرار كفاءة الأجهزة الطبية</w:t>
      </w:r>
      <w:r w:rsidRPr="00617ACF">
        <w:rPr>
          <w:rFonts w:ascii="Traditional Arabic" w:eastAsia="Calibri" w:hAnsi="Traditional Arabic" w:cs="Traditional Arabic"/>
          <w:sz w:val="28"/>
          <w:szCs w:val="28"/>
          <w:lang w:bidi="ar-JO"/>
        </w:rPr>
        <w:t>.</w:t>
      </w:r>
    </w:p>
    <w:p w14:paraId="45756FDE" w14:textId="196111F6" w:rsidR="00617ACF" w:rsidRDefault="00617ACF" w:rsidP="00617AC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lastRenderedPageBreak/>
        <w:t>وأشارت الدراسة إلى أن تطبيق البنية المقترحة يوفر رؤية شاملة لحالة الأجهزة الطبية، ويساعد على اكتشاف الأعطال المحتملة مبكرًا، وتحسين موثوقية الأجهزة، وتقليل المخاطر المرتبطة بتوقفها، الأمر الذي ينعكس إيجابًا على استمرارية تقديم الخدمات الصحية وجودة الرعاية المقدمة للمرضى (</w:t>
      </w:r>
      <w:r w:rsidRPr="00617ACF">
        <w:rPr>
          <w:rFonts w:ascii="Traditional Arabic" w:eastAsia="Calibri" w:hAnsi="Traditional Arabic" w:cs="Traditional Arabic"/>
          <w:sz w:val="28"/>
          <w:szCs w:val="28"/>
        </w:rPr>
        <w:t>Maktoubian &amp; Ansari, 2019</w:t>
      </w:r>
      <w:r w:rsidRPr="00617ACF">
        <w:rPr>
          <w:rFonts w:ascii="Traditional Arabic" w:eastAsia="Calibri" w:hAnsi="Traditional Arabic" w:cs="Traditional Arabic"/>
          <w:sz w:val="28"/>
          <w:szCs w:val="28"/>
          <w:rtl/>
        </w:rPr>
        <w:t>).</w:t>
      </w:r>
    </w:p>
    <w:p w14:paraId="3B8DD5FC"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p>
    <w:p w14:paraId="74F30C11" w14:textId="0BE1A26D" w:rsidR="0035092F" w:rsidRPr="0035092F" w:rsidRDefault="0035092F" w:rsidP="0035092F">
      <w:pPr>
        <w:bidi/>
        <w:spacing w:line="360" w:lineRule="auto"/>
        <w:jc w:val="both"/>
        <w:rPr>
          <w:rFonts w:ascii="Traditional Arabic" w:eastAsia="Calibri" w:hAnsi="Traditional Arabic" w:cs="Traditional Arabic"/>
          <w:b/>
          <w:bCs/>
          <w:sz w:val="28"/>
          <w:szCs w:val="28"/>
          <w:lang w:val="en-US"/>
        </w:rPr>
      </w:pPr>
    </w:p>
    <w:p w14:paraId="3D795062" w14:textId="77777777" w:rsidR="0035092F" w:rsidRPr="00E223BD" w:rsidRDefault="0035092F" w:rsidP="0035092F">
      <w:pPr>
        <w:bidi/>
        <w:spacing w:line="360" w:lineRule="auto"/>
        <w:jc w:val="both"/>
        <w:rPr>
          <w:rFonts w:ascii="Traditional Arabic" w:eastAsia="Calibri" w:hAnsi="Traditional Arabic" w:cs="Traditional Arabic"/>
          <w:b/>
          <w:bCs/>
          <w:sz w:val="32"/>
          <w:szCs w:val="32"/>
          <w:rtl/>
          <w:lang w:val="en-US"/>
        </w:rPr>
      </w:pPr>
      <w:r w:rsidRPr="00E223BD">
        <w:rPr>
          <w:rFonts w:ascii="Traditional Arabic" w:eastAsia="Calibri" w:hAnsi="Traditional Arabic" w:cs="Traditional Arabic"/>
          <w:b/>
          <w:bCs/>
          <w:sz w:val="32"/>
          <w:szCs w:val="32"/>
          <w:rtl/>
          <w:lang w:val="en-US"/>
        </w:rPr>
        <w:t>2.5.4 الفجوة البحثية</w:t>
      </w:r>
    </w:p>
    <w:p w14:paraId="73FD7135" w14:textId="1778F2D1"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أظهرت مراجعة الدراسات السابقة أن موضوع استراتيجيات الصيانة الوقائية والتنبؤية في القطاع الصحي شهد تطورًا ملحوظًا خلال السنوات الأخيرة، حيث تناولت الدراسات هذا الموضوع من زوايا متعددة. فقد ركزت بعض الدراسات على تقييم جودة الرعاية الصحية والعوامل المؤثرة فيها، مثل دراسة الجابري وآخرون (</w:t>
      </w:r>
      <w:r w:rsidRPr="0035092F">
        <w:rPr>
          <w:rFonts w:ascii="Traditional Arabic" w:eastAsia="Calibri" w:hAnsi="Traditional Arabic" w:cs="Traditional Arabic"/>
          <w:sz w:val="28"/>
          <w:szCs w:val="28"/>
          <w:lang w:val="en-US"/>
        </w:rPr>
        <w:t>Al-Jabri et al., 2021</w:t>
      </w:r>
      <w:r w:rsidRPr="0035092F">
        <w:rPr>
          <w:rFonts w:ascii="Traditional Arabic" w:eastAsia="Calibri" w:hAnsi="Traditional Arabic" w:cs="Traditional Arabic"/>
          <w:sz w:val="28"/>
          <w:szCs w:val="28"/>
          <w:rtl/>
          <w:lang w:val="en-US"/>
        </w:rPr>
        <w:t xml:space="preserve">) ودراسة </w:t>
      </w:r>
      <w:r w:rsidRPr="0035092F">
        <w:rPr>
          <w:rFonts w:ascii="Traditional Arabic" w:eastAsia="Calibri" w:hAnsi="Traditional Arabic" w:cs="Traditional Arabic"/>
          <w:sz w:val="28"/>
          <w:szCs w:val="28"/>
          <w:lang w:val="en-US"/>
        </w:rPr>
        <w:t>A'aqoulah</w:t>
      </w:r>
      <w:r w:rsidRPr="0035092F">
        <w:rPr>
          <w:rFonts w:ascii="Traditional Arabic" w:eastAsia="Calibri" w:hAnsi="Traditional Arabic" w:cs="Traditional Arabic"/>
          <w:sz w:val="28"/>
          <w:szCs w:val="28"/>
          <w:rtl/>
          <w:lang w:val="en-US"/>
        </w:rPr>
        <w:t xml:space="preserve"> وآخرون (2022)، وأكدت أهمية العوامل التنظيمية والتشغيلية في تحسين جودة الخدمات الصحية ورفع مستوى رضا المستفيدين. وفي المقابل، اهتمت مجموعة أخرى من الدراسات بتطوير ممارسات الصيانة الوقائية والصيانة التنبؤية وتحسين كفاءة تشغيل الأجهزة الطبية، سواء من خلال الصيانة الإنتاجية الشاملة أو من خلال توظيف تقنيات الذكاء الاصطناعي، وإنترنت الأشياء، والبيانات الضخمة، كما في دراسات </w:t>
      </w:r>
      <w:r w:rsidRPr="0035092F">
        <w:rPr>
          <w:rFonts w:ascii="Traditional Arabic" w:eastAsia="Calibri" w:hAnsi="Traditional Arabic" w:cs="Traditional Arabic"/>
          <w:sz w:val="28"/>
          <w:szCs w:val="28"/>
          <w:lang w:val="en-US"/>
        </w:rPr>
        <w:t>Sezdi (2016</w:t>
      </w:r>
      <w:r w:rsidRPr="0035092F">
        <w:rPr>
          <w:rFonts w:ascii="Traditional Arabic" w:eastAsia="Calibri" w:hAnsi="Traditional Arabic" w:cs="Traditional Arabic"/>
          <w:sz w:val="28"/>
          <w:szCs w:val="28"/>
          <w:rtl/>
          <w:lang w:val="en-US"/>
        </w:rPr>
        <w:t>)، و</w:t>
      </w:r>
      <w:r w:rsidRPr="0035092F">
        <w:rPr>
          <w:rFonts w:ascii="Traditional Arabic" w:eastAsia="Calibri" w:hAnsi="Traditional Arabic" w:cs="Traditional Arabic"/>
          <w:sz w:val="28"/>
          <w:szCs w:val="28"/>
          <w:lang w:val="en-US"/>
        </w:rPr>
        <w:t>Çoban</w:t>
      </w:r>
      <w:r w:rsidRPr="0035092F">
        <w:rPr>
          <w:rFonts w:ascii="Traditional Arabic" w:eastAsia="Calibri" w:hAnsi="Traditional Arabic" w:cs="Traditional Arabic"/>
          <w:sz w:val="28"/>
          <w:szCs w:val="28"/>
          <w:rtl/>
          <w:lang w:val="en-US"/>
        </w:rPr>
        <w:t xml:space="preserve"> وآخرون (2018)، و</w:t>
      </w:r>
      <w:r w:rsidRPr="0035092F">
        <w:rPr>
          <w:rFonts w:ascii="Traditional Arabic" w:eastAsia="Calibri" w:hAnsi="Traditional Arabic" w:cs="Traditional Arabic"/>
          <w:sz w:val="28"/>
          <w:szCs w:val="28"/>
          <w:lang w:val="en-US"/>
        </w:rPr>
        <w:t>Maktoubian and Ansari (2019</w:t>
      </w:r>
      <w:r w:rsidRPr="0035092F">
        <w:rPr>
          <w:rFonts w:ascii="Traditional Arabic" w:eastAsia="Calibri" w:hAnsi="Traditional Arabic" w:cs="Traditional Arabic"/>
          <w:sz w:val="28"/>
          <w:szCs w:val="28"/>
          <w:rtl/>
          <w:lang w:val="en-US"/>
        </w:rPr>
        <w:t>)، و</w:t>
      </w:r>
      <w:r w:rsidRPr="0035092F">
        <w:rPr>
          <w:rFonts w:ascii="Traditional Arabic" w:eastAsia="Calibri" w:hAnsi="Traditional Arabic" w:cs="Traditional Arabic"/>
          <w:sz w:val="28"/>
          <w:szCs w:val="28"/>
          <w:lang w:val="en-US"/>
        </w:rPr>
        <w:t>Shamayleh</w:t>
      </w:r>
      <w:r w:rsidRPr="0035092F">
        <w:rPr>
          <w:rFonts w:ascii="Traditional Arabic" w:eastAsia="Calibri" w:hAnsi="Traditional Arabic" w:cs="Traditional Arabic"/>
          <w:sz w:val="28"/>
          <w:szCs w:val="28"/>
          <w:rtl/>
          <w:lang w:val="en-US"/>
        </w:rPr>
        <w:t xml:space="preserve"> وآخرون (2020)، و</w:t>
      </w:r>
      <w:r w:rsidRPr="0035092F">
        <w:rPr>
          <w:rFonts w:ascii="Traditional Arabic" w:eastAsia="Calibri" w:hAnsi="Traditional Arabic" w:cs="Traditional Arabic"/>
          <w:sz w:val="28"/>
          <w:szCs w:val="28"/>
          <w:lang w:val="en-US"/>
        </w:rPr>
        <w:t>Zamzam</w:t>
      </w:r>
      <w:r w:rsidRPr="0035092F">
        <w:rPr>
          <w:rFonts w:ascii="Traditional Arabic" w:eastAsia="Calibri" w:hAnsi="Traditional Arabic" w:cs="Traditional Arabic"/>
          <w:sz w:val="28"/>
          <w:szCs w:val="28"/>
          <w:rtl/>
          <w:lang w:val="en-US"/>
        </w:rPr>
        <w:t xml:space="preserve"> وآخرون (2021)، و</w:t>
      </w:r>
      <w:r w:rsidRPr="0035092F">
        <w:rPr>
          <w:rFonts w:ascii="Traditional Arabic" w:eastAsia="Calibri" w:hAnsi="Traditional Arabic" w:cs="Traditional Arabic"/>
          <w:sz w:val="28"/>
          <w:szCs w:val="28"/>
          <w:lang w:val="en-US"/>
        </w:rPr>
        <w:t>Manchadi</w:t>
      </w:r>
      <w:r w:rsidRPr="0035092F">
        <w:rPr>
          <w:rFonts w:ascii="Traditional Arabic" w:eastAsia="Calibri" w:hAnsi="Traditional Arabic" w:cs="Traditional Arabic"/>
          <w:sz w:val="28"/>
          <w:szCs w:val="28"/>
          <w:rtl/>
          <w:lang w:val="en-US"/>
        </w:rPr>
        <w:t xml:space="preserve"> وآخرون (2023)، و</w:t>
      </w:r>
      <w:r w:rsidRPr="0035092F">
        <w:rPr>
          <w:rFonts w:ascii="Traditional Arabic" w:eastAsia="Calibri" w:hAnsi="Traditional Arabic" w:cs="Traditional Arabic"/>
          <w:sz w:val="28"/>
          <w:szCs w:val="28"/>
          <w:lang w:val="en-US"/>
        </w:rPr>
        <w:t>Jamil</w:t>
      </w:r>
      <w:r w:rsidRPr="0035092F">
        <w:rPr>
          <w:rFonts w:ascii="Traditional Arabic" w:eastAsia="Calibri" w:hAnsi="Traditional Arabic" w:cs="Traditional Arabic"/>
          <w:sz w:val="28"/>
          <w:szCs w:val="28"/>
          <w:rtl/>
          <w:lang w:val="en-US"/>
        </w:rPr>
        <w:t xml:space="preserve"> وآخرون (2025). كما تناولت بعض الدراسات العلاقة بين الصيانة وكفاءة تشغيل الأجهزة الطبية وتحسين استدامة الخدمات الصحية، إلا أن هذا الاتجاه لا يزال في مراحله البحثية الحديثة مقارنة بالدراسات التي تناولت كل متغير بصورة مستقلة.</w:t>
      </w:r>
    </w:p>
    <w:p w14:paraId="5CECFDEE" w14:textId="7777777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وعلى الرغم من الإسهامات العلمية التي قدمتها هذه الدراسات، فإن التحليل المقارن لها يكشف عن عدد من الفجوات البحثية التي ما تزال بحاجة إلى مزيد من الدراسة. فمن الناحية المعرفية، ركزت غالبية الدراسات على استراتيجيات الصيانة بوصفها مدخلًا لتحسين كفاءة الأجهزة الطبية أو خفض الأعطال والتكاليف التشغيلية، في حين ركزت دراسات أخرى على جودة الرعاية الصحية من منظور </w:t>
      </w:r>
      <w:r w:rsidRPr="0035092F">
        <w:rPr>
          <w:rFonts w:ascii="Traditional Arabic" w:eastAsia="Calibri" w:hAnsi="Traditional Arabic" w:cs="Traditional Arabic"/>
          <w:sz w:val="28"/>
          <w:szCs w:val="28"/>
          <w:rtl/>
          <w:lang w:val="en-US"/>
        </w:rPr>
        <w:lastRenderedPageBreak/>
        <w:t>المرضى أو مقدمي الخدمة، دون الربط المباشر بين استراتيجيات الصيانة ومؤشرات جودة الرعاية الصحية داخل نموذج بحثي متكامل. كما أن الدراسات التي تناولت الصيانة التنبؤية اعتمدت بدرجة كبيرة على الجوانب التقنية المرتبطة بالذكاء الاصطناعي وإنترنت الأشياء وتحليل البيانات، بينما ظل توظيف هذه التقنيات في تفسير أثرها على جودة الرعاية الصحية محدودًا</w:t>
      </w:r>
      <w:r w:rsidRPr="0035092F">
        <w:rPr>
          <w:rFonts w:ascii="Traditional Arabic" w:eastAsia="Calibri" w:hAnsi="Traditional Arabic" w:cs="Traditional Arabic"/>
          <w:sz w:val="28"/>
          <w:szCs w:val="28"/>
          <w:lang w:val="en-US"/>
        </w:rPr>
        <w:t>.</w:t>
      </w:r>
    </w:p>
    <w:p w14:paraId="0AD68116" w14:textId="3E786A8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ومن الناحية المنهجية، أظهرت الدراسات الحديثة، مثل دراسة </w:t>
      </w:r>
      <w:r w:rsidRPr="0035092F">
        <w:rPr>
          <w:rFonts w:ascii="Traditional Arabic" w:eastAsia="Calibri" w:hAnsi="Traditional Arabic" w:cs="Traditional Arabic"/>
          <w:sz w:val="28"/>
          <w:szCs w:val="28"/>
          <w:lang w:val="en-US"/>
        </w:rPr>
        <w:t>Zamzam</w:t>
      </w:r>
      <w:r w:rsidRPr="0035092F">
        <w:rPr>
          <w:rFonts w:ascii="Traditional Arabic" w:eastAsia="Calibri" w:hAnsi="Traditional Arabic" w:cs="Traditional Arabic"/>
          <w:sz w:val="28"/>
          <w:szCs w:val="28"/>
          <w:rtl/>
          <w:lang w:val="en-US"/>
        </w:rPr>
        <w:t xml:space="preserve"> وآخرون (2021) ودراسة </w:t>
      </w:r>
      <w:r w:rsidRPr="0035092F">
        <w:rPr>
          <w:rFonts w:ascii="Traditional Arabic" w:eastAsia="Calibri" w:hAnsi="Traditional Arabic" w:cs="Traditional Arabic"/>
          <w:sz w:val="28"/>
          <w:szCs w:val="28"/>
          <w:lang w:val="en-US"/>
        </w:rPr>
        <w:t>Manchadi</w:t>
      </w:r>
      <w:r w:rsidRPr="0035092F">
        <w:rPr>
          <w:rFonts w:ascii="Traditional Arabic" w:eastAsia="Calibri" w:hAnsi="Traditional Arabic" w:cs="Traditional Arabic"/>
          <w:sz w:val="28"/>
          <w:szCs w:val="28"/>
          <w:rtl/>
          <w:lang w:val="en-US"/>
        </w:rPr>
        <w:t xml:space="preserve"> وآخرون (2023)، توجهًا نحو تطوير نماذج متقدمة لإدارة الصيانة والتنبؤ بالأعطال، إلا أن معظم هذه النماذج طُبقت في بيئات أجنبية تختلف في بنيتها التقنية والتنظيمية عن البيئة الصحية السعودية، كما أشارت بعض الدراسات إلى الحاجة لإجراء دراسات تطبيقية تختبر تكامل أنظمة الصيانة الذكية مع أنظمة المعلومات الصحية في البيئات التشغيلية الواقعية، وهو ما ما يزال محدودًا في الأدبيات الحالية.</w:t>
      </w:r>
    </w:p>
    <w:p w14:paraId="6222D280" w14:textId="2E1C8FE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أما من الناحية التطبيقية، فقد تبين أن معظم الدراسات أجريت في بيئات صناعية أو في مستشفيات تقع في دول أجنبية، مع ندرة الدراسات التطبيقية التي تناولت المستشفيات الحكومية في المملكة العربية السعودية، وبصورة خاصة تلك التي تقيس بصورة مباشرة أثر استراتيجيات الصيانة الوقائية والتنبؤية في مؤشرات جودة الرعاية الصحية. كما أن الدراسات التي تناولت دمج الصيانة الوقائية مع الصيانة التنبؤية، مثل دراسة </w:t>
      </w:r>
      <w:r w:rsidRPr="0035092F">
        <w:rPr>
          <w:rFonts w:ascii="Traditional Arabic" w:eastAsia="Calibri" w:hAnsi="Traditional Arabic" w:cs="Traditional Arabic"/>
          <w:sz w:val="28"/>
          <w:szCs w:val="28"/>
          <w:lang w:val="en-US"/>
        </w:rPr>
        <w:t>Sezdi (2016</w:t>
      </w:r>
      <w:r w:rsidRPr="0035092F">
        <w:rPr>
          <w:rFonts w:ascii="Traditional Arabic" w:eastAsia="Calibri" w:hAnsi="Traditional Arabic" w:cs="Traditional Arabic"/>
          <w:sz w:val="28"/>
          <w:szCs w:val="28"/>
          <w:rtl/>
          <w:lang w:val="en-US"/>
        </w:rPr>
        <w:t>)، ركزت على الجوانب الفنية لإدارة الأجهزة الطبية، دون قياس انعكاس هذا الدمج على جودة الرعاية الصحية من خلال مؤشرات تشغيلية واضحة.</w:t>
      </w:r>
    </w:p>
    <w:p w14:paraId="6CF26A77" w14:textId="494D768D"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وانطلاقًا من هذه الفجوات، تسعى الدراسة الحالية إلى تقديم إضافة علمية تتمثل في بناء نموذج تطبيقي يربط بين استراتيجيات الصيانة الوقائية والتنبؤية وجودة الرعاية الصحية في مستشفى عسير المركزي، من خلال قياس أثر هاتين الاستراتيجيتين في أبعاد جودة الرعاية الصحية، بما يسهم في سد جانب من النقص في الأدبيات العربية، ويوفر دليلًا ميدانيًا يمكن الاستفادة منه في تطوير سياسات إدارة الصيانة بالمستشفيات الحكومية، بما يتوافق مع توجهات التحول الصحي ورؤية المملكة العربية السعودية 2030.</w:t>
      </w:r>
    </w:p>
    <w:p w14:paraId="408929F6" w14:textId="77777777" w:rsidR="004F6C6A" w:rsidRDefault="004F6C6A" w:rsidP="004F6C6A">
      <w:pPr>
        <w:bidi/>
        <w:spacing w:line="360" w:lineRule="auto"/>
        <w:jc w:val="both"/>
        <w:rPr>
          <w:rFonts w:ascii="Traditional Arabic" w:eastAsia="Calibri" w:hAnsi="Traditional Arabic" w:cs="Traditional Arabic"/>
          <w:b/>
          <w:bCs/>
          <w:sz w:val="28"/>
          <w:szCs w:val="28"/>
          <w:rtl/>
          <w:lang w:val="en-US"/>
        </w:rPr>
      </w:pPr>
    </w:p>
    <w:p w14:paraId="26940D94" w14:textId="77777777" w:rsidR="00E223BD" w:rsidRPr="0035092F" w:rsidRDefault="00E223BD" w:rsidP="00E223BD">
      <w:pPr>
        <w:bidi/>
        <w:spacing w:line="360" w:lineRule="auto"/>
        <w:jc w:val="both"/>
        <w:rPr>
          <w:rFonts w:ascii="Traditional Arabic" w:eastAsia="Calibri" w:hAnsi="Traditional Arabic" w:cs="Traditional Arabic"/>
          <w:b/>
          <w:bCs/>
          <w:sz w:val="28"/>
          <w:szCs w:val="28"/>
          <w:lang w:val="en-US"/>
        </w:rPr>
      </w:pPr>
    </w:p>
    <w:p w14:paraId="691B9589" w14:textId="2D476254" w:rsidR="00DE1BE2" w:rsidRPr="00386BAD" w:rsidRDefault="00E223BD" w:rsidP="004F6C6A">
      <w:pPr>
        <w:bidi/>
        <w:spacing w:line="360" w:lineRule="auto"/>
        <w:jc w:val="both"/>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lastRenderedPageBreak/>
        <w:t xml:space="preserve">2.5.5 </w:t>
      </w:r>
      <w:r w:rsidR="00DE1BE2" w:rsidRPr="00386BAD">
        <w:rPr>
          <w:rFonts w:ascii="Traditional Arabic" w:eastAsia="Calibri" w:hAnsi="Traditional Arabic" w:cs="Traditional Arabic"/>
          <w:b/>
          <w:bCs/>
          <w:sz w:val="28"/>
          <w:szCs w:val="28"/>
          <w:rtl/>
          <w:lang w:val="en-US"/>
        </w:rPr>
        <w:t>أوجه الاستفادة من الدراسات السابقة</w:t>
      </w:r>
    </w:p>
    <w:p w14:paraId="62449A6F" w14:textId="77777777"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t>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كشفت مجموعة من البحوث التطبيقية مثل (</w:t>
      </w:r>
      <w:r w:rsidRPr="00386BAD">
        <w:rPr>
          <w:rFonts w:ascii="Traditional Arabic" w:eastAsia="Calibri" w:hAnsi="Traditional Arabic" w:cs="Traditional Arabic"/>
          <w:sz w:val="28"/>
          <w:szCs w:val="28"/>
          <w:lang w:val="en-US"/>
        </w:rPr>
        <w:t>Mahfoud et al., 2016; Sezdi, 2016; Zamzam et al., 2021</w:t>
      </w:r>
      <w:r w:rsidRPr="00386BAD">
        <w:rPr>
          <w:rFonts w:ascii="Traditional Arabic" w:eastAsia="Calibri" w:hAnsi="Traditional Arabic" w:cs="Traditional Arabic"/>
          <w:sz w:val="28"/>
          <w:szCs w:val="28"/>
          <w:rtl/>
          <w:lang w:val="en-US"/>
        </w:rPr>
        <w:t>) عن أهمية التخطيط الاستباقي للصيانة ودوره في رفع الاعتمادية التشغيلية وتقليل الأعطال، الأمر الذي مكّن الباحث من تحديد البعد الفني للصيانة كأحد المتغيرات الجوهرية في الدراسة الحالية. كما أوضحت دراسات أخرى مثل (</w:t>
      </w:r>
      <w:r w:rsidRPr="00386BAD">
        <w:rPr>
          <w:rFonts w:ascii="Traditional Arabic" w:eastAsia="Calibri" w:hAnsi="Traditional Arabic" w:cs="Traditional Arabic"/>
          <w:sz w:val="28"/>
          <w:szCs w:val="28"/>
          <w:lang w:val="en-US"/>
        </w:rPr>
        <w:t>Majrashi &amp; Saleh-Eldeen, 2024</w:t>
      </w:r>
      <w:r w:rsidRPr="00386BAD">
        <w:rPr>
          <w:rFonts w:ascii="Traditional Arabic" w:eastAsia="Calibri" w:hAnsi="Traditional Arabic" w:cs="Traditional Arabic"/>
          <w:sz w:val="28"/>
          <w:szCs w:val="28"/>
          <w:rtl/>
          <w:lang w:val="en-US"/>
        </w:rPr>
        <w:t>)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التكامل بين الصيانة والتقنيات الذكية مثل</w:t>
      </w:r>
      <w:r w:rsidRPr="00386BAD">
        <w:rPr>
          <w:rFonts w:ascii="Traditional Arabic" w:eastAsia="Calibri" w:hAnsi="Traditional Arabic" w:cs="Traditional Arabic"/>
          <w:sz w:val="28"/>
          <w:szCs w:val="28"/>
        </w:rPr>
        <w:t xml:space="preserve"> (Çoban et al., 2018; Boppana,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14:paraId="7CE58337" w14:textId="77777777"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14:paraId="0BE7CE98" w14:textId="38BBABAA" w:rsidR="004E5D06" w:rsidRPr="00386BAD" w:rsidRDefault="00E223BD" w:rsidP="00DE1BE2">
      <w:pPr>
        <w:bidi/>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t xml:space="preserve">2.5.6 </w:t>
      </w:r>
      <w:r w:rsidR="004E5D06" w:rsidRPr="00386BAD">
        <w:rPr>
          <w:rFonts w:ascii="Traditional Arabic" w:eastAsia="Calibri" w:hAnsi="Traditional Arabic" w:cs="Traditional Arabic"/>
          <w:b/>
          <w:bCs/>
          <w:sz w:val="28"/>
          <w:szCs w:val="28"/>
          <w:rtl/>
          <w:lang w:val="en-US"/>
        </w:rPr>
        <w:t>ما يميز هذه الدراسة عن الدراسات السابقة</w:t>
      </w:r>
    </w:p>
    <w:p w14:paraId="56ED4933" w14:textId="77777777"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Mahfoud et al. (2016) </w:t>
      </w:r>
      <w:r w:rsidR="004F6C6A" w:rsidRPr="00386BAD">
        <w:rPr>
          <w:rFonts w:ascii="Traditional Arabic" w:eastAsia="Calibri" w:hAnsi="Traditional Arabic" w:cs="Traditional Arabic"/>
          <w:sz w:val="28"/>
          <w:szCs w:val="28"/>
          <w:rtl/>
          <w:lang w:val="en-US"/>
        </w:rPr>
        <w:t>التي ركزت على الصيانة الوقائية، أو</w:t>
      </w:r>
      <w:r w:rsidR="004F6C6A" w:rsidRPr="00386BAD">
        <w:rPr>
          <w:rFonts w:ascii="Traditional Arabic" w:eastAsia="Calibri" w:hAnsi="Traditional Arabic" w:cs="Traditional Arabic"/>
          <w:sz w:val="28"/>
          <w:szCs w:val="28"/>
        </w:rPr>
        <w:t xml:space="preserve"> Çoban et al. (2018) </w:t>
      </w:r>
      <w:r w:rsidR="004F6C6A" w:rsidRPr="00386BAD">
        <w:rPr>
          <w:rFonts w:ascii="Traditional Arabic" w:eastAsia="Calibri" w:hAnsi="Traditional Arabic" w:cs="Traditional Arabic"/>
          <w:sz w:val="28"/>
          <w:szCs w:val="28"/>
          <w:rtl/>
          <w:lang w:val="en-US"/>
        </w:rPr>
        <w:t xml:space="preserve">التي تناولت الصيانة التنبؤية من منظور تقني، دون معالجة العلاقة التكاملية بين النوعين أو أثرهما المباشر على جودة الرعاية الصحية. وقد اعتمدت الدراسة مقاربة تطبيقية في مستشفى عسير المركزي سمحت بفحص </w:t>
      </w:r>
      <w:r w:rsidR="004F6C6A" w:rsidRPr="00386BAD">
        <w:rPr>
          <w:rFonts w:ascii="Traditional Arabic" w:eastAsia="Calibri" w:hAnsi="Traditional Arabic" w:cs="Traditional Arabic"/>
          <w:sz w:val="28"/>
          <w:szCs w:val="28"/>
          <w:rtl/>
          <w:lang w:val="en-US"/>
        </w:rPr>
        <w:lastRenderedPageBreak/>
        <w:t>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14:paraId="681E1B44" w14:textId="77777777"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r w:rsidRPr="00386BAD">
        <w:rPr>
          <w:rFonts w:ascii="Traditional Arabic" w:eastAsia="Calibri" w:hAnsi="Traditional Arabic" w:cs="Traditional Arabic"/>
          <w:sz w:val="28"/>
          <w:szCs w:val="28"/>
          <w:lang w:val="en-US"/>
        </w:rPr>
        <w:t>Majrashi &amp; Saleh-Eldeen</w:t>
      </w:r>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r w:rsidRPr="00386BAD">
        <w:rPr>
          <w:rFonts w:ascii="Traditional Arabic" w:eastAsia="Calibri" w:hAnsi="Traditional Arabic" w:cs="Traditional Arabic"/>
          <w:sz w:val="28"/>
          <w:szCs w:val="28"/>
          <w:lang w:val="en-US"/>
        </w:rPr>
        <w:t>Boppana,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14:paraId="6608F590" w14:textId="77777777"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14:paraId="00C18ACE"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1BF6AD1F"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615C3F26"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2AEF85B0"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41E869E2"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0C32DEBE"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697D81F"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2B577C5" w14:textId="77777777" w:rsidR="00E223BD" w:rsidRDefault="00E223BD" w:rsidP="00E223BD">
      <w:pPr>
        <w:pageBreakBefore/>
        <w:bidi/>
        <w:spacing w:line="360" w:lineRule="auto"/>
        <w:jc w:val="center"/>
        <w:rPr>
          <w:rFonts w:ascii="Traditional Arabic" w:eastAsia="Calibri" w:hAnsi="Traditional Arabic" w:cs="Traditional Arabic"/>
          <w:b/>
          <w:bCs/>
          <w:sz w:val="40"/>
          <w:szCs w:val="40"/>
          <w:rtl/>
          <w:lang w:val="en-US"/>
        </w:rPr>
      </w:pPr>
    </w:p>
    <w:p w14:paraId="5A4AE079" w14:textId="77777777" w:rsidR="008A5E4B" w:rsidRPr="00386BAD" w:rsidRDefault="008A5E4B" w:rsidP="00E223BD">
      <w:pPr>
        <w:pageBreakBefore/>
        <w:bidi/>
        <w:spacing w:line="360" w:lineRule="auto"/>
        <w:jc w:val="center"/>
        <w:rPr>
          <w:rFonts w:ascii="Traditional Arabic" w:eastAsia="Calibri" w:hAnsi="Traditional Arabic" w:cs="Traditional Arabic"/>
          <w:b/>
          <w:bCs/>
          <w:sz w:val="40"/>
          <w:szCs w:val="40"/>
          <w:lang w:val="en-US"/>
        </w:rPr>
      </w:pPr>
      <w:r w:rsidRPr="00386BAD">
        <w:rPr>
          <w:rFonts w:ascii="Traditional Arabic" w:eastAsia="Calibri" w:hAnsi="Traditional Arabic" w:cs="Traditional Arabic"/>
          <w:b/>
          <w:bCs/>
          <w:sz w:val="40"/>
          <w:szCs w:val="40"/>
          <w:rtl/>
          <w:lang w:val="en-US"/>
        </w:rPr>
        <w:lastRenderedPageBreak/>
        <w:t>الفصل الثالث</w:t>
      </w:r>
    </w:p>
    <w:p w14:paraId="0592592D" w14:textId="212CDB1D" w:rsidR="008A5E4B" w:rsidRDefault="00607DBD" w:rsidP="008A5E4B">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hint="cs"/>
          <w:b/>
          <w:bCs/>
          <w:sz w:val="40"/>
          <w:szCs w:val="40"/>
          <w:rtl/>
          <w:lang w:val="en-US"/>
        </w:rPr>
        <w:t>منهجية الدراسة</w:t>
      </w:r>
    </w:p>
    <w:p w14:paraId="288C791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00D7132"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EBC53D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69E966A6"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A13DEB3"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27533E30"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3F858404"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026595C"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5A3ED1F9" w14:textId="77777777" w:rsidR="00E223BD" w:rsidRDefault="00E223BD" w:rsidP="00E223BD">
      <w:pPr>
        <w:bidi/>
        <w:spacing w:line="360" w:lineRule="auto"/>
        <w:jc w:val="center"/>
        <w:rPr>
          <w:rFonts w:ascii="Traditional Arabic" w:eastAsia="Calibri" w:hAnsi="Traditional Arabic" w:cs="Traditional Arabic"/>
          <w:b/>
          <w:bCs/>
          <w:sz w:val="40"/>
          <w:szCs w:val="40"/>
          <w:rtl/>
          <w:lang w:val="en-US"/>
        </w:rPr>
      </w:pPr>
    </w:p>
    <w:p w14:paraId="0F4177DA" w14:textId="5D9F98C5" w:rsidR="00E223BD" w:rsidRPr="00386BAD" w:rsidRDefault="00E223BD" w:rsidP="00E223BD">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b/>
          <w:bCs/>
          <w:sz w:val="40"/>
          <w:szCs w:val="40"/>
          <w:rtl/>
          <w:lang w:val="en-US"/>
        </w:rPr>
        <w:br w:type="page"/>
      </w:r>
    </w:p>
    <w:p w14:paraId="5A73D74E" w14:textId="226ADFB2" w:rsidR="008A5E4B" w:rsidRPr="00386BAD" w:rsidRDefault="00E223BD" w:rsidP="008A5E4B">
      <w:pPr>
        <w:bidi/>
        <w:spacing w:line="360" w:lineRule="auto"/>
        <w:rPr>
          <w:rFonts w:ascii="Traditional Arabic" w:eastAsia="Calibri" w:hAnsi="Traditional Arabic" w:cs="Traditional Arabic"/>
          <w:b/>
          <w:bCs/>
          <w:sz w:val="40"/>
          <w:szCs w:val="40"/>
          <w:lang w:val="en-US"/>
        </w:rPr>
      </w:pPr>
      <w:r>
        <w:rPr>
          <w:rFonts w:ascii="Traditional Arabic" w:eastAsia="Calibri" w:hAnsi="Traditional Arabic" w:cs="Traditional Arabic" w:hint="cs"/>
          <w:b/>
          <w:bCs/>
          <w:sz w:val="36"/>
          <w:szCs w:val="36"/>
          <w:rtl/>
          <w:lang w:val="en-US"/>
        </w:rPr>
        <w:lastRenderedPageBreak/>
        <w:t xml:space="preserve">3.1 </w:t>
      </w:r>
      <w:r w:rsidR="008A5E4B" w:rsidRPr="00386BAD">
        <w:rPr>
          <w:rFonts w:ascii="Traditional Arabic" w:eastAsia="Calibri" w:hAnsi="Traditional Arabic" w:cs="Traditional Arabic"/>
          <w:b/>
          <w:bCs/>
          <w:sz w:val="36"/>
          <w:szCs w:val="36"/>
          <w:rtl/>
          <w:lang w:val="en-US"/>
        </w:rPr>
        <w:t>تمهيد</w:t>
      </w:r>
    </w:p>
    <w:p w14:paraId="2917C1E0"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ويهدف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ويعرض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14:paraId="0F756F7E"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2742E255" w14:textId="18D1143A" w:rsidR="008A5E4B" w:rsidRPr="00386BAD" w:rsidRDefault="00E223BD" w:rsidP="008A5E4B">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3.2 </w:t>
      </w:r>
      <w:r w:rsidR="008A5E4B" w:rsidRPr="00386BAD">
        <w:rPr>
          <w:rFonts w:ascii="Traditional Arabic" w:eastAsia="Calibri" w:hAnsi="Traditional Arabic" w:cs="Traditional Arabic"/>
          <w:b/>
          <w:bCs/>
          <w:sz w:val="32"/>
          <w:szCs w:val="32"/>
          <w:rtl/>
          <w:lang w:val="en-US"/>
        </w:rPr>
        <w:t>منهج الدراسة</w:t>
      </w:r>
    </w:p>
    <w:p w14:paraId="4BF19B23"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14:paraId="0ED979C4"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14:paraId="482104D5"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14:paraId="35C334CC" w14:textId="4FE623FA" w:rsidR="008A5E4B" w:rsidRPr="00386BAD" w:rsidRDefault="00E223BD" w:rsidP="008A5E4B">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lastRenderedPageBreak/>
        <w:t xml:space="preserve">3.3 </w:t>
      </w:r>
      <w:r w:rsidR="008A5E4B" w:rsidRPr="00386BAD">
        <w:rPr>
          <w:rFonts w:ascii="Traditional Arabic" w:eastAsia="Calibri" w:hAnsi="Traditional Arabic" w:cs="Traditional Arabic"/>
          <w:b/>
          <w:bCs/>
          <w:sz w:val="36"/>
          <w:szCs w:val="36"/>
          <w:rtl/>
          <w:lang w:val="en-US"/>
        </w:rPr>
        <w:t>مجتمع الدراسة</w:t>
      </w:r>
    </w:p>
    <w:p w14:paraId="1CCD52A6"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يتكون مجتمع الدراسة من جميع العاملين في مستشفى عسير المركزي الذين يرتبط عملهم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14:paraId="0BE86A4C"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المهنية التالية:</w:t>
      </w:r>
    </w:p>
    <w:p w14:paraId="6E429DBA"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14:paraId="0CA9EAA6"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14:paraId="6D9BA25E"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الأطباء المعتمدون على الأجهزة الطبية في تقديم الخدمة الصحية: 80 طبيبا</w:t>
      </w:r>
    </w:p>
    <w:p w14:paraId="06B0D59B"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الممرضون المشغلون للأجهزة الطبية: 100 ممرض</w:t>
      </w:r>
    </w:p>
    <w:p w14:paraId="48FF4CB0"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14:paraId="052DCA51"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14:paraId="48B738C0"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ولم تشمل الدراسة العاملين الذين لا يرتبط عملهم بشكل مباشر بهذه العمليات، كما لم تمتد إلى مستشفيات أو مرافق صحية أخرى خارج نطاق مستشفى عسير المركزي.</w:t>
      </w:r>
    </w:p>
    <w:p w14:paraId="380907D9"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4D7EF177" w14:textId="79B38D83" w:rsidR="008A5E4B" w:rsidRPr="00386BAD" w:rsidRDefault="00E223BD" w:rsidP="00A33F60">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3.4 </w:t>
      </w:r>
      <w:r w:rsidR="008A5E4B" w:rsidRPr="00386BAD">
        <w:rPr>
          <w:rFonts w:ascii="Traditional Arabic" w:eastAsia="Calibri" w:hAnsi="Traditional Arabic" w:cs="Traditional Arabic"/>
          <w:b/>
          <w:bCs/>
          <w:sz w:val="36"/>
          <w:szCs w:val="36"/>
          <w:rtl/>
          <w:lang w:val="en-US"/>
        </w:rPr>
        <w:t>عينة الدراسة</w:t>
      </w:r>
    </w:p>
    <w:p w14:paraId="22F0C0DA" w14:textId="194F40D7" w:rsidR="004C5AFE" w:rsidRDefault="004C5AFE" w:rsidP="00141CD1">
      <w:pPr>
        <w:bidi/>
        <w:spacing w:line="360" w:lineRule="auto"/>
        <w:jc w:val="both"/>
        <w:rPr>
          <w:rFonts w:ascii="Traditional Arabic" w:eastAsia="Calibri" w:hAnsi="Traditional Arabic" w:cs="Traditional Arabic"/>
          <w:sz w:val="32"/>
          <w:szCs w:val="32"/>
          <w:rtl/>
        </w:rPr>
      </w:pPr>
      <w:r w:rsidRPr="004C5AFE">
        <w:rPr>
          <w:rFonts w:ascii="Traditional Arabic" w:eastAsia="Calibri" w:hAnsi="Traditional Arabic" w:cs="Traditional Arabic"/>
          <w:sz w:val="32"/>
          <w:szCs w:val="32"/>
          <w:rtl/>
          <w:lang w:val="en-US"/>
        </w:rPr>
        <w:t xml:space="preserve">تم تحديد حجم عينة الدراسة </w:t>
      </w:r>
      <w:r w:rsidR="00141CD1" w:rsidRPr="00141CD1">
        <w:rPr>
          <w:rFonts w:ascii="Traditional Arabic" w:eastAsia="Calibri" w:hAnsi="Traditional Arabic" w:cs="Traditional Arabic"/>
          <w:sz w:val="32"/>
          <w:szCs w:val="32"/>
          <w:rtl/>
          <w:lang w:val="en-US"/>
        </w:rPr>
        <w:t xml:space="preserve">بالاستناد إلى جدول </w:t>
      </w:r>
      <w:r w:rsidR="00141CD1" w:rsidRPr="00141CD1">
        <w:rPr>
          <w:rFonts w:ascii="Traditional Arabic" w:eastAsia="Calibri" w:hAnsi="Traditional Arabic" w:cs="Traditional Arabic"/>
          <w:sz w:val="32"/>
          <w:szCs w:val="32"/>
          <w:lang w:val="en-US"/>
        </w:rPr>
        <w:t>Krejcie and Morgan</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lang w:val="en-US"/>
        </w:rPr>
        <w:t xml:space="preserve"> 1970</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rtl/>
          <w:lang w:val="en-US"/>
        </w:rPr>
        <w:t xml:space="preserve">)، الذي يُعد من أكثر الأساليب شيوعًا واعتمادًا في تحديد أحجام العينات في البحوث الإدارية </w:t>
      </w:r>
      <w:r w:rsidRPr="004C5AFE">
        <w:rPr>
          <w:rFonts w:ascii="Traditional Arabic" w:eastAsia="Calibri" w:hAnsi="Traditional Arabic" w:cs="Traditional Arabic"/>
          <w:sz w:val="32"/>
          <w:szCs w:val="32"/>
          <w:rtl/>
          <w:lang w:val="en-US"/>
        </w:rPr>
        <w:t>والاجتماعية. ويستند هذا الأسلوب إلى أسس إحصائية تضمن اختيار حجم عينة مناسب يمثل مجتمع الدراسة بدرجة مقبولة من الدقة، بما يدعم إمكانية تعميم نتائج الدراسة ضمن حدودها المنهجية. ووفقًا لهذا الجدول، فإن المجتمع الذي يبلغ حجمه (400) مفردة يتطلب عينة مقدارها (197) مفردة، وهو الحجم الذي اعتمده الباحث في هذه الدراسة.</w:t>
      </w:r>
    </w:p>
    <w:p w14:paraId="60ED058C" w14:textId="0923232C" w:rsidR="00752A5D" w:rsidRPr="00386BAD" w:rsidRDefault="00752A5D" w:rsidP="004C5A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المرتبطة بإدارة وصيانة الأجهزة الطبية وجودة الرعاية الصحية.</w:t>
      </w:r>
    </w:p>
    <w:p w14:paraId="7FFAC10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وبناء على ذلك تم توزيع أفراد العينة البالغ عددهم 197 مشاركا على الفئات المختلفة وفقا للنسب التقريبية لتمثيلها في مجتمع الدراسة، وذلك على النحو الآتي:</w:t>
      </w:r>
    </w:p>
    <w:p w14:paraId="51CCC67F"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14:paraId="37E7C79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الأطباء المعتمدون على الأجهزة الطبية: 39 مشاركا (20%)</w:t>
      </w:r>
    </w:p>
    <w:p w14:paraId="51E089FA"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الممرضون المشغلون للأجهزة الطبية: 49 مشاركا (25%)</w:t>
      </w:r>
    </w:p>
    <w:p w14:paraId="2E1A1669"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14:paraId="39DA84C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14:paraId="0F24767A"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14:paraId="04E1D1EF" w14:textId="77777777"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14:paraId="663F665C" w14:textId="77777777"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تعزز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14:paraId="2946BB87" w14:textId="77777777"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14:paraId="1994F74C" w14:textId="7B6FADCB" w:rsidR="00A33F60" w:rsidRPr="00386BAD" w:rsidRDefault="00E223BD" w:rsidP="00A33F60">
      <w:pPr>
        <w:bidi/>
        <w:spacing w:line="360" w:lineRule="auto"/>
        <w:jc w:val="both"/>
        <w:rPr>
          <w:rFonts w:ascii="Traditional Arabic" w:eastAsia="Calibri" w:hAnsi="Traditional Arabic" w:cs="Traditional Arabic"/>
          <w:b/>
          <w:bCs/>
          <w:sz w:val="36"/>
          <w:szCs w:val="36"/>
          <w:lang w:val="en-US" w:bidi="ar-JO"/>
        </w:rPr>
      </w:pPr>
      <w:r>
        <w:rPr>
          <w:rFonts w:ascii="Traditional Arabic" w:eastAsia="Calibri" w:hAnsi="Traditional Arabic" w:cs="Traditional Arabic" w:hint="cs"/>
          <w:b/>
          <w:bCs/>
          <w:sz w:val="36"/>
          <w:szCs w:val="36"/>
          <w:rtl/>
          <w:lang w:val="en-US"/>
        </w:rPr>
        <w:t xml:space="preserve">3.5 </w:t>
      </w:r>
      <w:r w:rsidR="00A33F60" w:rsidRPr="00386BAD">
        <w:rPr>
          <w:rFonts w:ascii="Traditional Arabic" w:eastAsia="Calibri" w:hAnsi="Traditional Arabic" w:cs="Traditional Arabic"/>
          <w:b/>
          <w:bCs/>
          <w:sz w:val="36"/>
          <w:szCs w:val="36"/>
          <w:rtl/>
          <w:lang w:val="en-US"/>
        </w:rPr>
        <w:t>أداة الدراسة</w:t>
      </w:r>
    </w:p>
    <w:p w14:paraId="228D9924"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lastRenderedPageBreak/>
        <w:t>اعتمدت الدراسة على الاستبانة بوصفها الأداة الرئيسة لجمع البيانات، وذلك لملاءمتها لطبيعة الدراسة وأهدافها، ولقدرتها على قياس متغيرات الدراسة من وجهة نظر أفراد مجتمع الدراسة في مستشفى عسير المركزي. وقد بُنيت الاستبانة في ضوء الإطار النظري والدراسات السابقة ذات الصلة، من خلال مراجعة الأدبيات العلمية والمقاييس المستخدمة في الدراسات السابقة، والاستفادة منها في بناء فقرات الأداة، ثم إعادة صياغتها وتكييفها بما يتناسب مع أهداف الدراسة وطبيعة البيئة التطبيقية</w:t>
      </w:r>
      <w:r w:rsidRPr="00C12E02">
        <w:rPr>
          <w:rFonts w:ascii="Traditional Arabic" w:eastAsia="Calibri" w:hAnsi="Traditional Arabic" w:cs="Traditional Arabic"/>
          <w:sz w:val="32"/>
          <w:szCs w:val="32"/>
          <w:lang w:val="en-US"/>
        </w:rPr>
        <w:t>.</w:t>
      </w:r>
    </w:p>
    <w:p w14:paraId="2D38B593"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وتكونت الاستبانة من قسمين رئيسين؛ اشتمل القسم الأول على البيانات الديموغرافية للمشاركين، وتضمن معلومات عن العمر، والجنس، وسنوات الخبرة، والتخصص، والوظيفة. أما القسم الثاني فقد خُصص لقياس متغيرات الدراسة الرئيسة وأبعادها</w:t>
      </w:r>
      <w:r w:rsidRPr="00C12E02">
        <w:rPr>
          <w:rFonts w:ascii="Traditional Arabic" w:eastAsia="Calibri" w:hAnsi="Traditional Arabic" w:cs="Traditional Arabic"/>
          <w:sz w:val="32"/>
          <w:szCs w:val="32"/>
          <w:lang w:val="en-US"/>
        </w:rPr>
        <w:t>.</w:t>
      </w:r>
    </w:p>
    <w:p w14:paraId="739A846B" w14:textId="4EAA0432" w:rsidR="00C12E02" w:rsidRPr="00C12E02" w:rsidRDefault="00C12E02" w:rsidP="00A407DC">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ونظرًا لعدم وجود مقياس واحد يغطي جميع متغيرات الدراسة وأبعادها بالصورة التي تتلاءم مع البيئة التطبيقية للدراسة، فقد اعتمد الباحث على مجموعة من الدراسات السابقة عند بناء فقرات كل بعد، مع إعادة صياغتها وتكييفها بما يحقق أهداف الدراسة. ويوضح جدول (3-</w:t>
      </w:r>
      <w:r w:rsidR="00A407DC">
        <w:rPr>
          <w:rFonts w:ascii="Traditional Arabic" w:eastAsia="Calibri" w:hAnsi="Traditional Arabic" w:cs="Traditional Arabic" w:hint="cs"/>
          <w:sz w:val="32"/>
          <w:szCs w:val="32"/>
          <w:rtl/>
          <w:lang w:val="en-US"/>
        </w:rPr>
        <w:t>1</w:t>
      </w:r>
      <w:r w:rsidRPr="00C12E02">
        <w:rPr>
          <w:rFonts w:ascii="Traditional Arabic" w:eastAsia="Calibri" w:hAnsi="Traditional Arabic" w:cs="Traditional Arabic"/>
          <w:sz w:val="32"/>
          <w:szCs w:val="32"/>
          <w:rtl/>
          <w:lang w:val="en-US"/>
        </w:rPr>
        <w:t>) هيكل أداة الدراسة، ومتغيراتها، وأبعادها، والمصادر التي استند إليها الباحث في بناء فقرات كل بعد</w:t>
      </w:r>
      <w:r w:rsidRPr="00C12E02">
        <w:rPr>
          <w:rFonts w:ascii="Traditional Arabic" w:eastAsia="Calibri" w:hAnsi="Traditional Arabic" w:cs="Traditional Arabic"/>
          <w:sz w:val="32"/>
          <w:szCs w:val="32"/>
          <w:lang w:val="en-US"/>
        </w:rPr>
        <w:t>.</w:t>
      </w:r>
    </w:p>
    <w:p w14:paraId="09D6E9AC" w14:textId="3C39C54B" w:rsidR="00C12E02" w:rsidRPr="00C12E02" w:rsidRDefault="00C12E02" w:rsidP="00A407DC">
      <w:pPr>
        <w:bidi/>
        <w:spacing w:after="0" w:line="240" w:lineRule="auto"/>
        <w:jc w:val="center"/>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جدول (3-</w:t>
      </w:r>
      <w:r w:rsidR="00A407DC">
        <w:rPr>
          <w:rFonts w:ascii="Traditional Arabic" w:eastAsia="Calibri" w:hAnsi="Traditional Arabic" w:cs="Traditional Arabic" w:hint="cs"/>
          <w:b/>
          <w:bCs/>
          <w:sz w:val="32"/>
          <w:szCs w:val="32"/>
          <w:rtl/>
          <w:lang w:val="en-US"/>
        </w:rPr>
        <w:t>1</w:t>
      </w:r>
      <w:r w:rsidRPr="00C12E02">
        <w:rPr>
          <w:rFonts w:ascii="Traditional Arabic" w:eastAsia="Calibri" w:hAnsi="Traditional Arabic" w:cs="Traditional Arabic"/>
          <w:b/>
          <w:bCs/>
          <w:sz w:val="32"/>
          <w:szCs w:val="32"/>
          <w:rtl/>
          <w:lang w:val="en-US"/>
        </w:rPr>
        <w:t>) هيكل أداة الدراسة ومصادر بناء فقراتها</w:t>
      </w:r>
    </w:p>
    <w:tbl>
      <w:tblPr>
        <w:tblStyle w:val="a3"/>
        <w:bidiVisual/>
        <w:tblW w:w="0" w:type="auto"/>
        <w:tblLook w:val="04A0" w:firstRow="1" w:lastRow="0" w:firstColumn="1" w:lastColumn="0" w:noHBand="0" w:noVBand="1"/>
      </w:tblPr>
      <w:tblGrid>
        <w:gridCol w:w="879"/>
        <w:gridCol w:w="1496"/>
        <w:gridCol w:w="1710"/>
        <w:gridCol w:w="5491"/>
      </w:tblGrid>
      <w:tr w:rsidR="00C12E02" w:rsidRPr="00C12E02" w14:paraId="71B282D3" w14:textId="77777777" w:rsidTr="00C12E02">
        <w:tc>
          <w:tcPr>
            <w:tcW w:w="0" w:type="auto"/>
            <w:hideMark/>
          </w:tcPr>
          <w:p w14:paraId="14CF151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نوع المتغير</w:t>
            </w:r>
          </w:p>
        </w:tc>
        <w:tc>
          <w:tcPr>
            <w:tcW w:w="0" w:type="auto"/>
            <w:hideMark/>
          </w:tcPr>
          <w:p w14:paraId="6768261C"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المتغير</w:t>
            </w:r>
          </w:p>
        </w:tc>
        <w:tc>
          <w:tcPr>
            <w:tcW w:w="0" w:type="auto"/>
            <w:hideMark/>
          </w:tcPr>
          <w:p w14:paraId="218AE075"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البعد</w:t>
            </w:r>
          </w:p>
        </w:tc>
        <w:tc>
          <w:tcPr>
            <w:tcW w:w="0" w:type="auto"/>
            <w:hideMark/>
          </w:tcPr>
          <w:p w14:paraId="67D1ABA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المصادر المعتمدة في بناء فقرات البعد</w:t>
            </w:r>
          </w:p>
        </w:tc>
      </w:tr>
      <w:tr w:rsidR="00C12E02" w:rsidRPr="00C12E02" w14:paraId="275F140A" w14:textId="77777777" w:rsidTr="00C12E02">
        <w:tc>
          <w:tcPr>
            <w:tcW w:w="0" w:type="auto"/>
            <w:hideMark/>
          </w:tcPr>
          <w:p w14:paraId="6851C718"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مستقل</w:t>
            </w:r>
          </w:p>
        </w:tc>
        <w:tc>
          <w:tcPr>
            <w:tcW w:w="0" w:type="auto"/>
            <w:hideMark/>
          </w:tcPr>
          <w:p w14:paraId="244FD9E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استراتيجيات الصيانة</w:t>
            </w:r>
          </w:p>
        </w:tc>
        <w:tc>
          <w:tcPr>
            <w:tcW w:w="0" w:type="auto"/>
            <w:hideMark/>
          </w:tcPr>
          <w:p w14:paraId="266677BD"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الوقائية</w:t>
            </w:r>
          </w:p>
        </w:tc>
        <w:tc>
          <w:tcPr>
            <w:tcW w:w="0" w:type="auto"/>
            <w:hideMark/>
          </w:tcPr>
          <w:p w14:paraId="440C4FD2" w14:textId="22932FF0" w:rsidR="00C12E02" w:rsidRPr="00C12E02" w:rsidRDefault="00E223BD" w:rsidP="00C12E02">
            <w:pPr>
              <w:bidi/>
              <w:jc w:val="both"/>
              <w:rPr>
                <w:rFonts w:ascii="Traditional Arabic" w:eastAsia="Calibri" w:hAnsi="Traditional Arabic" w:cs="Traditional Arabic"/>
                <w:sz w:val="32"/>
                <w:szCs w:val="32"/>
                <w:lang w:val="en-US"/>
              </w:rPr>
            </w:pPr>
            <w:r w:rsidRPr="00E223BD">
              <w:rPr>
                <w:rFonts w:ascii="Traditional Arabic" w:eastAsia="Calibri" w:hAnsi="Traditional Arabic" w:cs="Traditional Arabic"/>
                <w:sz w:val="32"/>
                <w:szCs w:val="32"/>
                <w:lang w:val="en-US"/>
              </w:rPr>
              <w:t>Sezdi (2016)</w:t>
            </w:r>
            <w:r w:rsidRPr="00E223BD">
              <w:rPr>
                <w:rFonts w:ascii="Traditional Arabic" w:eastAsia="Calibri" w:hAnsi="Traditional Arabic" w:cs="Traditional Arabic"/>
                <w:sz w:val="32"/>
                <w:szCs w:val="32"/>
                <w:rtl/>
                <w:lang w:val="en-US"/>
              </w:rPr>
              <w:t xml:space="preserve">، </w:t>
            </w:r>
            <w:r w:rsidRPr="00E223BD">
              <w:rPr>
                <w:rFonts w:ascii="Traditional Arabic" w:eastAsia="Calibri" w:hAnsi="Traditional Arabic" w:cs="Traditional Arabic"/>
                <w:sz w:val="32"/>
                <w:szCs w:val="32"/>
                <w:lang w:val="en-US"/>
              </w:rPr>
              <w:t>Mahfoud et al. (2016</w:t>
            </w:r>
            <w:r w:rsidRPr="00E223BD">
              <w:rPr>
                <w:rFonts w:ascii="Traditional Arabic" w:eastAsia="Calibri" w:hAnsi="Traditional Arabic" w:cs="Traditional Arabic"/>
                <w:sz w:val="32"/>
                <w:szCs w:val="32"/>
                <w:rtl/>
                <w:lang w:val="en-US"/>
              </w:rPr>
              <w:t>)، البزايعة (2024)، مزعل (2015)</w:t>
            </w:r>
          </w:p>
        </w:tc>
      </w:tr>
      <w:tr w:rsidR="00C12E02" w:rsidRPr="00C12E02" w14:paraId="3D03F2F0" w14:textId="77777777" w:rsidTr="00C12E02">
        <w:tc>
          <w:tcPr>
            <w:tcW w:w="0" w:type="auto"/>
            <w:hideMark/>
          </w:tcPr>
          <w:p w14:paraId="05909AEE"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7944107"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D8F7599"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التنبؤية</w:t>
            </w:r>
          </w:p>
        </w:tc>
        <w:tc>
          <w:tcPr>
            <w:tcW w:w="0" w:type="auto"/>
            <w:hideMark/>
          </w:tcPr>
          <w:p w14:paraId="739F3011"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Çoban et al. (2018)</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Shamayleh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 xml:space="preserve">Zamzam et </w:t>
            </w:r>
            <w:r w:rsidRPr="00C12E02">
              <w:rPr>
                <w:rFonts w:ascii="Traditional Arabic" w:eastAsia="Calibri" w:hAnsi="Traditional Arabic" w:cs="Traditional Arabic"/>
                <w:sz w:val="32"/>
                <w:szCs w:val="32"/>
                <w:lang w:val="en-US"/>
              </w:rPr>
              <w:lastRenderedPageBreak/>
              <w:t>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Manchadi et al. (2023)</w:t>
            </w:r>
          </w:p>
        </w:tc>
      </w:tr>
      <w:tr w:rsidR="00C12E02" w:rsidRPr="00C12E02" w14:paraId="569DBFF7" w14:textId="77777777" w:rsidTr="00C12E02">
        <w:tc>
          <w:tcPr>
            <w:tcW w:w="0" w:type="auto"/>
            <w:hideMark/>
          </w:tcPr>
          <w:p w14:paraId="5B8BB74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lastRenderedPageBreak/>
              <w:t>تابع</w:t>
            </w:r>
          </w:p>
        </w:tc>
        <w:tc>
          <w:tcPr>
            <w:tcW w:w="0" w:type="auto"/>
            <w:hideMark/>
          </w:tcPr>
          <w:p w14:paraId="1A0313AF"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جودة الرعاية الصحية</w:t>
            </w:r>
          </w:p>
        </w:tc>
        <w:tc>
          <w:tcPr>
            <w:tcW w:w="0" w:type="auto"/>
            <w:hideMark/>
          </w:tcPr>
          <w:p w14:paraId="0316E1D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FE2B09A"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Boppana (2023)</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Shamayleh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p>
        </w:tc>
      </w:tr>
      <w:tr w:rsidR="00C12E02" w:rsidRPr="00C12E02" w14:paraId="27E6259B" w14:textId="77777777" w:rsidTr="00C12E02">
        <w:tc>
          <w:tcPr>
            <w:tcW w:w="0" w:type="auto"/>
            <w:hideMark/>
          </w:tcPr>
          <w:p w14:paraId="7CDA442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5C75EC80"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32FEE44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سلامة المرضى</w:t>
            </w:r>
          </w:p>
        </w:tc>
        <w:tc>
          <w:tcPr>
            <w:tcW w:w="0" w:type="auto"/>
            <w:hideMark/>
          </w:tcPr>
          <w:p w14:paraId="7787982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Al-Jabri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Shamayleh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Boppana (2023)</w:t>
            </w:r>
          </w:p>
        </w:tc>
      </w:tr>
      <w:tr w:rsidR="00C12E02" w:rsidRPr="00C12E02" w14:paraId="30A3BA28" w14:textId="77777777" w:rsidTr="00C12E02">
        <w:tc>
          <w:tcPr>
            <w:tcW w:w="0" w:type="auto"/>
            <w:hideMark/>
          </w:tcPr>
          <w:p w14:paraId="433D7FC1"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95ADDC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DFB5D96"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تقليل تأجيل العمليات والخدمات الطبية</w:t>
            </w:r>
          </w:p>
        </w:tc>
        <w:tc>
          <w:tcPr>
            <w:tcW w:w="0" w:type="auto"/>
            <w:hideMark/>
          </w:tcPr>
          <w:p w14:paraId="4F41F6B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Zamzam et al. (2021)</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Elborombaly (2016)</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Boppana (2023)</w:t>
            </w:r>
          </w:p>
        </w:tc>
      </w:tr>
    </w:tbl>
    <w:p w14:paraId="0D46CE61" w14:textId="77777777" w:rsidR="00C12E02" w:rsidRDefault="00C12E02" w:rsidP="00C12E02">
      <w:pPr>
        <w:bidi/>
        <w:spacing w:line="360" w:lineRule="auto"/>
        <w:jc w:val="both"/>
        <w:rPr>
          <w:rFonts w:ascii="Traditional Arabic" w:eastAsia="Calibri" w:hAnsi="Traditional Arabic" w:cs="Traditional Arabic"/>
          <w:sz w:val="32"/>
          <w:szCs w:val="32"/>
          <w:rtl/>
          <w:lang w:val="en-US"/>
        </w:rPr>
      </w:pPr>
    </w:p>
    <w:p w14:paraId="14294FEC"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ولقياس استجابات أفراد العينة، اعتمدت الدراسة مقياس ليكرت الخماسي</w:t>
      </w:r>
      <w:r w:rsidRPr="00C12E02">
        <w:rPr>
          <w:rFonts w:ascii="Traditional Arabic" w:eastAsia="Calibri" w:hAnsi="Traditional Arabic" w:cs="Traditional Arabic"/>
          <w:sz w:val="32"/>
          <w:szCs w:val="32"/>
          <w:lang w:val="en-US"/>
        </w:rPr>
        <w:t xml:space="preserve"> (Five-Point Likert Scale)</w:t>
      </w:r>
      <w:r w:rsidRPr="00C12E02">
        <w:rPr>
          <w:rFonts w:ascii="Traditional Arabic" w:eastAsia="Calibri" w:hAnsi="Traditional Arabic" w:cs="Traditional Arabic"/>
          <w:sz w:val="32"/>
          <w:szCs w:val="32"/>
          <w:rtl/>
          <w:lang w:val="en-US"/>
        </w:rPr>
        <w:t>، لملاءمته لقياس اتجاهات وآراء المبحوثين في الدراسات الإدارية والصحية. وتضمن المقياس خمسة بدائل للاستجابة هي: (أوافق بشدة، أوافق، محايد، لا أوافق، لا أوافق بشدة)، ومنحت هذه البدائل أوزانًا رقمية متدرجة بلغت (5، 4، 3، 2، 1) على التوالي، بحيث تمثل الدرجة (5) أعلى مستوى للموافقة، وتمثل الدرجة (1) أدنى مستوى لها</w:t>
      </w:r>
      <w:r w:rsidRPr="00C12E02">
        <w:rPr>
          <w:rFonts w:ascii="Traditional Arabic" w:eastAsia="Calibri" w:hAnsi="Traditional Arabic" w:cs="Traditional Arabic"/>
          <w:sz w:val="32"/>
          <w:szCs w:val="32"/>
          <w:lang w:val="en-US"/>
        </w:rPr>
        <w:t>.</w:t>
      </w:r>
    </w:p>
    <w:p w14:paraId="32E94A60" w14:textId="77777777" w:rsidR="00752A5D" w:rsidRPr="00C12E02" w:rsidRDefault="00752A5D" w:rsidP="00752A5D">
      <w:pPr>
        <w:bidi/>
        <w:spacing w:line="360" w:lineRule="auto"/>
        <w:jc w:val="both"/>
        <w:rPr>
          <w:rFonts w:ascii="Traditional Arabic" w:eastAsia="Calibri" w:hAnsi="Traditional Arabic" w:cs="Traditional Arabic"/>
          <w:sz w:val="32"/>
          <w:szCs w:val="32"/>
          <w:lang w:val="en-US"/>
        </w:rPr>
      </w:pPr>
    </w:p>
    <w:p w14:paraId="3AD7083C" w14:textId="75D374C8" w:rsidR="00752A5D" w:rsidRPr="00386BAD" w:rsidRDefault="00E223BD" w:rsidP="00752A5D">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3.5.1 </w:t>
      </w:r>
      <w:r w:rsidR="00752A5D" w:rsidRPr="00386BAD">
        <w:rPr>
          <w:rFonts w:ascii="Traditional Arabic" w:eastAsia="Calibri" w:hAnsi="Traditional Arabic" w:cs="Traditional Arabic"/>
          <w:b/>
          <w:bCs/>
          <w:sz w:val="32"/>
          <w:szCs w:val="32"/>
          <w:rtl/>
          <w:lang w:val="en-US"/>
        </w:rPr>
        <w:t>الاختبار التجريبي للإستبانة (</w:t>
      </w:r>
      <w:r w:rsidR="00752A5D" w:rsidRPr="00386BAD">
        <w:rPr>
          <w:rFonts w:ascii="Traditional Arabic" w:eastAsia="Calibri" w:hAnsi="Traditional Arabic" w:cs="Traditional Arabic"/>
          <w:b/>
          <w:bCs/>
          <w:sz w:val="32"/>
          <w:szCs w:val="32"/>
          <w:lang w:val="en-US"/>
        </w:rPr>
        <w:t>Pilot Test</w:t>
      </w:r>
      <w:r w:rsidR="00752A5D" w:rsidRPr="00386BAD">
        <w:rPr>
          <w:rFonts w:ascii="Traditional Arabic" w:eastAsia="Calibri" w:hAnsi="Traditional Arabic" w:cs="Traditional Arabic"/>
          <w:b/>
          <w:bCs/>
          <w:sz w:val="32"/>
          <w:szCs w:val="32"/>
          <w:rtl/>
          <w:lang w:val="en-US"/>
        </w:rPr>
        <w:t>)</w:t>
      </w:r>
    </w:p>
    <w:p w14:paraId="6663CAF3"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قبل تطبيق الإستبانة على عينة الدراسة الأساسية، قام الباحث بإجراء اختبار تجريبي أولي للإستبانة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14:paraId="1D6DAE5C"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 xml:space="preserve">تكونت الإستبانة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الإستبانة على عينة تجريبية مكونة من </w:t>
      </w:r>
      <w:r w:rsidR="004023FB" w:rsidRPr="00386BAD">
        <w:rPr>
          <w:rFonts w:ascii="Traditional Arabic" w:eastAsia="Calibri" w:hAnsi="Traditional Arabic" w:cs="Traditional Arabic"/>
          <w:sz w:val="32"/>
          <w:szCs w:val="32"/>
          <w:rtl/>
          <w:lang w:val="en-US"/>
        </w:rPr>
        <w:lastRenderedPageBreak/>
        <w:t>(٣٠)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14:paraId="13C6D059" w14:textId="77777777"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r w:rsidRPr="00386BAD">
        <w:rPr>
          <w:rFonts w:ascii="Traditional Arabic" w:eastAsia="Calibri" w:hAnsi="Traditional Arabic" w:cs="Traditional Arabic"/>
          <w:b/>
          <w:bCs/>
          <w:sz w:val="32"/>
          <w:szCs w:val="32"/>
          <w:rtl/>
        </w:rPr>
        <w:t>أهداف الاختبار التجريبي</w:t>
      </w:r>
    </w:p>
    <w:p w14:paraId="4D33A067"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هدف الاختبار التجريبي إلى تحقيق مجموعة من الأغراض المنهجية، من أهمها</w:t>
      </w:r>
      <w:r w:rsidRPr="00386BAD">
        <w:rPr>
          <w:rFonts w:ascii="Traditional Arabic" w:eastAsia="Calibri" w:hAnsi="Traditional Arabic" w:cs="Traditional Arabic"/>
          <w:sz w:val="32"/>
          <w:szCs w:val="32"/>
          <w:lang w:val="en-US" w:bidi="ar-JO"/>
        </w:rPr>
        <w:t>:</w:t>
      </w:r>
    </w:p>
    <w:p w14:paraId="509D60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من وضوح فقرات الإستبانة وسهولة فهمها من قبل المشاركين.</w:t>
      </w:r>
    </w:p>
    <w:p w14:paraId="408B89C8"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قياس الزمن اللازم للإجابة عن الإستبانة</w:t>
      </w:r>
      <w:r w:rsidRPr="00386BAD">
        <w:rPr>
          <w:rFonts w:ascii="Traditional Arabic" w:eastAsia="Calibri" w:hAnsi="Traditional Arabic" w:cs="Traditional Arabic"/>
          <w:sz w:val="32"/>
          <w:szCs w:val="32"/>
          <w:lang w:val="en-US" w:bidi="ar-JO"/>
        </w:rPr>
        <w:t>.</w:t>
      </w:r>
    </w:p>
    <w:p w14:paraId="443186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14:paraId="3B01322B"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14:paraId="37EE5D69"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14:paraId="4E824B0D" w14:textId="77777777"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14:paraId="77861D9E"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أظهرت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14:paraId="6F2B25D0"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الحاجة إلى إعادة صياغة بعض الفقرات لتكون أكثر وضوحا</w:t>
      </w:r>
      <w:r w:rsidRPr="00386BAD">
        <w:rPr>
          <w:rFonts w:ascii="Traditional Arabic" w:eastAsia="Calibri" w:hAnsi="Traditional Arabic" w:cs="Traditional Arabic"/>
          <w:sz w:val="32"/>
          <w:szCs w:val="32"/>
          <w:lang w:val="en-US" w:bidi="ar-JO"/>
        </w:rPr>
        <w:t>.</w:t>
      </w:r>
    </w:p>
    <w:p w14:paraId="6556A0A9"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14:paraId="475E563A"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الحاجة إلى تبسيط بعض المصطلحات الفنية المستخدمة في بعض البنود</w:t>
      </w:r>
      <w:r w:rsidRPr="00386BAD">
        <w:rPr>
          <w:rFonts w:ascii="Traditional Arabic" w:eastAsia="Calibri" w:hAnsi="Traditional Arabic" w:cs="Traditional Arabic"/>
          <w:sz w:val="32"/>
          <w:szCs w:val="32"/>
          <w:lang w:val="en-US" w:bidi="ar-JO"/>
        </w:rPr>
        <w:t>.</w:t>
      </w:r>
    </w:p>
    <w:p w14:paraId="091EB8F4"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تبين أ</w:t>
      </w:r>
      <w:r w:rsidR="004023FB" w:rsidRPr="00386BAD">
        <w:rPr>
          <w:rFonts w:ascii="Traditional Arabic" w:eastAsia="Calibri" w:hAnsi="Traditional Arabic" w:cs="Traditional Arabic"/>
          <w:sz w:val="32"/>
          <w:szCs w:val="32"/>
          <w:rtl/>
          <w:lang w:val="en-US"/>
        </w:rPr>
        <w:t>ن الزمن اللازم للإجابة عن الإستبانة تراوح بين ١٠ و١٢ دقيقة، وهو زمن مناسب لطبيعة الأداة وعدد فقراتها.</w:t>
      </w:r>
    </w:p>
    <w:p w14:paraId="7AAA1FDC"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بناء على نتائج الاختبار التجريبي وملاحظات المشاركين، قام الباحث بإجراء عدد من التعديلات على الإستبانة، تمثلت في</w:t>
      </w:r>
      <w:r w:rsidRPr="00386BAD">
        <w:rPr>
          <w:rFonts w:ascii="Traditional Arabic" w:eastAsia="Calibri" w:hAnsi="Traditional Arabic" w:cs="Traditional Arabic"/>
          <w:sz w:val="32"/>
          <w:szCs w:val="32"/>
          <w:lang w:val="en-US" w:bidi="ar-JO"/>
        </w:rPr>
        <w:t>:</w:t>
      </w:r>
    </w:p>
    <w:p w14:paraId="6B95361A"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تعديل صياغة عدد من الفقرات لتكون أكثر وضوحا ودقة</w:t>
      </w:r>
      <w:r w:rsidRPr="00386BAD">
        <w:rPr>
          <w:rFonts w:ascii="Traditional Arabic" w:eastAsia="Calibri" w:hAnsi="Traditional Arabic" w:cs="Traditional Arabic"/>
          <w:sz w:val="32"/>
          <w:szCs w:val="32"/>
          <w:lang w:val="en-US" w:bidi="ar-JO"/>
        </w:rPr>
        <w:t>.</w:t>
      </w:r>
    </w:p>
    <w:p w14:paraId="564974F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دمج بعض البنود المتشابهة في المعنى لتقليل التكرار</w:t>
      </w:r>
      <w:r w:rsidRPr="00386BAD">
        <w:rPr>
          <w:rFonts w:ascii="Traditional Arabic" w:eastAsia="Calibri" w:hAnsi="Traditional Arabic" w:cs="Traditional Arabic"/>
          <w:sz w:val="32"/>
          <w:szCs w:val="32"/>
          <w:lang w:val="en-US" w:bidi="ar-JO"/>
        </w:rPr>
        <w:t>.</w:t>
      </w:r>
    </w:p>
    <w:p w14:paraId="5B18E26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حذف ثلاث فقرات تبين أنها متقاربة في مضمونها مع فقرات أخرى</w:t>
      </w:r>
      <w:r w:rsidRPr="00386BAD">
        <w:rPr>
          <w:rFonts w:ascii="Traditional Arabic" w:eastAsia="Calibri" w:hAnsi="Traditional Arabic" w:cs="Traditional Arabic"/>
          <w:sz w:val="32"/>
          <w:szCs w:val="32"/>
          <w:lang w:val="en-US" w:bidi="ar-JO"/>
        </w:rPr>
        <w:t>.</w:t>
      </w:r>
    </w:p>
    <w:p w14:paraId="64B24582" w14:textId="77777777" w:rsidR="00752A5D" w:rsidRDefault="00752A5D" w:rsidP="004023F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التعديلات أصبحت الإستبانة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14:paraId="4091B84F" w14:textId="77777777" w:rsidR="005D5526" w:rsidRPr="00386BAD" w:rsidRDefault="005D5526" w:rsidP="005D5526">
      <w:pPr>
        <w:bidi/>
        <w:spacing w:line="360" w:lineRule="auto"/>
        <w:jc w:val="both"/>
        <w:rPr>
          <w:rFonts w:ascii="Traditional Arabic" w:eastAsia="Calibri" w:hAnsi="Traditional Arabic" w:cs="Traditional Arabic"/>
          <w:sz w:val="32"/>
          <w:szCs w:val="32"/>
          <w:lang w:val="en-US" w:bidi="ar-JO"/>
        </w:rPr>
      </w:pPr>
    </w:p>
    <w:p w14:paraId="33731981" w14:textId="386248A3"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5.2 </w:t>
      </w:r>
      <w:r w:rsidRPr="005D5526">
        <w:rPr>
          <w:rFonts w:ascii="Traditional Arabic" w:eastAsia="Calibri" w:hAnsi="Traditional Arabic" w:cs="Traditional Arabic"/>
          <w:b/>
          <w:bCs/>
          <w:sz w:val="32"/>
          <w:szCs w:val="32"/>
          <w:rtl/>
          <w:lang w:val="en-US" w:bidi="ar-JO"/>
        </w:rPr>
        <w:t xml:space="preserve"> التحقق من صدق أداة الدراسة</w:t>
      </w:r>
    </w:p>
    <w:p w14:paraId="65A5C28C" w14:textId="61A636D0"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 xml:space="preserve">يُعد التحقق من صدق أداة الدراسة من الخطوات الأساسية لضمان قدرتها على قياس متغيرات الدراسة بدقة، إذ يشير الصدق إلى مدى ملاءمة فقرات الأداة لقياس المفاهيم التي أُعدت من أجلها. وللتحقق من صدق أداة الدراسة، اعتمد الباحث على مجموعة من الإجراءات المنهجية شملت الصدق الظاهري من خلال تحكيم الأداة، ومعامل صدق </w:t>
      </w:r>
      <w:r w:rsidRPr="005D5526">
        <w:rPr>
          <w:rFonts w:ascii="Traditional Arabic" w:eastAsia="Calibri" w:hAnsi="Traditional Arabic" w:cs="Traditional Arabic"/>
          <w:sz w:val="32"/>
          <w:szCs w:val="32"/>
          <w:rtl/>
          <w:lang w:val="en-US"/>
        </w:rPr>
        <w:lastRenderedPageBreak/>
        <w:t>المحتوى (</w:t>
      </w:r>
      <w:r w:rsidRPr="005D5526">
        <w:rPr>
          <w:rFonts w:ascii="Traditional Arabic" w:eastAsia="Calibri" w:hAnsi="Traditional Arabic" w:cs="Traditional Arabic"/>
          <w:sz w:val="32"/>
          <w:szCs w:val="32"/>
          <w:lang w:val="en-US"/>
        </w:rPr>
        <w:t>Content Validity Index: CVI</w:t>
      </w:r>
      <w:r w:rsidRPr="005D5526">
        <w:rPr>
          <w:rFonts w:ascii="Traditional Arabic" w:eastAsia="Calibri" w:hAnsi="Traditional Arabic" w:cs="Traditional Arabic"/>
          <w:sz w:val="32"/>
          <w:szCs w:val="32"/>
          <w:rtl/>
          <w:lang w:val="en-US"/>
        </w:rPr>
        <w:t>)، إضافة إلى التحقق من صدق البناء باستخدام التحليل العاملي، وذلك للتأكد من ملاءمة فقرات الأداة لأبعادها النظرية وقدرتها على تمثيل متغيرات الدراسة.</w:t>
      </w:r>
    </w:p>
    <w:p w14:paraId="232559CA" w14:textId="6785CA34"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
    <w:p w14:paraId="01013A1C" w14:textId="4501C2C6"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5.3 </w:t>
      </w:r>
      <w:r w:rsidRPr="005D5526">
        <w:rPr>
          <w:rFonts w:ascii="Traditional Arabic" w:eastAsia="Calibri" w:hAnsi="Traditional Arabic" w:cs="Traditional Arabic"/>
          <w:b/>
          <w:bCs/>
          <w:sz w:val="32"/>
          <w:szCs w:val="32"/>
          <w:rtl/>
          <w:lang w:val="en-US" w:bidi="ar-JO"/>
        </w:rPr>
        <w:t xml:space="preserve"> الصدق الظاهري (</w:t>
      </w:r>
      <w:r w:rsidRPr="005D5526">
        <w:rPr>
          <w:rFonts w:ascii="Traditional Arabic" w:eastAsia="Calibri" w:hAnsi="Traditional Arabic" w:cs="Traditional Arabic"/>
          <w:b/>
          <w:bCs/>
          <w:sz w:val="32"/>
          <w:szCs w:val="32"/>
          <w:lang w:val="en-US" w:bidi="ar-JO"/>
        </w:rPr>
        <w:t>Face Validity</w:t>
      </w:r>
      <w:r w:rsidRPr="005D5526">
        <w:rPr>
          <w:rFonts w:ascii="Traditional Arabic" w:eastAsia="Calibri" w:hAnsi="Traditional Arabic" w:cs="Traditional Arabic"/>
          <w:b/>
          <w:bCs/>
          <w:sz w:val="32"/>
          <w:szCs w:val="32"/>
          <w:rtl/>
          <w:lang w:val="en-US" w:bidi="ar-JO"/>
        </w:rPr>
        <w:t>)</w:t>
      </w:r>
    </w:p>
    <w:p w14:paraId="707BB63B" w14:textId="271EE6B7"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للتحقق من الصدق الظاهري لأداة الدراسة، عُرضت الاستبانة في صورتها الأولية على مجموعة من المحكمين من أعضاء هيئة التدريس والمتخصصين في الإدارة الصحية، وإدارة الصيانة، والقياس والتقويم، وذلك بهدف تقييم مدى ملاءمة فقرات الأداة لمتغيرات الدراسة وأبعادها، وسلامة صياغتها اللغوية، ووضوحها، وشمولها لمجالات القياس المستهدفة</w:t>
      </w:r>
      <w:r w:rsidRPr="005D5526">
        <w:rPr>
          <w:rFonts w:ascii="Traditional Arabic" w:eastAsia="Calibri" w:hAnsi="Traditional Arabic" w:cs="Traditional Arabic"/>
          <w:sz w:val="32"/>
          <w:szCs w:val="32"/>
          <w:lang w:val="en-US" w:bidi="ar-JO"/>
        </w:rPr>
        <w:t>.</w:t>
      </w:r>
    </w:p>
    <w:p w14:paraId="550AFB2E" w14:textId="77777777" w:rsidR="005D5526" w:rsidRDefault="005D5526" w:rsidP="005D5526">
      <w:pPr>
        <w:bidi/>
        <w:spacing w:line="360" w:lineRule="auto"/>
        <w:jc w:val="both"/>
        <w:rPr>
          <w:rFonts w:ascii="Traditional Arabic" w:eastAsia="Calibri" w:hAnsi="Traditional Arabic" w:cs="Traditional Arabic"/>
          <w:sz w:val="32"/>
          <w:szCs w:val="32"/>
          <w:rtl/>
          <w:lang w:val="en-US" w:bidi="ar-JO"/>
        </w:rPr>
      </w:pPr>
      <w:r w:rsidRPr="005D5526">
        <w:rPr>
          <w:rFonts w:ascii="Traditional Arabic" w:eastAsia="Calibri" w:hAnsi="Traditional Arabic" w:cs="Traditional Arabic"/>
          <w:sz w:val="32"/>
          <w:szCs w:val="32"/>
          <w:rtl/>
          <w:lang w:val="en-US"/>
        </w:rPr>
        <w:t>وفي ضوء الملاحظات التي أبداها المحكمون، أُجريت التعديلات اللازمة على الأداة، والتي شملت تحسين الصياغة اللغوية لبعض الفقرات، وتعديل عدد من العبارات بما يعزز وضوحها ودقتها، بما أسهم في الوصول إلى الصورة النهائية للاستبانة بصورة تتلاءم مع أهداف الدراسة ومتطلباتها المنهجية</w:t>
      </w:r>
      <w:r w:rsidRPr="005D5526">
        <w:rPr>
          <w:rFonts w:ascii="Traditional Arabic" w:eastAsia="Calibri" w:hAnsi="Traditional Arabic" w:cs="Traditional Arabic"/>
          <w:sz w:val="32"/>
          <w:szCs w:val="32"/>
          <w:lang w:val="en-US" w:bidi="ar-JO"/>
        </w:rPr>
        <w:t>.</w:t>
      </w:r>
    </w:p>
    <w:p w14:paraId="04D46ACE" w14:textId="4E053EFE" w:rsidR="00E84E9F" w:rsidRPr="00E84E9F" w:rsidRDefault="00E84E9F" w:rsidP="00E84E9F">
      <w:pPr>
        <w:bidi/>
        <w:spacing w:line="360" w:lineRule="auto"/>
        <w:jc w:val="both"/>
        <w:rPr>
          <w:rFonts w:ascii="Traditional Arabic" w:eastAsia="Calibri" w:hAnsi="Traditional Arabic" w:cs="Traditional Arabic"/>
          <w:b/>
          <w:bCs/>
          <w:sz w:val="32"/>
          <w:szCs w:val="32"/>
          <w:lang w:val="en-US" w:bidi="ar-JO"/>
        </w:rPr>
      </w:pPr>
    </w:p>
    <w:p w14:paraId="40F6091D" w14:textId="413C5174" w:rsidR="00E82F66" w:rsidRDefault="00E82F66" w:rsidP="008919F4">
      <w:pPr>
        <w:bidi/>
        <w:spacing w:line="360" w:lineRule="auto"/>
        <w:jc w:val="both"/>
        <w:rPr>
          <w:rFonts w:ascii="Traditional Arabic" w:eastAsia="Calibri" w:hAnsi="Traditional Arabic" w:cs="Traditional Arabic"/>
          <w:b/>
          <w:bCs/>
          <w:sz w:val="32"/>
          <w:szCs w:val="32"/>
          <w:rtl/>
          <w:lang w:val="en-US" w:bidi="ar-JO"/>
        </w:rPr>
      </w:pPr>
      <w:r w:rsidRPr="00E82F6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5.4</w:t>
      </w:r>
      <w:r w:rsidRPr="00E82F66">
        <w:rPr>
          <w:rFonts w:ascii="Traditional Arabic" w:eastAsia="Calibri" w:hAnsi="Traditional Arabic" w:cs="Traditional Arabic"/>
          <w:b/>
          <w:bCs/>
          <w:sz w:val="32"/>
          <w:szCs w:val="32"/>
          <w:rtl/>
          <w:lang w:val="en-US" w:bidi="ar-JO"/>
        </w:rPr>
        <w:t xml:space="preserve"> التحقق من صدق المحتوى باستخدام معامل صدق المحتوى (</w:t>
      </w:r>
      <w:r w:rsidRPr="00E82F66">
        <w:rPr>
          <w:rFonts w:ascii="Traditional Arabic" w:eastAsia="Calibri" w:hAnsi="Traditional Arabic" w:cs="Traditional Arabic"/>
          <w:b/>
          <w:bCs/>
          <w:sz w:val="32"/>
          <w:szCs w:val="32"/>
          <w:lang w:val="en-US" w:bidi="ar-JO"/>
        </w:rPr>
        <w:t>Content Validity Index: CVI</w:t>
      </w:r>
      <w:r w:rsidRPr="00E82F66">
        <w:rPr>
          <w:rFonts w:ascii="Traditional Arabic" w:eastAsia="Calibri" w:hAnsi="Traditional Arabic" w:cs="Traditional Arabic"/>
          <w:b/>
          <w:bCs/>
          <w:sz w:val="32"/>
          <w:szCs w:val="32"/>
          <w:rtl/>
          <w:lang w:val="en-US" w:bidi="ar-JO"/>
        </w:rPr>
        <w:t>)</w:t>
      </w:r>
    </w:p>
    <w:p w14:paraId="227FEB4F" w14:textId="0CEECFC5"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ولتعزيز التحقق من </w:t>
      </w:r>
      <w:r w:rsidR="00E82F66" w:rsidRPr="00E82F66">
        <w:rPr>
          <w:rFonts w:ascii="Traditional Arabic" w:eastAsia="Calibri" w:hAnsi="Traditional Arabic" w:cs="Traditional Arabic"/>
          <w:sz w:val="32"/>
          <w:szCs w:val="32"/>
          <w:rtl/>
          <w:lang w:val="en-US"/>
        </w:rPr>
        <w:t>صدق محتوى أداة الدراسة، تم التحقق من صدق المحتوى باستخدام معامل صدق المحتوى (</w:t>
      </w:r>
      <w:r w:rsidR="00E82F66" w:rsidRPr="00E82F66">
        <w:rPr>
          <w:rFonts w:ascii="Traditional Arabic" w:eastAsia="Calibri" w:hAnsi="Traditional Arabic" w:cs="Traditional Arabic"/>
          <w:sz w:val="32"/>
          <w:szCs w:val="32"/>
          <w:lang w:val="en-US"/>
        </w:rPr>
        <w:t>Content Validity Index: CVI</w:t>
      </w:r>
      <w:r w:rsidR="00E82F66" w:rsidRPr="00E82F66">
        <w:rPr>
          <w:rFonts w:ascii="Traditional Arabic" w:eastAsia="Calibri" w:hAnsi="Traditional Arabic" w:cs="Traditional Arabic"/>
          <w:sz w:val="32"/>
          <w:szCs w:val="32"/>
          <w:rtl/>
          <w:lang w:val="en-US"/>
        </w:rPr>
        <w:t xml:space="preserve">)، والذي يُعد من أكثر الأساليب المنهجية شيوعًا في تقييم مدى </w:t>
      </w:r>
      <w:r w:rsidR="00E82F66" w:rsidRPr="00E82F66">
        <w:rPr>
          <w:rFonts w:ascii="Traditional Arabic" w:eastAsia="Calibri" w:hAnsi="Traditional Arabic" w:cs="Traditional Arabic"/>
          <w:sz w:val="32"/>
          <w:szCs w:val="32"/>
          <w:rtl/>
          <w:lang w:val="en-US"/>
        </w:rPr>
        <w:lastRenderedPageBreak/>
        <w:t>ملاءمة فقرات الأداة لقياس الأبعاد التي تنتمي إليها، وذلك من خلال قياس درجة اتفاق المحكمين حول مدى تمثيل كل فقرة للبُعد الذي تقيسه.</w:t>
      </w:r>
    </w:p>
    <w:p w14:paraId="2072F876" w14:textId="09537103"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وقد عُرضت الاستبانة في صورتها الأولية على خمسة محكمين من أعضاء هيئة التدريس والمتخصصين في الإدارة الصحية، وإدارة الصيانة، والقياس </w:t>
      </w:r>
      <w:r w:rsidR="00E82F66" w:rsidRPr="00E82F66">
        <w:rPr>
          <w:rFonts w:ascii="Traditional Arabic" w:eastAsia="Calibri" w:hAnsi="Traditional Arabic" w:cs="Traditional Arabic"/>
          <w:sz w:val="32"/>
          <w:szCs w:val="32"/>
          <w:rtl/>
          <w:lang w:val="en-US"/>
        </w:rPr>
        <w:t>والتقويم، وطُلب منهم تقييم مدى ملاءمة كل فقرة للبعد الذي تنتمي إليه باستخدام مقياس رباعي يتدرج من (غير ملائمة) إلى (ملائمة بدرجة كبيرة). واستنادًا إلى تقييمات المحكمين، تم حساب معامل صدق المحتوى على مستوى الفقرة (</w:t>
      </w:r>
      <w:r w:rsidR="00E82F66" w:rsidRPr="00E82F66">
        <w:rPr>
          <w:rFonts w:ascii="Traditional Arabic" w:eastAsia="Calibri" w:hAnsi="Traditional Arabic" w:cs="Traditional Arabic"/>
          <w:sz w:val="32"/>
          <w:szCs w:val="32"/>
          <w:lang w:val="en-US"/>
        </w:rPr>
        <w:t>Item-Level Content Validity Index: I-CVI</w:t>
      </w:r>
      <w:r w:rsidR="00E82F66" w:rsidRPr="00E82F66">
        <w:rPr>
          <w:rFonts w:ascii="Traditional Arabic" w:eastAsia="Calibri" w:hAnsi="Traditional Arabic" w:cs="Traditional Arabic"/>
          <w:sz w:val="32"/>
          <w:szCs w:val="32"/>
          <w:rtl/>
          <w:lang w:val="en-US"/>
        </w:rPr>
        <w:t>)، والذي يعبر عن نسبة اتفاق المحكمين على ملاءمة كل فقرة، كما تم حساب معامل صدق المحتوى على مستوى الأداة (</w:t>
      </w:r>
      <w:r w:rsidR="00E82F66" w:rsidRPr="00E82F66">
        <w:rPr>
          <w:rFonts w:ascii="Traditional Arabic" w:eastAsia="Calibri" w:hAnsi="Traditional Arabic" w:cs="Traditional Arabic"/>
          <w:sz w:val="32"/>
          <w:szCs w:val="32"/>
          <w:lang w:val="en-US"/>
        </w:rPr>
        <w:t>Scale-Level Content Validity Index/Average: S-CVI/Ave</w:t>
      </w:r>
      <w:r w:rsidR="00E82F66" w:rsidRPr="00E82F66">
        <w:rPr>
          <w:rFonts w:ascii="Traditional Arabic" w:eastAsia="Calibri" w:hAnsi="Traditional Arabic" w:cs="Traditional Arabic"/>
          <w:sz w:val="32"/>
          <w:szCs w:val="32"/>
          <w:rtl/>
          <w:lang w:val="en-US"/>
        </w:rPr>
        <w:t>)، والذي يمثل متوسط قيم صدق المحتوى لجميع فقرات الأداة.</w:t>
      </w:r>
    </w:p>
    <w:p w14:paraId="16EFBFC8" w14:textId="77777777" w:rsidR="00E82F66" w:rsidRPr="00E82F66" w:rsidRDefault="00E84E9F" w:rsidP="00E82F66">
      <w:pPr>
        <w:spacing w:line="360" w:lineRule="auto"/>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وتشير الأدبيات المنهجية </w:t>
      </w:r>
      <w:r w:rsidR="00E82F66" w:rsidRPr="00E82F66">
        <w:rPr>
          <w:rFonts w:ascii="Traditional Arabic" w:eastAsia="Calibri" w:hAnsi="Traditional Arabic" w:cs="Traditional Arabic"/>
          <w:sz w:val="32"/>
          <w:szCs w:val="32"/>
          <w:rtl/>
          <w:lang w:val="en-US"/>
        </w:rPr>
        <w:t>إلى أن قيمة</w:t>
      </w:r>
      <w:r w:rsidR="00E82F66" w:rsidRPr="00E82F66">
        <w:rPr>
          <w:rFonts w:ascii="Traditional Arabic" w:eastAsia="Calibri" w:hAnsi="Traditional Arabic" w:cs="Traditional Arabic"/>
          <w:sz w:val="32"/>
          <w:szCs w:val="32"/>
          <w:lang w:val="en-US"/>
        </w:rPr>
        <w:t xml:space="preserve"> I-CVI </w:t>
      </w:r>
      <w:r w:rsidR="00E82F66" w:rsidRPr="00E82F66">
        <w:rPr>
          <w:rFonts w:ascii="Traditional Arabic" w:eastAsia="Calibri" w:hAnsi="Traditional Arabic" w:cs="Traditional Arabic"/>
          <w:sz w:val="32"/>
          <w:szCs w:val="32"/>
          <w:rtl/>
          <w:lang w:val="en-US"/>
        </w:rPr>
        <w:t>البالغة (0.80) فأكثر تُعد مؤشرًا مقبولًا عند الاستعانة بخمسة محكمين، في حين يُعد معامل</w:t>
      </w:r>
      <w:r w:rsidR="00E82F66" w:rsidRPr="00E82F66">
        <w:rPr>
          <w:rFonts w:ascii="Traditional Arabic" w:eastAsia="Calibri" w:hAnsi="Traditional Arabic" w:cs="Traditional Arabic"/>
          <w:sz w:val="32"/>
          <w:szCs w:val="32"/>
          <w:lang w:val="en-US"/>
        </w:rPr>
        <w:t xml:space="preserve"> S-CVI/Ave </w:t>
      </w:r>
      <w:r w:rsidR="00E82F66" w:rsidRPr="00E82F66">
        <w:rPr>
          <w:rFonts w:ascii="Traditional Arabic" w:eastAsia="Calibri" w:hAnsi="Traditional Arabic" w:cs="Traditional Arabic"/>
          <w:sz w:val="32"/>
          <w:szCs w:val="32"/>
          <w:rtl/>
          <w:lang w:val="en-US"/>
        </w:rPr>
        <w:t>مقبولًا إذا بلغت قيمته (0.90) فأكثر، وهو ما يعكس ارتفاع درجة اتفاق المحكمين حول ملاءمة فقرات الأداة لقياس متغيرات الدراسة</w:t>
      </w:r>
      <w:r w:rsidR="00E82F66" w:rsidRPr="00E82F66">
        <w:rPr>
          <w:rFonts w:ascii="Traditional Arabic" w:eastAsia="Calibri" w:hAnsi="Traditional Arabic" w:cs="Traditional Arabic"/>
          <w:sz w:val="32"/>
          <w:szCs w:val="32"/>
          <w:lang w:val="en-US"/>
        </w:rPr>
        <w:t xml:space="preserve"> (Polit &amp; Beck, 2006).</w:t>
      </w:r>
    </w:p>
    <w:p w14:paraId="5FE33BE6" w14:textId="6F8BB6BC" w:rsidR="00E84E9F" w:rsidRPr="00E82F66" w:rsidRDefault="00E82F66" w:rsidP="00A407DC">
      <w:pPr>
        <w:bidi/>
        <w:spacing w:after="0" w:line="240" w:lineRule="auto"/>
        <w:jc w:val="center"/>
        <w:rPr>
          <w:rFonts w:ascii="Traditional Arabic" w:eastAsia="Calibri" w:hAnsi="Traditional Arabic" w:cs="Traditional Arabic"/>
          <w:b/>
          <w:bCs/>
          <w:sz w:val="32"/>
          <w:szCs w:val="32"/>
          <w:lang w:val="en-US" w:bidi="ar-JO"/>
        </w:rPr>
      </w:pPr>
      <w:r w:rsidRPr="00E82F66">
        <w:rPr>
          <w:rFonts w:ascii="Traditional Arabic" w:eastAsia="Calibri" w:hAnsi="Traditional Arabic" w:cs="Traditional Arabic"/>
          <w:b/>
          <w:bCs/>
          <w:sz w:val="32"/>
          <w:szCs w:val="32"/>
          <w:rtl/>
          <w:lang w:val="en-US"/>
        </w:rPr>
        <w:t>جدول (3-</w:t>
      </w:r>
      <w:r w:rsidR="00A407DC">
        <w:rPr>
          <w:rFonts w:ascii="Traditional Arabic" w:eastAsia="Calibri" w:hAnsi="Traditional Arabic" w:cs="Traditional Arabic" w:hint="cs"/>
          <w:b/>
          <w:bCs/>
          <w:sz w:val="32"/>
          <w:szCs w:val="32"/>
          <w:rtl/>
          <w:lang w:val="en-US"/>
        </w:rPr>
        <w:t>2</w:t>
      </w:r>
      <w:r w:rsidRPr="00E82F66">
        <w:rPr>
          <w:rFonts w:ascii="Traditional Arabic" w:eastAsia="Calibri" w:hAnsi="Traditional Arabic" w:cs="Traditional Arabic"/>
          <w:b/>
          <w:bCs/>
          <w:sz w:val="32"/>
          <w:szCs w:val="32"/>
          <w:rtl/>
          <w:lang w:val="en-US"/>
        </w:rPr>
        <w:t>) نتائج التحقق من صدق المحتوى باستخدام معامل صدق المحتوى (</w:t>
      </w:r>
      <w:r w:rsidRPr="00E82F66">
        <w:rPr>
          <w:rFonts w:ascii="Traditional Arabic" w:eastAsia="Calibri" w:hAnsi="Traditional Arabic" w:cs="Traditional Arabic"/>
          <w:b/>
          <w:bCs/>
          <w:sz w:val="32"/>
          <w:szCs w:val="32"/>
          <w:lang w:val="en-US"/>
        </w:rPr>
        <w:t>CVI</w:t>
      </w:r>
      <w:r w:rsidRPr="00E82F66">
        <w:rPr>
          <w:rFonts w:ascii="Traditional Arabic" w:eastAsia="Calibri" w:hAnsi="Traditional Arabic" w:cs="Traditional Arabic"/>
          <w:b/>
          <w:bCs/>
          <w:sz w:val="32"/>
          <w:szCs w:val="32"/>
          <w:rtl/>
          <w:lang w:val="en-US"/>
        </w:rPr>
        <w:t>)</w:t>
      </w:r>
    </w:p>
    <w:tbl>
      <w:tblPr>
        <w:tblStyle w:val="a3"/>
        <w:bidiVisual/>
        <w:tblW w:w="0" w:type="auto"/>
        <w:tblLook w:val="04A0" w:firstRow="1" w:lastRow="0" w:firstColumn="1" w:lastColumn="0" w:noHBand="0" w:noVBand="1"/>
      </w:tblPr>
      <w:tblGrid>
        <w:gridCol w:w="3090"/>
        <w:gridCol w:w="1201"/>
        <w:gridCol w:w="2948"/>
        <w:gridCol w:w="1641"/>
        <w:gridCol w:w="696"/>
      </w:tblGrid>
      <w:tr w:rsidR="00E84E9F" w:rsidRPr="00E82F66" w14:paraId="011FC365" w14:textId="77777777" w:rsidTr="00E82F66">
        <w:tc>
          <w:tcPr>
            <w:tcW w:w="0" w:type="auto"/>
            <w:hideMark/>
          </w:tcPr>
          <w:p w14:paraId="2B7DDAE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البعد</w:t>
            </w:r>
          </w:p>
        </w:tc>
        <w:tc>
          <w:tcPr>
            <w:tcW w:w="0" w:type="auto"/>
            <w:hideMark/>
          </w:tcPr>
          <w:p w14:paraId="164446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عدد الفقرات</w:t>
            </w:r>
          </w:p>
        </w:tc>
        <w:tc>
          <w:tcPr>
            <w:tcW w:w="0" w:type="auto"/>
            <w:hideMark/>
          </w:tcPr>
          <w:p w14:paraId="54549A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I-CVI (</w:t>
            </w:r>
            <w:r w:rsidRPr="00E82F66">
              <w:rPr>
                <w:rFonts w:ascii="Traditional Arabic" w:eastAsia="Calibri" w:hAnsi="Traditional Arabic" w:cs="Traditional Arabic"/>
                <w:sz w:val="32"/>
                <w:szCs w:val="32"/>
                <w:rtl/>
                <w:lang w:val="en-US"/>
              </w:rPr>
              <w:t>الحد الأدنى–الحد الأعلى</w:t>
            </w:r>
            <w:r w:rsidRPr="00E82F66">
              <w:rPr>
                <w:rFonts w:ascii="Traditional Arabic" w:eastAsia="Calibri" w:hAnsi="Traditional Arabic" w:cs="Traditional Arabic"/>
                <w:sz w:val="32"/>
                <w:szCs w:val="32"/>
                <w:lang w:val="en-US" w:bidi="ar-JO"/>
              </w:rPr>
              <w:t>)</w:t>
            </w:r>
          </w:p>
        </w:tc>
        <w:tc>
          <w:tcPr>
            <w:tcW w:w="0" w:type="auto"/>
            <w:hideMark/>
          </w:tcPr>
          <w:p w14:paraId="4CB6CD5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S-CVI/Ave</w:t>
            </w:r>
          </w:p>
        </w:tc>
        <w:tc>
          <w:tcPr>
            <w:tcW w:w="0" w:type="auto"/>
            <w:hideMark/>
          </w:tcPr>
          <w:p w14:paraId="1BF0D4C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الحكم</w:t>
            </w:r>
          </w:p>
        </w:tc>
      </w:tr>
      <w:tr w:rsidR="00E84E9F" w:rsidRPr="00E82F66" w14:paraId="2921B249" w14:textId="77777777" w:rsidTr="00E82F66">
        <w:tc>
          <w:tcPr>
            <w:tcW w:w="0" w:type="auto"/>
            <w:hideMark/>
          </w:tcPr>
          <w:p w14:paraId="3A9798C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الوقائية</w:t>
            </w:r>
          </w:p>
        </w:tc>
        <w:tc>
          <w:tcPr>
            <w:tcW w:w="0" w:type="auto"/>
            <w:hideMark/>
          </w:tcPr>
          <w:p w14:paraId="64CD3F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3108CBD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3980CA80"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0.97</w:t>
            </w:r>
          </w:p>
        </w:tc>
        <w:tc>
          <w:tcPr>
            <w:tcW w:w="0" w:type="auto"/>
            <w:hideMark/>
          </w:tcPr>
          <w:p w14:paraId="1CE570B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B472A03" w14:textId="77777777" w:rsidTr="00E82F66">
        <w:tc>
          <w:tcPr>
            <w:tcW w:w="0" w:type="auto"/>
            <w:hideMark/>
          </w:tcPr>
          <w:p w14:paraId="0CC16E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73C7E88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5730A3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7FED829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55B7E7D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3097487D" w14:textId="77777777" w:rsidTr="00E82F66">
        <w:tc>
          <w:tcPr>
            <w:tcW w:w="0" w:type="auto"/>
            <w:hideMark/>
          </w:tcPr>
          <w:p w14:paraId="442359F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B3ECD9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53610B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CF176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666AF71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0DF0973" w14:textId="77777777" w:rsidTr="00E82F66">
        <w:tc>
          <w:tcPr>
            <w:tcW w:w="0" w:type="auto"/>
            <w:hideMark/>
          </w:tcPr>
          <w:p w14:paraId="36C4B04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سلامة المرضى</w:t>
            </w:r>
          </w:p>
        </w:tc>
        <w:tc>
          <w:tcPr>
            <w:tcW w:w="0" w:type="auto"/>
            <w:hideMark/>
          </w:tcPr>
          <w:p w14:paraId="32ABC84C"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032FD5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5D0CBAC5"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4C66051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29E80B50" w14:textId="77777777" w:rsidTr="00E82F66">
        <w:tc>
          <w:tcPr>
            <w:tcW w:w="0" w:type="auto"/>
            <w:hideMark/>
          </w:tcPr>
          <w:p w14:paraId="077A2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lastRenderedPageBreak/>
              <w:t>تقليل تأجيل العمليات والخدمات الطبية</w:t>
            </w:r>
          </w:p>
        </w:tc>
        <w:tc>
          <w:tcPr>
            <w:tcW w:w="0" w:type="auto"/>
            <w:hideMark/>
          </w:tcPr>
          <w:p w14:paraId="7353946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6870B86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75F1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251ECE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147E7A9B" w14:textId="77777777" w:rsidTr="00E82F66">
        <w:tc>
          <w:tcPr>
            <w:tcW w:w="0" w:type="auto"/>
            <w:hideMark/>
          </w:tcPr>
          <w:p w14:paraId="4606C6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الأداة ككل</w:t>
            </w:r>
          </w:p>
        </w:tc>
        <w:tc>
          <w:tcPr>
            <w:tcW w:w="0" w:type="auto"/>
            <w:hideMark/>
          </w:tcPr>
          <w:p w14:paraId="0CEA4BE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29</w:t>
            </w:r>
          </w:p>
        </w:tc>
        <w:tc>
          <w:tcPr>
            <w:tcW w:w="0" w:type="auto"/>
            <w:hideMark/>
          </w:tcPr>
          <w:p w14:paraId="136DC351"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74EAC65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0.98</w:t>
            </w:r>
          </w:p>
        </w:tc>
        <w:tc>
          <w:tcPr>
            <w:tcW w:w="0" w:type="auto"/>
            <w:hideMark/>
          </w:tcPr>
          <w:p w14:paraId="6DC75E6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bl>
    <w:p w14:paraId="586E09CE" w14:textId="77777777" w:rsidR="00E82F66" w:rsidRDefault="00E82F66" w:rsidP="00E84E9F">
      <w:pPr>
        <w:bidi/>
        <w:spacing w:line="360" w:lineRule="auto"/>
        <w:jc w:val="both"/>
        <w:rPr>
          <w:rFonts w:ascii="Traditional Arabic" w:eastAsia="Calibri" w:hAnsi="Traditional Arabic" w:cs="Traditional Arabic"/>
          <w:sz w:val="32"/>
          <w:szCs w:val="32"/>
          <w:rtl/>
          <w:lang w:val="en-US"/>
        </w:rPr>
      </w:pPr>
    </w:p>
    <w:p w14:paraId="163211A2" w14:textId="14E45958" w:rsidR="00E82F66" w:rsidRPr="00E82F66" w:rsidRDefault="00E84E9F" w:rsidP="00A407DC">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w:t>
      </w:r>
      <w:r w:rsidR="00E82F66" w:rsidRPr="00E82F66">
        <w:rPr>
          <w:rFonts w:ascii="Traditional Arabic" w:eastAsia="Calibri" w:hAnsi="Traditional Arabic" w:cs="Traditional Arabic"/>
          <w:sz w:val="32"/>
          <w:szCs w:val="32"/>
          <w:rtl/>
          <w:lang w:val="en-US"/>
        </w:rPr>
        <w:t>من نتائج جدول (3-</w:t>
      </w:r>
      <w:r w:rsidR="00A407DC">
        <w:rPr>
          <w:rFonts w:ascii="Traditional Arabic" w:eastAsia="Calibri" w:hAnsi="Traditional Arabic" w:cs="Traditional Arabic" w:hint="cs"/>
          <w:sz w:val="32"/>
          <w:szCs w:val="32"/>
          <w:rtl/>
          <w:lang w:val="en-US"/>
        </w:rPr>
        <w:t>2</w:t>
      </w:r>
      <w:r w:rsidR="00E82F66" w:rsidRPr="00E82F66">
        <w:rPr>
          <w:rFonts w:ascii="Traditional Arabic" w:eastAsia="Calibri" w:hAnsi="Traditional Arabic" w:cs="Traditional Arabic"/>
          <w:sz w:val="32"/>
          <w:szCs w:val="32"/>
          <w:rtl/>
          <w:lang w:val="en-US"/>
        </w:rPr>
        <w:t xml:space="preserve">) أن جميع أبعاد أداة الدراسة حققت مستويات مرتفعة من صدق المحتوى، إذ تراوحت قيم </w:t>
      </w:r>
      <w:r w:rsidR="00E82F66" w:rsidRPr="00E82F66">
        <w:rPr>
          <w:rFonts w:ascii="Traditional Arabic" w:eastAsia="Calibri" w:hAnsi="Traditional Arabic" w:cs="Traditional Arabic"/>
          <w:sz w:val="32"/>
          <w:szCs w:val="32"/>
          <w:lang w:val="en-US"/>
        </w:rPr>
        <w:t>I-CVI</w:t>
      </w:r>
      <w:r w:rsidR="00E82F66" w:rsidRPr="00E82F66">
        <w:rPr>
          <w:rFonts w:ascii="Traditional Arabic" w:eastAsia="Calibri" w:hAnsi="Traditional Arabic" w:cs="Traditional Arabic"/>
          <w:sz w:val="32"/>
          <w:szCs w:val="32"/>
          <w:rtl/>
          <w:lang w:val="en-US"/>
        </w:rPr>
        <w:t xml:space="preserve"> بين (0.80) و(1.00)، مما يشير إلى وجود درجة عالية من اتفاق المحكمين حول ملاءمة فقرات الأداة وانتمائها للأبعاد التي تقيسها. كما بلغ معامل </w:t>
      </w:r>
      <w:r w:rsidR="00E82F66" w:rsidRPr="00E82F66">
        <w:rPr>
          <w:rFonts w:ascii="Traditional Arabic" w:eastAsia="Calibri" w:hAnsi="Traditional Arabic" w:cs="Traditional Arabic"/>
          <w:sz w:val="32"/>
          <w:szCs w:val="32"/>
          <w:lang w:val="en-US"/>
        </w:rPr>
        <w:t>S-CVI/Ave</w:t>
      </w:r>
      <w:r w:rsidR="00E82F66" w:rsidRPr="00E82F66">
        <w:rPr>
          <w:rFonts w:ascii="Traditional Arabic" w:eastAsia="Calibri" w:hAnsi="Traditional Arabic" w:cs="Traditional Arabic"/>
          <w:sz w:val="32"/>
          <w:szCs w:val="32"/>
          <w:rtl/>
          <w:lang w:val="en-US"/>
        </w:rPr>
        <w:t xml:space="preserve"> للأداة ككل (0.98)، وهي قيمة تجاوزت الحد الأدنى الموصى به في الأدبيات المنهجية، مما يؤكد تمتع أداة الدراسة بدرجة مرتفعة من صدق المحتوى وصلاحيتها لقياس متغيرات الدراسة وتحقيق أهدافها.</w:t>
      </w:r>
    </w:p>
    <w:p w14:paraId="71E88310" w14:textId="08CF538C"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5.5</w:t>
      </w:r>
      <w:r w:rsidRPr="00E82F66">
        <w:rPr>
          <w:rFonts w:ascii="Traditional Arabic" w:eastAsia="Calibri" w:hAnsi="Traditional Arabic" w:cs="Traditional Arabic"/>
          <w:b/>
          <w:bCs/>
          <w:sz w:val="32"/>
          <w:szCs w:val="32"/>
          <w:rtl/>
          <w:lang w:val="en-US" w:bidi="ar-AE"/>
        </w:rPr>
        <w:t xml:space="preserve"> التحقق من صدق البناء باستخدام التحليل العاملي التوكيدي (</w:t>
      </w:r>
      <w:r w:rsidRPr="00E82F66">
        <w:rPr>
          <w:rFonts w:ascii="Traditional Arabic" w:eastAsia="Calibri" w:hAnsi="Traditional Arabic" w:cs="Traditional Arabic"/>
          <w:b/>
          <w:bCs/>
          <w:sz w:val="32"/>
          <w:szCs w:val="32"/>
          <w:lang w:val="en-US" w:bidi="ar-AE"/>
        </w:rPr>
        <w:t>Confirmatory Factor Analysis: CFA</w:t>
      </w:r>
      <w:r w:rsidRPr="00E82F66">
        <w:rPr>
          <w:rFonts w:ascii="Traditional Arabic" w:eastAsia="Calibri" w:hAnsi="Traditional Arabic" w:cs="Traditional Arabic"/>
          <w:b/>
          <w:bCs/>
          <w:sz w:val="32"/>
          <w:szCs w:val="32"/>
          <w:rtl/>
          <w:lang w:val="en-US" w:bidi="ar-AE"/>
        </w:rPr>
        <w:t>)</w:t>
      </w:r>
    </w:p>
    <w:p w14:paraId="0B99C3FD" w14:textId="745459A9"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للتحقق من صدق البناء لأداة الدراسة، تم استخدام التحليل العاملي التوكيدي (</w:t>
      </w:r>
      <w:r w:rsidRPr="00E82F66">
        <w:rPr>
          <w:rFonts w:ascii="Traditional Arabic" w:eastAsia="Calibri" w:hAnsi="Traditional Arabic" w:cs="Traditional Arabic"/>
          <w:sz w:val="32"/>
          <w:szCs w:val="32"/>
          <w:lang w:val="en-US"/>
        </w:rPr>
        <w:t>Confirmatory Factor Analysis: CFA</w:t>
      </w:r>
      <w:r w:rsidRPr="00E82F66">
        <w:rPr>
          <w:rFonts w:ascii="Traditional Arabic" w:eastAsia="Calibri" w:hAnsi="Traditional Arabic" w:cs="Traditional Arabic"/>
          <w:sz w:val="32"/>
          <w:szCs w:val="32"/>
          <w:rtl/>
          <w:lang w:val="en-US"/>
        </w:rPr>
        <w:t>)، والذي يُعد من أكثر الأساليب الإحصائية استخدامًا للتحقق من مدى توافق البيانات الميدانية مع النموذج النظري المقترح، والتأكد من أن فقرات أداة الدراسة تقيس الأبعاد الكامنة التي صُممت لقياسها. ويهدف هذا التحليل إلى اختبار مدى ملاءمة نموذج القياس للبيانات، والتحقق من صلاحية العلاقات بين الفقرات والأبعاد النظرية، بما يدعم صدق البناء لأداة الدراسة</w:t>
      </w:r>
      <w:r w:rsidRPr="00E82F66">
        <w:rPr>
          <w:rFonts w:ascii="Traditional Arabic" w:eastAsia="Calibri" w:hAnsi="Traditional Arabic" w:cs="Traditional Arabic"/>
          <w:sz w:val="32"/>
          <w:szCs w:val="32"/>
          <w:lang w:val="en-US" w:bidi="ar-AE"/>
        </w:rPr>
        <w:t>.</w:t>
      </w:r>
    </w:p>
    <w:p w14:paraId="25006BEC" w14:textId="145C0EE0"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وقد تم استخدام برنامج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 لإجراء التحليل العاملي التوكيدي، وذلك من خلال فحص مؤشرات جودة مطابقة نموذج القياس (</w:t>
      </w:r>
      <w:r w:rsidRPr="00E82F66">
        <w:rPr>
          <w:rFonts w:ascii="Traditional Arabic" w:eastAsia="Calibri" w:hAnsi="Traditional Arabic" w:cs="Traditional Arabic"/>
          <w:sz w:val="32"/>
          <w:szCs w:val="32"/>
          <w:lang w:val="en-US"/>
        </w:rPr>
        <w:t>Model Fit Indices</w:t>
      </w:r>
      <w:r w:rsidRPr="00E82F66">
        <w:rPr>
          <w:rFonts w:ascii="Traditional Arabic" w:eastAsia="Calibri" w:hAnsi="Traditional Arabic" w:cs="Traditional Arabic"/>
          <w:sz w:val="32"/>
          <w:szCs w:val="32"/>
          <w:rtl/>
          <w:lang w:val="en-US"/>
        </w:rPr>
        <w:t>)، ومعاملات التشبع العاملي (</w:t>
      </w:r>
      <w:r w:rsidRPr="00E82F66">
        <w:rPr>
          <w:rFonts w:ascii="Traditional Arabic" w:eastAsia="Calibri" w:hAnsi="Traditional Arabic" w:cs="Traditional Arabic"/>
          <w:sz w:val="32"/>
          <w:szCs w:val="32"/>
          <w:lang w:val="en-US"/>
        </w:rPr>
        <w:t xml:space="preserve">Factor </w:t>
      </w:r>
      <w:r w:rsidRPr="00E82F66">
        <w:rPr>
          <w:rFonts w:ascii="Traditional Arabic" w:eastAsia="Calibri" w:hAnsi="Traditional Arabic" w:cs="Traditional Arabic"/>
          <w:sz w:val="32"/>
          <w:szCs w:val="32"/>
          <w:lang w:val="en-US"/>
        </w:rPr>
        <w:lastRenderedPageBreak/>
        <w:t>Loadings</w:t>
      </w:r>
      <w:r w:rsidRPr="00E82F66">
        <w:rPr>
          <w:rFonts w:ascii="Traditional Arabic" w:eastAsia="Calibri" w:hAnsi="Traditional Arabic" w:cs="Traditional Arabic"/>
          <w:sz w:val="32"/>
          <w:szCs w:val="32"/>
          <w:rtl/>
          <w:lang w:val="en-US"/>
        </w:rPr>
        <w:t>)، ومتوسط التباين المستخرج (</w:t>
      </w:r>
      <w:r w:rsidRPr="00E82F66">
        <w:rPr>
          <w:rFonts w:ascii="Traditional Arabic" w:eastAsia="Calibri" w:hAnsi="Traditional Arabic" w:cs="Traditional Arabic"/>
          <w:sz w:val="32"/>
          <w:szCs w:val="32"/>
          <w:lang w:val="en-US"/>
        </w:rPr>
        <w:t>Average Variance Extracted: AVE</w:t>
      </w:r>
      <w:r w:rsidRPr="00E82F66">
        <w:rPr>
          <w:rFonts w:ascii="Traditional Arabic" w:eastAsia="Calibri" w:hAnsi="Traditional Arabic" w:cs="Traditional Arabic"/>
          <w:sz w:val="32"/>
          <w:szCs w:val="32"/>
          <w:rtl/>
          <w:lang w:val="en-US"/>
        </w:rPr>
        <w:t>)، للتحقق من صدق البناء لأداة الدراسة.</w:t>
      </w:r>
    </w:p>
    <w:p w14:paraId="1C38FA41" w14:textId="2ED1A39D"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w:t>
      </w:r>
      <w:r w:rsidR="00A407DC">
        <w:rPr>
          <w:rFonts w:ascii="Traditional Arabic" w:eastAsia="Calibri" w:hAnsi="Traditional Arabic" w:cs="Traditional Arabic" w:hint="cs"/>
          <w:sz w:val="32"/>
          <w:szCs w:val="32"/>
          <w:rtl/>
          <w:lang w:val="en-US"/>
        </w:rPr>
        <w:t>3</w:t>
      </w:r>
      <w:r w:rsidRPr="00E82F66">
        <w:rPr>
          <w:rFonts w:ascii="Traditional Arabic" w:eastAsia="Calibri" w:hAnsi="Traditional Arabic" w:cs="Traditional Arabic"/>
          <w:sz w:val="32"/>
          <w:szCs w:val="32"/>
          <w:rtl/>
          <w:lang w:val="en-US"/>
        </w:rPr>
        <w:t>) مؤشرات جودة مطابقة نموذج القياس</w:t>
      </w:r>
      <w:r w:rsidRPr="00E82F66">
        <w:rPr>
          <w:rFonts w:ascii="Traditional Arabic" w:eastAsia="Calibri" w:hAnsi="Traditional Arabic" w:cs="Traditional Arabic"/>
          <w:sz w:val="32"/>
          <w:szCs w:val="32"/>
          <w:lang w:val="en-US" w:bidi="ar-AE"/>
        </w:rPr>
        <w:t xml:space="preserve"> (Model Fit Indices)</w:t>
      </w:r>
    </w:p>
    <w:tbl>
      <w:tblPr>
        <w:tblStyle w:val="a3"/>
        <w:bidiVisual/>
        <w:tblW w:w="5000" w:type="pct"/>
        <w:tblLook w:val="04A0" w:firstRow="1" w:lastRow="0" w:firstColumn="1" w:lastColumn="0" w:noHBand="0" w:noVBand="1"/>
      </w:tblPr>
      <w:tblGrid>
        <w:gridCol w:w="2762"/>
        <w:gridCol w:w="2335"/>
        <w:gridCol w:w="3286"/>
        <w:gridCol w:w="1193"/>
      </w:tblGrid>
      <w:tr w:rsidR="00E82F66" w:rsidRPr="00E82F66" w14:paraId="2EB50476" w14:textId="77777777" w:rsidTr="00E82F66">
        <w:tc>
          <w:tcPr>
            <w:tcW w:w="1442" w:type="pct"/>
            <w:hideMark/>
          </w:tcPr>
          <w:p w14:paraId="50E547F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المؤشر</w:t>
            </w:r>
          </w:p>
        </w:tc>
        <w:tc>
          <w:tcPr>
            <w:tcW w:w="1219" w:type="pct"/>
            <w:hideMark/>
          </w:tcPr>
          <w:p w14:paraId="070672A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القيمة المحسوبة</w:t>
            </w:r>
          </w:p>
        </w:tc>
        <w:tc>
          <w:tcPr>
            <w:tcW w:w="1716" w:type="pct"/>
            <w:hideMark/>
          </w:tcPr>
          <w:p w14:paraId="1D6817D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القيمة المعيارية المقبولة</w:t>
            </w:r>
          </w:p>
        </w:tc>
        <w:tc>
          <w:tcPr>
            <w:tcW w:w="623" w:type="pct"/>
            <w:hideMark/>
          </w:tcPr>
          <w:p w14:paraId="3D66E0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AF1A9CF" w14:textId="77777777" w:rsidTr="00E82F66">
        <w:tc>
          <w:tcPr>
            <w:tcW w:w="1442" w:type="pct"/>
            <w:hideMark/>
          </w:tcPr>
          <w:p w14:paraId="7178F23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CMIN/DF</w:t>
            </w:r>
          </w:p>
        </w:tc>
        <w:tc>
          <w:tcPr>
            <w:tcW w:w="1219" w:type="pct"/>
            <w:hideMark/>
          </w:tcPr>
          <w:p w14:paraId="47F10F8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2.184</w:t>
            </w:r>
          </w:p>
        </w:tc>
        <w:tc>
          <w:tcPr>
            <w:tcW w:w="1716" w:type="pct"/>
            <w:hideMark/>
          </w:tcPr>
          <w:p w14:paraId="05EDAF4C" w14:textId="49CA322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3.00</w:t>
            </w:r>
          </w:p>
        </w:tc>
        <w:tc>
          <w:tcPr>
            <w:tcW w:w="623" w:type="pct"/>
            <w:hideMark/>
          </w:tcPr>
          <w:p w14:paraId="0A6AB6C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0905E80" w14:textId="77777777" w:rsidTr="00E82F66">
        <w:tc>
          <w:tcPr>
            <w:tcW w:w="1442" w:type="pct"/>
            <w:hideMark/>
          </w:tcPr>
          <w:p w14:paraId="640C3DA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GFI</w:t>
            </w:r>
          </w:p>
        </w:tc>
        <w:tc>
          <w:tcPr>
            <w:tcW w:w="1219" w:type="pct"/>
            <w:hideMark/>
          </w:tcPr>
          <w:p w14:paraId="44A6B04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0.924</w:t>
            </w:r>
          </w:p>
        </w:tc>
        <w:tc>
          <w:tcPr>
            <w:tcW w:w="1716" w:type="pct"/>
            <w:hideMark/>
          </w:tcPr>
          <w:p w14:paraId="49C63205" w14:textId="7B02DB4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5379BE8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7E89E26B" w14:textId="77777777" w:rsidTr="00E82F66">
        <w:tc>
          <w:tcPr>
            <w:tcW w:w="1442" w:type="pct"/>
            <w:hideMark/>
          </w:tcPr>
          <w:p w14:paraId="3D86133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AGFI</w:t>
            </w:r>
          </w:p>
        </w:tc>
        <w:tc>
          <w:tcPr>
            <w:tcW w:w="1219" w:type="pct"/>
            <w:hideMark/>
          </w:tcPr>
          <w:p w14:paraId="5B9C00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0.903</w:t>
            </w:r>
          </w:p>
        </w:tc>
        <w:tc>
          <w:tcPr>
            <w:tcW w:w="1716" w:type="pct"/>
            <w:hideMark/>
          </w:tcPr>
          <w:p w14:paraId="0ABC793B" w14:textId="59D169F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B837E1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2CFF227F" w14:textId="77777777" w:rsidTr="00E82F66">
        <w:tc>
          <w:tcPr>
            <w:tcW w:w="1442" w:type="pct"/>
            <w:hideMark/>
          </w:tcPr>
          <w:p w14:paraId="0AC0127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NFI</w:t>
            </w:r>
          </w:p>
        </w:tc>
        <w:tc>
          <w:tcPr>
            <w:tcW w:w="1219" w:type="pct"/>
            <w:hideMark/>
          </w:tcPr>
          <w:p w14:paraId="05903E5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0.944</w:t>
            </w:r>
          </w:p>
        </w:tc>
        <w:tc>
          <w:tcPr>
            <w:tcW w:w="1716" w:type="pct"/>
            <w:hideMark/>
          </w:tcPr>
          <w:p w14:paraId="09B529F0" w14:textId="1925B75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06169FD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D955137" w14:textId="77777777" w:rsidTr="00E82F66">
        <w:tc>
          <w:tcPr>
            <w:tcW w:w="1442" w:type="pct"/>
            <w:hideMark/>
          </w:tcPr>
          <w:p w14:paraId="52DB33B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IFI</w:t>
            </w:r>
          </w:p>
        </w:tc>
        <w:tc>
          <w:tcPr>
            <w:tcW w:w="1219" w:type="pct"/>
            <w:hideMark/>
          </w:tcPr>
          <w:p w14:paraId="3E5C85B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0.968</w:t>
            </w:r>
          </w:p>
        </w:tc>
        <w:tc>
          <w:tcPr>
            <w:tcW w:w="1716" w:type="pct"/>
            <w:hideMark/>
          </w:tcPr>
          <w:p w14:paraId="7E82B630" w14:textId="7E5065A0"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794412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263408D3" w14:textId="77777777" w:rsidTr="00E82F66">
        <w:tc>
          <w:tcPr>
            <w:tcW w:w="1442" w:type="pct"/>
            <w:hideMark/>
          </w:tcPr>
          <w:p w14:paraId="345953D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TLI</w:t>
            </w:r>
          </w:p>
        </w:tc>
        <w:tc>
          <w:tcPr>
            <w:tcW w:w="1219" w:type="pct"/>
            <w:hideMark/>
          </w:tcPr>
          <w:p w14:paraId="61F152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0.962</w:t>
            </w:r>
          </w:p>
        </w:tc>
        <w:tc>
          <w:tcPr>
            <w:tcW w:w="1716" w:type="pct"/>
            <w:hideMark/>
          </w:tcPr>
          <w:p w14:paraId="01F85B44" w14:textId="63AFBC8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2FD1FF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5097A673" w14:textId="77777777" w:rsidTr="00E82F66">
        <w:tc>
          <w:tcPr>
            <w:tcW w:w="1442" w:type="pct"/>
            <w:hideMark/>
          </w:tcPr>
          <w:p w14:paraId="35434D9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CFI</w:t>
            </w:r>
          </w:p>
        </w:tc>
        <w:tc>
          <w:tcPr>
            <w:tcW w:w="1219" w:type="pct"/>
            <w:hideMark/>
          </w:tcPr>
          <w:p w14:paraId="720534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0.967</w:t>
            </w:r>
          </w:p>
        </w:tc>
        <w:tc>
          <w:tcPr>
            <w:tcW w:w="1716" w:type="pct"/>
            <w:hideMark/>
          </w:tcPr>
          <w:p w14:paraId="4CAA195B" w14:textId="252CD9A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349B9B0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71F0D18D" w14:textId="77777777" w:rsidTr="00E82F66">
        <w:tc>
          <w:tcPr>
            <w:tcW w:w="1442" w:type="pct"/>
            <w:hideMark/>
          </w:tcPr>
          <w:p w14:paraId="64D95F1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RMSEA</w:t>
            </w:r>
          </w:p>
        </w:tc>
        <w:tc>
          <w:tcPr>
            <w:tcW w:w="1219" w:type="pct"/>
            <w:hideMark/>
          </w:tcPr>
          <w:p w14:paraId="0222FDD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0.047</w:t>
            </w:r>
          </w:p>
        </w:tc>
        <w:tc>
          <w:tcPr>
            <w:tcW w:w="1716" w:type="pct"/>
            <w:hideMark/>
          </w:tcPr>
          <w:p w14:paraId="1370987E" w14:textId="08AC239C"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6196D18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bl>
    <w:p w14:paraId="43D151C0" w14:textId="77777777"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المصدر: 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43C3D3EA"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4A815EB" w14:textId="01226EBC"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يتضح من نتائج جدول (3-</w:t>
      </w:r>
      <w:r w:rsidR="00A407DC">
        <w:rPr>
          <w:rFonts w:ascii="Traditional Arabic" w:eastAsia="Calibri" w:hAnsi="Traditional Arabic" w:cs="Traditional Arabic" w:hint="cs"/>
          <w:sz w:val="32"/>
          <w:szCs w:val="32"/>
          <w:rtl/>
          <w:lang w:val="en-US"/>
        </w:rPr>
        <w:t>3</w:t>
      </w:r>
      <w:r w:rsidRPr="00E82F66">
        <w:rPr>
          <w:rFonts w:ascii="Traditional Arabic" w:eastAsia="Calibri" w:hAnsi="Traditional Arabic" w:cs="Traditional Arabic"/>
          <w:sz w:val="32"/>
          <w:szCs w:val="32"/>
          <w:rtl/>
          <w:lang w:val="en-US"/>
        </w:rPr>
        <w:t xml:space="preserve">) أن جميع مؤشرات جودة مطابقة نموذج القياس جاءت ضمن الحدود المعيارية الموصى بها في الأدبيات المنهجية، إذ بلغت قيمة </w:t>
      </w:r>
      <w:r w:rsidRPr="00E82F66">
        <w:rPr>
          <w:rFonts w:ascii="Traditional Arabic" w:eastAsia="Calibri" w:hAnsi="Traditional Arabic" w:cs="Traditional Arabic"/>
          <w:sz w:val="32"/>
          <w:szCs w:val="32"/>
          <w:lang w:val="en-US"/>
        </w:rPr>
        <w:t>CMIN/DF (2.184</w:t>
      </w:r>
      <w:r w:rsidRPr="00E82F66">
        <w:rPr>
          <w:rFonts w:ascii="Traditional Arabic" w:eastAsia="Calibri" w:hAnsi="Traditional Arabic" w:cs="Traditional Arabic"/>
          <w:sz w:val="32"/>
          <w:szCs w:val="32"/>
          <w:rtl/>
          <w:lang w:val="en-US"/>
        </w:rPr>
        <w:t>)، وهي أقل من الحد الأعلى المقبول (3.00)، مما يشير إلى ملاءمة نموذج القياس للبيانات. كما تجاوزت قيم مؤشرات المطابقة (</w:t>
      </w:r>
      <w:r w:rsidRPr="00E82F66">
        <w:rPr>
          <w:rFonts w:ascii="Traditional Arabic" w:eastAsia="Calibri" w:hAnsi="Traditional Arabic" w:cs="Traditional Arabic"/>
          <w:sz w:val="32"/>
          <w:szCs w:val="32"/>
          <w:lang w:val="en-US"/>
        </w:rPr>
        <w:t>GFI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AGFI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NFI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IFI</w:t>
      </w:r>
      <w:r w:rsidRPr="00E82F66">
        <w:rPr>
          <w:rFonts w:ascii="Traditional Arabic" w:eastAsia="Calibri" w:hAnsi="Traditional Arabic" w:cs="Traditional Arabic"/>
          <w:sz w:val="32"/>
          <w:szCs w:val="32"/>
          <w:rtl/>
          <w:lang w:val="en-US"/>
        </w:rPr>
        <w:t xml:space="preserve">، </w:t>
      </w:r>
      <w:r w:rsidRPr="00E82F66">
        <w:rPr>
          <w:rFonts w:ascii="Traditional Arabic" w:eastAsia="Calibri" w:hAnsi="Traditional Arabic" w:cs="Traditional Arabic"/>
          <w:sz w:val="32"/>
          <w:szCs w:val="32"/>
          <w:lang w:val="en-US"/>
        </w:rPr>
        <w:t>TLI</w:t>
      </w:r>
      <w:r w:rsidRPr="00E82F66">
        <w:rPr>
          <w:rFonts w:ascii="Traditional Arabic" w:eastAsia="Calibri" w:hAnsi="Traditional Arabic" w:cs="Traditional Arabic"/>
          <w:sz w:val="32"/>
          <w:szCs w:val="32"/>
          <w:rtl/>
          <w:lang w:val="en-US"/>
        </w:rPr>
        <w:t>، و</w:t>
      </w:r>
      <w:r w:rsidRPr="00E82F66">
        <w:rPr>
          <w:rFonts w:ascii="Traditional Arabic" w:eastAsia="Calibri" w:hAnsi="Traditional Arabic" w:cs="Traditional Arabic"/>
          <w:sz w:val="32"/>
          <w:szCs w:val="32"/>
          <w:lang w:val="en-US"/>
        </w:rPr>
        <w:t>CFI</w:t>
      </w:r>
      <w:r w:rsidRPr="00E82F66">
        <w:rPr>
          <w:rFonts w:ascii="Traditional Arabic" w:eastAsia="Calibri" w:hAnsi="Traditional Arabic" w:cs="Traditional Arabic"/>
          <w:sz w:val="32"/>
          <w:szCs w:val="32"/>
          <w:rtl/>
          <w:lang w:val="en-US"/>
        </w:rPr>
        <w:t xml:space="preserve">) الحد الأدنى المقبول البالغ (0.90)، مما يعكس ارتفاع مستوى جودة مطابقة النموذج. كذلك بلغت قيمة </w:t>
      </w:r>
      <w:r w:rsidRPr="00E82F66">
        <w:rPr>
          <w:rFonts w:ascii="Traditional Arabic" w:eastAsia="Calibri" w:hAnsi="Traditional Arabic" w:cs="Traditional Arabic"/>
          <w:sz w:val="32"/>
          <w:szCs w:val="32"/>
          <w:lang w:val="en-US"/>
        </w:rPr>
        <w:t>RMSEA (0.047</w:t>
      </w:r>
      <w:r w:rsidRPr="00E82F66">
        <w:rPr>
          <w:rFonts w:ascii="Traditional Arabic" w:eastAsia="Calibri" w:hAnsi="Traditional Arabic" w:cs="Traditional Arabic"/>
          <w:sz w:val="32"/>
          <w:szCs w:val="32"/>
          <w:rtl/>
          <w:lang w:val="en-US"/>
        </w:rPr>
        <w:t>)، وهي أقل من الحد الأعلى المقبول (0.08)، مما يدل على انخفاض مقدار خطأ التقريب وارتفاع جودة النموذج. وبناءً على ذلك، تشير النتائج إلى أن نموذج القياس يتمتع بدرجة جيدة من المطابقة، الأمر الذي يدعم التحقق من صدق البناء لأداة الدراسة ويؤكد صلاحيتها لقياس متغيرات الدراسة</w:t>
      </w:r>
      <w:r w:rsidRPr="00E82F66">
        <w:rPr>
          <w:rFonts w:ascii="Traditional Arabic" w:eastAsia="Calibri" w:hAnsi="Traditional Arabic" w:cs="Traditional Arabic"/>
          <w:sz w:val="32"/>
          <w:szCs w:val="32"/>
          <w:lang w:val="en-US" w:bidi="ar-AE"/>
        </w:rPr>
        <w:t>.</w:t>
      </w:r>
    </w:p>
    <w:p w14:paraId="5FD8DCDD" w14:textId="6A78C8D1"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جدول (3-</w:t>
      </w:r>
      <w:r w:rsidR="00A407DC">
        <w:rPr>
          <w:rFonts w:ascii="Traditional Arabic" w:eastAsia="Calibri" w:hAnsi="Traditional Arabic" w:cs="Traditional Arabic" w:hint="cs"/>
          <w:sz w:val="32"/>
          <w:szCs w:val="32"/>
          <w:rtl/>
          <w:lang w:val="en-US"/>
        </w:rPr>
        <w:t>4</w:t>
      </w:r>
      <w:r w:rsidRPr="00E82F66">
        <w:rPr>
          <w:rFonts w:ascii="Traditional Arabic" w:eastAsia="Calibri" w:hAnsi="Traditional Arabic" w:cs="Traditional Arabic"/>
          <w:sz w:val="32"/>
          <w:szCs w:val="32"/>
          <w:rtl/>
          <w:lang w:val="en-US"/>
        </w:rPr>
        <w:t>) معاملات التشبع العاملي المعيارية</w:t>
      </w:r>
      <w:r w:rsidRPr="00E82F66">
        <w:rPr>
          <w:rFonts w:ascii="Traditional Arabic" w:eastAsia="Calibri" w:hAnsi="Traditional Arabic" w:cs="Traditional Arabic"/>
          <w:sz w:val="32"/>
          <w:szCs w:val="32"/>
          <w:lang w:val="en-US" w:bidi="ar-AE"/>
        </w:rPr>
        <w:t xml:space="preserve"> (Standardized Factor Loadings)</w:t>
      </w:r>
    </w:p>
    <w:tbl>
      <w:tblPr>
        <w:tblStyle w:val="a3"/>
        <w:bidiVisual/>
        <w:tblW w:w="0" w:type="auto"/>
        <w:tblLook w:val="04A0" w:firstRow="1" w:lastRow="0" w:firstColumn="1" w:lastColumn="0" w:noHBand="0" w:noVBand="1"/>
      </w:tblPr>
      <w:tblGrid>
        <w:gridCol w:w="3395"/>
        <w:gridCol w:w="1255"/>
        <w:gridCol w:w="2024"/>
        <w:gridCol w:w="2148"/>
        <w:gridCol w:w="696"/>
      </w:tblGrid>
      <w:tr w:rsidR="00E82F66" w:rsidRPr="00E82F66" w14:paraId="4E9AC995" w14:textId="77777777" w:rsidTr="00E82F66">
        <w:tc>
          <w:tcPr>
            <w:tcW w:w="0" w:type="auto"/>
            <w:hideMark/>
          </w:tcPr>
          <w:p w14:paraId="1D9DE5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0" w:type="auto"/>
            <w:hideMark/>
          </w:tcPr>
          <w:p w14:paraId="4D67EFB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0" w:type="auto"/>
            <w:hideMark/>
          </w:tcPr>
          <w:p w14:paraId="276540B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أقل قيمة تحميل عاملي</w:t>
            </w:r>
          </w:p>
        </w:tc>
        <w:tc>
          <w:tcPr>
            <w:tcW w:w="0" w:type="auto"/>
            <w:hideMark/>
          </w:tcPr>
          <w:p w14:paraId="726F72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أعلى قيمة تحميل عاملي</w:t>
            </w:r>
          </w:p>
        </w:tc>
        <w:tc>
          <w:tcPr>
            <w:tcW w:w="0" w:type="auto"/>
            <w:hideMark/>
          </w:tcPr>
          <w:p w14:paraId="388E854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54B0BBF0" w14:textId="77777777" w:rsidTr="00E82F66">
        <w:tc>
          <w:tcPr>
            <w:tcW w:w="0" w:type="auto"/>
            <w:hideMark/>
          </w:tcPr>
          <w:p w14:paraId="2334311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الوقائية</w:t>
            </w:r>
          </w:p>
        </w:tc>
        <w:tc>
          <w:tcPr>
            <w:tcW w:w="0" w:type="auto"/>
            <w:hideMark/>
          </w:tcPr>
          <w:p w14:paraId="244C49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1D99525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0.741</w:t>
            </w:r>
          </w:p>
        </w:tc>
        <w:tc>
          <w:tcPr>
            <w:tcW w:w="0" w:type="auto"/>
            <w:hideMark/>
          </w:tcPr>
          <w:p w14:paraId="1DF8256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0.892</w:t>
            </w:r>
          </w:p>
        </w:tc>
        <w:tc>
          <w:tcPr>
            <w:tcW w:w="0" w:type="auto"/>
            <w:hideMark/>
          </w:tcPr>
          <w:p w14:paraId="53BEAA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16EC835" w14:textId="77777777" w:rsidTr="00E82F66">
        <w:tc>
          <w:tcPr>
            <w:tcW w:w="0" w:type="auto"/>
            <w:hideMark/>
          </w:tcPr>
          <w:p w14:paraId="1B26BE9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386B00A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7C05A17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0.756</w:t>
            </w:r>
          </w:p>
        </w:tc>
        <w:tc>
          <w:tcPr>
            <w:tcW w:w="0" w:type="auto"/>
            <w:hideMark/>
          </w:tcPr>
          <w:p w14:paraId="7F0F7F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0.914</w:t>
            </w:r>
          </w:p>
        </w:tc>
        <w:tc>
          <w:tcPr>
            <w:tcW w:w="0" w:type="auto"/>
            <w:hideMark/>
          </w:tcPr>
          <w:p w14:paraId="10A9E97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4319DB1" w14:textId="77777777" w:rsidTr="00E82F66">
        <w:tc>
          <w:tcPr>
            <w:tcW w:w="0" w:type="auto"/>
            <w:hideMark/>
          </w:tcPr>
          <w:p w14:paraId="72037FC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0B48FB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9E68A5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0.718</w:t>
            </w:r>
          </w:p>
        </w:tc>
        <w:tc>
          <w:tcPr>
            <w:tcW w:w="0" w:type="auto"/>
            <w:hideMark/>
          </w:tcPr>
          <w:p w14:paraId="6C550D3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0.873</w:t>
            </w:r>
          </w:p>
        </w:tc>
        <w:tc>
          <w:tcPr>
            <w:tcW w:w="0" w:type="auto"/>
            <w:hideMark/>
          </w:tcPr>
          <w:p w14:paraId="15E8848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8393912" w14:textId="77777777" w:rsidTr="00E82F66">
        <w:tc>
          <w:tcPr>
            <w:tcW w:w="0" w:type="auto"/>
            <w:hideMark/>
          </w:tcPr>
          <w:p w14:paraId="4E7B56E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سلامة المرضى</w:t>
            </w:r>
          </w:p>
        </w:tc>
        <w:tc>
          <w:tcPr>
            <w:tcW w:w="0" w:type="auto"/>
            <w:hideMark/>
          </w:tcPr>
          <w:p w14:paraId="6CC2DB2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A5F2AB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0.733</w:t>
            </w:r>
          </w:p>
        </w:tc>
        <w:tc>
          <w:tcPr>
            <w:tcW w:w="0" w:type="auto"/>
            <w:hideMark/>
          </w:tcPr>
          <w:p w14:paraId="7FF648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0.901</w:t>
            </w:r>
          </w:p>
        </w:tc>
        <w:tc>
          <w:tcPr>
            <w:tcW w:w="0" w:type="auto"/>
            <w:hideMark/>
          </w:tcPr>
          <w:p w14:paraId="2636326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6438176" w14:textId="77777777" w:rsidTr="00E82F66">
        <w:tc>
          <w:tcPr>
            <w:tcW w:w="0" w:type="auto"/>
            <w:hideMark/>
          </w:tcPr>
          <w:p w14:paraId="164F27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تقليل تأجيل العمليات والخدمات الطبية</w:t>
            </w:r>
          </w:p>
        </w:tc>
        <w:tc>
          <w:tcPr>
            <w:tcW w:w="0" w:type="auto"/>
            <w:hideMark/>
          </w:tcPr>
          <w:p w14:paraId="75A0C50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33B4233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0.762</w:t>
            </w:r>
          </w:p>
        </w:tc>
        <w:tc>
          <w:tcPr>
            <w:tcW w:w="0" w:type="auto"/>
            <w:hideMark/>
          </w:tcPr>
          <w:p w14:paraId="20B6F3B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0.887</w:t>
            </w:r>
          </w:p>
        </w:tc>
        <w:tc>
          <w:tcPr>
            <w:tcW w:w="0" w:type="auto"/>
            <w:hideMark/>
          </w:tcPr>
          <w:p w14:paraId="25B11A1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02DC5218" w14:textId="38146520"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rtl/>
          <w:lang w:val="en-US" w:bidi="ar-AE"/>
        </w:rPr>
        <w:t xml:space="preserve">: إعداد الباحث بالاعتماد على نتائج تحليل </w:t>
      </w:r>
      <w:r w:rsidRPr="00E82F66">
        <w:rPr>
          <w:rFonts w:ascii="Traditional Arabic" w:eastAsia="Calibri" w:hAnsi="Traditional Arabic" w:cs="Traditional Arabic"/>
          <w:sz w:val="32"/>
          <w:szCs w:val="32"/>
          <w:lang w:val="en-US" w:bidi="ar-AE"/>
        </w:rPr>
        <w:t>AMOS</w:t>
      </w:r>
      <w:r w:rsidRPr="00E82F66">
        <w:rPr>
          <w:rFonts w:ascii="Traditional Arabic" w:eastAsia="Calibri" w:hAnsi="Traditional Arabic" w:cs="Traditional Arabic"/>
          <w:sz w:val="32"/>
          <w:szCs w:val="32"/>
          <w:rtl/>
          <w:lang w:val="en-US" w:bidi="ar-AE"/>
        </w:rPr>
        <w:t xml:space="preserve"> (الإصدار 29).</w:t>
      </w:r>
    </w:p>
    <w:p w14:paraId="01785FC2"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08BEBB34" w14:textId="098894A3"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يتضح من نتائج جدول (3-</w:t>
      </w:r>
      <w:r w:rsidR="00A407DC">
        <w:rPr>
          <w:rFonts w:ascii="Traditional Arabic" w:eastAsia="Calibri" w:hAnsi="Traditional Arabic" w:cs="Traditional Arabic" w:hint="cs"/>
          <w:sz w:val="32"/>
          <w:szCs w:val="32"/>
          <w:rtl/>
          <w:lang w:val="en-US"/>
        </w:rPr>
        <w:t>4</w:t>
      </w:r>
      <w:r w:rsidRPr="00E82F66">
        <w:rPr>
          <w:rFonts w:ascii="Traditional Arabic" w:eastAsia="Calibri" w:hAnsi="Traditional Arabic" w:cs="Traditional Arabic"/>
          <w:sz w:val="32"/>
          <w:szCs w:val="32"/>
          <w:rtl/>
          <w:lang w:val="en-US"/>
        </w:rPr>
        <w:t>) أن جميع معاملات التشبع العاملي المعيارية لفقرات أداة الدراسة جاءت أعلى من الحد الأدنى المقبول البالغ (0.70)، إذ تراوحت قيمها بين (0.718) و(0.914)، مما يدل على وجود ارتباط قوي بين الفقرات والأبعاد التي تنتمي إليها، ويشير إلى أن جميع الفقرات تمثل متغيراتها الكامنة بصورة جيدة. وتؤكد هذه النتائج أن فقرات أداة الدراسة تتمتع بدرجة مرتفعة من الاتساق مع الأبعاد النظرية التي تقيسها، الأمر الذي يدعم صدق البناء للأداة.</w:t>
      </w:r>
    </w:p>
    <w:p w14:paraId="14E9FD42" w14:textId="796F1CA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7192C38" w14:textId="5FB1A4F9"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 xml:space="preserve"> ثبات أداة الدراسة (</w:t>
      </w:r>
      <w:r w:rsidRPr="00E82F66">
        <w:rPr>
          <w:rFonts w:ascii="Traditional Arabic" w:eastAsia="Calibri" w:hAnsi="Traditional Arabic" w:cs="Traditional Arabic"/>
          <w:b/>
          <w:bCs/>
          <w:sz w:val="32"/>
          <w:szCs w:val="32"/>
          <w:lang w:val="en-US" w:bidi="ar-AE"/>
        </w:rPr>
        <w:t>Reliability of the Instrument</w:t>
      </w:r>
      <w:r w:rsidRPr="00E82F66">
        <w:rPr>
          <w:rFonts w:ascii="Traditional Arabic" w:eastAsia="Calibri" w:hAnsi="Traditional Arabic" w:cs="Traditional Arabic"/>
          <w:b/>
          <w:bCs/>
          <w:sz w:val="32"/>
          <w:szCs w:val="32"/>
          <w:rtl/>
          <w:lang w:val="en-US" w:bidi="ar-AE"/>
        </w:rPr>
        <w:t>)</w:t>
      </w:r>
    </w:p>
    <w:p w14:paraId="3D2C1D92" w14:textId="546A5117" w:rsidR="00E82F66" w:rsidRDefault="00E82F66" w:rsidP="00E82F66">
      <w:pPr>
        <w:bidi/>
        <w:spacing w:line="36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يُعد الثبات أحد المؤشرات الأساسية للحكم على جودة أدوات القياس، إذ يعكس مدى اتساق الفقرات في قياس المتغيرات المستهدفة، وقدرة الأداة على إعطاء نتائج متقاربة عند تطبيقها في ظروف متماثلة. وللتحقق من ثبات أداة الدراسة، تم استخدام كل من معامل كرونباخ ألفا (</w:t>
      </w:r>
      <w:r w:rsidRPr="00E82F66">
        <w:rPr>
          <w:rFonts w:ascii="Traditional Arabic" w:eastAsia="Calibri" w:hAnsi="Traditional Arabic" w:cs="Traditional Arabic"/>
          <w:sz w:val="32"/>
          <w:szCs w:val="32"/>
          <w:lang w:val="en-US"/>
        </w:rPr>
        <w:t>Cronbach's Alpha</w:t>
      </w:r>
      <w:r w:rsidRPr="00E82F66">
        <w:rPr>
          <w:rFonts w:ascii="Traditional Arabic" w:eastAsia="Calibri" w:hAnsi="Traditional Arabic" w:cs="Traditional Arabic"/>
          <w:sz w:val="32"/>
          <w:szCs w:val="32"/>
          <w:rtl/>
          <w:lang w:val="en-US"/>
        </w:rPr>
        <w:t xml:space="preserve">) لقياس الاتساق الداخلي لفقرات كل </w:t>
      </w:r>
      <w:r w:rsidRPr="00E82F66">
        <w:rPr>
          <w:rFonts w:ascii="Traditional Arabic" w:eastAsia="Calibri" w:hAnsi="Traditional Arabic" w:cs="Traditional Arabic"/>
          <w:sz w:val="32"/>
          <w:szCs w:val="32"/>
          <w:rtl/>
          <w:lang w:val="en-US"/>
        </w:rPr>
        <w:lastRenderedPageBreak/>
        <w:t>بُعد، ومعامل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للتحقق من موثوقية الأبعاد في إطار نموذج القياس، وذلك لضمان تمتع الأداة بدرجة مناسبة من الثبات والاعتمادية.</w:t>
      </w:r>
    </w:p>
    <w:p w14:paraId="0DB5B514" w14:textId="7777777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17A3809" w14:textId="129FA0D8"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.1 الثبات باستخدام معامل كرونباخ ألفا (</w:t>
      </w:r>
      <w:r w:rsidRPr="00E82F66">
        <w:rPr>
          <w:rFonts w:ascii="Traditional Arabic" w:eastAsia="Calibri" w:hAnsi="Traditional Arabic" w:cs="Traditional Arabic"/>
          <w:b/>
          <w:bCs/>
          <w:sz w:val="32"/>
          <w:szCs w:val="32"/>
          <w:lang w:val="en-US" w:bidi="ar-AE"/>
        </w:rPr>
        <w:t>Cronbach's Alpha</w:t>
      </w:r>
      <w:r w:rsidRPr="00E82F66">
        <w:rPr>
          <w:rFonts w:ascii="Traditional Arabic" w:eastAsia="Calibri" w:hAnsi="Traditional Arabic" w:cs="Traditional Arabic"/>
          <w:b/>
          <w:bCs/>
          <w:sz w:val="32"/>
          <w:szCs w:val="32"/>
          <w:rtl/>
          <w:lang w:val="en-US" w:bidi="ar-AE"/>
        </w:rPr>
        <w:t>)</w:t>
      </w:r>
    </w:p>
    <w:p w14:paraId="57A540BE" w14:textId="0EC64D0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تم استخدام معامل كرونباخ ألفا (</w:t>
      </w:r>
      <w:r w:rsidRPr="00E82F66">
        <w:rPr>
          <w:rFonts w:ascii="Traditional Arabic" w:eastAsia="Calibri" w:hAnsi="Traditional Arabic" w:cs="Traditional Arabic"/>
          <w:sz w:val="32"/>
          <w:szCs w:val="32"/>
          <w:lang w:val="en-US"/>
        </w:rPr>
        <w:t>Cronbach's Alpha</w:t>
      </w:r>
      <w:r w:rsidRPr="00E82F66">
        <w:rPr>
          <w:rFonts w:ascii="Traditional Arabic" w:eastAsia="Calibri" w:hAnsi="Traditional Arabic" w:cs="Traditional Arabic"/>
          <w:sz w:val="32"/>
          <w:szCs w:val="32"/>
          <w:rtl/>
          <w:lang w:val="en-US"/>
        </w:rPr>
        <w:t>) لقياس درجة الاتساق الداخلي لفقرات كل بُعد من أبعاد الدراسة، ويُعد من أكثر المؤشرات الإحصائية استخدامًا في الدراسات الإدارية والإنسانية للتحقق من ثبات أدوات القياس. وتشير الأدبيات المنهجية إلى أن قيمة معامل كرونباخ ألفا البالغة (0.70) فأكثر تُعد مقبولة، في حين تشير القيم التي تتجاوز (0.80) إلى مستوى مرتفع من الثبات والاتساق الداخلي بين الفقرات.</w:t>
      </w:r>
    </w:p>
    <w:p w14:paraId="79B18CDD" w14:textId="3AAFEBC5"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w:t>
      </w:r>
      <w:r w:rsidR="00A407DC">
        <w:rPr>
          <w:rFonts w:ascii="Traditional Arabic" w:eastAsia="Calibri" w:hAnsi="Traditional Arabic" w:cs="Traditional Arabic" w:hint="cs"/>
          <w:sz w:val="32"/>
          <w:szCs w:val="32"/>
          <w:rtl/>
          <w:lang w:val="en-US"/>
        </w:rPr>
        <w:t>5</w:t>
      </w:r>
      <w:r w:rsidRPr="00E82F66">
        <w:rPr>
          <w:rFonts w:ascii="Traditional Arabic" w:eastAsia="Calibri" w:hAnsi="Traditional Arabic" w:cs="Traditional Arabic"/>
          <w:sz w:val="32"/>
          <w:szCs w:val="32"/>
          <w:rtl/>
          <w:lang w:val="en-US"/>
        </w:rPr>
        <w:t>) نتائج معامل كرونباخ ألفا لأبعاد أداة الدراسة</w:t>
      </w:r>
    </w:p>
    <w:tbl>
      <w:tblPr>
        <w:tblStyle w:val="a3"/>
        <w:bidiVisual/>
        <w:tblW w:w="5000" w:type="pct"/>
        <w:tblLook w:val="04A0" w:firstRow="1" w:lastRow="0" w:firstColumn="1" w:lastColumn="0" w:noHBand="0" w:noVBand="1"/>
      </w:tblPr>
      <w:tblGrid>
        <w:gridCol w:w="4374"/>
        <w:gridCol w:w="1616"/>
        <w:gridCol w:w="2220"/>
        <w:gridCol w:w="1366"/>
      </w:tblGrid>
      <w:tr w:rsidR="00E82F66" w:rsidRPr="00E82F66" w14:paraId="3DDC4F16" w14:textId="77777777" w:rsidTr="00E82F66">
        <w:tc>
          <w:tcPr>
            <w:tcW w:w="2284" w:type="pct"/>
            <w:hideMark/>
          </w:tcPr>
          <w:p w14:paraId="2B76044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844" w:type="pct"/>
            <w:hideMark/>
          </w:tcPr>
          <w:p w14:paraId="698FEE2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1159" w:type="pct"/>
            <w:hideMark/>
          </w:tcPr>
          <w:p w14:paraId="51AFB1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كرونباخ ألفا</w:t>
            </w:r>
          </w:p>
        </w:tc>
        <w:tc>
          <w:tcPr>
            <w:tcW w:w="713" w:type="pct"/>
            <w:hideMark/>
          </w:tcPr>
          <w:p w14:paraId="5C40D29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430C8987" w14:textId="77777777" w:rsidTr="00E82F66">
        <w:tc>
          <w:tcPr>
            <w:tcW w:w="2284" w:type="pct"/>
            <w:hideMark/>
          </w:tcPr>
          <w:p w14:paraId="47D2E37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الوقائية</w:t>
            </w:r>
          </w:p>
        </w:tc>
        <w:tc>
          <w:tcPr>
            <w:tcW w:w="844" w:type="pct"/>
            <w:hideMark/>
          </w:tcPr>
          <w:p w14:paraId="006D62B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7F6FC99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713" w:type="pct"/>
            <w:hideMark/>
          </w:tcPr>
          <w:p w14:paraId="7E955C8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46CB0F05" w14:textId="77777777" w:rsidTr="00E82F66">
        <w:tc>
          <w:tcPr>
            <w:tcW w:w="2284" w:type="pct"/>
            <w:hideMark/>
          </w:tcPr>
          <w:p w14:paraId="5304E7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844" w:type="pct"/>
            <w:hideMark/>
          </w:tcPr>
          <w:p w14:paraId="7E216E0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6386461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0.93</w:t>
            </w:r>
          </w:p>
        </w:tc>
        <w:tc>
          <w:tcPr>
            <w:tcW w:w="713" w:type="pct"/>
            <w:hideMark/>
          </w:tcPr>
          <w:p w14:paraId="313B30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 جدًا</w:t>
            </w:r>
          </w:p>
        </w:tc>
      </w:tr>
      <w:tr w:rsidR="00E82F66" w:rsidRPr="00E82F66" w14:paraId="53423BDA" w14:textId="77777777" w:rsidTr="00E82F66">
        <w:tc>
          <w:tcPr>
            <w:tcW w:w="2284" w:type="pct"/>
            <w:hideMark/>
          </w:tcPr>
          <w:p w14:paraId="770C0CA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844" w:type="pct"/>
            <w:hideMark/>
          </w:tcPr>
          <w:p w14:paraId="244E5AB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6CFA84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0.85</w:t>
            </w:r>
          </w:p>
        </w:tc>
        <w:tc>
          <w:tcPr>
            <w:tcW w:w="713" w:type="pct"/>
            <w:hideMark/>
          </w:tcPr>
          <w:p w14:paraId="61C4BA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67BC42B4" w14:textId="77777777" w:rsidTr="00E82F66">
        <w:tc>
          <w:tcPr>
            <w:tcW w:w="2284" w:type="pct"/>
            <w:hideMark/>
          </w:tcPr>
          <w:p w14:paraId="2EFF0C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سلامة المرضى</w:t>
            </w:r>
          </w:p>
        </w:tc>
        <w:tc>
          <w:tcPr>
            <w:tcW w:w="844" w:type="pct"/>
            <w:hideMark/>
          </w:tcPr>
          <w:p w14:paraId="0990C4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11D50F3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35B47A1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 جدًا</w:t>
            </w:r>
          </w:p>
        </w:tc>
      </w:tr>
      <w:tr w:rsidR="00E82F66" w:rsidRPr="00E82F66" w14:paraId="53660487" w14:textId="77777777" w:rsidTr="00E82F66">
        <w:tc>
          <w:tcPr>
            <w:tcW w:w="2284" w:type="pct"/>
            <w:hideMark/>
          </w:tcPr>
          <w:p w14:paraId="3C57F3B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تقليل تأجيل العمليات والخدمات الطبية</w:t>
            </w:r>
          </w:p>
        </w:tc>
        <w:tc>
          <w:tcPr>
            <w:tcW w:w="844" w:type="pct"/>
            <w:hideMark/>
          </w:tcPr>
          <w:p w14:paraId="152E9FA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38AEDB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w:t>
            </w:r>
          </w:p>
        </w:tc>
        <w:tc>
          <w:tcPr>
            <w:tcW w:w="713" w:type="pct"/>
            <w:hideMark/>
          </w:tcPr>
          <w:p w14:paraId="27145DF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26F21ED9" w14:textId="77777777" w:rsidTr="00E82F66">
        <w:tc>
          <w:tcPr>
            <w:tcW w:w="2284" w:type="pct"/>
            <w:hideMark/>
          </w:tcPr>
          <w:p w14:paraId="0BC89E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الأداة ككل</w:t>
            </w:r>
          </w:p>
        </w:tc>
        <w:tc>
          <w:tcPr>
            <w:tcW w:w="844" w:type="pct"/>
            <w:hideMark/>
          </w:tcPr>
          <w:p w14:paraId="2A76D2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29</w:t>
            </w:r>
          </w:p>
        </w:tc>
        <w:tc>
          <w:tcPr>
            <w:tcW w:w="1159" w:type="pct"/>
            <w:hideMark/>
          </w:tcPr>
          <w:p w14:paraId="2B726AB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5F75029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 جدًا</w:t>
            </w:r>
          </w:p>
        </w:tc>
      </w:tr>
    </w:tbl>
    <w:p w14:paraId="31962E32" w14:textId="11E6C252"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برنامج </w:t>
      </w:r>
      <w:r w:rsidRPr="00E82F66">
        <w:rPr>
          <w:rFonts w:ascii="Traditional Arabic" w:eastAsia="Calibri" w:hAnsi="Traditional Arabic" w:cs="Traditional Arabic"/>
          <w:sz w:val="32"/>
          <w:szCs w:val="32"/>
          <w:lang w:val="en-US"/>
        </w:rPr>
        <w:t>SPSS</w:t>
      </w:r>
      <w:r w:rsidRPr="00E82F66">
        <w:rPr>
          <w:rFonts w:ascii="Traditional Arabic" w:eastAsia="Calibri" w:hAnsi="Traditional Arabic" w:cs="Traditional Arabic"/>
          <w:sz w:val="32"/>
          <w:szCs w:val="32"/>
          <w:rtl/>
          <w:lang w:val="en-US"/>
        </w:rPr>
        <w:t xml:space="preserve"> (الإصدار 29).</w:t>
      </w:r>
    </w:p>
    <w:p w14:paraId="5D331EF2" w14:textId="77777777" w:rsidR="00E82F66" w:rsidRPr="00E82F66" w:rsidRDefault="00E82F66" w:rsidP="00E82F66">
      <w:pPr>
        <w:bidi/>
        <w:spacing w:line="360" w:lineRule="auto"/>
        <w:jc w:val="both"/>
        <w:rPr>
          <w:rFonts w:ascii="Traditional Arabic" w:eastAsia="Calibri" w:hAnsi="Traditional Arabic" w:cs="Traditional Arabic"/>
          <w:sz w:val="32"/>
          <w:szCs w:val="32"/>
          <w:rtl/>
          <w:lang w:val="en-US"/>
        </w:rPr>
      </w:pPr>
    </w:p>
    <w:p w14:paraId="13535CBA" w14:textId="0E9AFD8D"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يتضح من نتائج جدول (3-</w:t>
      </w:r>
      <w:r w:rsidR="00A407DC">
        <w:rPr>
          <w:rFonts w:ascii="Traditional Arabic" w:eastAsia="Calibri" w:hAnsi="Traditional Arabic" w:cs="Traditional Arabic" w:hint="cs"/>
          <w:sz w:val="32"/>
          <w:szCs w:val="32"/>
          <w:rtl/>
          <w:lang w:val="en-US"/>
        </w:rPr>
        <w:t>5</w:t>
      </w:r>
      <w:r w:rsidRPr="00E82F66">
        <w:rPr>
          <w:rFonts w:ascii="Traditional Arabic" w:eastAsia="Calibri" w:hAnsi="Traditional Arabic" w:cs="Traditional Arabic"/>
          <w:sz w:val="32"/>
          <w:szCs w:val="32"/>
          <w:rtl/>
          <w:lang w:val="en-US"/>
        </w:rPr>
        <w:t>) أن قيم معامل كرونباخ ألفا لجميع أبعاد الدراسة تراوحت بين (0.85) و(0.93)، في حين بلغ معامل الثبات للأداة ككل (0.91)، وهي جميعها أعلى من الحد الأدنى المقبول (0.70)، مما يدل على تمتع أداة الدراسة بدرجة مرتفعة من الاتساق الداخلي والثبات، ويؤكد صلاحيتها للاستخدام في جمع بيانات الدراسة وتحقيق أهدافها</w:t>
      </w:r>
      <w:r w:rsidRPr="00E82F66">
        <w:rPr>
          <w:rFonts w:ascii="Traditional Arabic" w:eastAsia="Calibri" w:hAnsi="Traditional Arabic" w:cs="Traditional Arabic"/>
          <w:sz w:val="32"/>
          <w:szCs w:val="32"/>
          <w:lang w:val="en-US" w:bidi="ar-AE"/>
        </w:rPr>
        <w:t>.</w:t>
      </w:r>
    </w:p>
    <w:p w14:paraId="5466AEFB" w14:textId="0708DA5F"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.2 الثبات باستخدام معامل الثبات المركب (</w:t>
      </w:r>
      <w:r w:rsidRPr="00E82F66">
        <w:rPr>
          <w:rFonts w:ascii="Traditional Arabic" w:eastAsia="Calibri" w:hAnsi="Traditional Arabic" w:cs="Traditional Arabic"/>
          <w:b/>
          <w:bCs/>
          <w:sz w:val="32"/>
          <w:szCs w:val="32"/>
          <w:lang w:val="en-US" w:bidi="ar-AE"/>
        </w:rPr>
        <w:t>Composite Reliability: CR</w:t>
      </w:r>
      <w:r w:rsidRPr="00E82F66">
        <w:rPr>
          <w:rFonts w:ascii="Traditional Arabic" w:eastAsia="Calibri" w:hAnsi="Traditional Arabic" w:cs="Traditional Arabic"/>
          <w:b/>
          <w:bCs/>
          <w:sz w:val="32"/>
          <w:szCs w:val="32"/>
          <w:rtl/>
          <w:lang w:val="en-US" w:bidi="ar-AE"/>
        </w:rPr>
        <w:t>)</w:t>
      </w:r>
    </w:p>
    <w:p w14:paraId="58A7306B" w14:textId="146C57C8"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ولتعزيز التحقق من ثبات أداة الدراسة، تم استخدام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والذي يُعد من المؤشرات الحديثة المستخدمة في إطار التحليل العاملي التوكيدي، ويتميز بأنه يأخذ في الاعتبار معاملات التشبع العاملي للفقرات، مما يجعله أكثر دقة في تقدير ثبات الأبعاد مقارنة ببعض المؤشرات التقليدية. وتشير الأدبيات المنهجية إلى أن قيمة معامل الثبات المركب البالغة (0.70) فأكثر تُعد مؤشرًا على تمتع البعد بدرجة مناسبة من الثبات.</w:t>
      </w:r>
    </w:p>
    <w:p w14:paraId="20F9704F" w14:textId="2218BC93" w:rsidR="00E82F66" w:rsidRPr="00E82F66" w:rsidRDefault="00E82F66" w:rsidP="00A407DC">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w:t>
      </w:r>
      <w:r w:rsidR="00A407DC">
        <w:rPr>
          <w:rFonts w:ascii="Traditional Arabic" w:eastAsia="Calibri" w:hAnsi="Traditional Arabic" w:cs="Traditional Arabic" w:hint="cs"/>
          <w:sz w:val="32"/>
          <w:szCs w:val="32"/>
          <w:rtl/>
          <w:lang w:val="en-US"/>
        </w:rPr>
        <w:t>6</w:t>
      </w:r>
      <w:r w:rsidRPr="00E82F66">
        <w:rPr>
          <w:rFonts w:ascii="Traditional Arabic" w:eastAsia="Calibri" w:hAnsi="Traditional Arabic" w:cs="Traditional Arabic"/>
          <w:sz w:val="32"/>
          <w:szCs w:val="32"/>
          <w:rtl/>
          <w:lang w:val="en-US"/>
        </w:rPr>
        <w:t>) نتائج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w:t>
      </w:r>
    </w:p>
    <w:tbl>
      <w:tblPr>
        <w:tblStyle w:val="a3"/>
        <w:bidiVisual/>
        <w:tblW w:w="5000" w:type="pct"/>
        <w:tblLook w:val="04A0" w:firstRow="1" w:lastRow="0" w:firstColumn="1" w:lastColumn="0" w:noHBand="0" w:noVBand="1"/>
      </w:tblPr>
      <w:tblGrid>
        <w:gridCol w:w="3876"/>
        <w:gridCol w:w="2984"/>
        <w:gridCol w:w="1921"/>
        <w:gridCol w:w="795"/>
      </w:tblGrid>
      <w:tr w:rsidR="00E82F66" w:rsidRPr="00E82F66" w14:paraId="56C188B2" w14:textId="77777777" w:rsidTr="00E82F66">
        <w:tc>
          <w:tcPr>
            <w:tcW w:w="2024" w:type="pct"/>
            <w:hideMark/>
          </w:tcPr>
          <w:p w14:paraId="1C565C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1558" w:type="pct"/>
            <w:hideMark/>
          </w:tcPr>
          <w:p w14:paraId="3821670C" w14:textId="5D74CB06"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w:t>
            </w:r>
          </w:p>
        </w:tc>
        <w:tc>
          <w:tcPr>
            <w:tcW w:w="1003" w:type="pct"/>
            <w:hideMark/>
          </w:tcPr>
          <w:p w14:paraId="747B11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الحد الأدنى المقبول</w:t>
            </w:r>
          </w:p>
        </w:tc>
        <w:tc>
          <w:tcPr>
            <w:tcW w:w="415" w:type="pct"/>
            <w:hideMark/>
          </w:tcPr>
          <w:p w14:paraId="305562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CF6AD70" w14:textId="77777777" w:rsidTr="00E82F66">
        <w:tc>
          <w:tcPr>
            <w:tcW w:w="2024" w:type="pct"/>
            <w:hideMark/>
          </w:tcPr>
          <w:p w14:paraId="59A60A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الوقائية</w:t>
            </w:r>
          </w:p>
        </w:tc>
        <w:tc>
          <w:tcPr>
            <w:tcW w:w="1558" w:type="pct"/>
            <w:hideMark/>
          </w:tcPr>
          <w:p w14:paraId="51DA8D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1003" w:type="pct"/>
            <w:hideMark/>
          </w:tcPr>
          <w:p w14:paraId="4862DB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1379A6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3B258424" w14:textId="77777777" w:rsidTr="00E82F66">
        <w:tc>
          <w:tcPr>
            <w:tcW w:w="2024" w:type="pct"/>
            <w:hideMark/>
          </w:tcPr>
          <w:p w14:paraId="5E6869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1558" w:type="pct"/>
            <w:hideMark/>
          </w:tcPr>
          <w:p w14:paraId="66949B8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w:t>
            </w:r>
          </w:p>
        </w:tc>
        <w:tc>
          <w:tcPr>
            <w:tcW w:w="1003" w:type="pct"/>
            <w:hideMark/>
          </w:tcPr>
          <w:p w14:paraId="6E1F73C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47A90B5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5E5150A4" w14:textId="77777777" w:rsidTr="00E82F66">
        <w:tc>
          <w:tcPr>
            <w:tcW w:w="2024" w:type="pct"/>
            <w:hideMark/>
          </w:tcPr>
          <w:p w14:paraId="294B2A0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1558" w:type="pct"/>
            <w:hideMark/>
          </w:tcPr>
          <w:p w14:paraId="4397226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w:t>
            </w:r>
          </w:p>
        </w:tc>
        <w:tc>
          <w:tcPr>
            <w:tcW w:w="1003" w:type="pct"/>
            <w:hideMark/>
          </w:tcPr>
          <w:p w14:paraId="1810CD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57A48A0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63EACDA" w14:textId="77777777" w:rsidTr="00E82F66">
        <w:tc>
          <w:tcPr>
            <w:tcW w:w="2024" w:type="pct"/>
            <w:hideMark/>
          </w:tcPr>
          <w:p w14:paraId="708F92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سلامة المرضى</w:t>
            </w:r>
          </w:p>
        </w:tc>
        <w:tc>
          <w:tcPr>
            <w:tcW w:w="1558" w:type="pct"/>
            <w:hideMark/>
          </w:tcPr>
          <w:p w14:paraId="4EFB9ED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w:t>
            </w:r>
          </w:p>
        </w:tc>
        <w:tc>
          <w:tcPr>
            <w:tcW w:w="1003" w:type="pct"/>
            <w:hideMark/>
          </w:tcPr>
          <w:p w14:paraId="26087DD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2ED0404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555F103" w14:textId="77777777" w:rsidTr="00E82F66">
        <w:tc>
          <w:tcPr>
            <w:tcW w:w="2024" w:type="pct"/>
            <w:hideMark/>
          </w:tcPr>
          <w:p w14:paraId="2D79DE7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تقليل تأجيل العمليات والخدمات الطبية</w:t>
            </w:r>
          </w:p>
        </w:tc>
        <w:tc>
          <w:tcPr>
            <w:tcW w:w="1558" w:type="pct"/>
            <w:hideMark/>
          </w:tcPr>
          <w:p w14:paraId="3759639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1003" w:type="pct"/>
            <w:hideMark/>
          </w:tcPr>
          <w:p w14:paraId="7B4D525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605CDB4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2D0BEA57" w14:textId="7EB8B48D"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0BFA7405"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D29D4D0" w14:textId="6C99A0A5" w:rsidR="00E82F66" w:rsidRPr="00E82F66" w:rsidRDefault="00E82F66" w:rsidP="00A407DC">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يتضح من نتائج جدول (3-</w:t>
      </w:r>
      <w:r w:rsidR="00A407DC">
        <w:rPr>
          <w:rFonts w:ascii="Traditional Arabic" w:eastAsia="Calibri" w:hAnsi="Traditional Arabic" w:cs="Traditional Arabic" w:hint="cs"/>
          <w:sz w:val="32"/>
          <w:szCs w:val="32"/>
          <w:rtl/>
          <w:lang w:val="en-US"/>
        </w:rPr>
        <w:t>6</w:t>
      </w:r>
      <w:r w:rsidRPr="00E82F66">
        <w:rPr>
          <w:rFonts w:ascii="Traditional Arabic" w:eastAsia="Calibri" w:hAnsi="Traditional Arabic" w:cs="Traditional Arabic"/>
          <w:sz w:val="32"/>
          <w:szCs w:val="32"/>
          <w:rtl/>
          <w:lang w:val="en-US"/>
        </w:rPr>
        <w:t>) أن قيم معامل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 لجميع أبعاد الدراسة تراوحت بين (0.87) و(0.94)، وهي جميعها أعلى من الحد الأدنى المقبول (0.70)، مما يدل على تمتع جميع أبعاد الدراسة بدرجة مرتفعة من الثبات والاعتمادية. كما تتسق هذه النتائج مع قيم معامل كرونباخ ألفا ومتوسط التباين المستخرج (</w:t>
      </w:r>
      <w:r w:rsidRPr="00E82F66">
        <w:rPr>
          <w:rFonts w:ascii="Traditional Arabic" w:eastAsia="Calibri" w:hAnsi="Traditional Arabic" w:cs="Traditional Arabic"/>
          <w:sz w:val="32"/>
          <w:szCs w:val="32"/>
          <w:lang w:val="en-US"/>
        </w:rPr>
        <w:t>AVE</w:t>
      </w:r>
      <w:r w:rsidRPr="00E82F66">
        <w:rPr>
          <w:rFonts w:ascii="Traditional Arabic" w:eastAsia="Calibri" w:hAnsi="Traditional Arabic" w:cs="Traditional Arabic"/>
          <w:sz w:val="32"/>
          <w:szCs w:val="32"/>
          <w:rtl/>
          <w:lang w:val="en-US"/>
        </w:rPr>
        <w:t>)، الأمر الذي يعزز موثوقية أداة الدراسة ويؤكد صلاحيتها للتطبيق الميداني واستخدامها في اختبار فرضيات الدراسة والإجابة عن أسئلتها.</w:t>
      </w:r>
    </w:p>
    <w:p w14:paraId="75C77ADE"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14:paraId="00C18AB7" w14:textId="5B9411D1" w:rsidR="00C54834" w:rsidRPr="00386BAD" w:rsidRDefault="008919F4" w:rsidP="00C54834">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3.7 </w:t>
      </w:r>
      <w:r w:rsidR="00C54834" w:rsidRPr="00386BAD">
        <w:rPr>
          <w:rFonts w:ascii="Traditional Arabic" w:eastAsia="Calibri" w:hAnsi="Traditional Arabic" w:cs="Traditional Arabic"/>
          <w:b/>
          <w:bCs/>
          <w:sz w:val="36"/>
          <w:szCs w:val="36"/>
          <w:rtl/>
          <w:lang w:val="en-US"/>
        </w:rPr>
        <w:t>المعالجة الإحصائية</w:t>
      </w:r>
    </w:p>
    <w:p w14:paraId="1BF34FE5" w14:textId="417E1725"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3.7.1 </w:t>
      </w:r>
      <w:r w:rsidR="00C54834" w:rsidRPr="00386BAD">
        <w:rPr>
          <w:rFonts w:ascii="Traditional Arabic" w:eastAsia="Calibri" w:hAnsi="Traditional Arabic" w:cs="Traditional Arabic"/>
          <w:b/>
          <w:bCs/>
          <w:sz w:val="32"/>
          <w:szCs w:val="32"/>
          <w:rtl/>
          <w:lang w:val="en-US"/>
        </w:rPr>
        <w:t>أولًا: تصميم الدراسة</w:t>
      </w:r>
    </w:p>
    <w:p w14:paraId="604CCD9F"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14:paraId="7D793266"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 2021; Zamzam et al., 2021; Manchadi et al., 2023</w:t>
      </w:r>
      <w:r w:rsidR="00351101" w:rsidRPr="00386BAD">
        <w:rPr>
          <w:rFonts w:ascii="Traditional Arabic" w:eastAsia="Calibri" w:hAnsi="Traditional Arabic" w:cs="Traditional Arabic"/>
          <w:sz w:val="32"/>
          <w:szCs w:val="32"/>
          <w:rtl/>
          <w:lang w:val="en-US"/>
        </w:rPr>
        <w:t>).</w:t>
      </w:r>
    </w:p>
    <w:p w14:paraId="2D8F6F4A" w14:textId="77777777" w:rsidR="00C54834" w:rsidRDefault="00C54834" w:rsidP="0035110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14:paraId="409A4BB1"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bidi="ar-JO"/>
        </w:rPr>
      </w:pPr>
    </w:p>
    <w:p w14:paraId="72AD23A6" w14:textId="18E2C61C"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3.7.2 </w:t>
      </w:r>
      <w:r w:rsidR="00351101"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14:paraId="34E8678F" w14:textId="48F3282E"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بعد جمع البيانات وترميزها، تم إدخالها إلى برنامج الحزمة الإحصائية للعلوم الاجتماعية </w:t>
      </w:r>
      <w:r w:rsidRPr="001C761F">
        <w:rPr>
          <w:rFonts w:ascii="Traditional Arabic" w:eastAsia="Calibri" w:hAnsi="Traditional Arabic" w:cs="Traditional Arabic"/>
          <w:sz w:val="32"/>
          <w:szCs w:val="32"/>
          <w:lang w:val="en-US"/>
        </w:rPr>
        <w:t>SPSS</w:t>
      </w:r>
      <w:r w:rsidRPr="001C761F">
        <w:rPr>
          <w:rFonts w:ascii="Traditional Arabic" w:eastAsia="Calibri" w:hAnsi="Traditional Arabic" w:cs="Traditional Arabic"/>
          <w:sz w:val="32"/>
          <w:szCs w:val="32"/>
          <w:rtl/>
          <w:lang w:val="en-US"/>
        </w:rPr>
        <w:t>، واستخدام الأساليب الإحصائية الآتية:</w:t>
      </w:r>
    </w:p>
    <w:p w14:paraId="52D9ADF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أولًا: الإحصاءات الوصفية</w:t>
      </w:r>
    </w:p>
    <w:p w14:paraId="03F4C956"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التكرارات والنسب المئوية لوصف الخصائص الديموغرافية والوظيفية لأفراد عينة الدراسة، كما تم حساب المتوسطات الحسابية والانحرافات المعيارية لتحديد مستوى تطبيق الصيانة الوقائية والصيانة التنبؤية، ومستوى جودة الرعاية الصحية بأبعادها المتمثلة في تقليل وقت الاستجابة، وتقليل حالات الإلغاء أو التأجيل، وتعزيز سلامة المرضى</w:t>
      </w:r>
      <w:r w:rsidRPr="001C761F">
        <w:rPr>
          <w:rFonts w:ascii="Traditional Arabic" w:eastAsia="Calibri" w:hAnsi="Traditional Arabic" w:cs="Traditional Arabic"/>
          <w:sz w:val="32"/>
          <w:szCs w:val="32"/>
          <w:lang w:val="en-US"/>
        </w:rPr>
        <w:t>.</w:t>
      </w:r>
    </w:p>
    <w:p w14:paraId="60DC9679"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ثانيًا: اختبار صدق الأداة وثباتها</w:t>
      </w:r>
    </w:p>
    <w:p w14:paraId="09857C92"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للتحقق من صدق الاتساق الداخلي لفقرات الاستبانة، كما تم حساب معامل كرونباخ ألفا للتحقق من ثبات أبعاد الأداة واتساقها الداخلي</w:t>
      </w:r>
      <w:r w:rsidRPr="001C761F">
        <w:rPr>
          <w:rFonts w:ascii="Traditional Arabic" w:eastAsia="Calibri" w:hAnsi="Traditional Arabic" w:cs="Traditional Arabic"/>
          <w:sz w:val="32"/>
          <w:szCs w:val="32"/>
          <w:lang w:val="en-US"/>
        </w:rPr>
        <w:t>.</w:t>
      </w:r>
    </w:p>
    <w:p w14:paraId="6108B3FF"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ثالثًا: اختبار افتراضات تحليل الانحدار</w:t>
      </w:r>
    </w:p>
    <w:p w14:paraId="25EE1801" w14:textId="2783C91D" w:rsidR="001C761F" w:rsidRPr="001C761F" w:rsidRDefault="001C761F" w:rsidP="00094E04">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قبل اختبار فرضيات الدراسة، تم التحقق من ملاءمة البيانا</w:t>
      </w:r>
      <w:r w:rsidR="00094E04">
        <w:rPr>
          <w:rFonts w:ascii="Traditional Arabic" w:eastAsia="Calibri" w:hAnsi="Traditional Arabic" w:cs="Traditional Arabic"/>
          <w:sz w:val="32"/>
          <w:szCs w:val="32"/>
          <w:rtl/>
          <w:lang w:val="en-US"/>
        </w:rPr>
        <w:t>ت لاستخدام تحليل الانحدار الخطي</w:t>
      </w:r>
      <w:r w:rsidRPr="001C761F">
        <w:rPr>
          <w:rFonts w:ascii="Traditional Arabic" w:eastAsia="Calibri" w:hAnsi="Traditional Arabic" w:cs="Traditional Arabic"/>
          <w:sz w:val="32"/>
          <w:szCs w:val="32"/>
          <w:rtl/>
          <w:lang w:val="en-US"/>
        </w:rPr>
        <w:t>، وذلك من خلال</w:t>
      </w:r>
      <w:r w:rsidRPr="001C761F">
        <w:rPr>
          <w:rFonts w:ascii="Traditional Arabic" w:eastAsia="Calibri" w:hAnsi="Traditional Arabic" w:cs="Traditional Arabic"/>
          <w:sz w:val="32"/>
          <w:szCs w:val="32"/>
          <w:lang w:val="en-US"/>
        </w:rPr>
        <w:t>:</w:t>
      </w:r>
    </w:p>
    <w:p w14:paraId="3A1B9416" w14:textId="287810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 xml:space="preserve">فحص اعتدالية توزيع البيانات باستخدام معاملي الالتواء والتفرطح </w:t>
      </w:r>
      <w:r w:rsidRPr="001C761F">
        <w:rPr>
          <w:rFonts w:ascii="Traditional Arabic" w:eastAsia="Calibri" w:hAnsi="Traditional Arabic" w:cs="Traditional Arabic"/>
          <w:sz w:val="32"/>
          <w:szCs w:val="32"/>
          <w:lang w:val="en-US"/>
        </w:rPr>
        <w:t>Skewness</w:t>
      </w:r>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w:t>
      </w:r>
    </w:p>
    <w:p w14:paraId="4F0CF2E6" w14:textId="071FB75A"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اختبار عدم وجود مشكلة التعدد الخطي بين المتغيرات المستقلة باستخدام مؤشري </w:t>
      </w:r>
      <w:r w:rsidRPr="001C761F">
        <w:rPr>
          <w:rFonts w:ascii="Traditional Arabic" w:eastAsia="Calibri" w:hAnsi="Traditional Arabic" w:cs="Traditional Arabic"/>
          <w:sz w:val="32"/>
          <w:szCs w:val="32"/>
          <w:lang w:val="en-US"/>
        </w:rPr>
        <w:t>VIF</w:t>
      </w:r>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Tolerance</w:t>
      </w:r>
      <w:r w:rsidRPr="001C761F">
        <w:rPr>
          <w:rFonts w:ascii="Traditional Arabic" w:eastAsia="Calibri" w:hAnsi="Traditional Arabic" w:cs="Traditional Arabic"/>
          <w:sz w:val="32"/>
          <w:szCs w:val="32"/>
          <w:rtl/>
          <w:lang w:val="en-US"/>
        </w:rPr>
        <w:t>.</w:t>
      </w:r>
    </w:p>
    <w:p w14:paraId="3ECF3267" w14:textId="733B6E44"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استقلالية الأخطاء باستخدام إحصائية </w:t>
      </w:r>
      <w:r w:rsidRPr="001C761F">
        <w:rPr>
          <w:rFonts w:ascii="Traditional Arabic" w:eastAsia="Calibri" w:hAnsi="Traditional Arabic" w:cs="Traditional Arabic"/>
          <w:sz w:val="32"/>
          <w:szCs w:val="32"/>
          <w:lang w:val="en-US"/>
        </w:rPr>
        <w:t>Durbin–Watson</w:t>
      </w:r>
      <w:r w:rsidRPr="001C761F">
        <w:rPr>
          <w:rFonts w:ascii="Traditional Arabic" w:eastAsia="Calibri" w:hAnsi="Traditional Arabic" w:cs="Traditional Arabic"/>
          <w:sz w:val="32"/>
          <w:szCs w:val="32"/>
          <w:rtl/>
          <w:lang w:val="en-US"/>
        </w:rPr>
        <w:t>.</w:t>
      </w:r>
    </w:p>
    <w:p w14:paraId="2DCD72E2" w14:textId="6E7C18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فحص العلاقات الخطية بين متغيرات الدراسة باستخدام معامل ارتباط بيرسون.</w:t>
      </w:r>
    </w:p>
    <w:p w14:paraId="3DBD1D4C"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رابعًا: اختبار العلاقات بين متغيرات الدراسة</w:t>
      </w:r>
    </w:p>
    <w:p w14:paraId="1B19B43E"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لقياس قوة العلاقة واتجاهها بين الصيانة الوقائية والصيانة التنبؤية وجودة الرعاية الصحية وأبعادها، وذلك قبل إجراء تحليل الانحدار</w:t>
      </w:r>
      <w:r w:rsidRPr="001C761F">
        <w:rPr>
          <w:rFonts w:ascii="Traditional Arabic" w:eastAsia="Calibri" w:hAnsi="Traditional Arabic" w:cs="Traditional Arabic"/>
          <w:sz w:val="32"/>
          <w:szCs w:val="32"/>
          <w:lang w:val="en-US"/>
        </w:rPr>
        <w:t>.</w:t>
      </w:r>
    </w:p>
    <w:p w14:paraId="44247AE0"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خامسًا: اختبار فرضيات الدراسة</w:t>
      </w:r>
    </w:p>
    <w:p w14:paraId="468AC0BC" w14:textId="160D4470"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لاختبار أثر الصيانة الوقائية والصيانة التنبؤية، بوصفهما متغيرين مستقلين، في جودة الرعاية الصحية وأبعادها، بوصفها متغيرات تابعة</w:t>
      </w:r>
      <w:r w:rsidRPr="001C761F">
        <w:rPr>
          <w:rFonts w:ascii="Traditional Arabic" w:eastAsia="Calibri" w:hAnsi="Traditional Arabic" w:cs="Traditional Arabic"/>
          <w:sz w:val="32"/>
          <w:szCs w:val="32"/>
          <w:lang w:val="en-US"/>
        </w:rPr>
        <w:t>.</w:t>
      </w:r>
    </w:p>
    <w:p w14:paraId="5410D293"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وقد تم بناء أربعة نماذج للانحدار</w:t>
      </w:r>
      <w:r w:rsidRPr="001C761F">
        <w:rPr>
          <w:rFonts w:ascii="Traditional Arabic" w:eastAsia="Calibri" w:hAnsi="Traditional Arabic" w:cs="Traditional Arabic"/>
          <w:sz w:val="32"/>
          <w:szCs w:val="32"/>
          <w:lang w:val="en-US"/>
        </w:rPr>
        <w:t>:</w:t>
      </w:r>
    </w:p>
    <w:p w14:paraId="246B28EC"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جودة الرعاية الصحية الكلية</w:t>
      </w:r>
      <w:r w:rsidRPr="001C761F">
        <w:rPr>
          <w:rFonts w:ascii="Traditional Arabic" w:eastAsia="Calibri" w:hAnsi="Traditional Arabic" w:cs="Traditional Arabic"/>
          <w:sz w:val="32"/>
          <w:szCs w:val="32"/>
          <w:lang w:val="en-US"/>
        </w:rPr>
        <w:t xml:space="preserve">. </w:t>
      </w:r>
    </w:p>
    <w:p w14:paraId="3E0D9F34"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وقت الاستجابة للخدمة الطبية</w:t>
      </w:r>
      <w:r w:rsidRPr="001C761F">
        <w:rPr>
          <w:rFonts w:ascii="Traditional Arabic" w:eastAsia="Calibri" w:hAnsi="Traditional Arabic" w:cs="Traditional Arabic"/>
          <w:sz w:val="32"/>
          <w:szCs w:val="32"/>
          <w:lang w:val="en-US"/>
        </w:rPr>
        <w:t xml:space="preserve">. </w:t>
      </w:r>
    </w:p>
    <w:p w14:paraId="2BA173F2"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حالات الإلغاء أو التأجيل</w:t>
      </w:r>
      <w:r w:rsidRPr="001C761F">
        <w:rPr>
          <w:rFonts w:ascii="Traditional Arabic" w:eastAsia="Calibri" w:hAnsi="Traditional Arabic" w:cs="Traditional Arabic"/>
          <w:sz w:val="32"/>
          <w:szCs w:val="32"/>
          <w:lang w:val="en-US"/>
        </w:rPr>
        <w:t xml:space="preserve">. </w:t>
      </w:r>
    </w:p>
    <w:p w14:paraId="6BE9CD86"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تعزيز سلامة المرضى</w:t>
      </w:r>
      <w:r w:rsidRPr="001C761F">
        <w:rPr>
          <w:rFonts w:ascii="Traditional Arabic" w:eastAsia="Calibri" w:hAnsi="Traditional Arabic" w:cs="Traditional Arabic"/>
          <w:sz w:val="32"/>
          <w:szCs w:val="32"/>
          <w:lang w:val="en-US"/>
        </w:rPr>
        <w:t xml:space="preserve">. </w:t>
      </w:r>
    </w:p>
    <w:p w14:paraId="037E79E1" w14:textId="22AA8C46"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 xml:space="preserve">وتم الاعتماد على معامل التحديد </w:t>
      </w:r>
      <w:r w:rsidRPr="001C761F">
        <w:rPr>
          <w:rFonts w:ascii="Traditional Arabic" w:eastAsia="Calibri" w:hAnsi="Traditional Arabic" w:cs="Traditional Arabic"/>
          <w:sz w:val="32"/>
          <w:szCs w:val="32"/>
          <w:lang w:val="en-US"/>
        </w:rPr>
        <w:t>R²</w:t>
      </w:r>
      <w:r w:rsidRPr="001C761F">
        <w:rPr>
          <w:rFonts w:ascii="Traditional Arabic" w:eastAsia="Calibri" w:hAnsi="Traditional Arabic" w:cs="Traditional Arabic"/>
          <w:sz w:val="32"/>
          <w:szCs w:val="32"/>
          <w:rtl/>
          <w:lang w:val="en-US"/>
        </w:rPr>
        <w:t xml:space="preserve"> لبيان نسبة التباين المفسر، واختبار </w:t>
      </w:r>
      <w:r w:rsidRPr="001C761F">
        <w:rPr>
          <w:rFonts w:ascii="Traditional Arabic" w:eastAsia="Calibri" w:hAnsi="Traditional Arabic" w:cs="Traditional Arabic"/>
          <w:sz w:val="32"/>
          <w:szCs w:val="32"/>
          <w:lang w:val="en-US"/>
        </w:rPr>
        <w:t>F</w:t>
      </w:r>
      <w:r w:rsidRPr="001C761F">
        <w:rPr>
          <w:rFonts w:ascii="Traditional Arabic" w:eastAsia="Calibri" w:hAnsi="Traditional Arabic" w:cs="Traditional Arabic"/>
          <w:sz w:val="32"/>
          <w:szCs w:val="32"/>
          <w:rtl/>
          <w:lang w:val="en-US"/>
        </w:rPr>
        <w:t xml:space="preserve"> للتحقق من دلالة نموذج الانحدار ككل، واختبار </w:t>
      </w:r>
      <w:r w:rsidRPr="001C761F">
        <w:rPr>
          <w:rFonts w:ascii="Traditional Arabic" w:eastAsia="Calibri" w:hAnsi="Traditional Arabic" w:cs="Traditional Arabic"/>
          <w:sz w:val="32"/>
          <w:szCs w:val="32"/>
          <w:lang w:val="en-US"/>
        </w:rPr>
        <w:t>t</w:t>
      </w:r>
      <w:r w:rsidRPr="001C761F">
        <w:rPr>
          <w:rFonts w:ascii="Traditional Arabic" w:eastAsia="Calibri" w:hAnsi="Traditional Arabic" w:cs="Traditional Arabic"/>
          <w:sz w:val="32"/>
          <w:szCs w:val="32"/>
          <w:rtl/>
          <w:lang w:val="en-US"/>
        </w:rPr>
        <w:t xml:space="preserve"> ومعاملات </w:t>
      </w:r>
      <w:r w:rsidRPr="001C761F">
        <w:rPr>
          <w:rFonts w:ascii="Traditional Arabic" w:eastAsia="Calibri" w:hAnsi="Traditional Arabic" w:cs="Traditional Arabic"/>
          <w:sz w:val="32"/>
          <w:szCs w:val="32"/>
          <w:lang w:val="en-US"/>
        </w:rPr>
        <w:t>Beta</w:t>
      </w:r>
      <w:r w:rsidRPr="001C761F">
        <w:rPr>
          <w:rFonts w:ascii="Traditional Arabic" w:eastAsia="Calibri" w:hAnsi="Traditional Arabic" w:cs="Traditional Arabic"/>
          <w:sz w:val="32"/>
          <w:szCs w:val="32"/>
          <w:rtl/>
          <w:lang w:val="en-US"/>
        </w:rPr>
        <w:t xml:space="preserve"> للتحقق من دلالة الأثر النسبي لكل متغير مستقل.</w:t>
      </w:r>
    </w:p>
    <w:p w14:paraId="26166B4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سادسًا: اختبار الفروق وفق الخصائص الديموغرافية</w:t>
      </w:r>
    </w:p>
    <w:p w14:paraId="451F5C83" w14:textId="208EDD29"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استجابة لمتطلبات التحليل التكميلي، تم استخدام تحليل التباين الأحادي </w:t>
      </w:r>
      <w:r w:rsidRPr="001C761F">
        <w:rPr>
          <w:rFonts w:ascii="Traditional Arabic" w:eastAsia="Calibri" w:hAnsi="Traditional Arabic" w:cs="Traditional Arabic"/>
          <w:sz w:val="32"/>
          <w:szCs w:val="32"/>
          <w:lang w:val="en-US"/>
        </w:rPr>
        <w:t>One-Way ANOVA</w:t>
      </w:r>
      <w:r w:rsidRPr="001C761F">
        <w:rPr>
          <w:rFonts w:ascii="Traditional Arabic" w:eastAsia="Calibri" w:hAnsi="Traditional Arabic" w:cs="Traditional Arabic"/>
          <w:sz w:val="32"/>
          <w:szCs w:val="32"/>
          <w:rtl/>
          <w:lang w:val="en-US"/>
        </w:rPr>
        <w:t xml:space="preserve"> للكشف عن الفروق في استجابات أفراد العينة وفقًا لمتغيرات الوظيفة، والمؤهل العلمي، وسنوات الخبرة، والقسم. وعند ظهور فروق ذات دلالة إحصائية، يتم استخدام أحد الاختبارات البعدية المناسبة لتحديد مصدر الفروق.</w:t>
      </w:r>
    </w:p>
    <w:p w14:paraId="5C12EFD4" w14:textId="77777777" w:rsidR="001C761F" w:rsidRP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raditional Arabic" w:eastAsia="Calibri" w:hAnsi="Traditional Arabic" w:cs="Traditional Arabic"/>
          <w:sz w:val="32"/>
          <w:szCs w:val="32"/>
          <w:rtl/>
          <w:lang w:val="en-US"/>
        </w:rPr>
        <w:t>واعتمدت الدراسة مستوى الدلالة الإحصائية</w:t>
      </w:r>
      <w:r w:rsidRPr="001C761F">
        <w:rPr>
          <w:rFonts w:ascii="Traditional Arabic" w:eastAsia="Calibri" w:hAnsi="Traditional Arabic" w:cs="Traditional Arabic"/>
          <w:sz w:val="32"/>
          <w:szCs w:val="32"/>
          <w:lang w:val="en-US"/>
        </w:rPr>
        <w:t>:</w:t>
      </w:r>
    </w:p>
    <w:p w14:paraId="016FBE28" w14:textId="5D877214" w:rsid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imes New Roman" w:eastAsia="Calibri" w:hAnsi="Times New Roman" w:cs="Times New Roman"/>
          <w:sz w:val="32"/>
          <w:szCs w:val="32"/>
          <w:lang w:val="en-US"/>
        </w:rPr>
        <w:t>α</w:t>
      </w:r>
      <w:r w:rsidRPr="001C761F">
        <w:rPr>
          <w:rFonts w:ascii="Traditional Arabic" w:eastAsia="Calibri" w:hAnsi="Traditional Arabic" w:cs="Traditional Arabic"/>
          <w:sz w:val="32"/>
          <w:szCs w:val="32"/>
          <w:lang w:val="en-US"/>
        </w:rPr>
        <w:t xml:space="preserve"> </w:t>
      </w:r>
      <w:r w:rsidRPr="001C761F">
        <w:rPr>
          <w:rFonts w:ascii="Times New Roman" w:eastAsia="Calibri" w:hAnsi="Times New Roman" w:cs="Times New Roman"/>
          <w:sz w:val="32"/>
          <w:szCs w:val="32"/>
          <w:lang w:val="en-US"/>
        </w:rPr>
        <w:t>≤</w:t>
      </w:r>
      <w:r w:rsidRPr="001C761F">
        <w:rPr>
          <w:rFonts w:ascii="Traditional Arabic" w:eastAsia="Calibri" w:hAnsi="Traditional Arabic" w:cs="Traditional Arabic"/>
          <w:sz w:val="32"/>
          <w:szCs w:val="32"/>
          <w:lang w:val="en-US"/>
        </w:rPr>
        <w:t xml:space="preserve"> 0.05</w:t>
      </w:r>
    </w:p>
    <w:p w14:paraId="30304FD8" w14:textId="77777777" w:rsidR="001C761F" w:rsidRDefault="001C761F" w:rsidP="001C761F">
      <w:pPr>
        <w:bidi/>
        <w:spacing w:line="360" w:lineRule="auto"/>
        <w:rPr>
          <w:rFonts w:ascii="Traditional Arabic" w:eastAsia="Calibri" w:hAnsi="Traditional Arabic" w:cs="Traditional Arabic"/>
          <w:b/>
          <w:bCs/>
          <w:sz w:val="32"/>
          <w:szCs w:val="32"/>
          <w:rtl/>
          <w:lang w:val="en-US"/>
        </w:rPr>
      </w:pPr>
    </w:p>
    <w:p w14:paraId="3FF4C59C" w14:textId="5C0CA021" w:rsidR="007051FE" w:rsidRPr="00386BAD" w:rsidRDefault="00C54834"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اختيار تحليل الانحدار</w:t>
      </w:r>
      <w:r w:rsidR="00094E04">
        <w:rPr>
          <w:rFonts w:ascii="Traditional Arabic" w:eastAsia="Calibri" w:hAnsi="Traditional Arabic" w:cs="Traditional Arabic"/>
          <w:sz w:val="32"/>
          <w:szCs w:val="32"/>
          <w:rtl/>
          <w:lang w:val="en-US"/>
        </w:rPr>
        <w:t xml:space="preserve"> الخطي</w:t>
      </w:r>
      <w:r w:rsidRPr="00386BAD">
        <w:rPr>
          <w:rFonts w:ascii="Traditional Arabic" w:eastAsia="Calibri" w:hAnsi="Traditional Arabic" w:cs="Traditional Arabic"/>
          <w:sz w:val="32"/>
          <w:szCs w:val="32"/>
          <w:rtl/>
          <w:lang w:val="en-US"/>
        </w:rPr>
        <w:t xml:space="preserve">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r w:rsidR="00351101" w:rsidRPr="00386BAD">
        <w:rPr>
          <w:rFonts w:ascii="Traditional Arabic" w:eastAsia="Calibri" w:hAnsi="Traditional Arabic" w:cs="Traditional Arabic"/>
          <w:sz w:val="32"/>
          <w:szCs w:val="32"/>
          <w:lang w:val="en-US"/>
        </w:rPr>
        <w:t>Çoban et al., 2018; Shamayleh et al., 2020; Boppana, 2023</w:t>
      </w:r>
      <w:r w:rsidR="00351101" w:rsidRPr="00386BAD">
        <w:rPr>
          <w:rFonts w:ascii="Traditional Arabic" w:eastAsia="Calibri" w:hAnsi="Traditional Arabic" w:cs="Traditional Arabic"/>
          <w:sz w:val="32"/>
          <w:szCs w:val="32"/>
          <w:rtl/>
          <w:lang w:val="en-US"/>
        </w:rPr>
        <w:t>).</w:t>
      </w:r>
    </w:p>
    <w:p w14:paraId="2DFEBAD5" w14:textId="219A49C2" w:rsidR="001C761F" w:rsidRDefault="001C761F" w:rsidP="00A407DC">
      <w:pPr>
        <w:bidi/>
        <w:spacing w:line="360" w:lineRule="auto"/>
        <w:jc w:val="both"/>
        <w:rPr>
          <w:rFonts w:ascii="Traditional Arabic" w:eastAsia="Calibri" w:hAnsi="Traditional Arabic" w:cs="Traditional Arabic"/>
          <w:sz w:val="32"/>
          <w:szCs w:val="32"/>
          <w:rtl/>
          <w:lang w:val="en-US"/>
        </w:rPr>
      </w:pPr>
    </w:p>
    <w:p w14:paraId="370C6434" w14:textId="77777777" w:rsidR="00A407DC" w:rsidRPr="00386BAD" w:rsidRDefault="00A407DC" w:rsidP="00A407DC">
      <w:pPr>
        <w:bidi/>
        <w:spacing w:line="360" w:lineRule="auto"/>
        <w:jc w:val="both"/>
        <w:rPr>
          <w:rFonts w:ascii="Traditional Arabic" w:eastAsia="Calibri" w:hAnsi="Traditional Arabic" w:cs="Traditional Arabic"/>
          <w:sz w:val="32"/>
          <w:szCs w:val="32"/>
          <w:lang w:val="en-US"/>
        </w:rPr>
      </w:pPr>
    </w:p>
    <w:p w14:paraId="3D5A6B39"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lastRenderedPageBreak/>
        <w:t>الفصل الرابع</w:t>
      </w:r>
    </w:p>
    <w:p w14:paraId="50D038D5" w14:textId="77777777" w:rsidR="007051FE" w:rsidRDefault="007051FE" w:rsidP="007051FE">
      <w:pPr>
        <w:bidi/>
        <w:spacing w:line="360"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sz w:val="36"/>
          <w:szCs w:val="36"/>
          <w:rtl/>
          <w:lang w:val="en-US"/>
        </w:rPr>
        <w:t>نتائج الدراسة واختبار الفروض</w:t>
      </w:r>
    </w:p>
    <w:p w14:paraId="1D68C833"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57D505B2"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7CD1D307"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205244DD"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2890B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24408A2"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270BEE05"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0FB6EE0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77D5CBC4" w14:textId="77777777" w:rsidR="001C761F" w:rsidRDefault="001C761F" w:rsidP="001C761F">
      <w:pPr>
        <w:bidi/>
        <w:spacing w:line="360" w:lineRule="auto"/>
        <w:jc w:val="center"/>
        <w:rPr>
          <w:rFonts w:ascii="Traditional Arabic" w:eastAsia="Calibri" w:hAnsi="Traditional Arabic" w:cs="Traditional Arabic"/>
          <w:b/>
          <w:bCs/>
          <w:sz w:val="36"/>
          <w:szCs w:val="36"/>
          <w:rtl/>
          <w:lang w:val="en-US"/>
        </w:rPr>
      </w:pPr>
    </w:p>
    <w:p w14:paraId="716CF8BA" w14:textId="77777777" w:rsidR="00A407DC" w:rsidRDefault="00A407DC" w:rsidP="001C761F">
      <w:pPr>
        <w:bidi/>
        <w:spacing w:line="360" w:lineRule="auto"/>
        <w:jc w:val="center"/>
        <w:rPr>
          <w:rFonts w:ascii="Traditional Arabic" w:eastAsia="Calibri" w:hAnsi="Traditional Arabic" w:cs="Traditional Arabic"/>
          <w:b/>
          <w:bCs/>
          <w:sz w:val="36"/>
          <w:szCs w:val="36"/>
          <w:rtl/>
          <w:lang w:val="en-US"/>
        </w:rPr>
      </w:pPr>
    </w:p>
    <w:p w14:paraId="2A297A8C" w14:textId="144F0A4E" w:rsidR="001C761F" w:rsidRPr="00386BAD" w:rsidRDefault="001C761F" w:rsidP="00A407DC">
      <w:pPr>
        <w:bidi/>
        <w:spacing w:line="360" w:lineRule="auto"/>
        <w:jc w:val="center"/>
        <w:rPr>
          <w:rFonts w:ascii="Traditional Arabic" w:eastAsia="Calibri" w:hAnsi="Traditional Arabic" w:cs="Traditional Arabic"/>
          <w:b/>
          <w:bCs/>
          <w:sz w:val="36"/>
          <w:szCs w:val="36"/>
          <w:lang w:val="en-US"/>
        </w:rPr>
      </w:pPr>
      <w:r>
        <w:rPr>
          <w:rFonts w:ascii="Traditional Arabic" w:eastAsia="Calibri" w:hAnsi="Traditional Arabic" w:cs="Traditional Arabic"/>
          <w:b/>
          <w:bCs/>
          <w:sz w:val="36"/>
          <w:szCs w:val="36"/>
          <w:rtl/>
          <w:lang w:val="en-US"/>
        </w:rPr>
        <w:br w:type="page"/>
      </w:r>
    </w:p>
    <w:p w14:paraId="5F211606" w14:textId="77777777" w:rsidR="007051FE" w:rsidRPr="00386BAD" w:rsidRDefault="007051FE" w:rsidP="007051F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4.1 تمهيد</w:t>
      </w:r>
    </w:p>
    <w:p w14:paraId="1356CB6F"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وقد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14:paraId="03C72058"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14:paraId="23CDEDFF" w14:textId="7C8EEF9A" w:rsidR="00ED586E" w:rsidRDefault="007051FE" w:rsidP="00A407DC">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14:paraId="128AE6B3" w14:textId="77777777" w:rsidR="00A407DC" w:rsidRDefault="00A407DC" w:rsidP="00A407DC">
      <w:pPr>
        <w:bidi/>
        <w:spacing w:line="360" w:lineRule="auto"/>
        <w:jc w:val="both"/>
        <w:rPr>
          <w:rFonts w:ascii="Traditional Arabic" w:eastAsia="Calibri" w:hAnsi="Traditional Arabic" w:cs="Traditional Arabic"/>
          <w:sz w:val="32"/>
          <w:szCs w:val="32"/>
          <w:rtl/>
          <w:lang w:val="en-US"/>
        </w:rPr>
      </w:pPr>
    </w:p>
    <w:p w14:paraId="75C12F53" w14:textId="77777777" w:rsidR="00A407DC" w:rsidRDefault="00A407DC" w:rsidP="00A407DC">
      <w:pPr>
        <w:bidi/>
        <w:spacing w:line="360" w:lineRule="auto"/>
        <w:jc w:val="both"/>
        <w:rPr>
          <w:rFonts w:ascii="Traditional Arabic" w:eastAsia="Calibri" w:hAnsi="Traditional Arabic" w:cs="Traditional Arabic"/>
          <w:sz w:val="32"/>
          <w:szCs w:val="32"/>
          <w:rtl/>
          <w:lang w:val="en-US"/>
        </w:rPr>
      </w:pPr>
    </w:p>
    <w:p w14:paraId="0F417C3D" w14:textId="77777777" w:rsidR="00A407DC" w:rsidRPr="00386BAD" w:rsidRDefault="00A407DC" w:rsidP="00A407DC">
      <w:pPr>
        <w:bidi/>
        <w:spacing w:line="360" w:lineRule="auto"/>
        <w:jc w:val="both"/>
        <w:rPr>
          <w:rFonts w:ascii="Traditional Arabic" w:eastAsia="Calibri" w:hAnsi="Traditional Arabic" w:cs="Traditional Arabic"/>
          <w:sz w:val="32"/>
          <w:szCs w:val="32"/>
          <w:lang w:val="en-US"/>
        </w:rPr>
      </w:pPr>
    </w:p>
    <w:p w14:paraId="0D39CAAD" w14:textId="32DD56BD" w:rsidR="00A57DBD" w:rsidRPr="008446A2" w:rsidRDefault="00ED586E" w:rsidP="008446A2">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 xml:space="preserve">4.2 </w:t>
      </w:r>
      <w:r w:rsidR="001C761F">
        <w:rPr>
          <w:rFonts w:ascii="Traditional Arabic" w:eastAsia="Calibri" w:hAnsi="Traditional Arabic" w:cs="Traditional Arabic" w:hint="cs"/>
          <w:b/>
          <w:bCs/>
          <w:sz w:val="32"/>
          <w:szCs w:val="32"/>
          <w:rtl/>
          <w:lang w:val="en-US"/>
        </w:rPr>
        <w:t>معدل الاستجابة</w:t>
      </w:r>
      <w:r w:rsidRPr="00386BAD">
        <w:rPr>
          <w:rFonts w:ascii="Traditional Arabic" w:eastAsia="Calibri" w:hAnsi="Traditional Arabic" w:cs="Traditional Arabic"/>
          <w:b/>
          <w:bCs/>
          <w:sz w:val="32"/>
          <w:szCs w:val="32"/>
          <w:rtl/>
          <w:lang w:val="en-US"/>
        </w:rPr>
        <w:t xml:space="preserve"> </w:t>
      </w:r>
      <w:r w:rsidR="001C761F">
        <w:rPr>
          <w:rFonts w:ascii="Traditional Arabic" w:eastAsia="Calibri" w:hAnsi="Traditional Arabic" w:cs="Traditional Arabic" w:hint="cs"/>
          <w:b/>
          <w:bCs/>
          <w:sz w:val="32"/>
          <w:szCs w:val="32"/>
          <w:rtl/>
          <w:lang w:val="en-US"/>
        </w:rPr>
        <w:t>و</w:t>
      </w:r>
      <w:r w:rsidR="008446A2">
        <w:rPr>
          <w:rFonts w:ascii="Traditional Arabic" w:eastAsia="Calibri" w:hAnsi="Traditional Arabic" w:cs="Traditional Arabic"/>
          <w:b/>
          <w:bCs/>
          <w:sz w:val="32"/>
          <w:szCs w:val="32"/>
          <w:rtl/>
          <w:lang w:val="en-US"/>
        </w:rPr>
        <w:t xml:space="preserve">الخصائص الديموغرافية </w:t>
      </w:r>
    </w:p>
    <w:p w14:paraId="7109F23F" w14:textId="39D55915" w:rsidR="00A57DBD" w:rsidRPr="00A57DBD" w:rsidRDefault="00A57DBD" w:rsidP="00A57DBD">
      <w:pPr>
        <w:bidi/>
        <w:spacing w:line="36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قبل البدء في عرض نتائج الدراسة وتحليلها، تم حصر الاستبانات الموزعة والمستردة والصالحة للتحليل الإحصائي، وذلك كما هو موضح في جدول (4-1).</w:t>
      </w:r>
    </w:p>
    <w:p w14:paraId="259F5852" w14:textId="77777777" w:rsidR="00A57DBD" w:rsidRPr="00A57DBD" w:rsidRDefault="00A57DBD" w:rsidP="00A57DBD">
      <w:pPr>
        <w:bidi/>
        <w:spacing w:line="240" w:lineRule="auto"/>
        <w:jc w:val="center"/>
        <w:rPr>
          <w:rFonts w:ascii="Traditional Arabic" w:eastAsia="Calibri" w:hAnsi="Traditional Arabic" w:cs="Traditional Arabic"/>
          <w:sz w:val="32"/>
          <w:szCs w:val="32"/>
          <w:lang w:val="en-US"/>
        </w:rPr>
      </w:pPr>
      <w:r w:rsidRPr="00A57DBD">
        <w:rPr>
          <w:rFonts w:ascii="Traditional Arabic" w:eastAsia="Calibri" w:hAnsi="Traditional Arabic" w:cs="Traditional Arabic"/>
          <w:b/>
          <w:bCs/>
          <w:sz w:val="32"/>
          <w:szCs w:val="32"/>
          <w:rtl/>
          <w:lang w:val="en-US"/>
        </w:rPr>
        <w:t>جدول (4-1) توزيع الاستبانات ومعدل الاستجابة</w:t>
      </w:r>
    </w:p>
    <w:tbl>
      <w:tblPr>
        <w:tblStyle w:val="a3"/>
        <w:bidiVisual/>
        <w:tblW w:w="5000" w:type="pct"/>
        <w:tblLook w:val="04A0" w:firstRow="1" w:lastRow="0" w:firstColumn="1" w:lastColumn="0" w:noHBand="0" w:noVBand="1"/>
      </w:tblPr>
      <w:tblGrid>
        <w:gridCol w:w="6043"/>
        <w:gridCol w:w="1233"/>
        <w:gridCol w:w="2300"/>
      </w:tblGrid>
      <w:tr w:rsidR="00A57DBD" w:rsidRPr="00A57DBD" w14:paraId="1634CCE6" w14:textId="77777777" w:rsidTr="00A57DBD">
        <w:tc>
          <w:tcPr>
            <w:tcW w:w="3155" w:type="pct"/>
            <w:hideMark/>
          </w:tcPr>
          <w:p w14:paraId="6D0BF7CF"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البيان</w:t>
            </w:r>
          </w:p>
        </w:tc>
        <w:tc>
          <w:tcPr>
            <w:tcW w:w="644" w:type="pct"/>
            <w:hideMark/>
          </w:tcPr>
          <w:p w14:paraId="7F2EBEF9"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العدد</w:t>
            </w:r>
          </w:p>
        </w:tc>
        <w:tc>
          <w:tcPr>
            <w:tcW w:w="1201" w:type="pct"/>
            <w:hideMark/>
          </w:tcPr>
          <w:p w14:paraId="3F61638C" w14:textId="6298336F"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النسبة (%)</w:t>
            </w:r>
          </w:p>
        </w:tc>
      </w:tr>
      <w:tr w:rsidR="00A57DBD" w:rsidRPr="00A57DBD" w14:paraId="01512DBF" w14:textId="77777777" w:rsidTr="00A57DBD">
        <w:tc>
          <w:tcPr>
            <w:tcW w:w="3155" w:type="pct"/>
            <w:hideMark/>
          </w:tcPr>
          <w:p w14:paraId="02A561A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الموزعة</w:t>
            </w:r>
          </w:p>
        </w:tc>
        <w:tc>
          <w:tcPr>
            <w:tcW w:w="644" w:type="pct"/>
            <w:hideMark/>
          </w:tcPr>
          <w:p w14:paraId="1D9F41A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197</w:t>
            </w:r>
          </w:p>
        </w:tc>
        <w:tc>
          <w:tcPr>
            <w:tcW w:w="1201" w:type="pct"/>
            <w:hideMark/>
          </w:tcPr>
          <w:p w14:paraId="01A71159"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100.0</w:t>
            </w:r>
          </w:p>
        </w:tc>
      </w:tr>
      <w:tr w:rsidR="00A57DBD" w:rsidRPr="00A57DBD" w14:paraId="03CF90F8" w14:textId="77777777" w:rsidTr="00A57DBD">
        <w:tc>
          <w:tcPr>
            <w:tcW w:w="3155" w:type="pct"/>
            <w:hideMark/>
          </w:tcPr>
          <w:p w14:paraId="2254A486"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المستردة</w:t>
            </w:r>
          </w:p>
        </w:tc>
        <w:tc>
          <w:tcPr>
            <w:tcW w:w="644" w:type="pct"/>
            <w:hideMark/>
          </w:tcPr>
          <w:p w14:paraId="2438672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186</w:t>
            </w:r>
          </w:p>
        </w:tc>
        <w:tc>
          <w:tcPr>
            <w:tcW w:w="1201" w:type="pct"/>
            <w:hideMark/>
          </w:tcPr>
          <w:p w14:paraId="22D9424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94.4</w:t>
            </w:r>
          </w:p>
        </w:tc>
      </w:tr>
      <w:tr w:rsidR="00A57DBD" w:rsidRPr="00A57DBD" w14:paraId="5DBBB270" w14:textId="77777777" w:rsidTr="00A57DBD">
        <w:tc>
          <w:tcPr>
            <w:tcW w:w="3155" w:type="pct"/>
            <w:hideMark/>
          </w:tcPr>
          <w:p w14:paraId="4CF931A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غير الصالحة للتحليل</w:t>
            </w:r>
          </w:p>
        </w:tc>
        <w:tc>
          <w:tcPr>
            <w:tcW w:w="644" w:type="pct"/>
            <w:hideMark/>
          </w:tcPr>
          <w:p w14:paraId="0EF2B4AA"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6</w:t>
            </w:r>
          </w:p>
        </w:tc>
        <w:tc>
          <w:tcPr>
            <w:tcW w:w="1201" w:type="pct"/>
            <w:hideMark/>
          </w:tcPr>
          <w:p w14:paraId="1009A99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3.2*</w:t>
            </w:r>
          </w:p>
        </w:tc>
      </w:tr>
      <w:tr w:rsidR="00A57DBD" w:rsidRPr="00A57DBD" w14:paraId="197A6A26" w14:textId="77777777" w:rsidTr="00A57DBD">
        <w:tc>
          <w:tcPr>
            <w:tcW w:w="3155" w:type="pct"/>
            <w:hideMark/>
          </w:tcPr>
          <w:p w14:paraId="04B94F74"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الصالحة للتحليل الإحصائي</w:t>
            </w:r>
          </w:p>
        </w:tc>
        <w:tc>
          <w:tcPr>
            <w:tcW w:w="644" w:type="pct"/>
            <w:hideMark/>
          </w:tcPr>
          <w:p w14:paraId="5429C3AC"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180</w:t>
            </w:r>
          </w:p>
        </w:tc>
        <w:tc>
          <w:tcPr>
            <w:tcW w:w="1201" w:type="pct"/>
            <w:hideMark/>
          </w:tcPr>
          <w:p w14:paraId="61446F9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96.8*</w:t>
            </w:r>
          </w:p>
        </w:tc>
      </w:tr>
    </w:tbl>
    <w:p w14:paraId="0846E94F" w14:textId="11E42CD5" w:rsidR="00A57DBD" w:rsidRPr="00A57DBD" w:rsidRDefault="00A57DBD" w:rsidP="00A57DBD">
      <w:pPr>
        <w:bidi/>
        <w:spacing w:line="24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w:t>
      </w:r>
      <w:r w:rsidRPr="00A57DBD">
        <w:rPr>
          <w:rFonts w:ascii="Traditional Arabic" w:eastAsia="Calibri" w:hAnsi="Traditional Arabic" w:cs="Traditional Arabic"/>
          <w:sz w:val="32"/>
          <w:szCs w:val="32"/>
          <w:rtl/>
          <w:lang w:val="en-US"/>
        </w:rPr>
        <w:t>تمثل النسبة من إجمالي الاستبانات المستردة، بينما تمثل الاستبانات الصالحة للتحليل نسبة 91.4% من إجمالي الاستبانات الموزعة.</w:t>
      </w:r>
    </w:p>
    <w:p w14:paraId="0239A00D" w14:textId="77777777" w:rsidR="008919F4" w:rsidRDefault="008919F4" w:rsidP="00A57DBD">
      <w:pPr>
        <w:bidi/>
        <w:spacing w:line="360" w:lineRule="auto"/>
        <w:jc w:val="both"/>
        <w:rPr>
          <w:rFonts w:ascii="Traditional Arabic" w:eastAsia="Calibri" w:hAnsi="Traditional Arabic" w:cs="Traditional Arabic"/>
          <w:sz w:val="32"/>
          <w:szCs w:val="32"/>
          <w:rtl/>
          <w:lang w:val="en-US"/>
        </w:rPr>
      </w:pPr>
    </w:p>
    <w:p w14:paraId="7D20FB6D" w14:textId="3E4103E4" w:rsidR="00A57DBD" w:rsidRPr="00A57DBD" w:rsidRDefault="00A57DBD" w:rsidP="008919F4">
      <w:pPr>
        <w:bidi/>
        <w:spacing w:line="360" w:lineRule="auto"/>
        <w:jc w:val="both"/>
        <w:rPr>
          <w:rFonts w:ascii="Traditional Arabic" w:eastAsia="Calibri" w:hAnsi="Traditional Arabic" w:cs="Traditional Arabic"/>
          <w:sz w:val="32"/>
          <w:szCs w:val="32"/>
          <w:rtl/>
          <w:lang w:val="en-US" w:bidi="ar-JO"/>
        </w:rPr>
      </w:pPr>
      <w:r w:rsidRPr="00A57DBD">
        <w:rPr>
          <w:rFonts w:ascii="Traditional Arabic" w:eastAsia="Calibri" w:hAnsi="Traditional Arabic" w:cs="Traditional Arabic"/>
          <w:sz w:val="32"/>
          <w:szCs w:val="32"/>
          <w:rtl/>
          <w:lang w:val="en-US"/>
        </w:rPr>
        <w:t>يبين جدول (4-1) أن الباحث قام بتوزيع (197) استبانة على أفراد عينة الدراسة، واستُرد منها (186) استبانة بنسبة استجابة بلغت (94.4%). وبعد مراجعة الاستبانات المستردة والتأكد من اكتمال بياناتها، استُبعدت (6) استبانات لعدم صلاحيتها للتحليل الإحصائي، في حين بلغ عدد الاستبانات الصالحة للتحليل (180) استبانة، أي ما نسبته (91.4%) من إجمالي الاستبانات الموزعة، وهي نسبة مرتفعة تعكس جودة البيانات وتوفر أساسًا مناسبًا لإجراء التحليلات الإحصائية والإجابة عن أسئلة الدراسة واختبار فرضياتها</w:t>
      </w:r>
      <w:r w:rsidRPr="00A57DBD">
        <w:rPr>
          <w:rFonts w:ascii="Traditional Arabic" w:eastAsia="Calibri" w:hAnsi="Traditional Arabic" w:cs="Traditional Arabic"/>
          <w:sz w:val="32"/>
          <w:szCs w:val="32"/>
          <w:lang w:val="en-US"/>
        </w:rPr>
        <w:t>.</w:t>
      </w:r>
    </w:p>
    <w:p w14:paraId="041C53E4" w14:textId="4BFA696C" w:rsidR="00ED586E" w:rsidRPr="00386BAD" w:rsidRDefault="00A57DBD" w:rsidP="00A57DBD">
      <w:pPr>
        <w:bidi/>
        <w:spacing w:line="360" w:lineRule="auto"/>
        <w:jc w:val="both"/>
        <w:rPr>
          <w:rFonts w:ascii="Traditional Arabic" w:eastAsia="Calibri" w:hAnsi="Traditional Arabic" w:cs="Traditional Arabic"/>
          <w:sz w:val="32"/>
          <w:szCs w:val="32"/>
          <w:lang w:val="en-US"/>
        </w:rPr>
      </w:pPr>
      <w:r>
        <w:rPr>
          <w:rFonts w:ascii="Traditional Arabic" w:eastAsia="Calibri" w:hAnsi="Traditional Arabic" w:cs="Traditional Arabic" w:hint="cs"/>
          <w:sz w:val="32"/>
          <w:szCs w:val="32"/>
          <w:rtl/>
          <w:lang w:val="en-US"/>
        </w:rPr>
        <w:lastRenderedPageBreak/>
        <w:t>بالانتقال الى</w:t>
      </w:r>
      <w:r w:rsidR="00ED586E" w:rsidRPr="00386BAD">
        <w:rPr>
          <w:rFonts w:ascii="Traditional Arabic" w:eastAsia="Calibri" w:hAnsi="Traditional Arabic" w:cs="Traditional Arabic"/>
          <w:sz w:val="32"/>
          <w:szCs w:val="32"/>
          <w:rtl/>
          <w:lang w:val="en-US"/>
        </w:rPr>
        <w:t xml:space="preserve"> عرض الخصائص الديموغرافية والوظيفية لأفراد عينة الدراسة، وذلك للتعرف إلى السمات العامة للمشارك</w:t>
      </w:r>
      <w:r>
        <w:rPr>
          <w:rFonts w:ascii="Traditional Arabic" w:eastAsia="Calibri" w:hAnsi="Traditional Arabic" w:cs="Traditional Arabic"/>
          <w:sz w:val="32"/>
          <w:szCs w:val="32"/>
          <w:rtl/>
          <w:lang w:val="en-US"/>
        </w:rPr>
        <w:t>ين الذين تم جمع البيانات منهم</w:t>
      </w:r>
      <w:r>
        <w:rPr>
          <w:rFonts w:ascii="Traditional Arabic" w:eastAsia="Calibri" w:hAnsi="Traditional Arabic" w:cs="Traditional Arabic" w:hint="cs"/>
          <w:sz w:val="32"/>
          <w:szCs w:val="32"/>
          <w:rtl/>
          <w:lang w:val="en-US"/>
        </w:rPr>
        <w:t>،</w:t>
      </w:r>
      <w:r>
        <w:rPr>
          <w:rFonts w:ascii="Traditional Arabic" w:eastAsia="Calibri" w:hAnsi="Traditional Arabic" w:cs="Traditional Arabic"/>
          <w:sz w:val="32"/>
          <w:szCs w:val="32"/>
          <w:rtl/>
          <w:lang w:val="en-US"/>
        </w:rPr>
        <w:t xml:space="preserve"> </w:t>
      </w:r>
      <w:r w:rsidR="00ED586E" w:rsidRPr="00386BAD">
        <w:rPr>
          <w:rFonts w:ascii="Traditional Arabic" w:eastAsia="Calibri" w:hAnsi="Traditional Arabic" w:cs="Traditional Arabic"/>
          <w:sz w:val="32"/>
          <w:szCs w:val="32"/>
          <w:rtl/>
          <w:lang w:val="en-US"/>
        </w:rPr>
        <w:t>تم استخدام التكرارات والنسب المئوية لوصف متغيرات الدراسة الديموغرافية، 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00ED586E" w:rsidRPr="00386BAD">
        <w:rPr>
          <w:rFonts w:ascii="Traditional Arabic" w:eastAsia="Calibri" w:hAnsi="Traditional Arabic" w:cs="Traditional Arabic"/>
          <w:sz w:val="32"/>
          <w:szCs w:val="32"/>
          <w:lang w:val="en-US"/>
        </w:rPr>
        <w:t>.</w:t>
      </w:r>
    </w:p>
    <w:p w14:paraId="4DCB0262" w14:textId="0A0292B7" w:rsidR="00ED586E" w:rsidRPr="00386BAD" w:rsidRDefault="00ED586E" w:rsidP="00A407DC">
      <w:pPr>
        <w:bidi/>
        <w:spacing w:after="0" w:line="240" w:lineRule="auto"/>
        <w:jc w:val="center"/>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جدول (4-</w:t>
      </w:r>
      <w:r w:rsidR="00A407DC">
        <w:rPr>
          <w:rFonts w:ascii="Traditional Arabic" w:eastAsia="Calibri" w:hAnsi="Traditional Arabic" w:cs="Traditional Arabic" w:hint="cs"/>
          <w:b/>
          <w:bCs/>
          <w:sz w:val="32"/>
          <w:szCs w:val="32"/>
          <w:rtl/>
          <w:lang w:val="en-US"/>
        </w:rPr>
        <w:t>2</w:t>
      </w:r>
      <w:r w:rsidRPr="00386BAD">
        <w:rPr>
          <w:rFonts w:ascii="Traditional Arabic" w:eastAsia="Calibri" w:hAnsi="Traditional Arabic" w:cs="Traditional Arabic"/>
          <w:b/>
          <w:bCs/>
          <w:sz w:val="32"/>
          <w:szCs w:val="32"/>
          <w:rtl/>
          <w:lang w:val="en-US"/>
        </w:rPr>
        <w:t>)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5DCFBBFA" w14:textId="77777777" w:rsidTr="0035092F">
        <w:tc>
          <w:tcPr>
            <w:tcW w:w="1042" w:type="pct"/>
            <w:hideMark/>
          </w:tcPr>
          <w:p w14:paraId="0027380E"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14:paraId="7B9E2B60"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14:paraId="7DF30E37"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14:paraId="70754472"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14:paraId="041B01AF" w14:textId="77777777" w:rsidTr="0035092F">
        <w:tc>
          <w:tcPr>
            <w:tcW w:w="1042" w:type="pct"/>
            <w:hideMark/>
          </w:tcPr>
          <w:p w14:paraId="056B5BB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14:paraId="02A917B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14:paraId="2BFF00A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0C9ADBC"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30AB846" w14:textId="77777777" w:rsidTr="0035092F">
        <w:tc>
          <w:tcPr>
            <w:tcW w:w="1042" w:type="pct"/>
            <w:hideMark/>
          </w:tcPr>
          <w:p w14:paraId="1B1C37C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249445F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14:paraId="674C5C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78F646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2D572865" w14:textId="77777777" w:rsidTr="0035092F">
        <w:tc>
          <w:tcPr>
            <w:tcW w:w="1042" w:type="pct"/>
            <w:hideMark/>
          </w:tcPr>
          <w:p w14:paraId="5D4C49F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BD8DB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14:paraId="4CF1DC2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7596982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56291FC" w14:textId="77777777" w:rsidTr="0035092F">
        <w:tc>
          <w:tcPr>
            <w:tcW w:w="1042" w:type="pct"/>
            <w:hideMark/>
          </w:tcPr>
          <w:p w14:paraId="03B56EA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6262CCD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14:paraId="03593B9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114F970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D939043" w14:textId="77777777" w:rsidTr="0035092F">
        <w:tc>
          <w:tcPr>
            <w:tcW w:w="1042" w:type="pct"/>
            <w:hideMark/>
          </w:tcPr>
          <w:p w14:paraId="2187363B"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B384C6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14:paraId="19D8C7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14:paraId="2C57C0F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bl>
    <w:p w14:paraId="527C363D" w14:textId="77777777" w:rsidR="008919F4" w:rsidRDefault="008919F4" w:rsidP="008919F4">
      <w:pPr>
        <w:bidi/>
        <w:spacing w:line="360" w:lineRule="auto"/>
        <w:jc w:val="both"/>
        <w:rPr>
          <w:rFonts w:ascii="Traditional Arabic" w:hAnsi="Traditional Arabic" w:cs="Traditional Arabic"/>
          <w:sz w:val="32"/>
          <w:szCs w:val="32"/>
          <w:rtl/>
        </w:rPr>
      </w:pPr>
    </w:p>
    <w:p w14:paraId="5D1759B8" w14:textId="1BDA3CF0" w:rsidR="0035092F" w:rsidRPr="008919F4" w:rsidRDefault="0035092F" w:rsidP="00A407DC">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يبين جدول (4-</w:t>
      </w:r>
      <w:r w:rsidR="00A407DC">
        <w:rPr>
          <w:rFonts w:ascii="Traditional Arabic" w:hAnsi="Traditional Arabic" w:cs="Traditional Arabic" w:hint="cs"/>
          <w:sz w:val="32"/>
          <w:szCs w:val="32"/>
          <w:rtl/>
        </w:rPr>
        <w:t>2</w:t>
      </w:r>
      <w:r w:rsidRPr="008919F4">
        <w:rPr>
          <w:rFonts w:ascii="Traditional Arabic" w:hAnsi="Traditional Arabic" w:cs="Traditional Arabic"/>
          <w:sz w:val="32"/>
          <w:szCs w:val="32"/>
          <w:rtl/>
        </w:rPr>
        <w:t>) الخصائص الديموغرافية لأفراد عينة الدراسة البالغ عددهم (180) مشاركًا. وتشير النتائج إلى أن فئتي فنيي صيانة الأجهزة الطبية والممرضين شكلتا أعلى نسبة من أفراد العينة، إذ بلغت نسبة كل منهما (25.0%)، تلتها فئتا الأطباء والمهندسين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14:paraId="7E54F057" w14:textId="29A05C34" w:rsidR="0035092F" w:rsidRPr="003438AE" w:rsidRDefault="003438AE" w:rsidP="003438AE">
      <w:pPr>
        <w:bidi/>
        <w:jc w:val="center"/>
        <w:rPr>
          <w:rFonts w:ascii="Traditional Arabic" w:hAnsi="Traditional Arabic" w:cs="Traditional Arabic"/>
          <w:b/>
          <w:bCs/>
          <w:sz w:val="32"/>
          <w:szCs w:val="32"/>
          <w:lang w:val="en-US"/>
        </w:rPr>
      </w:pPr>
      <w:r w:rsidRPr="003438AE">
        <w:rPr>
          <w:rFonts w:ascii="Traditional Arabic" w:hAnsi="Traditional Arabic" w:cs="Traditional Arabic"/>
          <w:b/>
          <w:bCs/>
          <w:sz w:val="32"/>
          <w:szCs w:val="32"/>
          <w:rtl/>
          <w:lang w:val="en-US"/>
        </w:rPr>
        <w:lastRenderedPageBreak/>
        <w:t>جدول (4-</w:t>
      </w:r>
      <w:r>
        <w:rPr>
          <w:rFonts w:ascii="Traditional Arabic" w:hAnsi="Traditional Arabic" w:cs="Traditional Arabic" w:hint="cs"/>
          <w:b/>
          <w:bCs/>
          <w:sz w:val="32"/>
          <w:szCs w:val="32"/>
          <w:rtl/>
          <w:lang w:val="en-US"/>
        </w:rPr>
        <w:t>3</w:t>
      </w:r>
      <w:r w:rsidRPr="003438AE">
        <w:rPr>
          <w:rFonts w:ascii="Traditional Arabic" w:hAnsi="Traditional Arabic" w:cs="Traditional Arabic"/>
          <w:b/>
          <w:bCs/>
          <w:sz w:val="32"/>
          <w:szCs w:val="32"/>
          <w:rtl/>
          <w:lang w:val="en-US"/>
        </w:rPr>
        <w:t>) توزيع أفراد عينة الدراسة وفق متغير الموهل العلمي</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3AE39322" w14:textId="77777777" w:rsidTr="0035092F">
        <w:tc>
          <w:tcPr>
            <w:tcW w:w="1042" w:type="pct"/>
            <w:hideMark/>
          </w:tcPr>
          <w:p w14:paraId="611238D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المؤهل العلمي</w:t>
            </w:r>
          </w:p>
        </w:tc>
        <w:tc>
          <w:tcPr>
            <w:tcW w:w="1996" w:type="pct"/>
            <w:hideMark/>
          </w:tcPr>
          <w:p w14:paraId="131AD25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14:paraId="0705203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6AB19D1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14:paraId="30B2A49D" w14:textId="77777777" w:rsidTr="0035092F">
        <w:tc>
          <w:tcPr>
            <w:tcW w:w="1042" w:type="pct"/>
            <w:hideMark/>
          </w:tcPr>
          <w:p w14:paraId="47903FC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03EC0A5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14:paraId="1154886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14:paraId="73020CD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14:paraId="7B5A346F" w14:textId="77777777" w:rsidTr="0035092F">
        <w:tc>
          <w:tcPr>
            <w:tcW w:w="1042" w:type="pct"/>
            <w:hideMark/>
          </w:tcPr>
          <w:p w14:paraId="5061EA1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75E19A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14:paraId="500BA07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6918E6C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14:paraId="7FED81FE" w14:textId="77777777" w:rsidTr="0035092F">
        <w:tc>
          <w:tcPr>
            <w:tcW w:w="1042" w:type="pct"/>
            <w:hideMark/>
          </w:tcPr>
          <w:p w14:paraId="4E9A85D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90DDC0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14:paraId="43BEDE9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14:paraId="0C6E563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bl>
    <w:p w14:paraId="10FC33EC" w14:textId="77777777" w:rsidR="0035092F" w:rsidRPr="008919F4" w:rsidRDefault="0035092F" w:rsidP="008919F4">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وفيما يتعلق بالمؤهل العلمي، أظهرت النتائج أن غالبية أفراد الدراسة يحملون درجة البكالوريوس بنسبة (49.4%)، يليهم حملة درجة الماجستير بنسبة (25.6%)، ثم حملة الدبلوم بنسبة (16.1%)، بينما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14:paraId="1B952308" w14:textId="28BD9EF6" w:rsidR="0035092F" w:rsidRPr="003438AE" w:rsidRDefault="003438AE" w:rsidP="003438AE">
      <w:pPr>
        <w:bidi/>
        <w:jc w:val="center"/>
        <w:rPr>
          <w:rFonts w:ascii="Traditional Arabic" w:hAnsi="Traditional Arabic" w:cs="Traditional Arabic"/>
          <w:b/>
          <w:bCs/>
          <w:sz w:val="32"/>
          <w:szCs w:val="32"/>
          <w:lang w:val="en-US"/>
        </w:rPr>
      </w:pPr>
      <w:r w:rsidRPr="003438AE">
        <w:rPr>
          <w:rFonts w:ascii="Traditional Arabic" w:hAnsi="Traditional Arabic" w:cs="Traditional Arabic"/>
          <w:b/>
          <w:bCs/>
          <w:sz w:val="32"/>
          <w:szCs w:val="32"/>
          <w:rtl/>
          <w:lang w:val="en-US"/>
        </w:rPr>
        <w:t>جدول (4-</w:t>
      </w:r>
      <w:r>
        <w:rPr>
          <w:rFonts w:ascii="Traditional Arabic" w:hAnsi="Traditional Arabic" w:cs="Traditional Arabic" w:hint="cs"/>
          <w:b/>
          <w:bCs/>
          <w:sz w:val="32"/>
          <w:szCs w:val="32"/>
          <w:rtl/>
          <w:lang w:val="en-US"/>
        </w:rPr>
        <w:t>4</w:t>
      </w:r>
      <w:r w:rsidRPr="003438AE">
        <w:rPr>
          <w:rFonts w:ascii="Traditional Arabic" w:hAnsi="Traditional Arabic" w:cs="Traditional Arabic"/>
          <w:b/>
          <w:bCs/>
          <w:sz w:val="32"/>
          <w:szCs w:val="32"/>
          <w:rtl/>
          <w:lang w:val="en-US"/>
        </w:rPr>
        <w:t>) توزيع أفراد عينة الدراسة وفق متغير سنوات الخبرة</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7CCB181C" w14:textId="77777777" w:rsidTr="0035092F">
        <w:tc>
          <w:tcPr>
            <w:tcW w:w="1042" w:type="pct"/>
            <w:hideMark/>
          </w:tcPr>
          <w:p w14:paraId="55A0F89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14:paraId="1B6C9FE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14:paraId="31402B5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14:paraId="05CBF6E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14:paraId="5B2C259B" w14:textId="77777777" w:rsidTr="0035092F">
        <w:tc>
          <w:tcPr>
            <w:tcW w:w="1042" w:type="pct"/>
            <w:hideMark/>
          </w:tcPr>
          <w:p w14:paraId="1668EC7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44B30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من 5 إلى أقل من 10 سنوات</w:t>
            </w:r>
          </w:p>
        </w:tc>
        <w:tc>
          <w:tcPr>
            <w:tcW w:w="594" w:type="pct"/>
            <w:hideMark/>
          </w:tcPr>
          <w:p w14:paraId="3093E7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14:paraId="3513FF0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14:paraId="290908A9" w14:textId="77777777" w:rsidTr="0035092F">
        <w:tc>
          <w:tcPr>
            <w:tcW w:w="1042" w:type="pct"/>
            <w:hideMark/>
          </w:tcPr>
          <w:p w14:paraId="47AB98A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D0B32D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من 10 إلى أقل من 15 سنة</w:t>
            </w:r>
          </w:p>
        </w:tc>
        <w:tc>
          <w:tcPr>
            <w:tcW w:w="594" w:type="pct"/>
            <w:hideMark/>
          </w:tcPr>
          <w:p w14:paraId="51AAB14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14:paraId="1C5FFA1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14:paraId="7A4A93D5" w14:textId="77777777" w:rsidTr="0035092F">
        <w:tc>
          <w:tcPr>
            <w:tcW w:w="1042" w:type="pct"/>
            <w:hideMark/>
          </w:tcPr>
          <w:p w14:paraId="5A9E14DC"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D9311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14:paraId="0E047389"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5BD0F4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bl>
    <w:p w14:paraId="5BB1E3C7" w14:textId="77777777" w:rsidR="008919F4" w:rsidRDefault="008919F4" w:rsidP="008919F4">
      <w:pPr>
        <w:bidi/>
        <w:spacing w:line="360" w:lineRule="auto"/>
        <w:jc w:val="both"/>
        <w:rPr>
          <w:rFonts w:ascii="Traditional Arabic" w:hAnsi="Traditional Arabic" w:cs="Traditional Arabic"/>
          <w:sz w:val="32"/>
          <w:szCs w:val="32"/>
          <w:rtl/>
        </w:rPr>
      </w:pPr>
    </w:p>
    <w:p w14:paraId="35819859" w14:textId="77777777" w:rsidR="0035092F" w:rsidRDefault="0035092F" w:rsidP="008919F4">
      <w:pPr>
        <w:bidi/>
        <w:spacing w:line="360" w:lineRule="auto"/>
        <w:jc w:val="both"/>
        <w:rPr>
          <w:rFonts w:ascii="Traditional Arabic" w:hAnsi="Traditional Arabic" w:cs="Traditional Arabic"/>
          <w:sz w:val="32"/>
          <w:szCs w:val="32"/>
          <w:rtl/>
        </w:rPr>
      </w:pPr>
      <w:r w:rsidRPr="008919F4">
        <w:rPr>
          <w:rFonts w:ascii="Traditional Arabic" w:hAnsi="Traditional Arabic" w:cs="Traditional Arabic"/>
          <w:sz w:val="32"/>
          <w:szCs w:val="32"/>
          <w:rtl/>
        </w:rPr>
        <w:t>أما من حيث سنوات الخبرة، فقد تبين أن أعلى نسبة من المشاركين كانت لفئة من 5 إلى أقل من 10 سنوات بنسبة (30.6%)، تلتها فئة من 10 إلى أقل من 15 سنة بنسبة (27.2%)، ثم فئة 15 سنة فأكثر بنسبة (25.5%)، في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14:paraId="436DB343" w14:textId="56C295AC" w:rsidR="0035092F" w:rsidRPr="003438AE" w:rsidRDefault="003438AE" w:rsidP="003438AE">
      <w:pPr>
        <w:bidi/>
        <w:spacing w:line="360" w:lineRule="auto"/>
        <w:jc w:val="center"/>
        <w:rPr>
          <w:rFonts w:ascii="Traditional Arabic" w:hAnsi="Traditional Arabic" w:cs="Traditional Arabic"/>
          <w:b/>
          <w:bCs/>
          <w:sz w:val="32"/>
          <w:szCs w:val="32"/>
          <w:lang w:val="en-US" w:bidi="ar-JO"/>
        </w:rPr>
      </w:pPr>
      <w:r w:rsidRPr="003438AE">
        <w:rPr>
          <w:rFonts w:ascii="Traditional Arabic" w:hAnsi="Traditional Arabic" w:cs="Traditional Arabic"/>
          <w:b/>
          <w:bCs/>
          <w:sz w:val="32"/>
          <w:szCs w:val="32"/>
          <w:rtl/>
        </w:rPr>
        <w:lastRenderedPageBreak/>
        <w:t>جدول (4-</w:t>
      </w:r>
      <w:r>
        <w:rPr>
          <w:rFonts w:ascii="Traditional Arabic" w:hAnsi="Traditional Arabic" w:cs="Traditional Arabic" w:hint="cs"/>
          <w:b/>
          <w:bCs/>
          <w:sz w:val="32"/>
          <w:szCs w:val="32"/>
          <w:rtl/>
        </w:rPr>
        <w:t>5</w:t>
      </w:r>
      <w:r w:rsidRPr="003438AE">
        <w:rPr>
          <w:rFonts w:ascii="Traditional Arabic" w:hAnsi="Traditional Arabic" w:cs="Traditional Arabic"/>
          <w:b/>
          <w:bCs/>
          <w:sz w:val="32"/>
          <w:szCs w:val="32"/>
          <w:rtl/>
        </w:rPr>
        <w:t xml:space="preserve">) توزيع أفراد عينة الدراسة وفق </w:t>
      </w:r>
      <w:r>
        <w:rPr>
          <w:rFonts w:ascii="Traditional Arabic" w:hAnsi="Traditional Arabic" w:cs="Traditional Arabic" w:hint="cs"/>
          <w:b/>
          <w:bCs/>
          <w:sz w:val="32"/>
          <w:szCs w:val="32"/>
          <w:rtl/>
        </w:rPr>
        <w:t>الأقسام</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4C7FA4CC" w14:textId="77777777" w:rsidTr="0035092F">
        <w:tc>
          <w:tcPr>
            <w:tcW w:w="1042" w:type="pct"/>
            <w:hideMark/>
          </w:tcPr>
          <w:p w14:paraId="1A165F0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القسم</w:t>
            </w:r>
          </w:p>
        </w:tc>
        <w:tc>
          <w:tcPr>
            <w:tcW w:w="1996" w:type="pct"/>
            <w:hideMark/>
          </w:tcPr>
          <w:p w14:paraId="67481A6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الطبية</w:t>
            </w:r>
          </w:p>
        </w:tc>
        <w:tc>
          <w:tcPr>
            <w:tcW w:w="594" w:type="pct"/>
            <w:hideMark/>
          </w:tcPr>
          <w:p w14:paraId="5429EE9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14:paraId="67B2AC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14:paraId="2E179C26" w14:textId="77777777" w:rsidTr="0035092F">
        <w:tc>
          <w:tcPr>
            <w:tcW w:w="1042" w:type="pct"/>
            <w:hideMark/>
          </w:tcPr>
          <w:p w14:paraId="57E20EC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65E055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الأقسام الطبية</w:t>
            </w:r>
          </w:p>
        </w:tc>
        <w:tc>
          <w:tcPr>
            <w:tcW w:w="594" w:type="pct"/>
            <w:hideMark/>
          </w:tcPr>
          <w:p w14:paraId="2FFFD0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14:paraId="03DC1B7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14:paraId="1421BC76" w14:textId="77777777" w:rsidTr="0035092F">
        <w:tc>
          <w:tcPr>
            <w:tcW w:w="1042" w:type="pct"/>
            <w:hideMark/>
          </w:tcPr>
          <w:p w14:paraId="5ACE1C72"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3026158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14:paraId="4015E8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2376803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6953B52" w14:textId="77777777" w:rsidTr="0035092F">
        <w:tc>
          <w:tcPr>
            <w:tcW w:w="1042" w:type="pct"/>
            <w:hideMark/>
          </w:tcPr>
          <w:p w14:paraId="6D47C5B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5790F4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14:paraId="404C760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5057E26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14:paraId="36119194" w14:textId="77777777"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14:paraId="368003F9" w14:textId="77777777" w:rsidR="00ED586E" w:rsidRDefault="00ED586E" w:rsidP="00ED586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وفيما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في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14:paraId="5A099F69" w14:textId="77777777" w:rsidR="008446A2" w:rsidRPr="00386BAD" w:rsidRDefault="008446A2" w:rsidP="008446A2">
      <w:pPr>
        <w:bidi/>
        <w:spacing w:line="360" w:lineRule="auto"/>
        <w:jc w:val="both"/>
        <w:rPr>
          <w:rFonts w:ascii="Traditional Arabic" w:eastAsia="Calibri" w:hAnsi="Traditional Arabic" w:cs="Traditional Arabic"/>
          <w:sz w:val="32"/>
          <w:szCs w:val="32"/>
          <w:lang w:val="en-US"/>
        </w:rPr>
      </w:pPr>
    </w:p>
    <w:p w14:paraId="6825475D" w14:textId="6E6801AE" w:rsidR="00ED586E" w:rsidRDefault="008446A2" w:rsidP="008446A2">
      <w:pPr>
        <w:bidi/>
        <w:spacing w:line="360" w:lineRule="auto"/>
        <w:jc w:val="both"/>
        <w:rPr>
          <w:rFonts w:ascii="Traditional Arabic" w:eastAsia="Calibri" w:hAnsi="Traditional Arabic" w:cs="Traditional Arabic"/>
          <w:b/>
          <w:bCs/>
          <w:sz w:val="32"/>
          <w:szCs w:val="32"/>
          <w:rtl/>
          <w:lang w:val="en-US"/>
        </w:rPr>
      </w:pPr>
      <w:r w:rsidRPr="008446A2">
        <w:rPr>
          <w:rFonts w:ascii="Traditional Arabic" w:eastAsia="Calibri" w:hAnsi="Traditional Arabic" w:cs="Traditional Arabic" w:hint="cs"/>
          <w:b/>
          <w:bCs/>
          <w:sz w:val="32"/>
          <w:szCs w:val="32"/>
          <w:rtl/>
          <w:lang w:val="en-US"/>
        </w:rPr>
        <w:t xml:space="preserve">4.2.1 </w:t>
      </w:r>
      <w:commentRangeStart w:id="1"/>
      <w:r w:rsidRPr="008446A2">
        <w:rPr>
          <w:rFonts w:ascii="Traditional Arabic" w:eastAsia="Calibri" w:hAnsi="Traditional Arabic" w:cs="Traditional Arabic"/>
          <w:b/>
          <w:bCs/>
          <w:sz w:val="32"/>
          <w:szCs w:val="32"/>
          <w:rtl/>
          <w:lang w:val="en-US"/>
        </w:rPr>
        <w:t>اختبار الفروق في أبعاد الدراسة تبعًا للمتغيرات الديموغرافية</w:t>
      </w:r>
      <w:commentRangeEnd w:id="1"/>
      <w:r w:rsidR="00F516A0">
        <w:rPr>
          <w:rStyle w:val="aa"/>
          <w:rFonts w:ascii="Traditional Arabic" w:eastAsia="Calibri" w:hAnsi="Traditional Arabic" w:cs="Traditional Arabic"/>
          <w:b/>
          <w:bCs/>
          <w:sz w:val="32"/>
          <w:szCs w:val="32"/>
          <w:rtl/>
          <w:lang w:val="en-US"/>
        </w:rPr>
        <w:commentReference w:id="1"/>
      </w:r>
    </w:p>
    <w:p w14:paraId="1223BE4A" w14:textId="19AA289E" w:rsidR="008446A2" w:rsidRPr="008446A2" w:rsidRDefault="008446A2" w:rsidP="008446A2">
      <w:pPr>
        <w:bidi/>
        <w:spacing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للتعرف إلى ما إذا كانت تقديرات أفراد عينة الدراسة لأبعادها تختلف باختلاف خصائصهم الديموغرافية والوظيفية، تم استخدام تحليل التباين الأحادي (</w:t>
      </w:r>
      <w:r w:rsidRPr="008446A2">
        <w:rPr>
          <w:rFonts w:ascii="Traditional Arabic" w:eastAsia="Calibri" w:hAnsi="Traditional Arabic" w:cs="Traditional Arabic"/>
          <w:sz w:val="32"/>
          <w:szCs w:val="32"/>
          <w:lang w:val="en-US"/>
        </w:rPr>
        <w:t>One-Way ANOVA</w:t>
      </w:r>
      <w:r w:rsidRPr="008446A2">
        <w:rPr>
          <w:rFonts w:ascii="Traditional Arabic" w:eastAsia="Calibri" w:hAnsi="Traditional Arabic" w:cs="Traditional Arabic"/>
          <w:sz w:val="32"/>
          <w:szCs w:val="32"/>
          <w:rtl/>
          <w:lang w:val="en-US"/>
        </w:rPr>
        <w:t>)، وذلك وفق متغيرات الوظيفة، والمؤهل العلمي، وسنوات الخبرة، والقسم الذي يعمل فيه المشارك</w:t>
      </w:r>
      <w:r w:rsidRPr="008446A2">
        <w:rPr>
          <w:rFonts w:ascii="Traditional Arabic" w:eastAsia="Calibri" w:hAnsi="Traditional Arabic" w:cs="Traditional Arabic"/>
          <w:sz w:val="32"/>
          <w:szCs w:val="32"/>
          <w:lang w:val="en-US"/>
        </w:rPr>
        <w:t>.</w:t>
      </w:r>
    </w:p>
    <w:p w14:paraId="0047E9B0" w14:textId="4CA0DD69" w:rsidR="008446A2" w:rsidRPr="008446A2" w:rsidRDefault="008446A2" w:rsidP="008446A2">
      <w:pPr>
        <w:bidi/>
        <w:spacing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lastRenderedPageBreak/>
        <w:t>وشمل الاختبار أبعاد الدراسة المتمثلة في الصيانة الوقائية، والصيانة التنبؤية، وسرعة الاستجابة للخدمة الطبية، وسلامة المرضى، وتقليل تأجيل العمليات والخدمات الطبية، بالإضافة إلى الدرجة الكلية لجودة الرعاية الصحية. واعتمدت الدراسة مستوى الدلالة الإحصائية (</w:t>
      </w:r>
      <w:r w:rsidRPr="008446A2">
        <w:rPr>
          <w:rFonts w:ascii="Times New Roman" w:eastAsia="Calibri" w:hAnsi="Times New Roman" w:cs="Times New Roman"/>
          <w:sz w:val="32"/>
          <w:szCs w:val="32"/>
          <w:lang w:val="en-US"/>
        </w:rPr>
        <w:t>α</w:t>
      </w:r>
      <w:r w:rsidRPr="008446A2">
        <w:rPr>
          <w:rFonts w:ascii="Traditional Arabic" w:eastAsia="Calibri" w:hAnsi="Traditional Arabic" w:cs="Traditional Arabic"/>
          <w:sz w:val="32"/>
          <w:szCs w:val="32"/>
          <w:lang w:val="en-US"/>
        </w:rPr>
        <w:t xml:space="preserve"> </w:t>
      </w:r>
      <w:r w:rsidRPr="008446A2">
        <w:rPr>
          <w:rFonts w:ascii="Times New Roman" w:eastAsia="Calibri" w:hAnsi="Times New Roman" w:cs="Times New Roman"/>
          <w:sz w:val="32"/>
          <w:szCs w:val="32"/>
          <w:lang w:val="en-US"/>
        </w:rPr>
        <w:t>≤</w:t>
      </w:r>
      <w:r w:rsidRPr="008446A2">
        <w:rPr>
          <w:rFonts w:ascii="Traditional Arabic" w:eastAsia="Calibri" w:hAnsi="Traditional Arabic" w:cs="Traditional Arabic"/>
          <w:sz w:val="32"/>
          <w:szCs w:val="32"/>
          <w:lang w:val="en-US"/>
        </w:rPr>
        <w:t xml:space="preserve"> 0.05</w:t>
      </w:r>
      <w:r w:rsidRPr="008446A2">
        <w:rPr>
          <w:rFonts w:ascii="Traditional Arabic" w:eastAsia="Calibri" w:hAnsi="Traditional Arabic" w:cs="Traditional Arabic"/>
          <w:sz w:val="32"/>
          <w:szCs w:val="32"/>
          <w:rtl/>
          <w:lang w:val="en-US"/>
        </w:rPr>
        <w:t>) للحكم على معنوية الفروق.</w:t>
      </w:r>
    </w:p>
    <w:p w14:paraId="61DCBF61" w14:textId="77777777" w:rsidR="008446A2" w:rsidRPr="008446A2" w:rsidRDefault="008446A2" w:rsidP="008446A2">
      <w:pPr>
        <w:bidi/>
        <w:spacing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ويبين الجدول الآتي ملخص نتائج اختبار الفروق في أبعاد الدراسة تبعًا للمتغيرات الديموغرافية</w:t>
      </w:r>
      <w:r w:rsidRPr="008446A2">
        <w:rPr>
          <w:rFonts w:ascii="Traditional Arabic" w:eastAsia="Calibri" w:hAnsi="Traditional Arabic" w:cs="Traditional Arabic"/>
          <w:sz w:val="32"/>
          <w:szCs w:val="32"/>
          <w:lang w:val="en-US"/>
        </w:rPr>
        <w:t>.</w:t>
      </w:r>
    </w:p>
    <w:p w14:paraId="33260291" w14:textId="24F726D8" w:rsidR="008446A2" w:rsidRPr="008446A2" w:rsidRDefault="008446A2" w:rsidP="003438AE">
      <w:pPr>
        <w:bidi/>
        <w:spacing w:after="0" w:line="360" w:lineRule="auto"/>
        <w:jc w:val="center"/>
        <w:rPr>
          <w:rFonts w:ascii="Traditional Arabic" w:eastAsia="Calibri" w:hAnsi="Traditional Arabic" w:cs="Traditional Arabic"/>
          <w:b/>
          <w:bCs/>
          <w:sz w:val="32"/>
          <w:szCs w:val="32"/>
          <w:rtl/>
          <w:lang w:val="en-US" w:bidi="ar-JO"/>
        </w:rPr>
      </w:pPr>
      <w:r w:rsidRPr="008446A2">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6</w:t>
      </w:r>
      <w:r w:rsidRPr="008446A2">
        <w:rPr>
          <w:rFonts w:ascii="Traditional Arabic" w:eastAsia="Calibri" w:hAnsi="Traditional Arabic" w:cs="Traditional Arabic"/>
          <w:b/>
          <w:bCs/>
          <w:sz w:val="32"/>
          <w:szCs w:val="32"/>
          <w:rtl/>
          <w:lang w:val="en-US"/>
        </w:rPr>
        <w:t>) ملخص نتائج تحليل التباين الأحادي (</w:t>
      </w:r>
      <w:r w:rsidRPr="008446A2">
        <w:rPr>
          <w:rFonts w:ascii="Traditional Arabic" w:eastAsia="Calibri" w:hAnsi="Traditional Arabic" w:cs="Traditional Arabic"/>
          <w:b/>
          <w:bCs/>
          <w:sz w:val="32"/>
          <w:szCs w:val="32"/>
          <w:lang w:val="en-US"/>
        </w:rPr>
        <w:t>One-Way ANOVA</w:t>
      </w:r>
      <w:r w:rsidRPr="008446A2">
        <w:rPr>
          <w:rFonts w:ascii="Traditional Arabic" w:eastAsia="Calibri" w:hAnsi="Traditional Arabic" w:cs="Traditional Arabic"/>
          <w:b/>
          <w:bCs/>
          <w:sz w:val="32"/>
          <w:szCs w:val="32"/>
          <w:rtl/>
          <w:lang w:val="en-US"/>
        </w:rPr>
        <w:t>) للفروق في أبعاد الدراسة تبعًا للمتغيرات الديموغرافية</w:t>
      </w:r>
    </w:p>
    <w:tbl>
      <w:tblPr>
        <w:tblStyle w:val="a3"/>
        <w:bidiVisual/>
        <w:tblW w:w="5000" w:type="pct"/>
        <w:tblLook w:val="04A0" w:firstRow="1" w:lastRow="0" w:firstColumn="1" w:lastColumn="0" w:noHBand="0" w:noVBand="1"/>
      </w:tblPr>
      <w:tblGrid>
        <w:gridCol w:w="2384"/>
        <w:gridCol w:w="2697"/>
        <w:gridCol w:w="1126"/>
        <w:gridCol w:w="1356"/>
        <w:gridCol w:w="2013"/>
      </w:tblGrid>
      <w:tr w:rsidR="008446A2" w:rsidRPr="008446A2" w14:paraId="21B60AA2" w14:textId="77777777" w:rsidTr="008446A2">
        <w:tc>
          <w:tcPr>
            <w:tcW w:w="1245" w:type="pct"/>
            <w:hideMark/>
          </w:tcPr>
          <w:p w14:paraId="543D308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المتغير الديموغرافي</w:t>
            </w:r>
          </w:p>
        </w:tc>
        <w:tc>
          <w:tcPr>
            <w:tcW w:w="1408" w:type="pct"/>
            <w:hideMark/>
          </w:tcPr>
          <w:p w14:paraId="4A7C235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البعد</w:t>
            </w:r>
          </w:p>
        </w:tc>
        <w:tc>
          <w:tcPr>
            <w:tcW w:w="588" w:type="pct"/>
            <w:hideMark/>
          </w:tcPr>
          <w:p w14:paraId="17653241"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lang w:val="en-US"/>
              </w:rPr>
              <w:t>F</w:t>
            </w:r>
          </w:p>
        </w:tc>
        <w:tc>
          <w:tcPr>
            <w:tcW w:w="708" w:type="pct"/>
            <w:hideMark/>
          </w:tcPr>
          <w:p w14:paraId="20459313"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lang w:val="en-US"/>
              </w:rPr>
              <w:t>Sig.</w:t>
            </w:r>
          </w:p>
        </w:tc>
        <w:tc>
          <w:tcPr>
            <w:tcW w:w="1051" w:type="pct"/>
            <w:hideMark/>
          </w:tcPr>
          <w:p w14:paraId="282800DE"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النتيجة</w:t>
            </w:r>
          </w:p>
        </w:tc>
      </w:tr>
      <w:tr w:rsidR="008446A2" w:rsidRPr="008446A2" w14:paraId="79D7A985" w14:textId="77777777" w:rsidTr="008446A2">
        <w:tc>
          <w:tcPr>
            <w:tcW w:w="1245" w:type="pct"/>
            <w:hideMark/>
          </w:tcPr>
          <w:p w14:paraId="5FC2B55A"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الوظيفة</w:t>
            </w:r>
          </w:p>
        </w:tc>
        <w:tc>
          <w:tcPr>
            <w:tcW w:w="1408" w:type="pct"/>
            <w:hideMark/>
          </w:tcPr>
          <w:p w14:paraId="4BB428F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الوقائية</w:t>
            </w:r>
          </w:p>
        </w:tc>
        <w:tc>
          <w:tcPr>
            <w:tcW w:w="588" w:type="pct"/>
            <w:hideMark/>
          </w:tcPr>
          <w:p w14:paraId="5995764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1.84</w:t>
            </w:r>
          </w:p>
        </w:tc>
        <w:tc>
          <w:tcPr>
            <w:tcW w:w="708" w:type="pct"/>
            <w:hideMark/>
          </w:tcPr>
          <w:p w14:paraId="55E88CF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0.123</w:t>
            </w:r>
          </w:p>
        </w:tc>
        <w:tc>
          <w:tcPr>
            <w:tcW w:w="1051" w:type="pct"/>
            <w:hideMark/>
          </w:tcPr>
          <w:p w14:paraId="5574B88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788CD6D3" w14:textId="77777777" w:rsidTr="008446A2">
        <w:tc>
          <w:tcPr>
            <w:tcW w:w="1245" w:type="pct"/>
            <w:hideMark/>
          </w:tcPr>
          <w:p w14:paraId="618F4009"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4F9888B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29C0A59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2.91</w:t>
            </w:r>
          </w:p>
        </w:tc>
        <w:tc>
          <w:tcPr>
            <w:tcW w:w="708" w:type="pct"/>
            <w:hideMark/>
          </w:tcPr>
          <w:p w14:paraId="5E9DBA5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0.023</w:t>
            </w:r>
          </w:p>
        </w:tc>
        <w:tc>
          <w:tcPr>
            <w:tcW w:w="1051" w:type="pct"/>
            <w:hideMark/>
          </w:tcPr>
          <w:p w14:paraId="6403958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DD23717" w14:textId="77777777" w:rsidTr="008446A2">
        <w:tc>
          <w:tcPr>
            <w:tcW w:w="1245" w:type="pct"/>
            <w:hideMark/>
          </w:tcPr>
          <w:p w14:paraId="4E1A5AFB"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421327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سرعة الاستجابة</w:t>
            </w:r>
          </w:p>
        </w:tc>
        <w:tc>
          <w:tcPr>
            <w:tcW w:w="588" w:type="pct"/>
            <w:hideMark/>
          </w:tcPr>
          <w:p w14:paraId="6899CC8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1.67</w:t>
            </w:r>
          </w:p>
        </w:tc>
        <w:tc>
          <w:tcPr>
            <w:tcW w:w="708" w:type="pct"/>
            <w:hideMark/>
          </w:tcPr>
          <w:p w14:paraId="6F494EC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0.159</w:t>
            </w:r>
          </w:p>
        </w:tc>
        <w:tc>
          <w:tcPr>
            <w:tcW w:w="1051" w:type="pct"/>
            <w:hideMark/>
          </w:tcPr>
          <w:p w14:paraId="6A61324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5C4FEF46" w14:textId="77777777" w:rsidTr="008446A2">
        <w:tc>
          <w:tcPr>
            <w:tcW w:w="1245" w:type="pct"/>
            <w:hideMark/>
          </w:tcPr>
          <w:p w14:paraId="749845C5"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10B97D4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سلامة المرضى</w:t>
            </w:r>
          </w:p>
        </w:tc>
        <w:tc>
          <w:tcPr>
            <w:tcW w:w="588" w:type="pct"/>
            <w:hideMark/>
          </w:tcPr>
          <w:p w14:paraId="3708814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2.48</w:t>
            </w:r>
          </w:p>
        </w:tc>
        <w:tc>
          <w:tcPr>
            <w:tcW w:w="708" w:type="pct"/>
            <w:hideMark/>
          </w:tcPr>
          <w:p w14:paraId="5C549B9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0.046</w:t>
            </w:r>
          </w:p>
        </w:tc>
        <w:tc>
          <w:tcPr>
            <w:tcW w:w="1051" w:type="pct"/>
            <w:hideMark/>
          </w:tcPr>
          <w:p w14:paraId="34E1FA6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3696004C" w14:textId="77777777" w:rsidTr="008446A2">
        <w:tc>
          <w:tcPr>
            <w:tcW w:w="1245" w:type="pct"/>
            <w:hideMark/>
          </w:tcPr>
          <w:p w14:paraId="019B3091"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39A2DFE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تقليل التأجيل</w:t>
            </w:r>
          </w:p>
        </w:tc>
        <w:tc>
          <w:tcPr>
            <w:tcW w:w="588" w:type="pct"/>
            <w:hideMark/>
          </w:tcPr>
          <w:p w14:paraId="38736CD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1.42</w:t>
            </w:r>
          </w:p>
        </w:tc>
        <w:tc>
          <w:tcPr>
            <w:tcW w:w="708" w:type="pct"/>
            <w:hideMark/>
          </w:tcPr>
          <w:p w14:paraId="3F24537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0.229</w:t>
            </w:r>
          </w:p>
        </w:tc>
        <w:tc>
          <w:tcPr>
            <w:tcW w:w="1051" w:type="pct"/>
            <w:hideMark/>
          </w:tcPr>
          <w:p w14:paraId="6FA20B3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3F0006F3" w14:textId="77777777" w:rsidTr="008446A2">
        <w:tc>
          <w:tcPr>
            <w:tcW w:w="1245" w:type="pct"/>
            <w:hideMark/>
          </w:tcPr>
          <w:p w14:paraId="3396350F"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247E44F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1B275F6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2.02</w:t>
            </w:r>
          </w:p>
        </w:tc>
        <w:tc>
          <w:tcPr>
            <w:tcW w:w="708" w:type="pct"/>
            <w:hideMark/>
          </w:tcPr>
          <w:p w14:paraId="5084302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0.094</w:t>
            </w:r>
          </w:p>
        </w:tc>
        <w:tc>
          <w:tcPr>
            <w:tcW w:w="1051" w:type="pct"/>
            <w:hideMark/>
          </w:tcPr>
          <w:p w14:paraId="7A37854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21F07A71" w14:textId="77777777" w:rsidTr="008446A2">
        <w:tc>
          <w:tcPr>
            <w:tcW w:w="1245" w:type="pct"/>
            <w:hideMark/>
          </w:tcPr>
          <w:p w14:paraId="7F17672C"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المؤهل العلمي</w:t>
            </w:r>
          </w:p>
        </w:tc>
        <w:tc>
          <w:tcPr>
            <w:tcW w:w="1408" w:type="pct"/>
            <w:hideMark/>
          </w:tcPr>
          <w:p w14:paraId="3FDE0D7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الوقائية</w:t>
            </w:r>
          </w:p>
        </w:tc>
        <w:tc>
          <w:tcPr>
            <w:tcW w:w="588" w:type="pct"/>
            <w:hideMark/>
          </w:tcPr>
          <w:p w14:paraId="44B6E86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2.05</w:t>
            </w:r>
          </w:p>
        </w:tc>
        <w:tc>
          <w:tcPr>
            <w:tcW w:w="708" w:type="pct"/>
            <w:hideMark/>
          </w:tcPr>
          <w:p w14:paraId="37FE289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0.108</w:t>
            </w:r>
          </w:p>
        </w:tc>
        <w:tc>
          <w:tcPr>
            <w:tcW w:w="1051" w:type="pct"/>
            <w:hideMark/>
          </w:tcPr>
          <w:p w14:paraId="2C67B75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7AB3CB5D" w14:textId="77777777" w:rsidTr="008446A2">
        <w:tc>
          <w:tcPr>
            <w:tcW w:w="1245" w:type="pct"/>
            <w:hideMark/>
          </w:tcPr>
          <w:p w14:paraId="2195F6A0"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11232D1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0D85CAD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3.22</w:t>
            </w:r>
          </w:p>
        </w:tc>
        <w:tc>
          <w:tcPr>
            <w:tcW w:w="708" w:type="pct"/>
            <w:hideMark/>
          </w:tcPr>
          <w:p w14:paraId="60C23FE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0.024</w:t>
            </w:r>
          </w:p>
        </w:tc>
        <w:tc>
          <w:tcPr>
            <w:tcW w:w="1051" w:type="pct"/>
            <w:hideMark/>
          </w:tcPr>
          <w:p w14:paraId="171AD03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1ABF7C1E" w14:textId="77777777" w:rsidTr="008446A2">
        <w:tc>
          <w:tcPr>
            <w:tcW w:w="1245" w:type="pct"/>
            <w:hideMark/>
          </w:tcPr>
          <w:p w14:paraId="5E8D9DC1"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79E9CF6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سرعة الاستجابة</w:t>
            </w:r>
          </w:p>
        </w:tc>
        <w:tc>
          <w:tcPr>
            <w:tcW w:w="588" w:type="pct"/>
            <w:hideMark/>
          </w:tcPr>
          <w:p w14:paraId="19C6778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1.31</w:t>
            </w:r>
          </w:p>
        </w:tc>
        <w:tc>
          <w:tcPr>
            <w:tcW w:w="708" w:type="pct"/>
            <w:hideMark/>
          </w:tcPr>
          <w:p w14:paraId="6DE4A9C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0.272</w:t>
            </w:r>
          </w:p>
        </w:tc>
        <w:tc>
          <w:tcPr>
            <w:tcW w:w="1051" w:type="pct"/>
            <w:hideMark/>
          </w:tcPr>
          <w:p w14:paraId="7852C79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4D7521EF" w14:textId="77777777" w:rsidTr="008446A2">
        <w:tc>
          <w:tcPr>
            <w:tcW w:w="1245" w:type="pct"/>
            <w:hideMark/>
          </w:tcPr>
          <w:p w14:paraId="3F094E69"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311DED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سلامة المرضى</w:t>
            </w:r>
          </w:p>
        </w:tc>
        <w:tc>
          <w:tcPr>
            <w:tcW w:w="588" w:type="pct"/>
            <w:hideMark/>
          </w:tcPr>
          <w:p w14:paraId="3F9FEAD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1.79</w:t>
            </w:r>
          </w:p>
        </w:tc>
        <w:tc>
          <w:tcPr>
            <w:tcW w:w="708" w:type="pct"/>
            <w:hideMark/>
          </w:tcPr>
          <w:p w14:paraId="75017ED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0.151</w:t>
            </w:r>
          </w:p>
        </w:tc>
        <w:tc>
          <w:tcPr>
            <w:tcW w:w="1051" w:type="pct"/>
            <w:hideMark/>
          </w:tcPr>
          <w:p w14:paraId="556CE40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72983146" w14:textId="77777777" w:rsidTr="008446A2">
        <w:tc>
          <w:tcPr>
            <w:tcW w:w="1245" w:type="pct"/>
            <w:hideMark/>
          </w:tcPr>
          <w:p w14:paraId="21A3A08C"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1D52E2B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تقليل التأجيل</w:t>
            </w:r>
          </w:p>
        </w:tc>
        <w:tc>
          <w:tcPr>
            <w:tcW w:w="588" w:type="pct"/>
            <w:hideMark/>
          </w:tcPr>
          <w:p w14:paraId="0FD067B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1.54</w:t>
            </w:r>
          </w:p>
        </w:tc>
        <w:tc>
          <w:tcPr>
            <w:tcW w:w="708" w:type="pct"/>
            <w:hideMark/>
          </w:tcPr>
          <w:p w14:paraId="49288EA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0.206</w:t>
            </w:r>
          </w:p>
        </w:tc>
        <w:tc>
          <w:tcPr>
            <w:tcW w:w="1051" w:type="pct"/>
            <w:hideMark/>
          </w:tcPr>
          <w:p w14:paraId="33F5AA6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21142B3F" w14:textId="77777777" w:rsidTr="008446A2">
        <w:tc>
          <w:tcPr>
            <w:tcW w:w="1245" w:type="pct"/>
            <w:hideMark/>
          </w:tcPr>
          <w:p w14:paraId="53A7392C"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514938A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010F5F8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1.88</w:t>
            </w:r>
          </w:p>
        </w:tc>
        <w:tc>
          <w:tcPr>
            <w:tcW w:w="708" w:type="pct"/>
            <w:hideMark/>
          </w:tcPr>
          <w:p w14:paraId="45D1418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0.134</w:t>
            </w:r>
          </w:p>
        </w:tc>
        <w:tc>
          <w:tcPr>
            <w:tcW w:w="1051" w:type="pct"/>
            <w:hideMark/>
          </w:tcPr>
          <w:p w14:paraId="07CB65F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06EA178D" w14:textId="77777777" w:rsidTr="008446A2">
        <w:tc>
          <w:tcPr>
            <w:tcW w:w="1245" w:type="pct"/>
            <w:hideMark/>
          </w:tcPr>
          <w:p w14:paraId="1DCBDA4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t>سنوات الخبرة</w:t>
            </w:r>
          </w:p>
        </w:tc>
        <w:tc>
          <w:tcPr>
            <w:tcW w:w="1408" w:type="pct"/>
            <w:hideMark/>
          </w:tcPr>
          <w:p w14:paraId="308230E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الوقائية</w:t>
            </w:r>
          </w:p>
        </w:tc>
        <w:tc>
          <w:tcPr>
            <w:tcW w:w="588" w:type="pct"/>
            <w:hideMark/>
          </w:tcPr>
          <w:p w14:paraId="0D9A2C7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3.58</w:t>
            </w:r>
          </w:p>
        </w:tc>
        <w:tc>
          <w:tcPr>
            <w:tcW w:w="708" w:type="pct"/>
            <w:hideMark/>
          </w:tcPr>
          <w:p w14:paraId="6EA7927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0.015</w:t>
            </w:r>
          </w:p>
        </w:tc>
        <w:tc>
          <w:tcPr>
            <w:tcW w:w="1051" w:type="pct"/>
            <w:hideMark/>
          </w:tcPr>
          <w:p w14:paraId="2DAAA78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11CE9A09" w14:textId="77777777" w:rsidTr="008446A2">
        <w:tc>
          <w:tcPr>
            <w:tcW w:w="1245" w:type="pct"/>
            <w:hideMark/>
          </w:tcPr>
          <w:p w14:paraId="5D963B76"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774036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68B3184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4.11</w:t>
            </w:r>
          </w:p>
        </w:tc>
        <w:tc>
          <w:tcPr>
            <w:tcW w:w="708" w:type="pct"/>
            <w:hideMark/>
          </w:tcPr>
          <w:p w14:paraId="39B631E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0.007</w:t>
            </w:r>
          </w:p>
        </w:tc>
        <w:tc>
          <w:tcPr>
            <w:tcW w:w="1051" w:type="pct"/>
            <w:hideMark/>
          </w:tcPr>
          <w:p w14:paraId="1DA659C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3916F009" w14:textId="77777777" w:rsidTr="008446A2">
        <w:tc>
          <w:tcPr>
            <w:tcW w:w="1245" w:type="pct"/>
            <w:hideMark/>
          </w:tcPr>
          <w:p w14:paraId="3DF7F8FA"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D17610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سرعة الاستجابة</w:t>
            </w:r>
          </w:p>
        </w:tc>
        <w:tc>
          <w:tcPr>
            <w:tcW w:w="588" w:type="pct"/>
            <w:hideMark/>
          </w:tcPr>
          <w:p w14:paraId="34F1BA4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3.02</w:t>
            </w:r>
          </w:p>
        </w:tc>
        <w:tc>
          <w:tcPr>
            <w:tcW w:w="708" w:type="pct"/>
            <w:hideMark/>
          </w:tcPr>
          <w:p w14:paraId="38834DB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0.031</w:t>
            </w:r>
          </w:p>
        </w:tc>
        <w:tc>
          <w:tcPr>
            <w:tcW w:w="1051" w:type="pct"/>
            <w:hideMark/>
          </w:tcPr>
          <w:p w14:paraId="20495A3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8782C87" w14:textId="77777777" w:rsidTr="008446A2">
        <w:tc>
          <w:tcPr>
            <w:tcW w:w="1245" w:type="pct"/>
            <w:hideMark/>
          </w:tcPr>
          <w:p w14:paraId="40034D01"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59AE00F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سلامة المرضى</w:t>
            </w:r>
          </w:p>
        </w:tc>
        <w:tc>
          <w:tcPr>
            <w:tcW w:w="588" w:type="pct"/>
            <w:hideMark/>
          </w:tcPr>
          <w:p w14:paraId="0369041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2.18</w:t>
            </w:r>
          </w:p>
        </w:tc>
        <w:tc>
          <w:tcPr>
            <w:tcW w:w="708" w:type="pct"/>
            <w:hideMark/>
          </w:tcPr>
          <w:p w14:paraId="6ECF9F5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0.092</w:t>
            </w:r>
          </w:p>
        </w:tc>
        <w:tc>
          <w:tcPr>
            <w:tcW w:w="1051" w:type="pct"/>
            <w:hideMark/>
          </w:tcPr>
          <w:p w14:paraId="2E204EB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584705CD" w14:textId="77777777" w:rsidTr="008446A2">
        <w:tc>
          <w:tcPr>
            <w:tcW w:w="1245" w:type="pct"/>
            <w:hideMark/>
          </w:tcPr>
          <w:p w14:paraId="2551086B"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30BCAE6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تقليل التأجيل</w:t>
            </w:r>
          </w:p>
        </w:tc>
        <w:tc>
          <w:tcPr>
            <w:tcW w:w="588" w:type="pct"/>
            <w:hideMark/>
          </w:tcPr>
          <w:p w14:paraId="517AEAA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2.34</w:t>
            </w:r>
          </w:p>
        </w:tc>
        <w:tc>
          <w:tcPr>
            <w:tcW w:w="708" w:type="pct"/>
            <w:hideMark/>
          </w:tcPr>
          <w:p w14:paraId="7389B91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0.075</w:t>
            </w:r>
          </w:p>
        </w:tc>
        <w:tc>
          <w:tcPr>
            <w:tcW w:w="1051" w:type="pct"/>
            <w:hideMark/>
          </w:tcPr>
          <w:p w14:paraId="058EF48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لا توجد فروق</w:t>
            </w:r>
          </w:p>
        </w:tc>
      </w:tr>
      <w:tr w:rsidR="008446A2" w:rsidRPr="008446A2" w14:paraId="22BBC52A" w14:textId="77777777" w:rsidTr="008446A2">
        <w:tc>
          <w:tcPr>
            <w:tcW w:w="1245" w:type="pct"/>
            <w:hideMark/>
          </w:tcPr>
          <w:p w14:paraId="37B67CDD"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EE0F9A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47D5A36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2.71</w:t>
            </w:r>
          </w:p>
        </w:tc>
        <w:tc>
          <w:tcPr>
            <w:tcW w:w="708" w:type="pct"/>
            <w:hideMark/>
          </w:tcPr>
          <w:p w14:paraId="69EA814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0.047</w:t>
            </w:r>
          </w:p>
        </w:tc>
        <w:tc>
          <w:tcPr>
            <w:tcW w:w="1051" w:type="pct"/>
            <w:hideMark/>
          </w:tcPr>
          <w:p w14:paraId="646F73D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50C3AF1A" w14:textId="77777777" w:rsidTr="008446A2">
        <w:tc>
          <w:tcPr>
            <w:tcW w:w="1245" w:type="pct"/>
            <w:hideMark/>
          </w:tcPr>
          <w:p w14:paraId="1887AFBB" w14:textId="77777777" w:rsidR="008446A2" w:rsidRPr="008446A2" w:rsidRDefault="008446A2" w:rsidP="008446A2">
            <w:pPr>
              <w:bidi/>
              <w:jc w:val="both"/>
              <w:rPr>
                <w:rFonts w:ascii="Traditional Arabic" w:eastAsia="Calibri" w:hAnsi="Traditional Arabic" w:cs="Traditional Arabic"/>
                <w:b/>
                <w:bCs/>
                <w:sz w:val="28"/>
                <w:szCs w:val="28"/>
                <w:lang w:val="en-US"/>
              </w:rPr>
            </w:pPr>
            <w:r w:rsidRPr="008446A2">
              <w:rPr>
                <w:rFonts w:ascii="Traditional Arabic" w:eastAsia="Calibri" w:hAnsi="Traditional Arabic" w:cs="Traditional Arabic"/>
                <w:b/>
                <w:bCs/>
                <w:sz w:val="28"/>
                <w:szCs w:val="28"/>
                <w:rtl/>
                <w:lang w:val="en-US"/>
              </w:rPr>
              <w:lastRenderedPageBreak/>
              <w:t>القسم</w:t>
            </w:r>
          </w:p>
        </w:tc>
        <w:tc>
          <w:tcPr>
            <w:tcW w:w="1408" w:type="pct"/>
            <w:hideMark/>
          </w:tcPr>
          <w:p w14:paraId="286D59C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الوقائية</w:t>
            </w:r>
          </w:p>
        </w:tc>
        <w:tc>
          <w:tcPr>
            <w:tcW w:w="588" w:type="pct"/>
            <w:hideMark/>
          </w:tcPr>
          <w:p w14:paraId="0618D2C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4.26</w:t>
            </w:r>
          </w:p>
        </w:tc>
        <w:tc>
          <w:tcPr>
            <w:tcW w:w="708" w:type="pct"/>
            <w:hideMark/>
          </w:tcPr>
          <w:p w14:paraId="015BB0D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0.006</w:t>
            </w:r>
          </w:p>
        </w:tc>
        <w:tc>
          <w:tcPr>
            <w:tcW w:w="1051" w:type="pct"/>
            <w:hideMark/>
          </w:tcPr>
          <w:p w14:paraId="359C85B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5292CAF" w14:textId="77777777" w:rsidTr="008446A2">
        <w:tc>
          <w:tcPr>
            <w:tcW w:w="1245" w:type="pct"/>
            <w:hideMark/>
          </w:tcPr>
          <w:p w14:paraId="7E215F05"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6147363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588" w:type="pct"/>
            <w:hideMark/>
          </w:tcPr>
          <w:p w14:paraId="03F75E9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5.12</w:t>
            </w:r>
          </w:p>
        </w:tc>
        <w:tc>
          <w:tcPr>
            <w:tcW w:w="708" w:type="pct"/>
            <w:hideMark/>
          </w:tcPr>
          <w:p w14:paraId="43F5217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0.002</w:t>
            </w:r>
          </w:p>
        </w:tc>
        <w:tc>
          <w:tcPr>
            <w:tcW w:w="1051" w:type="pct"/>
            <w:hideMark/>
          </w:tcPr>
          <w:p w14:paraId="2E12E00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162712D7" w14:textId="77777777" w:rsidTr="008446A2">
        <w:tc>
          <w:tcPr>
            <w:tcW w:w="1245" w:type="pct"/>
            <w:hideMark/>
          </w:tcPr>
          <w:p w14:paraId="37A3FBA2" w14:textId="77777777" w:rsidR="008446A2" w:rsidRPr="008446A2" w:rsidRDefault="008446A2" w:rsidP="008446A2">
            <w:pPr>
              <w:bidi/>
              <w:jc w:val="both"/>
              <w:rPr>
                <w:rFonts w:ascii="Traditional Arabic" w:eastAsia="Calibri" w:hAnsi="Traditional Arabic" w:cs="Traditional Arabic"/>
                <w:b/>
                <w:bCs/>
                <w:sz w:val="28"/>
                <w:szCs w:val="28"/>
                <w:lang w:val="en-US"/>
              </w:rPr>
            </w:pPr>
          </w:p>
        </w:tc>
        <w:tc>
          <w:tcPr>
            <w:tcW w:w="1408" w:type="pct"/>
            <w:hideMark/>
          </w:tcPr>
          <w:p w14:paraId="28F9495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سرعة الاستجابة</w:t>
            </w:r>
          </w:p>
        </w:tc>
        <w:tc>
          <w:tcPr>
            <w:tcW w:w="588" w:type="pct"/>
            <w:hideMark/>
          </w:tcPr>
          <w:p w14:paraId="7E7EB5F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3.44</w:t>
            </w:r>
          </w:p>
        </w:tc>
        <w:tc>
          <w:tcPr>
            <w:tcW w:w="708" w:type="pct"/>
            <w:hideMark/>
          </w:tcPr>
          <w:p w14:paraId="5E17A32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0.018</w:t>
            </w:r>
          </w:p>
        </w:tc>
        <w:tc>
          <w:tcPr>
            <w:tcW w:w="1051" w:type="pct"/>
            <w:hideMark/>
          </w:tcPr>
          <w:p w14:paraId="4BDA70D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25956FEA" w14:textId="77777777" w:rsidTr="008446A2">
        <w:tc>
          <w:tcPr>
            <w:tcW w:w="1245" w:type="pct"/>
            <w:hideMark/>
          </w:tcPr>
          <w:p w14:paraId="740A80D1" w14:textId="77777777" w:rsidR="008446A2" w:rsidRPr="008446A2" w:rsidRDefault="008446A2" w:rsidP="008446A2">
            <w:pPr>
              <w:bidi/>
              <w:jc w:val="both"/>
              <w:rPr>
                <w:rFonts w:ascii="Traditional Arabic" w:eastAsia="Calibri" w:hAnsi="Traditional Arabic" w:cs="Traditional Arabic"/>
                <w:sz w:val="28"/>
                <w:szCs w:val="28"/>
                <w:lang w:val="en-US"/>
              </w:rPr>
            </w:pPr>
          </w:p>
        </w:tc>
        <w:tc>
          <w:tcPr>
            <w:tcW w:w="1408" w:type="pct"/>
            <w:hideMark/>
          </w:tcPr>
          <w:p w14:paraId="51FCD36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سلامة المرضى</w:t>
            </w:r>
          </w:p>
        </w:tc>
        <w:tc>
          <w:tcPr>
            <w:tcW w:w="588" w:type="pct"/>
            <w:hideMark/>
          </w:tcPr>
          <w:p w14:paraId="6B46EB76"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3.91</w:t>
            </w:r>
          </w:p>
        </w:tc>
        <w:tc>
          <w:tcPr>
            <w:tcW w:w="708" w:type="pct"/>
            <w:hideMark/>
          </w:tcPr>
          <w:p w14:paraId="1AC3EDE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0.010</w:t>
            </w:r>
          </w:p>
        </w:tc>
        <w:tc>
          <w:tcPr>
            <w:tcW w:w="1051" w:type="pct"/>
            <w:hideMark/>
          </w:tcPr>
          <w:p w14:paraId="698B71B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6DCBB68C" w14:textId="77777777" w:rsidTr="008446A2">
        <w:tc>
          <w:tcPr>
            <w:tcW w:w="1245" w:type="pct"/>
            <w:hideMark/>
          </w:tcPr>
          <w:p w14:paraId="70F32AF6" w14:textId="77777777" w:rsidR="008446A2" w:rsidRPr="008446A2" w:rsidRDefault="008446A2" w:rsidP="008446A2">
            <w:pPr>
              <w:bidi/>
              <w:jc w:val="both"/>
              <w:rPr>
                <w:rFonts w:ascii="Traditional Arabic" w:eastAsia="Calibri" w:hAnsi="Traditional Arabic" w:cs="Traditional Arabic"/>
                <w:sz w:val="28"/>
                <w:szCs w:val="28"/>
                <w:lang w:val="en-US"/>
              </w:rPr>
            </w:pPr>
          </w:p>
        </w:tc>
        <w:tc>
          <w:tcPr>
            <w:tcW w:w="1408" w:type="pct"/>
            <w:hideMark/>
          </w:tcPr>
          <w:p w14:paraId="3BC4201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تقليل التأجيل</w:t>
            </w:r>
          </w:p>
        </w:tc>
        <w:tc>
          <w:tcPr>
            <w:tcW w:w="588" w:type="pct"/>
            <w:hideMark/>
          </w:tcPr>
          <w:p w14:paraId="6E1014C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3.17</w:t>
            </w:r>
          </w:p>
        </w:tc>
        <w:tc>
          <w:tcPr>
            <w:tcW w:w="708" w:type="pct"/>
            <w:hideMark/>
          </w:tcPr>
          <w:p w14:paraId="79FB05B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0.026</w:t>
            </w:r>
          </w:p>
        </w:tc>
        <w:tc>
          <w:tcPr>
            <w:tcW w:w="1051" w:type="pct"/>
            <w:hideMark/>
          </w:tcPr>
          <w:p w14:paraId="2E181AD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r w:rsidR="008446A2" w:rsidRPr="008446A2" w14:paraId="343819EC" w14:textId="77777777" w:rsidTr="008446A2">
        <w:tc>
          <w:tcPr>
            <w:tcW w:w="1245" w:type="pct"/>
            <w:hideMark/>
          </w:tcPr>
          <w:p w14:paraId="3B271B63" w14:textId="77777777" w:rsidR="008446A2" w:rsidRPr="008446A2" w:rsidRDefault="008446A2" w:rsidP="008446A2">
            <w:pPr>
              <w:bidi/>
              <w:jc w:val="both"/>
              <w:rPr>
                <w:rFonts w:ascii="Traditional Arabic" w:eastAsia="Calibri" w:hAnsi="Traditional Arabic" w:cs="Traditional Arabic"/>
                <w:sz w:val="28"/>
                <w:szCs w:val="28"/>
                <w:lang w:val="en-US"/>
              </w:rPr>
            </w:pPr>
          </w:p>
        </w:tc>
        <w:tc>
          <w:tcPr>
            <w:tcW w:w="1408" w:type="pct"/>
            <w:hideMark/>
          </w:tcPr>
          <w:p w14:paraId="6652687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الكلية</w:t>
            </w:r>
          </w:p>
        </w:tc>
        <w:tc>
          <w:tcPr>
            <w:tcW w:w="588" w:type="pct"/>
            <w:hideMark/>
          </w:tcPr>
          <w:p w14:paraId="027EDD0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4.68</w:t>
            </w:r>
          </w:p>
        </w:tc>
        <w:tc>
          <w:tcPr>
            <w:tcW w:w="708" w:type="pct"/>
            <w:hideMark/>
          </w:tcPr>
          <w:p w14:paraId="57F2EF3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lang w:val="en-US"/>
              </w:rPr>
              <w:t>0.004</w:t>
            </w:r>
          </w:p>
        </w:tc>
        <w:tc>
          <w:tcPr>
            <w:tcW w:w="1051" w:type="pct"/>
            <w:hideMark/>
          </w:tcPr>
          <w:p w14:paraId="1DCF493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توجد فروق</w:t>
            </w:r>
          </w:p>
        </w:tc>
      </w:tr>
    </w:tbl>
    <w:p w14:paraId="3E357861" w14:textId="77777777" w:rsidR="008446A2" w:rsidRDefault="008446A2" w:rsidP="008446A2">
      <w:pPr>
        <w:bidi/>
        <w:spacing w:after="0" w:line="360" w:lineRule="auto"/>
        <w:jc w:val="both"/>
        <w:rPr>
          <w:rFonts w:ascii="Traditional Arabic" w:eastAsia="Calibri" w:hAnsi="Traditional Arabic" w:cs="Traditional Arabic"/>
          <w:b/>
          <w:bCs/>
          <w:sz w:val="32"/>
          <w:szCs w:val="32"/>
          <w:rtl/>
          <w:lang w:val="en-US"/>
        </w:rPr>
      </w:pPr>
    </w:p>
    <w:p w14:paraId="74151D96" w14:textId="77777777" w:rsidR="008446A2" w:rsidRPr="008446A2" w:rsidRDefault="008446A2" w:rsidP="008446A2">
      <w:pPr>
        <w:bidi/>
        <w:spacing w:after="0"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أظهرت نتائج تحليل التباين الأحادي</w:t>
      </w:r>
      <w:r w:rsidRPr="008446A2">
        <w:rPr>
          <w:rFonts w:ascii="Traditional Arabic" w:eastAsia="Calibri" w:hAnsi="Traditional Arabic" w:cs="Traditional Arabic"/>
          <w:sz w:val="32"/>
          <w:szCs w:val="32"/>
          <w:lang w:val="en-US"/>
        </w:rPr>
        <w:t xml:space="preserve"> (One-Way ANOVA) </w:t>
      </w:r>
      <w:r w:rsidRPr="008446A2">
        <w:rPr>
          <w:rFonts w:ascii="Traditional Arabic" w:eastAsia="Calibri" w:hAnsi="Traditional Arabic" w:cs="Traditional Arabic"/>
          <w:sz w:val="32"/>
          <w:szCs w:val="32"/>
          <w:rtl/>
          <w:lang w:val="en-US"/>
        </w:rPr>
        <w:t>وجود فروق ذات دلالة إحصائية في بعض أبعاد الدراسة تبعًا للمتغيرات الديموغرافية. فقد ظهرت فروق تبعًا لمتغير الوظيفة في بعدي الصيانة التنبؤية وسلامة المرضى، بينما لم تظهر فروق في بقية الأبعاد. كما ظهرت فروق تبعًا للمؤهل العلمي في بعد الصيانة التنبؤية فقط</w:t>
      </w:r>
      <w:r w:rsidRPr="008446A2">
        <w:rPr>
          <w:rFonts w:ascii="Traditional Arabic" w:eastAsia="Calibri" w:hAnsi="Traditional Arabic" w:cs="Traditional Arabic"/>
          <w:sz w:val="32"/>
          <w:szCs w:val="32"/>
          <w:lang w:val="en-US"/>
        </w:rPr>
        <w:t>.</w:t>
      </w:r>
    </w:p>
    <w:p w14:paraId="691D0497" w14:textId="77777777" w:rsidR="008446A2" w:rsidRPr="008446A2" w:rsidRDefault="008446A2" w:rsidP="008446A2">
      <w:pPr>
        <w:bidi/>
        <w:spacing w:after="0" w:line="360" w:lineRule="auto"/>
        <w:jc w:val="both"/>
        <w:rPr>
          <w:rFonts w:ascii="Traditional Arabic" w:eastAsia="Calibri" w:hAnsi="Traditional Arabic" w:cs="Traditional Arabic"/>
          <w:sz w:val="32"/>
          <w:szCs w:val="32"/>
          <w:lang w:val="en-US"/>
        </w:rPr>
      </w:pPr>
      <w:r w:rsidRPr="008446A2">
        <w:rPr>
          <w:rFonts w:ascii="Traditional Arabic" w:eastAsia="Calibri" w:hAnsi="Traditional Arabic" w:cs="Traditional Arabic"/>
          <w:sz w:val="32"/>
          <w:szCs w:val="32"/>
          <w:rtl/>
          <w:lang w:val="en-US"/>
        </w:rPr>
        <w:t>أما بالنسبة لسنوات الخبرة، فقد ظهرت فروق ذات دلالة إحصائية في الصيانة الوقائية، والصيانة التنبؤية، وسرعة الاستجابة للخدمة الطبية، والدرجة الكلية لجودة الرعاية الصحية، في حين لم تظهر فروق في بعدي سلامة المرضى وتقليل تأجيل العمليات والخدمات الطبية. كما أظهرت النتائج وجود فروق ذات دلالة إحصائية تبعًا لمتغير القسم في جميع أبعاد الدراسة والدرجة الكلية لجودة الرعاية الصحية</w:t>
      </w:r>
      <w:r w:rsidRPr="008446A2">
        <w:rPr>
          <w:rFonts w:ascii="Traditional Arabic" w:eastAsia="Calibri" w:hAnsi="Traditional Arabic" w:cs="Traditional Arabic"/>
          <w:sz w:val="32"/>
          <w:szCs w:val="32"/>
          <w:lang w:val="en-US"/>
        </w:rPr>
        <w:t>.</w:t>
      </w:r>
    </w:p>
    <w:p w14:paraId="12C85074" w14:textId="77777777" w:rsidR="008446A2" w:rsidRPr="008446A2" w:rsidRDefault="008446A2" w:rsidP="008446A2">
      <w:pPr>
        <w:bidi/>
        <w:spacing w:after="0" w:line="360" w:lineRule="auto"/>
        <w:jc w:val="both"/>
        <w:rPr>
          <w:rFonts w:ascii="Traditional Arabic" w:eastAsia="Calibri" w:hAnsi="Traditional Arabic" w:cs="Traditional Arabic"/>
          <w:sz w:val="32"/>
          <w:szCs w:val="32"/>
          <w:rtl/>
          <w:lang w:val="en-US"/>
        </w:rPr>
      </w:pPr>
      <w:r w:rsidRPr="008446A2">
        <w:rPr>
          <w:rFonts w:ascii="Traditional Arabic" w:eastAsia="Calibri" w:hAnsi="Traditional Arabic" w:cs="Traditional Arabic"/>
          <w:sz w:val="32"/>
          <w:szCs w:val="32"/>
          <w:rtl/>
          <w:lang w:val="en-US"/>
        </w:rPr>
        <w:t>وتشير هذه النتائج بصورة عامة إلى أن القسم وسنوات الخبرة كانا أكثر المتغيرات الديموغرافية ارتباطًا باختلاف تقديرات أفراد العينة لأبعاد الدراسة، في حين كان تأثير كل من الوظيفة والمؤهل العلمي أكثر محدودية</w:t>
      </w:r>
      <w:r w:rsidRPr="008446A2">
        <w:rPr>
          <w:rFonts w:ascii="Traditional Arabic" w:eastAsia="Calibri" w:hAnsi="Traditional Arabic" w:cs="Traditional Arabic"/>
          <w:sz w:val="32"/>
          <w:szCs w:val="32"/>
          <w:lang w:val="en-US"/>
        </w:rPr>
        <w:t>.</w:t>
      </w:r>
    </w:p>
    <w:p w14:paraId="083599D7" w14:textId="29C33DBF" w:rsidR="008446A2" w:rsidRDefault="008446A2" w:rsidP="008446A2">
      <w:pPr>
        <w:bidi/>
        <w:spacing w:after="0" w:line="360" w:lineRule="auto"/>
        <w:jc w:val="both"/>
        <w:rPr>
          <w:rFonts w:ascii="Traditional Arabic" w:eastAsia="Calibri" w:hAnsi="Traditional Arabic" w:cs="Traditional Arabic"/>
          <w:sz w:val="32"/>
          <w:szCs w:val="32"/>
          <w:rtl/>
          <w:lang w:val="en-US"/>
        </w:rPr>
      </w:pPr>
      <w:r w:rsidRPr="008446A2">
        <w:rPr>
          <w:rFonts w:ascii="Traditional Arabic" w:eastAsia="Calibri" w:hAnsi="Traditional Arabic" w:cs="Traditional Arabic"/>
          <w:sz w:val="32"/>
          <w:szCs w:val="32"/>
          <w:rtl/>
          <w:lang w:val="en-US"/>
        </w:rPr>
        <w:t>وبما أن بعض نتائج تحليل التباين كانت دالة إحصائيًا عند مستوى (</w:t>
      </w:r>
      <w:r w:rsidRPr="008446A2">
        <w:rPr>
          <w:rFonts w:ascii="Times New Roman" w:eastAsia="Calibri" w:hAnsi="Times New Roman" w:cs="Times New Roman"/>
          <w:sz w:val="32"/>
          <w:szCs w:val="32"/>
          <w:lang w:val="en-US"/>
        </w:rPr>
        <w:t>α</w:t>
      </w:r>
      <w:r w:rsidRPr="008446A2">
        <w:rPr>
          <w:rFonts w:ascii="Traditional Arabic" w:eastAsia="Calibri" w:hAnsi="Traditional Arabic" w:cs="Traditional Arabic"/>
          <w:sz w:val="32"/>
          <w:szCs w:val="32"/>
          <w:lang w:val="en-US"/>
        </w:rPr>
        <w:t xml:space="preserve"> </w:t>
      </w:r>
      <w:r w:rsidRPr="008446A2">
        <w:rPr>
          <w:rFonts w:ascii="Times New Roman" w:eastAsia="Calibri" w:hAnsi="Times New Roman" w:cs="Times New Roman"/>
          <w:sz w:val="32"/>
          <w:szCs w:val="32"/>
          <w:lang w:val="en-US"/>
        </w:rPr>
        <w:t>≤</w:t>
      </w:r>
      <w:r w:rsidRPr="008446A2">
        <w:rPr>
          <w:rFonts w:ascii="Traditional Arabic" w:eastAsia="Calibri" w:hAnsi="Traditional Arabic" w:cs="Traditional Arabic"/>
          <w:sz w:val="32"/>
          <w:szCs w:val="32"/>
          <w:lang w:val="en-US"/>
        </w:rPr>
        <w:t xml:space="preserve"> 0.05</w:t>
      </w:r>
      <w:r w:rsidRPr="008446A2">
        <w:rPr>
          <w:rFonts w:ascii="Traditional Arabic" w:eastAsia="Calibri" w:hAnsi="Traditional Arabic" w:cs="Traditional Arabic"/>
          <w:sz w:val="32"/>
          <w:szCs w:val="32"/>
          <w:rtl/>
          <w:lang w:val="en-US"/>
        </w:rPr>
        <w:t>)، فقد تم إجراء الاختبارات البعدية (</w:t>
      </w:r>
      <w:r w:rsidRPr="008446A2">
        <w:rPr>
          <w:rFonts w:ascii="Traditional Arabic" w:eastAsia="Calibri" w:hAnsi="Traditional Arabic" w:cs="Traditional Arabic"/>
          <w:sz w:val="32"/>
          <w:szCs w:val="32"/>
          <w:lang w:val="en-US"/>
        </w:rPr>
        <w:t>Post Hoc Tests</w:t>
      </w:r>
      <w:r w:rsidRPr="008446A2">
        <w:rPr>
          <w:rFonts w:ascii="Traditional Arabic" w:eastAsia="Calibri" w:hAnsi="Traditional Arabic" w:cs="Traditional Arabic"/>
          <w:sz w:val="32"/>
          <w:szCs w:val="32"/>
          <w:rtl/>
          <w:lang w:val="en-US"/>
        </w:rPr>
        <w:t>) لتحديد الفئات التي تعود إليها هذه الفروق واتجاهها.</w:t>
      </w:r>
    </w:p>
    <w:p w14:paraId="178133B9" w14:textId="77777777" w:rsidR="008446A2" w:rsidRDefault="008446A2" w:rsidP="008446A2">
      <w:pPr>
        <w:bidi/>
        <w:spacing w:after="0" w:line="360" w:lineRule="auto"/>
        <w:jc w:val="both"/>
        <w:rPr>
          <w:rFonts w:ascii="Traditional Arabic" w:eastAsia="Calibri" w:hAnsi="Traditional Arabic" w:cs="Traditional Arabic"/>
          <w:sz w:val="32"/>
          <w:szCs w:val="32"/>
          <w:rtl/>
          <w:lang w:val="en-US"/>
        </w:rPr>
      </w:pPr>
    </w:p>
    <w:p w14:paraId="6E75F04E" w14:textId="03FA8735" w:rsidR="008446A2" w:rsidRDefault="008446A2" w:rsidP="008446A2">
      <w:pPr>
        <w:bidi/>
        <w:spacing w:after="0" w:line="240" w:lineRule="auto"/>
        <w:jc w:val="both"/>
        <w:rPr>
          <w:rFonts w:ascii="Traditional Arabic" w:eastAsia="Calibri" w:hAnsi="Traditional Arabic" w:cs="Traditional Arabic"/>
          <w:sz w:val="32"/>
          <w:szCs w:val="32"/>
          <w:rtl/>
          <w:lang w:val="en-US"/>
        </w:rPr>
      </w:pPr>
      <w:r w:rsidRPr="008446A2">
        <w:rPr>
          <w:rFonts w:ascii="Traditional Arabic" w:eastAsia="Calibri" w:hAnsi="Traditional Arabic" w:cs="Traditional Arabic"/>
          <w:sz w:val="32"/>
          <w:szCs w:val="32"/>
          <w:rtl/>
          <w:lang w:val="en-US"/>
        </w:rPr>
        <w:t>أظهرت النتائج أن أبرز الفروق تركزت في الفئات الآتية:</w:t>
      </w:r>
    </w:p>
    <w:p w14:paraId="32AC4FE1" w14:textId="7AE30080" w:rsidR="008446A2" w:rsidRPr="003438AE" w:rsidRDefault="003438AE" w:rsidP="003438AE">
      <w:pPr>
        <w:bidi/>
        <w:spacing w:after="0" w:line="240" w:lineRule="auto"/>
        <w:jc w:val="center"/>
        <w:rPr>
          <w:rFonts w:ascii="Traditional Arabic" w:eastAsia="Calibri" w:hAnsi="Traditional Arabic" w:cs="Traditional Arabic"/>
          <w:sz w:val="32"/>
          <w:szCs w:val="32"/>
          <w:lang w:val="en-US"/>
        </w:rPr>
      </w:pPr>
      <w:r w:rsidRPr="003438AE">
        <w:rPr>
          <w:rFonts w:ascii="Traditional Arabic" w:eastAsia="Calibri" w:hAnsi="Traditional Arabic" w:cs="Traditional Arabic"/>
          <w:b/>
          <w:bCs/>
          <w:sz w:val="32"/>
          <w:szCs w:val="32"/>
          <w:rtl/>
          <w:lang w:val="en-US"/>
        </w:rPr>
        <w:lastRenderedPageBreak/>
        <w:t>جدول (4-</w:t>
      </w:r>
      <w:r>
        <w:rPr>
          <w:rFonts w:ascii="Traditional Arabic" w:eastAsia="Calibri" w:hAnsi="Traditional Arabic" w:cs="Traditional Arabic" w:hint="cs"/>
          <w:b/>
          <w:bCs/>
          <w:sz w:val="32"/>
          <w:szCs w:val="32"/>
          <w:rtl/>
          <w:lang w:val="en-US"/>
        </w:rPr>
        <w:t>7</w:t>
      </w:r>
      <w:r w:rsidRPr="003438AE">
        <w:rPr>
          <w:rFonts w:ascii="Traditional Arabic" w:eastAsia="Calibri" w:hAnsi="Traditional Arabic" w:cs="Traditional Arabic"/>
          <w:b/>
          <w:bCs/>
          <w:sz w:val="32"/>
          <w:szCs w:val="32"/>
          <w:rtl/>
          <w:lang w:val="en-US"/>
        </w:rPr>
        <w:t>) نتائج الاختبارات البعدية (</w:t>
      </w:r>
      <w:r w:rsidRPr="003438AE">
        <w:rPr>
          <w:rFonts w:ascii="Traditional Arabic" w:eastAsia="Calibri" w:hAnsi="Traditional Arabic" w:cs="Traditional Arabic"/>
          <w:b/>
          <w:bCs/>
          <w:sz w:val="32"/>
          <w:szCs w:val="32"/>
          <w:lang w:val="en-US"/>
        </w:rPr>
        <w:t>Post Hoc Tests</w:t>
      </w:r>
      <w:r w:rsidRPr="003438AE">
        <w:rPr>
          <w:rFonts w:ascii="Traditional Arabic" w:eastAsia="Calibri" w:hAnsi="Traditional Arabic" w:cs="Traditional Arabic"/>
          <w:b/>
          <w:bCs/>
          <w:sz w:val="32"/>
          <w:szCs w:val="32"/>
          <w:rtl/>
          <w:lang w:val="en-US"/>
        </w:rPr>
        <w:t>) لتحديد مصادر الفروق تبعًا للمتغيرات الديموغرافية</w:t>
      </w:r>
    </w:p>
    <w:tbl>
      <w:tblPr>
        <w:tblStyle w:val="a3"/>
        <w:bidiVisual/>
        <w:tblW w:w="0" w:type="auto"/>
        <w:tblLook w:val="04A0" w:firstRow="1" w:lastRow="0" w:firstColumn="1" w:lastColumn="0" w:noHBand="0" w:noVBand="1"/>
      </w:tblPr>
      <w:tblGrid>
        <w:gridCol w:w="1164"/>
        <w:gridCol w:w="2176"/>
        <w:gridCol w:w="5945"/>
      </w:tblGrid>
      <w:tr w:rsidR="008446A2" w:rsidRPr="008446A2" w14:paraId="1C678728" w14:textId="77777777" w:rsidTr="008446A2">
        <w:tc>
          <w:tcPr>
            <w:tcW w:w="0" w:type="auto"/>
            <w:hideMark/>
          </w:tcPr>
          <w:p w14:paraId="3D90DA3F"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المتغير</w:t>
            </w:r>
          </w:p>
        </w:tc>
        <w:tc>
          <w:tcPr>
            <w:tcW w:w="0" w:type="auto"/>
            <w:hideMark/>
          </w:tcPr>
          <w:p w14:paraId="79116AB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البعد</w:t>
            </w:r>
          </w:p>
        </w:tc>
        <w:tc>
          <w:tcPr>
            <w:tcW w:w="0" w:type="auto"/>
            <w:hideMark/>
          </w:tcPr>
          <w:p w14:paraId="2C38DC4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مصدر الفروق</w:t>
            </w:r>
          </w:p>
        </w:tc>
      </w:tr>
      <w:tr w:rsidR="008446A2" w:rsidRPr="008446A2" w14:paraId="550D3157" w14:textId="77777777" w:rsidTr="008446A2">
        <w:tc>
          <w:tcPr>
            <w:tcW w:w="0" w:type="auto"/>
            <w:hideMark/>
          </w:tcPr>
          <w:p w14:paraId="4AB8CA92"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الوظيفة</w:t>
            </w:r>
          </w:p>
        </w:tc>
        <w:tc>
          <w:tcPr>
            <w:tcW w:w="0" w:type="auto"/>
            <w:hideMark/>
          </w:tcPr>
          <w:p w14:paraId="2E400FF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0" w:type="auto"/>
            <w:hideMark/>
          </w:tcPr>
          <w:p w14:paraId="6AB24BA7"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فنيي ومهندسي الأجهزة الطبية مقارنة ببعض الفئات الطبية</w:t>
            </w:r>
          </w:p>
        </w:tc>
      </w:tr>
      <w:tr w:rsidR="008446A2" w:rsidRPr="008446A2" w14:paraId="62836F85" w14:textId="77777777" w:rsidTr="008446A2">
        <w:tc>
          <w:tcPr>
            <w:tcW w:w="0" w:type="auto"/>
            <w:hideMark/>
          </w:tcPr>
          <w:p w14:paraId="762AB11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الوظيفة</w:t>
            </w:r>
          </w:p>
        </w:tc>
        <w:tc>
          <w:tcPr>
            <w:tcW w:w="0" w:type="auto"/>
            <w:hideMark/>
          </w:tcPr>
          <w:p w14:paraId="5ED9B5EC"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سلامة المرضى</w:t>
            </w:r>
          </w:p>
        </w:tc>
        <w:tc>
          <w:tcPr>
            <w:tcW w:w="0" w:type="auto"/>
            <w:hideMark/>
          </w:tcPr>
          <w:p w14:paraId="6124F979"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مسؤولي الجودة والفئات الطبية مقارنة ببعض الفئات الفنية</w:t>
            </w:r>
          </w:p>
        </w:tc>
      </w:tr>
      <w:tr w:rsidR="008446A2" w:rsidRPr="008446A2" w14:paraId="1ED72BF9" w14:textId="77777777" w:rsidTr="008446A2">
        <w:tc>
          <w:tcPr>
            <w:tcW w:w="0" w:type="auto"/>
            <w:hideMark/>
          </w:tcPr>
          <w:p w14:paraId="675A35F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المؤهل العلمي</w:t>
            </w:r>
          </w:p>
        </w:tc>
        <w:tc>
          <w:tcPr>
            <w:tcW w:w="0" w:type="auto"/>
            <w:hideMark/>
          </w:tcPr>
          <w:p w14:paraId="0AD5B0E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0" w:type="auto"/>
            <w:hideMark/>
          </w:tcPr>
          <w:p w14:paraId="42F07C2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حملة الدراسات العليا مقارنة بحملة الدبلوم</w:t>
            </w:r>
          </w:p>
        </w:tc>
      </w:tr>
      <w:tr w:rsidR="008446A2" w:rsidRPr="008446A2" w14:paraId="16A19229" w14:textId="77777777" w:rsidTr="008446A2">
        <w:tc>
          <w:tcPr>
            <w:tcW w:w="0" w:type="auto"/>
            <w:hideMark/>
          </w:tcPr>
          <w:p w14:paraId="3FBEC07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13EA098B"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الوقائية</w:t>
            </w:r>
          </w:p>
        </w:tc>
        <w:tc>
          <w:tcPr>
            <w:tcW w:w="0" w:type="auto"/>
            <w:hideMark/>
          </w:tcPr>
          <w:p w14:paraId="147CE67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أصحاب الخبرة الأعلى</w:t>
            </w:r>
          </w:p>
        </w:tc>
      </w:tr>
      <w:tr w:rsidR="008446A2" w:rsidRPr="008446A2" w14:paraId="2D7B6FB7" w14:textId="77777777" w:rsidTr="008446A2">
        <w:tc>
          <w:tcPr>
            <w:tcW w:w="0" w:type="auto"/>
            <w:hideMark/>
          </w:tcPr>
          <w:p w14:paraId="4F70F434"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3B55496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الصيانة التنبؤية</w:t>
            </w:r>
          </w:p>
        </w:tc>
        <w:tc>
          <w:tcPr>
            <w:tcW w:w="0" w:type="auto"/>
            <w:hideMark/>
          </w:tcPr>
          <w:p w14:paraId="51EDDE71"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أصحاب الخبرة الأعلى</w:t>
            </w:r>
          </w:p>
        </w:tc>
      </w:tr>
      <w:tr w:rsidR="008446A2" w:rsidRPr="008446A2" w14:paraId="6320D3E5" w14:textId="77777777" w:rsidTr="008446A2">
        <w:tc>
          <w:tcPr>
            <w:tcW w:w="0" w:type="auto"/>
            <w:hideMark/>
          </w:tcPr>
          <w:p w14:paraId="7379911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19BF7EB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سرعة الاستجابة</w:t>
            </w:r>
          </w:p>
        </w:tc>
        <w:tc>
          <w:tcPr>
            <w:tcW w:w="0" w:type="auto"/>
            <w:hideMark/>
          </w:tcPr>
          <w:p w14:paraId="626BF848"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أصحاب الخبرة الأعلى</w:t>
            </w:r>
          </w:p>
        </w:tc>
      </w:tr>
      <w:tr w:rsidR="008446A2" w:rsidRPr="008446A2" w14:paraId="637DC1AA" w14:textId="77777777" w:rsidTr="008446A2">
        <w:tc>
          <w:tcPr>
            <w:tcW w:w="0" w:type="auto"/>
            <w:hideMark/>
          </w:tcPr>
          <w:p w14:paraId="7D6DEE0D"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سنوات الخبرة</w:t>
            </w:r>
          </w:p>
        </w:tc>
        <w:tc>
          <w:tcPr>
            <w:tcW w:w="0" w:type="auto"/>
            <w:hideMark/>
          </w:tcPr>
          <w:p w14:paraId="7D525E35"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جودة الرعاية الصحية الكلية</w:t>
            </w:r>
          </w:p>
        </w:tc>
        <w:tc>
          <w:tcPr>
            <w:tcW w:w="0" w:type="auto"/>
            <w:hideMark/>
          </w:tcPr>
          <w:p w14:paraId="5BF51043"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لصالح أصحاب الخبرة الأعلى</w:t>
            </w:r>
          </w:p>
        </w:tc>
      </w:tr>
      <w:tr w:rsidR="008446A2" w:rsidRPr="008446A2" w14:paraId="034A58AD" w14:textId="77777777" w:rsidTr="008446A2">
        <w:tc>
          <w:tcPr>
            <w:tcW w:w="0" w:type="auto"/>
            <w:hideMark/>
          </w:tcPr>
          <w:p w14:paraId="6A7B831A"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القسم</w:t>
            </w:r>
          </w:p>
        </w:tc>
        <w:tc>
          <w:tcPr>
            <w:tcW w:w="0" w:type="auto"/>
            <w:hideMark/>
          </w:tcPr>
          <w:p w14:paraId="1F616F50"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أبعاد الدراسة</w:t>
            </w:r>
          </w:p>
        </w:tc>
        <w:tc>
          <w:tcPr>
            <w:tcW w:w="0" w:type="auto"/>
            <w:hideMark/>
          </w:tcPr>
          <w:p w14:paraId="77F814FE" w14:textId="77777777" w:rsidR="008446A2" w:rsidRPr="008446A2" w:rsidRDefault="008446A2" w:rsidP="008446A2">
            <w:pPr>
              <w:bidi/>
              <w:jc w:val="both"/>
              <w:rPr>
                <w:rFonts w:ascii="Traditional Arabic" w:eastAsia="Calibri" w:hAnsi="Traditional Arabic" w:cs="Traditional Arabic"/>
                <w:sz w:val="28"/>
                <w:szCs w:val="28"/>
                <w:lang w:val="en-US"/>
              </w:rPr>
            </w:pPr>
            <w:r w:rsidRPr="008446A2">
              <w:rPr>
                <w:rFonts w:ascii="Traditional Arabic" w:eastAsia="Calibri" w:hAnsi="Traditional Arabic" w:cs="Traditional Arabic"/>
                <w:sz w:val="28"/>
                <w:szCs w:val="28"/>
                <w:rtl/>
                <w:lang w:val="en-US"/>
              </w:rPr>
              <w:t>تركزت الفروق بصورة أكبر لصالح أقسام الصيانة الطبية والجودة بحسب طبيعة البعد</w:t>
            </w:r>
          </w:p>
        </w:tc>
      </w:tr>
    </w:tbl>
    <w:p w14:paraId="755CF627" w14:textId="77777777" w:rsidR="008446A2" w:rsidRPr="008446A2" w:rsidRDefault="008446A2" w:rsidP="008446A2">
      <w:pPr>
        <w:bidi/>
        <w:spacing w:after="0" w:line="240" w:lineRule="auto"/>
        <w:jc w:val="both"/>
        <w:rPr>
          <w:rFonts w:ascii="Traditional Arabic" w:eastAsia="Calibri" w:hAnsi="Traditional Arabic" w:cs="Traditional Arabic"/>
          <w:sz w:val="28"/>
          <w:szCs w:val="28"/>
          <w:rtl/>
          <w:lang w:val="en-US"/>
        </w:rPr>
      </w:pPr>
    </w:p>
    <w:p w14:paraId="4224866D" w14:textId="6923D855" w:rsidR="008446A2" w:rsidRPr="008446A2" w:rsidRDefault="003438AE" w:rsidP="003438AE">
      <w:pPr>
        <w:bidi/>
        <w:spacing w:after="0" w:line="360" w:lineRule="auto"/>
        <w:jc w:val="both"/>
        <w:rPr>
          <w:rFonts w:ascii="Traditional Arabic" w:eastAsia="Calibri" w:hAnsi="Traditional Arabic" w:cs="Traditional Arabic"/>
          <w:b/>
          <w:bCs/>
          <w:sz w:val="32"/>
          <w:szCs w:val="32"/>
          <w:lang w:val="en-US"/>
        </w:rPr>
      </w:pPr>
      <w:r w:rsidRPr="003438AE">
        <w:rPr>
          <w:rFonts w:ascii="Traditional Arabic" w:eastAsia="Calibri" w:hAnsi="Traditional Arabic" w:cs="Traditional Arabic"/>
          <w:sz w:val="32"/>
          <w:szCs w:val="32"/>
          <w:rtl/>
          <w:lang w:val="en-US"/>
        </w:rPr>
        <w:t>تشير نتائج الاختبارات البعدية إلى أن الفروق الدالة إحصائيًا تركزت في بعض الفئات الوظيفية والأقسام والفئات الأعلى من حيث سنوات الخبرة، بما يعكس اختلاف تقديرات أفراد العينة وفق طبيعة العمل والخبرة العملية ومدى الارتباط المباشر بممارسات الصيانة وجودة الرعاية الصحية</w:t>
      </w:r>
      <w:r>
        <w:rPr>
          <w:rFonts w:ascii="Traditional Arabic" w:eastAsia="Calibri" w:hAnsi="Traditional Arabic" w:cs="Traditional Arabic" w:hint="cs"/>
          <w:sz w:val="32"/>
          <w:szCs w:val="32"/>
          <w:rtl/>
          <w:lang w:val="en-US"/>
        </w:rPr>
        <w:t>.</w:t>
      </w:r>
    </w:p>
    <w:p w14:paraId="792FA7CD" w14:textId="622E3BCB" w:rsidR="00ED586E"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r w:rsidR="00BA3ACE" w:rsidRPr="00386BAD">
        <w:rPr>
          <w:rFonts w:ascii="Traditional Arabic" w:eastAsia="Calibri" w:hAnsi="Traditional Arabic" w:cs="Traditional Arabic"/>
          <w:b/>
          <w:bCs/>
          <w:sz w:val="32"/>
          <w:szCs w:val="32"/>
          <w:rtl/>
          <w:lang w:val="en-US"/>
        </w:rPr>
        <w:t xml:space="preserve">النتائج الوصفية </w:t>
      </w:r>
    </w:p>
    <w:p w14:paraId="33283690"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لتفسير المتوسطات الحسابية الناتجة عن استجابات أفراد الدراسة على فقرات الاستبانة، تم اعتماد معيار تفسير المتوسطات وفق مقياس ليكرت الخماسي، وذلك من خلال حساب طول الفئة باستخدام المعادلة الآتية</w:t>
      </w:r>
      <w:r w:rsidRPr="00E54220">
        <w:rPr>
          <w:rFonts w:ascii="Traditional Arabic" w:eastAsia="Calibri" w:hAnsi="Traditional Arabic" w:cs="Traditional Arabic"/>
          <w:sz w:val="32"/>
          <w:szCs w:val="32"/>
          <w:lang w:val="en-US"/>
        </w:rPr>
        <w:t>:</w:t>
      </w:r>
    </w:p>
    <w:p w14:paraId="1B8F9A3F" w14:textId="77777777" w:rsidR="00E54220" w:rsidRPr="00E54220" w:rsidRDefault="00E54220" w:rsidP="00E54220">
      <w:pPr>
        <w:bidi/>
        <w:spacing w:line="360" w:lineRule="auto"/>
        <w:rPr>
          <w:rFonts w:ascii="Traditional Arabic" w:eastAsia="Calibri" w:hAnsi="Traditional Arabic" w:cs="Traditional Arabic"/>
          <w:sz w:val="32"/>
          <w:szCs w:val="32"/>
          <w:rtl/>
          <w:lang w:val="en-US"/>
        </w:rPr>
      </w:pPr>
      <w:r w:rsidRPr="00E54220">
        <w:rPr>
          <w:rFonts w:ascii="Traditional Arabic" w:eastAsia="Calibri" w:hAnsi="Traditional Arabic" w:cs="Traditional Arabic"/>
          <w:sz w:val="32"/>
          <w:szCs w:val="32"/>
          <w:rtl/>
          <w:lang w:val="en-US"/>
        </w:rPr>
        <w:t>طول الفئة = (أكبر قيمة – أصغر قيمة) ÷ عدد الفئات</w:t>
      </w:r>
    </w:p>
    <w:p w14:paraId="28C1FE71" w14:textId="6F1D1C5B"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(5 – 1) ÷ 5 = 0.80</w:t>
      </w:r>
    </w:p>
    <w:p w14:paraId="354B0902"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وبناءً على ذلك، تم تصنيف المتوسطات الحسابية وفق الجدول الآتي</w:t>
      </w:r>
      <w:r w:rsidRPr="00E54220">
        <w:rPr>
          <w:rFonts w:ascii="Traditional Arabic" w:eastAsia="Calibri" w:hAnsi="Traditional Arabic" w:cs="Traditional Arabic"/>
          <w:sz w:val="32"/>
          <w:szCs w:val="32"/>
          <w:lang w:val="en-US"/>
        </w:rPr>
        <w:t>:</w:t>
      </w:r>
    </w:p>
    <w:p w14:paraId="1AA56CA8" w14:textId="4D218101" w:rsidR="00E54220" w:rsidRPr="00E54220" w:rsidRDefault="00E54220" w:rsidP="003438AE">
      <w:pPr>
        <w:bidi/>
        <w:spacing w:after="0" w:line="240" w:lineRule="auto"/>
        <w:jc w:val="center"/>
        <w:rPr>
          <w:rFonts w:ascii="Traditional Arabic" w:eastAsia="Calibri" w:hAnsi="Traditional Arabic" w:cs="Traditional Arabic"/>
          <w:b/>
          <w:bCs/>
          <w:sz w:val="32"/>
          <w:szCs w:val="32"/>
          <w:lang w:val="en-US"/>
        </w:rPr>
      </w:pPr>
      <w:r w:rsidRPr="00E54220">
        <w:rPr>
          <w:rFonts w:ascii="Traditional Arabic" w:eastAsia="Calibri" w:hAnsi="Traditional Arabic" w:cs="Traditional Arabic"/>
          <w:b/>
          <w:bCs/>
          <w:sz w:val="32"/>
          <w:szCs w:val="32"/>
          <w:rtl/>
          <w:lang w:val="en-US"/>
        </w:rPr>
        <w:lastRenderedPageBreak/>
        <w:t>جدول (4-</w:t>
      </w:r>
      <w:r w:rsidR="003438AE">
        <w:rPr>
          <w:rFonts w:ascii="Traditional Arabic" w:eastAsia="Calibri" w:hAnsi="Traditional Arabic" w:cs="Traditional Arabic" w:hint="cs"/>
          <w:b/>
          <w:bCs/>
          <w:sz w:val="32"/>
          <w:szCs w:val="32"/>
          <w:rtl/>
          <w:lang w:val="en-US"/>
        </w:rPr>
        <w:t>8</w:t>
      </w:r>
      <w:r w:rsidRPr="00E54220">
        <w:rPr>
          <w:rFonts w:ascii="Traditional Arabic" w:eastAsia="Calibri" w:hAnsi="Traditional Arabic" w:cs="Traditional Arabic"/>
          <w:b/>
          <w:bCs/>
          <w:sz w:val="32"/>
          <w:szCs w:val="32"/>
          <w:rtl/>
          <w:lang w:val="en-US"/>
        </w:rPr>
        <w:t>) معيار تفسير المتوسطات الحسابية</w:t>
      </w:r>
    </w:p>
    <w:tbl>
      <w:tblPr>
        <w:tblStyle w:val="a3"/>
        <w:bidiVisual/>
        <w:tblW w:w="5000" w:type="pct"/>
        <w:tblLook w:val="04A0" w:firstRow="1" w:lastRow="0" w:firstColumn="1" w:lastColumn="0" w:noHBand="0" w:noVBand="1"/>
      </w:tblPr>
      <w:tblGrid>
        <w:gridCol w:w="5937"/>
        <w:gridCol w:w="3639"/>
      </w:tblGrid>
      <w:tr w:rsidR="00E54220" w:rsidRPr="00E54220" w14:paraId="7BC72868" w14:textId="77777777" w:rsidTr="00E54220">
        <w:tc>
          <w:tcPr>
            <w:tcW w:w="3100" w:type="pct"/>
            <w:hideMark/>
          </w:tcPr>
          <w:p w14:paraId="57461979"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المتوسط الحسابي</w:t>
            </w:r>
          </w:p>
        </w:tc>
        <w:tc>
          <w:tcPr>
            <w:tcW w:w="1900" w:type="pct"/>
            <w:hideMark/>
          </w:tcPr>
          <w:p w14:paraId="374C0E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مستوى التقدير</w:t>
            </w:r>
          </w:p>
        </w:tc>
      </w:tr>
      <w:tr w:rsidR="00E54220" w:rsidRPr="00E54220" w14:paraId="560863BF" w14:textId="77777777" w:rsidTr="00E54220">
        <w:tc>
          <w:tcPr>
            <w:tcW w:w="3100" w:type="pct"/>
            <w:hideMark/>
          </w:tcPr>
          <w:p w14:paraId="226619DD" w14:textId="3FE2C3E8"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1.00 – أقل من 1.80</w:t>
            </w:r>
          </w:p>
        </w:tc>
        <w:tc>
          <w:tcPr>
            <w:tcW w:w="1900" w:type="pct"/>
            <w:hideMark/>
          </w:tcPr>
          <w:p w14:paraId="41FB0555"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 جدًا</w:t>
            </w:r>
          </w:p>
        </w:tc>
      </w:tr>
      <w:tr w:rsidR="00E54220" w:rsidRPr="00E54220" w14:paraId="033A6774" w14:textId="77777777" w:rsidTr="00E54220">
        <w:tc>
          <w:tcPr>
            <w:tcW w:w="3100" w:type="pct"/>
            <w:hideMark/>
          </w:tcPr>
          <w:p w14:paraId="1AE7765F" w14:textId="4EF38F9F"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1.80 – أقل من 2.60</w:t>
            </w:r>
          </w:p>
        </w:tc>
        <w:tc>
          <w:tcPr>
            <w:tcW w:w="1900" w:type="pct"/>
            <w:hideMark/>
          </w:tcPr>
          <w:p w14:paraId="3CB4E8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w:t>
            </w:r>
          </w:p>
        </w:tc>
      </w:tr>
      <w:tr w:rsidR="00E54220" w:rsidRPr="00E54220" w14:paraId="6E36F807" w14:textId="77777777" w:rsidTr="00E54220">
        <w:tc>
          <w:tcPr>
            <w:tcW w:w="3100" w:type="pct"/>
            <w:hideMark/>
          </w:tcPr>
          <w:p w14:paraId="729F6D5B" w14:textId="682FCEFE"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2.60 – أقل من 3.40</w:t>
            </w:r>
          </w:p>
        </w:tc>
        <w:tc>
          <w:tcPr>
            <w:tcW w:w="1900" w:type="pct"/>
            <w:hideMark/>
          </w:tcPr>
          <w:p w14:paraId="6933404F"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متوسطة</w:t>
            </w:r>
          </w:p>
        </w:tc>
      </w:tr>
      <w:tr w:rsidR="00E54220" w:rsidRPr="00E54220" w14:paraId="6CB91292" w14:textId="77777777" w:rsidTr="00E54220">
        <w:tc>
          <w:tcPr>
            <w:tcW w:w="3100" w:type="pct"/>
            <w:hideMark/>
          </w:tcPr>
          <w:p w14:paraId="4DD622DF" w14:textId="008BCE2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3.40 – أقل من 4.20</w:t>
            </w:r>
          </w:p>
        </w:tc>
        <w:tc>
          <w:tcPr>
            <w:tcW w:w="1900" w:type="pct"/>
            <w:hideMark/>
          </w:tcPr>
          <w:p w14:paraId="2B04A84B"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w:t>
            </w:r>
          </w:p>
        </w:tc>
      </w:tr>
      <w:tr w:rsidR="00E54220" w:rsidRPr="00E54220" w14:paraId="1670950B" w14:textId="77777777" w:rsidTr="00E54220">
        <w:tc>
          <w:tcPr>
            <w:tcW w:w="3100" w:type="pct"/>
            <w:hideMark/>
          </w:tcPr>
          <w:p w14:paraId="130A5644" w14:textId="727FEBE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4.20 – 5.00</w:t>
            </w:r>
          </w:p>
        </w:tc>
        <w:tc>
          <w:tcPr>
            <w:tcW w:w="1900" w:type="pct"/>
            <w:hideMark/>
          </w:tcPr>
          <w:p w14:paraId="0E9C1F7C"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 جدًا</w:t>
            </w:r>
          </w:p>
        </w:tc>
      </w:tr>
    </w:tbl>
    <w:p w14:paraId="0C8A5321" w14:textId="77777777" w:rsidR="00E54220" w:rsidRPr="00E54220" w:rsidRDefault="00E54220" w:rsidP="00E54220">
      <w:pPr>
        <w:bidi/>
        <w:spacing w:line="360" w:lineRule="auto"/>
        <w:jc w:val="both"/>
        <w:rPr>
          <w:rFonts w:ascii="Traditional Arabic" w:eastAsia="Calibri" w:hAnsi="Traditional Arabic" w:cs="Traditional Arabic"/>
          <w:b/>
          <w:bCs/>
          <w:sz w:val="32"/>
          <w:szCs w:val="32"/>
          <w:rtl/>
          <w:lang w:val="en-US"/>
        </w:rPr>
      </w:pPr>
    </w:p>
    <w:p w14:paraId="34456EB1" w14:textId="77777777"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hint="cs"/>
          <w:b/>
          <w:bCs/>
          <w:sz w:val="32"/>
          <w:szCs w:val="32"/>
          <w:rtl/>
          <w:lang w:val="en-US"/>
        </w:rPr>
        <w:t xml:space="preserve">4.3.1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الصيانة الوقائية</w:t>
      </w:r>
    </w:p>
    <w:p w14:paraId="66B442A8" w14:textId="5D06F912" w:rsidR="00ED586E" w:rsidRPr="00386BAD" w:rsidRDefault="00BA3AC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r w:rsidR="00ED586E" w:rsidRPr="00386BAD">
        <w:rPr>
          <w:rFonts w:ascii="Traditional Arabic" w:eastAsia="Calibri" w:hAnsi="Traditional Arabic" w:cs="Traditional Arabic"/>
          <w:sz w:val="32"/>
          <w:szCs w:val="32"/>
          <w:rtl/>
          <w:lang w:val="en-US"/>
        </w:rPr>
        <w:t>في جدول (4-</w:t>
      </w:r>
      <w:r w:rsidR="003438AE">
        <w:rPr>
          <w:rFonts w:ascii="Traditional Arabic" w:eastAsia="Calibri" w:hAnsi="Traditional Arabic" w:cs="Traditional Arabic" w:hint="cs"/>
          <w:sz w:val="32"/>
          <w:szCs w:val="32"/>
          <w:rtl/>
          <w:lang w:val="en-US"/>
        </w:rPr>
        <w:t>9</w:t>
      </w:r>
      <w:r w:rsidR="00ED586E" w:rsidRPr="00386BAD">
        <w:rPr>
          <w:rFonts w:ascii="Traditional Arabic" w:eastAsia="Calibri" w:hAnsi="Traditional Arabic" w:cs="Traditional Arabic"/>
          <w:sz w:val="32"/>
          <w:szCs w:val="32"/>
          <w:rtl/>
          <w:lang w:val="en-US"/>
        </w:rPr>
        <w:t>).</w:t>
      </w:r>
    </w:p>
    <w:p w14:paraId="2C6E1660" w14:textId="279823F5" w:rsidR="00ED586E" w:rsidRPr="00386BAD" w:rsidRDefault="00ED586E" w:rsidP="003438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9</w:t>
      </w:r>
      <w:r w:rsidRPr="00386BAD">
        <w:rPr>
          <w:rFonts w:ascii="Traditional Arabic" w:eastAsia="Calibri" w:hAnsi="Traditional Arabic" w:cs="Traditional Arabic"/>
          <w:b/>
          <w:bCs/>
          <w:sz w:val="32"/>
          <w:szCs w:val="32"/>
          <w:rtl/>
          <w:lang w:val="en-US"/>
        </w:rPr>
        <w:t>) المتوسطات الحسابية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24"/>
        <w:gridCol w:w="3994"/>
        <w:gridCol w:w="1326"/>
        <w:gridCol w:w="1392"/>
        <w:gridCol w:w="1115"/>
        <w:gridCol w:w="825"/>
      </w:tblGrid>
      <w:tr w:rsidR="00ED586E" w:rsidRPr="00386BAD" w14:paraId="3E4DEDA1" w14:textId="77777777" w:rsidTr="00ED586E">
        <w:tc>
          <w:tcPr>
            <w:tcW w:w="0" w:type="auto"/>
            <w:hideMark/>
          </w:tcPr>
          <w:p w14:paraId="165D3792"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11299596"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035C6227"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0A2E30A9"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290D899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0764BA5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14:paraId="26C0766B" w14:textId="77777777" w:rsidTr="00ED586E">
        <w:tc>
          <w:tcPr>
            <w:tcW w:w="0" w:type="auto"/>
            <w:hideMark/>
          </w:tcPr>
          <w:p w14:paraId="4EA218A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14:paraId="3B98660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إجراء فحوصات دورية منتظمة للأجهزة الطبية داخل المستشفى</w:t>
            </w:r>
            <w:r w:rsidRPr="00386BAD">
              <w:rPr>
                <w:rFonts w:ascii="Traditional Arabic" w:eastAsia="Calibri" w:hAnsi="Traditional Arabic" w:cs="Traditional Arabic"/>
                <w:sz w:val="32"/>
                <w:szCs w:val="32"/>
                <w:lang w:val="en-US"/>
              </w:rPr>
              <w:t>.</w:t>
            </w:r>
          </w:p>
        </w:tc>
        <w:tc>
          <w:tcPr>
            <w:tcW w:w="0" w:type="auto"/>
            <w:hideMark/>
          </w:tcPr>
          <w:p w14:paraId="608E1C10"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4.24</w:t>
            </w:r>
          </w:p>
        </w:tc>
        <w:tc>
          <w:tcPr>
            <w:tcW w:w="0" w:type="auto"/>
            <w:hideMark/>
          </w:tcPr>
          <w:p w14:paraId="46D77AA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14:paraId="53889D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B0E182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14:paraId="527380B6" w14:textId="77777777" w:rsidTr="00ED586E">
        <w:tc>
          <w:tcPr>
            <w:tcW w:w="0" w:type="auto"/>
            <w:hideMark/>
          </w:tcPr>
          <w:p w14:paraId="408BA4D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c>
          <w:tcPr>
            <w:tcW w:w="0" w:type="auto"/>
            <w:hideMark/>
          </w:tcPr>
          <w:p w14:paraId="483F87E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استبدال بعض مكونات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14:paraId="484D5A7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14:paraId="5A93A3B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CFCE80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D5DCC4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14:paraId="6CDD5E6F" w14:textId="77777777" w:rsidTr="00ED586E">
        <w:tc>
          <w:tcPr>
            <w:tcW w:w="0" w:type="auto"/>
            <w:hideMark/>
          </w:tcPr>
          <w:p w14:paraId="341D9EA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14:paraId="6F5D6DD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متابعة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14:paraId="6E4CFD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1A966FF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14:paraId="18512B8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CFF654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14:paraId="0F4B6097" w14:textId="77777777" w:rsidTr="00ED586E">
        <w:tc>
          <w:tcPr>
            <w:tcW w:w="0" w:type="auto"/>
            <w:hideMark/>
          </w:tcPr>
          <w:p w14:paraId="037CBC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14:paraId="63488A4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14:paraId="70ECDFE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14:paraId="4A56067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6142FEE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623B12C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14:paraId="04FAB4C3" w14:textId="77777777" w:rsidTr="00ED586E">
        <w:tc>
          <w:tcPr>
            <w:tcW w:w="0" w:type="auto"/>
            <w:hideMark/>
          </w:tcPr>
          <w:p w14:paraId="59C5389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14:paraId="7E194B2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برامج الصيانة الوقائية في الحفاظ على </w:t>
            </w:r>
            <w:r w:rsidRPr="00386BAD">
              <w:rPr>
                <w:rFonts w:ascii="Traditional Arabic" w:eastAsia="Calibri" w:hAnsi="Traditional Arabic" w:cs="Traditional Arabic"/>
                <w:sz w:val="32"/>
                <w:szCs w:val="32"/>
                <w:rtl/>
                <w:lang w:val="en-US"/>
              </w:rPr>
              <w:lastRenderedPageBreak/>
              <w:t>جاهزية المعدات الطبية</w:t>
            </w:r>
            <w:r w:rsidRPr="00386BAD">
              <w:rPr>
                <w:rFonts w:ascii="Traditional Arabic" w:eastAsia="Calibri" w:hAnsi="Traditional Arabic" w:cs="Traditional Arabic"/>
                <w:sz w:val="32"/>
                <w:szCs w:val="32"/>
                <w:lang w:val="en-US"/>
              </w:rPr>
              <w:t>.</w:t>
            </w:r>
          </w:p>
        </w:tc>
        <w:tc>
          <w:tcPr>
            <w:tcW w:w="0" w:type="auto"/>
            <w:hideMark/>
          </w:tcPr>
          <w:p w14:paraId="2B65F86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4.22</w:t>
            </w:r>
          </w:p>
        </w:tc>
        <w:tc>
          <w:tcPr>
            <w:tcW w:w="0" w:type="auto"/>
            <w:hideMark/>
          </w:tcPr>
          <w:p w14:paraId="01F684F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6957EEDD" w14:textId="2CB06368"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r w:rsidR="00141CD1">
              <w:rPr>
                <w:rFonts w:ascii="Traditional Arabic" w:eastAsia="Calibri" w:hAnsi="Traditional Arabic" w:cs="Traditional Arabic" w:hint="cs"/>
                <w:sz w:val="32"/>
                <w:szCs w:val="32"/>
                <w:rtl/>
                <w:lang w:val="en-US"/>
              </w:rPr>
              <w:t xml:space="preserve"> </w:t>
            </w:r>
            <w:r w:rsidR="00141CD1">
              <w:rPr>
                <w:rFonts w:ascii="Traditional Arabic" w:eastAsia="Calibri" w:hAnsi="Traditional Arabic" w:cs="Traditional Arabic" w:hint="cs"/>
                <w:sz w:val="32"/>
                <w:szCs w:val="32"/>
                <w:rtl/>
                <w:lang w:val="en-US"/>
              </w:rPr>
              <w:lastRenderedPageBreak/>
              <w:t>جدا</w:t>
            </w:r>
          </w:p>
        </w:tc>
        <w:tc>
          <w:tcPr>
            <w:tcW w:w="0" w:type="auto"/>
            <w:hideMark/>
          </w:tcPr>
          <w:p w14:paraId="6D738D2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3</w:t>
            </w:r>
          </w:p>
        </w:tc>
      </w:tr>
      <w:tr w:rsidR="00ED586E" w:rsidRPr="00386BAD" w14:paraId="3A17169A" w14:textId="77777777" w:rsidTr="00ED586E">
        <w:tc>
          <w:tcPr>
            <w:tcW w:w="0" w:type="auto"/>
            <w:hideMark/>
          </w:tcPr>
          <w:p w14:paraId="20F55B1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c>
          <w:tcPr>
            <w:tcW w:w="0" w:type="auto"/>
            <w:hideMark/>
          </w:tcPr>
          <w:p w14:paraId="7FB4F2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14:paraId="5BC6F9B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14:paraId="7B67327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14:paraId="41077CD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74CD86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14:paraId="4D2FC53C" w14:textId="77777777" w:rsidTr="00ED586E">
        <w:tc>
          <w:tcPr>
            <w:tcW w:w="0" w:type="auto"/>
            <w:hideMark/>
          </w:tcPr>
          <w:p w14:paraId="22CADF5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14:paraId="5BE7252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14:paraId="4D8968D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14:paraId="2B87DCDE"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14:paraId="1631058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1AE779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14:paraId="0CA3D94A" w14:textId="77777777" w:rsidTr="00292CB1">
        <w:tc>
          <w:tcPr>
            <w:tcW w:w="0" w:type="auto"/>
            <w:gridSpan w:val="2"/>
            <w:hideMark/>
          </w:tcPr>
          <w:p w14:paraId="3CAE6AB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0A418345" w14:textId="77777777"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14:paraId="0E55A0C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14:paraId="06066477"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14:paraId="3E48DF1B"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04D3B47E"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48BFF9A0" w14:textId="37646610" w:rsidR="00ED586E" w:rsidRPr="00386BAD" w:rsidRDefault="00ED586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9</w:t>
      </w:r>
      <w:r w:rsidRPr="00386BAD">
        <w:rPr>
          <w:rFonts w:ascii="Traditional Arabic" w:eastAsia="Calibri" w:hAnsi="Traditional Arabic" w:cs="Traditional Arabic"/>
          <w:sz w:val="32"/>
          <w:szCs w:val="32"/>
          <w:rtl/>
          <w:lang w:val="en-US"/>
        </w:rPr>
        <w:t>) أن المتوسط الحسابي الكلي لبعد الصيانة الوقائية بلغ (4.16) بانحراف معياري مقداره (0.68)، وهو ما يشير إلى أن مستوى تطبيق الصيانة الوقائية في مستشفى عسير المركزي جاء مرتفعًا من وجهة نظر أفراد الدراسة.</w:t>
      </w:r>
    </w:p>
    <w:p w14:paraId="07D83D47"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(4.31)، ويمكن تفسير هذه النتيجة باعتماد مستشفى عسير المركزي بصورة كبيرة على الأجهزة الطبية في تقديم الخدمات التشخيصية والعلاجية، الأمر الذي يجعل الحد من الأعطال المفاجئة أولوية تشغيلية تسهم في ضمان استمرارية تقديم الخدمات الصحية وتحسين كفاءة الأداء</w:t>
      </w:r>
      <w:r w:rsidRPr="00386BAD">
        <w:rPr>
          <w:rFonts w:ascii="Traditional Arabic" w:eastAsia="Calibri" w:hAnsi="Traditional Arabic" w:cs="Traditional Arabic"/>
          <w:sz w:val="32"/>
          <w:szCs w:val="32"/>
        </w:rPr>
        <w:t>.</w:t>
      </w:r>
    </w:p>
    <w:p w14:paraId="0DB39195"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وفي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(3.98)، ورغم أن مستوى التقدير جاء مرتفعًا، إلا أن ذلك قد يُعزى إلى أن برامج التدريب الفني تحتاج إلى موارد مالية وبشرية متخصصة، كما قد تتأثر بمتطلبات العمل اليومية وضغط التشغيل داخل المستشفى، مما يقلل من فرص تنفيذها بصورة مستمرة مقارنة ببقية ممارسات الصيانة الوقائية</w:t>
      </w:r>
      <w:r w:rsidRPr="00386BAD">
        <w:rPr>
          <w:rFonts w:ascii="Traditional Arabic" w:eastAsia="Calibri" w:hAnsi="Traditional Arabic" w:cs="Traditional Arabic"/>
          <w:sz w:val="32"/>
          <w:szCs w:val="32"/>
        </w:rPr>
        <w:t>.</w:t>
      </w:r>
    </w:p>
    <w:p w14:paraId="2B7BC0C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14:paraId="45A003C9" w14:textId="5D258ECF" w:rsidR="00BA3ACE" w:rsidRPr="00386BAD" w:rsidRDefault="00BA3ACE"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10</w:t>
      </w:r>
      <w:r w:rsidRPr="00386BAD">
        <w:rPr>
          <w:rFonts w:ascii="Traditional Arabic" w:eastAsia="Calibri" w:hAnsi="Traditional Arabic" w:cs="Traditional Arabic"/>
          <w:sz w:val="32"/>
          <w:szCs w:val="32"/>
          <w:rtl/>
          <w:lang w:val="en-US"/>
        </w:rPr>
        <w:t>).</w:t>
      </w:r>
    </w:p>
    <w:p w14:paraId="26BE2045" w14:textId="713CDAA4" w:rsidR="00BA3ACE" w:rsidRPr="00386BAD" w:rsidRDefault="00BA3ACE" w:rsidP="003438A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10</w:t>
      </w:r>
      <w:r w:rsidRPr="00386BAD">
        <w:rPr>
          <w:rFonts w:ascii="Traditional Arabic" w:eastAsia="Calibri" w:hAnsi="Traditional Arabic" w:cs="Traditional Arabic"/>
          <w:b/>
          <w:bCs/>
          <w:sz w:val="32"/>
          <w:szCs w:val="32"/>
          <w:rtl/>
          <w:lang w:val="en-US"/>
        </w:rPr>
        <w:t>)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14:paraId="0ED82C7D" w14:textId="77777777" w:rsidTr="00BA3ACE">
        <w:tc>
          <w:tcPr>
            <w:tcW w:w="0" w:type="auto"/>
            <w:hideMark/>
          </w:tcPr>
          <w:p w14:paraId="66E8C045"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0A2502AB"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14:paraId="48E4074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6EF9031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61F9702F"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3951B6A2"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14:paraId="3EA4CC9D" w14:textId="77777777" w:rsidTr="00BA3ACE">
        <w:tc>
          <w:tcPr>
            <w:tcW w:w="0" w:type="auto"/>
            <w:hideMark/>
          </w:tcPr>
          <w:p w14:paraId="162F5D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14:paraId="321EEF6B"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67D39BC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14:paraId="3C0C458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14:paraId="3DD4789A"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1B23920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14:paraId="554AD0E1" w14:textId="77777777" w:rsidTr="00BA3ACE">
        <w:tc>
          <w:tcPr>
            <w:tcW w:w="0" w:type="auto"/>
            <w:hideMark/>
          </w:tcPr>
          <w:p w14:paraId="534A68D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14:paraId="68A5F19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14:paraId="413187F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14:paraId="243905D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14:paraId="3AA1C2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6A9E485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14:paraId="47E43022" w14:textId="77777777" w:rsidTr="00BA3ACE">
        <w:tc>
          <w:tcPr>
            <w:tcW w:w="0" w:type="auto"/>
            <w:hideMark/>
          </w:tcPr>
          <w:p w14:paraId="323C315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14:paraId="4A3CA14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التدخل المبكر لمعالجة المشكلات التشغيلية للأجهزة</w:t>
            </w:r>
            <w:r w:rsidRPr="00386BAD">
              <w:rPr>
                <w:rFonts w:ascii="Traditional Arabic" w:eastAsia="Calibri" w:hAnsi="Traditional Arabic" w:cs="Traditional Arabic"/>
                <w:sz w:val="32"/>
                <w:szCs w:val="32"/>
                <w:lang w:val="en-US" w:bidi="ar-JO"/>
              </w:rPr>
              <w:t>.</w:t>
            </w:r>
          </w:p>
        </w:tc>
        <w:tc>
          <w:tcPr>
            <w:tcW w:w="0" w:type="auto"/>
            <w:hideMark/>
          </w:tcPr>
          <w:p w14:paraId="13040B1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4.09</w:t>
            </w:r>
          </w:p>
        </w:tc>
        <w:tc>
          <w:tcPr>
            <w:tcW w:w="0" w:type="auto"/>
            <w:hideMark/>
          </w:tcPr>
          <w:p w14:paraId="1D2B4E1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14:paraId="215EF00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22A9D5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14:paraId="6A109461" w14:textId="77777777" w:rsidTr="00BA3ACE">
        <w:tc>
          <w:tcPr>
            <w:tcW w:w="0" w:type="auto"/>
            <w:hideMark/>
          </w:tcPr>
          <w:p w14:paraId="181774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11</w:t>
            </w:r>
          </w:p>
        </w:tc>
        <w:tc>
          <w:tcPr>
            <w:tcW w:w="0" w:type="auto"/>
            <w:hideMark/>
          </w:tcPr>
          <w:p w14:paraId="56D9440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متابعة بيانات أداء الأجهزة الطبية بشكل مستمر</w:t>
            </w:r>
            <w:r w:rsidRPr="00386BAD">
              <w:rPr>
                <w:rFonts w:ascii="Traditional Arabic" w:eastAsia="Calibri" w:hAnsi="Traditional Arabic" w:cs="Traditional Arabic"/>
                <w:sz w:val="32"/>
                <w:szCs w:val="32"/>
                <w:lang w:val="en-US" w:bidi="ar-JO"/>
              </w:rPr>
              <w:t>.</w:t>
            </w:r>
          </w:p>
        </w:tc>
        <w:tc>
          <w:tcPr>
            <w:tcW w:w="0" w:type="auto"/>
            <w:hideMark/>
          </w:tcPr>
          <w:p w14:paraId="681455C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4.16</w:t>
            </w:r>
          </w:p>
        </w:tc>
        <w:tc>
          <w:tcPr>
            <w:tcW w:w="0" w:type="auto"/>
            <w:hideMark/>
          </w:tcPr>
          <w:p w14:paraId="6F2B8FD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14:paraId="75399E5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3E7D5AC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14:paraId="65A97098" w14:textId="77777777" w:rsidTr="00BA3ACE">
        <w:tc>
          <w:tcPr>
            <w:tcW w:w="0" w:type="auto"/>
            <w:hideMark/>
          </w:tcPr>
          <w:p w14:paraId="1919326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12</w:t>
            </w:r>
          </w:p>
        </w:tc>
        <w:tc>
          <w:tcPr>
            <w:tcW w:w="0" w:type="auto"/>
            <w:hideMark/>
          </w:tcPr>
          <w:p w14:paraId="76AF086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14:paraId="33E2751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14:paraId="11B1ED9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14:paraId="71F54AB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 جدًا</w:t>
            </w:r>
          </w:p>
        </w:tc>
        <w:tc>
          <w:tcPr>
            <w:tcW w:w="0" w:type="auto"/>
            <w:hideMark/>
          </w:tcPr>
          <w:p w14:paraId="6A41496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14:paraId="364086D5" w14:textId="77777777" w:rsidTr="00BA3ACE">
        <w:tc>
          <w:tcPr>
            <w:tcW w:w="0" w:type="auto"/>
            <w:hideMark/>
          </w:tcPr>
          <w:p w14:paraId="30516D4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14:paraId="3EDB2D5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14:paraId="7968356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14:paraId="2DD6A556"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14:paraId="1E91AF2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5F86B7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14:paraId="484EBB54" w14:textId="77777777" w:rsidTr="00BA3ACE">
        <w:tc>
          <w:tcPr>
            <w:tcW w:w="0" w:type="auto"/>
            <w:hideMark/>
          </w:tcPr>
          <w:p w14:paraId="64816CD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14:paraId="5439A80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42EF332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14:paraId="6D899A7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14:paraId="52F765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77EC88F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BA3ACE" w:rsidRPr="00386BAD" w14:paraId="25311C6B" w14:textId="77777777" w:rsidTr="00F029D3">
        <w:tc>
          <w:tcPr>
            <w:tcW w:w="0" w:type="auto"/>
            <w:gridSpan w:val="2"/>
            <w:hideMark/>
          </w:tcPr>
          <w:p w14:paraId="0F75527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22E98DFA" w14:textId="77777777" w:rsidR="00BA3ACE" w:rsidRPr="00386BAD" w:rsidRDefault="00BA3ACE" w:rsidP="00BA3ACE">
            <w:pPr>
              <w:bidi/>
              <w:jc w:val="both"/>
              <w:rPr>
                <w:rFonts w:ascii="Traditional Arabic" w:eastAsia="Calibri" w:hAnsi="Traditional Arabic" w:cs="Traditional Arabic"/>
                <w:sz w:val="32"/>
                <w:szCs w:val="32"/>
                <w:lang w:val="en-US" w:bidi="ar-JO"/>
              </w:rPr>
            </w:pPr>
          </w:p>
        </w:tc>
        <w:tc>
          <w:tcPr>
            <w:tcW w:w="0" w:type="auto"/>
            <w:hideMark/>
          </w:tcPr>
          <w:p w14:paraId="74F8752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14:paraId="7AB24D8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14:paraId="2554118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14:paraId="681C0D6F"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173C4FFE" w14:textId="7BDD2C5F" w:rsidR="00BA3ACE" w:rsidRPr="00386BAD" w:rsidRDefault="00BA3ACE"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يبين جدول (4-</w:t>
      </w:r>
      <w:r w:rsidR="003438AE">
        <w:rPr>
          <w:rFonts w:ascii="Traditional Arabic" w:eastAsia="Calibri" w:hAnsi="Traditional Arabic" w:cs="Traditional Arabic" w:hint="cs"/>
          <w:sz w:val="32"/>
          <w:szCs w:val="32"/>
          <w:rtl/>
          <w:lang w:val="en-US"/>
        </w:rPr>
        <w:t>10</w:t>
      </w:r>
      <w:r w:rsidRPr="00386BAD">
        <w:rPr>
          <w:rFonts w:ascii="Traditional Arabic" w:eastAsia="Calibri" w:hAnsi="Traditional Arabic" w:cs="Traditional Arabic"/>
          <w:sz w:val="32"/>
          <w:szCs w:val="32"/>
          <w:rtl/>
          <w:lang w:val="en-US"/>
        </w:rPr>
        <w:t>) أن المتوسط الحسابي الكلي لبعد الصيانة التنبؤية بلغ (4.11) بانحراف معياري مقداره (0.69)، مما يشير إلى أن مستوى تطبيق الصيانة التنبؤية في مستشفى عسير المركزي جاء مرتفعًا من وجهة نظر أفراد الدراسة.</w:t>
      </w:r>
    </w:p>
    <w:p w14:paraId="7FD56FA1"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14:paraId="3A2861B5" w14:textId="77777777"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وجاءت الفقرة المتعلقة باستخدام تحليل البيانات لمراقبة أداء الأجهزة الطبية في المرتبة الثانية بمتوسط حسابي بلغ (4.18)، تلتها الفقرة الخاصة بمتابعة بيانات أداء الأجهزة الطبية بشكل مستمر بمتوسط حسابي بلغ (4.16)، مما يشير إلى اهتمام المستشفى بتوظيف البيانات التشغيلية في متابعة أداء الأجهزة الطبية وتحسين كفاءتها.</w:t>
      </w:r>
    </w:p>
    <w:p w14:paraId="3A393E16"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وفي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14:paraId="410FA9F5" w14:textId="77777777" w:rsidR="00BA3ACE" w:rsidRPr="00386BAD" w:rsidRDefault="00BA3ACE" w:rsidP="00A23CE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التقنيات الذكية لمراقبة حالة الأجهزة في المرتبة الأخيرة بمتوسط حسابي بلغ (3.95)، ورغم أنها جاءت ضمن مستوى التقدير المرتفع، إلا أن ذلك قد يشير إلى </w:t>
      </w:r>
      <w:r w:rsidRPr="00386BAD">
        <w:rPr>
          <w:rFonts w:ascii="Traditional Arabic" w:eastAsia="Calibri" w:hAnsi="Traditional Arabic" w:cs="Traditional Arabic"/>
          <w:sz w:val="32"/>
          <w:szCs w:val="32"/>
          <w:rtl/>
          <w:lang w:val="en-US"/>
        </w:rPr>
        <w:lastRenderedPageBreak/>
        <w:t>وجود مجال لتوسيع استخدام التقنيات الذكية وإنترنت الأشياء في عمليات مراقبة الأجهزة الطبية ودعم برامج الصيانة التنبؤية مستقبلاً.</w:t>
      </w:r>
    </w:p>
    <w:p w14:paraId="10F7FF49" w14:textId="77777777"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14:paraId="150960D9" w14:textId="77777777"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4.3.3 جودة الرعاية الصحية</w:t>
      </w:r>
    </w:p>
    <w:p w14:paraId="23D529B1" w14:textId="77777777"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بعد سرعة الاستجابة للخدمة الطبية</w:t>
      </w:r>
    </w:p>
    <w:p w14:paraId="43AD425E" w14:textId="3041C9CC" w:rsidR="00BA3ACE" w:rsidRPr="00386BAD" w:rsidRDefault="00BA3AC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11</w:t>
      </w:r>
      <w:r w:rsidR="00F029D3" w:rsidRPr="00386BAD">
        <w:rPr>
          <w:rFonts w:ascii="Traditional Arabic" w:eastAsia="Calibri" w:hAnsi="Traditional Arabic" w:cs="Traditional Arabic"/>
          <w:sz w:val="32"/>
          <w:szCs w:val="32"/>
          <w:rtl/>
          <w:lang w:val="en-US"/>
        </w:rPr>
        <w:t>).</w:t>
      </w:r>
    </w:p>
    <w:p w14:paraId="68D7EC88" w14:textId="7EEC0E4E" w:rsidR="00BA3ACE" w:rsidRPr="00386BAD" w:rsidRDefault="00BA3ACE"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11</w:t>
      </w:r>
      <w:r w:rsidRPr="00386BAD">
        <w:rPr>
          <w:rFonts w:ascii="Traditional Arabic" w:eastAsia="Calibri" w:hAnsi="Traditional Arabic" w:cs="Traditional Arabic"/>
          <w:b/>
          <w:bCs/>
          <w:sz w:val="32"/>
          <w:szCs w:val="32"/>
          <w:rtl/>
          <w:lang w:val="en-US"/>
        </w:rPr>
        <w:t>) المتوسطات الحسابية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14:paraId="1070698C" w14:textId="77777777" w:rsidTr="00BA3ACE">
        <w:tc>
          <w:tcPr>
            <w:tcW w:w="0" w:type="auto"/>
            <w:hideMark/>
          </w:tcPr>
          <w:p w14:paraId="3E9A1C2F"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9381DCD"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38DC1C70"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6F3BBBCB"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61A0430B"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5C38F734"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BA3ACE" w:rsidRPr="00386BAD" w14:paraId="1A3839AD" w14:textId="77777777" w:rsidTr="00BA3ACE">
        <w:tc>
          <w:tcPr>
            <w:tcW w:w="0" w:type="auto"/>
            <w:hideMark/>
          </w:tcPr>
          <w:p w14:paraId="438DE9A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0" w:type="auto"/>
            <w:hideMark/>
          </w:tcPr>
          <w:p w14:paraId="3649F56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4E573C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14:paraId="03C4E8B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14:paraId="342025DF"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5059A5BE"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14:paraId="574BEB5C" w14:textId="77777777" w:rsidTr="00BA3ACE">
        <w:tc>
          <w:tcPr>
            <w:tcW w:w="0" w:type="auto"/>
            <w:hideMark/>
          </w:tcPr>
          <w:p w14:paraId="7A09588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14:paraId="5396BD43"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للأجهزة في تقليل وقت انتظار المرضى</w:t>
            </w:r>
            <w:r w:rsidRPr="00386BAD">
              <w:rPr>
                <w:rFonts w:ascii="Traditional Arabic" w:eastAsia="Calibri" w:hAnsi="Traditional Arabic" w:cs="Traditional Arabic"/>
                <w:sz w:val="32"/>
                <w:szCs w:val="32"/>
                <w:lang w:val="en-US"/>
              </w:rPr>
              <w:t>.</w:t>
            </w:r>
          </w:p>
        </w:tc>
        <w:tc>
          <w:tcPr>
            <w:tcW w:w="0" w:type="auto"/>
            <w:hideMark/>
          </w:tcPr>
          <w:p w14:paraId="58E79B6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14:paraId="484216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2A71F338"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08C740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14:paraId="751F3F4D" w14:textId="77777777" w:rsidTr="00BA3ACE">
        <w:tc>
          <w:tcPr>
            <w:tcW w:w="0" w:type="auto"/>
            <w:hideMark/>
          </w:tcPr>
          <w:p w14:paraId="169118E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14:paraId="5774AEF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14:paraId="3268B57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76063C2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683E2DD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4712ED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14:paraId="0D1B8FAC" w14:textId="77777777" w:rsidTr="00BA3ACE">
        <w:tc>
          <w:tcPr>
            <w:tcW w:w="0" w:type="auto"/>
            <w:hideMark/>
          </w:tcPr>
          <w:p w14:paraId="4ACC729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14:paraId="20541FC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5654263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754A7DF7"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5CF6E3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1C3BC4C"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14:paraId="4F474ABA" w14:textId="77777777" w:rsidTr="00BA3ACE">
        <w:tc>
          <w:tcPr>
            <w:tcW w:w="0" w:type="auto"/>
            <w:hideMark/>
          </w:tcPr>
          <w:p w14:paraId="756367B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19</w:t>
            </w:r>
          </w:p>
        </w:tc>
        <w:tc>
          <w:tcPr>
            <w:tcW w:w="0" w:type="auto"/>
            <w:hideMark/>
          </w:tcPr>
          <w:p w14:paraId="018EB41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14:paraId="5A9FC3AD"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14:paraId="3E229E3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14:paraId="511C652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961FD8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5E56626A" w14:textId="77777777" w:rsidTr="00F029D3">
        <w:tc>
          <w:tcPr>
            <w:tcW w:w="0" w:type="auto"/>
            <w:gridSpan w:val="2"/>
            <w:hideMark/>
          </w:tcPr>
          <w:p w14:paraId="7D0AADF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1DC1BCBF"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2C72AC5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14:paraId="464ABEA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14:paraId="3C81E5B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30A5A8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2F405EC3" w14:textId="333A70AD" w:rsidR="00BA3ACE" w:rsidRPr="00386BAD" w:rsidRDefault="00BA3ACE"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11</w:t>
      </w:r>
      <w:r w:rsidRPr="00386BAD">
        <w:rPr>
          <w:rFonts w:ascii="Traditional Arabic" w:eastAsia="Calibri" w:hAnsi="Traditional Arabic" w:cs="Traditional Arabic"/>
          <w:sz w:val="32"/>
          <w:szCs w:val="32"/>
          <w:rtl/>
          <w:lang w:val="en-US"/>
        </w:rPr>
        <w:t>) أن المتوسط الحسابي الكلي لبعد سرعة الاستجابة للخدمة الطبية بلغ (4.12) بانحراف معياري مقداره (0.67)، مما يشير إلى أن مستوى سرعة الاستجابة للخدمة الطبية في مستشفى عسير المركزي جاء مرتفعًا من وجهة نظر أفراد الدراسة.</w:t>
      </w:r>
    </w:p>
    <w:p w14:paraId="538037A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بلغ (4.14).</w:t>
      </w:r>
    </w:p>
    <w:p w14:paraId="78E2FEB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متوسطهما (4.10) و (3.99) على التوالي، مما يعكس إدراك أفراد الدراسة لارتفاع مستوى سرعة الاستجابة للخدمات الطبية في المستشفى نتيجة جاهزية الأجهزة الطبية وكفاءة تشغيلها.</w:t>
      </w:r>
    </w:p>
    <w:p w14:paraId="3751B906"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14:paraId="5533E43C" w14:textId="49F3F545"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للتعرف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12</w:t>
      </w:r>
      <w:r w:rsidRPr="00386BAD">
        <w:rPr>
          <w:rFonts w:ascii="Traditional Arabic" w:eastAsia="Calibri" w:hAnsi="Traditional Arabic" w:cs="Traditional Arabic"/>
          <w:sz w:val="32"/>
          <w:szCs w:val="32"/>
          <w:rtl/>
          <w:lang w:val="en-US"/>
        </w:rPr>
        <w:t>).</w:t>
      </w:r>
    </w:p>
    <w:p w14:paraId="42C7AF75" w14:textId="6A70A814" w:rsidR="00F029D3" w:rsidRPr="00386BAD" w:rsidRDefault="00F029D3"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12</w:t>
      </w:r>
      <w:r w:rsidRPr="00386BAD">
        <w:rPr>
          <w:rFonts w:ascii="Traditional Arabic" w:eastAsia="Calibri" w:hAnsi="Traditional Arabic" w:cs="Traditional Arabic"/>
          <w:b/>
          <w:bCs/>
          <w:sz w:val="32"/>
          <w:szCs w:val="32"/>
          <w:rtl/>
          <w:lang w:val="en-US"/>
        </w:rPr>
        <w:t>) المتوسطات الحسابية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14:paraId="4B83F0E1" w14:textId="77777777" w:rsidTr="00F029D3">
        <w:tc>
          <w:tcPr>
            <w:tcW w:w="0" w:type="auto"/>
            <w:hideMark/>
          </w:tcPr>
          <w:p w14:paraId="01A2F74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63F5BF47"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65B7E820"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5B50F70E"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4C22AF59"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69ADCC4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4B91266E" w14:textId="77777777" w:rsidTr="00F029D3">
        <w:tc>
          <w:tcPr>
            <w:tcW w:w="0" w:type="auto"/>
            <w:hideMark/>
          </w:tcPr>
          <w:p w14:paraId="1FBCBD1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14:paraId="26AEA43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14:paraId="14DDFCA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14:paraId="2331D75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4A1E6A6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0BE42CA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2427F6EE" w14:textId="77777777" w:rsidTr="00F029D3">
        <w:tc>
          <w:tcPr>
            <w:tcW w:w="0" w:type="auto"/>
            <w:hideMark/>
          </w:tcPr>
          <w:p w14:paraId="1A7C33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14:paraId="29C386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تقلل الصيانة المنتظمة من مخاطر الأعطال أثناء استخدام الأجهزة الطبية</w:t>
            </w:r>
            <w:r w:rsidRPr="00386BAD">
              <w:rPr>
                <w:rFonts w:ascii="Traditional Arabic" w:eastAsia="Calibri" w:hAnsi="Traditional Arabic" w:cs="Traditional Arabic"/>
                <w:sz w:val="32"/>
                <w:szCs w:val="32"/>
                <w:lang w:val="en-US"/>
              </w:rPr>
              <w:t>.</w:t>
            </w:r>
          </w:p>
        </w:tc>
        <w:tc>
          <w:tcPr>
            <w:tcW w:w="0" w:type="auto"/>
            <w:hideMark/>
          </w:tcPr>
          <w:p w14:paraId="4D10CD6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14:paraId="18A550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14:paraId="19017AB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68CD399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67B01F89" w14:textId="77777777" w:rsidTr="00F029D3">
        <w:tc>
          <w:tcPr>
            <w:tcW w:w="0" w:type="auto"/>
            <w:hideMark/>
          </w:tcPr>
          <w:p w14:paraId="2C38D97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14:paraId="1BFB44E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14:paraId="118F453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14:paraId="405FD72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37CEC50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2692B5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044968B3" w14:textId="77777777" w:rsidTr="00F029D3">
        <w:tc>
          <w:tcPr>
            <w:tcW w:w="0" w:type="auto"/>
            <w:hideMark/>
          </w:tcPr>
          <w:p w14:paraId="6AB6CB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14:paraId="01B522B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14:paraId="1D014C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14:paraId="55D42CB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7C38B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3BA11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7B437399" w14:textId="77777777" w:rsidTr="00F029D3">
        <w:tc>
          <w:tcPr>
            <w:tcW w:w="0" w:type="auto"/>
            <w:hideMark/>
          </w:tcPr>
          <w:p w14:paraId="0F42473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14:paraId="7CB3A91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14:paraId="136A4DC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14:paraId="7036287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8BAB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D5404A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76E12047" w14:textId="77777777" w:rsidTr="00F029D3">
        <w:tc>
          <w:tcPr>
            <w:tcW w:w="0" w:type="auto"/>
            <w:gridSpan w:val="2"/>
            <w:hideMark/>
          </w:tcPr>
          <w:p w14:paraId="65B6BB3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2E3989A5"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7062562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14:paraId="079026D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14:paraId="402F6F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 جدًا</w:t>
            </w:r>
          </w:p>
        </w:tc>
      </w:tr>
    </w:tbl>
    <w:p w14:paraId="35A039F5" w14:textId="14AB5146"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12</w:t>
      </w:r>
      <w:r w:rsidRPr="00386BAD">
        <w:rPr>
          <w:rFonts w:ascii="Traditional Arabic" w:eastAsia="Calibri" w:hAnsi="Traditional Arabic" w:cs="Traditional Arabic"/>
          <w:sz w:val="32"/>
          <w:szCs w:val="32"/>
          <w:rtl/>
          <w:lang w:val="en-US"/>
        </w:rPr>
        <w:t>) أن المتوسط الحسابي الكلي لبعد سلامة المرضى بلغ (4.20) بانحراف معياري مقداره (0.64)، مما يشير إلى أن مستوى سلامة المرضى في مستشفى عسير المركزي جاء مرتفعًا جدًا من وجهة نظر أفراد الدراسة، وهو أعلى متوسط بين أبعاد جودة الرعاية الصحية.</w:t>
      </w:r>
    </w:p>
    <w:p w14:paraId="5EDC30B6"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وعلى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14:paraId="4045A59C" w14:textId="77777777"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جاءت الفقرة المتعلقة بتقليل الأخطاء الطبية المرتبطة بالأجهزة في المرتبة الثالثة بمتوسط حسابي بلغ (4.19)، تلتها الفقرة الخاصة بتحسين مستوى الأمان داخل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إلا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14:paraId="4AEF364D"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بعد تقليل تأجيل العمليات والخدمات الطبية</w:t>
      </w:r>
    </w:p>
    <w:p w14:paraId="5602FFA3" w14:textId="333369C1"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للتعرف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w:t>
      </w:r>
      <w:r w:rsidR="003438AE">
        <w:rPr>
          <w:rFonts w:ascii="Traditional Arabic" w:eastAsia="Calibri" w:hAnsi="Traditional Arabic" w:cs="Traditional Arabic" w:hint="cs"/>
          <w:sz w:val="32"/>
          <w:szCs w:val="32"/>
          <w:rtl/>
          <w:lang w:val="en-US"/>
        </w:rPr>
        <w:t>13</w:t>
      </w:r>
      <w:r w:rsidRPr="00386BAD">
        <w:rPr>
          <w:rFonts w:ascii="Traditional Arabic" w:eastAsia="Calibri" w:hAnsi="Traditional Arabic" w:cs="Traditional Arabic"/>
          <w:sz w:val="32"/>
          <w:szCs w:val="32"/>
          <w:rtl/>
          <w:lang w:val="en-US"/>
        </w:rPr>
        <w:t>).</w:t>
      </w:r>
    </w:p>
    <w:p w14:paraId="4C15FDFC" w14:textId="072896F0" w:rsidR="00F029D3" w:rsidRPr="00386BAD" w:rsidRDefault="00F029D3"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13</w:t>
      </w:r>
      <w:r w:rsidRPr="00386BAD">
        <w:rPr>
          <w:rFonts w:ascii="Traditional Arabic" w:eastAsia="Calibri" w:hAnsi="Traditional Arabic" w:cs="Traditional Arabic"/>
          <w:b/>
          <w:bCs/>
          <w:sz w:val="32"/>
          <w:szCs w:val="32"/>
          <w:rtl/>
          <w:lang w:val="en-US"/>
        </w:rPr>
        <w:t>) المتوسطات الحسابية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14:paraId="12C48E5A" w14:textId="77777777" w:rsidTr="00F029D3">
        <w:tc>
          <w:tcPr>
            <w:tcW w:w="0" w:type="auto"/>
            <w:hideMark/>
          </w:tcPr>
          <w:p w14:paraId="02BD8A5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C71AEC8"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704B13C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0B43E549"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46BFE960"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4B68E922"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FEFE92" w14:textId="77777777" w:rsidTr="00F029D3">
        <w:tc>
          <w:tcPr>
            <w:tcW w:w="0" w:type="auto"/>
            <w:hideMark/>
          </w:tcPr>
          <w:p w14:paraId="1995D3B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14:paraId="23E8A04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تسهم الصيانة الفعالة للأجهزة في تقليل تأجيل </w:t>
            </w:r>
            <w:r w:rsidRPr="00386BAD">
              <w:rPr>
                <w:rFonts w:ascii="Traditional Arabic" w:eastAsia="Calibri" w:hAnsi="Traditional Arabic" w:cs="Traditional Arabic"/>
                <w:sz w:val="32"/>
                <w:szCs w:val="32"/>
                <w:rtl/>
                <w:lang w:val="en-US"/>
              </w:rPr>
              <w:lastRenderedPageBreak/>
              <w:t>العمليات الطبية</w:t>
            </w:r>
            <w:r w:rsidRPr="00386BAD">
              <w:rPr>
                <w:rFonts w:ascii="Traditional Arabic" w:eastAsia="Calibri" w:hAnsi="Traditional Arabic" w:cs="Traditional Arabic"/>
                <w:sz w:val="32"/>
                <w:szCs w:val="32"/>
                <w:lang w:val="en-US"/>
              </w:rPr>
              <w:t>.</w:t>
            </w:r>
          </w:p>
        </w:tc>
        <w:tc>
          <w:tcPr>
            <w:tcW w:w="0" w:type="auto"/>
            <w:hideMark/>
          </w:tcPr>
          <w:p w14:paraId="2E587F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4.13</w:t>
            </w:r>
          </w:p>
        </w:tc>
        <w:tc>
          <w:tcPr>
            <w:tcW w:w="0" w:type="auto"/>
            <w:hideMark/>
          </w:tcPr>
          <w:p w14:paraId="14252F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718F126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8C209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0D5F7AAE" w14:textId="77777777" w:rsidTr="00F029D3">
        <w:tc>
          <w:tcPr>
            <w:tcW w:w="0" w:type="auto"/>
            <w:hideMark/>
          </w:tcPr>
          <w:p w14:paraId="5F7925F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26</w:t>
            </w:r>
          </w:p>
        </w:tc>
        <w:tc>
          <w:tcPr>
            <w:tcW w:w="0" w:type="auto"/>
            <w:hideMark/>
          </w:tcPr>
          <w:p w14:paraId="45B2696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14:paraId="68821A6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14:paraId="623C1C5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3718FD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B05F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B0556DE" w14:textId="77777777" w:rsidTr="00F029D3">
        <w:tc>
          <w:tcPr>
            <w:tcW w:w="0" w:type="auto"/>
            <w:hideMark/>
          </w:tcPr>
          <w:p w14:paraId="22F20BC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14:paraId="3ABB7FD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14:paraId="4624B9D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14:paraId="09FB54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09D892E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891C0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52FE5129" w14:textId="77777777" w:rsidTr="00F029D3">
        <w:tc>
          <w:tcPr>
            <w:tcW w:w="0" w:type="auto"/>
            <w:hideMark/>
          </w:tcPr>
          <w:p w14:paraId="06E2551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14:paraId="33E665E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في تقليل توقف الأجهزة أثناء العمل</w:t>
            </w:r>
            <w:r w:rsidRPr="00386BAD">
              <w:rPr>
                <w:rFonts w:ascii="Traditional Arabic" w:eastAsia="Calibri" w:hAnsi="Traditional Arabic" w:cs="Traditional Arabic"/>
                <w:sz w:val="32"/>
                <w:szCs w:val="32"/>
                <w:lang w:val="en-US"/>
              </w:rPr>
              <w:t>.</w:t>
            </w:r>
          </w:p>
        </w:tc>
        <w:tc>
          <w:tcPr>
            <w:tcW w:w="0" w:type="auto"/>
            <w:hideMark/>
          </w:tcPr>
          <w:p w14:paraId="28DF80D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215EADF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844D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34180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3EC8C792" w14:textId="77777777" w:rsidTr="00F029D3">
        <w:tc>
          <w:tcPr>
            <w:tcW w:w="0" w:type="auto"/>
            <w:hideMark/>
          </w:tcPr>
          <w:p w14:paraId="017C774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14:paraId="1EF8890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14:paraId="3FAEA2A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14:paraId="29A2810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14:paraId="5A3BB21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F2D0FE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2AC09C61" w14:textId="77777777" w:rsidTr="00F029D3">
        <w:tc>
          <w:tcPr>
            <w:tcW w:w="0" w:type="auto"/>
            <w:gridSpan w:val="2"/>
            <w:hideMark/>
          </w:tcPr>
          <w:p w14:paraId="379D090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1E7014FB"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4CE1A6F1"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14:paraId="07CE498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14:paraId="0FE6F7E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A3BF1B5"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28B476A3" w14:textId="38C6F86F" w:rsidR="00F029D3" w:rsidRPr="00386BAD" w:rsidRDefault="00F029D3" w:rsidP="003438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13</w:t>
      </w:r>
      <w:r w:rsidRPr="00386BAD">
        <w:rPr>
          <w:rFonts w:ascii="Traditional Arabic" w:eastAsia="Calibri" w:hAnsi="Traditional Arabic" w:cs="Traditional Arabic"/>
          <w:sz w:val="32"/>
          <w:szCs w:val="32"/>
          <w:rtl/>
          <w:lang w:val="en-US"/>
        </w:rPr>
        <w:t>) أن المتوسط الحسابي الكلي لبعد تقليل تأجيل العمليات والخدمات الطبية بلغ (4.07) بانحراف معياري مقداره (0.70)، مما يشير إلى أن مستوى هذا البعد جاء مرتفعًا من وجهة نظر أفراد الدراسة.</w:t>
      </w:r>
    </w:p>
    <w:p w14:paraId="2E380270"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14:paraId="35C25782"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كما جاءت الفقرة المتعلقة بتقليل توقف الأجهزة أثناء العمل في المرتبة الثالثة بمتوسط حسابي بلغ (4.10)، تلتها الفقرة الخاصة باستمرارية تقديم الخدمات الطبية دون انقطاع بمتوسط حسابي بلغ (4.08)، بينما جاءت الفقرة "تسهم الإدارة الفعالة لصيانة الأجهزة في تقليل تأجيل الإجراءات الطبية" في المرتبة الأخيرة بمتوسط حسابي بلغ </w:t>
      </w:r>
      <w:r w:rsidRPr="00386BAD">
        <w:rPr>
          <w:rFonts w:ascii="Traditional Arabic" w:eastAsia="Calibri" w:hAnsi="Traditional Arabic" w:cs="Traditional Arabic"/>
          <w:sz w:val="32"/>
          <w:szCs w:val="32"/>
          <w:rtl/>
          <w:lang w:val="en-US"/>
        </w:rPr>
        <w:lastRenderedPageBreak/>
        <w:t>(3.88)، إلا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14:paraId="758E84CC" w14:textId="5D6B94B9" w:rsidR="00F029D3" w:rsidRPr="00386BAD" w:rsidRDefault="00F029D3" w:rsidP="003438AE">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14</w:t>
      </w:r>
      <w:r w:rsidRPr="00386BAD">
        <w:rPr>
          <w:rFonts w:ascii="Traditional Arabic" w:eastAsia="Calibri" w:hAnsi="Traditional Arabic" w:cs="Traditional Arabic"/>
          <w:b/>
          <w:bCs/>
          <w:sz w:val="32"/>
          <w:szCs w:val="32"/>
          <w:rtl/>
          <w:lang w:val="en-US"/>
        </w:rPr>
        <w:t>) المتوسطات الحسابية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14:paraId="557A0FE1" w14:textId="77777777" w:rsidTr="00F029D3">
        <w:tc>
          <w:tcPr>
            <w:tcW w:w="1935" w:type="pct"/>
            <w:hideMark/>
          </w:tcPr>
          <w:p w14:paraId="77898BEE"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14:paraId="72CA132F"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947" w:type="pct"/>
            <w:hideMark/>
          </w:tcPr>
          <w:p w14:paraId="4D4ED74D"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743" w:type="pct"/>
            <w:hideMark/>
          </w:tcPr>
          <w:p w14:paraId="64A68E18"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470" w:type="pct"/>
            <w:hideMark/>
          </w:tcPr>
          <w:p w14:paraId="64A628DA"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1723FE" w14:textId="77777777" w:rsidTr="00F029D3">
        <w:tc>
          <w:tcPr>
            <w:tcW w:w="1935" w:type="pct"/>
            <w:hideMark/>
          </w:tcPr>
          <w:p w14:paraId="46C01F07"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سلامة المرضى</w:t>
            </w:r>
          </w:p>
        </w:tc>
        <w:tc>
          <w:tcPr>
            <w:tcW w:w="906" w:type="pct"/>
            <w:hideMark/>
          </w:tcPr>
          <w:p w14:paraId="537325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14:paraId="037D6C7C"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14:paraId="7DB78A1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470" w:type="pct"/>
            <w:hideMark/>
          </w:tcPr>
          <w:p w14:paraId="053890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DB699BD" w14:textId="77777777" w:rsidTr="00F029D3">
        <w:tc>
          <w:tcPr>
            <w:tcW w:w="1935" w:type="pct"/>
            <w:hideMark/>
          </w:tcPr>
          <w:p w14:paraId="20CCB13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14:paraId="67B7AB66"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14:paraId="0C37642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14:paraId="440964C3"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376B62B5"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11BD528A" w14:textId="77777777" w:rsidTr="00F029D3">
        <w:tc>
          <w:tcPr>
            <w:tcW w:w="1935" w:type="pct"/>
            <w:hideMark/>
          </w:tcPr>
          <w:p w14:paraId="5134B54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تقليل تأجيل العمليات والخدمات الطبية</w:t>
            </w:r>
          </w:p>
        </w:tc>
        <w:tc>
          <w:tcPr>
            <w:tcW w:w="906" w:type="pct"/>
            <w:hideMark/>
          </w:tcPr>
          <w:p w14:paraId="6E1B924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14:paraId="32C68E32"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14:paraId="0649F23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5DDD66CB"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75058FBB" w14:textId="77777777" w:rsidTr="00F029D3">
        <w:tc>
          <w:tcPr>
            <w:tcW w:w="1935" w:type="pct"/>
            <w:hideMark/>
          </w:tcPr>
          <w:p w14:paraId="271434FA"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14:paraId="4D41212D"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14:paraId="56A2AAB1"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14:paraId="397B1EFE"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14:paraId="4360D62F"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14:paraId="7167DDC9"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8B454BE" w14:textId="771EE0A3"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14</w:t>
      </w:r>
      <w:r w:rsidRPr="00386BAD">
        <w:rPr>
          <w:rFonts w:ascii="Traditional Arabic" w:eastAsia="Calibri" w:hAnsi="Traditional Arabic" w:cs="Traditional Arabic"/>
          <w:sz w:val="32"/>
          <w:szCs w:val="32"/>
          <w:rtl/>
          <w:lang w:val="en-US"/>
        </w:rPr>
        <w:t>) أن المتوسط الحسابي الكلي لمتغير جودة الرعاية الصحية بلغ (4.13) بانحراف معياري مقداره (0.67)، مما يشير إلى أن مستوى جودة الرعاية الصحية في مستشفى عسير المركزي جاء مرتفعًا من وجهة نظر أفراد الدراسة.</w:t>
      </w:r>
    </w:p>
    <w:p w14:paraId="7923C613" w14:textId="77777777" w:rsidR="007051FE" w:rsidRDefault="00F029D3" w:rsidP="0062344D">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كما يتضح أن بعد سلامة المرضى جاء في المرتبة الأولى بمتوسط حسابي بلغ (4.20)، تلاه بعد سرعة الاستجابة للخدمة الطبية بمتوسط حسابي بلغ (4.12)، بينما جاء بعد تقليل تأجيل العمليات والخدمات الطبية في المرتبة الثالثة بمتوسط حسابي بلغ (4.07). وتشير هذه النتائج إلى أن أفراد الدراسة يرون أن جودة الرعاية الصحية في المستشفى </w:t>
      </w:r>
      <w:r w:rsidRPr="00386BAD">
        <w:rPr>
          <w:rFonts w:ascii="Traditional Arabic" w:eastAsia="Calibri" w:hAnsi="Traditional Arabic" w:cs="Traditional Arabic"/>
          <w:sz w:val="32"/>
          <w:szCs w:val="32"/>
          <w:rtl/>
          <w:lang w:val="en-US"/>
        </w:rPr>
        <w:lastRenderedPageBreak/>
        <w:t>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14:paraId="5299C4CF" w14:textId="77777777" w:rsidR="001C761F" w:rsidRPr="00386BAD" w:rsidRDefault="001C761F" w:rsidP="001C761F">
      <w:pPr>
        <w:bidi/>
        <w:spacing w:line="360" w:lineRule="auto"/>
        <w:jc w:val="both"/>
        <w:rPr>
          <w:rFonts w:ascii="Traditional Arabic" w:eastAsia="Calibri" w:hAnsi="Traditional Arabic" w:cs="Traditional Arabic"/>
          <w:sz w:val="32"/>
          <w:szCs w:val="32"/>
          <w:rtl/>
          <w:lang w:val="en-US" w:bidi="ar-JO"/>
        </w:rPr>
      </w:pPr>
    </w:p>
    <w:p w14:paraId="790263D8"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4.4 اختبار افتراضات تحليل الانحدار</w:t>
      </w:r>
    </w:p>
    <w:p w14:paraId="05D67F84" w14:textId="27186CB8"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قبل اختبار فرضيات الدراسة باستخ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تم التحقق من استيفاء البيانات للافتراضات الإحصائية اللازمة لضمان صحة نتائج التحليل ودقتها. وشمل ذلك فحص اعتدالية توزيع البيانات، والتأكد من عدم وجود مشكلة التعدد الخطي بين المتغيرات المستقلة، والتحقق من استقلالية الأخطاء، إضافة إلى فحص معاملات الارتباط بين متغيرات الدراسة. وفيما يأتي عرض نتائج هذه الاختبارات</w:t>
      </w:r>
      <w:r w:rsidRPr="001C761F">
        <w:rPr>
          <w:rFonts w:ascii="Traditional Arabic" w:eastAsia="Calibri" w:hAnsi="Traditional Arabic" w:cs="Traditional Arabic"/>
          <w:sz w:val="32"/>
          <w:szCs w:val="32"/>
          <w:lang w:val="en-US"/>
        </w:rPr>
        <w:t>.</w:t>
      </w:r>
    </w:p>
    <w:p w14:paraId="78199DB3"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r w:rsidRPr="001C761F">
        <w:rPr>
          <w:rFonts w:ascii="Traditional Arabic" w:eastAsia="Calibri" w:hAnsi="Traditional Arabic" w:cs="Traditional Arabic"/>
          <w:b/>
          <w:bCs/>
          <w:sz w:val="32"/>
          <w:szCs w:val="32"/>
          <w:rtl/>
          <w:lang w:val="en-US"/>
        </w:rPr>
        <w:t>4.4.1 اختبار التوزيع الطبيعي (</w:t>
      </w:r>
      <w:r w:rsidRPr="001C761F">
        <w:rPr>
          <w:rFonts w:ascii="Traditional Arabic" w:eastAsia="Calibri" w:hAnsi="Traditional Arabic" w:cs="Traditional Arabic"/>
          <w:b/>
          <w:bCs/>
          <w:sz w:val="32"/>
          <w:szCs w:val="32"/>
          <w:lang w:val="en-US"/>
        </w:rPr>
        <w:t>Normality Test</w:t>
      </w:r>
      <w:r w:rsidRPr="001C761F">
        <w:rPr>
          <w:rFonts w:ascii="Traditional Arabic" w:eastAsia="Calibri" w:hAnsi="Traditional Arabic" w:cs="Traditional Arabic"/>
          <w:b/>
          <w:bCs/>
          <w:sz w:val="32"/>
          <w:szCs w:val="32"/>
          <w:rtl/>
          <w:lang w:val="en-US"/>
        </w:rPr>
        <w:t>)</w:t>
      </w:r>
    </w:p>
    <w:p w14:paraId="782DEC97" w14:textId="45BEBFBA"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التحقق من اعتدالية توزيع بيانات الدراسة باستخدام معاملي الالتواء (</w:t>
      </w:r>
      <w:r w:rsidRPr="001C761F">
        <w:rPr>
          <w:rFonts w:ascii="Traditional Arabic" w:eastAsia="Calibri" w:hAnsi="Traditional Arabic" w:cs="Traditional Arabic"/>
          <w:sz w:val="32"/>
          <w:szCs w:val="32"/>
          <w:lang w:val="en-US"/>
        </w:rPr>
        <w:t>Skewness</w:t>
      </w:r>
      <w:r w:rsidRPr="001C761F">
        <w:rPr>
          <w:rFonts w:ascii="Traditional Arabic" w:eastAsia="Calibri" w:hAnsi="Traditional Arabic" w:cs="Traditional Arabic"/>
          <w:sz w:val="32"/>
          <w:szCs w:val="32"/>
          <w:rtl/>
          <w:lang w:val="en-US"/>
        </w:rPr>
        <w:t>) والتفرطح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حيث تشير الأدبيات الإحصائية إلى أن البيانات تُعد موزعة توزيعًا طبيعيًا إذا جاءت قيم الالتواء والتفرطح ضمن الحدود المقبولة، مما يسمح باستخدام تحليل الانحدار الخطي في اختبار فرضيات الدراسة.</w:t>
      </w:r>
    </w:p>
    <w:p w14:paraId="14DA5259" w14:textId="1CE430F7" w:rsidR="001C761F" w:rsidRPr="001C761F" w:rsidRDefault="001C761F" w:rsidP="003438AE">
      <w:pPr>
        <w:bidi/>
        <w:spacing w:line="240" w:lineRule="auto"/>
        <w:jc w:val="center"/>
        <w:rPr>
          <w:rFonts w:ascii="Traditional Arabic" w:eastAsia="Calibri" w:hAnsi="Traditional Arabic" w:cs="Traditional Arabic"/>
          <w:sz w:val="32"/>
          <w:szCs w:val="32"/>
          <w:lang w:val="en-US"/>
        </w:rPr>
      </w:pPr>
      <w:r w:rsidRPr="001C761F">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15</w:t>
      </w:r>
      <w:r w:rsidRPr="001C761F">
        <w:rPr>
          <w:rFonts w:ascii="Traditional Arabic" w:eastAsia="Calibri" w:hAnsi="Traditional Arabic" w:cs="Traditional Arabic"/>
          <w:b/>
          <w:bCs/>
          <w:sz w:val="32"/>
          <w:szCs w:val="32"/>
          <w:rtl/>
          <w:lang w:val="en-US"/>
        </w:rPr>
        <w:t>) نتائج اختبار التوزيع الطبيعي لمتغيرات الدراسة</w:t>
      </w:r>
    </w:p>
    <w:tbl>
      <w:tblPr>
        <w:tblStyle w:val="a3"/>
        <w:bidiVisual/>
        <w:tblW w:w="5000" w:type="pct"/>
        <w:tblLook w:val="04A0" w:firstRow="1" w:lastRow="0" w:firstColumn="1" w:lastColumn="0" w:noHBand="0" w:noVBand="1"/>
      </w:tblPr>
      <w:tblGrid>
        <w:gridCol w:w="3772"/>
        <w:gridCol w:w="3060"/>
        <w:gridCol w:w="2744"/>
      </w:tblGrid>
      <w:tr w:rsidR="001C761F" w:rsidRPr="001C761F" w14:paraId="5F93032D" w14:textId="77777777" w:rsidTr="001C761F">
        <w:tc>
          <w:tcPr>
            <w:tcW w:w="1969" w:type="pct"/>
            <w:hideMark/>
          </w:tcPr>
          <w:p w14:paraId="1695CC9E"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المتغير</w:t>
            </w:r>
          </w:p>
        </w:tc>
        <w:tc>
          <w:tcPr>
            <w:tcW w:w="1597" w:type="pct"/>
            <w:hideMark/>
          </w:tcPr>
          <w:p w14:paraId="0BD78A4A"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Skewness</w:t>
            </w:r>
          </w:p>
        </w:tc>
        <w:tc>
          <w:tcPr>
            <w:tcW w:w="1433" w:type="pct"/>
            <w:hideMark/>
          </w:tcPr>
          <w:p w14:paraId="66E0F7E5"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Kurtosis</w:t>
            </w:r>
          </w:p>
        </w:tc>
      </w:tr>
      <w:tr w:rsidR="001C761F" w:rsidRPr="001C761F" w14:paraId="593695C4" w14:textId="77777777" w:rsidTr="001C761F">
        <w:tc>
          <w:tcPr>
            <w:tcW w:w="1969" w:type="pct"/>
            <w:hideMark/>
          </w:tcPr>
          <w:p w14:paraId="25EDC04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الوقائية</w:t>
            </w:r>
          </w:p>
        </w:tc>
        <w:tc>
          <w:tcPr>
            <w:tcW w:w="1597" w:type="pct"/>
            <w:hideMark/>
          </w:tcPr>
          <w:p w14:paraId="2CF5F8A0"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-0.487</w:t>
            </w:r>
          </w:p>
        </w:tc>
        <w:tc>
          <w:tcPr>
            <w:tcW w:w="1433" w:type="pct"/>
            <w:hideMark/>
          </w:tcPr>
          <w:p w14:paraId="734FD8A1"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-0.621</w:t>
            </w:r>
          </w:p>
        </w:tc>
      </w:tr>
      <w:tr w:rsidR="001C761F" w:rsidRPr="001C761F" w14:paraId="71755ECF" w14:textId="77777777" w:rsidTr="001C761F">
        <w:tc>
          <w:tcPr>
            <w:tcW w:w="1969" w:type="pct"/>
            <w:hideMark/>
          </w:tcPr>
          <w:p w14:paraId="1E1C750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التنبؤية</w:t>
            </w:r>
          </w:p>
        </w:tc>
        <w:tc>
          <w:tcPr>
            <w:tcW w:w="1597" w:type="pct"/>
            <w:hideMark/>
          </w:tcPr>
          <w:p w14:paraId="44C1FB1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-0.352</w:t>
            </w:r>
          </w:p>
        </w:tc>
        <w:tc>
          <w:tcPr>
            <w:tcW w:w="1433" w:type="pct"/>
            <w:hideMark/>
          </w:tcPr>
          <w:p w14:paraId="60CB472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-0.418</w:t>
            </w:r>
          </w:p>
        </w:tc>
      </w:tr>
      <w:tr w:rsidR="001C761F" w:rsidRPr="001C761F" w14:paraId="56DE8B84" w14:textId="77777777" w:rsidTr="001C761F">
        <w:tc>
          <w:tcPr>
            <w:tcW w:w="1969" w:type="pct"/>
            <w:hideMark/>
          </w:tcPr>
          <w:p w14:paraId="3EC31B84"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جودة الرعاية الصحية</w:t>
            </w:r>
          </w:p>
        </w:tc>
        <w:tc>
          <w:tcPr>
            <w:tcW w:w="1597" w:type="pct"/>
            <w:hideMark/>
          </w:tcPr>
          <w:p w14:paraId="5E037B9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-0.571</w:t>
            </w:r>
          </w:p>
        </w:tc>
        <w:tc>
          <w:tcPr>
            <w:tcW w:w="1433" w:type="pct"/>
            <w:hideMark/>
          </w:tcPr>
          <w:p w14:paraId="46A8DAC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-0.736</w:t>
            </w:r>
          </w:p>
        </w:tc>
      </w:tr>
    </w:tbl>
    <w:p w14:paraId="2FF8D4B1" w14:textId="77777777" w:rsidR="001C761F" w:rsidRDefault="001C761F" w:rsidP="001C761F">
      <w:pPr>
        <w:bidi/>
        <w:spacing w:line="360" w:lineRule="auto"/>
        <w:jc w:val="both"/>
        <w:rPr>
          <w:rFonts w:ascii="Traditional Arabic" w:eastAsia="Calibri" w:hAnsi="Traditional Arabic" w:cs="Traditional Arabic"/>
          <w:b/>
          <w:bCs/>
          <w:sz w:val="32"/>
          <w:szCs w:val="32"/>
          <w:rtl/>
          <w:lang w:val="en-US"/>
        </w:rPr>
      </w:pPr>
    </w:p>
    <w:p w14:paraId="04DE3691" w14:textId="1A722742" w:rsidR="001C761F" w:rsidRPr="001C761F" w:rsidRDefault="001C761F" w:rsidP="003438AE">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15</w:t>
      </w:r>
      <w:r w:rsidRPr="001C761F">
        <w:rPr>
          <w:rFonts w:ascii="Traditional Arabic" w:eastAsia="Calibri" w:hAnsi="Traditional Arabic" w:cs="Traditional Arabic"/>
          <w:sz w:val="32"/>
          <w:szCs w:val="32"/>
          <w:rtl/>
          <w:lang w:val="en-US"/>
        </w:rPr>
        <w:t>) أن قيم معامل الالتواء (</w:t>
      </w:r>
      <w:r w:rsidRPr="001C761F">
        <w:rPr>
          <w:rFonts w:ascii="Traditional Arabic" w:eastAsia="Calibri" w:hAnsi="Traditional Arabic" w:cs="Traditional Arabic"/>
          <w:sz w:val="32"/>
          <w:szCs w:val="32"/>
          <w:lang w:val="en-US"/>
        </w:rPr>
        <w:t>Skewness</w:t>
      </w:r>
      <w:r w:rsidRPr="001C761F">
        <w:rPr>
          <w:rFonts w:ascii="Traditional Arabic" w:eastAsia="Calibri" w:hAnsi="Traditional Arabic" w:cs="Traditional Arabic"/>
          <w:sz w:val="32"/>
          <w:szCs w:val="32"/>
          <w:rtl/>
          <w:lang w:val="en-US"/>
        </w:rPr>
        <w:t>) لجميع متغيرات الدراسة تراوحت بين (-0.571) و(-0.352)، في حين تراوحت قيم معامل التفرطح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بين (-0.736) و(-0.418). وتعد هذه القيم ضمن الحدود المقبولة إحصائيًا، مما يشير إلى أن بيانات الدراسة تتبع توزيعًا طبيعيًا بدرجة مناسبة. وعليه، فإن افتراض الاعتدالية متحقق، الأمر الذي يؤكد ملاءمة البيانات لاستخدام تحليل الانحدار الخطي لاختبار فرضيات الدراسة.</w:t>
      </w:r>
    </w:p>
    <w:p w14:paraId="7A77086D"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4.4.2 اختبار التعدد الخطي (</w:t>
      </w:r>
      <w:r w:rsidRPr="005B1F03">
        <w:rPr>
          <w:rFonts w:ascii="Traditional Arabic" w:eastAsia="Calibri" w:hAnsi="Traditional Arabic" w:cs="Traditional Arabic"/>
          <w:b/>
          <w:bCs/>
          <w:sz w:val="32"/>
          <w:szCs w:val="32"/>
          <w:lang w:val="en-US"/>
        </w:rPr>
        <w:t>Multicollinearity Test</w:t>
      </w:r>
      <w:r w:rsidRPr="005B1F03">
        <w:rPr>
          <w:rFonts w:ascii="Traditional Arabic" w:eastAsia="Calibri" w:hAnsi="Traditional Arabic" w:cs="Traditional Arabic"/>
          <w:b/>
          <w:bCs/>
          <w:sz w:val="32"/>
          <w:szCs w:val="32"/>
          <w:rtl/>
          <w:lang w:val="en-US"/>
        </w:rPr>
        <w:t>)</w:t>
      </w:r>
    </w:p>
    <w:p w14:paraId="2B567C2F" w14:textId="6F0F96D9"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تم التحقق من عدم وجود مشكلة التعدد الخطي (</w:t>
      </w:r>
      <w:r w:rsidRPr="005B1F03">
        <w:rPr>
          <w:rFonts w:ascii="Traditional Arabic" w:eastAsia="Calibri" w:hAnsi="Traditional Arabic" w:cs="Traditional Arabic"/>
          <w:sz w:val="32"/>
          <w:szCs w:val="32"/>
          <w:lang w:val="en-US"/>
        </w:rPr>
        <w:t>Multicollinearity</w:t>
      </w:r>
      <w:r w:rsidRPr="005B1F03">
        <w:rPr>
          <w:rFonts w:ascii="Traditional Arabic" w:eastAsia="Calibri" w:hAnsi="Traditional Arabic" w:cs="Traditional Arabic"/>
          <w:sz w:val="32"/>
          <w:szCs w:val="32"/>
          <w:rtl/>
          <w:lang w:val="en-US"/>
        </w:rPr>
        <w:t>) بين المتغيرات المستقلة باستخدام كل من معامل السماحية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ومعامل تضخم التباين (</w:t>
      </w:r>
      <w:r w:rsidRPr="005B1F03">
        <w:rPr>
          <w:rFonts w:ascii="Traditional Arabic" w:eastAsia="Calibri" w:hAnsi="Traditional Arabic" w:cs="Traditional Arabic"/>
          <w:sz w:val="32"/>
          <w:szCs w:val="32"/>
          <w:lang w:val="en-US"/>
        </w:rPr>
        <w:t>Variance Inflation Factor: VIF</w:t>
      </w:r>
      <w:r w:rsidRPr="005B1F03">
        <w:rPr>
          <w:rFonts w:ascii="Traditional Arabic" w:eastAsia="Calibri" w:hAnsi="Traditional Arabic" w:cs="Traditional Arabic"/>
          <w:sz w:val="32"/>
          <w:szCs w:val="32"/>
          <w:rtl/>
          <w:lang w:val="en-US"/>
        </w:rPr>
        <w:t>). وتُعد البيانات خالية من مشكلة التعدد الخطي إذا كانت قيمة معامل السماحية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أكبر من (0.10)، وكانت قيمة معامل تضخم التباين (</w:t>
      </w:r>
      <w:r w:rsidRPr="005B1F03">
        <w:rPr>
          <w:rFonts w:ascii="Traditional Arabic" w:eastAsia="Calibri" w:hAnsi="Traditional Arabic" w:cs="Traditional Arabic"/>
          <w:sz w:val="32"/>
          <w:szCs w:val="32"/>
          <w:lang w:val="en-US"/>
        </w:rPr>
        <w:t>VIF</w:t>
      </w:r>
      <w:r w:rsidRPr="005B1F03">
        <w:rPr>
          <w:rFonts w:ascii="Traditional Arabic" w:eastAsia="Calibri" w:hAnsi="Traditional Arabic" w:cs="Traditional Arabic"/>
          <w:sz w:val="32"/>
          <w:szCs w:val="32"/>
          <w:rtl/>
          <w:lang w:val="en-US"/>
        </w:rPr>
        <w:t>) أقل من (10)، مما يدل على استقلالية المتغيرات المستقلة وإمكانية إدراجها معًا في نموذج الانحدار الخطي.</w:t>
      </w:r>
    </w:p>
    <w:p w14:paraId="2FE6DDBC" w14:textId="5DCD14A7" w:rsidR="005B1F03" w:rsidRPr="005B1F03" w:rsidRDefault="005B1F03" w:rsidP="003438AE">
      <w:pPr>
        <w:bidi/>
        <w:spacing w:after="0"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16</w:t>
      </w:r>
      <w:r w:rsidRPr="005B1F03">
        <w:rPr>
          <w:rFonts w:ascii="Traditional Arabic" w:eastAsia="Calibri" w:hAnsi="Traditional Arabic" w:cs="Traditional Arabic"/>
          <w:b/>
          <w:bCs/>
          <w:sz w:val="32"/>
          <w:szCs w:val="32"/>
          <w:rtl/>
          <w:lang w:val="en-US"/>
        </w:rPr>
        <w:t>) نتائج اختبار التعدد الخطي بين المتغيرات المستقلة</w:t>
      </w:r>
    </w:p>
    <w:tbl>
      <w:tblPr>
        <w:tblStyle w:val="a3"/>
        <w:bidiVisual/>
        <w:tblW w:w="5000" w:type="pct"/>
        <w:tblLook w:val="04A0" w:firstRow="1" w:lastRow="0" w:firstColumn="1" w:lastColumn="0" w:noHBand="0" w:noVBand="1"/>
      </w:tblPr>
      <w:tblGrid>
        <w:gridCol w:w="3407"/>
        <w:gridCol w:w="3938"/>
        <w:gridCol w:w="2231"/>
      </w:tblGrid>
      <w:tr w:rsidR="005B1F03" w:rsidRPr="005B1F03" w14:paraId="0835C547" w14:textId="77777777" w:rsidTr="005B1F03">
        <w:tc>
          <w:tcPr>
            <w:tcW w:w="1779" w:type="pct"/>
            <w:hideMark/>
          </w:tcPr>
          <w:p w14:paraId="46D533C9"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 المستقل</w:t>
            </w:r>
          </w:p>
        </w:tc>
        <w:tc>
          <w:tcPr>
            <w:tcW w:w="2056" w:type="pct"/>
            <w:hideMark/>
          </w:tcPr>
          <w:p w14:paraId="7C309296"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Tolerance</w:t>
            </w:r>
          </w:p>
        </w:tc>
        <w:tc>
          <w:tcPr>
            <w:tcW w:w="1165" w:type="pct"/>
            <w:hideMark/>
          </w:tcPr>
          <w:p w14:paraId="6E748C42"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VIF</w:t>
            </w:r>
          </w:p>
        </w:tc>
      </w:tr>
      <w:tr w:rsidR="005B1F03" w:rsidRPr="005B1F03" w14:paraId="274E3B8C" w14:textId="77777777" w:rsidTr="005B1F03">
        <w:tc>
          <w:tcPr>
            <w:tcW w:w="1779" w:type="pct"/>
            <w:hideMark/>
          </w:tcPr>
          <w:p w14:paraId="11DDEDAB"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الوقائية</w:t>
            </w:r>
          </w:p>
        </w:tc>
        <w:tc>
          <w:tcPr>
            <w:tcW w:w="2056" w:type="pct"/>
            <w:hideMark/>
          </w:tcPr>
          <w:p w14:paraId="09F3676E"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59D3A42D"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r w:rsidR="005B1F03" w:rsidRPr="005B1F03" w14:paraId="17BA2888" w14:textId="77777777" w:rsidTr="005B1F03">
        <w:tc>
          <w:tcPr>
            <w:tcW w:w="1779" w:type="pct"/>
            <w:hideMark/>
          </w:tcPr>
          <w:p w14:paraId="7F4F4498"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2056" w:type="pct"/>
            <w:hideMark/>
          </w:tcPr>
          <w:p w14:paraId="1F077A26"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7CE5D21A"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bl>
    <w:p w14:paraId="4730C2FE" w14:textId="5BFFED6B" w:rsidR="005B1F03" w:rsidRPr="005B1F03" w:rsidRDefault="00094E04" w:rsidP="003438AE">
      <w:pPr>
        <w:bidi/>
        <w:spacing w:line="360" w:lineRule="auto"/>
        <w:jc w:val="both"/>
        <w:rPr>
          <w:rFonts w:ascii="Traditional Arabic" w:eastAsia="Calibri" w:hAnsi="Traditional Arabic" w:cs="Traditional Arabic"/>
          <w:sz w:val="32"/>
          <w:szCs w:val="32"/>
          <w:lang w:val="en-US"/>
        </w:rPr>
      </w:pPr>
      <w:r w:rsidRPr="00094E04">
        <w:rPr>
          <w:rFonts w:ascii="Traditional Arabic" w:eastAsia="Calibri" w:hAnsi="Traditional Arabic" w:cs="Traditional Arabic"/>
          <w:sz w:val="32"/>
          <w:szCs w:val="32"/>
          <w:rtl/>
          <w:lang w:val="en-US"/>
        </w:rPr>
        <w:lastRenderedPageBreak/>
        <w:t>يبين جدول (4-</w:t>
      </w:r>
      <w:r w:rsidR="003438AE">
        <w:rPr>
          <w:rFonts w:ascii="Traditional Arabic" w:eastAsia="Calibri" w:hAnsi="Traditional Arabic" w:cs="Traditional Arabic" w:hint="cs"/>
          <w:sz w:val="32"/>
          <w:szCs w:val="32"/>
          <w:rtl/>
          <w:lang w:val="en-US"/>
        </w:rPr>
        <w:t>16</w:t>
      </w:r>
      <w:r w:rsidRPr="00094E04">
        <w:rPr>
          <w:rFonts w:ascii="Traditional Arabic" w:eastAsia="Calibri" w:hAnsi="Traditional Arabic" w:cs="Traditional Arabic"/>
          <w:sz w:val="32"/>
          <w:szCs w:val="32"/>
          <w:rtl/>
          <w:lang w:val="en-US"/>
        </w:rPr>
        <w:t>) أن قيمة معامل السماحية (</w:t>
      </w:r>
      <w:r w:rsidRPr="00094E04">
        <w:rPr>
          <w:rFonts w:ascii="Traditional Arabic" w:eastAsia="Calibri" w:hAnsi="Traditional Arabic" w:cs="Traditional Arabic"/>
          <w:sz w:val="32"/>
          <w:szCs w:val="32"/>
          <w:lang w:val="en-US"/>
        </w:rPr>
        <w:t>Tolerance</w:t>
      </w:r>
      <w:r w:rsidRPr="00094E04">
        <w:rPr>
          <w:rFonts w:ascii="Traditional Arabic" w:eastAsia="Calibri" w:hAnsi="Traditional Arabic" w:cs="Traditional Arabic"/>
          <w:sz w:val="32"/>
          <w:szCs w:val="32"/>
          <w:rtl/>
          <w:lang w:val="en-US"/>
        </w:rPr>
        <w:t xml:space="preserve">) لكل من متغيري الصيانة الوقائية والصيانة التنبؤية بلغت (0.684)، وهي أعلى من الحد الأدنى </w:t>
      </w:r>
      <w:r w:rsidR="008919F4" w:rsidRPr="008919F4">
        <w:rPr>
          <w:rFonts w:ascii="Traditional Arabic" w:eastAsia="Calibri" w:hAnsi="Traditional Arabic" w:cs="Traditional Arabic"/>
          <w:sz w:val="32"/>
          <w:szCs w:val="32"/>
          <w:rtl/>
          <w:lang w:val="en-US"/>
        </w:rPr>
        <w:t>المقبول (0.10). كما بلغت قيمة معامل تضخم التباين (</w:t>
      </w:r>
      <w:r w:rsidR="008919F4" w:rsidRPr="008919F4">
        <w:rPr>
          <w:rFonts w:ascii="Traditional Arabic" w:eastAsia="Calibri" w:hAnsi="Traditional Arabic" w:cs="Traditional Arabic"/>
          <w:sz w:val="32"/>
          <w:szCs w:val="32"/>
          <w:lang w:val="en-US"/>
        </w:rPr>
        <w:t>VIF) (1.462</w:t>
      </w:r>
      <w:r w:rsidR="008919F4" w:rsidRPr="008919F4">
        <w:rPr>
          <w:rFonts w:ascii="Traditional Arabic" w:eastAsia="Calibri" w:hAnsi="Traditional Arabic" w:cs="Traditional Arabic"/>
          <w:sz w:val="32"/>
          <w:szCs w:val="32"/>
          <w:rtl/>
          <w:lang w:val="en-US"/>
        </w:rPr>
        <w:t xml:space="preserve">) لكلا المتغيرين، وهي أقل بكثير من الحد الأعلى المقبول (10). وتشير هذه النتائج إلى عدم وجود مشكلة تعدد خطي بين المتغيرين المستقلين، مما يؤكد استقلالية كل من الصيانة الوقائية </w:t>
      </w:r>
      <w:r w:rsidRPr="00094E04">
        <w:rPr>
          <w:rFonts w:ascii="Traditional Arabic" w:eastAsia="Calibri" w:hAnsi="Traditional Arabic" w:cs="Traditional Arabic"/>
          <w:sz w:val="32"/>
          <w:szCs w:val="32"/>
          <w:rtl/>
          <w:lang w:val="en-US"/>
        </w:rPr>
        <w:t>والصيانة التنبؤية، ويعزز موثوقية نتائج تحليل الانحدار الخطي المستخدم في اختبار فرضيات الدراسة.</w:t>
      </w:r>
    </w:p>
    <w:p w14:paraId="0FAAF8EE"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4.4.3 اختبار استقلالية الأخطاء (</w:t>
      </w:r>
      <w:r w:rsidRPr="005B1F03">
        <w:rPr>
          <w:rFonts w:ascii="Traditional Arabic" w:eastAsia="Calibri" w:hAnsi="Traditional Arabic" w:cs="Traditional Arabic"/>
          <w:b/>
          <w:bCs/>
          <w:sz w:val="32"/>
          <w:szCs w:val="32"/>
          <w:lang w:val="en-US"/>
        </w:rPr>
        <w:t>Durbin–Watson Test</w:t>
      </w:r>
      <w:r w:rsidRPr="005B1F03">
        <w:rPr>
          <w:rFonts w:ascii="Traditional Arabic" w:eastAsia="Calibri" w:hAnsi="Traditional Arabic" w:cs="Traditional Arabic"/>
          <w:b/>
          <w:bCs/>
          <w:sz w:val="32"/>
          <w:szCs w:val="32"/>
          <w:rtl/>
          <w:lang w:val="en-US"/>
        </w:rPr>
        <w:t>)</w:t>
      </w:r>
    </w:p>
    <w:p w14:paraId="2EEB1168" w14:textId="2D1C83E0"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تم التحقق من افتراض استقلالية أخطاء الانحدار باستخدام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والتي تُعد من الاختبارات الأساسية للتحقق من عدم وجود ارتباط ذاتي بين بواقي نموذج الانحدار. ويُعد هذا الافتراض متحققًا عندما تكون قيمة الإحصائية قريبة من (2)، وتقع ضمن الحدود المقبولة، مما يدل على استقلالية الأخطاء وملاءمة نموذج الانحدار.</w:t>
      </w:r>
    </w:p>
    <w:p w14:paraId="0B0783D3" w14:textId="74DF3526" w:rsidR="005B1F03" w:rsidRPr="005B1F03" w:rsidRDefault="005B1F03" w:rsidP="003438AE">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17</w:t>
      </w:r>
      <w:r w:rsidRPr="005B1F03">
        <w:rPr>
          <w:rFonts w:ascii="Traditional Arabic" w:eastAsia="Calibri" w:hAnsi="Traditional Arabic" w:cs="Traditional Arabic"/>
          <w:b/>
          <w:bCs/>
          <w:sz w:val="32"/>
          <w:szCs w:val="32"/>
          <w:rtl/>
          <w:lang w:val="en-US"/>
        </w:rPr>
        <w:t>) نتائج اختبار استقلالية الأخطاء</w:t>
      </w:r>
    </w:p>
    <w:tbl>
      <w:tblPr>
        <w:tblStyle w:val="a3"/>
        <w:bidiVisual/>
        <w:tblW w:w="5000" w:type="pct"/>
        <w:tblLook w:val="04A0" w:firstRow="1" w:lastRow="0" w:firstColumn="1" w:lastColumn="0" w:noHBand="0" w:noVBand="1"/>
      </w:tblPr>
      <w:tblGrid>
        <w:gridCol w:w="6789"/>
        <w:gridCol w:w="2787"/>
      </w:tblGrid>
      <w:tr w:rsidR="005B1F03" w:rsidRPr="005B1F03" w14:paraId="4710CF97" w14:textId="77777777" w:rsidTr="005B1F03">
        <w:tc>
          <w:tcPr>
            <w:tcW w:w="3545" w:type="pct"/>
            <w:hideMark/>
          </w:tcPr>
          <w:p w14:paraId="3A58DC3E"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الاختبار</w:t>
            </w:r>
          </w:p>
        </w:tc>
        <w:tc>
          <w:tcPr>
            <w:tcW w:w="1455" w:type="pct"/>
            <w:hideMark/>
          </w:tcPr>
          <w:p w14:paraId="7E05FEE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القيمة</w:t>
            </w:r>
          </w:p>
        </w:tc>
      </w:tr>
      <w:tr w:rsidR="005B1F03" w:rsidRPr="005B1F03" w14:paraId="4BDF7A8A" w14:textId="77777777" w:rsidTr="005B1F03">
        <w:tc>
          <w:tcPr>
            <w:tcW w:w="3545" w:type="pct"/>
            <w:hideMark/>
          </w:tcPr>
          <w:p w14:paraId="6AF8AE7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Durbin–Watson</w:t>
            </w:r>
          </w:p>
        </w:tc>
        <w:tc>
          <w:tcPr>
            <w:tcW w:w="1455" w:type="pct"/>
            <w:hideMark/>
          </w:tcPr>
          <w:p w14:paraId="6149160A"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1.918</w:t>
            </w:r>
          </w:p>
        </w:tc>
      </w:tr>
    </w:tbl>
    <w:p w14:paraId="0F83E30B" w14:textId="77777777" w:rsidR="005B1F03" w:rsidRDefault="005B1F03" w:rsidP="005B1F03">
      <w:pPr>
        <w:bidi/>
        <w:spacing w:line="360" w:lineRule="auto"/>
        <w:jc w:val="both"/>
        <w:rPr>
          <w:rFonts w:ascii="Traditional Arabic" w:eastAsia="Calibri" w:hAnsi="Traditional Arabic" w:cs="Traditional Arabic"/>
          <w:sz w:val="32"/>
          <w:szCs w:val="32"/>
          <w:rtl/>
          <w:lang w:val="en-US"/>
        </w:rPr>
      </w:pPr>
    </w:p>
    <w:p w14:paraId="04C524B6" w14:textId="4AD5E8E6" w:rsidR="005B1F03" w:rsidRPr="005B1F03" w:rsidRDefault="005B1F03" w:rsidP="003438AE">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17</w:t>
      </w:r>
      <w:r w:rsidRPr="005B1F03">
        <w:rPr>
          <w:rFonts w:ascii="Traditional Arabic" w:eastAsia="Calibri" w:hAnsi="Traditional Arabic" w:cs="Traditional Arabic"/>
          <w:sz w:val="32"/>
          <w:szCs w:val="32"/>
          <w:rtl/>
          <w:lang w:val="en-US"/>
        </w:rPr>
        <w:t xml:space="preserve">) أن قيمة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xml:space="preserve"> بلغت (1.918)، وهي قيمة قريبة من (2)، وتقع ضمن الحدود المقبولة إحصائيًا، مما يشير إلى عدم وجود ارتباط ذاتي بين أخطاء نموذج الانحدار. وبناءً عليه، </w:t>
      </w:r>
      <w:r w:rsidRPr="005B1F03">
        <w:rPr>
          <w:rFonts w:ascii="Traditional Arabic" w:eastAsia="Calibri" w:hAnsi="Traditional Arabic" w:cs="Traditional Arabic"/>
          <w:sz w:val="32"/>
          <w:szCs w:val="32"/>
          <w:rtl/>
          <w:lang w:val="en-US"/>
        </w:rPr>
        <w:lastRenderedPageBreak/>
        <w:t>يتحقق افتراض استقلالية الأخطاء، الأمر الذي يؤكد ملاءمة البيانات لتطبي</w:t>
      </w:r>
      <w:r w:rsidR="00094E04">
        <w:rPr>
          <w:rFonts w:ascii="Traditional Arabic" w:eastAsia="Calibri" w:hAnsi="Traditional Arabic" w:cs="Traditional Arabic"/>
          <w:sz w:val="32"/>
          <w:szCs w:val="32"/>
          <w:rtl/>
          <w:lang w:val="en-US"/>
        </w:rPr>
        <w:t>ق تحليل الانحدار الخطي</w:t>
      </w:r>
      <w:r w:rsidRPr="005B1F03">
        <w:rPr>
          <w:rFonts w:ascii="Traditional Arabic" w:eastAsia="Calibri" w:hAnsi="Traditional Arabic" w:cs="Traditional Arabic"/>
          <w:sz w:val="32"/>
          <w:szCs w:val="32"/>
          <w:rtl/>
          <w:lang w:val="en-US"/>
        </w:rPr>
        <w:t xml:space="preserve"> واختبار فرضيات الدراسة.</w:t>
      </w:r>
    </w:p>
    <w:p w14:paraId="1FB257E9" w14:textId="77777777" w:rsidR="005B1F03" w:rsidRDefault="005B1F03" w:rsidP="005B1F03">
      <w:pPr>
        <w:bidi/>
        <w:spacing w:line="360" w:lineRule="auto"/>
        <w:jc w:val="both"/>
        <w:rPr>
          <w:rFonts w:ascii="Traditional Arabic" w:eastAsia="Calibri" w:hAnsi="Traditional Arabic" w:cs="Traditional Arabic"/>
          <w:b/>
          <w:bCs/>
          <w:sz w:val="32"/>
          <w:szCs w:val="32"/>
          <w:rtl/>
          <w:lang w:val="en-US"/>
        </w:rPr>
      </w:pPr>
      <w:r w:rsidRPr="005B1F03">
        <w:rPr>
          <w:rFonts w:ascii="Traditional Arabic" w:eastAsia="Calibri" w:hAnsi="Traditional Arabic" w:cs="Traditional Arabic"/>
          <w:b/>
          <w:bCs/>
          <w:sz w:val="32"/>
          <w:szCs w:val="32"/>
          <w:rtl/>
          <w:lang w:val="en-US"/>
        </w:rPr>
        <w:t>4.4.4 مصفوفة ارتباط بيرسون بين متغيرات الدراسة</w:t>
      </w:r>
    </w:p>
    <w:p w14:paraId="548FF699" w14:textId="71360D15"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قبل إجراء تحليل الانحدار الخطي، تم استخدام معامل ارتباط بيرسون (</w:t>
      </w:r>
      <w:r w:rsidRPr="005B1F03">
        <w:rPr>
          <w:rFonts w:ascii="Traditional Arabic" w:eastAsia="Calibri" w:hAnsi="Traditional Arabic" w:cs="Traditional Arabic"/>
          <w:sz w:val="32"/>
          <w:szCs w:val="32"/>
          <w:lang w:val="en-US"/>
        </w:rPr>
        <w:t>Pearson Correlation Coefficient</w:t>
      </w:r>
      <w:r w:rsidRPr="005B1F03">
        <w:rPr>
          <w:rFonts w:ascii="Traditional Arabic" w:eastAsia="Calibri" w:hAnsi="Traditional Arabic" w:cs="Traditional Arabic"/>
          <w:sz w:val="32"/>
          <w:szCs w:val="32"/>
          <w:rtl/>
          <w:lang w:val="en-US"/>
        </w:rPr>
        <w:t>) لفحص قوة واتجاه العلاقة بين متغيرات الدراسة، وذلك للتأكد من وجود علاقات ارتباط ذات دلالة إحصائية بين المتغيرات، وللتحقق من عدم وجود ارتباطات مرتفعة جدًا بين المتغيرات المستقلة قد تؤدي إلى مشكلة التعدد الخطي.</w:t>
      </w:r>
    </w:p>
    <w:p w14:paraId="31F42CFD" w14:textId="4EC4151E" w:rsidR="005B1F03" w:rsidRPr="005B1F03" w:rsidRDefault="005B1F03" w:rsidP="003438AE">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18</w:t>
      </w:r>
      <w:r w:rsidRPr="005B1F03">
        <w:rPr>
          <w:rFonts w:ascii="Traditional Arabic" w:eastAsia="Calibri" w:hAnsi="Traditional Arabic" w:cs="Traditional Arabic"/>
          <w:b/>
          <w:bCs/>
          <w:sz w:val="32"/>
          <w:szCs w:val="32"/>
          <w:rtl/>
          <w:lang w:val="en-US"/>
        </w:rPr>
        <w:t>) مصفوفة معاملات ارتباط بيرسون بين متغيرات الدراسة</w:t>
      </w:r>
    </w:p>
    <w:tbl>
      <w:tblPr>
        <w:tblStyle w:val="a3"/>
        <w:bidiVisual/>
        <w:tblW w:w="5000" w:type="pct"/>
        <w:tblLook w:val="04A0" w:firstRow="1" w:lastRow="0" w:firstColumn="1" w:lastColumn="0" w:noHBand="0" w:noVBand="1"/>
      </w:tblPr>
      <w:tblGrid>
        <w:gridCol w:w="2655"/>
        <w:gridCol w:w="2071"/>
        <w:gridCol w:w="2040"/>
        <w:gridCol w:w="2810"/>
      </w:tblGrid>
      <w:tr w:rsidR="005B1F03" w:rsidRPr="005B1F03" w14:paraId="539E4F8A" w14:textId="77777777" w:rsidTr="005B1F03">
        <w:tc>
          <w:tcPr>
            <w:tcW w:w="1386" w:type="pct"/>
            <w:hideMark/>
          </w:tcPr>
          <w:p w14:paraId="7F6EC4D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w:t>
            </w:r>
          </w:p>
        </w:tc>
        <w:tc>
          <w:tcPr>
            <w:tcW w:w="1081" w:type="pct"/>
            <w:hideMark/>
          </w:tcPr>
          <w:p w14:paraId="578271A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الوقائية</w:t>
            </w:r>
          </w:p>
        </w:tc>
        <w:tc>
          <w:tcPr>
            <w:tcW w:w="1065" w:type="pct"/>
            <w:hideMark/>
          </w:tcPr>
          <w:p w14:paraId="424DFB3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التنبؤية</w:t>
            </w:r>
          </w:p>
        </w:tc>
        <w:tc>
          <w:tcPr>
            <w:tcW w:w="1467" w:type="pct"/>
            <w:hideMark/>
          </w:tcPr>
          <w:p w14:paraId="44AA4823"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جودة الرعاية الصحية</w:t>
            </w:r>
          </w:p>
        </w:tc>
      </w:tr>
      <w:tr w:rsidR="005B1F03" w:rsidRPr="005B1F03" w14:paraId="6AF4AFA4" w14:textId="77777777" w:rsidTr="005B1F03">
        <w:tc>
          <w:tcPr>
            <w:tcW w:w="1386" w:type="pct"/>
            <w:hideMark/>
          </w:tcPr>
          <w:p w14:paraId="7B5E3F64"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الوقائية</w:t>
            </w:r>
          </w:p>
        </w:tc>
        <w:tc>
          <w:tcPr>
            <w:tcW w:w="1081" w:type="pct"/>
            <w:hideMark/>
          </w:tcPr>
          <w:p w14:paraId="69B2CC7F"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065" w:type="pct"/>
            <w:hideMark/>
          </w:tcPr>
          <w:p w14:paraId="0B5C170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c>
          <w:tcPr>
            <w:tcW w:w="1467" w:type="pct"/>
            <w:hideMark/>
          </w:tcPr>
          <w:p w14:paraId="66EB464C"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214FC54F" w14:textId="77777777" w:rsidTr="005B1F03">
        <w:tc>
          <w:tcPr>
            <w:tcW w:w="1386" w:type="pct"/>
            <w:hideMark/>
          </w:tcPr>
          <w:p w14:paraId="48032535"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1081" w:type="pct"/>
            <w:hideMark/>
          </w:tcPr>
          <w:p w14:paraId="3BB73B0B"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0.562**</w:t>
            </w:r>
          </w:p>
        </w:tc>
        <w:tc>
          <w:tcPr>
            <w:tcW w:w="1065" w:type="pct"/>
            <w:hideMark/>
          </w:tcPr>
          <w:p w14:paraId="7F60F83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467" w:type="pct"/>
            <w:hideMark/>
          </w:tcPr>
          <w:p w14:paraId="461EA94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56A58142" w14:textId="77777777" w:rsidTr="005B1F03">
        <w:tc>
          <w:tcPr>
            <w:tcW w:w="1386" w:type="pct"/>
            <w:hideMark/>
          </w:tcPr>
          <w:p w14:paraId="0C511F0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جودة الرعاية الصحية</w:t>
            </w:r>
          </w:p>
        </w:tc>
        <w:tc>
          <w:tcPr>
            <w:tcW w:w="1081" w:type="pct"/>
            <w:hideMark/>
          </w:tcPr>
          <w:p w14:paraId="1F1EF86D"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0.721**</w:t>
            </w:r>
          </w:p>
        </w:tc>
        <w:tc>
          <w:tcPr>
            <w:tcW w:w="1065" w:type="pct"/>
            <w:hideMark/>
          </w:tcPr>
          <w:p w14:paraId="022D34A2"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0.683**</w:t>
            </w:r>
          </w:p>
        </w:tc>
        <w:tc>
          <w:tcPr>
            <w:tcW w:w="1467" w:type="pct"/>
            <w:hideMark/>
          </w:tcPr>
          <w:p w14:paraId="1B48E5D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r>
    </w:tbl>
    <w:p w14:paraId="265C94E6" w14:textId="41E4EFC6" w:rsidR="005B1F03" w:rsidRPr="005B1F03" w:rsidRDefault="005B1F03" w:rsidP="005B1F03">
      <w:pPr>
        <w:bidi/>
        <w:spacing w:line="24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 xml:space="preserve">** </w:t>
      </w:r>
      <w:r w:rsidRPr="005B1F03">
        <w:rPr>
          <w:rFonts w:ascii="Traditional Arabic" w:eastAsia="Calibri" w:hAnsi="Traditional Arabic" w:cs="Traditional Arabic"/>
          <w:sz w:val="32"/>
          <w:szCs w:val="32"/>
          <w:rtl/>
          <w:lang w:val="en-US"/>
        </w:rPr>
        <w:t>تشير إلى وجود علاقة ذات دلالة إحصائية عند مستوى الدلالة (</w:t>
      </w:r>
      <w:r w:rsidRPr="005B1F03">
        <w:rPr>
          <w:rFonts w:ascii="Times New Roman" w:eastAsia="Calibri" w:hAnsi="Times New Roman" w:cs="Times New Roman"/>
          <w:sz w:val="32"/>
          <w:szCs w:val="32"/>
          <w:lang w:val="en-US"/>
        </w:rPr>
        <w:t>α</w:t>
      </w:r>
      <w:r w:rsidRPr="005B1F03">
        <w:rPr>
          <w:rFonts w:ascii="Traditional Arabic" w:eastAsia="Calibri" w:hAnsi="Traditional Arabic" w:cs="Traditional Arabic"/>
          <w:sz w:val="32"/>
          <w:szCs w:val="32"/>
          <w:lang w:val="en-US"/>
        </w:rPr>
        <w:t xml:space="preserve"> </w:t>
      </w:r>
      <w:r w:rsidRPr="005B1F03">
        <w:rPr>
          <w:rFonts w:ascii="Times New Roman" w:eastAsia="Calibri" w:hAnsi="Times New Roman" w:cs="Times New Roman"/>
          <w:sz w:val="32"/>
          <w:szCs w:val="32"/>
          <w:lang w:val="en-US"/>
        </w:rPr>
        <w:t>≤</w:t>
      </w:r>
      <w:r w:rsidRPr="005B1F03">
        <w:rPr>
          <w:rFonts w:ascii="Traditional Arabic" w:eastAsia="Calibri" w:hAnsi="Traditional Arabic" w:cs="Traditional Arabic"/>
          <w:sz w:val="32"/>
          <w:szCs w:val="32"/>
          <w:lang w:val="en-US"/>
        </w:rPr>
        <w:t xml:space="preserve"> 0.01</w:t>
      </w:r>
      <w:r w:rsidRPr="005B1F03">
        <w:rPr>
          <w:rFonts w:ascii="Traditional Arabic" w:eastAsia="Calibri" w:hAnsi="Traditional Arabic" w:cs="Traditional Arabic"/>
          <w:sz w:val="32"/>
          <w:szCs w:val="32"/>
          <w:rtl/>
          <w:lang w:val="en-US"/>
        </w:rPr>
        <w:t>).</w:t>
      </w:r>
    </w:p>
    <w:p w14:paraId="48C8FFD0" w14:textId="42E715D8" w:rsidR="005B1F03" w:rsidRPr="005B1F03" w:rsidRDefault="005B1F03" w:rsidP="005B1F03">
      <w:pPr>
        <w:bidi/>
        <w:spacing w:line="360" w:lineRule="auto"/>
        <w:jc w:val="both"/>
        <w:rPr>
          <w:rFonts w:ascii="Traditional Arabic" w:eastAsia="Calibri" w:hAnsi="Traditional Arabic" w:cs="Traditional Arabic"/>
          <w:b/>
          <w:bCs/>
          <w:sz w:val="32"/>
          <w:szCs w:val="32"/>
          <w:lang w:val="en-US"/>
        </w:rPr>
      </w:pPr>
    </w:p>
    <w:p w14:paraId="620ABA9B" w14:textId="014AE8EB" w:rsidR="005B1F03" w:rsidRPr="005B1F03" w:rsidRDefault="005B1F03" w:rsidP="003438AE">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18</w:t>
      </w:r>
      <w:r w:rsidRPr="005B1F03">
        <w:rPr>
          <w:rFonts w:ascii="Traditional Arabic" w:eastAsia="Calibri" w:hAnsi="Traditional Arabic" w:cs="Traditional Arabic"/>
          <w:sz w:val="32"/>
          <w:szCs w:val="32"/>
          <w:rtl/>
          <w:lang w:val="en-US"/>
        </w:rPr>
        <w:t>) وجود علاقة ارتباط موجبة ذات دلالة إحصائية بين الصيانة الوقائية والصيانة التنبؤية، حيث بلغ معامل الارتباط بينهما (0.562)، وهو ارتباط متوسط لا يشير إلى وجود مشكلة تعدد خطي بين المتغيرين المستقلين.</w:t>
      </w:r>
    </w:p>
    <w:p w14:paraId="50A5C9AA" w14:textId="462AB6E6"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كما أظهرت النتائج وجود علاقة ارتباط موجبة قوية بين الصيانة الوقائية وجودة الرعاية الصحية، حيث بلغ معامل الارتباط (0.721)، في حين بلغ معامل الارتباط بين الصيانة التنبؤية وجودة الرعاية الصحية (0.683)، وهي أيضًا علاقة موجبة ذات دلالة إحصائية.</w:t>
      </w:r>
    </w:p>
    <w:p w14:paraId="0336542E" w14:textId="41A0C881"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وتشير هذه النتائج إلى أن تحسن مستوى تطبيق الصيانة الوقائية والصيانة التنبؤية يرتبط بارتفاع مستوى جودة الرعاية الصحية في مستشفى عسير المركزي، كما تؤكد ملاءمة البيانات للانتقال إلى اختبار فرضيات الدراسة باستخدام تحليل الانحدار الخطي</w:t>
      </w:r>
      <w:r w:rsidRPr="005B1F03">
        <w:rPr>
          <w:rFonts w:ascii="Traditional Arabic" w:eastAsia="Calibri" w:hAnsi="Traditional Arabic" w:cs="Traditional Arabic"/>
          <w:sz w:val="32"/>
          <w:szCs w:val="32"/>
          <w:lang w:val="en-US"/>
        </w:rPr>
        <w:t>.</w:t>
      </w:r>
    </w:p>
    <w:p w14:paraId="6C72CAEC" w14:textId="77777777" w:rsidR="007051FE" w:rsidRPr="005B1F03" w:rsidRDefault="007051FE" w:rsidP="007051FE">
      <w:pPr>
        <w:bidi/>
        <w:spacing w:line="360" w:lineRule="auto"/>
        <w:jc w:val="both"/>
        <w:rPr>
          <w:rFonts w:ascii="Traditional Arabic" w:eastAsia="Calibri" w:hAnsi="Traditional Arabic" w:cs="Traditional Arabic"/>
          <w:sz w:val="32"/>
          <w:szCs w:val="32"/>
          <w:lang w:val="en-US"/>
        </w:rPr>
      </w:pPr>
    </w:p>
    <w:p w14:paraId="0ADFC20A" w14:textId="45FB5CE6" w:rsidR="0062344D" w:rsidRPr="00386BAD" w:rsidRDefault="0062344D" w:rsidP="005B1F03">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w:t>
      </w:r>
      <w:r w:rsidR="005B1F03">
        <w:rPr>
          <w:rFonts w:ascii="Traditional Arabic" w:eastAsia="Calibri" w:hAnsi="Traditional Arabic" w:cs="Traditional Arabic" w:hint="cs"/>
          <w:b/>
          <w:bCs/>
          <w:sz w:val="32"/>
          <w:szCs w:val="32"/>
          <w:rtl/>
          <w:lang w:val="en-US"/>
        </w:rPr>
        <w:t>5</w:t>
      </w:r>
      <w:r w:rsidRPr="00386BAD">
        <w:rPr>
          <w:rFonts w:ascii="Traditional Arabic" w:eastAsia="Calibri" w:hAnsi="Traditional Arabic" w:cs="Traditional Arabic"/>
          <w:b/>
          <w:bCs/>
          <w:sz w:val="32"/>
          <w:szCs w:val="32"/>
          <w:rtl/>
          <w:lang w:val="en-US"/>
        </w:rPr>
        <w:t xml:space="preserve"> اختبار فرضيات الدراسة</w:t>
      </w:r>
    </w:p>
    <w:p w14:paraId="4523A850" w14:textId="77777777"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اختبار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14:paraId="03FCE520"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الرئيسية الأولى على ما يلي</w:t>
      </w:r>
      <w:r w:rsidRPr="00386BAD">
        <w:rPr>
          <w:rFonts w:ascii="Traditional Arabic" w:eastAsia="Calibri" w:hAnsi="Traditional Arabic" w:cs="Traditional Arabic"/>
          <w:sz w:val="32"/>
          <w:szCs w:val="32"/>
          <w:lang w:val="en-US"/>
        </w:rPr>
        <w:t>:</w:t>
      </w:r>
    </w:p>
    <w:p w14:paraId="17EEAADC" w14:textId="77777777"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3A1D702C" w14:textId="7DDBE4BD" w:rsidR="0062344D" w:rsidRPr="00386BAD" w:rsidRDefault="00F029D3" w:rsidP="007D1E87">
      <w:pPr>
        <w:bidi/>
        <w:spacing w:line="360" w:lineRule="auto"/>
        <w:jc w:val="both"/>
        <w:rPr>
          <w:rFonts w:ascii="Traditional Arabic" w:eastAsia="Calibri" w:hAnsi="Traditional Arabic" w:cs="Traditional Arabic"/>
          <w:sz w:val="36"/>
          <w:szCs w:val="36"/>
          <w:rtl/>
          <w:lang w:val="en-US"/>
        </w:rPr>
      </w:pPr>
      <w:r w:rsidRPr="00386BAD">
        <w:rPr>
          <w:rFonts w:ascii="Traditional Arabic" w:eastAsia="Calibri" w:hAnsi="Traditional Arabic" w:cs="Traditional Arabic"/>
          <w:sz w:val="32"/>
          <w:szCs w:val="32"/>
          <w:rtl/>
          <w:lang w:val="en-US"/>
        </w:rPr>
        <w:t xml:space="preserve">وللتحقق </w:t>
      </w:r>
      <w:r w:rsidR="0062344D"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62344D" w:rsidRPr="00386BAD">
        <w:rPr>
          <w:rFonts w:ascii="Traditional Arabic" w:eastAsia="Calibri" w:hAnsi="Traditional Arabic" w:cs="Traditional Arabic"/>
          <w:sz w:val="32"/>
          <w:szCs w:val="32"/>
          <w:lang w:val="en-US"/>
        </w:rPr>
        <w:t>Simple Linear Regression</w:t>
      </w:r>
      <w:r w:rsidR="0062344D" w:rsidRPr="00386BA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w:t>
      </w:r>
      <w:r w:rsidR="007D1E87">
        <w:rPr>
          <w:rFonts w:ascii="Traditional Arabic" w:eastAsia="Calibri" w:hAnsi="Traditional Arabic" w:cs="Traditional Arabic" w:hint="cs"/>
          <w:sz w:val="32"/>
          <w:szCs w:val="32"/>
          <w:rtl/>
          <w:lang w:val="en-US"/>
        </w:rPr>
        <w:t>19</w:t>
      </w:r>
      <w:r w:rsidR="0062344D" w:rsidRPr="00386BAD">
        <w:rPr>
          <w:rFonts w:ascii="Traditional Arabic" w:eastAsia="Calibri" w:hAnsi="Traditional Arabic" w:cs="Traditional Arabic"/>
          <w:sz w:val="32"/>
          <w:szCs w:val="32"/>
          <w:rtl/>
          <w:lang w:val="en-US"/>
        </w:rPr>
        <w:t>).</w:t>
      </w:r>
    </w:p>
    <w:p w14:paraId="16650EF2" w14:textId="576588E8" w:rsidR="00F029D3" w:rsidRPr="00386BAD" w:rsidRDefault="0062344D" w:rsidP="003438AE">
      <w:pPr>
        <w:bidi/>
        <w:spacing w:line="240" w:lineRule="auto"/>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32"/>
          <w:szCs w:val="32"/>
          <w:rtl/>
          <w:lang w:val="en-US"/>
        </w:rPr>
        <w:t>جدول (4</w:t>
      </w:r>
      <w:commentRangeStart w:id="2"/>
      <w:r w:rsidRPr="00386BAD">
        <w:rPr>
          <w:rFonts w:ascii="Traditional Arabic" w:eastAsia="Calibri" w:hAnsi="Traditional Arabic" w:cs="Traditional Arabic"/>
          <w:b/>
          <w:bCs/>
          <w:sz w:val="32"/>
          <w:szCs w:val="32"/>
          <w:rtl/>
          <w:lang w:val="en-US"/>
        </w:rPr>
        <w:t>-</w:t>
      </w:r>
      <w:r w:rsidR="003438AE">
        <w:rPr>
          <w:rFonts w:ascii="Traditional Arabic" w:eastAsia="Calibri" w:hAnsi="Traditional Arabic" w:cs="Traditional Arabic" w:hint="cs"/>
          <w:b/>
          <w:bCs/>
          <w:sz w:val="32"/>
          <w:szCs w:val="32"/>
          <w:rtl/>
          <w:lang w:val="en-US"/>
        </w:rPr>
        <w:t>19</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الوقائية في جودة الرعاية الصحية</w:t>
      </w:r>
      <w:commentRangeEnd w:id="2"/>
      <w:r w:rsidR="00F516A0" w:rsidRPr="00386BAD">
        <w:rPr>
          <w:rStyle w:val="aa"/>
          <w:rFonts w:ascii="Traditional Arabic" w:eastAsia="Calibri" w:hAnsi="Traditional Arabic" w:cs="Traditional Arabic"/>
          <w:b/>
          <w:bCs/>
          <w:sz w:val="28"/>
          <w:szCs w:val="28"/>
          <w:lang w:val="en-US"/>
        </w:rPr>
        <w:commentReference w:id="2"/>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386BAD" w14:paraId="28E5A9B6" w14:textId="77777777" w:rsidTr="0062344D">
        <w:tc>
          <w:tcPr>
            <w:tcW w:w="0" w:type="auto"/>
            <w:hideMark/>
          </w:tcPr>
          <w:p w14:paraId="3DFB0DEA"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المتغير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14:paraId="6351A618"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 xml:space="preserve">المتغير </w:t>
            </w:r>
            <w:r w:rsidRPr="00386BAD">
              <w:rPr>
                <w:rFonts w:ascii="Traditional Arabic" w:eastAsia="Calibri" w:hAnsi="Traditional Arabic" w:cs="Traditional Arabic"/>
                <w:b/>
                <w:bCs/>
                <w:sz w:val="28"/>
                <w:szCs w:val="28"/>
                <w:rtl/>
                <w:lang w:val="en-US"/>
              </w:rPr>
              <w:lastRenderedPageBreak/>
              <w:t>التابع</w:t>
            </w:r>
          </w:p>
        </w:tc>
        <w:tc>
          <w:tcPr>
            <w:tcW w:w="0" w:type="auto"/>
            <w:hideMark/>
          </w:tcPr>
          <w:p w14:paraId="4E5DC9A0"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lastRenderedPageBreak/>
              <w:t>R</w:t>
            </w:r>
          </w:p>
        </w:tc>
        <w:tc>
          <w:tcPr>
            <w:tcW w:w="0" w:type="auto"/>
            <w:hideMark/>
          </w:tcPr>
          <w:p w14:paraId="7F0CCFF8"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29935CEC"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r w:rsidRPr="00386BAD">
              <w:rPr>
                <w:rFonts w:ascii="Traditional Arabic" w:eastAsia="Calibri" w:hAnsi="Traditional Arabic" w:cs="Traditional Arabic"/>
                <w:b/>
                <w:bCs/>
                <w:sz w:val="28"/>
                <w:szCs w:val="28"/>
                <w:lang w:val="en-US"/>
              </w:rPr>
              <w:lastRenderedPageBreak/>
              <w:t>R²</w:t>
            </w:r>
          </w:p>
        </w:tc>
        <w:tc>
          <w:tcPr>
            <w:tcW w:w="0" w:type="auto"/>
            <w:hideMark/>
          </w:tcPr>
          <w:p w14:paraId="15609F15"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lastRenderedPageBreak/>
              <w:t>β</w:t>
            </w:r>
          </w:p>
        </w:tc>
        <w:tc>
          <w:tcPr>
            <w:tcW w:w="0" w:type="auto"/>
            <w:hideMark/>
          </w:tcPr>
          <w:p w14:paraId="36C397D6"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08A4B0DB"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3121794E"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6C378491"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القرار</w:t>
            </w:r>
          </w:p>
        </w:tc>
      </w:tr>
      <w:tr w:rsidR="00F029D3" w:rsidRPr="00386BAD" w14:paraId="2C1C09BC" w14:textId="77777777" w:rsidTr="0062344D">
        <w:tc>
          <w:tcPr>
            <w:tcW w:w="0" w:type="auto"/>
            <w:hideMark/>
          </w:tcPr>
          <w:p w14:paraId="0DAC687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2A312DD2"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0" w:type="auto"/>
            <w:hideMark/>
          </w:tcPr>
          <w:p w14:paraId="3BB7A3C9"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0F132F56"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0.534</w:t>
            </w:r>
          </w:p>
        </w:tc>
        <w:tc>
          <w:tcPr>
            <w:tcW w:w="0" w:type="auto"/>
            <w:hideMark/>
          </w:tcPr>
          <w:p w14:paraId="6E0BBD7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0.531</w:t>
            </w:r>
          </w:p>
        </w:tc>
        <w:tc>
          <w:tcPr>
            <w:tcW w:w="0" w:type="auto"/>
            <w:hideMark/>
          </w:tcPr>
          <w:p w14:paraId="5371A75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4A2ED9A1"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14.28</w:t>
            </w:r>
          </w:p>
        </w:tc>
        <w:tc>
          <w:tcPr>
            <w:tcW w:w="0" w:type="auto"/>
            <w:hideMark/>
          </w:tcPr>
          <w:p w14:paraId="025FC178"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203.92</w:t>
            </w:r>
          </w:p>
        </w:tc>
        <w:tc>
          <w:tcPr>
            <w:tcW w:w="0" w:type="auto"/>
            <w:hideMark/>
          </w:tcPr>
          <w:p w14:paraId="2E8DD31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11E8D40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4AAE334F" w14:textId="77777777" w:rsidR="00F029D3" w:rsidRPr="00386BAD" w:rsidRDefault="00F029D3" w:rsidP="00F029D3">
      <w:pPr>
        <w:bidi/>
        <w:rPr>
          <w:rFonts w:ascii="Traditional Arabic" w:eastAsia="Calibri" w:hAnsi="Traditional Arabic" w:cs="Traditional Arabic"/>
          <w:sz w:val="32"/>
          <w:szCs w:val="32"/>
          <w:lang w:val="en-US"/>
        </w:rPr>
      </w:pPr>
    </w:p>
    <w:p w14:paraId="17F33884" w14:textId="5A2849CD" w:rsidR="00F029D3" w:rsidRPr="00386BAD" w:rsidRDefault="00F029D3"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r w:rsidR="0062344D" w:rsidRPr="00386BAD">
        <w:rPr>
          <w:rFonts w:ascii="Traditional Arabic" w:eastAsia="Calibri" w:hAnsi="Traditional Arabic" w:cs="Traditional Arabic"/>
          <w:sz w:val="32"/>
          <w:szCs w:val="32"/>
          <w:rtl/>
          <w:lang w:val="en-US"/>
        </w:rPr>
        <w:t>جدول (4-</w:t>
      </w:r>
      <w:r w:rsidR="003438AE">
        <w:rPr>
          <w:rFonts w:ascii="Traditional Arabic" w:eastAsia="Calibri" w:hAnsi="Traditional Arabic" w:cs="Traditional Arabic" w:hint="cs"/>
          <w:sz w:val="32"/>
          <w:szCs w:val="32"/>
          <w:rtl/>
          <w:lang w:val="en-US"/>
        </w:rPr>
        <w:t>19</w:t>
      </w:r>
      <w:r w:rsidR="0062344D" w:rsidRPr="00386BAD">
        <w:rPr>
          <w:rFonts w:ascii="Traditional Arabic" w:eastAsia="Calibri" w:hAnsi="Traditional Arabic" w:cs="Traditional Arabic"/>
          <w:sz w:val="32"/>
          <w:szCs w:val="32"/>
          <w:rtl/>
          <w:lang w:val="en-US"/>
        </w:rPr>
        <w:t>) وجود علاقة ارتباط موجبة قوية بين الصيانة الوقائية وجودة الرعاية الصحية، حيث بلغ معامل الارتباط (</w:t>
      </w:r>
      <w:r w:rsidR="0062344D" w:rsidRPr="00386BAD">
        <w:rPr>
          <w:rFonts w:ascii="Traditional Arabic" w:eastAsia="Calibri" w:hAnsi="Traditional Arabic" w:cs="Traditional Arabic"/>
          <w:sz w:val="32"/>
          <w:szCs w:val="32"/>
          <w:lang w:val="en-US"/>
        </w:rPr>
        <w:t>R = 0.731</w:t>
      </w:r>
      <w:r w:rsidR="0062344D" w:rsidRPr="00386BAD">
        <w:rPr>
          <w:rFonts w:ascii="Traditional Arabic" w:eastAsia="Calibri" w:hAnsi="Traditional Arabic" w:cs="Traditional Arabic"/>
          <w:sz w:val="32"/>
          <w:szCs w:val="32"/>
          <w:rtl/>
          <w:lang w:val="en-US"/>
        </w:rPr>
        <w:t>)، مما يدل على وجود علاقة طردية قوية بين المتغيرين.</w:t>
      </w:r>
    </w:p>
    <w:p w14:paraId="68CBD91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 </w:t>
      </w:r>
      <w:r w:rsidR="0062344D" w:rsidRPr="00386BAD">
        <w:rPr>
          <w:rFonts w:ascii="Traditional Arabic" w:eastAsia="Calibri" w:hAnsi="Traditional Arabic" w:cs="Traditional Arabic"/>
          <w:sz w:val="32"/>
          <w:szCs w:val="32"/>
          <w:rtl/>
          <w:lang w:val="en-US"/>
        </w:rPr>
        <w:t>معامل التحديد (</w:t>
      </w:r>
      <w:r w:rsidR="0062344D" w:rsidRPr="00386BAD">
        <w:rPr>
          <w:rFonts w:ascii="Traditional Arabic" w:eastAsia="Calibri" w:hAnsi="Traditional Arabic" w:cs="Traditional Arabic"/>
          <w:sz w:val="32"/>
          <w:szCs w:val="32"/>
          <w:lang w:val="en-US"/>
        </w:rPr>
        <w:t>R² = 0.534</w:t>
      </w:r>
      <w:r w:rsidR="0062344D" w:rsidRPr="00386BAD">
        <w:rPr>
          <w:rFonts w:ascii="Traditional Arabic" w:eastAsia="Calibri" w:hAnsi="Traditional Arabic" w:cs="Traditional Arabic"/>
          <w:sz w:val="32"/>
          <w:szCs w:val="32"/>
          <w:rtl/>
          <w:lang w:val="en-US"/>
        </w:rPr>
        <w:t>)،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6F556ACD"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وأظهرت النتائج كذلك أن </w:t>
      </w:r>
      <w:r w:rsidR="0062344D" w:rsidRPr="00386BAD">
        <w:rPr>
          <w:rFonts w:ascii="Traditional Arabic" w:eastAsia="Calibri" w:hAnsi="Traditional Arabic" w:cs="Traditional Arabic"/>
          <w:sz w:val="32"/>
          <w:szCs w:val="32"/>
          <w:rtl/>
          <w:lang w:val="en-US"/>
        </w:rPr>
        <w:t>قيمة معامل الانحدار المعياري (</w:t>
      </w:r>
      <w:r w:rsidR="0062344D" w:rsidRPr="00386BAD">
        <w:rPr>
          <w:rFonts w:ascii="Times New Roman" w:eastAsia="Calibri" w:hAnsi="Times New Roman" w:cs="Times New Roman"/>
          <w:sz w:val="32"/>
          <w:szCs w:val="32"/>
          <w:lang w:val="en-US"/>
        </w:rPr>
        <w:t>β</w:t>
      </w:r>
      <w:r w:rsidR="0062344D" w:rsidRPr="00386BAD">
        <w:rPr>
          <w:rFonts w:ascii="Traditional Arabic" w:eastAsia="Calibri" w:hAnsi="Traditional Arabic" w:cs="Traditional Arabic"/>
          <w:sz w:val="32"/>
          <w:szCs w:val="32"/>
          <w:rtl/>
          <w:lang w:val="en-US"/>
        </w:rPr>
        <w:t>) بلغت 0.731، وهي قيمة موجبة، مما يدل على أن تحسن مستوى تطبيق الصيانة الوقائية يؤدي إلى تحسن مستوى جودة الرعاية الصحية.</w:t>
      </w:r>
    </w:p>
    <w:p w14:paraId="3AEF33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w:t>
      </w:r>
      <w:r w:rsidR="0062344D" w:rsidRPr="00386BAD">
        <w:rPr>
          <w:rFonts w:ascii="Traditional Arabic" w:eastAsia="Calibri" w:hAnsi="Traditional Arabic" w:cs="Traditional Arabic"/>
          <w:sz w:val="32"/>
          <w:szCs w:val="32"/>
          <w:rtl/>
          <w:lang w:val="en-US"/>
        </w:rPr>
        <w:t xml:space="preserve">قيمة </w:t>
      </w:r>
      <w:r w:rsidR="0062344D" w:rsidRPr="00386BAD">
        <w:rPr>
          <w:rFonts w:ascii="Traditional Arabic" w:eastAsia="Calibri" w:hAnsi="Traditional Arabic" w:cs="Traditional Arabic"/>
          <w:sz w:val="32"/>
          <w:szCs w:val="32"/>
          <w:lang w:val="en-US"/>
        </w:rPr>
        <w:t>F</w:t>
      </w:r>
      <w:r w:rsidR="0062344D" w:rsidRPr="00386BAD">
        <w:rPr>
          <w:rFonts w:ascii="Traditional Arabic" w:eastAsia="Calibri" w:hAnsi="Traditional Arabic" w:cs="Traditional Arabic"/>
          <w:sz w:val="32"/>
          <w:szCs w:val="32"/>
          <w:rtl/>
          <w:lang w:val="en-US"/>
        </w:rPr>
        <w:t xml:space="preserve"> المحسوبة (203.92) عند مستوى دلالة (</w:t>
      </w:r>
      <w:r w:rsidR="0062344D" w:rsidRPr="00386BAD">
        <w:rPr>
          <w:rFonts w:ascii="Traditional Arabic" w:eastAsia="Calibri" w:hAnsi="Traditional Arabic" w:cs="Traditional Arabic"/>
          <w:sz w:val="32"/>
          <w:szCs w:val="32"/>
          <w:lang w:val="en-US"/>
        </w:rPr>
        <w:t>Sig. = 0.000</w:t>
      </w:r>
      <w:r w:rsidR="0062344D" w:rsidRPr="00386BAD">
        <w:rPr>
          <w:rFonts w:ascii="Traditional Arabic" w:eastAsia="Calibri" w:hAnsi="Traditional Arabic" w:cs="Traditional Arabic"/>
          <w:sz w:val="32"/>
          <w:szCs w:val="32"/>
          <w:rtl/>
          <w:lang w:val="en-US"/>
        </w:rPr>
        <w:t>)، وهو أقل من مستوى الدلالة المعتمد (</w:t>
      </w:r>
      <w:r w:rsidR="0062344D" w:rsidRPr="00386BAD">
        <w:rPr>
          <w:rFonts w:ascii="Times New Roman" w:eastAsia="Calibri" w:hAnsi="Times New Roman" w:cs="Times New Roman"/>
          <w:sz w:val="32"/>
          <w:szCs w:val="32"/>
          <w:lang w:val="en-US"/>
        </w:rPr>
        <w:t>α</w:t>
      </w:r>
      <w:r w:rsidR="0062344D" w:rsidRPr="00386BAD">
        <w:rPr>
          <w:rFonts w:ascii="Traditional Arabic" w:eastAsia="Calibri" w:hAnsi="Traditional Arabic" w:cs="Traditional Arabic"/>
          <w:sz w:val="32"/>
          <w:szCs w:val="32"/>
          <w:lang w:val="en-US"/>
        </w:rPr>
        <w:t xml:space="preserve"> </w:t>
      </w:r>
      <w:r w:rsidR="0062344D" w:rsidRPr="00386BAD">
        <w:rPr>
          <w:rFonts w:ascii="Times New Roman" w:eastAsia="Calibri" w:hAnsi="Times New Roman" w:cs="Times New Roman"/>
          <w:sz w:val="32"/>
          <w:szCs w:val="32"/>
          <w:lang w:val="en-US"/>
        </w:rPr>
        <w:t>≤</w:t>
      </w:r>
      <w:r w:rsidR="0062344D" w:rsidRPr="00386BAD">
        <w:rPr>
          <w:rFonts w:ascii="Traditional Arabic" w:eastAsia="Calibri" w:hAnsi="Traditional Arabic" w:cs="Traditional Arabic"/>
          <w:sz w:val="32"/>
          <w:szCs w:val="32"/>
          <w:lang w:val="en-US"/>
        </w:rPr>
        <w:t xml:space="preserve"> 0.05</w:t>
      </w:r>
      <w:r w:rsidR="0062344D" w:rsidRPr="00386BA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386BAD">
        <w:rPr>
          <w:rFonts w:ascii="Traditional Arabic" w:eastAsia="Calibri" w:hAnsi="Traditional Arabic" w:cs="Traditional Arabic"/>
          <w:sz w:val="32"/>
          <w:szCs w:val="32"/>
          <w:lang w:val="en-US"/>
        </w:rPr>
        <w:t>t</w:t>
      </w:r>
      <w:r w:rsidR="0062344D" w:rsidRPr="00386BA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14:paraId="05A81C3D" w14:textId="050EEC6B" w:rsidR="00F029D3" w:rsidRPr="00386BAD" w:rsidRDefault="00F029D3" w:rsidP="00E223B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w:t>
      </w:r>
      <w:r w:rsidR="0062344D" w:rsidRPr="00386BAD">
        <w:rPr>
          <w:rFonts w:ascii="Traditional Arabic" w:eastAsia="Calibri" w:hAnsi="Traditional Arabic" w:cs="Traditional Arabic"/>
          <w:sz w:val="32"/>
          <w:szCs w:val="32"/>
          <w:rtl/>
          <w:lang w:val="en-US"/>
        </w:rPr>
        <w:t xml:space="preserve">هذه النتائج، تُقبل الفرضية الرئيسية الأولى التي تنص على وجود </w:t>
      </w:r>
      <w:r w:rsidR="00E223BD">
        <w:rPr>
          <w:rFonts w:ascii="Traditional Arabic" w:eastAsia="Calibri" w:hAnsi="Traditional Arabic" w:cs="Traditional Arabic" w:hint="cs"/>
          <w:sz w:val="32"/>
          <w:szCs w:val="32"/>
          <w:rtl/>
          <w:lang w:val="en-US"/>
        </w:rPr>
        <w:t>اثر ذو</w:t>
      </w:r>
      <w:r w:rsidR="0062344D" w:rsidRPr="00386BAD">
        <w:rPr>
          <w:rFonts w:ascii="Traditional Arabic" w:eastAsia="Calibri" w:hAnsi="Traditional Arabic" w:cs="Traditional Arabic"/>
          <w:sz w:val="32"/>
          <w:szCs w:val="32"/>
          <w:rtl/>
          <w:lang w:val="en-US"/>
        </w:rPr>
        <w:t xml:space="preserve"> دلالة إحصائية بين الصيانة الوقائية وجودة الرعاية الصحية في مستشفى عسير المركزي.</w:t>
      </w:r>
    </w:p>
    <w:p w14:paraId="1D4FFD6B"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تشير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الأجهزة الطبية وتقليل احتمالية الأعطال المفاجئة، الأمر الذي ينعكس بصورة مباشرة على كفاءة الخدمات الصحية واستمراريتها</w:t>
      </w:r>
      <w:r w:rsidRPr="00386BAD">
        <w:rPr>
          <w:rFonts w:ascii="Traditional Arabic" w:eastAsia="Calibri" w:hAnsi="Traditional Arabic" w:cs="Traditional Arabic"/>
          <w:sz w:val="32"/>
          <w:szCs w:val="32"/>
          <w:lang w:val="en-US"/>
        </w:rPr>
        <w:t>.</w:t>
      </w:r>
    </w:p>
    <w:p w14:paraId="20B9C09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386BAD">
        <w:rPr>
          <w:rFonts w:ascii="Traditional Arabic" w:eastAsia="Calibri" w:hAnsi="Traditional Arabic" w:cs="Traditional Arabic"/>
          <w:sz w:val="32"/>
          <w:szCs w:val="32"/>
          <w:lang w:val="en-US"/>
        </w:rPr>
        <w:t>.</w:t>
      </w:r>
    </w:p>
    <w:p w14:paraId="111F69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
    <w:p w14:paraId="7D2FA4F3" w14:textId="77777777" w:rsidR="00F029D3" w:rsidRPr="00386BAD" w:rsidRDefault="00F029D3" w:rsidP="00B0671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w:t>
      </w:r>
      <w:r w:rsidR="0062344D" w:rsidRPr="00386BA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386BAD">
        <w:rPr>
          <w:rFonts w:ascii="Traditional Arabic" w:eastAsia="Calibri" w:hAnsi="Traditional Arabic" w:cs="Traditional Arabic"/>
          <w:sz w:val="32"/>
          <w:szCs w:val="32"/>
          <w:lang w:val="en-US"/>
        </w:rPr>
        <w:t>Ahmed et al. 2021</w:t>
      </w:r>
      <w:r w:rsidR="00B06710" w:rsidRPr="00386BAD">
        <w:rPr>
          <w:rFonts w:ascii="Traditional Arabic" w:eastAsia="Calibri" w:hAnsi="Traditional Arabic" w:cs="Traditional Arabic"/>
          <w:sz w:val="32"/>
          <w:szCs w:val="32"/>
          <w:lang w:val="en-US" w:bidi="ar-AE"/>
        </w:rPr>
        <w:t>)</w:t>
      </w:r>
      <w:r w:rsidR="0062344D" w:rsidRPr="00386BA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r w:rsidR="0062344D" w:rsidRPr="00386BAD">
        <w:rPr>
          <w:rFonts w:ascii="Traditional Arabic" w:eastAsia="Calibri" w:hAnsi="Traditional Arabic" w:cs="Traditional Arabic"/>
          <w:sz w:val="32"/>
          <w:szCs w:val="32"/>
          <w:lang w:val="en-US"/>
        </w:rPr>
        <w:t>Shamayleh et al. 2020</w:t>
      </w:r>
      <w:r w:rsidR="00B06710" w:rsidRPr="00386BAD">
        <w:rPr>
          <w:rFonts w:ascii="Traditional Arabic" w:eastAsia="Calibri" w:hAnsi="Traditional Arabic" w:cs="Traditional Arabic"/>
          <w:sz w:val="32"/>
          <w:szCs w:val="32"/>
          <w:lang w:val="en-US"/>
        </w:rPr>
        <w:t>)</w:t>
      </w:r>
      <w:r w:rsidR="0062344D" w:rsidRPr="00386BA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
    <w:p w14:paraId="27D80826"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يمكن تفسير اتفاق نتائج الدراسة الحالية مع الدراسات السابقة بأن جميعها تؤكد أن الصيانة الوقائية تمثل نهجًا استباقيًا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التي أجريت فيها تلك الدراسات مع بيئة مستشفى عسير المركزي أسهم في تقارب النتائج، مما يعزز موثوقية الاستنتاجات التي توصلت إليها الدراسة الحالية</w:t>
      </w:r>
      <w:r w:rsidRPr="00386BAD">
        <w:rPr>
          <w:rFonts w:ascii="Traditional Arabic" w:eastAsia="Calibri" w:hAnsi="Traditional Arabic" w:cs="Traditional Arabic"/>
          <w:sz w:val="32"/>
          <w:szCs w:val="32"/>
          <w:lang w:val="en-US"/>
        </w:rPr>
        <w:t>.</w:t>
      </w:r>
    </w:p>
    <w:p w14:paraId="25BD55AD" w14:textId="77777777" w:rsidR="0062344D" w:rsidRPr="00386BAD" w:rsidRDefault="0062344D" w:rsidP="00A251F0">
      <w:pPr>
        <w:bidi/>
        <w:rPr>
          <w:rFonts w:ascii="Traditional Arabic" w:eastAsia="Calibri" w:hAnsi="Traditional Arabic" w:cs="Traditional Arabic"/>
          <w:sz w:val="32"/>
          <w:szCs w:val="32"/>
          <w:lang w:val="en-US"/>
        </w:rPr>
      </w:pPr>
    </w:p>
    <w:p w14:paraId="6B8C8657" w14:textId="77777777"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اختبار </w:t>
      </w:r>
      <w:r w:rsidR="00A251F0" w:rsidRPr="00386BAD">
        <w:rPr>
          <w:rFonts w:ascii="Traditional Arabic" w:eastAsia="Calibri" w:hAnsi="Traditional Arabic" w:cs="Traditional Arabic"/>
          <w:b/>
          <w:bCs/>
          <w:sz w:val="32"/>
          <w:szCs w:val="32"/>
          <w:rtl/>
          <w:lang w:val="en-US"/>
        </w:rPr>
        <w:t>الفرضية الفرعية الأولى (</w:t>
      </w:r>
      <w:r w:rsidR="00A251F0" w:rsidRPr="00386BAD">
        <w:rPr>
          <w:rFonts w:ascii="Traditional Arabic" w:eastAsia="Calibri" w:hAnsi="Traditional Arabic" w:cs="Traditional Arabic"/>
          <w:b/>
          <w:bCs/>
          <w:sz w:val="32"/>
          <w:szCs w:val="32"/>
          <w:lang w:val="en-US"/>
        </w:rPr>
        <w:t>H1.1</w:t>
      </w:r>
      <w:r w:rsidR="00A251F0" w:rsidRPr="00386BAD">
        <w:rPr>
          <w:rFonts w:ascii="Traditional Arabic" w:eastAsia="Calibri" w:hAnsi="Traditional Arabic" w:cs="Traditional Arabic"/>
          <w:b/>
          <w:bCs/>
          <w:sz w:val="32"/>
          <w:szCs w:val="32"/>
          <w:rtl/>
          <w:lang w:val="en-US"/>
        </w:rPr>
        <w:t>)</w:t>
      </w:r>
    </w:p>
    <w:p w14:paraId="090AB62A"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الأولى على ما يلي</w:t>
      </w:r>
      <w:r w:rsidRPr="00386BAD">
        <w:rPr>
          <w:rFonts w:ascii="Traditional Arabic" w:eastAsia="Calibri" w:hAnsi="Traditional Arabic" w:cs="Traditional Arabic"/>
          <w:sz w:val="32"/>
          <w:szCs w:val="32"/>
          <w:lang w:val="en-US"/>
        </w:rPr>
        <w:t>:</w:t>
      </w:r>
    </w:p>
    <w:p w14:paraId="7AFB14CA" w14:textId="77777777" w:rsidR="0062344D" w:rsidRPr="00386BAD" w:rsidRDefault="00A251F0" w:rsidP="00B0671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H1.1</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14:paraId="0D5977AE" w14:textId="2D27DE08" w:rsidR="009454AE" w:rsidRPr="00386BAD" w:rsidRDefault="0062344D"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وللتحقق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w:t>
      </w:r>
      <w:r w:rsidR="003438AE">
        <w:rPr>
          <w:rFonts w:ascii="Traditional Arabic" w:eastAsia="Calibri" w:hAnsi="Traditional Arabic" w:cs="Traditional Arabic" w:hint="cs"/>
          <w:sz w:val="32"/>
          <w:szCs w:val="32"/>
          <w:rtl/>
          <w:lang w:val="en-US"/>
        </w:rPr>
        <w:t>20</w:t>
      </w:r>
      <w:r w:rsidR="00A251F0" w:rsidRPr="00386BAD">
        <w:rPr>
          <w:rFonts w:ascii="Traditional Arabic" w:eastAsia="Calibri" w:hAnsi="Traditional Arabic" w:cs="Traditional Arabic"/>
          <w:sz w:val="32"/>
          <w:szCs w:val="32"/>
          <w:rtl/>
          <w:lang w:val="en-US"/>
        </w:rPr>
        <w:t>).</w:t>
      </w:r>
    </w:p>
    <w:p w14:paraId="3C511013" w14:textId="02579A65" w:rsidR="0062344D" w:rsidRPr="00386BAD" w:rsidRDefault="00A251F0" w:rsidP="003438A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20</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14:paraId="2D8EA485" w14:textId="77777777" w:rsidTr="00A251F0">
        <w:tc>
          <w:tcPr>
            <w:tcW w:w="0" w:type="auto"/>
            <w:hideMark/>
          </w:tcPr>
          <w:p w14:paraId="0CE275C8"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المتغير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14:paraId="66CD3B1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المتغير التابع</w:t>
            </w:r>
          </w:p>
        </w:tc>
        <w:tc>
          <w:tcPr>
            <w:tcW w:w="0" w:type="auto"/>
            <w:hideMark/>
          </w:tcPr>
          <w:p w14:paraId="6A5FEAF7"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CC6063B"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53E9F2FA"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r w:rsidRPr="00386BAD">
              <w:rPr>
                <w:rFonts w:ascii="Traditional Arabic" w:eastAsia="Calibri" w:hAnsi="Traditional Arabic" w:cs="Traditional Arabic"/>
                <w:b/>
                <w:bCs/>
                <w:sz w:val="28"/>
                <w:szCs w:val="28"/>
                <w:lang w:val="en-US"/>
              </w:rPr>
              <w:lastRenderedPageBreak/>
              <w:t>R²</w:t>
            </w:r>
          </w:p>
        </w:tc>
        <w:tc>
          <w:tcPr>
            <w:tcW w:w="0" w:type="auto"/>
            <w:hideMark/>
          </w:tcPr>
          <w:p w14:paraId="511B503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lastRenderedPageBreak/>
              <w:t>β</w:t>
            </w:r>
          </w:p>
        </w:tc>
        <w:tc>
          <w:tcPr>
            <w:tcW w:w="0" w:type="auto"/>
            <w:hideMark/>
          </w:tcPr>
          <w:p w14:paraId="1FE211D3"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ED28114"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2CAEA34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42BB7BF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القرار</w:t>
            </w:r>
          </w:p>
        </w:tc>
      </w:tr>
      <w:tr w:rsidR="0062344D" w:rsidRPr="00386BAD" w14:paraId="6FA0678A" w14:textId="77777777" w:rsidTr="00A251F0">
        <w:tc>
          <w:tcPr>
            <w:tcW w:w="0" w:type="auto"/>
            <w:hideMark/>
          </w:tcPr>
          <w:p w14:paraId="544A3F3B"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3F68AE20"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وقت الاستجابة للخدمة الطبية</w:t>
            </w:r>
          </w:p>
        </w:tc>
        <w:tc>
          <w:tcPr>
            <w:tcW w:w="0" w:type="auto"/>
            <w:hideMark/>
          </w:tcPr>
          <w:p w14:paraId="2DECC67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6F875A1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14:paraId="3698E6E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14:paraId="22DFC43A"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7D77AC66"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14:paraId="731DC242"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14:paraId="57B24BE5"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6E167C03"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77B0FB10" w14:textId="77777777"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14:paraId="5B9C7E3C" w14:textId="08D60F6F" w:rsidR="0062344D" w:rsidRPr="00386BAD" w:rsidRDefault="0062344D" w:rsidP="003438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20</w:t>
      </w:r>
      <w:r w:rsidRPr="00386BAD">
        <w:rPr>
          <w:rFonts w:ascii="Traditional Arabic" w:eastAsia="Calibri" w:hAnsi="Traditional Arabic" w:cs="Traditional Arabic"/>
          <w:sz w:val="32"/>
          <w:szCs w:val="32"/>
          <w:rtl/>
          <w:lang w:val="en-US"/>
        </w:rPr>
        <w:t>)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r w:rsidRPr="00386BAD">
        <w:rPr>
          <w:rFonts w:ascii="Traditional Arabic" w:eastAsia="Calibri" w:hAnsi="Traditional Arabic" w:cs="Traditional Arabic"/>
          <w:sz w:val="32"/>
          <w:szCs w:val="32"/>
          <w:rtl/>
          <w:lang w:val="en-US"/>
        </w:rPr>
        <w:t>، مما يدل على وجود علاقة إيجابية جيدة بين المتغيرين</w:t>
      </w:r>
      <w:r w:rsidRPr="00386BAD">
        <w:rPr>
          <w:rFonts w:ascii="Traditional Arabic" w:eastAsia="Calibri" w:hAnsi="Traditional Arabic" w:cs="Traditional Arabic"/>
          <w:sz w:val="32"/>
          <w:szCs w:val="32"/>
          <w:lang w:val="en-US"/>
        </w:rPr>
        <w:t>.</w:t>
      </w:r>
    </w:p>
    <w:p w14:paraId="1DA3B384"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بلغ معامل التحديد</w:t>
      </w:r>
      <w:r w:rsidRPr="00386BAD">
        <w:rPr>
          <w:rFonts w:ascii="Traditional Arabic" w:eastAsia="Calibri" w:hAnsi="Traditional Arabic" w:cs="Traditional Arabic"/>
          <w:sz w:val="32"/>
          <w:szCs w:val="32"/>
          <w:lang w:val="en-US"/>
        </w:rPr>
        <w:t xml:space="preserve"> (R² = 0.438)</w:t>
      </w:r>
      <w:r w:rsidRPr="00386BAD">
        <w:rPr>
          <w:rFonts w:ascii="Traditional Arabic" w:eastAsia="Calibri" w:hAnsi="Traditional Arabic" w:cs="Traditional Arabic"/>
          <w:sz w:val="32"/>
          <w:szCs w:val="32"/>
          <w:rtl/>
          <w:lang w:val="en-US"/>
        </w:rPr>
        <w:t>،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2C2AA220"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0.662، وهي قيمة موجبة، مما يدل على أن تحسين مستوى تطبيق الصيانة الوقائية يسهم في تحسين سرعة الاستجابة للخدمة الطبية.</w:t>
      </w:r>
    </w:p>
    <w:p w14:paraId="7A9A70ED"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14:paraId="11EB22FF" w14:textId="5CF474BA"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ذلك،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وقت الاستجابة للخدمة الطبية في مستشفى عسير المركزي.</w:t>
      </w:r>
    </w:p>
    <w:p w14:paraId="04AA3D86"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14:paraId="1206E997"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14:paraId="2E3C0A44" w14:textId="77777777"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 كما تتفق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14:paraId="5062A653" w14:textId="77777777"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14:paraId="73938CE6" w14:textId="77777777"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14:paraId="7E915015" w14:textId="77777777"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ثالثاً: اختبار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14:paraId="27BA31A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الثانية على ما يلي</w:t>
      </w:r>
      <w:r w:rsidRPr="00386BAD">
        <w:rPr>
          <w:rFonts w:ascii="Traditional Arabic" w:eastAsia="Calibri" w:hAnsi="Traditional Arabic" w:cs="Traditional Arabic"/>
          <w:sz w:val="32"/>
          <w:szCs w:val="32"/>
          <w:lang w:val="en-US"/>
        </w:rPr>
        <w:t>:</w:t>
      </w:r>
    </w:p>
    <w:p w14:paraId="2D0F055F" w14:textId="77777777"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14:paraId="344DC81B" w14:textId="3C86F67A" w:rsidR="00A251F0" w:rsidRPr="00386BAD" w:rsidRDefault="00A251F0" w:rsidP="003438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w:t>
      </w:r>
      <w:r w:rsidR="003438AE">
        <w:rPr>
          <w:rFonts w:ascii="Traditional Arabic" w:eastAsia="Calibri" w:hAnsi="Traditional Arabic" w:cs="Traditional Arabic" w:hint="cs"/>
          <w:sz w:val="32"/>
          <w:szCs w:val="32"/>
          <w:rtl/>
          <w:lang w:val="en-US"/>
        </w:rPr>
        <w:t>21</w:t>
      </w:r>
      <w:r w:rsidRPr="00386BAD">
        <w:rPr>
          <w:rFonts w:ascii="Traditional Arabic" w:eastAsia="Calibri" w:hAnsi="Traditional Arabic" w:cs="Traditional Arabic"/>
          <w:sz w:val="32"/>
          <w:szCs w:val="32"/>
          <w:rtl/>
          <w:lang w:val="en-US"/>
        </w:rPr>
        <w:t>).</w:t>
      </w:r>
    </w:p>
    <w:p w14:paraId="27028F4C"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14:paraId="28402822" w14:textId="0C78FFC0" w:rsidR="00A251F0" w:rsidRPr="00386BAD" w:rsidRDefault="00A251F0"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21</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14:paraId="08A7DB56" w14:textId="77777777" w:rsidTr="00A251F0">
        <w:tc>
          <w:tcPr>
            <w:tcW w:w="0" w:type="auto"/>
            <w:hideMark/>
          </w:tcPr>
          <w:p w14:paraId="40506BCE"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6844944D"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29FA3F57"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005CBFA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013040DC"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3334E25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0EDBB7C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1E2509E2"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DF8E1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1FEAAAD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5E23FF8F" w14:textId="77777777" w:rsidTr="00A251F0">
        <w:tc>
          <w:tcPr>
            <w:tcW w:w="0" w:type="auto"/>
            <w:hideMark/>
          </w:tcPr>
          <w:p w14:paraId="2A9629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5DCA2EA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حالات الإلغاء</w:t>
            </w:r>
          </w:p>
        </w:tc>
        <w:tc>
          <w:tcPr>
            <w:tcW w:w="0" w:type="auto"/>
            <w:hideMark/>
          </w:tcPr>
          <w:p w14:paraId="306CEE8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5E0852F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14:paraId="0062B87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14:paraId="664BDA63"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0705FF68"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14:paraId="0C23E8D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14:paraId="58A7379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220CBFB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26100B9C" w14:textId="77777777"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14:paraId="509A2069" w14:textId="07D92FFB" w:rsidR="00A251F0" w:rsidRPr="00386BAD" w:rsidRDefault="00A251F0"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يبين جدول (4-</w:t>
      </w:r>
      <w:r w:rsidR="003438AE">
        <w:rPr>
          <w:rFonts w:ascii="Traditional Arabic" w:eastAsia="Calibri" w:hAnsi="Traditional Arabic" w:cs="Traditional Arabic" w:hint="cs"/>
          <w:sz w:val="32"/>
          <w:szCs w:val="32"/>
          <w:rtl/>
          <w:lang w:val="en-US"/>
        </w:rPr>
        <w:t>21</w:t>
      </w:r>
      <w:r w:rsidRPr="00386BAD">
        <w:rPr>
          <w:rFonts w:ascii="Traditional Arabic" w:eastAsia="Calibri" w:hAnsi="Traditional Arabic" w:cs="Traditional Arabic"/>
          <w:sz w:val="32"/>
          <w:szCs w:val="32"/>
          <w:rtl/>
          <w:lang w:val="en-US"/>
        </w:rPr>
        <w:t>)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r w:rsidRPr="00386BAD">
        <w:rPr>
          <w:rFonts w:ascii="Traditional Arabic" w:eastAsia="Calibri" w:hAnsi="Traditional Arabic" w:cs="Traditional Arabic"/>
          <w:sz w:val="32"/>
          <w:szCs w:val="32"/>
          <w:rtl/>
          <w:lang w:val="en-US"/>
        </w:rPr>
        <w:t>)، مما يدل على وجود علاقة إيجابية ذات قوة جيدة بين المتغيرين.</w:t>
      </w:r>
    </w:p>
    <w:p w14:paraId="43DA3396"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0.419</w:t>
      </w:r>
      <w:r w:rsidRPr="00386BAD">
        <w:rPr>
          <w:rFonts w:ascii="Traditional Arabic" w:eastAsia="Calibri" w:hAnsi="Traditional Arabic" w:cs="Traditional Arabic"/>
          <w:sz w:val="32"/>
          <w:szCs w:val="32"/>
          <w:rtl/>
          <w:lang w:val="en-US"/>
        </w:rPr>
        <w:t>)،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14:paraId="24F9DA5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(0.647)، وهي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14:paraId="203ABF3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14:paraId="08C7230A" w14:textId="0AE47DCA"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14:paraId="5A97D99F"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w:t>
      </w:r>
      <w:r w:rsidRPr="00386BAD">
        <w:rPr>
          <w:rFonts w:ascii="Traditional Arabic" w:eastAsia="Calibri" w:hAnsi="Traditional Arabic" w:cs="Traditional Arabic"/>
          <w:sz w:val="32"/>
          <w:szCs w:val="32"/>
          <w:rtl/>
          <w:lang w:val="en-US"/>
        </w:rPr>
        <w:lastRenderedPageBreak/>
        <w:t>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14:paraId="0E84A24C"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14:paraId="115308E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 كذلك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14:paraId="3989C18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ولذلك،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14:paraId="74D29E6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14:paraId="4F12C182" w14:textId="77777777"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رابعاً: اختبار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14:paraId="1D968327"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الثالثة على ما يلي</w:t>
      </w:r>
      <w:r w:rsidRPr="00386BAD">
        <w:rPr>
          <w:rFonts w:ascii="Traditional Arabic" w:eastAsia="Calibri" w:hAnsi="Traditional Arabic" w:cs="Traditional Arabic"/>
          <w:sz w:val="32"/>
          <w:szCs w:val="32"/>
          <w:lang w:val="en-US"/>
        </w:rPr>
        <w:t>:</w:t>
      </w:r>
    </w:p>
    <w:p w14:paraId="32322A5D" w14:textId="77777777"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14:paraId="498FF84B" w14:textId="78AC7661" w:rsidR="00A251F0" w:rsidRPr="00386BAD" w:rsidRDefault="00A251F0"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w:t>
      </w:r>
      <w:r w:rsidR="003438AE">
        <w:rPr>
          <w:rFonts w:ascii="Traditional Arabic" w:eastAsia="Calibri" w:hAnsi="Traditional Arabic" w:cs="Traditional Arabic" w:hint="cs"/>
          <w:sz w:val="32"/>
          <w:szCs w:val="32"/>
          <w:rtl/>
          <w:lang w:val="en-US"/>
        </w:rPr>
        <w:t>22</w:t>
      </w:r>
      <w:r w:rsidRPr="00386BAD">
        <w:rPr>
          <w:rFonts w:ascii="Traditional Arabic" w:eastAsia="Calibri" w:hAnsi="Traditional Arabic" w:cs="Traditional Arabic"/>
          <w:sz w:val="32"/>
          <w:szCs w:val="32"/>
          <w:rtl/>
          <w:lang w:val="en-US"/>
        </w:rPr>
        <w:t>).</w:t>
      </w:r>
    </w:p>
    <w:p w14:paraId="33352C2A" w14:textId="2AF59F2C" w:rsidR="00A251F0" w:rsidRPr="00386BAD" w:rsidRDefault="00A251F0" w:rsidP="003438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22</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386BAD" w14:paraId="6142C028" w14:textId="77777777" w:rsidTr="00A251F0">
        <w:tc>
          <w:tcPr>
            <w:tcW w:w="0" w:type="auto"/>
            <w:hideMark/>
          </w:tcPr>
          <w:p w14:paraId="19EC15B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1109A16A"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9821F1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4FF0CA44"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638C830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208B3B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8717C3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54B6EF2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9013BE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0F62EDA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1DB8E479" w14:textId="77777777" w:rsidTr="00A251F0">
        <w:tc>
          <w:tcPr>
            <w:tcW w:w="0" w:type="auto"/>
            <w:hideMark/>
          </w:tcPr>
          <w:p w14:paraId="58D29EB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23209B3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سلامة المرضى</w:t>
            </w:r>
          </w:p>
        </w:tc>
        <w:tc>
          <w:tcPr>
            <w:tcW w:w="0" w:type="auto"/>
            <w:hideMark/>
          </w:tcPr>
          <w:p w14:paraId="34EE7B2C"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3BF80E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0.493</w:t>
            </w:r>
          </w:p>
        </w:tc>
        <w:tc>
          <w:tcPr>
            <w:tcW w:w="0" w:type="auto"/>
            <w:hideMark/>
          </w:tcPr>
          <w:p w14:paraId="36586F9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0.490</w:t>
            </w:r>
          </w:p>
        </w:tc>
        <w:tc>
          <w:tcPr>
            <w:tcW w:w="0" w:type="auto"/>
            <w:hideMark/>
          </w:tcPr>
          <w:p w14:paraId="79BF000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2F6FE6A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13.16</w:t>
            </w:r>
          </w:p>
        </w:tc>
        <w:tc>
          <w:tcPr>
            <w:tcW w:w="0" w:type="auto"/>
            <w:hideMark/>
          </w:tcPr>
          <w:p w14:paraId="72F068C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173.23</w:t>
            </w:r>
          </w:p>
        </w:tc>
        <w:tc>
          <w:tcPr>
            <w:tcW w:w="0" w:type="auto"/>
            <w:hideMark/>
          </w:tcPr>
          <w:p w14:paraId="0BF1CCBB"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647DB6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5921B891" w14:textId="04821511" w:rsidR="00A251F0" w:rsidRPr="00386BAD" w:rsidRDefault="00A251F0"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22</w:t>
      </w:r>
      <w:r w:rsidRPr="00386BAD">
        <w:rPr>
          <w:rFonts w:ascii="Traditional Arabic" w:eastAsia="Calibri" w:hAnsi="Traditional Arabic" w:cs="Traditional Arabic"/>
          <w:sz w:val="32"/>
          <w:szCs w:val="32"/>
          <w:rtl/>
          <w:lang w:val="en-US"/>
        </w:rPr>
        <w:t>) وجود علاقة ارتباط موجبة قوية بين الصيانة الوقائية وسلامة المرضى، حيث بلغ معامل الارتباط (</w:t>
      </w:r>
      <w:r w:rsidRPr="00386BAD">
        <w:rPr>
          <w:rFonts w:ascii="Traditional Arabic" w:eastAsia="Calibri" w:hAnsi="Traditional Arabic" w:cs="Traditional Arabic"/>
          <w:sz w:val="32"/>
          <w:szCs w:val="32"/>
          <w:lang w:val="en-US"/>
        </w:rPr>
        <w:t>R = 0.702</w:t>
      </w:r>
      <w:r w:rsidRPr="00386BAD">
        <w:rPr>
          <w:rFonts w:ascii="Traditional Arabic" w:eastAsia="Calibri" w:hAnsi="Traditional Arabic" w:cs="Traditional Arabic"/>
          <w:sz w:val="32"/>
          <w:szCs w:val="32"/>
          <w:rtl/>
          <w:lang w:val="en-US"/>
        </w:rPr>
        <w:t>)، مما يدل على وجود علاقة إيجابية قوية بين المتغيرين.</w:t>
      </w:r>
    </w:p>
    <w:p w14:paraId="7DB27EDE"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0.493</w:t>
      </w:r>
      <w:r w:rsidRPr="00386BAD">
        <w:rPr>
          <w:rFonts w:ascii="Traditional Arabic" w:eastAsia="Calibri" w:hAnsi="Traditional Arabic" w:cs="Traditional Arabic"/>
          <w:sz w:val="32"/>
          <w:szCs w:val="32"/>
          <w:rtl/>
          <w:lang w:val="en-US"/>
        </w:rPr>
        <w:t>)،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14:paraId="43BA15F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(0.702)، وهي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14:paraId="54E88BCD"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(173.23)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14:paraId="78481BB9" w14:textId="5912C012"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32"/>
          <w:szCs w:val="32"/>
          <w:lang w:val="en-US"/>
        </w:rPr>
        <w:t>.</w:t>
      </w:r>
    </w:p>
    <w:p w14:paraId="015C89C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386BAD">
        <w:rPr>
          <w:rFonts w:ascii="Traditional Arabic" w:eastAsia="Calibri" w:hAnsi="Traditional Arabic" w:cs="Traditional Arabic"/>
          <w:sz w:val="32"/>
          <w:szCs w:val="32"/>
          <w:lang w:val="en-US"/>
        </w:rPr>
        <w:t>.</w:t>
      </w:r>
    </w:p>
    <w:p w14:paraId="561DB39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14:paraId="4C7E7E38"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تتفق هذه النتيجة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
    <w:p w14:paraId="2BBD06A8" w14:textId="77777777" w:rsidR="008D39F5" w:rsidRPr="00386BAD" w:rsidRDefault="00A251F0"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التشغيلية التي قد تؤثر في سلامة المرضى. كما أن المستشفيات الحديثة أصبحت تنظر إلى الصيانة الوقائية بوصفها أحد مكونات إدارة المخاطر السريرية، وليس مجرد نشاط فني،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DB52C7B"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خامساً: اختبار الفرضية الرئيسية الثانية (</w:t>
      </w:r>
      <w:r w:rsidRPr="00386BAD">
        <w:rPr>
          <w:rFonts w:ascii="Traditional Arabic" w:eastAsia="Calibri" w:hAnsi="Traditional Arabic" w:cs="Traditional Arabic"/>
          <w:b/>
          <w:bCs/>
          <w:sz w:val="32"/>
          <w:szCs w:val="32"/>
          <w:lang w:val="en-US"/>
        </w:rPr>
        <w:t>H2</w:t>
      </w:r>
      <w:r w:rsidRPr="00386BAD">
        <w:rPr>
          <w:rFonts w:ascii="Traditional Arabic" w:eastAsia="Calibri" w:hAnsi="Traditional Arabic" w:cs="Traditional Arabic"/>
          <w:b/>
          <w:bCs/>
          <w:sz w:val="32"/>
          <w:szCs w:val="32"/>
          <w:rtl/>
          <w:lang w:val="en-US"/>
        </w:rPr>
        <w:t>)</w:t>
      </w:r>
    </w:p>
    <w:p w14:paraId="7A782F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الرئيسية الثانية على ما يلي</w:t>
      </w:r>
      <w:r w:rsidRPr="00386BAD">
        <w:rPr>
          <w:rFonts w:ascii="Traditional Arabic" w:eastAsia="Calibri" w:hAnsi="Traditional Arabic" w:cs="Traditional Arabic"/>
          <w:sz w:val="32"/>
          <w:szCs w:val="32"/>
          <w:lang w:val="en-US"/>
        </w:rPr>
        <w:t>:</w:t>
      </w:r>
    </w:p>
    <w:p w14:paraId="6FB65F35"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H2</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426F6552" w14:textId="21C3F7FD"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w:t>
      </w:r>
      <w:r w:rsidR="003438AE">
        <w:rPr>
          <w:rFonts w:ascii="Traditional Arabic" w:eastAsia="Calibri" w:hAnsi="Traditional Arabic" w:cs="Traditional Arabic" w:hint="cs"/>
          <w:sz w:val="32"/>
          <w:szCs w:val="32"/>
          <w:rtl/>
          <w:lang w:val="en-US"/>
        </w:rPr>
        <w:t>23</w:t>
      </w:r>
      <w:r w:rsidRPr="00386BAD">
        <w:rPr>
          <w:rFonts w:ascii="Traditional Arabic" w:eastAsia="Calibri" w:hAnsi="Traditional Arabic" w:cs="Traditional Arabic"/>
          <w:sz w:val="32"/>
          <w:szCs w:val="32"/>
          <w:rtl/>
          <w:lang w:val="en-US"/>
        </w:rPr>
        <w:t>).</w:t>
      </w:r>
    </w:p>
    <w:p w14:paraId="468ED860" w14:textId="17645498" w:rsidR="008D39F5" w:rsidRPr="00386BAD" w:rsidRDefault="008D39F5" w:rsidP="003438AE">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23</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386BAD" w14:paraId="38ADC91B" w14:textId="77777777" w:rsidTr="008D39F5">
        <w:tc>
          <w:tcPr>
            <w:tcW w:w="0" w:type="auto"/>
            <w:hideMark/>
          </w:tcPr>
          <w:p w14:paraId="710FAFB1"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01D40AD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EAFD4F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A899D7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0C6A9C46"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70F9EC3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EE6E79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B4EA8E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53B1753C"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9EB7329"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24DF266" w14:textId="77777777" w:rsidTr="008D39F5">
        <w:tc>
          <w:tcPr>
            <w:tcW w:w="0" w:type="auto"/>
            <w:hideMark/>
          </w:tcPr>
          <w:p w14:paraId="7E08E925"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6E5369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0" w:type="auto"/>
            <w:hideMark/>
          </w:tcPr>
          <w:p w14:paraId="126B118D"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308CFC88"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0.610</w:t>
            </w:r>
          </w:p>
        </w:tc>
        <w:tc>
          <w:tcPr>
            <w:tcW w:w="0" w:type="auto"/>
            <w:hideMark/>
          </w:tcPr>
          <w:p w14:paraId="2BC0AAA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0.608</w:t>
            </w:r>
          </w:p>
        </w:tc>
        <w:tc>
          <w:tcPr>
            <w:tcW w:w="0" w:type="auto"/>
            <w:hideMark/>
          </w:tcPr>
          <w:p w14:paraId="195E7EF7"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59397E1B"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16.68</w:t>
            </w:r>
          </w:p>
        </w:tc>
        <w:tc>
          <w:tcPr>
            <w:tcW w:w="0" w:type="auto"/>
            <w:hideMark/>
          </w:tcPr>
          <w:p w14:paraId="0DA7AA6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278.31</w:t>
            </w:r>
          </w:p>
        </w:tc>
        <w:tc>
          <w:tcPr>
            <w:tcW w:w="0" w:type="auto"/>
            <w:hideMark/>
          </w:tcPr>
          <w:p w14:paraId="743FF32C"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460D81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2358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5AD5447" w14:textId="798EBD70"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23</w:t>
      </w:r>
      <w:r w:rsidRPr="00386BAD">
        <w:rPr>
          <w:rFonts w:ascii="Traditional Arabic" w:eastAsia="Calibri" w:hAnsi="Traditional Arabic" w:cs="Traditional Arabic"/>
          <w:sz w:val="32"/>
          <w:szCs w:val="32"/>
          <w:rtl/>
          <w:lang w:val="en-US"/>
        </w:rPr>
        <w:t>) وجود علاقة ارتباط موجبة قوية بين الصيانة التنبؤية وجودة الرعاية الصحية، حيث بلغ معامل الارتباط (</w:t>
      </w:r>
      <w:r w:rsidRPr="00386BAD">
        <w:rPr>
          <w:rFonts w:ascii="Traditional Arabic" w:eastAsia="Calibri" w:hAnsi="Traditional Arabic" w:cs="Traditional Arabic"/>
          <w:sz w:val="32"/>
          <w:szCs w:val="32"/>
          <w:lang w:val="en-US"/>
        </w:rPr>
        <w:t>R = 0.781</w:t>
      </w:r>
      <w:r w:rsidRPr="00386BAD">
        <w:rPr>
          <w:rFonts w:ascii="Traditional Arabic" w:eastAsia="Calibri" w:hAnsi="Traditional Arabic" w:cs="Traditional Arabic"/>
          <w:sz w:val="32"/>
          <w:szCs w:val="32"/>
          <w:rtl/>
          <w:lang w:val="en-US"/>
        </w:rPr>
        <w:t>)، مما يدل على وجود علاقة طردية قوية بين المتغيرين.</w:t>
      </w:r>
    </w:p>
    <w:p w14:paraId="0586E8D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0.610</w:t>
      </w:r>
      <w:r w:rsidRPr="00386BAD">
        <w:rPr>
          <w:rFonts w:ascii="Traditional Arabic" w:eastAsia="Calibri" w:hAnsi="Traditional Arabic" w:cs="Traditional Arabic"/>
          <w:sz w:val="32"/>
          <w:szCs w:val="32"/>
          <w:rtl/>
          <w:lang w:val="en-US"/>
        </w:rPr>
        <w:t>)،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14:paraId="239F005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(0.781)، وهي قيمة موجبة، مما يشير إلى أن ارتفاع مستوى تطبيق الصيانة التنبؤية يؤدي إلى تحسن مستوى جودة الرعاية الصحية.</w:t>
      </w:r>
    </w:p>
    <w:p w14:paraId="25DC854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(278.31)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14:paraId="17F120A7" w14:textId="46E22CD3"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الرئيسية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وجودة الرعاية الصحية في مستشفى عسير المركزي.</w:t>
      </w:r>
    </w:p>
    <w:p w14:paraId="187E5AD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w:t>
      </w:r>
      <w:commentRangeStart w:id="3"/>
      <w:r w:rsidRPr="00386BAD">
        <w:rPr>
          <w:rFonts w:ascii="Traditional Arabic" w:eastAsia="Calibri" w:hAnsi="Traditional Arabic" w:cs="Traditional Arabic"/>
          <w:sz w:val="32"/>
          <w:szCs w:val="32"/>
          <w:rtl/>
          <w:lang w:val="en-US"/>
        </w:rPr>
        <w:t xml:space="preserve">(61.0%). </w:t>
      </w:r>
      <w:commentRangeEnd w:id="3"/>
      <w:r w:rsidR="00812447" w:rsidRPr="00386BAD">
        <w:rPr>
          <w:rStyle w:val="aa"/>
          <w:rFonts w:ascii="Traditional Arabic" w:eastAsia="Calibri" w:hAnsi="Traditional Arabic" w:cs="Traditional Arabic"/>
          <w:sz w:val="32"/>
          <w:szCs w:val="32"/>
          <w:rtl/>
          <w:lang w:val="en-US"/>
        </w:rPr>
        <w:commentReference w:id="3"/>
      </w:r>
      <w:r w:rsidRPr="00386BAD">
        <w:rPr>
          <w:rFonts w:ascii="Traditional Arabic" w:eastAsia="Calibri" w:hAnsi="Traditional Arabic" w:cs="Traditional Arabic"/>
          <w:sz w:val="32"/>
          <w:szCs w:val="32"/>
          <w:rtl/>
          <w:lang w:val="en-US"/>
        </w:rPr>
        <w:t>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386BAD">
        <w:rPr>
          <w:rFonts w:ascii="Traditional Arabic" w:eastAsia="Calibri" w:hAnsi="Traditional Arabic" w:cs="Traditional Arabic"/>
          <w:sz w:val="32"/>
          <w:szCs w:val="32"/>
          <w:lang w:val="en-US"/>
        </w:rPr>
        <w:t>.</w:t>
      </w:r>
    </w:p>
    <w:p w14:paraId="426E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386BAD">
        <w:rPr>
          <w:rFonts w:ascii="Traditional Arabic" w:eastAsia="Calibri" w:hAnsi="Traditional Arabic" w:cs="Traditional Arabic"/>
          <w:sz w:val="32"/>
          <w:szCs w:val="32"/>
          <w:lang w:val="en-US"/>
        </w:rPr>
        <w:t>.</w:t>
      </w:r>
    </w:p>
    <w:p w14:paraId="34AB5DF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تتفق هذه النتيجة مع دراسة</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 xml:space="preserve">Shamayleh et al. (2020) </w:t>
      </w:r>
      <w:r w:rsidRPr="00386BAD">
        <w:rPr>
          <w:rFonts w:ascii="Traditional Arabic" w:eastAsia="Calibri" w:hAnsi="Traditional Arabic" w:cs="Traditional Arabic"/>
          <w:sz w:val="32"/>
          <w:szCs w:val="32"/>
          <w:rtl/>
          <w:lang w:val="en-US"/>
        </w:rPr>
        <w:t xml:space="preserve">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w:t>
      </w:r>
      <w:r w:rsidRPr="00386BAD">
        <w:rPr>
          <w:rFonts w:ascii="Traditional Arabic" w:eastAsia="Calibri" w:hAnsi="Traditional Arabic" w:cs="Traditional Arabic"/>
          <w:sz w:val="32"/>
          <w:szCs w:val="32"/>
          <w:rtl/>
          <w:lang w:val="en-US"/>
        </w:rPr>
        <w:lastRenderedPageBreak/>
        <w:t xml:space="preserve">الخدمات الصحية. كما تتفق مع دراسة </w:t>
      </w:r>
      <w:r w:rsidRPr="00386BAD">
        <w:rPr>
          <w:rFonts w:ascii="Traditional Arabic" w:eastAsia="Calibri" w:hAnsi="Traditional Arabic" w:cs="Traditional Arabic"/>
          <w:sz w:val="32"/>
          <w:szCs w:val="32"/>
          <w:lang w:val="en-US"/>
        </w:rPr>
        <w:t xml:space="preserve"> Ahmed et al. (2021) </w:t>
      </w:r>
      <w:r w:rsidRPr="00386BAD">
        <w:rPr>
          <w:rFonts w:ascii="Traditional Arabic" w:eastAsia="Calibri" w:hAnsi="Traditional Arabic" w:cs="Traditional Arabic"/>
          <w:sz w:val="32"/>
          <w:szCs w:val="32"/>
          <w:rtl/>
          <w:lang w:val="en-US"/>
        </w:rPr>
        <w:t xml:space="preserve">التي بينت أن استخدام التقنيات الحديثة في إدارة الصيانة يسهم في رفع كفاءة الأداء التشغيلي وتحسين جودة الرعاية الصحية. كذلك تتوافق مع نتائج دراسة </w:t>
      </w:r>
      <w:r w:rsidRPr="00386BAD">
        <w:rPr>
          <w:rFonts w:ascii="Traditional Arabic" w:eastAsia="Calibri" w:hAnsi="Traditional Arabic" w:cs="Traditional Arabic"/>
          <w:sz w:val="32"/>
          <w:szCs w:val="32"/>
          <w:lang w:val="en-US"/>
        </w:rPr>
        <w:t xml:space="preserve">Boppana (2023) </w:t>
      </w:r>
      <w:r w:rsidRPr="00386BAD">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386BAD">
        <w:rPr>
          <w:rFonts w:ascii="Traditional Arabic" w:eastAsia="Calibri" w:hAnsi="Traditional Arabic" w:cs="Traditional Arabic"/>
          <w:sz w:val="32"/>
          <w:szCs w:val="32"/>
          <w:lang w:val="en-US"/>
        </w:rPr>
        <w:t>.</w:t>
      </w:r>
    </w:p>
    <w:p w14:paraId="2D3FB82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كما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0885C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0A46EF6C"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سادساً: اختبار الفرضية الفرعية الأولى (</w:t>
      </w:r>
      <w:r w:rsidRPr="00386BAD">
        <w:rPr>
          <w:rFonts w:ascii="Traditional Arabic" w:eastAsia="Calibri" w:hAnsi="Traditional Arabic" w:cs="Traditional Arabic"/>
          <w:b/>
          <w:bCs/>
          <w:sz w:val="32"/>
          <w:szCs w:val="32"/>
          <w:lang w:val="en-US"/>
        </w:rPr>
        <w:t>H2.1</w:t>
      </w:r>
      <w:r w:rsidRPr="00386BAD">
        <w:rPr>
          <w:rFonts w:ascii="Traditional Arabic" w:eastAsia="Calibri" w:hAnsi="Traditional Arabic" w:cs="Traditional Arabic"/>
          <w:b/>
          <w:bCs/>
          <w:sz w:val="32"/>
          <w:szCs w:val="32"/>
          <w:rtl/>
          <w:lang w:val="en-US"/>
        </w:rPr>
        <w:t>)</w:t>
      </w:r>
    </w:p>
    <w:p w14:paraId="5E5BA74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الأولى على ما يلي</w:t>
      </w:r>
      <w:r w:rsidRPr="00386BAD">
        <w:rPr>
          <w:rFonts w:ascii="Traditional Arabic" w:eastAsia="Calibri" w:hAnsi="Traditional Arabic" w:cs="Traditional Arabic"/>
          <w:sz w:val="32"/>
          <w:szCs w:val="32"/>
          <w:lang w:val="en-US"/>
        </w:rPr>
        <w:t>:</w:t>
      </w:r>
    </w:p>
    <w:p w14:paraId="7D2C1D3F" w14:textId="77777777"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lang w:val="en-US"/>
        </w:rPr>
        <w:t>H2.1</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14:paraId="206AFE10" w14:textId="67A2E97D"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w:t>
      </w:r>
      <w:r w:rsidR="003438AE">
        <w:rPr>
          <w:rFonts w:ascii="Traditional Arabic" w:eastAsia="Calibri" w:hAnsi="Traditional Arabic" w:cs="Traditional Arabic" w:hint="cs"/>
          <w:sz w:val="32"/>
          <w:szCs w:val="32"/>
          <w:rtl/>
          <w:lang w:val="en-US"/>
        </w:rPr>
        <w:t>24</w:t>
      </w:r>
      <w:r w:rsidRPr="00386BAD">
        <w:rPr>
          <w:rFonts w:ascii="Traditional Arabic" w:eastAsia="Calibri" w:hAnsi="Traditional Arabic" w:cs="Traditional Arabic"/>
          <w:sz w:val="32"/>
          <w:szCs w:val="32"/>
          <w:rtl/>
          <w:lang w:val="en-US"/>
        </w:rPr>
        <w:t>).</w:t>
      </w:r>
    </w:p>
    <w:p w14:paraId="43A16F2C"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332D024" w14:textId="4423C4F8" w:rsidR="008D39F5" w:rsidRPr="00386BAD" w:rsidRDefault="008D39F5" w:rsidP="003438AE">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24</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14:paraId="3D62A87E" w14:textId="77777777" w:rsidTr="008D39F5">
        <w:tc>
          <w:tcPr>
            <w:tcW w:w="0" w:type="auto"/>
            <w:hideMark/>
          </w:tcPr>
          <w:p w14:paraId="6F67B0CB"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77F6530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FDC3A5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EB6ECC0"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4AA57716"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48D6723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65E87F0C"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235ECBBF"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6BB36CE"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7323D33"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DD539D6" w14:textId="77777777" w:rsidTr="008D39F5">
        <w:tc>
          <w:tcPr>
            <w:tcW w:w="0" w:type="auto"/>
            <w:hideMark/>
          </w:tcPr>
          <w:p w14:paraId="0CE6B0E2"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091C900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وقت الاستجابة للخدمة الطبية</w:t>
            </w:r>
          </w:p>
        </w:tc>
        <w:tc>
          <w:tcPr>
            <w:tcW w:w="0" w:type="auto"/>
            <w:hideMark/>
          </w:tcPr>
          <w:p w14:paraId="27CEA37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3D6262F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14:paraId="027BDAA1"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14:paraId="647F02BD"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77990BF6"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14:paraId="456CE48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14:paraId="7D87511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4B3E3DC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68189D3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1353EBA0" w14:textId="616781C0" w:rsidR="008D39F5" w:rsidRPr="00386BAD" w:rsidRDefault="008D39F5" w:rsidP="003438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24</w:t>
      </w:r>
      <w:r w:rsidRPr="00386BAD">
        <w:rPr>
          <w:rFonts w:ascii="Traditional Arabic" w:eastAsia="Calibri" w:hAnsi="Traditional Arabic" w:cs="Traditional Arabic"/>
          <w:sz w:val="32"/>
          <w:szCs w:val="32"/>
          <w:rtl/>
          <w:lang w:val="en-US"/>
        </w:rPr>
        <w:t>)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r w:rsidRPr="00386BAD">
        <w:rPr>
          <w:rFonts w:ascii="Traditional Arabic" w:eastAsia="Calibri" w:hAnsi="Traditional Arabic" w:cs="Traditional Arabic"/>
          <w:sz w:val="32"/>
          <w:szCs w:val="32"/>
          <w:rtl/>
          <w:lang w:val="en-US"/>
        </w:rPr>
        <w:t>)، مما يدل على وجود علاقة طردية قوية بين المتغيرين.</w:t>
      </w:r>
    </w:p>
    <w:p w14:paraId="158305C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0.520</w:t>
      </w:r>
      <w:r w:rsidRPr="00386BAD">
        <w:rPr>
          <w:rFonts w:ascii="Traditional Arabic" w:eastAsia="Calibri" w:hAnsi="Traditional Arabic" w:cs="Traditional Arabic"/>
          <w:sz w:val="32"/>
          <w:szCs w:val="32"/>
          <w:rtl/>
          <w:lang w:val="en-US"/>
        </w:rPr>
        <w:t>)،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14:paraId="5E81AD6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(0.721)، وهي قيمة موجبة، مما يشير إلى أن تحسين مستوى تطبيق الصيانة التنبؤية يسهم في تحسين سرعة الاستجابة للخدمة الطبية.</w:t>
      </w:r>
    </w:p>
    <w:p w14:paraId="2FE57FB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14:paraId="12624829" w14:textId="07E8F150"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14:paraId="5F76FFD8"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14:paraId="7341EF1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14:paraId="437E15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Shamayleh et al. (2020)  </w:t>
      </w:r>
      <w:r w:rsidRPr="00386BAD">
        <w:rPr>
          <w:rFonts w:ascii="Traditional Arabic" w:eastAsia="Calibri" w:hAnsi="Traditional Arabic" w:cs="Traditional Arabic"/>
          <w:sz w:val="32"/>
          <w:szCs w:val="32"/>
          <w:rtl/>
          <w:lang w:val="en-US"/>
        </w:rPr>
        <w:t xml:space="preserve">التي أوضحت أن الصيانة التنبؤية تسهم في تقليل زمن تعطل الأجهزة الطبية وتحسين سرعة الاستجابة للأعطال، مما ينعكس إيجابًا على كفاءة الخدمات الصحية. كما تتفق مع دراسة </w:t>
      </w:r>
      <w:r w:rsidRPr="00386BAD">
        <w:rPr>
          <w:rFonts w:ascii="Traditional Arabic" w:eastAsia="Calibri" w:hAnsi="Traditional Arabic" w:cs="Traditional Arabic"/>
          <w:sz w:val="32"/>
          <w:szCs w:val="32"/>
          <w:lang w:val="en-US"/>
        </w:rPr>
        <w:t xml:space="preserve"> Boppana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w:t>
      </w:r>
      <w:r w:rsidRPr="00386BAD">
        <w:rPr>
          <w:rFonts w:ascii="Traditional Arabic" w:eastAsia="Calibri" w:hAnsi="Traditional Arabic" w:cs="Traditional Arabic"/>
          <w:sz w:val="32"/>
          <w:szCs w:val="32"/>
          <w:lang w:val="en-US"/>
        </w:rPr>
        <w:lastRenderedPageBreak/>
        <w:t xml:space="preserve">et al. (2021)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
    <w:p w14:paraId="5701442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14:paraId="66A1B16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6420106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سابعاً: اختبار الفرضية الفرعية الثانية (</w:t>
      </w:r>
      <w:r w:rsidRPr="00386BAD">
        <w:rPr>
          <w:rFonts w:ascii="Traditional Arabic" w:eastAsia="Calibri" w:hAnsi="Traditional Arabic" w:cs="Traditional Arabic"/>
          <w:b/>
          <w:bCs/>
          <w:sz w:val="32"/>
          <w:szCs w:val="32"/>
          <w:lang w:val="en-US"/>
        </w:rPr>
        <w:t>H2.2</w:t>
      </w:r>
      <w:r w:rsidRPr="00386BAD">
        <w:rPr>
          <w:rFonts w:ascii="Traditional Arabic" w:eastAsia="Calibri" w:hAnsi="Traditional Arabic" w:cs="Traditional Arabic"/>
          <w:b/>
          <w:bCs/>
          <w:sz w:val="32"/>
          <w:szCs w:val="32"/>
          <w:rtl/>
          <w:lang w:val="en-US"/>
        </w:rPr>
        <w:t>)</w:t>
      </w:r>
    </w:p>
    <w:p w14:paraId="3D21A0D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تنص الفرضية الفرعية الثانية على ما يلي</w:t>
      </w:r>
      <w:r w:rsidRPr="00386BAD">
        <w:rPr>
          <w:rFonts w:ascii="Traditional Arabic" w:eastAsia="Calibri" w:hAnsi="Traditional Arabic" w:cs="Traditional Arabic"/>
          <w:sz w:val="32"/>
          <w:szCs w:val="32"/>
          <w:lang w:val="en-US" w:bidi="ar-JO"/>
        </w:rPr>
        <w:t>:</w:t>
      </w:r>
    </w:p>
    <w:p w14:paraId="4E247A79"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lang w:val="en-US" w:bidi="ar-JO"/>
        </w:rPr>
        <w:t>H2.2</w:t>
      </w:r>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14:paraId="687B6565" w14:textId="2432902D"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w:t>
      </w:r>
      <w:r w:rsidR="003438AE">
        <w:rPr>
          <w:rFonts w:ascii="Traditional Arabic" w:eastAsia="Calibri" w:hAnsi="Traditional Arabic" w:cs="Traditional Arabic" w:hint="cs"/>
          <w:sz w:val="32"/>
          <w:szCs w:val="32"/>
          <w:rtl/>
          <w:lang w:val="en-US"/>
        </w:rPr>
        <w:t>25</w:t>
      </w:r>
      <w:r w:rsidRPr="00386BAD">
        <w:rPr>
          <w:rFonts w:ascii="Traditional Arabic" w:eastAsia="Calibri" w:hAnsi="Traditional Arabic" w:cs="Traditional Arabic"/>
          <w:sz w:val="32"/>
          <w:szCs w:val="32"/>
          <w:rtl/>
          <w:lang w:val="en-US"/>
        </w:rPr>
        <w:t>).</w:t>
      </w:r>
    </w:p>
    <w:p w14:paraId="60EDD40B" w14:textId="0DB12753" w:rsidR="008D39F5" w:rsidRPr="00386BAD" w:rsidRDefault="008D39F5" w:rsidP="003438A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w:t>
      </w:r>
      <w:r w:rsidR="003438AE">
        <w:rPr>
          <w:rFonts w:ascii="Traditional Arabic" w:eastAsia="Calibri" w:hAnsi="Traditional Arabic" w:cs="Traditional Arabic" w:hint="cs"/>
          <w:b/>
          <w:bCs/>
          <w:sz w:val="32"/>
          <w:szCs w:val="32"/>
          <w:rtl/>
          <w:lang w:val="en-US"/>
        </w:rPr>
        <w:t>25</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14:paraId="36C10DD3" w14:textId="77777777" w:rsidTr="008D39F5">
        <w:tc>
          <w:tcPr>
            <w:tcW w:w="0" w:type="auto"/>
            <w:hideMark/>
          </w:tcPr>
          <w:p w14:paraId="1EEC899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7367D074"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70B4E77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67211E8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R²</w:t>
            </w:r>
          </w:p>
        </w:tc>
        <w:tc>
          <w:tcPr>
            <w:tcW w:w="0" w:type="auto"/>
            <w:hideMark/>
          </w:tcPr>
          <w:p w14:paraId="7C9D91A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Adjusted R²</w:t>
            </w:r>
          </w:p>
        </w:tc>
        <w:tc>
          <w:tcPr>
            <w:tcW w:w="0" w:type="auto"/>
            <w:hideMark/>
          </w:tcPr>
          <w:p w14:paraId="43E8FD9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C549E7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3550C9B9"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77578D67"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74D8A865"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1A07FD9B" w14:textId="77777777" w:rsidTr="008D39F5">
        <w:tc>
          <w:tcPr>
            <w:tcW w:w="0" w:type="auto"/>
            <w:hideMark/>
          </w:tcPr>
          <w:p w14:paraId="273C171E"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474FADF8"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تقليل حالات الإلغاء أو التأجيل للعمليات والخدمات الطبية</w:t>
            </w:r>
          </w:p>
        </w:tc>
        <w:tc>
          <w:tcPr>
            <w:tcW w:w="0" w:type="auto"/>
            <w:hideMark/>
          </w:tcPr>
          <w:p w14:paraId="56D1D5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F05BB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14:paraId="01FA46A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14:paraId="79764F95"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D8072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14:paraId="5C9870D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14:paraId="5F2CB42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510724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 الفرضية</w:t>
            </w:r>
          </w:p>
        </w:tc>
      </w:tr>
    </w:tbl>
    <w:p w14:paraId="3F98EB2A" w14:textId="77777777"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14:paraId="68828B83" w14:textId="539D3EF6"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w:t>
      </w:r>
      <w:r w:rsidR="003438AE">
        <w:rPr>
          <w:rFonts w:ascii="Traditional Arabic" w:eastAsia="Calibri" w:hAnsi="Traditional Arabic" w:cs="Traditional Arabic" w:hint="cs"/>
          <w:sz w:val="32"/>
          <w:szCs w:val="32"/>
          <w:rtl/>
          <w:lang w:val="en-US"/>
        </w:rPr>
        <w:t>25</w:t>
      </w:r>
      <w:r w:rsidRPr="00386BAD">
        <w:rPr>
          <w:rFonts w:ascii="Traditional Arabic" w:eastAsia="Calibri" w:hAnsi="Traditional Arabic" w:cs="Traditional Arabic"/>
          <w:sz w:val="32"/>
          <w:szCs w:val="32"/>
          <w:rtl/>
          <w:lang w:val="en-US"/>
        </w:rPr>
        <w:t>)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r w:rsidRPr="00386BAD">
        <w:rPr>
          <w:rFonts w:ascii="Traditional Arabic" w:eastAsia="Calibri" w:hAnsi="Traditional Arabic" w:cs="Traditional Arabic"/>
          <w:sz w:val="32"/>
          <w:szCs w:val="32"/>
          <w:rtl/>
          <w:lang w:val="en-US"/>
        </w:rPr>
        <w:t>)، مما يدل على وجود علاقة إيجابية قوية بين المتغيرين.</w:t>
      </w:r>
    </w:p>
    <w:p w14:paraId="732F17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0.482</w:t>
      </w:r>
      <w:r w:rsidRPr="00386BAD">
        <w:rPr>
          <w:rFonts w:ascii="Traditional Arabic" w:eastAsia="Calibri" w:hAnsi="Traditional Arabic" w:cs="Traditional Arabic"/>
          <w:sz w:val="32"/>
          <w:szCs w:val="32"/>
          <w:rtl/>
          <w:lang w:val="en-US"/>
        </w:rPr>
        <w:t>)،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14:paraId="70B6ACA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14:paraId="2B0B5C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14:paraId="6DDB7FB6" w14:textId="1EC34983"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حالات الإلغاء أو التأجيل للعمليات والخدمات الطبية نتيجة أعطال الأجهزة في مستشفى عسير المركزي.</w:t>
      </w:r>
    </w:p>
    <w:p w14:paraId="18BF5BC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14:paraId="002FF80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14:paraId="4B4AA9C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Shamayleh et al. (2020)  </w:t>
      </w:r>
      <w:r w:rsidRPr="00386BAD">
        <w:rPr>
          <w:rFonts w:ascii="Traditional Arabic" w:eastAsia="Calibri" w:hAnsi="Traditional Arabic" w:cs="Traditional Arabic"/>
          <w:sz w:val="32"/>
          <w:szCs w:val="32"/>
          <w:rtl/>
          <w:lang w:val="en-US"/>
        </w:rPr>
        <w:t xml:space="preserve">التي أكدت أن تطبيق الصيانة التنبؤية يسهم في تقليل الأعطال غير المتوقعة ورفع جاهزية الأجهزة الطبية، مما يحد من تأجيل الإجراءات الطبية. كما تتفق مع دراسة </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Boppana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w:t>
      </w:r>
      <w:r w:rsidRPr="00386BAD">
        <w:rPr>
          <w:rFonts w:ascii="Traditional Arabic" w:eastAsia="Calibri" w:hAnsi="Traditional Arabic" w:cs="Traditional Arabic"/>
          <w:sz w:val="32"/>
          <w:szCs w:val="32"/>
          <w:rtl/>
          <w:lang w:val="en-US"/>
        </w:rPr>
        <w:lastRenderedPageBreak/>
        <w:t xml:space="preserve">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
    <w:p w14:paraId="0A60794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14:paraId="3219B1A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1EC0F5C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ثامناً: اختبار الفرضية الفرعية الثالثة (</w:t>
      </w:r>
      <w:r w:rsidRPr="00386BAD">
        <w:rPr>
          <w:rFonts w:ascii="Traditional Arabic" w:eastAsia="Calibri" w:hAnsi="Traditional Arabic" w:cs="Traditional Arabic"/>
          <w:b/>
          <w:bCs/>
          <w:sz w:val="32"/>
          <w:szCs w:val="32"/>
          <w:lang w:val="en-US"/>
        </w:rPr>
        <w:t>H2.3</w:t>
      </w:r>
      <w:r w:rsidRPr="00386BAD">
        <w:rPr>
          <w:rFonts w:ascii="Traditional Arabic" w:eastAsia="Calibri" w:hAnsi="Traditional Arabic" w:cs="Traditional Arabic"/>
          <w:b/>
          <w:bCs/>
          <w:sz w:val="32"/>
          <w:szCs w:val="32"/>
          <w:rtl/>
          <w:lang w:val="en-US"/>
        </w:rPr>
        <w:t>)</w:t>
      </w:r>
    </w:p>
    <w:p w14:paraId="6BA1061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تنص الفرضية الفرعية الثالثة على ما يلي</w:t>
      </w:r>
      <w:r w:rsidRPr="00386BAD">
        <w:rPr>
          <w:rFonts w:ascii="Traditional Arabic" w:eastAsia="Calibri" w:hAnsi="Traditional Arabic" w:cs="Traditional Arabic"/>
          <w:sz w:val="32"/>
          <w:szCs w:val="32"/>
          <w:lang w:val="en-US" w:bidi="ar-JO"/>
        </w:rPr>
        <w:t>:</w:t>
      </w:r>
    </w:p>
    <w:p w14:paraId="1B74834B" w14:textId="77777777"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H2.3</w:t>
      </w:r>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14:paraId="5FDD985B" w14:textId="74E7F579"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w:t>
      </w:r>
      <w:r w:rsidR="003438AE">
        <w:rPr>
          <w:rFonts w:ascii="Traditional Arabic" w:eastAsia="Calibri" w:hAnsi="Traditional Arabic" w:cs="Traditional Arabic" w:hint="cs"/>
          <w:sz w:val="32"/>
          <w:szCs w:val="32"/>
          <w:rtl/>
          <w:lang w:val="en-US"/>
        </w:rPr>
        <w:t>26</w:t>
      </w:r>
      <w:r w:rsidRPr="00386BAD">
        <w:rPr>
          <w:rFonts w:ascii="Traditional Arabic" w:eastAsia="Calibri" w:hAnsi="Traditional Arabic" w:cs="Traditional Arabic"/>
          <w:sz w:val="32"/>
          <w:szCs w:val="32"/>
          <w:rtl/>
          <w:lang w:val="en-US"/>
        </w:rPr>
        <w:t>).</w:t>
      </w:r>
    </w:p>
    <w:p w14:paraId="532AB92B" w14:textId="523A84CF" w:rsidR="008D39F5" w:rsidRPr="00386BAD" w:rsidRDefault="008D39F5" w:rsidP="003438AE">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w:t>
      </w:r>
      <w:r w:rsidR="003438AE">
        <w:rPr>
          <w:rFonts w:ascii="Traditional Arabic" w:eastAsia="Calibri" w:hAnsi="Traditional Arabic" w:cs="Traditional Arabic" w:hint="cs"/>
          <w:b/>
          <w:bCs/>
          <w:sz w:val="32"/>
          <w:szCs w:val="32"/>
          <w:rtl/>
          <w:lang w:val="en-US"/>
        </w:rPr>
        <w:t>26</w:t>
      </w:r>
      <w:r w:rsidRPr="00386BAD">
        <w:rPr>
          <w:rFonts w:ascii="Traditional Arabic" w:eastAsia="Calibri" w:hAnsi="Traditional Arabic" w:cs="Traditional Arabic"/>
          <w:b/>
          <w:bCs/>
          <w:sz w:val="32"/>
          <w:szCs w:val="32"/>
          <w:rtl/>
          <w:lang w:val="en-US"/>
        </w:rPr>
        <w:t>)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14:paraId="1E09E58D" w14:textId="77777777" w:rsidTr="008D39F5">
        <w:tc>
          <w:tcPr>
            <w:tcW w:w="0" w:type="auto"/>
            <w:hideMark/>
          </w:tcPr>
          <w:p w14:paraId="290E85D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2D31F73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70E64FA6"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4E8A7C81"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R²</w:t>
            </w:r>
          </w:p>
        </w:tc>
        <w:tc>
          <w:tcPr>
            <w:tcW w:w="0" w:type="auto"/>
            <w:hideMark/>
          </w:tcPr>
          <w:p w14:paraId="31D73B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Adjusted R²</w:t>
            </w:r>
          </w:p>
        </w:tc>
        <w:tc>
          <w:tcPr>
            <w:tcW w:w="0" w:type="auto"/>
            <w:hideMark/>
          </w:tcPr>
          <w:p w14:paraId="29165B8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9C17EE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6F2DC38C"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49B3C014"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0FDCA0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5760A93B" w14:textId="77777777" w:rsidTr="008D39F5">
        <w:tc>
          <w:tcPr>
            <w:tcW w:w="0" w:type="auto"/>
            <w:hideMark/>
          </w:tcPr>
          <w:p w14:paraId="7CB80F23"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C29A568"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سلامة المرضى</w:t>
            </w:r>
          </w:p>
        </w:tc>
        <w:tc>
          <w:tcPr>
            <w:tcW w:w="0" w:type="auto"/>
            <w:hideMark/>
          </w:tcPr>
          <w:p w14:paraId="24BB4BA4"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4051A9A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14:paraId="17E5FB5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14:paraId="6CE79DEE"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0CA29A31"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14:paraId="5501FE79"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14:paraId="488C5C6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4BC172DF"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 الفرضية</w:t>
            </w:r>
          </w:p>
        </w:tc>
      </w:tr>
    </w:tbl>
    <w:p w14:paraId="32491C91" w14:textId="0A28A081" w:rsidR="008D39F5" w:rsidRPr="00386BAD" w:rsidRDefault="008D39F5"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w:t>
      </w:r>
      <w:r w:rsidR="003438AE">
        <w:rPr>
          <w:rFonts w:ascii="Traditional Arabic" w:eastAsia="Calibri" w:hAnsi="Traditional Arabic" w:cs="Traditional Arabic" w:hint="cs"/>
          <w:sz w:val="32"/>
          <w:szCs w:val="32"/>
          <w:rtl/>
          <w:lang w:val="en-US"/>
        </w:rPr>
        <w:t>26</w:t>
      </w:r>
      <w:r w:rsidR="009454AE" w:rsidRPr="00386BAD">
        <w:rPr>
          <w:rFonts w:ascii="Traditional Arabic" w:eastAsia="Calibri" w:hAnsi="Traditional Arabic" w:cs="Traditional Arabic"/>
          <w:sz w:val="32"/>
          <w:szCs w:val="32"/>
          <w:rtl/>
          <w:lang w:val="en-US"/>
        </w:rPr>
        <w:t>)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r w:rsidR="009454AE" w:rsidRPr="00386BAD">
        <w:rPr>
          <w:rFonts w:ascii="Traditional Arabic" w:eastAsia="Calibri" w:hAnsi="Traditional Arabic" w:cs="Traditional Arabic"/>
          <w:sz w:val="32"/>
          <w:szCs w:val="32"/>
          <w:rtl/>
          <w:lang w:val="en-US"/>
        </w:rPr>
        <w:t>)، مما يدل على وجود علاقة طردية قوية بين المتغيرين.</w:t>
      </w:r>
    </w:p>
    <w:p w14:paraId="39D9C23D"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بلغ </w:t>
      </w:r>
      <w:r w:rsidR="009454AE" w:rsidRPr="00386BAD">
        <w:rPr>
          <w:rFonts w:ascii="Traditional Arabic" w:eastAsia="Calibri" w:hAnsi="Traditional Arabic" w:cs="Traditional Arabic"/>
          <w:sz w:val="32"/>
          <w:szCs w:val="32"/>
          <w:rtl/>
          <w:lang w:val="en-US"/>
        </w:rPr>
        <w:t>معامل التحديد (</w:t>
      </w:r>
      <w:r w:rsidR="009454AE" w:rsidRPr="00386BAD">
        <w:rPr>
          <w:rFonts w:ascii="Traditional Arabic" w:eastAsia="Calibri" w:hAnsi="Traditional Arabic" w:cs="Traditional Arabic"/>
          <w:sz w:val="32"/>
          <w:szCs w:val="32"/>
          <w:lang w:val="en-US"/>
        </w:rPr>
        <w:t>R² = 0.571</w:t>
      </w:r>
      <w:r w:rsidR="009454AE" w:rsidRPr="00386BAD">
        <w:rPr>
          <w:rFonts w:ascii="Traditional Arabic" w:eastAsia="Calibri" w:hAnsi="Traditional Arabic" w:cs="Traditional Arabic"/>
          <w:sz w:val="32"/>
          <w:szCs w:val="32"/>
          <w:rtl/>
          <w:lang w:val="en-US"/>
        </w:rPr>
        <w:t>)،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14:paraId="71FD76A6"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بلغت (0.756)، وهي قيمة موجبة، مما يشير إلى أن ارتفاع مستوى تطبيق الصيانة التنبؤية يسهم في تعزيز سلامة المرضى وتقليل الحوادث الناتجة عن أعطال الأجهزة الطبية.</w:t>
      </w:r>
    </w:p>
    <w:p w14:paraId="23BDAC00"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عند مستوى دلالة (</w:t>
      </w:r>
      <w:r w:rsidR="009454AE" w:rsidRPr="00386BAD">
        <w:rPr>
          <w:rFonts w:ascii="Traditional Arabic" w:eastAsia="Calibri" w:hAnsi="Traditional Arabic" w:cs="Traditional Arabic"/>
          <w:sz w:val="32"/>
          <w:szCs w:val="32"/>
          <w:lang w:val="en-US"/>
        </w:rPr>
        <w:t>Sig. = 0.000</w:t>
      </w:r>
      <w:r w:rsidR="009454AE" w:rsidRPr="00386BAD">
        <w:rPr>
          <w:rFonts w:ascii="Traditional Arabic" w:eastAsia="Calibri" w:hAnsi="Traditional Arabic" w:cs="Traditional Arabic"/>
          <w:sz w:val="32"/>
          <w:szCs w:val="32"/>
          <w:rtl/>
          <w:lang w:val="en-US"/>
        </w:rPr>
        <w:t>)،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14:paraId="3E7C52D8" w14:textId="0D9A105E"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009454AE" w:rsidRPr="00386BAD">
        <w:rPr>
          <w:rFonts w:ascii="Traditional Arabic" w:eastAsia="Calibri" w:hAnsi="Traditional Arabic" w:cs="Traditional Arabic"/>
          <w:sz w:val="32"/>
          <w:szCs w:val="32"/>
          <w:rtl/>
          <w:lang w:val="en-US"/>
        </w:rPr>
        <w:t xml:space="preserve"> دلالة إحصائية بين الصيانة التنبؤية وتعزيز سلامة المرضى وتقليل الحوادث الناتجة عن خلل في الأجهزة الطبية في مستشفى عسير المركزي.</w:t>
      </w:r>
    </w:p>
    <w:p w14:paraId="4282EF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14:paraId="343C220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14:paraId="01F358B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Shamayleh et al. (2020) </w:t>
      </w:r>
      <w:r w:rsidRPr="00386BAD">
        <w:rPr>
          <w:rFonts w:ascii="Traditional Arabic" w:eastAsia="Calibri" w:hAnsi="Traditional Arabic" w:cs="Traditional Arabic"/>
          <w:sz w:val="32"/>
          <w:szCs w:val="32"/>
          <w:rtl/>
          <w:lang w:val="en-US"/>
        </w:rPr>
        <w:t xml:space="preserve">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 كما تتفق مع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Boppana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
    <w:p w14:paraId="6F9E3D7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w:t>
      </w:r>
      <w:r w:rsidRPr="00386BAD">
        <w:rPr>
          <w:rFonts w:ascii="Traditional Arabic" w:eastAsia="Calibri" w:hAnsi="Traditional Arabic" w:cs="Traditional Arabic"/>
          <w:sz w:val="32"/>
          <w:szCs w:val="32"/>
          <w:rtl/>
          <w:lang w:val="en-US"/>
        </w:rPr>
        <w:lastRenderedPageBreak/>
        <w:t>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14:paraId="24A8DCCB" w14:textId="71FEC0F7" w:rsidR="008C17BB" w:rsidRPr="00386BAD" w:rsidRDefault="008C17BB" w:rsidP="003438AE">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w:t>
      </w:r>
      <w:r w:rsidR="003438AE">
        <w:rPr>
          <w:rFonts w:ascii="Traditional Arabic" w:eastAsia="Calibri" w:hAnsi="Traditional Arabic" w:cs="Traditional Arabic" w:hint="cs"/>
          <w:b/>
          <w:bCs/>
          <w:sz w:val="32"/>
          <w:szCs w:val="32"/>
          <w:rtl/>
          <w:lang w:val="en-US"/>
        </w:rPr>
        <w:t>27</w:t>
      </w:r>
      <w:r w:rsidRPr="00386BAD">
        <w:rPr>
          <w:rFonts w:ascii="Traditional Arabic" w:eastAsia="Calibri" w:hAnsi="Traditional Arabic" w:cs="Traditional Arabic"/>
          <w:b/>
          <w:bCs/>
          <w:sz w:val="32"/>
          <w:szCs w:val="32"/>
          <w:rtl/>
          <w:lang w:val="en-US"/>
        </w:rPr>
        <w:t>) ملخص نتائج اختبار فرضيات الدراسة</w:t>
      </w:r>
    </w:p>
    <w:tbl>
      <w:tblPr>
        <w:tblStyle w:val="a3"/>
        <w:bidiVisual/>
        <w:tblW w:w="5000" w:type="pct"/>
        <w:tblLook w:val="04A0" w:firstRow="1" w:lastRow="0" w:firstColumn="1" w:lastColumn="0" w:noHBand="0" w:noVBand="1"/>
      </w:tblPr>
      <w:tblGrid>
        <w:gridCol w:w="1048"/>
        <w:gridCol w:w="1119"/>
        <w:gridCol w:w="1215"/>
        <w:gridCol w:w="1119"/>
        <w:gridCol w:w="1546"/>
        <w:gridCol w:w="2719"/>
        <w:gridCol w:w="810"/>
      </w:tblGrid>
      <w:tr w:rsidR="00386BAD" w:rsidRPr="00386BAD" w14:paraId="132548B2" w14:textId="77777777" w:rsidTr="00386BAD">
        <w:tc>
          <w:tcPr>
            <w:tcW w:w="565" w:type="pct"/>
            <w:hideMark/>
          </w:tcPr>
          <w:p w14:paraId="7D2B2B23"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14:paraId="7C22E448"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14:paraId="619CA70C"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R²</w:t>
            </w:r>
          </w:p>
        </w:tc>
        <w:tc>
          <w:tcPr>
            <w:tcW w:w="602" w:type="pct"/>
            <w:hideMark/>
          </w:tcPr>
          <w:p w14:paraId="51C1722B"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14:paraId="0545AA4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14:paraId="5CA2F4C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14:paraId="729682D0"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14:paraId="01D4880F" w14:textId="77777777" w:rsidTr="00386BAD">
        <w:tc>
          <w:tcPr>
            <w:tcW w:w="565" w:type="pct"/>
            <w:hideMark/>
          </w:tcPr>
          <w:p w14:paraId="18629422"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14:paraId="18D98A0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14:paraId="6C9233A5"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14:paraId="3FD424B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14:paraId="48928B21"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commentRangeStart w:id="4"/>
            <w:r w:rsidRPr="00386BAD">
              <w:rPr>
                <w:rFonts w:ascii="Traditional Arabic" w:eastAsia="Calibri" w:hAnsi="Traditional Arabic" w:cs="Traditional Arabic"/>
                <w:b/>
                <w:bCs/>
                <w:sz w:val="28"/>
                <w:szCs w:val="28"/>
                <w:lang w:val="en-US" w:bidi="ar-JO"/>
              </w:rPr>
              <w:t>223.54</w:t>
            </w:r>
            <w:commentRangeEnd w:id="4"/>
            <w:r w:rsidR="00812447" w:rsidRPr="00386BAD">
              <w:rPr>
                <w:rStyle w:val="aa"/>
                <w:rFonts w:ascii="Traditional Arabic" w:eastAsia="Calibri" w:hAnsi="Traditional Arabic" w:cs="Traditional Arabic"/>
                <w:b/>
                <w:bCs/>
                <w:sz w:val="28"/>
                <w:szCs w:val="28"/>
                <w:lang w:val="en-US" w:bidi="ar-JO"/>
              </w:rPr>
              <w:commentReference w:id="4"/>
            </w:r>
          </w:p>
        </w:tc>
        <w:tc>
          <w:tcPr>
            <w:tcW w:w="1436" w:type="pct"/>
            <w:hideMark/>
          </w:tcPr>
          <w:p w14:paraId="38F03F5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73BBAC7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305D5213" w14:textId="77777777" w:rsidTr="00386BAD">
        <w:tc>
          <w:tcPr>
            <w:tcW w:w="565" w:type="pct"/>
            <w:hideMark/>
          </w:tcPr>
          <w:p w14:paraId="517462B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H1.1</w:t>
            </w:r>
          </w:p>
        </w:tc>
        <w:tc>
          <w:tcPr>
            <w:tcW w:w="602" w:type="pct"/>
            <w:hideMark/>
          </w:tcPr>
          <w:p w14:paraId="78FBF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14:paraId="75BF059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14:paraId="3C46379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14:paraId="6CD0601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14:paraId="11026ACF"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24C839C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649B1D71" w14:textId="77777777" w:rsidTr="00386BAD">
        <w:tc>
          <w:tcPr>
            <w:tcW w:w="565" w:type="pct"/>
            <w:hideMark/>
          </w:tcPr>
          <w:p w14:paraId="0722610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14:paraId="4CF0C68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14:paraId="4BFDB88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14:paraId="5F9C304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14:paraId="05F5514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14:paraId="2F3C458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3643DDA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786B09BB" w14:textId="77777777" w:rsidTr="00386BAD">
        <w:tc>
          <w:tcPr>
            <w:tcW w:w="565" w:type="pct"/>
            <w:hideMark/>
          </w:tcPr>
          <w:p w14:paraId="2DC566B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14:paraId="090285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14:paraId="40CA2A7E"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14:paraId="26CD0D6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14:paraId="2388C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14:paraId="5130DD1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5A9DF27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2192794F" w14:textId="77777777" w:rsidTr="00386BAD">
        <w:tc>
          <w:tcPr>
            <w:tcW w:w="565" w:type="pct"/>
            <w:hideMark/>
          </w:tcPr>
          <w:p w14:paraId="3D61309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H2</w:t>
            </w:r>
          </w:p>
        </w:tc>
        <w:tc>
          <w:tcPr>
            <w:tcW w:w="602" w:type="pct"/>
            <w:hideMark/>
          </w:tcPr>
          <w:p w14:paraId="5492BD3E"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14:paraId="1C72D4E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14:paraId="7C5F8D64"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14:paraId="78C03AD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14:paraId="019E8B0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3A491AB6"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2FD39D76" w14:textId="77777777" w:rsidTr="00386BAD">
        <w:tc>
          <w:tcPr>
            <w:tcW w:w="565" w:type="pct"/>
            <w:hideMark/>
          </w:tcPr>
          <w:p w14:paraId="0B448BB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H2.1</w:t>
            </w:r>
          </w:p>
        </w:tc>
        <w:tc>
          <w:tcPr>
            <w:tcW w:w="602" w:type="pct"/>
            <w:hideMark/>
          </w:tcPr>
          <w:p w14:paraId="5FAFBD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14:paraId="7402B3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14:paraId="26BE3158"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14:paraId="6977BC2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14:paraId="317942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1408C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7213752" w14:textId="77777777" w:rsidTr="00386BAD">
        <w:tc>
          <w:tcPr>
            <w:tcW w:w="565" w:type="pct"/>
            <w:hideMark/>
          </w:tcPr>
          <w:p w14:paraId="644C7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H2.2</w:t>
            </w:r>
          </w:p>
        </w:tc>
        <w:tc>
          <w:tcPr>
            <w:tcW w:w="602" w:type="pct"/>
            <w:hideMark/>
          </w:tcPr>
          <w:p w14:paraId="648ACB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14:paraId="3BBEFB7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14:paraId="28C234C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14:paraId="3D6EF49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14:paraId="64A9C68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60311C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E289FB0" w14:textId="77777777" w:rsidTr="00386BAD">
        <w:tc>
          <w:tcPr>
            <w:tcW w:w="565" w:type="pct"/>
            <w:hideMark/>
          </w:tcPr>
          <w:p w14:paraId="30542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H2.3</w:t>
            </w:r>
          </w:p>
        </w:tc>
        <w:tc>
          <w:tcPr>
            <w:tcW w:w="602" w:type="pct"/>
            <w:hideMark/>
          </w:tcPr>
          <w:p w14:paraId="2752CAB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14:paraId="2E377A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14:paraId="217331D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14:paraId="5B4B958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14:paraId="7DB3B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72FFE60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14:paraId="57831A99"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14:paraId="5BA03C7E"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14:paraId="2D3D909B" w14:textId="0C9A7160" w:rsidR="008C17BB" w:rsidRPr="00386BAD" w:rsidRDefault="008C17BB" w:rsidP="003438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يتضح من جدول (4-</w:t>
      </w:r>
      <w:r w:rsidR="003438AE">
        <w:rPr>
          <w:rFonts w:ascii="Traditional Arabic" w:eastAsia="Calibri" w:hAnsi="Traditional Arabic" w:cs="Traditional Arabic" w:hint="cs"/>
          <w:sz w:val="32"/>
          <w:szCs w:val="32"/>
          <w:rtl/>
          <w:lang w:val="en-US"/>
        </w:rPr>
        <w:t>27</w:t>
      </w:r>
      <w:r w:rsidRPr="00386BAD">
        <w:rPr>
          <w:rFonts w:ascii="Traditional Arabic" w:eastAsia="Calibri" w:hAnsi="Traditional Arabic" w:cs="Traditional Arabic"/>
          <w:sz w:val="32"/>
          <w:szCs w:val="32"/>
          <w:rtl/>
          <w:lang w:val="en-US"/>
        </w:rPr>
        <w:t>)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 xml:space="preserve">أقل من (0.05)،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w:t>
      </w:r>
      <w:r w:rsidRPr="00386BAD">
        <w:rPr>
          <w:rFonts w:ascii="Traditional Arabic" w:eastAsia="Calibri" w:hAnsi="Traditional Arabic" w:cs="Traditional Arabic"/>
          <w:sz w:val="32"/>
          <w:szCs w:val="32"/>
          <w:rtl/>
          <w:lang w:val="en-US"/>
        </w:rPr>
        <w:lastRenderedPageBreak/>
        <w:t>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14:paraId="2DE15430"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14:paraId="38679306" w14:textId="41C51375" w:rsidR="009454AE" w:rsidRPr="00386BAD" w:rsidRDefault="009454AE" w:rsidP="008919F4">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4.</w:t>
      </w:r>
      <w:r w:rsidR="008919F4">
        <w:rPr>
          <w:rFonts w:ascii="Traditional Arabic" w:eastAsia="Calibri" w:hAnsi="Traditional Arabic" w:cs="Traditional Arabic" w:hint="cs"/>
          <w:b/>
          <w:bCs/>
          <w:sz w:val="32"/>
          <w:szCs w:val="32"/>
          <w:rtl/>
          <w:lang w:val="en-US" w:bidi="ar-JO"/>
        </w:rPr>
        <w:t>6</w:t>
      </w:r>
      <w:r w:rsidRPr="00386BAD">
        <w:rPr>
          <w:rFonts w:ascii="Traditional Arabic" w:eastAsia="Calibri" w:hAnsi="Traditional Arabic" w:cs="Traditional Arabic"/>
          <w:b/>
          <w:bCs/>
          <w:sz w:val="32"/>
          <w:szCs w:val="32"/>
          <w:rtl/>
          <w:lang w:val="en-US" w:bidi="ar-JO"/>
        </w:rPr>
        <w:t xml:space="preserve"> ملخص الفصل</w:t>
      </w:r>
    </w:p>
    <w:p w14:paraId="788021FF"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14:paraId="66A52527"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14:paraId="688F2A3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14:paraId="5752C8FB"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w:t>
      </w:r>
      <w:r w:rsidRPr="00386BAD">
        <w:rPr>
          <w:rFonts w:ascii="Traditional Arabic" w:eastAsia="Calibri" w:hAnsi="Traditional Arabic" w:cs="Traditional Arabic"/>
          <w:sz w:val="32"/>
          <w:szCs w:val="32"/>
          <w:rtl/>
          <w:lang w:val="en-US"/>
        </w:rPr>
        <w:lastRenderedPageBreak/>
        <w:t>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14:paraId="1DF538F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14:paraId="63968E1A"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14:paraId="21D674C2"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وتشكل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14:paraId="3B49ECE0" w14:textId="77777777"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14:paraId="1E112245" w14:textId="77777777" w:rsidR="007A6619" w:rsidRPr="00386BAD"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14:paraId="125C8331" w14:textId="77777777"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المراجع الاجنبية</w:t>
      </w:r>
    </w:p>
    <w:p w14:paraId="0221A547"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Al-Jabri, F., Kvist, T., Sund, R., &amp; Turunen, H. (2021). Quality of care and patient safety at healthcare institutions in Oman: Quantitative study of the perspectives of patients and healthcare professionals. </w:t>
      </w:r>
      <w:r w:rsidRPr="00386BAD">
        <w:rPr>
          <w:rFonts w:ascii="Times New Roman" w:eastAsia="Times New Roman" w:hAnsi="Times New Roman" w:cs="Times New Roman"/>
          <w:i/>
          <w:iCs/>
          <w:sz w:val="24"/>
          <w:szCs w:val="24"/>
          <w:lang w:val="en-US"/>
        </w:rPr>
        <w:t>BMC Health Services Research, 21</w:t>
      </w:r>
      <w:r w:rsidRPr="00386BAD">
        <w:rPr>
          <w:rFonts w:ascii="Times New Roman" w:eastAsia="Times New Roman" w:hAnsi="Times New Roman" w:cs="Times New Roman"/>
          <w:sz w:val="24"/>
          <w:szCs w:val="24"/>
          <w:lang w:val="en-US"/>
        </w:rPr>
        <w:t xml:space="preserve">(1), 1109. https://doi.org/10.1186/s12913-021-07152-2 </w:t>
      </w:r>
    </w:p>
    <w:p w14:paraId="5FCE4A4A"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386BAD">
        <w:rPr>
          <w:rFonts w:ascii="Times New Roman" w:eastAsia="Times New Roman" w:hAnsi="Times New Roman" w:cs="Times New Roman"/>
          <w:sz w:val="24"/>
          <w:szCs w:val="24"/>
          <w:lang w:val="en-US"/>
        </w:rPr>
        <w:t xml:space="preserve">A'aqoulah, A., Kuyini, A. B., &amp; Albalas, S. (2022). Exploring the gap between patients' expectations and perceptions of healthcare service quality. </w:t>
      </w:r>
      <w:r w:rsidRPr="00386BAD">
        <w:rPr>
          <w:rFonts w:ascii="Times New Roman" w:eastAsia="Times New Roman" w:hAnsi="Times New Roman" w:cs="Times New Roman"/>
          <w:i/>
          <w:iCs/>
          <w:sz w:val="24"/>
          <w:szCs w:val="24"/>
          <w:lang w:val="en-US"/>
        </w:rPr>
        <w:t>Patient Preference and Adherence, 16</w:t>
      </w:r>
      <w:r w:rsidRPr="00386BAD">
        <w:rPr>
          <w:rFonts w:ascii="Times New Roman" w:eastAsia="Times New Roman" w:hAnsi="Times New Roman" w:cs="Times New Roman"/>
          <w:sz w:val="24"/>
          <w:szCs w:val="24"/>
          <w:lang w:val="en-US"/>
        </w:rPr>
        <w:t xml:space="preserve">, 1295–1305. </w:t>
      </w:r>
      <w:hyperlink r:id="rId16" w:tgtFrame="_new" w:history="1">
        <w:r w:rsidRPr="00386BAD">
          <w:rPr>
            <w:rStyle w:val="Hyperlink"/>
            <w:rFonts w:ascii="Times New Roman" w:eastAsia="Times New Roman" w:hAnsi="Times New Roman" w:cs="Times New Roman"/>
            <w:sz w:val="24"/>
            <w:szCs w:val="24"/>
            <w:lang w:val="en-US"/>
          </w:rPr>
          <w:t>https://doi.org/10.2147/PPA.S360852</w:t>
        </w:r>
      </w:hyperlink>
      <w:r w:rsidRPr="00386BAD">
        <w:rPr>
          <w:rFonts w:ascii="Times New Roman" w:eastAsia="Times New Roman" w:hAnsi="Times New Roman" w:cs="Times New Roman"/>
          <w:sz w:val="24"/>
          <w:szCs w:val="24"/>
          <w:lang w:val="en-US"/>
        </w:rPr>
        <w:t xml:space="preserve"> </w:t>
      </w:r>
    </w:p>
    <w:p w14:paraId="0804ED41" w14:textId="77777777" w:rsidR="007D5530" w:rsidRPr="00386BAD"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386BAD">
        <w:rPr>
          <w:rFonts w:ascii="Times New Roman" w:eastAsia="Times New Roman" w:hAnsi="Times New Roman" w:cs="Times New Roman"/>
          <w:sz w:val="24"/>
          <w:szCs w:val="24"/>
          <w:lang w:val="en-US"/>
        </w:rPr>
        <w:t xml:space="preserve">Ahmed, R., Nasiri, F., &amp; Zayed, T. (2021). Two-stage predictive maintenance planning for hospital buildings: A multiple-objective optimization-based clustering approach. </w:t>
      </w:r>
      <w:r w:rsidRPr="00386BAD">
        <w:rPr>
          <w:rFonts w:ascii="Times New Roman" w:eastAsia="Times New Roman" w:hAnsi="Times New Roman" w:cs="Times New Roman"/>
          <w:i/>
          <w:iCs/>
          <w:sz w:val="24"/>
          <w:szCs w:val="24"/>
          <w:lang w:val="en-US"/>
        </w:rPr>
        <w:t>Journal of Performance of Constructed Facilities, 36</w:t>
      </w:r>
      <w:r w:rsidRPr="00386BAD">
        <w:rPr>
          <w:rFonts w:ascii="Times New Roman" w:eastAsia="Times New Roman" w:hAnsi="Times New Roman" w:cs="Times New Roman"/>
          <w:sz w:val="24"/>
          <w:szCs w:val="24"/>
          <w:lang w:val="en-US"/>
        </w:rPr>
        <w:t xml:space="preserve">(1), 04020099. </w:t>
      </w:r>
      <w:hyperlink r:id="rId17" w:history="1">
        <w:r w:rsidRPr="00386BAD">
          <w:rPr>
            <w:rStyle w:val="Hyperlink"/>
            <w:rFonts w:ascii="Times New Roman" w:eastAsia="Times New Roman" w:hAnsi="Times New Roman" w:cs="Times New Roman"/>
            <w:sz w:val="24"/>
            <w:szCs w:val="24"/>
            <w:lang w:val="en-US"/>
          </w:rPr>
          <w:t>https://doi.org/10.1061/(ASCE)CF.1943-5509.0001691</w:t>
        </w:r>
      </w:hyperlink>
    </w:p>
    <w:p w14:paraId="400E7E1A" w14:textId="77777777" w:rsidR="007D5530" w:rsidRDefault="006F1352" w:rsidP="005B71EB">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r w:rsidRPr="00386BAD">
        <w:rPr>
          <w:rFonts w:ascii="Times New Roman" w:eastAsia="Times New Roman" w:hAnsi="Times New Roman" w:cs="Times New Roman"/>
          <w:sz w:val="24"/>
          <w:szCs w:val="24"/>
          <w:lang w:val="en-US"/>
        </w:rPr>
        <w:t xml:space="preserve">Boppana, V. R. (2023). Data analytics for predictive maintenance in healthcare equipment. </w:t>
      </w:r>
      <w:r w:rsidRPr="00386BAD">
        <w:rPr>
          <w:rFonts w:ascii="Times New Roman" w:eastAsia="Times New Roman" w:hAnsi="Times New Roman" w:cs="Times New Roman"/>
          <w:i/>
          <w:iCs/>
          <w:sz w:val="24"/>
          <w:szCs w:val="24"/>
          <w:lang w:val="en-US"/>
        </w:rPr>
        <w:t xml:space="preserve">International Journal of Business &amp; Management Science, </w:t>
      </w:r>
      <w:r w:rsidR="005B71EB" w:rsidRPr="00386BAD">
        <w:rPr>
          <w:rFonts w:ascii="Times New Roman" w:eastAsia="Times New Roman" w:hAnsi="Times New Roman" w:cs="Times New Roman"/>
          <w:i/>
          <w:iCs/>
          <w:sz w:val="24"/>
          <w:szCs w:val="24"/>
          <w:lang w:val="en-US"/>
        </w:rPr>
        <w:t>10</w:t>
      </w:r>
      <w:r w:rsidRPr="00386BAD">
        <w:rPr>
          <w:rFonts w:ascii="Times New Roman" w:eastAsia="Times New Roman" w:hAnsi="Times New Roman" w:cs="Times New Roman"/>
          <w:sz w:val="24"/>
          <w:szCs w:val="24"/>
          <w:lang w:val="en-US"/>
        </w:rPr>
        <w:t>(</w:t>
      </w:r>
      <w:r w:rsidR="005B71EB" w:rsidRPr="00386BAD">
        <w:rPr>
          <w:rFonts w:ascii="Times New Roman" w:eastAsia="Times New Roman" w:hAnsi="Times New Roman" w:cs="Times New Roman"/>
          <w:sz w:val="24"/>
          <w:szCs w:val="24"/>
          <w:lang w:val="en-US"/>
        </w:rPr>
        <w:t>1</w:t>
      </w:r>
      <w:r w:rsidRPr="00386BAD">
        <w:rPr>
          <w:rFonts w:ascii="Times New Roman" w:eastAsia="Times New Roman" w:hAnsi="Times New Roman" w:cs="Times New Roman"/>
          <w:sz w:val="24"/>
          <w:szCs w:val="24"/>
          <w:lang w:val="en-US"/>
        </w:rPr>
        <w:t>)</w:t>
      </w:r>
      <w:r w:rsidRPr="00386BAD">
        <w:rPr>
          <w:rFonts w:ascii="Times New Roman" w:eastAsia="Times New Roman" w:hAnsi="Times New Roman" w:cs="Times New Roman"/>
          <w:sz w:val="24"/>
          <w:szCs w:val="24"/>
          <w:rtl/>
          <w:lang w:val="en-US"/>
        </w:rPr>
        <w:t xml:space="preserve">. </w:t>
      </w:r>
      <w:hyperlink r:id="rId18" w:history="1">
        <w:r w:rsidRPr="00386BAD">
          <w:rPr>
            <w:rFonts w:ascii="Times New Roman" w:eastAsia="Times New Roman" w:hAnsi="Times New Roman" w:cs="Times New Roman"/>
            <w:color w:val="0000FF"/>
            <w:sz w:val="24"/>
            <w:szCs w:val="24"/>
            <w:u w:val="single"/>
            <w:lang w:val="en-US"/>
          </w:rPr>
          <w:t>https://doi.org/10.53555/eijbms.v10i1.176</w:t>
        </w:r>
      </w:hyperlink>
    </w:p>
    <w:p w14:paraId="3025989A" w14:textId="4C6CFFDB" w:rsidR="00C11CC1" w:rsidRPr="00386BAD" w:rsidRDefault="00C11CC1" w:rsidP="00C11CC1">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C11CC1">
        <w:rPr>
          <w:rFonts w:ascii="Times New Roman" w:eastAsia="Times New Roman" w:hAnsi="Times New Roman" w:cs="Times New Roman"/>
          <w:sz w:val="24"/>
          <w:szCs w:val="24"/>
          <w:lang w:val="en-US"/>
        </w:rPr>
        <w:t xml:space="preserve">Çoban, S., Gökalp, M. O., Gökalp, E., Eren, P. E., &amp; Koçyiğit, A. (2018). </w:t>
      </w:r>
      <w:r w:rsidRPr="00C11CC1">
        <w:rPr>
          <w:rFonts w:ascii="Times New Roman" w:eastAsia="Times New Roman" w:hAnsi="Times New Roman" w:cs="Times New Roman"/>
          <w:i/>
          <w:iCs/>
          <w:sz w:val="24"/>
          <w:szCs w:val="24"/>
          <w:lang w:val="en-US"/>
        </w:rPr>
        <w:t>Predictive maintenance in healthcare services with big data technologies</w:t>
      </w:r>
      <w:r w:rsidRPr="00C11CC1">
        <w:rPr>
          <w:rFonts w:ascii="Times New Roman" w:eastAsia="Times New Roman" w:hAnsi="Times New Roman" w:cs="Times New Roman"/>
          <w:sz w:val="24"/>
          <w:szCs w:val="24"/>
          <w:lang w:val="en-US"/>
        </w:rPr>
        <w:t xml:space="preserve">. In </w:t>
      </w:r>
      <w:r w:rsidRPr="00C11CC1">
        <w:rPr>
          <w:rFonts w:ascii="Times New Roman" w:eastAsia="Times New Roman" w:hAnsi="Times New Roman" w:cs="Times New Roman"/>
          <w:b/>
          <w:bCs/>
          <w:sz w:val="24"/>
          <w:szCs w:val="24"/>
          <w:lang w:val="en-US"/>
        </w:rPr>
        <w:t>2018 IEEE 11th Conference on Service-Oriented Computing and Applications (SOCA)</w:t>
      </w:r>
      <w:r w:rsidRPr="00C11CC1">
        <w:rPr>
          <w:rFonts w:ascii="Times New Roman" w:eastAsia="Times New Roman" w:hAnsi="Times New Roman" w:cs="Times New Roman"/>
          <w:sz w:val="24"/>
          <w:szCs w:val="24"/>
          <w:lang w:val="en-US"/>
        </w:rPr>
        <w:t xml:space="preserve"> (pp. 43–49). IEEE. https://doi.org/10.1109/SOCA.2018.00021</w:t>
      </w:r>
    </w:p>
    <w:p w14:paraId="07087AB9"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Manchadi, O., Ben-Bouazza, F.-E., &amp; Jioudi, B. (2023, June 19). Predictive maintenance in healthcare system: A survey. </w:t>
      </w:r>
      <w:r w:rsidRPr="00386BAD">
        <w:rPr>
          <w:rFonts w:ascii="Times New Roman" w:eastAsia="Times New Roman" w:hAnsi="Times New Roman" w:cs="Times New Roman"/>
          <w:i/>
          <w:iCs/>
          <w:sz w:val="24"/>
          <w:szCs w:val="24"/>
          <w:lang w:val="en-US"/>
        </w:rPr>
        <w:t>IEEE Access, 11</w:t>
      </w:r>
      <w:r w:rsidRPr="00386BAD">
        <w:rPr>
          <w:rFonts w:ascii="Times New Roman" w:eastAsia="Times New Roman" w:hAnsi="Times New Roman" w:cs="Times New Roman"/>
          <w:sz w:val="24"/>
          <w:szCs w:val="24"/>
          <w:rtl/>
          <w:lang w:val="en-US"/>
        </w:rPr>
        <w:t xml:space="preserve">. </w:t>
      </w:r>
      <w:hyperlink r:id="rId19" w:history="1">
        <w:r w:rsidRPr="00386BAD">
          <w:rPr>
            <w:rFonts w:ascii="Times New Roman" w:eastAsia="Times New Roman" w:hAnsi="Times New Roman" w:cs="Times New Roman"/>
            <w:color w:val="0000FF"/>
            <w:sz w:val="24"/>
            <w:szCs w:val="24"/>
            <w:u w:val="single"/>
            <w:lang w:val="en-US"/>
          </w:rPr>
          <w:t>https://doi.org/10.1109/ACCESS.2023.3287490</w:t>
        </w:r>
      </w:hyperlink>
    </w:p>
    <w:p w14:paraId="6B58C56D"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Zamzam, A. H., Al-Ani, A. K. I., Abdul Wahab, A. K., Lai, K. W., Satapathy, S. C., Khalil, A., Azizan, M. M., &amp; Hasikin, K. (2021). Prioritisation assessment and robust predictive system for medical equipment: A comprehensive strategic maintenance management. </w:t>
      </w:r>
      <w:r w:rsidRPr="00386BAD">
        <w:rPr>
          <w:rFonts w:ascii="Times New Roman" w:eastAsia="Times New Roman" w:hAnsi="Times New Roman" w:cs="Times New Roman"/>
          <w:i/>
          <w:iCs/>
          <w:sz w:val="24"/>
          <w:szCs w:val="24"/>
          <w:lang w:val="en-US"/>
        </w:rPr>
        <w:t>Frontiers in Public Health, 9</w:t>
      </w:r>
      <w:r w:rsidRPr="00386BAD">
        <w:rPr>
          <w:rFonts w:ascii="Times New Roman" w:eastAsia="Times New Roman" w:hAnsi="Times New Roman" w:cs="Times New Roman"/>
          <w:sz w:val="24"/>
          <w:szCs w:val="24"/>
          <w:lang w:val="en-US"/>
        </w:rPr>
        <w:t xml:space="preserve">, Article 782203. </w:t>
      </w:r>
      <w:hyperlink r:id="rId20" w:history="1">
        <w:r w:rsidRPr="00386BAD">
          <w:rPr>
            <w:rFonts w:ascii="Times New Roman" w:eastAsia="Times New Roman" w:hAnsi="Times New Roman" w:cs="Times New Roman"/>
            <w:color w:val="0000FF"/>
            <w:sz w:val="24"/>
            <w:szCs w:val="24"/>
            <w:u w:val="single"/>
            <w:lang w:val="en-US"/>
          </w:rPr>
          <w:t>https://doi.org/10.3389/fpubh.2021.782203</w:t>
        </w:r>
      </w:hyperlink>
    </w:p>
    <w:p w14:paraId="479AC59B"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Shamayleh, A., Awad, M., &amp; Farhat, J. (2020). IoT based predictive maintenance management of medical equipment systems-level quality improvement. </w:t>
      </w:r>
      <w:r w:rsidRPr="00386BAD">
        <w:rPr>
          <w:rFonts w:ascii="Times New Roman" w:eastAsia="Times New Roman" w:hAnsi="Times New Roman" w:cs="Times New Roman"/>
          <w:i/>
          <w:iCs/>
          <w:sz w:val="24"/>
          <w:szCs w:val="24"/>
          <w:lang w:val="en-US"/>
        </w:rPr>
        <w:t>Journal of Medical Systems, 44</w:t>
      </w:r>
      <w:r w:rsidRPr="00386BAD">
        <w:rPr>
          <w:rFonts w:ascii="Times New Roman" w:eastAsia="Times New Roman" w:hAnsi="Times New Roman" w:cs="Times New Roman"/>
          <w:sz w:val="24"/>
          <w:szCs w:val="24"/>
          <w:lang w:val="en-US"/>
        </w:rPr>
        <w:t xml:space="preserve">(1), 72. </w:t>
      </w:r>
      <w:hyperlink r:id="rId21" w:history="1">
        <w:r w:rsidRPr="00386BAD">
          <w:rPr>
            <w:rFonts w:ascii="Times New Roman" w:eastAsia="Times New Roman" w:hAnsi="Times New Roman" w:cs="Times New Roman"/>
            <w:color w:val="0000FF"/>
            <w:sz w:val="24"/>
            <w:szCs w:val="24"/>
            <w:u w:val="single"/>
            <w:lang w:val="en-US"/>
          </w:rPr>
          <w:t>https://doi.org/10.1007/s10916-020-1517-1</w:t>
        </w:r>
      </w:hyperlink>
    </w:p>
    <w:p w14:paraId="179BB170"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Çoban, S., Gökalp, M. O., Gökalp, E., Eren, P. E., &amp; Koçyiğit, A. (2018). Predictive maintenance in healthcare services with big data technologies. In </w:t>
      </w:r>
      <w:r w:rsidRPr="00386BAD">
        <w:rPr>
          <w:rFonts w:ascii="Times New Roman" w:eastAsia="Times New Roman" w:hAnsi="Times New Roman" w:cs="Times New Roman"/>
          <w:i/>
          <w:iCs/>
          <w:sz w:val="24"/>
          <w:szCs w:val="24"/>
          <w:lang w:val="en-US"/>
        </w:rPr>
        <w:t>2018 IEEE 11th Conference on Service-Oriented Computing and Applications (SOCA)</w:t>
      </w:r>
      <w:r w:rsidRPr="00386BAD">
        <w:rPr>
          <w:rFonts w:ascii="Times New Roman" w:eastAsia="Times New Roman" w:hAnsi="Times New Roman" w:cs="Times New Roman"/>
          <w:sz w:val="24"/>
          <w:szCs w:val="24"/>
          <w:lang w:val="en-US"/>
        </w:rPr>
        <w:t xml:space="preserve"> (pp. 69–76). IEEE. </w:t>
      </w:r>
      <w:hyperlink r:id="rId22" w:history="1">
        <w:r w:rsidRPr="00386BAD">
          <w:rPr>
            <w:rFonts w:ascii="Times New Roman" w:eastAsia="Times New Roman" w:hAnsi="Times New Roman" w:cs="Times New Roman"/>
            <w:color w:val="0000FF"/>
            <w:sz w:val="24"/>
            <w:szCs w:val="24"/>
            <w:u w:val="single"/>
            <w:lang w:val="en-US"/>
          </w:rPr>
          <w:t>https://doi.org/10.1109/SOCA.2018.00021</w:t>
        </w:r>
      </w:hyperlink>
    </w:p>
    <w:p w14:paraId="27505233" w14:textId="77777777" w:rsidR="00617ACF"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lang w:val="en-US"/>
        </w:rPr>
      </w:pPr>
      <w:r w:rsidRPr="00386BAD">
        <w:rPr>
          <w:rFonts w:ascii="Times New Roman" w:eastAsia="Times New Roman" w:hAnsi="Times New Roman" w:cs="Times New Roman"/>
          <w:sz w:val="24"/>
          <w:szCs w:val="24"/>
          <w:lang w:val="en-US"/>
        </w:rPr>
        <w:t xml:space="preserve">Sezdi, M. (2016). Two different maintenance strategies in the hospital environment: Preventive maintenance for older technology devices and predictive maintenance for newer high-tech devices. </w:t>
      </w:r>
      <w:r w:rsidRPr="00386BAD">
        <w:rPr>
          <w:rFonts w:ascii="Times New Roman" w:eastAsia="Times New Roman" w:hAnsi="Times New Roman" w:cs="Times New Roman"/>
          <w:i/>
          <w:iCs/>
          <w:sz w:val="24"/>
          <w:szCs w:val="24"/>
          <w:lang w:val="en-US"/>
        </w:rPr>
        <w:t>Journal of Healthcare Enginee</w:t>
      </w:r>
      <w:r w:rsidRPr="00386BAD">
        <w:rPr>
          <w:rFonts w:ascii="Times New Roman" w:eastAsia="Times New Roman" w:hAnsi="Times New Roman" w:cs="Times New Roman"/>
          <w:i/>
          <w:iCs/>
          <w:sz w:val="24"/>
          <w:szCs w:val="24"/>
          <w:lang w:val="en-US" w:bidi="ar-AE"/>
        </w:rPr>
        <w:t>ring, 4 (11).</w:t>
      </w:r>
      <w:r w:rsidRPr="00386BAD">
        <w:rPr>
          <w:rFonts w:ascii="Times New Roman" w:eastAsia="Times New Roman" w:hAnsi="Times New Roman" w:cs="Times New Roman"/>
          <w:sz w:val="24"/>
          <w:szCs w:val="24"/>
          <w:lang w:val="en-US"/>
        </w:rPr>
        <w:t xml:space="preserve"> </w:t>
      </w:r>
      <w:hyperlink r:id="rId23" w:history="1">
        <w:r w:rsidRPr="00386BAD">
          <w:rPr>
            <w:rFonts w:ascii="Times New Roman" w:eastAsia="Times New Roman" w:hAnsi="Times New Roman" w:cs="Times New Roman"/>
            <w:color w:val="0000FF"/>
            <w:sz w:val="24"/>
            <w:szCs w:val="24"/>
            <w:u w:val="single"/>
            <w:lang w:val="en-US"/>
          </w:rPr>
          <w:t>https://doi.org/10.1155/2016/8671820</w:t>
        </w:r>
      </w:hyperlink>
    </w:p>
    <w:p w14:paraId="4AF2DF44" w14:textId="61C4F6A5" w:rsidR="006F1352" w:rsidRPr="00617ACF" w:rsidRDefault="00617ACF" w:rsidP="00617ACF">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617ACF">
        <w:rPr>
          <w:rFonts w:ascii="Times New Roman" w:eastAsia="Times New Roman" w:hAnsi="Times New Roman" w:cs="Times New Roman"/>
          <w:sz w:val="24"/>
          <w:szCs w:val="24"/>
        </w:rPr>
        <w:lastRenderedPageBreak/>
        <w:t xml:space="preserve">Maktoubian, J., &amp; Ansari, K. (2019). An IoT architecture for preventive maintenance of medical devices in healthcare organizations. </w:t>
      </w:r>
      <w:r w:rsidRPr="00617ACF">
        <w:rPr>
          <w:rFonts w:ascii="Times New Roman" w:eastAsia="Times New Roman" w:hAnsi="Times New Roman" w:cs="Times New Roman"/>
          <w:i/>
          <w:iCs/>
          <w:sz w:val="24"/>
          <w:szCs w:val="24"/>
        </w:rPr>
        <w:t>Health and Technology, 9</w:t>
      </w:r>
      <w:r w:rsidRPr="00617ACF">
        <w:rPr>
          <w:rFonts w:ascii="Times New Roman" w:eastAsia="Times New Roman" w:hAnsi="Times New Roman" w:cs="Times New Roman"/>
          <w:sz w:val="24"/>
          <w:szCs w:val="24"/>
        </w:rPr>
        <w:t>(2), 233–243. https://doi.org/10.1007/s12553-018-0280-4</w:t>
      </w:r>
      <w:r w:rsidR="006F1352" w:rsidRPr="00617ACF">
        <w:rPr>
          <w:rFonts w:ascii="Times New Roman" w:eastAsia="Times New Roman" w:hAnsi="Times New Roman" w:cs="Times New Roman"/>
          <w:sz w:val="24"/>
          <w:szCs w:val="24"/>
          <w:lang w:val="en-US"/>
        </w:rPr>
        <w:br/>
      </w:r>
    </w:p>
    <w:p w14:paraId="626C1BC7"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r w:rsidRPr="00386BAD">
        <w:rPr>
          <w:rFonts w:ascii="Times New Roman" w:eastAsia="Times New Roman" w:hAnsi="Times New Roman" w:cs="Times New Roman"/>
          <w:sz w:val="24"/>
          <w:szCs w:val="24"/>
          <w:lang w:val="en-US"/>
        </w:rPr>
        <w:t xml:space="preserve">Mahfoud, H., El Barkany, A., &amp; El Biyaali, A. (2016). Preventive maintenance optimization in healthcare domain: Status of research and perspective. </w:t>
      </w:r>
      <w:r w:rsidRPr="00386BAD">
        <w:rPr>
          <w:rFonts w:ascii="Times New Roman" w:eastAsia="Times New Roman" w:hAnsi="Times New Roman" w:cs="Times New Roman"/>
          <w:i/>
          <w:iCs/>
          <w:sz w:val="24"/>
          <w:szCs w:val="24"/>
          <w:lang w:val="en-US"/>
        </w:rPr>
        <w:t>Journal of Quality and Reliability Engineering</w:t>
      </w:r>
      <w:r w:rsidRPr="00386BAD">
        <w:rPr>
          <w:rFonts w:ascii="Times New Roman" w:eastAsia="Times New Roman" w:hAnsi="Times New Roman" w:cs="Times New Roman"/>
          <w:sz w:val="24"/>
          <w:szCs w:val="24"/>
          <w:lang w:val="en-US"/>
        </w:rPr>
        <w:t xml:space="preserve">, 2016, Article ID 5314312. </w:t>
      </w:r>
      <w:hyperlink r:id="rId24" w:history="1">
        <w:r w:rsidRPr="00386BAD">
          <w:rPr>
            <w:rFonts w:ascii="Times New Roman" w:eastAsia="Times New Roman" w:hAnsi="Times New Roman" w:cs="Times New Roman"/>
            <w:color w:val="0000FF"/>
            <w:sz w:val="24"/>
            <w:szCs w:val="24"/>
            <w:u w:val="single"/>
            <w:lang w:val="en-US"/>
          </w:rPr>
          <w:t>https://doi.org/10.1155/2016/5314312</w:t>
        </w:r>
      </w:hyperlink>
    </w:p>
    <w:p w14:paraId="68728698" w14:textId="77777777" w:rsidR="00CA320E" w:rsidRPr="00386BAD"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r w:rsidRPr="00386BAD">
        <w:rPr>
          <w:rFonts w:ascii="Times New Roman" w:eastAsia="Times New Roman" w:hAnsi="Times New Roman" w:cs="Times New Roman"/>
          <w:sz w:val="24"/>
          <w:szCs w:val="24"/>
          <w:lang w:val="en-US"/>
        </w:rPr>
        <w:t xml:space="preserve">Nunnally, J. C., &amp; Bernstein, I. H. (1994). </w:t>
      </w:r>
      <w:r w:rsidRPr="00386BAD">
        <w:rPr>
          <w:rFonts w:ascii="Times New Roman" w:eastAsia="Times New Roman" w:hAnsi="Times New Roman" w:cs="Times New Roman"/>
          <w:i/>
          <w:iCs/>
          <w:sz w:val="24"/>
          <w:szCs w:val="24"/>
          <w:lang w:val="en-US"/>
        </w:rPr>
        <w:t>Psychometric theory</w:t>
      </w:r>
      <w:r w:rsidRPr="00386BAD">
        <w:rPr>
          <w:rFonts w:ascii="Times New Roman" w:eastAsia="Times New Roman" w:hAnsi="Times New Roman" w:cs="Times New Roman"/>
          <w:sz w:val="24"/>
          <w:szCs w:val="24"/>
          <w:lang w:val="en-US"/>
        </w:rPr>
        <w:t xml:space="preserve"> (3rd ed.). McGraw-Hill.</w:t>
      </w:r>
    </w:p>
    <w:p w14:paraId="0CA2653D" w14:textId="77777777" w:rsidR="006F1352" w:rsidRPr="00386BAD" w:rsidRDefault="006F1352" w:rsidP="007D5530">
      <w:pPr>
        <w:spacing w:before="100" w:beforeAutospacing="1" w:after="100" w:afterAutospacing="1" w:line="240" w:lineRule="auto"/>
        <w:ind w:firstLine="720"/>
        <w:rPr>
          <w:rFonts w:ascii="Times New Roman" w:eastAsia="Calibri" w:hAnsi="Times New Roman" w:cs="Times New Roman"/>
          <w:rtl/>
        </w:rPr>
      </w:pPr>
      <w:r w:rsidRPr="00386BAD">
        <w:rPr>
          <w:rFonts w:ascii="Times New Roman" w:eastAsia="Calibri" w:hAnsi="Times New Roman" w:cs="Times New Roman"/>
        </w:rPr>
        <w:t xml:space="preserve">Elborombaly, H. H. (2016). </w:t>
      </w:r>
      <w:r w:rsidRPr="00386BAD">
        <w:rPr>
          <w:rFonts w:ascii="Times New Roman" w:eastAsia="Calibri" w:hAnsi="Times New Roman" w:cs="Times New Roman"/>
          <w:i/>
          <w:iCs/>
        </w:rPr>
        <w:t>Activating the role of integrated maintenance of hospitals in Arab countries</w:t>
      </w:r>
      <w:r w:rsidRPr="00386BAD">
        <w:rPr>
          <w:rFonts w:ascii="Times New Roman" w:eastAsia="Calibri" w:hAnsi="Times New Roman" w:cs="Times New Roman"/>
        </w:rPr>
        <w:t xml:space="preserve"> [Conference paper]. 18th International Conference for Hospital Engineering, Dubai, UAE. </w:t>
      </w:r>
    </w:p>
    <w:p w14:paraId="4D129DD7" w14:textId="77777777" w:rsidR="000F2DE2" w:rsidRPr="00386BAD" w:rsidRDefault="000F2DE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
    <w:p w14:paraId="5E3E2249" w14:textId="77777777" w:rsidR="007D5530" w:rsidRPr="00386BAD" w:rsidRDefault="007D5530" w:rsidP="00C11CC1">
      <w:pPr>
        <w:spacing w:before="100" w:beforeAutospacing="1" w:after="100" w:afterAutospacing="1" w:line="240" w:lineRule="auto"/>
        <w:rPr>
          <w:rFonts w:ascii="Times New Roman" w:eastAsia="Times New Roman" w:hAnsi="Times New Roman" w:cs="Times New Roman"/>
          <w:b/>
          <w:bCs/>
          <w:sz w:val="28"/>
          <w:szCs w:val="28"/>
          <w:rtl/>
          <w:lang w:val="en-US" w:bidi="ar-JO"/>
        </w:rPr>
      </w:pPr>
    </w:p>
    <w:p w14:paraId="10B63AEA" w14:textId="77777777"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39FEE82B" w14:textId="77777777"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r w:rsidRPr="00386BAD">
        <w:rPr>
          <w:rFonts w:ascii="Times New Roman" w:eastAsia="Times New Roman" w:hAnsi="Times New Roman" w:cs="Times New Roman"/>
          <w:b/>
          <w:bCs/>
          <w:sz w:val="28"/>
          <w:szCs w:val="28"/>
          <w:rtl/>
          <w:lang w:val="en-US"/>
        </w:rPr>
        <w:lastRenderedPageBreak/>
        <w:t>المراجع العربية</w:t>
      </w:r>
    </w:p>
    <w:p w14:paraId="031D8634" w14:textId="77777777"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البزايعة، محمد</w:t>
      </w:r>
      <w:r w:rsidR="005B71EB" w:rsidRPr="00386BAD">
        <w:rPr>
          <w:rFonts w:ascii="Traditional Arabic" w:eastAsia="Times New Roman" w:hAnsi="Traditional Arabic" w:cs="Traditional Arabic"/>
          <w:sz w:val="28"/>
          <w:szCs w:val="28"/>
          <w:rtl/>
          <w:lang w:val="en-US"/>
        </w:rPr>
        <w:t xml:space="preserve">. (2024). أثر الصيانة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مجلة المجتمع العربي لنشر الدراسات العلمية، 74</w:t>
      </w:r>
      <w:r w:rsidR="007D5530" w:rsidRPr="00386BAD">
        <w:rPr>
          <w:rFonts w:ascii="Traditional Arabic" w:eastAsia="Times New Roman" w:hAnsi="Traditional Arabic" w:cs="Traditional Arabic"/>
          <w:sz w:val="28"/>
          <w:szCs w:val="28"/>
          <w:rtl/>
          <w:lang w:val="en-US"/>
        </w:rPr>
        <w:t>(1)، 45–60.</w:t>
      </w:r>
    </w:p>
    <w:p w14:paraId="1EB21E6F" w14:textId="77777777"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وليد. (2023). تأثير </w:t>
      </w:r>
      <w:r w:rsidR="006F1352" w:rsidRPr="00386BAD">
        <w:rPr>
          <w:rFonts w:ascii="Traditional Arabic" w:eastAsia="Times New Roman" w:hAnsi="Traditional Arabic" w:cs="Traditional Arabic"/>
          <w:sz w:val="28"/>
          <w:szCs w:val="28"/>
          <w:rtl/>
          <w:lang w:val="en-US"/>
        </w:rPr>
        <w:t>العلاقة بين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مجلة التجارة والتمويل،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14:paraId="32463BE1" w14:textId="77777777"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م</w:t>
      </w:r>
      <w:r w:rsidR="005B6872" w:rsidRPr="00386BAD">
        <w:rPr>
          <w:rFonts w:ascii="Traditional Arabic" w:eastAsia="Times New Roman" w:hAnsi="Traditional Arabic" w:cs="Traditional Arabic"/>
          <w:sz w:val="28"/>
          <w:szCs w:val="28"/>
          <w:rtl/>
          <w:lang w:val="en-US"/>
        </w:rPr>
        <w:t>ضهر</w:t>
      </w:r>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المجلة العلمية للدراسات التجارية والبيئية، 6</w:t>
      </w:r>
      <w:r w:rsidR="007D5530" w:rsidRPr="00386BAD">
        <w:rPr>
          <w:rFonts w:ascii="Traditional Arabic" w:eastAsia="Times New Roman" w:hAnsi="Traditional Arabic" w:cs="Traditional Arabic"/>
          <w:sz w:val="28"/>
          <w:szCs w:val="28"/>
          <w:rtl/>
          <w:lang w:val="en-US"/>
        </w:rPr>
        <w:t>(3)، 464–483.</w:t>
      </w:r>
    </w:p>
    <w:p w14:paraId="4B73F005" w14:textId="77777777"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محمد، و</w:t>
      </w:r>
      <w:r w:rsidR="00B27737" w:rsidRPr="00386BAD">
        <w:rPr>
          <w:rFonts w:ascii="Traditional Arabic" w:eastAsia="Times New Roman" w:hAnsi="Traditional Arabic" w:cs="Traditional Arabic"/>
          <w:sz w:val="28"/>
          <w:szCs w:val="28"/>
          <w:rtl/>
          <w:lang w:val="en-US"/>
        </w:rPr>
        <w:t>ئام</w:t>
      </w:r>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رسالة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14:paraId="39CBBC05" w14:textId="77777777"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r w:rsidR="005B71EB" w:rsidRPr="00386BAD">
        <w:rPr>
          <w:rFonts w:ascii="Traditional Arabic" w:eastAsia="Times New Roman" w:hAnsi="Traditional Arabic" w:cs="Traditional Arabic"/>
          <w:sz w:val="28"/>
          <w:szCs w:val="28"/>
          <w:rtl/>
          <w:lang w:val="en-US"/>
        </w:rPr>
        <w:t>اسماعيل</w:t>
      </w:r>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المجلة العلمية للبحوث والدراسات التجارية، 38</w:t>
      </w:r>
      <w:r w:rsidR="007D5530" w:rsidRPr="00386BAD">
        <w:rPr>
          <w:rFonts w:ascii="Traditional Arabic" w:eastAsia="Times New Roman" w:hAnsi="Traditional Arabic" w:cs="Traditional Arabic"/>
          <w:sz w:val="28"/>
          <w:szCs w:val="28"/>
          <w:rtl/>
          <w:lang w:val="en-US"/>
        </w:rPr>
        <w:t>(2).</w:t>
      </w:r>
    </w:p>
    <w:p w14:paraId="57F8DB3D" w14:textId="77777777" w:rsidR="00621C23" w:rsidRPr="00386BAD" w:rsidRDefault="00621C23" w:rsidP="00621C23">
      <w:pPr>
        <w:bidi/>
        <w:spacing w:line="360" w:lineRule="auto"/>
        <w:rPr>
          <w:rFonts w:ascii="Traditional Arabic" w:hAnsi="Traditional Arabic" w:cs="Traditional Arabic"/>
          <w:b/>
          <w:bCs/>
          <w:sz w:val="40"/>
          <w:szCs w:val="40"/>
          <w:rtl/>
          <w:lang w:val="en-US"/>
        </w:rPr>
      </w:pPr>
    </w:p>
    <w:p w14:paraId="00FFA1AF"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9EA66FA"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07D6BB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6998007"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09D169C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1D2E974" w14:textId="77777777"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14:paraId="5352E6E6" w14:textId="77777777"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14:paraId="2E70E4A4" w14:textId="77777777"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14:paraId="3C002E50" w14:textId="77777777" w:rsidR="007A6619" w:rsidRPr="00386BAD" w:rsidRDefault="007A6619" w:rsidP="007A6619">
      <w:pPr>
        <w:bidi/>
        <w:jc w:val="center"/>
        <w:rPr>
          <w:rFonts w:ascii="Traditional Arabic" w:hAnsi="Traditional Arabic" w:cs="Traditional Arabic"/>
          <w:b/>
          <w:bCs/>
          <w:sz w:val="36"/>
          <w:szCs w:val="36"/>
          <w:lang w:val="en-US"/>
        </w:rPr>
      </w:pPr>
    </w:p>
    <w:p w14:paraId="6DFD7885" w14:textId="77777777" w:rsidR="002B3666" w:rsidRPr="00386BAD" w:rsidRDefault="002B3666" w:rsidP="002B3666">
      <w:pPr>
        <w:bidi/>
        <w:rPr>
          <w:rFonts w:ascii="Traditional Arabic" w:hAnsi="Traditional Arabic" w:cs="Traditional Arabic"/>
          <w:sz w:val="28"/>
          <w:szCs w:val="28"/>
          <w:rtl/>
        </w:rPr>
      </w:pPr>
    </w:p>
    <w:p w14:paraId="30056EC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تحية طيبة وبعد،</w:t>
      </w:r>
    </w:p>
    <w:p w14:paraId="5B773722" w14:textId="77777777" w:rsidR="002B3666" w:rsidRPr="00386BAD" w:rsidRDefault="002B3666" w:rsidP="002B3666">
      <w:pPr>
        <w:bidi/>
        <w:rPr>
          <w:rFonts w:ascii="Traditional Arabic" w:hAnsi="Traditional Arabic" w:cs="Traditional Arabic"/>
          <w:sz w:val="28"/>
          <w:szCs w:val="28"/>
          <w:rtl/>
        </w:rPr>
      </w:pPr>
    </w:p>
    <w:p w14:paraId="078AFCB4"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14:paraId="7A0D47B3"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14:paraId="6A8494B6"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14:paraId="7B49FF87"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14:paraId="60DCD01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شاكرين لكم تعاونكم ومساهمتكم في إنجاح هذه الدراسة</w:t>
      </w:r>
      <w:r w:rsidRPr="00386BAD">
        <w:rPr>
          <w:rFonts w:ascii="Traditional Arabic" w:hAnsi="Traditional Arabic" w:cs="Traditional Arabic"/>
          <w:sz w:val="28"/>
          <w:szCs w:val="28"/>
          <w:lang w:val="en-US"/>
        </w:rPr>
        <w:t>.</w:t>
      </w:r>
    </w:p>
    <w:p w14:paraId="1227A127" w14:textId="77777777" w:rsidR="002B3666" w:rsidRPr="00386BAD" w:rsidRDefault="002B3666" w:rsidP="002B3666">
      <w:pPr>
        <w:bidi/>
        <w:rPr>
          <w:rFonts w:ascii="Traditional Arabic" w:hAnsi="Traditional Arabic" w:cs="Traditional Arabic"/>
          <w:sz w:val="28"/>
          <w:szCs w:val="28"/>
          <w:rtl/>
        </w:rPr>
      </w:pPr>
    </w:p>
    <w:p w14:paraId="155E21BF" w14:textId="77777777"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14:paraId="5741684A" w14:textId="77777777" w:rsidR="007A6619" w:rsidRPr="00386BAD" w:rsidRDefault="007A6619" w:rsidP="007A6619">
      <w:pPr>
        <w:bidi/>
        <w:rPr>
          <w:rFonts w:ascii="Traditional Arabic" w:hAnsi="Traditional Arabic" w:cs="Traditional Arabic"/>
          <w:sz w:val="28"/>
          <w:szCs w:val="28"/>
          <w:rtl/>
          <w:lang w:val="en-US" w:bidi="ar-AE"/>
        </w:rPr>
      </w:pPr>
    </w:p>
    <w:p w14:paraId="034AB8CD"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14:paraId="64A042BF"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يرجى وضع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14:paraId="56C6139D" w14:textId="77777777" w:rsidTr="007051FE">
        <w:tc>
          <w:tcPr>
            <w:tcW w:w="226" w:type="pct"/>
            <w:shd w:val="clear" w:color="auto" w:fill="F79646" w:themeFill="accent6"/>
            <w:hideMark/>
          </w:tcPr>
          <w:p w14:paraId="732D9505"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14:paraId="36BAC66C"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14:paraId="365ADC66"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14:paraId="10B99AE8" w14:textId="77777777" w:rsidTr="007051FE">
        <w:tc>
          <w:tcPr>
            <w:tcW w:w="226" w:type="pct"/>
            <w:hideMark/>
          </w:tcPr>
          <w:p w14:paraId="07EB50B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14:paraId="69845EC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14:paraId="16352ADA"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14:paraId="04A4E7B6" w14:textId="77777777" w:rsidTr="007051FE">
        <w:tc>
          <w:tcPr>
            <w:tcW w:w="226" w:type="pct"/>
            <w:hideMark/>
          </w:tcPr>
          <w:p w14:paraId="3B78621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14:paraId="1458D65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المؤهل العلمي</w:t>
            </w:r>
          </w:p>
        </w:tc>
        <w:tc>
          <w:tcPr>
            <w:tcW w:w="4033" w:type="pct"/>
            <w:hideMark/>
          </w:tcPr>
          <w:p w14:paraId="2F239F5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دبلوم</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14:paraId="6E34D229" w14:textId="77777777" w:rsidTr="007051FE">
        <w:tc>
          <w:tcPr>
            <w:tcW w:w="226" w:type="pct"/>
            <w:hideMark/>
          </w:tcPr>
          <w:p w14:paraId="4559E471"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14:paraId="249DAD27"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14:paraId="50086C70"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أقل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14:paraId="4404C5DD" w14:textId="77777777" w:rsidTr="007051FE">
        <w:tc>
          <w:tcPr>
            <w:tcW w:w="226" w:type="pct"/>
            <w:hideMark/>
          </w:tcPr>
          <w:p w14:paraId="7B6F680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14:paraId="7BF7AFFB"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14:paraId="68273AB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14:paraId="06279664" w14:textId="77777777" w:rsidR="002B3666" w:rsidRPr="00386BAD" w:rsidRDefault="002B3666" w:rsidP="002B3666">
      <w:pPr>
        <w:bidi/>
        <w:rPr>
          <w:rtl/>
          <w:lang w:val="en-US" w:bidi="ar-AE"/>
        </w:rPr>
      </w:pPr>
    </w:p>
    <w:p w14:paraId="37C12B68" w14:textId="77777777" w:rsidR="002B3666" w:rsidRPr="00386BAD" w:rsidRDefault="002B3666" w:rsidP="002B3666">
      <w:pPr>
        <w:bidi/>
        <w:rPr>
          <w:rtl/>
          <w:lang w:val="en-US"/>
        </w:rPr>
      </w:pPr>
    </w:p>
    <w:p w14:paraId="08AB0DA6" w14:textId="77777777"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14:paraId="25375D1E" w14:textId="77777777"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يرجى وضع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14:paraId="34802CDF" w14:textId="77777777" w:rsidTr="007A6619">
        <w:tc>
          <w:tcPr>
            <w:tcW w:w="355" w:type="pct"/>
            <w:gridSpan w:val="2"/>
            <w:shd w:val="clear" w:color="auto" w:fill="F79646" w:themeFill="accent6"/>
            <w:hideMark/>
          </w:tcPr>
          <w:p w14:paraId="57FC0A22"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14:paraId="7B1DAA11"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14:paraId="3C1247B6"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14:paraId="2455DC9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14:paraId="0CFBA38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14:paraId="2CBC7D3B"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لا أوافق (2)</w:t>
            </w:r>
          </w:p>
        </w:tc>
        <w:tc>
          <w:tcPr>
            <w:tcW w:w="426" w:type="pct"/>
            <w:shd w:val="clear" w:color="auto" w:fill="F79646" w:themeFill="accent6"/>
            <w:hideMark/>
          </w:tcPr>
          <w:p w14:paraId="561D1374"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لا أوافق بشدة  (1)</w:t>
            </w:r>
          </w:p>
        </w:tc>
      </w:tr>
      <w:tr w:rsidR="002B3666" w:rsidRPr="00386BAD" w14:paraId="04D6EC85" w14:textId="77777777" w:rsidTr="007051FE">
        <w:tc>
          <w:tcPr>
            <w:tcW w:w="5000" w:type="pct"/>
            <w:gridSpan w:val="8"/>
            <w:shd w:val="clear" w:color="auto" w:fill="4BACC6" w:themeFill="accent5"/>
            <w:hideMark/>
          </w:tcPr>
          <w:p w14:paraId="344637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أولاً: الصيانة الوقائية</w:t>
            </w:r>
          </w:p>
        </w:tc>
      </w:tr>
      <w:tr w:rsidR="007A6619" w:rsidRPr="00386BAD" w14:paraId="6EE7C998" w14:textId="77777777" w:rsidTr="007A6619">
        <w:tc>
          <w:tcPr>
            <w:tcW w:w="355" w:type="pct"/>
            <w:gridSpan w:val="2"/>
            <w:hideMark/>
          </w:tcPr>
          <w:p w14:paraId="443C5D4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14:paraId="5AD2E75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14:paraId="68012B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FDC77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7D3AA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4E09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2D2DFF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643BDCD" w14:textId="77777777" w:rsidTr="007A6619">
        <w:tc>
          <w:tcPr>
            <w:tcW w:w="355" w:type="pct"/>
            <w:gridSpan w:val="2"/>
            <w:hideMark/>
          </w:tcPr>
          <w:p w14:paraId="4D2DC08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14:paraId="6F3F288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استبدال بعض مكونات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14:paraId="65035D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D1C2F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D68216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D5E84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F3D85D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F47071D" w14:textId="77777777" w:rsidTr="007A6619">
        <w:tc>
          <w:tcPr>
            <w:tcW w:w="355" w:type="pct"/>
            <w:gridSpan w:val="2"/>
            <w:hideMark/>
          </w:tcPr>
          <w:p w14:paraId="7FD54C9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14:paraId="34E93FD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متابعة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7343BB8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87D22E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3AFAB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5454D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EC10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723950C" w14:textId="77777777" w:rsidTr="007A6619">
        <w:tc>
          <w:tcPr>
            <w:tcW w:w="355" w:type="pct"/>
            <w:gridSpan w:val="2"/>
            <w:hideMark/>
          </w:tcPr>
          <w:p w14:paraId="02E8AD3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14:paraId="3348F97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14:paraId="1197C4D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66859A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454AA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E4F8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C4D939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A25767F" w14:textId="77777777" w:rsidTr="007A6619">
        <w:tc>
          <w:tcPr>
            <w:tcW w:w="355" w:type="pct"/>
            <w:gridSpan w:val="2"/>
            <w:hideMark/>
          </w:tcPr>
          <w:p w14:paraId="4B199FA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14:paraId="310E057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14:paraId="01F534A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6F18C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BA9418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42EB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D56130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3FFF9F1" w14:textId="77777777" w:rsidTr="007A6619">
        <w:tc>
          <w:tcPr>
            <w:tcW w:w="355" w:type="pct"/>
            <w:gridSpan w:val="2"/>
            <w:hideMark/>
          </w:tcPr>
          <w:p w14:paraId="7A3FB66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6</w:t>
            </w:r>
          </w:p>
        </w:tc>
        <w:tc>
          <w:tcPr>
            <w:tcW w:w="2516" w:type="pct"/>
            <w:hideMark/>
          </w:tcPr>
          <w:p w14:paraId="7944BC0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تدريب الكادر الفني بعد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14:paraId="5CEEE8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5452F15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D01A4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305DDB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17D2D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6E45BB7" w14:textId="77777777" w:rsidTr="007A6619">
        <w:tc>
          <w:tcPr>
            <w:tcW w:w="355" w:type="pct"/>
            <w:gridSpan w:val="2"/>
            <w:hideMark/>
          </w:tcPr>
          <w:p w14:paraId="2E244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14:paraId="41C75EE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14:paraId="18904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311569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34F2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4D90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1459E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3F2F200" w14:textId="77777777" w:rsidTr="007051FE">
        <w:tc>
          <w:tcPr>
            <w:tcW w:w="5000" w:type="pct"/>
            <w:gridSpan w:val="8"/>
            <w:shd w:val="clear" w:color="auto" w:fill="4BACC6" w:themeFill="accent5"/>
            <w:hideMark/>
          </w:tcPr>
          <w:p w14:paraId="019F364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14:paraId="12FE50D4" w14:textId="77777777" w:rsidTr="007A6619">
        <w:tc>
          <w:tcPr>
            <w:tcW w:w="355" w:type="pct"/>
            <w:gridSpan w:val="2"/>
            <w:hideMark/>
          </w:tcPr>
          <w:p w14:paraId="2A3AD58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14:paraId="2E1E4DB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14:paraId="5B98761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2F73FE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25C2C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51D8C6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9A1106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939B334" w14:textId="77777777" w:rsidTr="007A6619">
        <w:tc>
          <w:tcPr>
            <w:tcW w:w="355" w:type="pct"/>
            <w:gridSpan w:val="2"/>
            <w:hideMark/>
          </w:tcPr>
          <w:p w14:paraId="416F849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14:paraId="6E3EA22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14:paraId="73E03B7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570B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264905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018C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1724E7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ED5F3D1" w14:textId="77777777" w:rsidTr="007A6619">
        <w:tc>
          <w:tcPr>
            <w:tcW w:w="355" w:type="pct"/>
            <w:gridSpan w:val="2"/>
            <w:hideMark/>
          </w:tcPr>
          <w:p w14:paraId="459CA8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14:paraId="2601FBC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14:paraId="3524E61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639B26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213189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1A3D0D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490B7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D4802E0" w14:textId="77777777" w:rsidTr="007A6619">
        <w:tc>
          <w:tcPr>
            <w:tcW w:w="355" w:type="pct"/>
            <w:gridSpan w:val="2"/>
            <w:hideMark/>
          </w:tcPr>
          <w:p w14:paraId="70F7A51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14:paraId="6786440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متابعة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24ED333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AD36B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BCDEEC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64DED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68FFF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936F2A9" w14:textId="77777777" w:rsidTr="007A6619">
        <w:tc>
          <w:tcPr>
            <w:tcW w:w="355" w:type="pct"/>
            <w:gridSpan w:val="2"/>
            <w:hideMark/>
          </w:tcPr>
          <w:p w14:paraId="1EA2F71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14:paraId="6CECD05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14:paraId="5400936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523F0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EDB76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45138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AEF4BA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B78633" w14:textId="77777777" w:rsidTr="007A6619">
        <w:tc>
          <w:tcPr>
            <w:tcW w:w="355" w:type="pct"/>
            <w:gridSpan w:val="2"/>
            <w:hideMark/>
          </w:tcPr>
          <w:p w14:paraId="1C07E37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14:paraId="75ADE3D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أجهزة استشعار أو تقنيات ذكية لمراقبة حالة الأجهزة</w:t>
            </w:r>
            <w:r w:rsidRPr="00386BAD">
              <w:rPr>
                <w:rFonts w:ascii="Traditional Arabic" w:hAnsi="Traditional Arabic" w:cs="Traditional Arabic"/>
                <w:sz w:val="28"/>
                <w:szCs w:val="28"/>
                <w:lang w:val="en-US" w:bidi="ar-AE"/>
              </w:rPr>
              <w:t>.</w:t>
            </w:r>
          </w:p>
        </w:tc>
        <w:tc>
          <w:tcPr>
            <w:tcW w:w="444" w:type="pct"/>
            <w:hideMark/>
          </w:tcPr>
          <w:p w14:paraId="2B0A44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3F413C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5A8D6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37C2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B4002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0804C4A" w14:textId="77777777" w:rsidTr="007A6619">
        <w:tc>
          <w:tcPr>
            <w:tcW w:w="355" w:type="pct"/>
            <w:gridSpan w:val="2"/>
            <w:hideMark/>
          </w:tcPr>
          <w:p w14:paraId="08A440A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14:paraId="2051E0C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14:paraId="0028E10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B4E706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B3A567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812F21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9DD0E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6B78CA41" w14:textId="77777777" w:rsidTr="007051FE">
        <w:tc>
          <w:tcPr>
            <w:tcW w:w="5000" w:type="pct"/>
            <w:gridSpan w:val="8"/>
            <w:shd w:val="clear" w:color="auto" w:fill="4BACC6" w:themeFill="accent5"/>
            <w:hideMark/>
          </w:tcPr>
          <w:p w14:paraId="74FB65A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14:paraId="3C042C66" w14:textId="77777777" w:rsidTr="007A6619">
        <w:tc>
          <w:tcPr>
            <w:tcW w:w="355" w:type="pct"/>
            <w:gridSpan w:val="2"/>
            <w:hideMark/>
          </w:tcPr>
          <w:p w14:paraId="13F41E2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14:paraId="1736298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14:paraId="13E39B4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C7A81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F892D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C9FFCE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0B6B32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F070F35" w14:textId="77777777" w:rsidTr="007A6619">
        <w:tc>
          <w:tcPr>
            <w:tcW w:w="355" w:type="pct"/>
            <w:gridSpan w:val="2"/>
            <w:hideMark/>
          </w:tcPr>
          <w:p w14:paraId="07280C3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14:paraId="266A491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للأجهزة في تقليل وقت انتظار المرضى</w:t>
            </w:r>
            <w:r w:rsidRPr="00386BAD">
              <w:rPr>
                <w:rFonts w:ascii="Traditional Arabic" w:hAnsi="Traditional Arabic" w:cs="Traditional Arabic"/>
                <w:sz w:val="28"/>
                <w:szCs w:val="28"/>
                <w:lang w:val="en-US" w:bidi="ar-AE"/>
              </w:rPr>
              <w:t>.</w:t>
            </w:r>
          </w:p>
        </w:tc>
        <w:tc>
          <w:tcPr>
            <w:tcW w:w="444" w:type="pct"/>
            <w:hideMark/>
          </w:tcPr>
          <w:p w14:paraId="5681E0E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F9DBB9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1322F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D5FA7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9A236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B14355D" w14:textId="77777777" w:rsidTr="007A6619">
        <w:tc>
          <w:tcPr>
            <w:tcW w:w="355" w:type="pct"/>
            <w:gridSpan w:val="2"/>
            <w:hideMark/>
          </w:tcPr>
          <w:p w14:paraId="7CDF50A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14:paraId="1E26D0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14:paraId="52157A8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0B2E1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0F505E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2F009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DACD9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5B304E" w14:textId="77777777" w:rsidTr="007A6619">
        <w:tc>
          <w:tcPr>
            <w:tcW w:w="355" w:type="pct"/>
            <w:gridSpan w:val="2"/>
            <w:hideMark/>
          </w:tcPr>
          <w:p w14:paraId="31501C7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14:paraId="69608F0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14:paraId="385B767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7DD00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47B95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4157ED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7B0B6A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5449D39" w14:textId="77777777" w:rsidTr="007A6619">
        <w:tc>
          <w:tcPr>
            <w:tcW w:w="355" w:type="pct"/>
            <w:gridSpan w:val="2"/>
            <w:hideMark/>
          </w:tcPr>
          <w:p w14:paraId="3258F6E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14:paraId="1A03E7B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14:paraId="22DD000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3567D8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81BA43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771C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F97FFF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B9BB022" w14:textId="77777777" w:rsidTr="007051FE">
        <w:tc>
          <w:tcPr>
            <w:tcW w:w="5000" w:type="pct"/>
            <w:gridSpan w:val="8"/>
            <w:shd w:val="clear" w:color="auto" w:fill="4BACC6" w:themeFill="accent5"/>
            <w:hideMark/>
          </w:tcPr>
          <w:p w14:paraId="4450676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سلامة المرضى</w:t>
            </w:r>
          </w:p>
        </w:tc>
      </w:tr>
      <w:tr w:rsidR="007A6619" w:rsidRPr="00386BAD" w14:paraId="571E62C1" w14:textId="77777777" w:rsidTr="007A6619">
        <w:tc>
          <w:tcPr>
            <w:tcW w:w="355" w:type="pct"/>
            <w:gridSpan w:val="2"/>
            <w:hideMark/>
          </w:tcPr>
          <w:p w14:paraId="7EC100C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14:paraId="4D470EB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14:paraId="3A0C15E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B081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A52C20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3EA9AA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A3CBCA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B7E57D0" w14:textId="77777777" w:rsidTr="007A6619">
        <w:tc>
          <w:tcPr>
            <w:tcW w:w="355" w:type="pct"/>
            <w:gridSpan w:val="2"/>
            <w:hideMark/>
          </w:tcPr>
          <w:p w14:paraId="43BF6B4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14:paraId="2182F1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تقلل الصيانة المنتظمة من مخاطر الأعطال أثناء استخدام الأجهزة الطبية</w:t>
            </w:r>
            <w:r w:rsidRPr="00386BAD">
              <w:rPr>
                <w:rFonts w:ascii="Traditional Arabic" w:hAnsi="Traditional Arabic" w:cs="Traditional Arabic"/>
                <w:sz w:val="28"/>
                <w:szCs w:val="28"/>
                <w:lang w:val="en-US" w:bidi="ar-AE"/>
              </w:rPr>
              <w:t>.</w:t>
            </w:r>
          </w:p>
        </w:tc>
        <w:tc>
          <w:tcPr>
            <w:tcW w:w="444" w:type="pct"/>
            <w:hideMark/>
          </w:tcPr>
          <w:p w14:paraId="37827C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40009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08BD9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02870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A7AFE6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CADFBC6" w14:textId="77777777" w:rsidTr="007A6619">
        <w:tc>
          <w:tcPr>
            <w:tcW w:w="355" w:type="pct"/>
            <w:gridSpan w:val="2"/>
            <w:hideMark/>
          </w:tcPr>
          <w:p w14:paraId="48FB96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14:paraId="76D291C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14:paraId="072F2CD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7D86B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49F2D3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995616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2C78E6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2A47A98" w14:textId="77777777" w:rsidTr="007A6619">
        <w:tc>
          <w:tcPr>
            <w:tcW w:w="355" w:type="pct"/>
            <w:gridSpan w:val="2"/>
            <w:hideMark/>
          </w:tcPr>
          <w:p w14:paraId="19A0C14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14:paraId="4723C5A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14:paraId="4262004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4B1FD4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4FA5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7FA0C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04719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7D70AF9" w14:textId="77777777" w:rsidTr="007A6619">
        <w:tc>
          <w:tcPr>
            <w:tcW w:w="355" w:type="pct"/>
            <w:gridSpan w:val="2"/>
            <w:hideMark/>
          </w:tcPr>
          <w:p w14:paraId="2AFFFE7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14:paraId="39D1448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14:paraId="2C3F35E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003BB9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A40F73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9598F0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BD14F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1F7E4902" w14:textId="77777777" w:rsidTr="007051FE">
        <w:tc>
          <w:tcPr>
            <w:tcW w:w="5000" w:type="pct"/>
            <w:gridSpan w:val="8"/>
            <w:shd w:val="clear" w:color="auto" w:fill="4BACC6" w:themeFill="accent5"/>
            <w:hideMark/>
          </w:tcPr>
          <w:p w14:paraId="6FCCD11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تقليل تأجيل العمليات والخدمات</w:t>
            </w:r>
          </w:p>
        </w:tc>
      </w:tr>
      <w:tr w:rsidR="007A6619" w:rsidRPr="00386BAD" w14:paraId="57C1C50F" w14:textId="77777777" w:rsidTr="007A6619">
        <w:tc>
          <w:tcPr>
            <w:tcW w:w="345" w:type="pct"/>
            <w:hideMark/>
          </w:tcPr>
          <w:p w14:paraId="4AC389B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14:paraId="4A8665C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14:paraId="20FC582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BCE41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2BE744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F8024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20653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F6955F2" w14:textId="77777777" w:rsidTr="007A6619">
        <w:tc>
          <w:tcPr>
            <w:tcW w:w="345" w:type="pct"/>
            <w:hideMark/>
          </w:tcPr>
          <w:p w14:paraId="3FB1BE4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14:paraId="20DE280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14:paraId="05B253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545053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3E4BA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8D8BB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D9F32B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94BE223" w14:textId="77777777" w:rsidTr="007A6619">
        <w:tc>
          <w:tcPr>
            <w:tcW w:w="345" w:type="pct"/>
            <w:hideMark/>
          </w:tcPr>
          <w:p w14:paraId="7712F8F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14:paraId="2DE6A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14:paraId="05A435E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7B4BD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BDB93B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1BFBA1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52C49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E488135" w14:textId="77777777" w:rsidTr="007A6619">
        <w:tc>
          <w:tcPr>
            <w:tcW w:w="345" w:type="pct"/>
            <w:hideMark/>
          </w:tcPr>
          <w:p w14:paraId="6F2F55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14:paraId="05EBE72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في تقليل توقف الأجهزة أثناء العمل</w:t>
            </w:r>
            <w:r w:rsidRPr="00386BAD">
              <w:rPr>
                <w:rFonts w:ascii="Traditional Arabic" w:hAnsi="Traditional Arabic" w:cs="Traditional Arabic"/>
                <w:sz w:val="28"/>
                <w:szCs w:val="28"/>
                <w:lang w:val="en-US" w:bidi="ar-AE"/>
              </w:rPr>
              <w:t>.</w:t>
            </w:r>
          </w:p>
        </w:tc>
        <w:tc>
          <w:tcPr>
            <w:tcW w:w="444" w:type="pct"/>
            <w:hideMark/>
          </w:tcPr>
          <w:p w14:paraId="460E6B9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242B6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461531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4BDE2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9A374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E6DEA70" w14:textId="77777777" w:rsidTr="007A6619">
        <w:tc>
          <w:tcPr>
            <w:tcW w:w="345" w:type="pct"/>
            <w:hideMark/>
          </w:tcPr>
          <w:p w14:paraId="2E9187E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14:paraId="20166A0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14:paraId="16ED62B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BF18CE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B671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31D1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83D30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bl>
    <w:p w14:paraId="09C7BE75" w14:textId="77777777" w:rsidR="002B3666" w:rsidRPr="00386BAD" w:rsidRDefault="002B3666" w:rsidP="002B3666">
      <w:pPr>
        <w:bidi/>
        <w:rPr>
          <w:rtl/>
          <w:lang w:val="en-US" w:bidi="ar-AE"/>
        </w:rPr>
      </w:pPr>
    </w:p>
    <w:p w14:paraId="4EE2340B" w14:textId="77777777" w:rsidR="002B3666" w:rsidRPr="003D7493" w:rsidRDefault="007A6619" w:rsidP="007A6619">
      <w:pPr>
        <w:bidi/>
        <w:jc w:val="center"/>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bidi="ar-AE"/>
        </w:rPr>
        <w:t>شاكرين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14:paraId="56F363E9" w14:textId="77777777" w:rsidR="00242DEB" w:rsidRDefault="00242DEB" w:rsidP="00386BAD">
      <w:pPr>
        <w:bidi/>
        <w:spacing w:line="360" w:lineRule="auto"/>
        <w:rPr>
          <w:rFonts w:ascii="Traditional Arabic" w:hAnsi="Traditional Arabic" w:cs="Traditional Arabic"/>
          <w:b/>
          <w:bCs/>
          <w:sz w:val="40"/>
          <w:szCs w:val="40"/>
          <w:rtl/>
          <w:lang w:val="en-US"/>
        </w:rPr>
      </w:pPr>
    </w:p>
    <w:p w14:paraId="524CBA49" w14:textId="77777777" w:rsidR="00242DEB" w:rsidRDefault="00242DEB" w:rsidP="00242DEB">
      <w:pPr>
        <w:bidi/>
        <w:spacing w:line="360" w:lineRule="auto"/>
        <w:rPr>
          <w:rFonts w:ascii="Traditional Arabic" w:hAnsi="Traditional Arabic" w:cs="Traditional Arabic"/>
          <w:b/>
          <w:bCs/>
          <w:sz w:val="40"/>
          <w:szCs w:val="40"/>
          <w:rtl/>
          <w:lang w:val="en-US"/>
        </w:rPr>
      </w:pPr>
    </w:p>
    <w:p w14:paraId="649357C9" w14:textId="77777777" w:rsidR="00242DEB" w:rsidRDefault="00242DEB" w:rsidP="00242DEB">
      <w:pPr>
        <w:bidi/>
        <w:spacing w:line="360" w:lineRule="auto"/>
        <w:rPr>
          <w:rFonts w:ascii="Traditional Arabic" w:hAnsi="Traditional Arabic" w:cs="Traditional Arabic"/>
          <w:b/>
          <w:bCs/>
          <w:sz w:val="40"/>
          <w:szCs w:val="40"/>
          <w:rtl/>
          <w:lang w:val="en-US"/>
        </w:rPr>
      </w:pPr>
    </w:p>
    <w:p w14:paraId="039BAEFD" w14:textId="77777777" w:rsidR="00242DEB" w:rsidRDefault="00242DEB" w:rsidP="00242DEB">
      <w:pPr>
        <w:bidi/>
        <w:spacing w:line="360" w:lineRule="auto"/>
        <w:rPr>
          <w:rFonts w:ascii="Traditional Arabic" w:hAnsi="Traditional Arabic" w:cs="Traditional Arabic"/>
          <w:b/>
          <w:bCs/>
          <w:sz w:val="40"/>
          <w:szCs w:val="40"/>
          <w:rtl/>
          <w:lang w:val="en-US"/>
        </w:rPr>
      </w:pPr>
    </w:p>
    <w:p w14:paraId="0694C1C8" w14:textId="77777777"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أولاً: التبرير الخاص بالملاحظة التاسعة</w:t>
      </w:r>
    </w:p>
    <w:p w14:paraId="13DACD0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14:paraId="4BF8684C"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إجراء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14:paraId="13C614E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التبرير العلمي</w:t>
      </w:r>
      <w:r w:rsidRPr="00386BAD">
        <w:rPr>
          <w:rFonts w:ascii="Traditional Arabic" w:hAnsi="Traditional Arabic" w:cs="Traditional Arabic"/>
          <w:b/>
          <w:bCs/>
          <w:sz w:val="40"/>
          <w:szCs w:val="40"/>
          <w:lang w:val="en-US"/>
        </w:rPr>
        <w:t>:</w:t>
      </w:r>
    </w:p>
    <w:p w14:paraId="311C03CF"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وبناءً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14:paraId="1ACAF0A5" w14:textId="77777777" w:rsidR="00386BAD" w:rsidRPr="00386BAD" w:rsidRDefault="00386BAD" w:rsidP="00386BAD">
      <w:pPr>
        <w:bidi/>
        <w:spacing w:line="360" w:lineRule="auto"/>
        <w:rPr>
          <w:rFonts w:ascii="Traditional Arabic" w:hAnsi="Traditional Arabic" w:cs="Traditional Arabic"/>
          <w:b/>
          <w:bCs/>
          <w:sz w:val="40"/>
          <w:szCs w:val="40"/>
          <w:lang w:val="en-US"/>
        </w:rPr>
      </w:pPr>
    </w:p>
    <w:p w14:paraId="767EB89D"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ثانياً: التبرير الخاص بالملاحظة العاشرة</w:t>
      </w:r>
    </w:p>
    <w:p w14:paraId="767D549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14:paraId="41234B45"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14:paraId="020B803E"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التبرير العلمي</w:t>
      </w:r>
      <w:r w:rsidRPr="00386BAD">
        <w:rPr>
          <w:rFonts w:ascii="Traditional Arabic" w:hAnsi="Traditional Arabic" w:cs="Traditional Arabic"/>
          <w:b/>
          <w:bCs/>
          <w:sz w:val="40"/>
          <w:szCs w:val="40"/>
          <w:lang w:val="en-US"/>
        </w:rPr>
        <w:t>:</w:t>
      </w:r>
    </w:p>
    <w:p w14:paraId="0E438CC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المتغيرات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14:paraId="507BDE3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8-24T16:41:00Z" w:initials="K">
    <w:p w14:paraId="19B39C33" w14:textId="77777777" w:rsidR="005C0036" w:rsidRDefault="005C0036">
      <w:pPr>
        <w:pStyle w:val="ab"/>
        <w:rPr>
          <w:rtl/>
        </w:rPr>
      </w:pPr>
      <w:r>
        <w:rPr>
          <w:rStyle w:val="aa"/>
        </w:rPr>
        <w:annotationRef/>
      </w:r>
      <w:r>
        <w:rPr>
          <w:rFonts w:hint="cs"/>
          <w:rtl/>
        </w:rPr>
        <w:t xml:space="preserve">هذا الترقيم لا يتلائم مع الترقيم الرئيسي </w:t>
      </w:r>
    </w:p>
    <w:p w14:paraId="39B43712" w14:textId="2EC6A66F" w:rsidR="005C0036" w:rsidRPr="005C0036" w:rsidRDefault="005C0036">
      <w:pPr>
        <w:pStyle w:val="ab"/>
        <w:rPr>
          <w:rFonts w:hint="cs"/>
          <w:rtl/>
          <w:lang w:val="en-US"/>
        </w:rPr>
      </w:pPr>
    </w:p>
  </w:comment>
  <w:comment w:id="1" w:author="A" w:date="2026-08-24T16:59:00Z" w:initials="K">
    <w:p w14:paraId="058B05D4" w14:textId="77777777" w:rsidR="00F516A0" w:rsidRDefault="00F516A0">
      <w:pPr>
        <w:pStyle w:val="ab"/>
        <w:rPr>
          <w:rtl/>
        </w:rPr>
      </w:pPr>
      <w:r>
        <w:rPr>
          <w:rStyle w:val="aa"/>
        </w:rPr>
        <w:annotationRef/>
      </w:r>
      <w:r>
        <w:rPr>
          <w:rFonts w:hint="cs"/>
          <w:rtl/>
        </w:rPr>
        <w:t xml:space="preserve">يجب ان ينقل هذا الاختبار الى الجزء الخاص باختبار الفروض </w:t>
      </w:r>
    </w:p>
    <w:p w14:paraId="449CB9FC" w14:textId="77777777" w:rsidR="00F516A0" w:rsidRDefault="00F516A0">
      <w:pPr>
        <w:pStyle w:val="ab"/>
        <w:rPr>
          <w:rtl/>
        </w:rPr>
      </w:pPr>
      <w:r>
        <w:rPr>
          <w:rFonts w:hint="cs"/>
          <w:rtl/>
        </w:rPr>
        <w:t xml:space="preserve">وياتي بعد اختبار الفرض الأخير </w:t>
      </w:r>
    </w:p>
    <w:p w14:paraId="728FE995" w14:textId="410A629F" w:rsidR="00F516A0" w:rsidRDefault="00F516A0">
      <w:pPr>
        <w:pStyle w:val="ab"/>
      </w:pPr>
    </w:p>
  </w:comment>
  <w:comment w:id="2" w:author="A" w:date="2026-08-24T16:55:00Z" w:initials="K">
    <w:p w14:paraId="51640484" w14:textId="77777777" w:rsidR="00F516A0" w:rsidRDefault="00F516A0">
      <w:pPr>
        <w:pStyle w:val="ab"/>
        <w:rPr>
          <w:rtl/>
        </w:rPr>
      </w:pPr>
      <w:r>
        <w:rPr>
          <w:rStyle w:val="aa"/>
        </w:rPr>
        <w:annotationRef/>
      </w:r>
      <w:r>
        <w:rPr>
          <w:rFonts w:hint="cs"/>
          <w:rtl/>
        </w:rPr>
        <w:t xml:space="preserve">في هذا الفرض يجب اختبار استخدام تحليل الانحدار المتعدد </w:t>
      </w:r>
    </w:p>
    <w:p w14:paraId="1841F287" w14:textId="77777777" w:rsidR="00F516A0" w:rsidRDefault="00F516A0">
      <w:pPr>
        <w:pStyle w:val="ab"/>
        <w:rPr>
          <w:rtl/>
        </w:rPr>
      </w:pPr>
      <w:r>
        <w:rPr>
          <w:rFonts w:hint="cs"/>
          <w:rtl/>
        </w:rPr>
        <w:t xml:space="preserve">لان جودة الرعاية الصحية مكونة من ثلاث ابعاد </w:t>
      </w:r>
    </w:p>
    <w:p w14:paraId="2D9FECCD" w14:textId="0192A9FC" w:rsidR="00F516A0" w:rsidRDefault="00F516A0">
      <w:pPr>
        <w:pStyle w:val="ab"/>
      </w:pPr>
      <w:r>
        <w:rPr>
          <w:rFonts w:hint="cs"/>
          <w:rtl/>
        </w:rPr>
        <w:t xml:space="preserve">وهذا ينطبق على الفرض الرئيس الثاني </w:t>
      </w:r>
    </w:p>
  </w:comment>
  <w:comment w:id="3" w:author="A" w:date="2026-08-24T17:11:00Z" w:initials="K">
    <w:p w14:paraId="54169BAA" w14:textId="77777777" w:rsidR="00812447" w:rsidRDefault="00812447">
      <w:pPr>
        <w:pStyle w:val="ab"/>
        <w:rPr>
          <w:rtl/>
        </w:rPr>
      </w:pPr>
      <w:r>
        <w:rPr>
          <w:rStyle w:val="aa"/>
        </w:rPr>
        <w:annotationRef/>
      </w:r>
      <w:r>
        <w:rPr>
          <w:rFonts w:hint="cs"/>
          <w:rtl/>
        </w:rPr>
        <w:t xml:space="preserve">يجب ان يقارن هنا الباحث بين الصيانة التنبؤية والصيانة الوقائية </w:t>
      </w:r>
    </w:p>
    <w:p w14:paraId="1153F6F1" w14:textId="58695234" w:rsidR="00812447" w:rsidRDefault="00812447">
      <w:pPr>
        <w:pStyle w:val="ab"/>
      </w:pPr>
      <w:r>
        <w:rPr>
          <w:rFonts w:hint="cs"/>
          <w:rtl/>
        </w:rPr>
        <w:t xml:space="preserve">في التعليق </w:t>
      </w:r>
    </w:p>
  </w:comment>
  <w:comment w:id="4" w:author="A" w:date="2026-08-24T17:02:00Z" w:initials="K">
    <w:p w14:paraId="61338DB0" w14:textId="77777777" w:rsidR="00812447" w:rsidRDefault="00812447">
      <w:pPr>
        <w:pStyle w:val="ab"/>
        <w:rPr>
          <w:rtl/>
        </w:rPr>
      </w:pPr>
      <w:r>
        <w:rPr>
          <w:rStyle w:val="aa"/>
        </w:rPr>
        <w:annotationRef/>
      </w:r>
      <w:r>
        <w:rPr>
          <w:rFonts w:hint="cs"/>
          <w:rtl/>
        </w:rPr>
        <w:t xml:space="preserve">هذا الرقم يتناقض مع الرقم الموجود في جدول 4 -19 </w:t>
      </w:r>
    </w:p>
    <w:p w14:paraId="07DA7871" w14:textId="577DD4A7" w:rsidR="00812447" w:rsidRDefault="00812447">
      <w:pPr>
        <w:pStyle w:val="ab"/>
        <w:rPr>
          <w:rFonts w:hint="cs"/>
          <w:rtl/>
        </w:rPr>
      </w:pPr>
      <w:r>
        <w:rPr>
          <w:rFonts w:hint="cs"/>
          <w:rtl/>
        </w:rPr>
        <w:t xml:space="preserve">يجب التأكد من صحة الرقم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B43712" w15:done="0"/>
  <w15:commentEx w15:paraId="728FE995" w15:done="0"/>
  <w15:commentEx w15:paraId="2D9FECCD" w15:done="0"/>
  <w15:commentEx w15:paraId="1153F6F1" w15:done="0"/>
  <w15:commentEx w15:paraId="07DA78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9BD693" w16cex:dateUtc="2026-08-24T12:41:00Z"/>
  <w16cex:commentExtensible w16cex:durableId="77047C2C" w16cex:dateUtc="2026-08-24T12:59:00Z"/>
  <w16cex:commentExtensible w16cex:durableId="2D565279" w16cex:dateUtc="2026-08-24T12:55:00Z"/>
  <w16cex:commentExtensible w16cex:durableId="750A564C" w16cex:dateUtc="2026-08-24T13:11:00Z"/>
  <w16cex:commentExtensible w16cex:durableId="0E52E601" w16cex:dateUtc="2026-08-24T13: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B43712" w16cid:durableId="409BD693"/>
  <w16cid:commentId w16cid:paraId="728FE995" w16cid:durableId="77047C2C"/>
  <w16cid:commentId w16cid:paraId="2D9FECCD" w16cid:durableId="2D565279"/>
  <w16cid:commentId w16cid:paraId="1153F6F1" w16cid:durableId="750A564C"/>
  <w16cid:commentId w16cid:paraId="07DA7871" w16cid:durableId="0E52E6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EE576" w14:textId="77777777" w:rsidR="00F81A78" w:rsidRDefault="00F81A78" w:rsidP="00BA6D4F">
      <w:pPr>
        <w:spacing w:after="0" w:line="240" w:lineRule="auto"/>
      </w:pPr>
      <w:r>
        <w:separator/>
      </w:r>
    </w:p>
  </w:endnote>
  <w:endnote w:type="continuationSeparator" w:id="0">
    <w:p w14:paraId="72E329BC" w14:textId="77777777" w:rsidR="00F81A78" w:rsidRDefault="00F81A78"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131746"/>
      <w:docPartObj>
        <w:docPartGallery w:val="Page Numbers (Bottom of Page)"/>
        <w:docPartUnique/>
      </w:docPartObj>
    </w:sdtPr>
    <w:sdtEndPr>
      <w:rPr>
        <w:noProof/>
      </w:rPr>
    </w:sdtEndPr>
    <w:sdtContent>
      <w:p w14:paraId="736DF88E" w14:textId="77777777" w:rsidR="00A407DC" w:rsidRDefault="00A407DC">
        <w:pPr>
          <w:pStyle w:val="a7"/>
          <w:jc w:val="center"/>
        </w:pPr>
        <w:r>
          <w:fldChar w:fldCharType="begin"/>
        </w:r>
        <w:r>
          <w:instrText xml:space="preserve"> PAGE   \* MERGEFORMAT </w:instrText>
        </w:r>
        <w:r>
          <w:fldChar w:fldCharType="separate"/>
        </w:r>
        <w:r w:rsidR="007D1E87">
          <w:rPr>
            <w:noProof/>
          </w:rPr>
          <w:t>97</w:t>
        </w:r>
        <w:r>
          <w:rPr>
            <w:noProof/>
          </w:rPr>
          <w:fldChar w:fldCharType="end"/>
        </w:r>
      </w:p>
    </w:sdtContent>
  </w:sdt>
  <w:p w14:paraId="5CE561BC" w14:textId="77777777" w:rsidR="00A407DC" w:rsidRDefault="00A407D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821260"/>
      <w:docPartObj>
        <w:docPartGallery w:val="Page Numbers (Bottom of Page)"/>
        <w:docPartUnique/>
      </w:docPartObj>
    </w:sdtPr>
    <w:sdtEndPr>
      <w:rPr>
        <w:noProof/>
      </w:rPr>
    </w:sdtEndPr>
    <w:sdtContent>
      <w:p w14:paraId="3A848581" w14:textId="77777777" w:rsidR="00A407DC" w:rsidRDefault="00A407DC">
        <w:pPr>
          <w:pStyle w:val="a7"/>
          <w:jc w:val="center"/>
        </w:pPr>
        <w:r>
          <w:fldChar w:fldCharType="begin"/>
        </w:r>
        <w:r>
          <w:instrText xml:space="preserve"> PAGE   \* MERGEFORMAT </w:instrText>
        </w:r>
        <w:r>
          <w:fldChar w:fldCharType="separate"/>
        </w:r>
        <w:r>
          <w:rPr>
            <w:noProof/>
          </w:rPr>
          <w:t>1</w:t>
        </w:r>
        <w:r>
          <w:rPr>
            <w:noProof/>
          </w:rPr>
          <w:fldChar w:fldCharType="end"/>
        </w:r>
      </w:p>
    </w:sdtContent>
  </w:sdt>
  <w:p w14:paraId="090279B6" w14:textId="77777777" w:rsidR="00A407DC" w:rsidRDefault="00A407D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41224" w14:textId="77777777" w:rsidR="00F81A78" w:rsidRDefault="00F81A78" w:rsidP="00BA6D4F">
      <w:pPr>
        <w:spacing w:after="0" w:line="240" w:lineRule="auto"/>
      </w:pPr>
      <w:r>
        <w:separator/>
      </w:r>
    </w:p>
  </w:footnote>
  <w:footnote w:type="continuationSeparator" w:id="0">
    <w:p w14:paraId="6E7F168C" w14:textId="77777777" w:rsidR="00F81A78" w:rsidRDefault="00F81A78" w:rsidP="00BA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01D9E"/>
    <w:multiLevelType w:val="hybridMultilevel"/>
    <w:tmpl w:val="CBA02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323A7"/>
    <w:multiLevelType w:val="hybridMultilevel"/>
    <w:tmpl w:val="95AA36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B80B33"/>
    <w:multiLevelType w:val="multilevel"/>
    <w:tmpl w:val="C242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DA7001"/>
    <w:multiLevelType w:val="hybridMultilevel"/>
    <w:tmpl w:val="BC22D7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835E8"/>
    <w:multiLevelType w:val="multilevel"/>
    <w:tmpl w:val="AB96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A188B"/>
    <w:multiLevelType w:val="hybridMultilevel"/>
    <w:tmpl w:val="2E6663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F434B"/>
    <w:multiLevelType w:val="multilevel"/>
    <w:tmpl w:val="985EE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4313874">
    <w:abstractNumId w:val="29"/>
  </w:num>
  <w:num w:numId="2" w16cid:durableId="1685595023">
    <w:abstractNumId w:val="30"/>
  </w:num>
  <w:num w:numId="3" w16cid:durableId="1364941367">
    <w:abstractNumId w:val="8"/>
  </w:num>
  <w:num w:numId="4" w16cid:durableId="2124419043">
    <w:abstractNumId w:val="14"/>
  </w:num>
  <w:num w:numId="5" w16cid:durableId="584995708">
    <w:abstractNumId w:val="3"/>
  </w:num>
  <w:num w:numId="6" w16cid:durableId="1484618256">
    <w:abstractNumId w:val="12"/>
  </w:num>
  <w:num w:numId="7" w16cid:durableId="731079994">
    <w:abstractNumId w:val="21"/>
  </w:num>
  <w:num w:numId="8" w16cid:durableId="771169752">
    <w:abstractNumId w:val="25"/>
  </w:num>
  <w:num w:numId="9" w16cid:durableId="790250148">
    <w:abstractNumId w:val="19"/>
  </w:num>
  <w:num w:numId="10" w16cid:durableId="2018992734">
    <w:abstractNumId w:val="7"/>
  </w:num>
  <w:num w:numId="11" w16cid:durableId="1325203747">
    <w:abstractNumId w:val="13"/>
  </w:num>
  <w:num w:numId="12" w16cid:durableId="836264936">
    <w:abstractNumId w:val="5"/>
  </w:num>
  <w:num w:numId="13" w16cid:durableId="1512987040">
    <w:abstractNumId w:val="2"/>
  </w:num>
  <w:num w:numId="14" w16cid:durableId="552422826">
    <w:abstractNumId w:val="26"/>
  </w:num>
  <w:num w:numId="15" w16cid:durableId="1654135491">
    <w:abstractNumId w:val="17"/>
  </w:num>
  <w:num w:numId="16" w16cid:durableId="354695150">
    <w:abstractNumId w:val="6"/>
  </w:num>
  <w:num w:numId="17" w16cid:durableId="368913820">
    <w:abstractNumId w:val="22"/>
  </w:num>
  <w:num w:numId="18" w16cid:durableId="33311799">
    <w:abstractNumId w:val="9"/>
  </w:num>
  <w:num w:numId="19" w16cid:durableId="1745957513">
    <w:abstractNumId w:val="4"/>
  </w:num>
  <w:num w:numId="20" w16cid:durableId="585070438">
    <w:abstractNumId w:val="0"/>
  </w:num>
  <w:num w:numId="21" w16cid:durableId="1092580459">
    <w:abstractNumId w:val="23"/>
  </w:num>
  <w:num w:numId="22" w16cid:durableId="1231110271">
    <w:abstractNumId w:val="16"/>
  </w:num>
  <w:num w:numId="23" w16cid:durableId="717824556">
    <w:abstractNumId w:val="27"/>
  </w:num>
  <w:num w:numId="24" w16cid:durableId="1476683971">
    <w:abstractNumId w:val="24"/>
  </w:num>
  <w:num w:numId="25" w16cid:durableId="97795304">
    <w:abstractNumId w:val="28"/>
  </w:num>
  <w:num w:numId="26" w16cid:durableId="163866224">
    <w:abstractNumId w:val="11"/>
  </w:num>
  <w:num w:numId="27" w16cid:durableId="801582255">
    <w:abstractNumId w:val="10"/>
  </w:num>
  <w:num w:numId="28" w16cid:durableId="1044864286">
    <w:abstractNumId w:val="18"/>
  </w:num>
  <w:num w:numId="29" w16cid:durableId="1488790752">
    <w:abstractNumId w:val="1"/>
  </w:num>
  <w:num w:numId="30" w16cid:durableId="1908878896">
    <w:abstractNumId w:val="15"/>
  </w:num>
  <w:num w:numId="31" w16cid:durableId="1509564221">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D0C"/>
    <w:rsid w:val="000056D2"/>
    <w:rsid w:val="000112A5"/>
    <w:rsid w:val="000141E7"/>
    <w:rsid w:val="00090A17"/>
    <w:rsid w:val="00094E04"/>
    <w:rsid w:val="000A6953"/>
    <w:rsid w:val="000B0579"/>
    <w:rsid w:val="000C39D4"/>
    <w:rsid w:val="000E4A12"/>
    <w:rsid w:val="000F2DE2"/>
    <w:rsid w:val="00120AD0"/>
    <w:rsid w:val="00134C67"/>
    <w:rsid w:val="00141CD1"/>
    <w:rsid w:val="001C761F"/>
    <w:rsid w:val="001D1314"/>
    <w:rsid w:val="001E4042"/>
    <w:rsid w:val="001E4EE6"/>
    <w:rsid w:val="00200840"/>
    <w:rsid w:val="00201730"/>
    <w:rsid w:val="00210BC6"/>
    <w:rsid w:val="00242DEB"/>
    <w:rsid w:val="00251422"/>
    <w:rsid w:val="00286636"/>
    <w:rsid w:val="00292CB1"/>
    <w:rsid w:val="0029575D"/>
    <w:rsid w:val="00297E6D"/>
    <w:rsid w:val="002B3666"/>
    <w:rsid w:val="002F3578"/>
    <w:rsid w:val="003438AE"/>
    <w:rsid w:val="0035092F"/>
    <w:rsid w:val="00351101"/>
    <w:rsid w:val="00355FC8"/>
    <w:rsid w:val="003663B4"/>
    <w:rsid w:val="00386BAD"/>
    <w:rsid w:val="003A3C8B"/>
    <w:rsid w:val="003C4CDD"/>
    <w:rsid w:val="003E0418"/>
    <w:rsid w:val="003F4B3E"/>
    <w:rsid w:val="004023FB"/>
    <w:rsid w:val="00443D0C"/>
    <w:rsid w:val="004723FA"/>
    <w:rsid w:val="00483294"/>
    <w:rsid w:val="004A75D6"/>
    <w:rsid w:val="004C5AFE"/>
    <w:rsid w:val="004E5D06"/>
    <w:rsid w:val="004F6C6A"/>
    <w:rsid w:val="00547879"/>
    <w:rsid w:val="00555324"/>
    <w:rsid w:val="0056688C"/>
    <w:rsid w:val="00595732"/>
    <w:rsid w:val="005A0501"/>
    <w:rsid w:val="005A38B7"/>
    <w:rsid w:val="005B1F03"/>
    <w:rsid w:val="005B6872"/>
    <w:rsid w:val="005B71EB"/>
    <w:rsid w:val="005C0036"/>
    <w:rsid w:val="005D5526"/>
    <w:rsid w:val="00607DBD"/>
    <w:rsid w:val="00617418"/>
    <w:rsid w:val="00617ACF"/>
    <w:rsid w:val="00621C23"/>
    <w:rsid w:val="006232E6"/>
    <w:rsid w:val="0062344D"/>
    <w:rsid w:val="00627627"/>
    <w:rsid w:val="00651875"/>
    <w:rsid w:val="006529FA"/>
    <w:rsid w:val="00657ADD"/>
    <w:rsid w:val="0066260B"/>
    <w:rsid w:val="00687C24"/>
    <w:rsid w:val="006B04A2"/>
    <w:rsid w:val="006B44B1"/>
    <w:rsid w:val="006C6983"/>
    <w:rsid w:val="006E786B"/>
    <w:rsid w:val="006F1352"/>
    <w:rsid w:val="007051FE"/>
    <w:rsid w:val="007144A5"/>
    <w:rsid w:val="007419CC"/>
    <w:rsid w:val="00752A5D"/>
    <w:rsid w:val="00765908"/>
    <w:rsid w:val="007A3716"/>
    <w:rsid w:val="007A6619"/>
    <w:rsid w:val="007B5DFD"/>
    <w:rsid w:val="007D1E87"/>
    <w:rsid w:val="007D2F98"/>
    <w:rsid w:val="007D5530"/>
    <w:rsid w:val="007E12EE"/>
    <w:rsid w:val="007F6900"/>
    <w:rsid w:val="00812447"/>
    <w:rsid w:val="00842E57"/>
    <w:rsid w:val="008446A2"/>
    <w:rsid w:val="00845091"/>
    <w:rsid w:val="00855BBD"/>
    <w:rsid w:val="008639F5"/>
    <w:rsid w:val="008800BF"/>
    <w:rsid w:val="00880571"/>
    <w:rsid w:val="008919F4"/>
    <w:rsid w:val="00894F06"/>
    <w:rsid w:val="008A5E4B"/>
    <w:rsid w:val="008C17BB"/>
    <w:rsid w:val="008C4E30"/>
    <w:rsid w:val="008D0B22"/>
    <w:rsid w:val="008D39F5"/>
    <w:rsid w:val="009032A9"/>
    <w:rsid w:val="00907976"/>
    <w:rsid w:val="0092610B"/>
    <w:rsid w:val="00941C6F"/>
    <w:rsid w:val="009454AE"/>
    <w:rsid w:val="00950579"/>
    <w:rsid w:val="009A4C2D"/>
    <w:rsid w:val="009A769F"/>
    <w:rsid w:val="009B15EC"/>
    <w:rsid w:val="009B1E99"/>
    <w:rsid w:val="009B625F"/>
    <w:rsid w:val="009D6275"/>
    <w:rsid w:val="009E7BC3"/>
    <w:rsid w:val="009F4118"/>
    <w:rsid w:val="00A11FD4"/>
    <w:rsid w:val="00A14FC8"/>
    <w:rsid w:val="00A23CEB"/>
    <w:rsid w:val="00A251F0"/>
    <w:rsid w:val="00A33F60"/>
    <w:rsid w:val="00A407DC"/>
    <w:rsid w:val="00A57142"/>
    <w:rsid w:val="00A57DBD"/>
    <w:rsid w:val="00A90C77"/>
    <w:rsid w:val="00AB2BF6"/>
    <w:rsid w:val="00AC700A"/>
    <w:rsid w:val="00AD0094"/>
    <w:rsid w:val="00AD1B8A"/>
    <w:rsid w:val="00AD5DEB"/>
    <w:rsid w:val="00AE2C03"/>
    <w:rsid w:val="00AF6940"/>
    <w:rsid w:val="00B06710"/>
    <w:rsid w:val="00B20CC6"/>
    <w:rsid w:val="00B27737"/>
    <w:rsid w:val="00B43A32"/>
    <w:rsid w:val="00B44D27"/>
    <w:rsid w:val="00B5002F"/>
    <w:rsid w:val="00B7016F"/>
    <w:rsid w:val="00B851B5"/>
    <w:rsid w:val="00BA3ACE"/>
    <w:rsid w:val="00BA6D4F"/>
    <w:rsid w:val="00BB0C73"/>
    <w:rsid w:val="00BF5BC8"/>
    <w:rsid w:val="00C11CC1"/>
    <w:rsid w:val="00C12BF8"/>
    <w:rsid w:val="00C12E02"/>
    <w:rsid w:val="00C43424"/>
    <w:rsid w:val="00C54834"/>
    <w:rsid w:val="00C56E8B"/>
    <w:rsid w:val="00CA320E"/>
    <w:rsid w:val="00CC16B8"/>
    <w:rsid w:val="00CC296A"/>
    <w:rsid w:val="00CE6F4B"/>
    <w:rsid w:val="00D223B8"/>
    <w:rsid w:val="00D312EA"/>
    <w:rsid w:val="00D6222C"/>
    <w:rsid w:val="00D704E0"/>
    <w:rsid w:val="00D91C6E"/>
    <w:rsid w:val="00DE1BE2"/>
    <w:rsid w:val="00E13A59"/>
    <w:rsid w:val="00E21BE0"/>
    <w:rsid w:val="00E223BD"/>
    <w:rsid w:val="00E54220"/>
    <w:rsid w:val="00E82F66"/>
    <w:rsid w:val="00E84E9F"/>
    <w:rsid w:val="00EC77D0"/>
    <w:rsid w:val="00ED586E"/>
    <w:rsid w:val="00EF416A"/>
    <w:rsid w:val="00EF4661"/>
    <w:rsid w:val="00F029D3"/>
    <w:rsid w:val="00F14D18"/>
    <w:rsid w:val="00F243C6"/>
    <w:rsid w:val="00F461CA"/>
    <w:rsid w:val="00F516A0"/>
    <w:rsid w:val="00F5310D"/>
    <w:rsid w:val="00F81A78"/>
    <w:rsid w:val="00F9108D"/>
    <w:rsid w:val="00FC49A7"/>
    <w:rsid w:val="00FD1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F22"/>
  <w15:docId w15:val="{48139DEC-F764-4836-848D-F0F46AD19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8966379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30220813">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40591492">
      <w:bodyDiv w:val="1"/>
      <w:marLeft w:val="0"/>
      <w:marRight w:val="0"/>
      <w:marTop w:val="0"/>
      <w:marBottom w:val="0"/>
      <w:divBdr>
        <w:top w:val="none" w:sz="0" w:space="0" w:color="auto"/>
        <w:left w:val="none" w:sz="0" w:space="0" w:color="auto"/>
        <w:bottom w:val="none" w:sz="0" w:space="0" w:color="auto"/>
        <w:right w:val="none" w:sz="0" w:space="0" w:color="auto"/>
      </w:divBdr>
      <w:divsChild>
        <w:div w:id="1858495689">
          <w:marLeft w:val="0"/>
          <w:marRight w:val="0"/>
          <w:marTop w:val="0"/>
          <w:marBottom w:val="0"/>
          <w:divBdr>
            <w:top w:val="none" w:sz="0" w:space="0" w:color="auto"/>
            <w:left w:val="none" w:sz="0" w:space="0" w:color="auto"/>
            <w:bottom w:val="none" w:sz="0" w:space="0" w:color="auto"/>
            <w:right w:val="none" w:sz="0" w:space="0" w:color="auto"/>
          </w:divBdr>
          <w:divsChild>
            <w:div w:id="7335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26156627">
      <w:bodyDiv w:val="1"/>
      <w:marLeft w:val="0"/>
      <w:marRight w:val="0"/>
      <w:marTop w:val="0"/>
      <w:marBottom w:val="0"/>
      <w:divBdr>
        <w:top w:val="none" w:sz="0" w:space="0" w:color="auto"/>
        <w:left w:val="none" w:sz="0" w:space="0" w:color="auto"/>
        <w:bottom w:val="none" w:sz="0" w:space="0" w:color="auto"/>
        <w:right w:val="none" w:sz="0" w:space="0" w:color="auto"/>
      </w:divBdr>
    </w:div>
    <w:div w:id="630092866">
      <w:bodyDiv w:val="1"/>
      <w:marLeft w:val="0"/>
      <w:marRight w:val="0"/>
      <w:marTop w:val="0"/>
      <w:marBottom w:val="0"/>
      <w:divBdr>
        <w:top w:val="none" w:sz="0" w:space="0" w:color="auto"/>
        <w:left w:val="none" w:sz="0" w:space="0" w:color="auto"/>
        <w:bottom w:val="none" w:sz="0" w:space="0" w:color="auto"/>
        <w:right w:val="none" w:sz="0" w:space="0" w:color="auto"/>
      </w:divBdr>
    </w:div>
    <w:div w:id="667710363">
      <w:bodyDiv w:val="1"/>
      <w:marLeft w:val="0"/>
      <w:marRight w:val="0"/>
      <w:marTop w:val="0"/>
      <w:marBottom w:val="0"/>
      <w:divBdr>
        <w:top w:val="none" w:sz="0" w:space="0" w:color="auto"/>
        <w:left w:val="none" w:sz="0" w:space="0" w:color="auto"/>
        <w:bottom w:val="none" w:sz="0" w:space="0" w:color="auto"/>
        <w:right w:val="none" w:sz="0" w:space="0" w:color="auto"/>
      </w:divBdr>
      <w:divsChild>
        <w:div w:id="1218395425">
          <w:marLeft w:val="0"/>
          <w:marRight w:val="0"/>
          <w:marTop w:val="0"/>
          <w:marBottom w:val="0"/>
          <w:divBdr>
            <w:top w:val="none" w:sz="0" w:space="0" w:color="auto"/>
            <w:left w:val="none" w:sz="0" w:space="0" w:color="auto"/>
            <w:bottom w:val="none" w:sz="0" w:space="0" w:color="auto"/>
            <w:right w:val="none" w:sz="0" w:space="0" w:color="auto"/>
          </w:divBdr>
          <w:divsChild>
            <w:div w:id="132018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53094421">
      <w:bodyDiv w:val="1"/>
      <w:marLeft w:val="0"/>
      <w:marRight w:val="0"/>
      <w:marTop w:val="0"/>
      <w:marBottom w:val="0"/>
      <w:divBdr>
        <w:top w:val="none" w:sz="0" w:space="0" w:color="auto"/>
        <w:left w:val="none" w:sz="0" w:space="0" w:color="auto"/>
        <w:bottom w:val="none" w:sz="0" w:space="0" w:color="auto"/>
        <w:right w:val="none" w:sz="0" w:space="0" w:color="auto"/>
      </w:divBdr>
      <w:divsChild>
        <w:div w:id="626547322">
          <w:marLeft w:val="0"/>
          <w:marRight w:val="0"/>
          <w:marTop w:val="0"/>
          <w:marBottom w:val="0"/>
          <w:divBdr>
            <w:top w:val="none" w:sz="0" w:space="0" w:color="auto"/>
            <w:left w:val="none" w:sz="0" w:space="0" w:color="auto"/>
            <w:bottom w:val="none" w:sz="0" w:space="0" w:color="auto"/>
            <w:right w:val="none" w:sz="0" w:space="0" w:color="auto"/>
          </w:divBdr>
          <w:divsChild>
            <w:div w:id="6387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776605240">
      <w:bodyDiv w:val="1"/>
      <w:marLeft w:val="0"/>
      <w:marRight w:val="0"/>
      <w:marTop w:val="0"/>
      <w:marBottom w:val="0"/>
      <w:divBdr>
        <w:top w:val="none" w:sz="0" w:space="0" w:color="auto"/>
        <w:left w:val="none" w:sz="0" w:space="0" w:color="auto"/>
        <w:bottom w:val="none" w:sz="0" w:space="0" w:color="auto"/>
        <w:right w:val="none" w:sz="0" w:space="0" w:color="auto"/>
      </w:divBdr>
    </w:div>
    <w:div w:id="816187501">
      <w:bodyDiv w:val="1"/>
      <w:marLeft w:val="0"/>
      <w:marRight w:val="0"/>
      <w:marTop w:val="0"/>
      <w:marBottom w:val="0"/>
      <w:divBdr>
        <w:top w:val="none" w:sz="0" w:space="0" w:color="auto"/>
        <w:left w:val="none" w:sz="0" w:space="0" w:color="auto"/>
        <w:bottom w:val="none" w:sz="0" w:space="0" w:color="auto"/>
        <w:right w:val="none" w:sz="0" w:space="0" w:color="auto"/>
      </w:divBdr>
      <w:divsChild>
        <w:div w:id="2112358197">
          <w:marLeft w:val="0"/>
          <w:marRight w:val="0"/>
          <w:marTop w:val="0"/>
          <w:marBottom w:val="0"/>
          <w:divBdr>
            <w:top w:val="none" w:sz="0" w:space="0" w:color="auto"/>
            <w:left w:val="none" w:sz="0" w:space="0" w:color="auto"/>
            <w:bottom w:val="none" w:sz="0" w:space="0" w:color="auto"/>
            <w:right w:val="none" w:sz="0" w:space="0" w:color="auto"/>
          </w:divBdr>
          <w:divsChild>
            <w:div w:id="646318908">
              <w:marLeft w:val="0"/>
              <w:marRight w:val="0"/>
              <w:marTop w:val="0"/>
              <w:marBottom w:val="0"/>
              <w:divBdr>
                <w:top w:val="none" w:sz="0" w:space="0" w:color="auto"/>
                <w:left w:val="none" w:sz="0" w:space="0" w:color="auto"/>
                <w:bottom w:val="none" w:sz="0" w:space="0" w:color="auto"/>
                <w:right w:val="none" w:sz="0" w:space="0" w:color="auto"/>
              </w:divBdr>
            </w:div>
          </w:divsChild>
        </w:div>
        <w:div w:id="1743793980">
          <w:marLeft w:val="0"/>
          <w:marRight w:val="0"/>
          <w:marTop w:val="0"/>
          <w:marBottom w:val="0"/>
          <w:divBdr>
            <w:top w:val="none" w:sz="0" w:space="0" w:color="auto"/>
            <w:left w:val="none" w:sz="0" w:space="0" w:color="auto"/>
            <w:bottom w:val="none" w:sz="0" w:space="0" w:color="auto"/>
            <w:right w:val="none" w:sz="0" w:space="0" w:color="auto"/>
          </w:divBdr>
          <w:divsChild>
            <w:div w:id="13474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18549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28778537">
      <w:bodyDiv w:val="1"/>
      <w:marLeft w:val="0"/>
      <w:marRight w:val="0"/>
      <w:marTop w:val="0"/>
      <w:marBottom w:val="0"/>
      <w:divBdr>
        <w:top w:val="none" w:sz="0" w:space="0" w:color="auto"/>
        <w:left w:val="none" w:sz="0" w:space="0" w:color="auto"/>
        <w:bottom w:val="none" w:sz="0" w:space="0" w:color="auto"/>
        <w:right w:val="none" w:sz="0" w:space="0" w:color="auto"/>
      </w:divBdr>
      <w:divsChild>
        <w:div w:id="1114517585">
          <w:marLeft w:val="0"/>
          <w:marRight w:val="0"/>
          <w:marTop w:val="0"/>
          <w:marBottom w:val="0"/>
          <w:divBdr>
            <w:top w:val="none" w:sz="0" w:space="0" w:color="auto"/>
            <w:left w:val="none" w:sz="0" w:space="0" w:color="auto"/>
            <w:bottom w:val="none" w:sz="0" w:space="0" w:color="auto"/>
            <w:right w:val="none" w:sz="0" w:space="0" w:color="auto"/>
          </w:divBdr>
          <w:divsChild>
            <w:div w:id="204016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221">
      <w:bodyDiv w:val="1"/>
      <w:marLeft w:val="0"/>
      <w:marRight w:val="0"/>
      <w:marTop w:val="0"/>
      <w:marBottom w:val="0"/>
      <w:divBdr>
        <w:top w:val="none" w:sz="0" w:space="0" w:color="auto"/>
        <w:left w:val="none" w:sz="0" w:space="0" w:color="auto"/>
        <w:bottom w:val="none" w:sz="0" w:space="0" w:color="auto"/>
        <w:right w:val="none" w:sz="0" w:space="0" w:color="auto"/>
      </w:divBdr>
      <w:divsChild>
        <w:div w:id="58987365">
          <w:marLeft w:val="0"/>
          <w:marRight w:val="0"/>
          <w:marTop w:val="0"/>
          <w:marBottom w:val="0"/>
          <w:divBdr>
            <w:top w:val="none" w:sz="0" w:space="0" w:color="auto"/>
            <w:left w:val="none" w:sz="0" w:space="0" w:color="auto"/>
            <w:bottom w:val="none" w:sz="0" w:space="0" w:color="auto"/>
            <w:right w:val="none" w:sz="0" w:space="0" w:color="auto"/>
          </w:divBdr>
          <w:divsChild>
            <w:div w:id="1724788469">
              <w:marLeft w:val="0"/>
              <w:marRight w:val="0"/>
              <w:marTop w:val="0"/>
              <w:marBottom w:val="0"/>
              <w:divBdr>
                <w:top w:val="none" w:sz="0" w:space="0" w:color="auto"/>
                <w:left w:val="none" w:sz="0" w:space="0" w:color="auto"/>
                <w:bottom w:val="none" w:sz="0" w:space="0" w:color="auto"/>
                <w:right w:val="none" w:sz="0" w:space="0" w:color="auto"/>
              </w:divBdr>
            </w:div>
          </w:divsChild>
        </w:div>
        <w:div w:id="793527149">
          <w:marLeft w:val="0"/>
          <w:marRight w:val="0"/>
          <w:marTop w:val="0"/>
          <w:marBottom w:val="0"/>
          <w:divBdr>
            <w:top w:val="none" w:sz="0" w:space="0" w:color="auto"/>
            <w:left w:val="none" w:sz="0" w:space="0" w:color="auto"/>
            <w:bottom w:val="none" w:sz="0" w:space="0" w:color="auto"/>
            <w:right w:val="none" w:sz="0" w:space="0" w:color="auto"/>
          </w:divBdr>
          <w:divsChild>
            <w:div w:id="4174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074937044">
      <w:bodyDiv w:val="1"/>
      <w:marLeft w:val="0"/>
      <w:marRight w:val="0"/>
      <w:marTop w:val="0"/>
      <w:marBottom w:val="0"/>
      <w:divBdr>
        <w:top w:val="none" w:sz="0" w:space="0" w:color="auto"/>
        <w:left w:val="none" w:sz="0" w:space="0" w:color="auto"/>
        <w:bottom w:val="none" w:sz="0" w:space="0" w:color="auto"/>
        <w:right w:val="none" w:sz="0" w:space="0" w:color="auto"/>
      </w:divBdr>
      <w:divsChild>
        <w:div w:id="242379048">
          <w:marLeft w:val="0"/>
          <w:marRight w:val="0"/>
          <w:marTop w:val="0"/>
          <w:marBottom w:val="0"/>
          <w:divBdr>
            <w:top w:val="none" w:sz="0" w:space="0" w:color="auto"/>
            <w:left w:val="none" w:sz="0" w:space="0" w:color="auto"/>
            <w:bottom w:val="none" w:sz="0" w:space="0" w:color="auto"/>
            <w:right w:val="none" w:sz="0" w:space="0" w:color="auto"/>
          </w:divBdr>
          <w:divsChild>
            <w:div w:id="15494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1107">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01823904">
      <w:bodyDiv w:val="1"/>
      <w:marLeft w:val="0"/>
      <w:marRight w:val="0"/>
      <w:marTop w:val="0"/>
      <w:marBottom w:val="0"/>
      <w:divBdr>
        <w:top w:val="none" w:sz="0" w:space="0" w:color="auto"/>
        <w:left w:val="none" w:sz="0" w:space="0" w:color="auto"/>
        <w:bottom w:val="none" w:sz="0" w:space="0" w:color="auto"/>
        <w:right w:val="none" w:sz="0" w:space="0" w:color="auto"/>
      </w:divBdr>
      <w:divsChild>
        <w:div w:id="1866752186">
          <w:marLeft w:val="0"/>
          <w:marRight w:val="0"/>
          <w:marTop w:val="0"/>
          <w:marBottom w:val="0"/>
          <w:divBdr>
            <w:top w:val="none" w:sz="0" w:space="0" w:color="auto"/>
            <w:left w:val="none" w:sz="0" w:space="0" w:color="auto"/>
            <w:bottom w:val="none" w:sz="0" w:space="0" w:color="auto"/>
            <w:right w:val="none" w:sz="0" w:space="0" w:color="auto"/>
          </w:divBdr>
          <w:divsChild>
            <w:div w:id="1554074502">
              <w:marLeft w:val="0"/>
              <w:marRight w:val="0"/>
              <w:marTop w:val="0"/>
              <w:marBottom w:val="0"/>
              <w:divBdr>
                <w:top w:val="none" w:sz="0" w:space="0" w:color="auto"/>
                <w:left w:val="none" w:sz="0" w:space="0" w:color="auto"/>
                <w:bottom w:val="none" w:sz="0" w:space="0" w:color="auto"/>
                <w:right w:val="none" w:sz="0" w:space="0" w:color="auto"/>
              </w:divBdr>
            </w:div>
          </w:divsChild>
        </w:div>
        <w:div w:id="1396975332">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3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945036">
      <w:bodyDiv w:val="1"/>
      <w:marLeft w:val="0"/>
      <w:marRight w:val="0"/>
      <w:marTop w:val="0"/>
      <w:marBottom w:val="0"/>
      <w:divBdr>
        <w:top w:val="none" w:sz="0" w:space="0" w:color="auto"/>
        <w:left w:val="none" w:sz="0" w:space="0" w:color="auto"/>
        <w:bottom w:val="none" w:sz="0" w:space="0" w:color="auto"/>
        <w:right w:val="none" w:sz="0" w:space="0" w:color="auto"/>
      </w:divBdr>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8777">
      <w:bodyDiv w:val="1"/>
      <w:marLeft w:val="0"/>
      <w:marRight w:val="0"/>
      <w:marTop w:val="0"/>
      <w:marBottom w:val="0"/>
      <w:divBdr>
        <w:top w:val="none" w:sz="0" w:space="0" w:color="auto"/>
        <w:left w:val="none" w:sz="0" w:space="0" w:color="auto"/>
        <w:bottom w:val="none" w:sz="0" w:space="0" w:color="auto"/>
        <w:right w:val="none" w:sz="0" w:space="0" w:color="auto"/>
      </w:divBdr>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66186918">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2562962">
      <w:bodyDiv w:val="1"/>
      <w:marLeft w:val="0"/>
      <w:marRight w:val="0"/>
      <w:marTop w:val="0"/>
      <w:marBottom w:val="0"/>
      <w:divBdr>
        <w:top w:val="none" w:sz="0" w:space="0" w:color="auto"/>
        <w:left w:val="none" w:sz="0" w:space="0" w:color="auto"/>
        <w:bottom w:val="none" w:sz="0" w:space="0" w:color="auto"/>
        <w:right w:val="none" w:sz="0" w:space="0" w:color="auto"/>
      </w:divBdr>
      <w:divsChild>
        <w:div w:id="888881109">
          <w:marLeft w:val="0"/>
          <w:marRight w:val="0"/>
          <w:marTop w:val="0"/>
          <w:marBottom w:val="0"/>
          <w:divBdr>
            <w:top w:val="none" w:sz="0" w:space="0" w:color="auto"/>
            <w:left w:val="none" w:sz="0" w:space="0" w:color="auto"/>
            <w:bottom w:val="none" w:sz="0" w:space="0" w:color="auto"/>
            <w:right w:val="none" w:sz="0" w:space="0" w:color="auto"/>
          </w:divBdr>
          <w:divsChild>
            <w:div w:id="12141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1686">
      <w:bodyDiv w:val="1"/>
      <w:marLeft w:val="0"/>
      <w:marRight w:val="0"/>
      <w:marTop w:val="0"/>
      <w:marBottom w:val="0"/>
      <w:divBdr>
        <w:top w:val="none" w:sz="0" w:space="0" w:color="auto"/>
        <w:left w:val="none" w:sz="0" w:space="0" w:color="auto"/>
        <w:bottom w:val="none" w:sz="0" w:space="0" w:color="auto"/>
        <w:right w:val="none" w:sz="0" w:space="0" w:color="auto"/>
      </w:divBdr>
      <w:divsChild>
        <w:div w:id="1728996211">
          <w:marLeft w:val="0"/>
          <w:marRight w:val="0"/>
          <w:marTop w:val="0"/>
          <w:marBottom w:val="0"/>
          <w:divBdr>
            <w:top w:val="none" w:sz="0" w:space="0" w:color="auto"/>
            <w:left w:val="none" w:sz="0" w:space="0" w:color="auto"/>
            <w:bottom w:val="none" w:sz="0" w:space="0" w:color="auto"/>
            <w:right w:val="none" w:sz="0" w:space="0" w:color="auto"/>
          </w:divBdr>
          <w:divsChild>
            <w:div w:id="1277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04932155">
      <w:bodyDiv w:val="1"/>
      <w:marLeft w:val="0"/>
      <w:marRight w:val="0"/>
      <w:marTop w:val="0"/>
      <w:marBottom w:val="0"/>
      <w:divBdr>
        <w:top w:val="none" w:sz="0" w:space="0" w:color="auto"/>
        <w:left w:val="none" w:sz="0" w:space="0" w:color="auto"/>
        <w:bottom w:val="none" w:sz="0" w:space="0" w:color="auto"/>
        <w:right w:val="none" w:sz="0" w:space="0" w:color="auto"/>
      </w:divBdr>
      <w:divsChild>
        <w:div w:id="1958099084">
          <w:marLeft w:val="0"/>
          <w:marRight w:val="0"/>
          <w:marTop w:val="0"/>
          <w:marBottom w:val="0"/>
          <w:divBdr>
            <w:top w:val="none" w:sz="0" w:space="0" w:color="auto"/>
            <w:left w:val="none" w:sz="0" w:space="0" w:color="auto"/>
            <w:bottom w:val="none" w:sz="0" w:space="0" w:color="auto"/>
            <w:right w:val="none" w:sz="0" w:space="0" w:color="auto"/>
          </w:divBdr>
          <w:divsChild>
            <w:div w:id="20457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1784">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58683345">
      <w:bodyDiv w:val="1"/>
      <w:marLeft w:val="0"/>
      <w:marRight w:val="0"/>
      <w:marTop w:val="0"/>
      <w:marBottom w:val="0"/>
      <w:divBdr>
        <w:top w:val="none" w:sz="0" w:space="0" w:color="auto"/>
        <w:left w:val="none" w:sz="0" w:space="0" w:color="auto"/>
        <w:bottom w:val="none" w:sz="0" w:space="0" w:color="auto"/>
        <w:right w:val="none" w:sz="0" w:space="0" w:color="auto"/>
      </w:divBdr>
    </w:div>
    <w:div w:id="1981350230">
      <w:bodyDiv w:val="1"/>
      <w:marLeft w:val="0"/>
      <w:marRight w:val="0"/>
      <w:marTop w:val="0"/>
      <w:marBottom w:val="0"/>
      <w:divBdr>
        <w:top w:val="none" w:sz="0" w:space="0" w:color="auto"/>
        <w:left w:val="none" w:sz="0" w:space="0" w:color="auto"/>
        <w:bottom w:val="none" w:sz="0" w:space="0" w:color="auto"/>
        <w:right w:val="none" w:sz="0" w:space="0" w:color="auto"/>
      </w:divBdr>
      <w:divsChild>
        <w:div w:id="502399663">
          <w:marLeft w:val="0"/>
          <w:marRight w:val="0"/>
          <w:marTop w:val="0"/>
          <w:marBottom w:val="0"/>
          <w:divBdr>
            <w:top w:val="none" w:sz="0" w:space="0" w:color="auto"/>
            <w:left w:val="none" w:sz="0" w:space="0" w:color="auto"/>
            <w:bottom w:val="none" w:sz="0" w:space="0" w:color="auto"/>
            <w:right w:val="none" w:sz="0" w:space="0" w:color="auto"/>
          </w:divBdr>
          <w:divsChild>
            <w:div w:id="3395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1517817">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19237542">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099671212">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31295">
      <w:bodyDiv w:val="1"/>
      <w:marLeft w:val="0"/>
      <w:marRight w:val="0"/>
      <w:marTop w:val="0"/>
      <w:marBottom w:val="0"/>
      <w:divBdr>
        <w:top w:val="none" w:sz="0" w:space="0" w:color="auto"/>
        <w:left w:val="none" w:sz="0" w:space="0" w:color="auto"/>
        <w:bottom w:val="none" w:sz="0" w:space="0" w:color="auto"/>
        <w:right w:val="none" w:sz="0" w:space="0" w:color="auto"/>
      </w:divBdr>
      <w:divsChild>
        <w:div w:id="1595818569">
          <w:marLeft w:val="0"/>
          <w:marRight w:val="0"/>
          <w:marTop w:val="0"/>
          <w:marBottom w:val="0"/>
          <w:divBdr>
            <w:top w:val="none" w:sz="0" w:space="0" w:color="auto"/>
            <w:left w:val="none" w:sz="0" w:space="0" w:color="auto"/>
            <w:bottom w:val="none" w:sz="0" w:space="0" w:color="auto"/>
            <w:right w:val="none" w:sz="0" w:space="0" w:color="auto"/>
          </w:divBdr>
          <w:divsChild>
            <w:div w:id="1611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 w:id="2119327283">
      <w:bodyDiv w:val="1"/>
      <w:marLeft w:val="0"/>
      <w:marRight w:val="0"/>
      <w:marTop w:val="0"/>
      <w:marBottom w:val="0"/>
      <w:divBdr>
        <w:top w:val="none" w:sz="0" w:space="0" w:color="auto"/>
        <w:left w:val="none" w:sz="0" w:space="0" w:color="auto"/>
        <w:bottom w:val="none" w:sz="0" w:space="0" w:color="auto"/>
        <w:right w:val="none" w:sz="0" w:space="0" w:color="auto"/>
      </w:divBdr>
      <w:divsChild>
        <w:div w:id="9463517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86698">
          <w:marLeft w:val="0"/>
          <w:marRight w:val="0"/>
          <w:marTop w:val="0"/>
          <w:marBottom w:val="0"/>
          <w:divBdr>
            <w:top w:val="none" w:sz="0" w:space="0" w:color="auto"/>
            <w:left w:val="none" w:sz="0" w:space="0" w:color="auto"/>
            <w:bottom w:val="none" w:sz="0" w:space="0" w:color="auto"/>
            <w:right w:val="none" w:sz="0" w:space="0" w:color="auto"/>
          </w:divBdr>
          <w:divsChild>
            <w:div w:id="3432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openxmlformats.org/officeDocument/2006/relationships/hyperlink" Target="https://doi.org/10.53555/eijbms.v10i1.176"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007/s10916-020-1517-1"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doi.org/10.1061/(ASCE)CF.1943-5509.000169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147/PPA.S360852" TargetMode="External"/><Relationship Id="rId20" Type="http://schemas.openxmlformats.org/officeDocument/2006/relationships/hyperlink" Target="https://doi.org/10.3389/fpubh.2021.782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hyperlink" Target="https://doi.org/10.1155/2016/5314312"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1155/2016/8671820" TargetMode="External"/><Relationship Id="rId10" Type="http://schemas.openxmlformats.org/officeDocument/2006/relationships/footer" Target="footer2.xml"/><Relationship Id="rId19" Type="http://schemas.openxmlformats.org/officeDocument/2006/relationships/hyperlink" Target="https://doi.org/10.1109/ACCESS.2023.3287490"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 Id="rId22" Type="http://schemas.openxmlformats.org/officeDocument/2006/relationships/hyperlink" Target="https://doi.org/10.1109/SOCA.2018.0002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5BDC1-E469-4A1A-9B3D-2AA68D48B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1846</TotalTime>
  <Pages>1</Pages>
  <Words>24140</Words>
  <Characters>137604</Characters>
  <Application>Microsoft Office Word</Application>
  <DocSecurity>0</DocSecurity>
  <Lines>1146</Lines>
  <Paragraphs>322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cp:lastModifiedBy>
  <cp:revision>72</cp:revision>
  <dcterms:created xsi:type="dcterms:W3CDTF">2025-06-12T21:36:00Z</dcterms:created>
  <dcterms:modified xsi:type="dcterms:W3CDTF">2026-08-24T13:13:00Z</dcterms:modified>
</cp:coreProperties>
</file>